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718C7" w:rsidRPr="008D3BBD" w:rsidRDefault="009B164C" w:rsidP="00542C4B">
      <w:pPr>
        <w:rPr>
          <w:szCs w:val="20"/>
        </w:rPr>
        <w:sectPr w:rsidR="007718C7" w:rsidRPr="008D3BBD" w:rsidSect="00F96CDF">
          <w:headerReference w:type="first" r:id="rId9"/>
          <w:pgSz w:w="11906" w:h="16838" w:code="9"/>
          <w:pgMar w:top="1440" w:right="1440" w:bottom="1440" w:left="1440" w:header="709" w:footer="709" w:gutter="0"/>
          <w:pgNumType w:start="1"/>
          <w:cols w:space="708"/>
          <w:titlePg/>
          <w:docGrid w:linePitch="360"/>
        </w:sectPr>
      </w:pPr>
      <w:r>
        <w:rPr>
          <w:noProof/>
          <w:lang w:eastAsia="en-AU"/>
        </w:rPr>
        <mc:AlternateContent>
          <mc:Choice Requires="wps">
            <w:drawing>
              <wp:anchor distT="0" distB="0" distL="114300" distR="114300" simplePos="0" relativeHeight="251657728" behindDoc="0" locked="0" layoutInCell="1" allowOverlap="1">
                <wp:simplePos x="0" y="0"/>
                <wp:positionH relativeFrom="margin">
                  <wp:posOffset>-35560</wp:posOffset>
                </wp:positionH>
                <wp:positionV relativeFrom="margin">
                  <wp:posOffset>6447790</wp:posOffset>
                </wp:positionV>
                <wp:extent cx="6007735" cy="2677160"/>
                <wp:effectExtent l="0" t="0" r="0" b="8890"/>
                <wp:wrapNone/>
                <wp:docPr id="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735" cy="267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63C" w:rsidRPr="00C00223" w:rsidRDefault="00C9763C" w:rsidP="00C00223">
                            <w:pPr>
                              <w:jc w:val="right"/>
                              <w:rPr>
                                <w:rStyle w:val="Style2"/>
                                <w:rFonts w:ascii="Gill Sans MT" w:hAnsi="Gill Sans MT"/>
                                <w:sz w:val="56"/>
                                <w:szCs w:val="56"/>
                              </w:rPr>
                            </w:pPr>
                            <w:r w:rsidRPr="00C00223">
                              <w:rPr>
                                <w:rStyle w:val="Style2"/>
                                <w:rFonts w:ascii="Gill Sans MT" w:hAnsi="Gill Sans MT"/>
                                <w:sz w:val="56"/>
                                <w:szCs w:val="56"/>
                              </w:rPr>
                              <w:t>Australian Commission on Safety and Quality in Health Care</w:t>
                            </w:r>
                          </w:p>
                          <w:p w:rsidR="00C9763C" w:rsidRPr="00B61085" w:rsidRDefault="00C9763C" w:rsidP="00C00223">
                            <w:pPr>
                              <w:jc w:val="right"/>
                              <w:rPr>
                                <w:rStyle w:val="Style3"/>
                                <w:rFonts w:ascii="Gill Sans MT" w:hAnsi="Gill Sans MT"/>
                                <w:b w:val="0"/>
                                <w:i/>
                                <w:color w:val="003D79"/>
                                <w:sz w:val="48"/>
                                <w:szCs w:val="48"/>
                              </w:rPr>
                            </w:pPr>
                            <w:r w:rsidRPr="00B61085">
                              <w:rPr>
                                <w:rStyle w:val="Style3"/>
                                <w:rFonts w:ascii="Gill Sans MT" w:hAnsi="Gill Sans MT"/>
                                <w:b w:val="0"/>
                                <w:i/>
                                <w:color w:val="003D79"/>
                                <w:sz w:val="48"/>
                                <w:szCs w:val="48"/>
                              </w:rPr>
                              <w:t>Analysis of hospital-acquired diagnoses and their effect on case complexity and resource use</w:t>
                            </w:r>
                          </w:p>
                          <w:p w:rsidR="00C9763C" w:rsidRPr="00C00223" w:rsidRDefault="00C9763C" w:rsidP="00C00223">
                            <w:pPr>
                              <w:jc w:val="right"/>
                              <w:rPr>
                                <w:rFonts w:ascii="Calibri" w:hAnsi="Calibri"/>
                                <w:b/>
                                <w:bCs/>
                                <w:color w:val="808080"/>
                                <w:sz w:val="32"/>
                                <w:szCs w:val="32"/>
                              </w:rPr>
                            </w:pPr>
                            <w:r>
                              <w:rPr>
                                <w:rFonts w:ascii="Calibri" w:hAnsi="Calibri"/>
                                <w:b/>
                                <w:color w:val="7F7F7F"/>
                                <w:sz w:val="36"/>
                              </w:rPr>
                              <w:t>Final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 o:spid="_x0000_s1026" style="position:absolute;margin-left:-2.8pt;margin-top:507.7pt;width:473.05pt;height:210.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NtQIAALIFAAAOAAAAZHJzL2Uyb0RvYy54bWysVNtunDAQfa/Uf7D8TriEhQWFjZJlqSql&#10;bdS0H2DALFbBprZ32bTqv3ds9pq8VG15sGzP+MyZmcPc3O76Dm2pVEzwDPtXHkaUV6JmfJ3hr18K&#10;Z46R0oTXpBOcZviZKny7ePvmZhxSGohWdDWVCEC4Sschw63WQ+q6qmppT9SVGCgHYyNkTzQc5dqt&#10;JRkBve/cwPMidxSyHqSoqFJwm09GvLD4TUMr/alpFNWoyzBw03aVdi3N6i5uSLqWZGhZtadB/oJF&#10;TxiHoEeonGiCNpK9gupZJYUSjb6qRO+KpmEVtTlANr73IpunlgzU5gLFUcOxTOr/wVYft48SsTrD&#10;1zFGnPTQo89QNcLXHUUzU59xUCm4PQ2P0mSohgdRfVOIi2ULXvROSjG2lNTAyjf+7sUDc1DwFJXj&#10;B1EDOtloYUu1a2RvAKEIaGc78nzsCN1pVMFl5HlxfD3DqAJbEMWxH9meuSQ9PB+k0u+o6JHZZFgC&#10;eQtPtg9KGzokPbiYaFwUrOts2zt+cQGO0w0Eh6fGZmjYLv5MvGQ1X81DJwyilRN6ee7cFcvQiQo/&#10;nuXX+XKZ+79MXD9MW1bXlJswB0X54Z91bK/tSQtHTSnRsdrAGUpKrstlJ9GWgKIL+9mig+Xk5l7S&#10;sEWAXF6k5Aehdx8kThHNYycswpmTxN7c8fzkPom8MAnz4jKlB8bpv6eExgwns2Bmu3RG+kVunv1e&#10;50bSnmmYGR3rMzw/OpHUaHDFa9taTVg37c9KYeifSgHtPjTaKtaIdBK73pU7QDHKLUX9DNqVApQF&#10;4wMGHWxaIX9gNMLQyLD6viGSYtS956D/xA9DM2XsIZzFARzkuaU8txBeAVSGS4ym7VJPk2kzSLZu&#10;IZJva8TFHfwzDbNqPrHa/2kwGGxS+yFmJs/52XqdRu3iNwAAAP//AwBQSwMEFAAGAAgAAAAhAHVQ&#10;CePiAAAADAEAAA8AAABkcnMvZG93bnJldi54bWxMj0FuwjAQRfeVegdrKnUHNiVJIY2DKhCqKlEk&#10;KAdwYjeJiMeRbSC9faerdjl/nv68KVaj7dnV+NA5lDCbCmAGa6c7bCScPreTBbAQFWrVOzQSvk2A&#10;VXl/V6hcuxsezPUYG0YlGHIloY1xyDkPdWusClM3GKTdl/NWRRp9w7VXNyq3PX8SIuNWdUgXWjWY&#10;dWvq8/FiJcx3+73/2Jy3mdic3tH5cf1WHaR8fBhfX4BFM8Y/GH71SR1KcqrcBXVgvYRJmhFJuZil&#10;CTAilolIgVUUJfNnAbws+P8nyh8AAAD//wMAUEsBAi0AFAAGAAgAAAAhALaDOJL+AAAA4QEAABMA&#10;AAAAAAAAAAAAAAAAAAAAAFtDb250ZW50X1R5cGVzXS54bWxQSwECLQAUAAYACAAAACEAOP0h/9YA&#10;AACUAQAACwAAAAAAAAAAAAAAAAAvAQAAX3JlbHMvLnJlbHNQSwECLQAUAAYACAAAACEAJ39vzbUC&#10;AACyBQAADgAAAAAAAAAAAAAAAAAuAgAAZHJzL2Uyb0RvYy54bWxQSwECLQAUAAYACAAAACEAdVAJ&#10;4+IAAAAMAQAADwAAAAAAAAAAAAAAAAAPBQAAZHJzL2Rvd25yZXYueG1sUEsFBgAAAAAEAAQA8wAA&#10;AB4GAAAAAA==&#10;" filled="f" stroked="f">
                <v:textbox>
                  <w:txbxContent>
                    <w:p w:rsidR="00C9763C" w:rsidRPr="00C00223" w:rsidRDefault="00C9763C" w:rsidP="00C00223">
                      <w:pPr>
                        <w:jc w:val="right"/>
                        <w:rPr>
                          <w:rStyle w:val="Style2"/>
                          <w:rFonts w:ascii="Gill Sans MT" w:hAnsi="Gill Sans MT"/>
                          <w:sz w:val="56"/>
                          <w:szCs w:val="56"/>
                        </w:rPr>
                      </w:pPr>
                      <w:r w:rsidRPr="00C00223">
                        <w:rPr>
                          <w:rStyle w:val="Style2"/>
                          <w:rFonts w:ascii="Gill Sans MT" w:hAnsi="Gill Sans MT"/>
                          <w:sz w:val="56"/>
                          <w:szCs w:val="56"/>
                        </w:rPr>
                        <w:t>Australian Commission on Safety and Quality in Health Care</w:t>
                      </w:r>
                    </w:p>
                    <w:p w:rsidR="00C9763C" w:rsidRPr="00B61085" w:rsidRDefault="00C9763C" w:rsidP="00C00223">
                      <w:pPr>
                        <w:jc w:val="right"/>
                        <w:rPr>
                          <w:rStyle w:val="Style3"/>
                          <w:rFonts w:ascii="Gill Sans MT" w:hAnsi="Gill Sans MT"/>
                          <w:b w:val="0"/>
                          <w:i/>
                          <w:color w:val="003D79"/>
                          <w:sz w:val="48"/>
                          <w:szCs w:val="48"/>
                        </w:rPr>
                      </w:pPr>
                      <w:r w:rsidRPr="00B61085">
                        <w:rPr>
                          <w:rStyle w:val="Style3"/>
                          <w:rFonts w:ascii="Gill Sans MT" w:hAnsi="Gill Sans MT"/>
                          <w:b w:val="0"/>
                          <w:i/>
                          <w:color w:val="003D79"/>
                          <w:sz w:val="48"/>
                          <w:szCs w:val="48"/>
                        </w:rPr>
                        <w:t>Analysis of hospital-acquired diagnoses and their effect on case complexity and resource use</w:t>
                      </w:r>
                    </w:p>
                    <w:p w:rsidR="00C9763C" w:rsidRPr="00C00223" w:rsidRDefault="00C9763C" w:rsidP="00C00223">
                      <w:pPr>
                        <w:jc w:val="right"/>
                        <w:rPr>
                          <w:rFonts w:ascii="Calibri" w:hAnsi="Calibri"/>
                          <w:b/>
                          <w:bCs/>
                          <w:color w:val="808080"/>
                          <w:sz w:val="32"/>
                          <w:szCs w:val="32"/>
                        </w:rPr>
                      </w:pPr>
                      <w:r>
                        <w:rPr>
                          <w:rFonts w:ascii="Calibri" w:hAnsi="Calibri"/>
                          <w:b/>
                          <w:color w:val="7F7F7F"/>
                          <w:sz w:val="36"/>
                        </w:rPr>
                        <w:t>Final report</w:t>
                      </w:r>
                    </w:p>
                  </w:txbxContent>
                </v:textbox>
                <w10:wrap anchorx="margin" anchory="margin"/>
              </v:rect>
            </w:pict>
          </mc:Fallback>
        </mc:AlternateContent>
      </w: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363A39" w:rsidRDefault="00363A39" w:rsidP="00DE620A">
      <w:pPr>
        <w:pStyle w:val="FootnoteText"/>
        <w:jc w:val="both"/>
        <w:rPr>
          <w:rFonts w:ascii="Arial" w:hAnsi="Arial"/>
        </w:rPr>
      </w:pPr>
    </w:p>
    <w:p w:rsidR="00814CE5" w:rsidRDefault="00814CE5" w:rsidP="00DE620A">
      <w:pPr>
        <w:pStyle w:val="FootnoteText"/>
        <w:jc w:val="both"/>
        <w:rPr>
          <w:rFonts w:ascii="Arial" w:hAnsi="Arial"/>
        </w:rPr>
      </w:pPr>
    </w:p>
    <w:p w:rsidR="00814CE5" w:rsidRDefault="00814CE5" w:rsidP="00DE620A">
      <w:pPr>
        <w:pStyle w:val="FootnoteText"/>
        <w:jc w:val="both"/>
        <w:rPr>
          <w:rFonts w:ascii="Arial" w:hAnsi="Arial"/>
        </w:rPr>
      </w:pPr>
    </w:p>
    <w:p w:rsidR="007718C7" w:rsidRPr="0027433B" w:rsidRDefault="007718C7" w:rsidP="00DE620A">
      <w:pPr>
        <w:pStyle w:val="Glossary"/>
        <w:outlineLvl w:val="0"/>
        <w:rPr>
          <w:color w:val="003D79"/>
          <w:sz w:val="28"/>
        </w:rPr>
      </w:pPr>
      <w:r>
        <w:rPr>
          <w:color w:val="003D79"/>
          <w:sz w:val="28"/>
        </w:rPr>
        <w:t>Suggested citation</w:t>
      </w:r>
    </w:p>
    <w:p w:rsidR="007718C7" w:rsidRPr="005B625A" w:rsidRDefault="007718C7" w:rsidP="00DE620A">
      <w:pPr>
        <w:rPr>
          <w:rFonts w:cs="Arial"/>
          <w:sz w:val="18"/>
          <w:szCs w:val="18"/>
        </w:rPr>
      </w:pPr>
      <w:r w:rsidRPr="005B625A">
        <w:rPr>
          <w:rFonts w:cs="Arial"/>
          <w:sz w:val="18"/>
          <w:szCs w:val="18"/>
        </w:rPr>
        <w:t xml:space="preserve">Health Policy Analysis 2013, </w:t>
      </w:r>
      <w:r w:rsidRPr="005B625A">
        <w:rPr>
          <w:rFonts w:cs="Arial"/>
          <w:i/>
          <w:sz w:val="18"/>
          <w:szCs w:val="18"/>
        </w:rPr>
        <w:t>Analysis of hospital-acquired diagnoses and their effect on case complexity and resource use – Final report</w:t>
      </w:r>
      <w:r w:rsidRPr="005B625A">
        <w:rPr>
          <w:rFonts w:cs="Arial"/>
          <w:sz w:val="18"/>
          <w:szCs w:val="18"/>
        </w:rPr>
        <w:t>, Australian Commission on Safety and Quality in Health Care, Sydney.</w:t>
      </w:r>
    </w:p>
    <w:p w:rsidR="007718C7" w:rsidRPr="0027433B" w:rsidRDefault="007718C7" w:rsidP="00DE620A">
      <w:pPr>
        <w:pStyle w:val="Title3"/>
        <w:spacing w:after="180"/>
        <w:jc w:val="both"/>
        <w:outlineLvl w:val="0"/>
        <w:rPr>
          <w:color w:val="003D79"/>
        </w:rPr>
      </w:pPr>
      <w:r w:rsidRPr="0027433B">
        <w:rPr>
          <w:color w:val="003D79"/>
        </w:rPr>
        <w:t>Disclaimer</w:t>
      </w:r>
    </w:p>
    <w:p w:rsidR="00814CE5" w:rsidRDefault="007718C7" w:rsidP="00DE620A">
      <w:pPr>
        <w:rPr>
          <w:sz w:val="18"/>
          <w:szCs w:val="18"/>
        </w:rPr>
      </w:pPr>
      <w:r w:rsidRPr="005B625A">
        <w:rPr>
          <w:sz w:val="18"/>
          <w:szCs w:val="18"/>
        </w:rPr>
        <w:t>In accordance with Health Policy Analysis’ policy, we are obliged to advise that neither Health Policy Analysis nor any employee nor sub-contractor undertakes responsibility in any way whatsoever to any person or organisation (other than the Australian Commission on Safety and Quality in Health Care) in respect of information set out in this report, including any errors or omissions therein, arising through negligence or otherwise however caused.</w:t>
      </w:r>
    </w:p>
    <w:p w:rsidR="001601A6" w:rsidRPr="005B625A" w:rsidRDefault="001601A6" w:rsidP="00DE620A">
      <w:pPr>
        <w:rPr>
          <w:sz w:val="18"/>
          <w:szCs w:val="18"/>
        </w:rPr>
      </w:pPr>
    </w:p>
    <w:p w:rsidR="007718C7" w:rsidRPr="00E835B0" w:rsidRDefault="007718C7" w:rsidP="00855F2D">
      <w:pPr>
        <w:pStyle w:val="Title3"/>
        <w:spacing w:line="276" w:lineRule="auto"/>
        <w:contextualSpacing/>
        <w:jc w:val="both"/>
        <w:outlineLvl w:val="0"/>
        <w:rPr>
          <w:color w:val="003D79"/>
        </w:rPr>
      </w:pPr>
      <w:r w:rsidRPr="00E835B0">
        <w:rPr>
          <w:color w:val="003D79"/>
        </w:rPr>
        <w:t xml:space="preserve">Health Policy Analysis Pty Ltd </w:t>
      </w:r>
    </w:p>
    <w:p w:rsidR="007718C7" w:rsidRPr="00E835B0" w:rsidRDefault="007718C7" w:rsidP="00855F2D">
      <w:pPr>
        <w:spacing w:after="0"/>
        <w:contextualSpacing/>
        <w:rPr>
          <w:rFonts w:ascii="Calibri" w:hAnsi="Calibri" w:cs="Arial"/>
          <w:b/>
          <w:bCs/>
          <w:color w:val="003D79"/>
          <w:sz w:val="24"/>
          <w:szCs w:val="24"/>
        </w:rPr>
      </w:pPr>
      <w:r w:rsidRPr="00E835B0">
        <w:rPr>
          <w:rFonts w:ascii="Calibri" w:hAnsi="Calibri" w:cs="Arial"/>
          <w:b/>
          <w:bCs/>
          <w:color w:val="003D79"/>
          <w:sz w:val="24"/>
          <w:szCs w:val="24"/>
        </w:rPr>
        <w:t>Suite 102, 30 Atchison Street, St Leonards 2065</w:t>
      </w:r>
    </w:p>
    <w:p w:rsidR="007718C7" w:rsidRPr="00E835B0" w:rsidRDefault="007718C7" w:rsidP="00855F2D">
      <w:pPr>
        <w:spacing w:after="0"/>
        <w:contextualSpacing/>
        <w:rPr>
          <w:rFonts w:ascii="Calibri" w:hAnsi="Calibri" w:cs="Arial"/>
          <w:b/>
          <w:bCs/>
          <w:color w:val="003D79"/>
          <w:sz w:val="24"/>
          <w:szCs w:val="24"/>
        </w:rPr>
      </w:pPr>
      <w:r w:rsidRPr="00E835B0">
        <w:rPr>
          <w:rFonts w:ascii="Calibri" w:hAnsi="Calibri" w:cs="Arial"/>
          <w:b/>
          <w:bCs/>
          <w:color w:val="003D79"/>
          <w:sz w:val="24"/>
          <w:szCs w:val="24"/>
        </w:rPr>
        <w:t>ABN: 54 105 830 920</w:t>
      </w:r>
    </w:p>
    <w:p w:rsidR="007718C7" w:rsidRPr="00E835B0" w:rsidRDefault="007718C7" w:rsidP="00855F2D">
      <w:pPr>
        <w:spacing w:after="0"/>
        <w:contextualSpacing/>
        <w:rPr>
          <w:rFonts w:ascii="Calibri" w:hAnsi="Calibri" w:cs="Arial"/>
          <w:b/>
          <w:bCs/>
          <w:color w:val="003D79"/>
          <w:sz w:val="24"/>
          <w:szCs w:val="24"/>
        </w:rPr>
      </w:pPr>
      <w:r w:rsidRPr="00E835B0">
        <w:rPr>
          <w:rFonts w:ascii="Calibri" w:hAnsi="Calibri" w:cs="Arial"/>
          <w:b/>
          <w:bCs/>
          <w:color w:val="003D79"/>
          <w:sz w:val="24"/>
          <w:szCs w:val="24"/>
        </w:rPr>
        <w:t>Phone: +61 2 8065 6491</w:t>
      </w:r>
    </w:p>
    <w:p w:rsidR="007718C7" w:rsidRPr="00E835B0" w:rsidRDefault="007718C7" w:rsidP="00855F2D">
      <w:pPr>
        <w:spacing w:after="0"/>
        <w:contextualSpacing/>
        <w:rPr>
          <w:rFonts w:ascii="Calibri" w:hAnsi="Calibri" w:cs="Arial"/>
          <w:b/>
          <w:bCs/>
          <w:color w:val="003D79"/>
          <w:sz w:val="24"/>
          <w:szCs w:val="24"/>
        </w:rPr>
      </w:pPr>
      <w:r w:rsidRPr="00E835B0">
        <w:rPr>
          <w:rFonts w:ascii="Calibri" w:hAnsi="Calibri" w:cs="Arial"/>
          <w:b/>
          <w:bCs/>
          <w:color w:val="003D79"/>
          <w:sz w:val="24"/>
          <w:szCs w:val="24"/>
        </w:rPr>
        <w:t>Fax: +61 2 8905 9151</w:t>
      </w:r>
    </w:p>
    <w:p w:rsidR="007718C7" w:rsidRDefault="007718C7" w:rsidP="00DE620A">
      <w:pPr>
        <w:sectPr w:rsidR="007718C7" w:rsidSect="00542C4B">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rsidR="007718C7" w:rsidRPr="009905FC" w:rsidRDefault="007718C7" w:rsidP="00DE620A">
      <w:pPr>
        <w:pStyle w:val="Heading1thatdoesnotgetpickedupbyTOC"/>
      </w:pPr>
      <w:r w:rsidRPr="009905FC">
        <w:lastRenderedPageBreak/>
        <w:t>Table of contents</w:t>
      </w:r>
    </w:p>
    <w:p w:rsidR="00115905" w:rsidRDefault="007718C7">
      <w:pPr>
        <w:pStyle w:val="TOC1"/>
        <w:rPr>
          <w:rFonts w:asciiTheme="minorHAnsi" w:eastAsiaTheme="minorEastAsia" w:hAnsiTheme="minorHAnsi" w:cstheme="minorBidi"/>
          <w:i w:val="0"/>
          <w:noProof/>
          <w:color w:val="auto"/>
          <w:sz w:val="22"/>
          <w:lang w:val="en-AU" w:eastAsia="en-AU"/>
        </w:rPr>
      </w:pPr>
      <w:r>
        <w:rPr>
          <w:b/>
          <w:i w:val="0"/>
        </w:rPr>
        <w:fldChar w:fldCharType="begin"/>
      </w:r>
      <w:r>
        <w:rPr>
          <w:b/>
          <w:i w:val="0"/>
        </w:rPr>
        <w:instrText xml:space="preserve"> TOC \o "2-2" \h \z \t "Heading 1,1,Heading 1 that does get picked up by TOC,1,Stage heading,2,Heading 1 without numbering,1,Appendix,1" </w:instrText>
      </w:r>
      <w:r>
        <w:rPr>
          <w:b/>
          <w:i w:val="0"/>
        </w:rPr>
        <w:fldChar w:fldCharType="separate"/>
      </w:r>
      <w:hyperlink w:anchor="_Toc374114568" w:history="1">
        <w:r w:rsidR="00115905" w:rsidRPr="00F753AD">
          <w:rPr>
            <w:rStyle w:val="Hyperlink"/>
            <w:rFonts w:cs="Arial"/>
            <w:noProof/>
          </w:rPr>
          <w:t>1.</w:t>
        </w:r>
        <w:r w:rsidR="00115905">
          <w:rPr>
            <w:rFonts w:asciiTheme="minorHAnsi" w:eastAsiaTheme="minorEastAsia" w:hAnsiTheme="minorHAnsi" w:cstheme="minorBidi"/>
            <w:i w:val="0"/>
            <w:noProof/>
            <w:color w:val="auto"/>
            <w:sz w:val="22"/>
            <w:lang w:val="en-AU" w:eastAsia="en-AU"/>
          </w:rPr>
          <w:tab/>
        </w:r>
        <w:r w:rsidR="00115905" w:rsidRPr="00F753AD">
          <w:rPr>
            <w:rStyle w:val="Hyperlink"/>
            <w:noProof/>
          </w:rPr>
          <w:t>Overview</w:t>
        </w:r>
        <w:r w:rsidR="00115905">
          <w:rPr>
            <w:noProof/>
            <w:webHidden/>
          </w:rPr>
          <w:tab/>
        </w:r>
        <w:r w:rsidR="00115905">
          <w:rPr>
            <w:noProof/>
            <w:webHidden/>
          </w:rPr>
          <w:fldChar w:fldCharType="begin"/>
        </w:r>
        <w:r w:rsidR="00115905">
          <w:rPr>
            <w:noProof/>
            <w:webHidden/>
          </w:rPr>
          <w:instrText xml:space="preserve"> PAGEREF _Toc374114568 \h </w:instrText>
        </w:r>
        <w:r w:rsidR="00115905">
          <w:rPr>
            <w:noProof/>
            <w:webHidden/>
          </w:rPr>
        </w:r>
        <w:r w:rsidR="00115905">
          <w:rPr>
            <w:noProof/>
            <w:webHidden/>
          </w:rPr>
          <w:fldChar w:fldCharType="separate"/>
        </w:r>
        <w:r w:rsidR="00363A39">
          <w:rPr>
            <w:noProof/>
            <w:webHidden/>
          </w:rPr>
          <w:t>1</w:t>
        </w:r>
        <w:r w:rsidR="00115905">
          <w:rPr>
            <w:noProof/>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69" w:history="1">
        <w:r w:rsidR="00115905" w:rsidRPr="00F753AD">
          <w:rPr>
            <w:rStyle w:val="Hyperlink"/>
          </w:rPr>
          <w:t>Data sources and concepts</w:t>
        </w:r>
        <w:r w:rsidR="00115905">
          <w:rPr>
            <w:webHidden/>
          </w:rPr>
          <w:tab/>
        </w:r>
        <w:r w:rsidR="00115905">
          <w:rPr>
            <w:webHidden/>
          </w:rPr>
          <w:fldChar w:fldCharType="begin"/>
        </w:r>
        <w:r w:rsidR="00115905">
          <w:rPr>
            <w:webHidden/>
          </w:rPr>
          <w:instrText xml:space="preserve"> PAGEREF _Toc374114569 \h </w:instrText>
        </w:r>
        <w:r w:rsidR="00115905">
          <w:rPr>
            <w:webHidden/>
          </w:rPr>
        </w:r>
        <w:r w:rsidR="00115905">
          <w:rPr>
            <w:webHidden/>
          </w:rPr>
          <w:fldChar w:fldCharType="separate"/>
        </w:r>
        <w:r w:rsidR="00363A39">
          <w:rPr>
            <w:webHidden/>
          </w:rPr>
          <w:t>4</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70" w:history="1">
        <w:r w:rsidR="00115905" w:rsidRPr="00F753AD">
          <w:rPr>
            <w:rStyle w:val="Hyperlink"/>
          </w:rPr>
          <w:t>How well is COF reported by hospitals?</w:t>
        </w:r>
        <w:r w:rsidR="00115905">
          <w:rPr>
            <w:webHidden/>
          </w:rPr>
          <w:tab/>
        </w:r>
        <w:r w:rsidR="00115905">
          <w:rPr>
            <w:webHidden/>
          </w:rPr>
          <w:fldChar w:fldCharType="begin"/>
        </w:r>
        <w:r w:rsidR="00115905">
          <w:rPr>
            <w:webHidden/>
          </w:rPr>
          <w:instrText xml:space="preserve"> PAGEREF _Toc374114570 \h </w:instrText>
        </w:r>
        <w:r w:rsidR="00115905">
          <w:rPr>
            <w:webHidden/>
          </w:rPr>
        </w:r>
        <w:r w:rsidR="00115905">
          <w:rPr>
            <w:webHidden/>
          </w:rPr>
          <w:fldChar w:fldCharType="separate"/>
        </w:r>
        <w:r w:rsidR="00363A39">
          <w:rPr>
            <w:webHidden/>
          </w:rPr>
          <w:t>4</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71" w:history="1">
        <w:r w:rsidR="00115905" w:rsidRPr="00F753AD">
          <w:rPr>
            <w:rStyle w:val="Hyperlink"/>
          </w:rPr>
          <w:t>To what extent is the coding correct?</w:t>
        </w:r>
        <w:r w:rsidR="00115905">
          <w:rPr>
            <w:webHidden/>
          </w:rPr>
          <w:tab/>
        </w:r>
        <w:r w:rsidR="00115905">
          <w:rPr>
            <w:webHidden/>
          </w:rPr>
          <w:fldChar w:fldCharType="begin"/>
        </w:r>
        <w:r w:rsidR="00115905">
          <w:rPr>
            <w:webHidden/>
          </w:rPr>
          <w:instrText xml:space="preserve"> PAGEREF _Toc374114571 \h </w:instrText>
        </w:r>
        <w:r w:rsidR="00115905">
          <w:rPr>
            <w:webHidden/>
          </w:rPr>
        </w:r>
        <w:r w:rsidR="00115905">
          <w:rPr>
            <w:webHidden/>
          </w:rPr>
          <w:fldChar w:fldCharType="separate"/>
        </w:r>
        <w:r w:rsidR="00363A39">
          <w:rPr>
            <w:webHidden/>
          </w:rPr>
          <w:t>5</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72" w:history="1">
        <w:r w:rsidR="00115905" w:rsidRPr="00F753AD">
          <w:rPr>
            <w:rStyle w:val="Hyperlink"/>
          </w:rPr>
          <w:t>How should the codes be interpreted?</w:t>
        </w:r>
        <w:r w:rsidR="00115905">
          <w:rPr>
            <w:webHidden/>
          </w:rPr>
          <w:tab/>
        </w:r>
        <w:r w:rsidR="00115905">
          <w:rPr>
            <w:webHidden/>
          </w:rPr>
          <w:fldChar w:fldCharType="begin"/>
        </w:r>
        <w:r w:rsidR="00115905">
          <w:rPr>
            <w:webHidden/>
          </w:rPr>
          <w:instrText xml:space="preserve"> PAGEREF _Toc374114572 \h </w:instrText>
        </w:r>
        <w:r w:rsidR="00115905">
          <w:rPr>
            <w:webHidden/>
          </w:rPr>
        </w:r>
        <w:r w:rsidR="00115905">
          <w:rPr>
            <w:webHidden/>
          </w:rPr>
          <w:fldChar w:fldCharType="separate"/>
        </w:r>
        <w:r w:rsidR="00363A39">
          <w:rPr>
            <w:webHidden/>
          </w:rPr>
          <w:t>5</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73" w:history="1">
        <w:r w:rsidR="00115905" w:rsidRPr="00F753AD">
          <w:rPr>
            <w:rStyle w:val="Hyperlink"/>
          </w:rPr>
          <w:t>What are the limitations of the COF?</w:t>
        </w:r>
        <w:r w:rsidR="00115905">
          <w:rPr>
            <w:webHidden/>
          </w:rPr>
          <w:tab/>
        </w:r>
        <w:r w:rsidR="00115905">
          <w:rPr>
            <w:webHidden/>
          </w:rPr>
          <w:fldChar w:fldCharType="begin"/>
        </w:r>
        <w:r w:rsidR="00115905">
          <w:rPr>
            <w:webHidden/>
          </w:rPr>
          <w:instrText xml:space="preserve"> PAGEREF _Toc374114573 \h </w:instrText>
        </w:r>
        <w:r w:rsidR="00115905">
          <w:rPr>
            <w:webHidden/>
          </w:rPr>
        </w:r>
        <w:r w:rsidR="00115905">
          <w:rPr>
            <w:webHidden/>
          </w:rPr>
          <w:fldChar w:fldCharType="separate"/>
        </w:r>
        <w:r w:rsidR="00363A39">
          <w:rPr>
            <w:webHidden/>
          </w:rPr>
          <w:t>6</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74" w:history="1">
        <w:r w:rsidR="00115905" w:rsidRPr="00F753AD">
          <w:rPr>
            <w:rStyle w:val="Hyperlink"/>
          </w:rPr>
          <w:t>What is the impact on AR-DRG assignment if hospital-acquired diagnoses are excluded?</w:t>
        </w:r>
        <w:r w:rsidR="00115905">
          <w:rPr>
            <w:webHidden/>
          </w:rPr>
          <w:tab/>
        </w:r>
        <w:r w:rsidR="00115905">
          <w:rPr>
            <w:webHidden/>
          </w:rPr>
          <w:fldChar w:fldCharType="begin"/>
        </w:r>
        <w:r w:rsidR="00115905">
          <w:rPr>
            <w:webHidden/>
          </w:rPr>
          <w:instrText xml:space="preserve"> PAGEREF _Toc374114574 \h </w:instrText>
        </w:r>
        <w:r w:rsidR="00115905">
          <w:rPr>
            <w:webHidden/>
          </w:rPr>
        </w:r>
        <w:r w:rsidR="00115905">
          <w:rPr>
            <w:webHidden/>
          </w:rPr>
          <w:fldChar w:fldCharType="separate"/>
        </w:r>
        <w:r w:rsidR="00363A39">
          <w:rPr>
            <w:webHidden/>
          </w:rPr>
          <w:t>6</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75" w:history="1">
        <w:r w:rsidR="00115905" w:rsidRPr="00F753AD">
          <w:rPr>
            <w:rStyle w:val="Hyperlink"/>
          </w:rPr>
          <w:t>What additional costs and/ or length of stay are associated with hospital-acquired diagnoses?</w:t>
        </w:r>
        <w:r w:rsidR="00115905">
          <w:rPr>
            <w:webHidden/>
          </w:rPr>
          <w:tab/>
        </w:r>
        <w:r w:rsidR="00115905">
          <w:rPr>
            <w:webHidden/>
          </w:rPr>
          <w:fldChar w:fldCharType="begin"/>
        </w:r>
        <w:r w:rsidR="00115905">
          <w:rPr>
            <w:webHidden/>
          </w:rPr>
          <w:instrText xml:space="preserve"> PAGEREF _Toc374114575 \h </w:instrText>
        </w:r>
        <w:r w:rsidR="00115905">
          <w:rPr>
            <w:webHidden/>
          </w:rPr>
        </w:r>
        <w:r w:rsidR="00115905">
          <w:rPr>
            <w:webHidden/>
          </w:rPr>
          <w:fldChar w:fldCharType="separate"/>
        </w:r>
        <w:r w:rsidR="00363A39">
          <w:rPr>
            <w:webHidden/>
          </w:rPr>
          <w:t>7</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76" w:history="1">
        <w:r w:rsidR="00115905" w:rsidRPr="00F753AD">
          <w:rPr>
            <w:rStyle w:val="Hyperlink"/>
          </w:rPr>
          <w:t>Implications for activity based funding (ABF)</w:t>
        </w:r>
        <w:r w:rsidR="00115905">
          <w:rPr>
            <w:webHidden/>
          </w:rPr>
          <w:tab/>
        </w:r>
        <w:r w:rsidR="00115905">
          <w:rPr>
            <w:webHidden/>
          </w:rPr>
          <w:fldChar w:fldCharType="begin"/>
        </w:r>
        <w:r w:rsidR="00115905">
          <w:rPr>
            <w:webHidden/>
          </w:rPr>
          <w:instrText xml:space="preserve"> PAGEREF _Toc374114576 \h </w:instrText>
        </w:r>
        <w:r w:rsidR="00115905">
          <w:rPr>
            <w:webHidden/>
          </w:rPr>
        </w:r>
        <w:r w:rsidR="00115905">
          <w:rPr>
            <w:webHidden/>
          </w:rPr>
          <w:fldChar w:fldCharType="separate"/>
        </w:r>
        <w:r w:rsidR="00363A39">
          <w:rPr>
            <w:webHidden/>
          </w:rPr>
          <w:t>10</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77" w:history="1">
        <w:r w:rsidR="00115905" w:rsidRPr="00F753AD">
          <w:rPr>
            <w:rStyle w:val="Hyperlink"/>
          </w:rPr>
          <w:t>What is the potential for hospitals to use the COF for monitoring patient safety?</w:t>
        </w:r>
        <w:r w:rsidR="00115905">
          <w:rPr>
            <w:webHidden/>
          </w:rPr>
          <w:tab/>
        </w:r>
        <w:r w:rsidR="00115905">
          <w:rPr>
            <w:webHidden/>
          </w:rPr>
          <w:fldChar w:fldCharType="begin"/>
        </w:r>
        <w:r w:rsidR="00115905">
          <w:rPr>
            <w:webHidden/>
          </w:rPr>
          <w:instrText xml:space="preserve"> PAGEREF _Toc374114577 \h </w:instrText>
        </w:r>
        <w:r w:rsidR="00115905">
          <w:rPr>
            <w:webHidden/>
          </w:rPr>
        </w:r>
        <w:r w:rsidR="00115905">
          <w:rPr>
            <w:webHidden/>
          </w:rPr>
          <w:fldChar w:fldCharType="separate"/>
        </w:r>
        <w:r w:rsidR="00363A39">
          <w:rPr>
            <w:webHidden/>
          </w:rPr>
          <w:t>12</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78" w:history="1">
        <w:r w:rsidR="00115905" w:rsidRPr="00F753AD">
          <w:rPr>
            <w:rStyle w:val="Hyperlink"/>
          </w:rPr>
          <w:t>What steps can be taken to improve the capture and/ or interpretation of hospital-acquired diagnoses?</w:t>
        </w:r>
        <w:r w:rsidR="00115905">
          <w:rPr>
            <w:webHidden/>
          </w:rPr>
          <w:tab/>
        </w:r>
        <w:r w:rsidR="00115905">
          <w:rPr>
            <w:webHidden/>
          </w:rPr>
          <w:fldChar w:fldCharType="begin"/>
        </w:r>
        <w:r w:rsidR="00115905">
          <w:rPr>
            <w:webHidden/>
          </w:rPr>
          <w:instrText xml:space="preserve"> PAGEREF _Toc374114578 \h </w:instrText>
        </w:r>
        <w:r w:rsidR="00115905">
          <w:rPr>
            <w:webHidden/>
          </w:rPr>
        </w:r>
        <w:r w:rsidR="00115905">
          <w:rPr>
            <w:webHidden/>
          </w:rPr>
          <w:fldChar w:fldCharType="separate"/>
        </w:r>
        <w:r w:rsidR="00363A39">
          <w:rPr>
            <w:webHidden/>
          </w:rPr>
          <w:t>12</w:t>
        </w:r>
        <w:r w:rsidR="00115905">
          <w:rPr>
            <w:webHidden/>
          </w:rPr>
          <w:fldChar w:fldCharType="end"/>
        </w:r>
      </w:hyperlink>
    </w:p>
    <w:p w:rsidR="00115905" w:rsidRDefault="00840816">
      <w:pPr>
        <w:pStyle w:val="TOC1"/>
        <w:rPr>
          <w:rFonts w:asciiTheme="minorHAnsi" w:eastAsiaTheme="minorEastAsia" w:hAnsiTheme="minorHAnsi" w:cstheme="minorBidi"/>
          <w:i w:val="0"/>
          <w:noProof/>
          <w:color w:val="auto"/>
          <w:sz w:val="22"/>
          <w:lang w:val="en-AU" w:eastAsia="en-AU"/>
        </w:rPr>
      </w:pPr>
      <w:hyperlink w:anchor="_Toc374114579" w:history="1">
        <w:r w:rsidR="00115905" w:rsidRPr="00F753AD">
          <w:rPr>
            <w:rStyle w:val="Hyperlink"/>
            <w:rFonts w:cs="Arial"/>
            <w:noProof/>
          </w:rPr>
          <w:t>2.</w:t>
        </w:r>
        <w:r w:rsidR="00115905">
          <w:rPr>
            <w:rFonts w:asciiTheme="minorHAnsi" w:eastAsiaTheme="minorEastAsia" w:hAnsiTheme="minorHAnsi" w:cstheme="minorBidi"/>
            <w:i w:val="0"/>
            <w:noProof/>
            <w:color w:val="auto"/>
            <w:sz w:val="22"/>
            <w:lang w:val="en-AU" w:eastAsia="en-AU"/>
          </w:rPr>
          <w:tab/>
        </w:r>
        <w:r w:rsidR="00115905" w:rsidRPr="00F753AD">
          <w:rPr>
            <w:rStyle w:val="Hyperlink"/>
            <w:noProof/>
          </w:rPr>
          <w:t>Introduction</w:t>
        </w:r>
        <w:r w:rsidR="00115905">
          <w:rPr>
            <w:noProof/>
            <w:webHidden/>
          </w:rPr>
          <w:tab/>
        </w:r>
        <w:r w:rsidR="00115905">
          <w:rPr>
            <w:noProof/>
            <w:webHidden/>
          </w:rPr>
          <w:fldChar w:fldCharType="begin"/>
        </w:r>
        <w:r w:rsidR="00115905">
          <w:rPr>
            <w:noProof/>
            <w:webHidden/>
          </w:rPr>
          <w:instrText xml:space="preserve"> PAGEREF _Toc374114579 \h </w:instrText>
        </w:r>
        <w:r w:rsidR="00115905">
          <w:rPr>
            <w:noProof/>
            <w:webHidden/>
          </w:rPr>
        </w:r>
        <w:r w:rsidR="00115905">
          <w:rPr>
            <w:noProof/>
            <w:webHidden/>
          </w:rPr>
          <w:fldChar w:fldCharType="separate"/>
        </w:r>
        <w:r w:rsidR="00363A39">
          <w:rPr>
            <w:noProof/>
            <w:webHidden/>
          </w:rPr>
          <w:t>14</w:t>
        </w:r>
        <w:r w:rsidR="00115905">
          <w:rPr>
            <w:noProof/>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80" w:history="1">
        <w:r w:rsidR="00115905" w:rsidRPr="00F753AD">
          <w:rPr>
            <w:rStyle w:val="Hyperlink"/>
          </w:rPr>
          <w:t>Project objectives</w:t>
        </w:r>
        <w:r w:rsidR="00115905">
          <w:rPr>
            <w:webHidden/>
          </w:rPr>
          <w:tab/>
        </w:r>
        <w:r w:rsidR="00115905">
          <w:rPr>
            <w:webHidden/>
          </w:rPr>
          <w:fldChar w:fldCharType="begin"/>
        </w:r>
        <w:r w:rsidR="00115905">
          <w:rPr>
            <w:webHidden/>
          </w:rPr>
          <w:instrText xml:space="preserve"> PAGEREF _Toc374114580 \h </w:instrText>
        </w:r>
        <w:r w:rsidR="00115905">
          <w:rPr>
            <w:webHidden/>
          </w:rPr>
        </w:r>
        <w:r w:rsidR="00115905">
          <w:rPr>
            <w:webHidden/>
          </w:rPr>
          <w:fldChar w:fldCharType="separate"/>
        </w:r>
        <w:r w:rsidR="00363A39">
          <w:rPr>
            <w:webHidden/>
          </w:rPr>
          <w:t>14</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81" w:history="1">
        <w:r w:rsidR="00115905" w:rsidRPr="00F753AD">
          <w:rPr>
            <w:rStyle w:val="Hyperlink"/>
          </w:rPr>
          <w:t>Structure of report</w:t>
        </w:r>
        <w:r w:rsidR="00115905">
          <w:rPr>
            <w:webHidden/>
          </w:rPr>
          <w:tab/>
        </w:r>
        <w:r w:rsidR="00115905">
          <w:rPr>
            <w:webHidden/>
          </w:rPr>
          <w:fldChar w:fldCharType="begin"/>
        </w:r>
        <w:r w:rsidR="00115905">
          <w:rPr>
            <w:webHidden/>
          </w:rPr>
          <w:instrText xml:space="preserve"> PAGEREF _Toc374114581 \h </w:instrText>
        </w:r>
        <w:r w:rsidR="00115905">
          <w:rPr>
            <w:webHidden/>
          </w:rPr>
        </w:r>
        <w:r w:rsidR="00115905">
          <w:rPr>
            <w:webHidden/>
          </w:rPr>
          <w:fldChar w:fldCharType="separate"/>
        </w:r>
        <w:r w:rsidR="00363A39">
          <w:rPr>
            <w:webHidden/>
          </w:rPr>
          <w:t>14</w:t>
        </w:r>
        <w:r w:rsidR="00115905">
          <w:rPr>
            <w:webHidden/>
          </w:rPr>
          <w:fldChar w:fldCharType="end"/>
        </w:r>
      </w:hyperlink>
    </w:p>
    <w:p w:rsidR="00115905" w:rsidRDefault="00840816">
      <w:pPr>
        <w:pStyle w:val="TOC1"/>
        <w:rPr>
          <w:rFonts w:asciiTheme="minorHAnsi" w:eastAsiaTheme="minorEastAsia" w:hAnsiTheme="minorHAnsi" w:cstheme="minorBidi"/>
          <w:i w:val="0"/>
          <w:noProof/>
          <w:color w:val="auto"/>
          <w:sz w:val="22"/>
          <w:lang w:val="en-AU" w:eastAsia="en-AU"/>
        </w:rPr>
      </w:pPr>
      <w:hyperlink w:anchor="_Toc374114582" w:history="1">
        <w:r w:rsidR="00115905" w:rsidRPr="00F753AD">
          <w:rPr>
            <w:rStyle w:val="Hyperlink"/>
            <w:rFonts w:cs="Arial"/>
            <w:noProof/>
          </w:rPr>
          <w:t>3.</w:t>
        </w:r>
        <w:r w:rsidR="00115905">
          <w:rPr>
            <w:rFonts w:asciiTheme="minorHAnsi" w:eastAsiaTheme="minorEastAsia" w:hAnsiTheme="minorHAnsi" w:cstheme="minorBidi"/>
            <w:i w:val="0"/>
            <w:noProof/>
            <w:color w:val="auto"/>
            <w:sz w:val="22"/>
            <w:lang w:val="en-AU" w:eastAsia="en-AU"/>
          </w:rPr>
          <w:tab/>
        </w:r>
        <w:r w:rsidR="00115905" w:rsidRPr="00F753AD">
          <w:rPr>
            <w:rStyle w:val="Hyperlink"/>
            <w:noProof/>
          </w:rPr>
          <w:t>Data sources and issues</w:t>
        </w:r>
        <w:r w:rsidR="00115905">
          <w:rPr>
            <w:noProof/>
            <w:webHidden/>
          </w:rPr>
          <w:tab/>
        </w:r>
        <w:r w:rsidR="00115905">
          <w:rPr>
            <w:noProof/>
            <w:webHidden/>
          </w:rPr>
          <w:fldChar w:fldCharType="begin"/>
        </w:r>
        <w:r w:rsidR="00115905">
          <w:rPr>
            <w:noProof/>
            <w:webHidden/>
          </w:rPr>
          <w:instrText xml:space="preserve"> PAGEREF _Toc374114582 \h </w:instrText>
        </w:r>
        <w:r w:rsidR="00115905">
          <w:rPr>
            <w:noProof/>
            <w:webHidden/>
          </w:rPr>
        </w:r>
        <w:r w:rsidR="00115905">
          <w:rPr>
            <w:noProof/>
            <w:webHidden/>
          </w:rPr>
          <w:fldChar w:fldCharType="separate"/>
        </w:r>
        <w:r w:rsidR="00363A39">
          <w:rPr>
            <w:noProof/>
            <w:webHidden/>
          </w:rPr>
          <w:t>16</w:t>
        </w:r>
        <w:r w:rsidR="00115905">
          <w:rPr>
            <w:noProof/>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83" w:history="1">
        <w:r w:rsidR="00115905" w:rsidRPr="00F753AD">
          <w:rPr>
            <w:rStyle w:val="Hyperlink"/>
          </w:rPr>
          <w:t>The Condition Onset Flag (COF)</w:t>
        </w:r>
        <w:r w:rsidR="00115905">
          <w:rPr>
            <w:webHidden/>
          </w:rPr>
          <w:tab/>
        </w:r>
        <w:r w:rsidR="00115905">
          <w:rPr>
            <w:webHidden/>
          </w:rPr>
          <w:fldChar w:fldCharType="begin"/>
        </w:r>
        <w:r w:rsidR="00115905">
          <w:rPr>
            <w:webHidden/>
          </w:rPr>
          <w:instrText xml:space="preserve"> PAGEREF _Toc374114583 \h </w:instrText>
        </w:r>
        <w:r w:rsidR="00115905">
          <w:rPr>
            <w:webHidden/>
          </w:rPr>
        </w:r>
        <w:r w:rsidR="00115905">
          <w:rPr>
            <w:webHidden/>
          </w:rPr>
          <w:fldChar w:fldCharType="separate"/>
        </w:r>
        <w:r w:rsidR="00363A39">
          <w:rPr>
            <w:webHidden/>
          </w:rPr>
          <w:t>16</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84" w:history="1">
        <w:r w:rsidR="00115905" w:rsidRPr="00F753AD">
          <w:rPr>
            <w:rStyle w:val="Hyperlink"/>
          </w:rPr>
          <w:t>Data sets</w:t>
        </w:r>
        <w:r w:rsidR="00115905">
          <w:rPr>
            <w:webHidden/>
          </w:rPr>
          <w:tab/>
        </w:r>
        <w:r w:rsidR="00115905">
          <w:rPr>
            <w:webHidden/>
          </w:rPr>
          <w:fldChar w:fldCharType="begin"/>
        </w:r>
        <w:r w:rsidR="00115905">
          <w:rPr>
            <w:webHidden/>
          </w:rPr>
          <w:instrText xml:space="preserve"> PAGEREF _Toc374114584 \h </w:instrText>
        </w:r>
        <w:r w:rsidR="00115905">
          <w:rPr>
            <w:webHidden/>
          </w:rPr>
        </w:r>
        <w:r w:rsidR="00115905">
          <w:rPr>
            <w:webHidden/>
          </w:rPr>
          <w:fldChar w:fldCharType="separate"/>
        </w:r>
        <w:r w:rsidR="00363A39">
          <w:rPr>
            <w:webHidden/>
          </w:rPr>
          <w:t>18</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85" w:history="1">
        <w:r w:rsidR="00115905" w:rsidRPr="00F753AD">
          <w:rPr>
            <w:rStyle w:val="Hyperlink"/>
          </w:rPr>
          <w:t>Limitations</w:t>
        </w:r>
        <w:r w:rsidR="00115905">
          <w:rPr>
            <w:webHidden/>
          </w:rPr>
          <w:tab/>
        </w:r>
        <w:r w:rsidR="00115905">
          <w:rPr>
            <w:webHidden/>
          </w:rPr>
          <w:fldChar w:fldCharType="begin"/>
        </w:r>
        <w:r w:rsidR="00115905">
          <w:rPr>
            <w:webHidden/>
          </w:rPr>
          <w:instrText xml:space="preserve"> PAGEREF _Toc374114585 \h </w:instrText>
        </w:r>
        <w:r w:rsidR="00115905">
          <w:rPr>
            <w:webHidden/>
          </w:rPr>
        </w:r>
        <w:r w:rsidR="00115905">
          <w:rPr>
            <w:webHidden/>
          </w:rPr>
          <w:fldChar w:fldCharType="separate"/>
        </w:r>
        <w:r w:rsidR="00363A39">
          <w:rPr>
            <w:webHidden/>
          </w:rPr>
          <w:t>19</w:t>
        </w:r>
        <w:r w:rsidR="00115905">
          <w:rPr>
            <w:webHidden/>
          </w:rPr>
          <w:fldChar w:fldCharType="end"/>
        </w:r>
      </w:hyperlink>
    </w:p>
    <w:p w:rsidR="00115905" w:rsidRDefault="00840816">
      <w:pPr>
        <w:pStyle w:val="TOC1"/>
        <w:rPr>
          <w:rFonts w:asciiTheme="minorHAnsi" w:eastAsiaTheme="minorEastAsia" w:hAnsiTheme="minorHAnsi" w:cstheme="minorBidi"/>
          <w:i w:val="0"/>
          <w:noProof/>
          <w:color w:val="auto"/>
          <w:sz w:val="22"/>
          <w:lang w:val="en-AU" w:eastAsia="en-AU"/>
        </w:rPr>
      </w:pPr>
      <w:hyperlink w:anchor="_Toc374114586" w:history="1">
        <w:r w:rsidR="00115905" w:rsidRPr="00F753AD">
          <w:rPr>
            <w:rStyle w:val="Hyperlink"/>
            <w:rFonts w:cs="Arial"/>
            <w:noProof/>
          </w:rPr>
          <w:t>4.</w:t>
        </w:r>
        <w:r w:rsidR="00115905">
          <w:rPr>
            <w:rFonts w:asciiTheme="minorHAnsi" w:eastAsiaTheme="minorEastAsia" w:hAnsiTheme="minorHAnsi" w:cstheme="minorBidi"/>
            <w:i w:val="0"/>
            <w:noProof/>
            <w:color w:val="auto"/>
            <w:sz w:val="22"/>
            <w:lang w:val="en-AU" w:eastAsia="en-AU"/>
          </w:rPr>
          <w:tab/>
        </w:r>
        <w:r w:rsidR="00115905" w:rsidRPr="00F753AD">
          <w:rPr>
            <w:rStyle w:val="Hyperlink"/>
            <w:noProof/>
          </w:rPr>
          <w:t>Characteristics of hospital-acquired diagnoses and associated episodes</w:t>
        </w:r>
        <w:r w:rsidR="00115905">
          <w:rPr>
            <w:noProof/>
            <w:webHidden/>
          </w:rPr>
          <w:tab/>
        </w:r>
        <w:r w:rsidR="00115905">
          <w:rPr>
            <w:noProof/>
            <w:webHidden/>
          </w:rPr>
          <w:fldChar w:fldCharType="begin"/>
        </w:r>
        <w:r w:rsidR="00115905">
          <w:rPr>
            <w:noProof/>
            <w:webHidden/>
          </w:rPr>
          <w:instrText xml:space="preserve"> PAGEREF _Toc374114586 \h </w:instrText>
        </w:r>
        <w:r w:rsidR="00115905">
          <w:rPr>
            <w:noProof/>
            <w:webHidden/>
          </w:rPr>
        </w:r>
        <w:r w:rsidR="00115905">
          <w:rPr>
            <w:noProof/>
            <w:webHidden/>
          </w:rPr>
          <w:fldChar w:fldCharType="separate"/>
        </w:r>
        <w:r w:rsidR="00363A39">
          <w:rPr>
            <w:noProof/>
            <w:webHidden/>
          </w:rPr>
          <w:t>20</w:t>
        </w:r>
        <w:r w:rsidR="00115905">
          <w:rPr>
            <w:noProof/>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87" w:history="1">
        <w:r w:rsidR="00115905" w:rsidRPr="00F753AD">
          <w:rPr>
            <w:rStyle w:val="Hyperlink"/>
          </w:rPr>
          <w:t>Episodes with hospital-acquired diagnoses</w:t>
        </w:r>
        <w:r w:rsidR="00115905">
          <w:rPr>
            <w:webHidden/>
          </w:rPr>
          <w:tab/>
        </w:r>
        <w:r w:rsidR="00115905">
          <w:rPr>
            <w:webHidden/>
          </w:rPr>
          <w:fldChar w:fldCharType="begin"/>
        </w:r>
        <w:r w:rsidR="00115905">
          <w:rPr>
            <w:webHidden/>
          </w:rPr>
          <w:instrText xml:space="preserve"> PAGEREF _Toc374114587 \h </w:instrText>
        </w:r>
        <w:r w:rsidR="00115905">
          <w:rPr>
            <w:webHidden/>
          </w:rPr>
        </w:r>
        <w:r w:rsidR="00115905">
          <w:rPr>
            <w:webHidden/>
          </w:rPr>
          <w:fldChar w:fldCharType="separate"/>
        </w:r>
        <w:r w:rsidR="00363A39">
          <w:rPr>
            <w:webHidden/>
          </w:rPr>
          <w:t>20</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88" w:history="1">
        <w:r w:rsidR="00115905" w:rsidRPr="00F753AD">
          <w:rPr>
            <w:rStyle w:val="Hyperlink"/>
          </w:rPr>
          <w:t>Initial exclusions</w:t>
        </w:r>
        <w:r w:rsidR="00115905">
          <w:rPr>
            <w:webHidden/>
          </w:rPr>
          <w:tab/>
        </w:r>
        <w:r w:rsidR="00115905">
          <w:rPr>
            <w:webHidden/>
          </w:rPr>
          <w:fldChar w:fldCharType="begin"/>
        </w:r>
        <w:r w:rsidR="00115905">
          <w:rPr>
            <w:webHidden/>
          </w:rPr>
          <w:instrText xml:space="preserve"> PAGEREF _Toc374114588 \h </w:instrText>
        </w:r>
        <w:r w:rsidR="00115905">
          <w:rPr>
            <w:webHidden/>
          </w:rPr>
        </w:r>
        <w:r w:rsidR="00115905">
          <w:rPr>
            <w:webHidden/>
          </w:rPr>
          <w:fldChar w:fldCharType="separate"/>
        </w:r>
        <w:r w:rsidR="00363A39">
          <w:rPr>
            <w:webHidden/>
          </w:rPr>
          <w:t>25</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89" w:history="1">
        <w:r w:rsidR="00115905" w:rsidRPr="00F753AD">
          <w:rPr>
            <w:rStyle w:val="Hyperlink"/>
          </w:rPr>
          <w:t>Characteristics of hospital-acquired diagnosis codes</w:t>
        </w:r>
        <w:r w:rsidR="00115905">
          <w:rPr>
            <w:webHidden/>
          </w:rPr>
          <w:tab/>
        </w:r>
        <w:r w:rsidR="00115905">
          <w:rPr>
            <w:webHidden/>
          </w:rPr>
          <w:fldChar w:fldCharType="begin"/>
        </w:r>
        <w:r w:rsidR="00115905">
          <w:rPr>
            <w:webHidden/>
          </w:rPr>
          <w:instrText xml:space="preserve"> PAGEREF _Toc374114589 \h </w:instrText>
        </w:r>
        <w:r w:rsidR="00115905">
          <w:rPr>
            <w:webHidden/>
          </w:rPr>
        </w:r>
        <w:r w:rsidR="00115905">
          <w:rPr>
            <w:webHidden/>
          </w:rPr>
          <w:fldChar w:fldCharType="separate"/>
        </w:r>
        <w:r w:rsidR="00363A39">
          <w:rPr>
            <w:webHidden/>
          </w:rPr>
          <w:t>25</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90" w:history="1">
        <w:r w:rsidR="00115905" w:rsidRPr="00F753AD">
          <w:rPr>
            <w:rStyle w:val="Hyperlink"/>
          </w:rPr>
          <w:t>Implications for analysis of the NHCDC</w:t>
        </w:r>
        <w:r w:rsidR="00115905">
          <w:rPr>
            <w:webHidden/>
          </w:rPr>
          <w:tab/>
        </w:r>
        <w:r w:rsidR="00115905">
          <w:rPr>
            <w:webHidden/>
          </w:rPr>
          <w:fldChar w:fldCharType="begin"/>
        </w:r>
        <w:r w:rsidR="00115905">
          <w:rPr>
            <w:webHidden/>
          </w:rPr>
          <w:instrText xml:space="preserve"> PAGEREF _Toc374114590 \h </w:instrText>
        </w:r>
        <w:r w:rsidR="00115905">
          <w:rPr>
            <w:webHidden/>
          </w:rPr>
        </w:r>
        <w:r w:rsidR="00115905">
          <w:rPr>
            <w:webHidden/>
          </w:rPr>
          <w:fldChar w:fldCharType="separate"/>
        </w:r>
        <w:r w:rsidR="00363A39">
          <w:rPr>
            <w:webHidden/>
          </w:rPr>
          <w:t>29</w:t>
        </w:r>
        <w:r w:rsidR="00115905">
          <w:rPr>
            <w:webHidden/>
          </w:rPr>
          <w:fldChar w:fldCharType="end"/>
        </w:r>
      </w:hyperlink>
    </w:p>
    <w:p w:rsidR="00115905" w:rsidRDefault="00840816">
      <w:pPr>
        <w:pStyle w:val="TOC1"/>
        <w:rPr>
          <w:rFonts w:asciiTheme="minorHAnsi" w:eastAsiaTheme="minorEastAsia" w:hAnsiTheme="minorHAnsi" w:cstheme="minorBidi"/>
          <w:i w:val="0"/>
          <w:noProof/>
          <w:color w:val="auto"/>
          <w:sz w:val="22"/>
          <w:lang w:val="en-AU" w:eastAsia="en-AU"/>
        </w:rPr>
      </w:pPr>
      <w:hyperlink w:anchor="_Toc374114591" w:history="1">
        <w:r w:rsidR="00115905" w:rsidRPr="00F753AD">
          <w:rPr>
            <w:rStyle w:val="Hyperlink"/>
            <w:rFonts w:cs="Arial"/>
            <w:noProof/>
          </w:rPr>
          <w:t>5.</w:t>
        </w:r>
        <w:r w:rsidR="00115905">
          <w:rPr>
            <w:rFonts w:asciiTheme="minorHAnsi" w:eastAsiaTheme="minorEastAsia" w:hAnsiTheme="minorHAnsi" w:cstheme="minorBidi"/>
            <w:i w:val="0"/>
            <w:noProof/>
            <w:color w:val="auto"/>
            <w:sz w:val="22"/>
            <w:lang w:val="en-AU" w:eastAsia="en-AU"/>
          </w:rPr>
          <w:tab/>
        </w:r>
        <w:r w:rsidR="00115905" w:rsidRPr="00F753AD">
          <w:rPr>
            <w:rStyle w:val="Hyperlink"/>
            <w:noProof/>
          </w:rPr>
          <w:t>Impact of hospital-acquired diagnoses on AR-DRG assignment</w:t>
        </w:r>
        <w:r w:rsidR="00115905">
          <w:rPr>
            <w:noProof/>
            <w:webHidden/>
          </w:rPr>
          <w:tab/>
        </w:r>
        <w:r w:rsidR="00115905">
          <w:rPr>
            <w:noProof/>
            <w:webHidden/>
          </w:rPr>
          <w:fldChar w:fldCharType="begin"/>
        </w:r>
        <w:r w:rsidR="00115905">
          <w:rPr>
            <w:noProof/>
            <w:webHidden/>
          </w:rPr>
          <w:instrText xml:space="preserve"> PAGEREF _Toc374114591 \h </w:instrText>
        </w:r>
        <w:r w:rsidR="00115905">
          <w:rPr>
            <w:noProof/>
            <w:webHidden/>
          </w:rPr>
        </w:r>
        <w:r w:rsidR="00115905">
          <w:rPr>
            <w:noProof/>
            <w:webHidden/>
          </w:rPr>
          <w:fldChar w:fldCharType="separate"/>
        </w:r>
        <w:r w:rsidR="00363A39">
          <w:rPr>
            <w:noProof/>
            <w:webHidden/>
          </w:rPr>
          <w:t>33</w:t>
        </w:r>
        <w:r w:rsidR="00115905">
          <w:rPr>
            <w:noProof/>
            <w:webHidden/>
          </w:rPr>
          <w:fldChar w:fldCharType="end"/>
        </w:r>
      </w:hyperlink>
    </w:p>
    <w:p w:rsidR="00115905" w:rsidRDefault="00840816">
      <w:pPr>
        <w:pStyle w:val="TOC1"/>
        <w:rPr>
          <w:rFonts w:asciiTheme="minorHAnsi" w:eastAsiaTheme="minorEastAsia" w:hAnsiTheme="minorHAnsi" w:cstheme="minorBidi"/>
          <w:i w:val="0"/>
          <w:noProof/>
          <w:color w:val="auto"/>
          <w:sz w:val="22"/>
          <w:lang w:val="en-AU" w:eastAsia="en-AU"/>
        </w:rPr>
      </w:pPr>
      <w:hyperlink w:anchor="_Toc374114592" w:history="1">
        <w:r w:rsidR="00115905" w:rsidRPr="00F753AD">
          <w:rPr>
            <w:rStyle w:val="Hyperlink"/>
            <w:rFonts w:cs="Arial"/>
            <w:noProof/>
          </w:rPr>
          <w:t>6.</w:t>
        </w:r>
        <w:r w:rsidR="00115905">
          <w:rPr>
            <w:rFonts w:asciiTheme="minorHAnsi" w:eastAsiaTheme="minorEastAsia" w:hAnsiTheme="minorHAnsi" w:cstheme="minorBidi"/>
            <w:i w:val="0"/>
            <w:noProof/>
            <w:color w:val="auto"/>
            <w:sz w:val="22"/>
            <w:lang w:val="en-AU" w:eastAsia="en-AU"/>
          </w:rPr>
          <w:tab/>
        </w:r>
        <w:r w:rsidR="00115905" w:rsidRPr="00F753AD">
          <w:rPr>
            <w:rStyle w:val="Hyperlink"/>
            <w:noProof/>
          </w:rPr>
          <w:t>Impact on cost and length of stay</w:t>
        </w:r>
        <w:r w:rsidR="00115905">
          <w:rPr>
            <w:noProof/>
            <w:webHidden/>
          </w:rPr>
          <w:tab/>
        </w:r>
        <w:r w:rsidR="00115905">
          <w:rPr>
            <w:noProof/>
            <w:webHidden/>
          </w:rPr>
          <w:fldChar w:fldCharType="begin"/>
        </w:r>
        <w:r w:rsidR="00115905">
          <w:rPr>
            <w:noProof/>
            <w:webHidden/>
          </w:rPr>
          <w:instrText xml:space="preserve"> PAGEREF _Toc374114592 \h </w:instrText>
        </w:r>
        <w:r w:rsidR="00115905">
          <w:rPr>
            <w:noProof/>
            <w:webHidden/>
          </w:rPr>
        </w:r>
        <w:r w:rsidR="00115905">
          <w:rPr>
            <w:noProof/>
            <w:webHidden/>
          </w:rPr>
          <w:fldChar w:fldCharType="separate"/>
        </w:r>
        <w:r w:rsidR="00363A39">
          <w:rPr>
            <w:noProof/>
            <w:webHidden/>
          </w:rPr>
          <w:t>36</w:t>
        </w:r>
        <w:r w:rsidR="00115905">
          <w:rPr>
            <w:noProof/>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93" w:history="1">
        <w:r w:rsidR="00115905" w:rsidRPr="00F753AD">
          <w:rPr>
            <w:rStyle w:val="Hyperlink"/>
          </w:rPr>
          <w:t>Methods</w:t>
        </w:r>
        <w:r w:rsidR="00115905">
          <w:rPr>
            <w:webHidden/>
          </w:rPr>
          <w:tab/>
        </w:r>
        <w:r w:rsidR="00115905">
          <w:rPr>
            <w:webHidden/>
          </w:rPr>
          <w:fldChar w:fldCharType="begin"/>
        </w:r>
        <w:r w:rsidR="00115905">
          <w:rPr>
            <w:webHidden/>
          </w:rPr>
          <w:instrText xml:space="preserve"> PAGEREF _Toc374114593 \h </w:instrText>
        </w:r>
        <w:r w:rsidR="00115905">
          <w:rPr>
            <w:webHidden/>
          </w:rPr>
        </w:r>
        <w:r w:rsidR="00115905">
          <w:rPr>
            <w:webHidden/>
          </w:rPr>
          <w:fldChar w:fldCharType="separate"/>
        </w:r>
        <w:r w:rsidR="00363A39">
          <w:rPr>
            <w:webHidden/>
          </w:rPr>
          <w:t>36</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94" w:history="1">
        <w:r w:rsidR="00115905" w:rsidRPr="00F753AD">
          <w:rPr>
            <w:rStyle w:val="Hyperlink"/>
          </w:rPr>
          <w:t>Control variables</w:t>
        </w:r>
        <w:r w:rsidR="00115905">
          <w:rPr>
            <w:webHidden/>
          </w:rPr>
          <w:tab/>
        </w:r>
        <w:r w:rsidR="00115905">
          <w:rPr>
            <w:webHidden/>
          </w:rPr>
          <w:fldChar w:fldCharType="begin"/>
        </w:r>
        <w:r w:rsidR="00115905">
          <w:rPr>
            <w:webHidden/>
          </w:rPr>
          <w:instrText xml:space="preserve"> PAGEREF _Toc374114594 \h </w:instrText>
        </w:r>
        <w:r w:rsidR="00115905">
          <w:rPr>
            <w:webHidden/>
          </w:rPr>
        </w:r>
        <w:r w:rsidR="00115905">
          <w:rPr>
            <w:webHidden/>
          </w:rPr>
          <w:fldChar w:fldCharType="separate"/>
        </w:r>
        <w:r w:rsidR="00363A39">
          <w:rPr>
            <w:webHidden/>
          </w:rPr>
          <w:t>38</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95" w:history="1">
        <w:r w:rsidR="00115905" w:rsidRPr="00F753AD">
          <w:rPr>
            <w:rStyle w:val="Hyperlink"/>
          </w:rPr>
          <w:t>Sample characteristics</w:t>
        </w:r>
        <w:r w:rsidR="00115905">
          <w:rPr>
            <w:webHidden/>
          </w:rPr>
          <w:tab/>
        </w:r>
        <w:r w:rsidR="00115905">
          <w:rPr>
            <w:webHidden/>
          </w:rPr>
          <w:fldChar w:fldCharType="begin"/>
        </w:r>
        <w:r w:rsidR="00115905">
          <w:rPr>
            <w:webHidden/>
          </w:rPr>
          <w:instrText xml:space="preserve"> PAGEREF _Toc374114595 \h </w:instrText>
        </w:r>
        <w:r w:rsidR="00115905">
          <w:rPr>
            <w:webHidden/>
          </w:rPr>
        </w:r>
        <w:r w:rsidR="00115905">
          <w:rPr>
            <w:webHidden/>
          </w:rPr>
          <w:fldChar w:fldCharType="separate"/>
        </w:r>
        <w:r w:rsidR="00363A39">
          <w:rPr>
            <w:webHidden/>
          </w:rPr>
          <w:t>40</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96" w:history="1">
        <w:r w:rsidR="00115905" w:rsidRPr="00F753AD">
          <w:rPr>
            <w:rStyle w:val="Hyperlink"/>
          </w:rPr>
          <w:t>Results</w:t>
        </w:r>
        <w:r w:rsidR="00115905">
          <w:rPr>
            <w:webHidden/>
          </w:rPr>
          <w:tab/>
        </w:r>
        <w:r w:rsidR="00115905">
          <w:rPr>
            <w:webHidden/>
          </w:rPr>
          <w:fldChar w:fldCharType="begin"/>
        </w:r>
        <w:r w:rsidR="00115905">
          <w:rPr>
            <w:webHidden/>
          </w:rPr>
          <w:instrText xml:space="preserve"> PAGEREF _Toc374114596 \h </w:instrText>
        </w:r>
        <w:r w:rsidR="00115905">
          <w:rPr>
            <w:webHidden/>
          </w:rPr>
        </w:r>
        <w:r w:rsidR="00115905">
          <w:rPr>
            <w:webHidden/>
          </w:rPr>
          <w:fldChar w:fldCharType="separate"/>
        </w:r>
        <w:r w:rsidR="00363A39">
          <w:rPr>
            <w:webHidden/>
          </w:rPr>
          <w:t>44</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597" w:history="1">
        <w:r w:rsidR="00115905" w:rsidRPr="00F753AD">
          <w:rPr>
            <w:rStyle w:val="Hyperlink"/>
          </w:rPr>
          <w:t>Sector wide estimates</w:t>
        </w:r>
        <w:r w:rsidR="00115905">
          <w:rPr>
            <w:webHidden/>
          </w:rPr>
          <w:tab/>
        </w:r>
        <w:r w:rsidR="00115905">
          <w:rPr>
            <w:webHidden/>
          </w:rPr>
          <w:fldChar w:fldCharType="begin"/>
        </w:r>
        <w:r w:rsidR="00115905">
          <w:rPr>
            <w:webHidden/>
          </w:rPr>
          <w:instrText xml:space="preserve"> PAGEREF _Toc374114597 \h </w:instrText>
        </w:r>
        <w:r w:rsidR="00115905">
          <w:rPr>
            <w:webHidden/>
          </w:rPr>
        </w:r>
        <w:r w:rsidR="00115905">
          <w:rPr>
            <w:webHidden/>
          </w:rPr>
          <w:fldChar w:fldCharType="separate"/>
        </w:r>
        <w:r w:rsidR="00363A39">
          <w:rPr>
            <w:webHidden/>
          </w:rPr>
          <w:t>51</w:t>
        </w:r>
        <w:r w:rsidR="00115905">
          <w:rPr>
            <w:webHidden/>
          </w:rPr>
          <w:fldChar w:fldCharType="end"/>
        </w:r>
      </w:hyperlink>
    </w:p>
    <w:p w:rsidR="00115905" w:rsidRDefault="00840816">
      <w:pPr>
        <w:pStyle w:val="TOC1"/>
        <w:rPr>
          <w:rFonts w:asciiTheme="minorHAnsi" w:eastAsiaTheme="minorEastAsia" w:hAnsiTheme="minorHAnsi" w:cstheme="minorBidi"/>
          <w:i w:val="0"/>
          <w:noProof/>
          <w:color w:val="auto"/>
          <w:sz w:val="22"/>
          <w:lang w:val="en-AU" w:eastAsia="en-AU"/>
        </w:rPr>
      </w:pPr>
      <w:hyperlink w:anchor="_Toc374114598" w:history="1">
        <w:r w:rsidR="00115905" w:rsidRPr="00F753AD">
          <w:rPr>
            <w:rStyle w:val="Hyperlink"/>
            <w:noProof/>
          </w:rPr>
          <w:t>Appendix 1: Descriptive statistics</w:t>
        </w:r>
        <w:r w:rsidR="00115905">
          <w:rPr>
            <w:noProof/>
            <w:webHidden/>
          </w:rPr>
          <w:tab/>
        </w:r>
        <w:r w:rsidR="00115905">
          <w:rPr>
            <w:noProof/>
            <w:webHidden/>
          </w:rPr>
          <w:fldChar w:fldCharType="begin"/>
        </w:r>
        <w:r w:rsidR="00115905">
          <w:rPr>
            <w:noProof/>
            <w:webHidden/>
          </w:rPr>
          <w:instrText xml:space="preserve"> PAGEREF _Toc374114598 \h </w:instrText>
        </w:r>
        <w:r w:rsidR="00115905">
          <w:rPr>
            <w:noProof/>
            <w:webHidden/>
          </w:rPr>
        </w:r>
        <w:r w:rsidR="00115905">
          <w:rPr>
            <w:noProof/>
            <w:webHidden/>
          </w:rPr>
          <w:fldChar w:fldCharType="separate"/>
        </w:r>
        <w:r w:rsidR="00363A39">
          <w:rPr>
            <w:noProof/>
            <w:webHidden/>
          </w:rPr>
          <w:t>53</w:t>
        </w:r>
        <w:r w:rsidR="00115905">
          <w:rPr>
            <w:noProof/>
            <w:webHidden/>
          </w:rPr>
          <w:fldChar w:fldCharType="end"/>
        </w:r>
      </w:hyperlink>
    </w:p>
    <w:p w:rsidR="00115905" w:rsidRDefault="00840816">
      <w:pPr>
        <w:pStyle w:val="TOC1"/>
        <w:rPr>
          <w:rFonts w:asciiTheme="minorHAnsi" w:eastAsiaTheme="minorEastAsia" w:hAnsiTheme="minorHAnsi" w:cstheme="minorBidi"/>
          <w:i w:val="0"/>
          <w:noProof/>
          <w:color w:val="auto"/>
          <w:sz w:val="22"/>
          <w:lang w:val="en-AU" w:eastAsia="en-AU"/>
        </w:rPr>
      </w:pPr>
      <w:hyperlink w:anchor="_Toc374114599" w:history="1">
        <w:r w:rsidR="00115905" w:rsidRPr="00F753AD">
          <w:rPr>
            <w:rStyle w:val="Hyperlink"/>
            <w:noProof/>
          </w:rPr>
          <w:t>Appendix 2: NHCDC sample characteristics</w:t>
        </w:r>
        <w:r w:rsidR="00115905">
          <w:rPr>
            <w:noProof/>
            <w:webHidden/>
          </w:rPr>
          <w:tab/>
        </w:r>
        <w:r w:rsidR="00115905">
          <w:rPr>
            <w:noProof/>
            <w:webHidden/>
          </w:rPr>
          <w:fldChar w:fldCharType="begin"/>
        </w:r>
        <w:r w:rsidR="00115905">
          <w:rPr>
            <w:noProof/>
            <w:webHidden/>
          </w:rPr>
          <w:instrText xml:space="preserve"> PAGEREF _Toc374114599 \h </w:instrText>
        </w:r>
        <w:r w:rsidR="00115905">
          <w:rPr>
            <w:noProof/>
            <w:webHidden/>
          </w:rPr>
        </w:r>
        <w:r w:rsidR="00115905">
          <w:rPr>
            <w:noProof/>
            <w:webHidden/>
          </w:rPr>
          <w:fldChar w:fldCharType="separate"/>
        </w:r>
        <w:r w:rsidR="00363A39">
          <w:rPr>
            <w:noProof/>
            <w:webHidden/>
          </w:rPr>
          <w:t>61</w:t>
        </w:r>
        <w:r w:rsidR="00115905">
          <w:rPr>
            <w:noProof/>
            <w:webHidden/>
          </w:rPr>
          <w:fldChar w:fldCharType="end"/>
        </w:r>
      </w:hyperlink>
    </w:p>
    <w:p w:rsidR="00115905" w:rsidRDefault="00840816">
      <w:pPr>
        <w:pStyle w:val="TOC1"/>
        <w:rPr>
          <w:rFonts w:asciiTheme="minorHAnsi" w:eastAsiaTheme="minorEastAsia" w:hAnsiTheme="minorHAnsi" w:cstheme="minorBidi"/>
          <w:i w:val="0"/>
          <w:noProof/>
          <w:color w:val="auto"/>
          <w:sz w:val="22"/>
          <w:lang w:val="en-AU" w:eastAsia="en-AU"/>
        </w:rPr>
      </w:pPr>
      <w:hyperlink w:anchor="_Toc374114600" w:history="1">
        <w:r w:rsidR="00115905" w:rsidRPr="00F753AD">
          <w:rPr>
            <w:rStyle w:val="Hyperlink"/>
            <w:noProof/>
          </w:rPr>
          <w:t>Appendix 3: Detailed results</w:t>
        </w:r>
        <w:r w:rsidR="00115905">
          <w:rPr>
            <w:noProof/>
            <w:webHidden/>
          </w:rPr>
          <w:tab/>
        </w:r>
        <w:r w:rsidR="00115905">
          <w:rPr>
            <w:noProof/>
            <w:webHidden/>
          </w:rPr>
          <w:fldChar w:fldCharType="begin"/>
        </w:r>
        <w:r w:rsidR="00115905">
          <w:rPr>
            <w:noProof/>
            <w:webHidden/>
          </w:rPr>
          <w:instrText xml:space="preserve"> PAGEREF _Toc374114600 \h </w:instrText>
        </w:r>
        <w:r w:rsidR="00115905">
          <w:rPr>
            <w:noProof/>
            <w:webHidden/>
          </w:rPr>
        </w:r>
        <w:r w:rsidR="00115905">
          <w:rPr>
            <w:noProof/>
            <w:webHidden/>
          </w:rPr>
          <w:fldChar w:fldCharType="separate"/>
        </w:r>
        <w:r w:rsidR="00363A39">
          <w:rPr>
            <w:noProof/>
            <w:webHidden/>
          </w:rPr>
          <w:t>67</w:t>
        </w:r>
        <w:r w:rsidR="00115905">
          <w:rPr>
            <w:noProof/>
            <w:webHidden/>
          </w:rPr>
          <w:fldChar w:fldCharType="end"/>
        </w:r>
      </w:hyperlink>
    </w:p>
    <w:p w:rsidR="00115905" w:rsidRDefault="00840816">
      <w:pPr>
        <w:pStyle w:val="TOC1"/>
        <w:rPr>
          <w:rFonts w:asciiTheme="minorHAnsi" w:eastAsiaTheme="minorEastAsia" w:hAnsiTheme="minorHAnsi" w:cstheme="minorBidi"/>
          <w:i w:val="0"/>
          <w:noProof/>
          <w:color w:val="auto"/>
          <w:sz w:val="22"/>
          <w:lang w:val="en-AU" w:eastAsia="en-AU"/>
        </w:rPr>
      </w:pPr>
      <w:hyperlink w:anchor="_Toc374114601" w:history="1">
        <w:r w:rsidR="00115905" w:rsidRPr="00F753AD">
          <w:rPr>
            <w:rStyle w:val="Hyperlink"/>
            <w:noProof/>
          </w:rPr>
          <w:t>Appendix 4: Methodological issues in estimating the impact on cost and length of stay of hospital-acquired conditions.</w:t>
        </w:r>
        <w:r w:rsidR="00115905">
          <w:rPr>
            <w:noProof/>
            <w:webHidden/>
          </w:rPr>
          <w:tab/>
        </w:r>
        <w:r w:rsidR="00115905">
          <w:rPr>
            <w:noProof/>
            <w:webHidden/>
          </w:rPr>
          <w:fldChar w:fldCharType="begin"/>
        </w:r>
        <w:r w:rsidR="00115905">
          <w:rPr>
            <w:noProof/>
            <w:webHidden/>
          </w:rPr>
          <w:instrText xml:space="preserve"> PAGEREF _Toc374114601 \h </w:instrText>
        </w:r>
        <w:r w:rsidR="00115905">
          <w:rPr>
            <w:noProof/>
            <w:webHidden/>
          </w:rPr>
        </w:r>
        <w:r w:rsidR="00115905">
          <w:rPr>
            <w:noProof/>
            <w:webHidden/>
          </w:rPr>
          <w:fldChar w:fldCharType="separate"/>
        </w:r>
        <w:r w:rsidR="00363A39">
          <w:rPr>
            <w:noProof/>
            <w:webHidden/>
          </w:rPr>
          <w:t>83</w:t>
        </w:r>
        <w:r w:rsidR="00115905">
          <w:rPr>
            <w:noProof/>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602" w:history="1">
        <w:r w:rsidR="00115905" w:rsidRPr="00F753AD">
          <w:rPr>
            <w:rStyle w:val="Hyperlink"/>
          </w:rPr>
          <w:t>Literature on methods</w:t>
        </w:r>
        <w:r w:rsidR="00115905">
          <w:rPr>
            <w:webHidden/>
          </w:rPr>
          <w:tab/>
        </w:r>
        <w:r w:rsidR="00115905">
          <w:rPr>
            <w:webHidden/>
          </w:rPr>
          <w:fldChar w:fldCharType="begin"/>
        </w:r>
        <w:r w:rsidR="00115905">
          <w:rPr>
            <w:webHidden/>
          </w:rPr>
          <w:instrText xml:space="preserve"> PAGEREF _Toc374114602 \h </w:instrText>
        </w:r>
        <w:r w:rsidR="00115905">
          <w:rPr>
            <w:webHidden/>
          </w:rPr>
        </w:r>
        <w:r w:rsidR="00115905">
          <w:rPr>
            <w:webHidden/>
          </w:rPr>
          <w:fldChar w:fldCharType="separate"/>
        </w:r>
        <w:r w:rsidR="00363A39">
          <w:rPr>
            <w:webHidden/>
          </w:rPr>
          <w:t>83</w:t>
        </w:r>
        <w:r w:rsidR="00115905">
          <w:rPr>
            <w:webHidden/>
          </w:rPr>
          <w:fldChar w:fldCharType="end"/>
        </w:r>
      </w:hyperlink>
    </w:p>
    <w:p w:rsidR="00115905" w:rsidRDefault="00840816">
      <w:pPr>
        <w:pStyle w:val="TOC2"/>
        <w:rPr>
          <w:rFonts w:asciiTheme="minorHAnsi" w:eastAsiaTheme="minorEastAsia" w:hAnsiTheme="minorHAnsi" w:cstheme="minorBidi"/>
          <w:color w:val="auto"/>
          <w:sz w:val="22"/>
          <w:lang w:val="en-AU" w:eastAsia="en-AU"/>
        </w:rPr>
      </w:pPr>
      <w:hyperlink w:anchor="_Toc374114603" w:history="1">
        <w:r w:rsidR="00115905" w:rsidRPr="00F753AD">
          <w:rPr>
            <w:rStyle w:val="Hyperlink"/>
          </w:rPr>
          <w:t>Studies of national/state level hospital morbidity data</w:t>
        </w:r>
        <w:r w:rsidR="00115905">
          <w:rPr>
            <w:webHidden/>
          </w:rPr>
          <w:tab/>
        </w:r>
        <w:r w:rsidR="00115905">
          <w:rPr>
            <w:webHidden/>
          </w:rPr>
          <w:fldChar w:fldCharType="begin"/>
        </w:r>
        <w:r w:rsidR="00115905">
          <w:rPr>
            <w:webHidden/>
          </w:rPr>
          <w:instrText xml:space="preserve"> PAGEREF _Toc374114603 \h </w:instrText>
        </w:r>
        <w:r w:rsidR="00115905">
          <w:rPr>
            <w:webHidden/>
          </w:rPr>
        </w:r>
        <w:r w:rsidR="00115905">
          <w:rPr>
            <w:webHidden/>
          </w:rPr>
          <w:fldChar w:fldCharType="separate"/>
        </w:r>
        <w:r w:rsidR="00363A39">
          <w:rPr>
            <w:webHidden/>
          </w:rPr>
          <w:t>87</w:t>
        </w:r>
        <w:r w:rsidR="00115905">
          <w:rPr>
            <w:webHidden/>
          </w:rPr>
          <w:fldChar w:fldCharType="end"/>
        </w:r>
      </w:hyperlink>
    </w:p>
    <w:p w:rsidR="007718C7" w:rsidRDefault="007718C7" w:rsidP="00DE620A">
      <w:r>
        <w:rPr>
          <w:b/>
          <w:i/>
        </w:rPr>
        <w:fldChar w:fldCharType="end"/>
      </w:r>
    </w:p>
    <w:p w:rsidR="007718C7" w:rsidRDefault="007718C7">
      <w:pPr>
        <w:rPr>
          <w:rFonts w:ascii="Gill Sans MT" w:hAnsi="Gill Sans MT" w:cs="Arial"/>
          <w:color w:val="003D79"/>
          <w:sz w:val="92"/>
          <w:szCs w:val="92"/>
        </w:rPr>
      </w:pPr>
    </w:p>
    <w:p w:rsidR="007718C7" w:rsidRDefault="007718C7" w:rsidP="000F1C72">
      <w:pPr>
        <w:sectPr w:rsidR="007718C7" w:rsidSect="00915342">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rsidR="007718C7" w:rsidRDefault="007718C7" w:rsidP="00B11D48">
      <w:pPr>
        <w:pStyle w:val="Heading1thatdoesnotgetpickedupbyTOC"/>
      </w:pPr>
      <w:r>
        <w:lastRenderedPageBreak/>
        <w:t>Acronyms</w:t>
      </w:r>
    </w:p>
    <w:tbl>
      <w:tblPr>
        <w:tblW w:w="0" w:type="auto"/>
        <w:tblLook w:val="00A0" w:firstRow="1" w:lastRow="0" w:firstColumn="1" w:lastColumn="0" w:noHBand="0" w:noVBand="0"/>
      </w:tblPr>
      <w:tblGrid>
        <w:gridCol w:w="1384"/>
        <w:gridCol w:w="7858"/>
      </w:tblGrid>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ADRG</w:t>
            </w:r>
          </w:p>
        </w:tc>
        <w:tc>
          <w:tcPr>
            <w:tcW w:w="7858" w:type="dxa"/>
          </w:tcPr>
          <w:p w:rsidR="007718C7" w:rsidRPr="00864829" w:rsidRDefault="007718C7" w:rsidP="00864829">
            <w:pPr>
              <w:spacing w:after="0"/>
              <w:rPr>
                <w:szCs w:val="20"/>
                <w:lang w:val="en-US"/>
              </w:rPr>
            </w:pPr>
            <w:r w:rsidRPr="00864829">
              <w:rPr>
                <w:szCs w:val="20"/>
                <w:lang w:val="en-US"/>
              </w:rPr>
              <w:t>Adjacent Diagnosis Related Group</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APC</w:t>
            </w:r>
          </w:p>
        </w:tc>
        <w:tc>
          <w:tcPr>
            <w:tcW w:w="7858" w:type="dxa"/>
          </w:tcPr>
          <w:p w:rsidR="007718C7" w:rsidRPr="00864829" w:rsidRDefault="007718C7" w:rsidP="00864829">
            <w:pPr>
              <w:spacing w:after="0"/>
              <w:rPr>
                <w:szCs w:val="20"/>
                <w:lang w:val="en-US"/>
              </w:rPr>
            </w:pPr>
            <w:r w:rsidRPr="00864829">
              <w:rPr>
                <w:szCs w:val="20"/>
                <w:lang w:val="en-US"/>
              </w:rPr>
              <w:t>Admitted Patient Care (National Minimum Data Set)</w:t>
            </w:r>
          </w:p>
        </w:tc>
      </w:tr>
      <w:tr w:rsidR="007718C7" w:rsidRPr="00864829" w:rsidTr="00864829">
        <w:tc>
          <w:tcPr>
            <w:tcW w:w="1384" w:type="dxa"/>
          </w:tcPr>
          <w:p w:rsidR="007718C7" w:rsidRPr="00864829" w:rsidRDefault="007718C7" w:rsidP="00864829">
            <w:pPr>
              <w:spacing w:after="0"/>
              <w:rPr>
                <w:szCs w:val="20"/>
                <w:lang w:val="en-US"/>
              </w:rPr>
            </w:pPr>
            <w:r w:rsidRPr="00425BC3">
              <w:rPr>
                <w:szCs w:val="20"/>
                <w:lang w:val="en-US"/>
              </w:rPr>
              <w:t>APR-DRG</w:t>
            </w:r>
          </w:p>
        </w:tc>
        <w:tc>
          <w:tcPr>
            <w:tcW w:w="7858" w:type="dxa"/>
          </w:tcPr>
          <w:p w:rsidR="007718C7" w:rsidRPr="00864829" w:rsidRDefault="007718C7" w:rsidP="00425BC3">
            <w:pPr>
              <w:spacing w:after="0"/>
              <w:rPr>
                <w:szCs w:val="20"/>
                <w:lang w:val="en-US"/>
              </w:rPr>
            </w:pPr>
            <w:r>
              <w:rPr>
                <w:szCs w:val="20"/>
                <w:lang w:val="en-US"/>
              </w:rPr>
              <w:t xml:space="preserve">All Patient Refined </w:t>
            </w:r>
            <w:r w:rsidRPr="00864829">
              <w:rPr>
                <w:szCs w:val="20"/>
                <w:lang w:val="en-US"/>
              </w:rPr>
              <w:t>Diagnosis Related Group</w:t>
            </w:r>
            <w:r>
              <w:rPr>
                <w:szCs w:val="20"/>
                <w:lang w:val="en-US"/>
              </w:rPr>
              <w:t xml:space="preserve"> (3M)</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AR-DRG</w:t>
            </w:r>
          </w:p>
        </w:tc>
        <w:tc>
          <w:tcPr>
            <w:tcW w:w="7858" w:type="dxa"/>
          </w:tcPr>
          <w:p w:rsidR="007718C7" w:rsidRPr="00864829" w:rsidRDefault="007718C7" w:rsidP="00864829">
            <w:pPr>
              <w:spacing w:after="0"/>
              <w:rPr>
                <w:szCs w:val="20"/>
                <w:lang w:val="en-US"/>
              </w:rPr>
            </w:pPr>
            <w:r w:rsidRPr="00864829">
              <w:rPr>
                <w:szCs w:val="20"/>
                <w:lang w:val="en-US"/>
              </w:rPr>
              <w:t>Australian Refined Diagnosis Related Group</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CCL</w:t>
            </w:r>
          </w:p>
        </w:tc>
        <w:tc>
          <w:tcPr>
            <w:tcW w:w="7858" w:type="dxa"/>
          </w:tcPr>
          <w:p w:rsidR="007718C7" w:rsidRPr="00864829" w:rsidRDefault="007718C7" w:rsidP="00864829">
            <w:pPr>
              <w:spacing w:after="0"/>
              <w:rPr>
                <w:szCs w:val="20"/>
                <w:lang w:val="en-US"/>
              </w:rPr>
            </w:pPr>
            <w:r w:rsidRPr="00864829">
              <w:rPr>
                <w:szCs w:val="20"/>
                <w:lang w:val="en-US"/>
              </w:rPr>
              <w:t>Complication and Comorbidity Level</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CHADx</w:t>
            </w:r>
          </w:p>
        </w:tc>
        <w:tc>
          <w:tcPr>
            <w:tcW w:w="7858" w:type="dxa"/>
          </w:tcPr>
          <w:p w:rsidR="007718C7" w:rsidRPr="00864829" w:rsidRDefault="007718C7" w:rsidP="00864829">
            <w:pPr>
              <w:spacing w:after="0"/>
              <w:rPr>
                <w:szCs w:val="20"/>
                <w:lang w:val="en-US"/>
              </w:rPr>
            </w:pPr>
            <w:r w:rsidRPr="00864829">
              <w:rPr>
                <w:szCs w:val="20"/>
                <w:lang w:val="en-US"/>
              </w:rPr>
              <w:t>Classification of Hospital-acquired Diagnoses</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COF</w:t>
            </w:r>
          </w:p>
        </w:tc>
        <w:tc>
          <w:tcPr>
            <w:tcW w:w="7858" w:type="dxa"/>
          </w:tcPr>
          <w:p w:rsidR="007718C7" w:rsidRPr="00864829" w:rsidRDefault="007718C7" w:rsidP="00864829">
            <w:pPr>
              <w:spacing w:after="0"/>
              <w:rPr>
                <w:szCs w:val="20"/>
                <w:lang w:val="en-US"/>
              </w:rPr>
            </w:pPr>
            <w:r w:rsidRPr="00864829">
              <w:rPr>
                <w:szCs w:val="20"/>
                <w:lang w:val="en-US"/>
              </w:rPr>
              <w:t>Condition Onset Flag</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DRG</w:t>
            </w:r>
          </w:p>
        </w:tc>
        <w:tc>
          <w:tcPr>
            <w:tcW w:w="7858" w:type="dxa"/>
          </w:tcPr>
          <w:p w:rsidR="007718C7" w:rsidRPr="00864829" w:rsidRDefault="007718C7" w:rsidP="00864829">
            <w:pPr>
              <w:spacing w:after="0"/>
              <w:rPr>
                <w:szCs w:val="20"/>
                <w:lang w:val="en-US"/>
              </w:rPr>
            </w:pPr>
            <w:r w:rsidRPr="00864829">
              <w:rPr>
                <w:szCs w:val="20"/>
                <w:lang w:val="en-US"/>
              </w:rPr>
              <w:t>Diagnosis Related Group</w:t>
            </w:r>
          </w:p>
        </w:tc>
      </w:tr>
      <w:tr w:rsidR="007718C7" w:rsidRPr="00864829" w:rsidTr="00864829">
        <w:tc>
          <w:tcPr>
            <w:tcW w:w="1384" w:type="dxa"/>
          </w:tcPr>
          <w:p w:rsidR="007718C7" w:rsidRPr="00864829" w:rsidRDefault="007718C7" w:rsidP="00864829">
            <w:pPr>
              <w:spacing w:after="0"/>
              <w:rPr>
                <w:szCs w:val="20"/>
                <w:lang w:val="en-US"/>
              </w:rPr>
            </w:pPr>
            <w:r>
              <w:rPr>
                <w:szCs w:val="20"/>
                <w:lang w:val="en-US"/>
              </w:rPr>
              <w:t>GLM</w:t>
            </w:r>
          </w:p>
        </w:tc>
        <w:tc>
          <w:tcPr>
            <w:tcW w:w="7858" w:type="dxa"/>
          </w:tcPr>
          <w:p w:rsidR="007718C7" w:rsidRDefault="007718C7" w:rsidP="00864829">
            <w:pPr>
              <w:spacing w:after="0"/>
              <w:rPr>
                <w:szCs w:val="20"/>
                <w:lang w:val="en-US"/>
              </w:rPr>
            </w:pPr>
            <w:r>
              <w:rPr>
                <w:szCs w:val="20"/>
                <w:lang w:val="en-US"/>
              </w:rPr>
              <w:t>Generalised Linear Model</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HAI</w:t>
            </w:r>
          </w:p>
        </w:tc>
        <w:tc>
          <w:tcPr>
            <w:tcW w:w="7858" w:type="dxa"/>
          </w:tcPr>
          <w:p w:rsidR="007718C7" w:rsidRPr="00864829" w:rsidRDefault="007718C7" w:rsidP="00864829">
            <w:pPr>
              <w:spacing w:after="0"/>
              <w:rPr>
                <w:szCs w:val="20"/>
                <w:lang w:val="en-US"/>
              </w:rPr>
            </w:pPr>
            <w:r>
              <w:rPr>
                <w:szCs w:val="20"/>
                <w:lang w:val="en-US"/>
              </w:rPr>
              <w:t>Hospital-acquired</w:t>
            </w:r>
            <w:r w:rsidRPr="00864829">
              <w:rPr>
                <w:szCs w:val="20"/>
                <w:lang w:val="en-US"/>
              </w:rPr>
              <w:t xml:space="preserve"> infections</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ICD-10-AM</w:t>
            </w:r>
          </w:p>
        </w:tc>
        <w:tc>
          <w:tcPr>
            <w:tcW w:w="7858" w:type="dxa"/>
          </w:tcPr>
          <w:p w:rsidR="007718C7" w:rsidRPr="00864829" w:rsidRDefault="007718C7" w:rsidP="00864829">
            <w:pPr>
              <w:spacing w:after="0"/>
              <w:rPr>
                <w:szCs w:val="20"/>
                <w:lang w:val="en-US"/>
              </w:rPr>
            </w:pPr>
            <w:r w:rsidRPr="00864829">
              <w:rPr>
                <w:szCs w:val="20"/>
                <w:lang w:val="en-US"/>
              </w:rPr>
              <w:t>International Classification of Diseases – 10th Revision – Australian Modification</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ICD-9-CM</w:t>
            </w:r>
          </w:p>
        </w:tc>
        <w:tc>
          <w:tcPr>
            <w:tcW w:w="7858" w:type="dxa"/>
          </w:tcPr>
          <w:p w:rsidR="007718C7" w:rsidRPr="00864829" w:rsidRDefault="007718C7" w:rsidP="00864829">
            <w:pPr>
              <w:spacing w:after="0"/>
              <w:rPr>
                <w:szCs w:val="20"/>
                <w:lang w:val="en-US"/>
              </w:rPr>
            </w:pPr>
            <w:r w:rsidRPr="00864829">
              <w:rPr>
                <w:szCs w:val="20"/>
                <w:lang w:val="en-US"/>
              </w:rPr>
              <w:t>International Classification of Diseases – 9th Revision – Clinical Modification</w:t>
            </w:r>
          </w:p>
        </w:tc>
      </w:tr>
      <w:tr w:rsidR="007718C7" w:rsidRPr="00864829" w:rsidTr="00864829">
        <w:tc>
          <w:tcPr>
            <w:tcW w:w="1384" w:type="dxa"/>
          </w:tcPr>
          <w:p w:rsidR="007718C7" w:rsidRPr="00864829" w:rsidRDefault="007718C7" w:rsidP="00864829">
            <w:pPr>
              <w:spacing w:after="0" w:line="240" w:lineRule="auto"/>
              <w:rPr>
                <w:szCs w:val="20"/>
                <w:lang w:val="en-US"/>
              </w:rPr>
            </w:pPr>
            <w:r w:rsidRPr="00864829">
              <w:rPr>
                <w:szCs w:val="20"/>
                <w:lang w:val="en-US"/>
              </w:rPr>
              <w:t>MDC</w:t>
            </w:r>
          </w:p>
        </w:tc>
        <w:tc>
          <w:tcPr>
            <w:tcW w:w="7858" w:type="dxa"/>
          </w:tcPr>
          <w:p w:rsidR="007718C7" w:rsidRPr="00864829" w:rsidRDefault="007718C7" w:rsidP="00864829">
            <w:pPr>
              <w:spacing w:after="0" w:line="240" w:lineRule="auto"/>
              <w:rPr>
                <w:szCs w:val="20"/>
                <w:lang w:val="en-US"/>
              </w:rPr>
            </w:pPr>
            <w:r w:rsidRPr="00864829">
              <w:rPr>
                <w:szCs w:val="20"/>
                <w:lang w:val="en-US"/>
              </w:rPr>
              <w:t>Major Diagnostic Category</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NHCDC</w:t>
            </w:r>
          </w:p>
        </w:tc>
        <w:tc>
          <w:tcPr>
            <w:tcW w:w="7858" w:type="dxa"/>
          </w:tcPr>
          <w:p w:rsidR="007718C7" w:rsidRPr="00864829" w:rsidRDefault="007718C7" w:rsidP="00864829">
            <w:pPr>
              <w:spacing w:after="0"/>
              <w:rPr>
                <w:szCs w:val="20"/>
                <w:lang w:val="en-US"/>
              </w:rPr>
            </w:pPr>
            <w:r w:rsidRPr="00864829">
              <w:rPr>
                <w:szCs w:val="20"/>
                <w:lang w:val="en-US"/>
              </w:rPr>
              <w:t>National Hospital Cost Data Collection</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NMDS</w:t>
            </w:r>
          </w:p>
        </w:tc>
        <w:tc>
          <w:tcPr>
            <w:tcW w:w="7858" w:type="dxa"/>
          </w:tcPr>
          <w:p w:rsidR="007718C7" w:rsidRPr="00864829" w:rsidRDefault="007718C7" w:rsidP="00864829">
            <w:pPr>
              <w:spacing w:after="0"/>
              <w:rPr>
                <w:szCs w:val="20"/>
                <w:lang w:val="en-US"/>
              </w:rPr>
            </w:pPr>
            <w:r w:rsidRPr="00864829">
              <w:rPr>
                <w:szCs w:val="20"/>
                <w:lang w:val="en-US"/>
              </w:rPr>
              <w:t>National Minimum Data Set</w:t>
            </w:r>
          </w:p>
        </w:tc>
      </w:tr>
      <w:tr w:rsidR="007718C7" w:rsidRPr="00864829" w:rsidTr="00864829">
        <w:tc>
          <w:tcPr>
            <w:tcW w:w="1384" w:type="dxa"/>
          </w:tcPr>
          <w:p w:rsidR="007718C7" w:rsidRPr="00864829" w:rsidRDefault="007718C7" w:rsidP="00864829">
            <w:pPr>
              <w:spacing w:after="0"/>
              <w:rPr>
                <w:szCs w:val="20"/>
                <w:lang w:val="en-US"/>
              </w:rPr>
            </w:pPr>
            <w:r>
              <w:rPr>
                <w:szCs w:val="20"/>
                <w:lang w:val="en-US"/>
              </w:rPr>
              <w:t>OLS</w:t>
            </w:r>
          </w:p>
        </w:tc>
        <w:tc>
          <w:tcPr>
            <w:tcW w:w="7858" w:type="dxa"/>
          </w:tcPr>
          <w:p w:rsidR="007718C7" w:rsidRPr="00864829" w:rsidRDefault="007718C7" w:rsidP="005C40D8">
            <w:pPr>
              <w:spacing w:after="0"/>
              <w:rPr>
                <w:szCs w:val="20"/>
                <w:lang w:val="en-US"/>
              </w:rPr>
            </w:pPr>
            <w:r>
              <w:rPr>
                <w:szCs w:val="20"/>
                <w:lang w:val="en-US"/>
              </w:rPr>
              <w:t>Ordinary Least Squares</w:t>
            </w:r>
          </w:p>
        </w:tc>
      </w:tr>
      <w:tr w:rsidR="007718C7" w:rsidRPr="00864829" w:rsidTr="00864829">
        <w:tc>
          <w:tcPr>
            <w:tcW w:w="1384" w:type="dxa"/>
          </w:tcPr>
          <w:p w:rsidR="007718C7" w:rsidRPr="00864829" w:rsidRDefault="007718C7" w:rsidP="00864829">
            <w:pPr>
              <w:spacing w:after="0"/>
              <w:rPr>
                <w:szCs w:val="20"/>
                <w:lang w:val="en-US"/>
              </w:rPr>
            </w:pPr>
            <w:r w:rsidRPr="00864829">
              <w:rPr>
                <w:szCs w:val="20"/>
                <w:lang w:val="en-US"/>
              </w:rPr>
              <w:t>PCCL</w:t>
            </w:r>
          </w:p>
        </w:tc>
        <w:tc>
          <w:tcPr>
            <w:tcW w:w="7858" w:type="dxa"/>
          </w:tcPr>
          <w:p w:rsidR="007718C7" w:rsidRPr="00864829" w:rsidRDefault="007718C7" w:rsidP="005C40D8">
            <w:pPr>
              <w:spacing w:after="0"/>
              <w:rPr>
                <w:szCs w:val="20"/>
                <w:lang w:val="en-US"/>
              </w:rPr>
            </w:pPr>
            <w:r w:rsidRPr="00864829">
              <w:rPr>
                <w:szCs w:val="20"/>
                <w:lang w:val="en-US"/>
              </w:rPr>
              <w:t xml:space="preserve">Patient </w:t>
            </w:r>
            <w:r>
              <w:rPr>
                <w:szCs w:val="20"/>
                <w:lang w:val="en-US"/>
              </w:rPr>
              <w:t>Clinical Complexity</w:t>
            </w:r>
            <w:r w:rsidRPr="00864829">
              <w:rPr>
                <w:szCs w:val="20"/>
                <w:lang w:val="en-US"/>
              </w:rPr>
              <w:t xml:space="preserve"> Level</w:t>
            </w:r>
          </w:p>
        </w:tc>
      </w:tr>
    </w:tbl>
    <w:p w:rsidR="007718C7" w:rsidRDefault="007718C7">
      <w:pPr>
        <w:rPr>
          <w:rFonts w:ascii="Gill Sans MT" w:eastAsia="MS Gothic" w:hAnsi="Gill Sans MT"/>
          <w:b/>
          <w:bCs/>
          <w:color w:val="003D79"/>
          <w:sz w:val="48"/>
          <w:szCs w:val="48"/>
        </w:rPr>
        <w:sectPr w:rsidR="007718C7" w:rsidSect="00915342">
          <w:pgSz w:w="11906" w:h="16838"/>
          <w:pgMar w:top="1440" w:right="1440" w:bottom="1440" w:left="1440" w:header="708" w:footer="708" w:gutter="0"/>
          <w:cols w:space="708"/>
          <w:titlePg/>
          <w:docGrid w:linePitch="360"/>
        </w:sectPr>
      </w:pPr>
    </w:p>
    <w:p w:rsidR="007718C7" w:rsidRPr="007421AC" w:rsidRDefault="007718C7" w:rsidP="00A24BC9">
      <w:pPr>
        <w:pStyle w:val="Heading1thatdoesnotgetpickedupbyTOC"/>
      </w:pPr>
      <w:r w:rsidRPr="007421AC">
        <w:lastRenderedPageBreak/>
        <w:t>Executive summary</w:t>
      </w:r>
    </w:p>
    <w:p w:rsidR="007718C7" w:rsidRPr="00E244B2" w:rsidRDefault="007718C7" w:rsidP="00A75A2D">
      <w:pPr>
        <w:widowControl w:val="0"/>
        <w:autoSpaceDE w:val="0"/>
        <w:autoSpaceDN w:val="0"/>
        <w:adjustRightInd w:val="0"/>
        <w:spacing w:after="120"/>
        <w:ind w:right="-11"/>
        <w:rPr>
          <w:szCs w:val="20"/>
        </w:rPr>
      </w:pPr>
      <w:r w:rsidRPr="00E244B2">
        <w:rPr>
          <w:szCs w:val="20"/>
        </w:rPr>
        <w:t>The Australian Commission on Safety and Quality in Health Care (the Commission), working in collaboration with the Independent Hospital Pricing Authority (IHPA), engaged Health Policy Analysis to analyse hospital-acquired diagnoses and their effect on case complexity and resource use.</w:t>
      </w:r>
    </w:p>
    <w:p w:rsidR="007718C7" w:rsidRPr="00E244B2" w:rsidRDefault="007718C7" w:rsidP="006B7468">
      <w:pPr>
        <w:rPr>
          <w:szCs w:val="20"/>
        </w:rPr>
      </w:pPr>
      <w:r w:rsidRPr="00E244B2">
        <w:rPr>
          <w:szCs w:val="20"/>
        </w:rPr>
        <w:t>The Commission and IHPA are exploring ways in which data routinely collected by hospitals can be used towards improving safety and quality. One of the variables available in these data is a flag against each diagnosis for a patient, identifying which ones were pre-existing at the time of the patient’s admission to hospital, and which ones arose during the hospital stay. This is known as the condition onset flag (COF), and has been collected in a standardised way on a national basis in Australia since 1 July 2008. The COF provides a basis for examining hospital-acquired diagnoses.</w:t>
      </w:r>
    </w:p>
    <w:p w:rsidR="007718C7" w:rsidRPr="00E244B2" w:rsidRDefault="007718C7" w:rsidP="006B7468">
      <w:pPr>
        <w:rPr>
          <w:i/>
        </w:rPr>
      </w:pPr>
      <w:r w:rsidRPr="00E244B2">
        <w:rPr>
          <w:szCs w:val="20"/>
        </w:rPr>
        <w:t xml:space="preserve">While it is acknowledged that the COF has limitations as a measure of quality of care, one of the purposes of this project is to explore its potential use.   </w:t>
      </w:r>
      <w:r w:rsidRPr="00E244B2">
        <w:t xml:space="preserve">The specific issues examined in this study included:  </w:t>
      </w:r>
    </w:p>
    <w:p w:rsidR="007718C7" w:rsidRPr="00E244B2" w:rsidRDefault="007718C7" w:rsidP="006B7468">
      <w:pPr>
        <w:pStyle w:val="ListParagraph"/>
        <w:numPr>
          <w:ilvl w:val="0"/>
          <w:numId w:val="32"/>
        </w:numPr>
        <w:ind w:left="714" w:hanging="357"/>
        <w:contextualSpacing w:val="0"/>
      </w:pPr>
      <w:r w:rsidRPr="00E244B2">
        <w:t xml:space="preserve">The </w:t>
      </w:r>
      <w:r w:rsidRPr="00E244B2">
        <w:rPr>
          <w:b/>
        </w:rPr>
        <w:t>completeness and accuracy with which public hospitals record the COF</w:t>
      </w:r>
      <w:r w:rsidRPr="00E244B2">
        <w:t>.</w:t>
      </w:r>
    </w:p>
    <w:p w:rsidR="007718C7" w:rsidRPr="00E244B2" w:rsidRDefault="007718C7" w:rsidP="006B7468">
      <w:pPr>
        <w:pStyle w:val="ListParagraph"/>
        <w:numPr>
          <w:ilvl w:val="0"/>
          <w:numId w:val="32"/>
        </w:numPr>
        <w:ind w:left="714" w:hanging="357"/>
        <w:contextualSpacing w:val="0"/>
      </w:pPr>
      <w:r w:rsidRPr="00E244B2">
        <w:t xml:space="preserve">The </w:t>
      </w:r>
      <w:r w:rsidRPr="00E244B2">
        <w:rPr>
          <w:b/>
        </w:rPr>
        <w:t>impact of excluding hospital-acquired diagnoses in assigning Australian-Refined Diagnosis Related groups (AR-DRGs)</w:t>
      </w:r>
      <w:r w:rsidRPr="00E244B2">
        <w:t xml:space="preserve"> and, hence, the impact on the prices payable for certain services.</w:t>
      </w:r>
    </w:p>
    <w:p w:rsidR="007718C7" w:rsidRPr="00E244B2" w:rsidRDefault="007718C7" w:rsidP="006B7468">
      <w:pPr>
        <w:pStyle w:val="ListParagraph"/>
        <w:numPr>
          <w:ilvl w:val="0"/>
          <w:numId w:val="32"/>
        </w:numPr>
        <w:ind w:left="714" w:hanging="357"/>
        <w:contextualSpacing w:val="0"/>
      </w:pPr>
      <w:r w:rsidRPr="00E244B2">
        <w:t xml:space="preserve">The </w:t>
      </w:r>
      <w:r w:rsidRPr="00E244B2">
        <w:rPr>
          <w:b/>
        </w:rPr>
        <w:t xml:space="preserve">incremental impact of hospital-acquired diagnoses on costs and bed days </w:t>
      </w:r>
      <w:r w:rsidRPr="00E244B2">
        <w:t xml:space="preserve">that are incurred over and above the cost of uncomplicated care. </w:t>
      </w:r>
    </w:p>
    <w:p w:rsidR="007718C7" w:rsidRPr="00E244B2" w:rsidRDefault="007718C7" w:rsidP="00C7518C">
      <w:r w:rsidRPr="00E244B2">
        <w:t xml:space="preserve">The analysis undertaken to address these questions referenced a range of technical concepts which are described in the box below.  </w:t>
      </w:r>
      <w:r w:rsidRPr="00E244B2">
        <w:rPr>
          <w:rFonts w:cs="Calibri"/>
        </w:rPr>
        <w:t xml:space="preserve">Key </w:t>
      </w:r>
      <w:r w:rsidRPr="00E244B2">
        <w:t>findings from this research include:</w:t>
      </w:r>
    </w:p>
    <w:p w:rsidR="007718C7" w:rsidRPr="00E244B2" w:rsidRDefault="007718C7" w:rsidP="006B7468">
      <w:pPr>
        <w:pStyle w:val="ListParagraph"/>
        <w:numPr>
          <w:ilvl w:val="0"/>
          <w:numId w:val="32"/>
        </w:numPr>
        <w:ind w:left="714" w:hanging="357"/>
        <w:contextualSpacing w:val="0"/>
      </w:pPr>
      <w:r w:rsidRPr="00E244B2">
        <w:t xml:space="preserve">The COF is reported by about 81% of public hospitals nationally.  Reporting varies between states, ranging from 62% of New South Wales public hospitals to 98% of Victorian public hospitals.  Use of the COF is highest among larger hospitals that provide the majority of public hospital services.  However, its use is still relatively common (upwards of 78%) even in small rural and remote hospitals.  Lower rates of reporting of the COF are found in specialist psychiatric and rehabilitation facilities.  </w:t>
      </w:r>
    </w:p>
    <w:p w:rsidR="007718C7" w:rsidRPr="00E244B2" w:rsidRDefault="007718C7" w:rsidP="006B7468">
      <w:pPr>
        <w:pStyle w:val="ListParagraph"/>
        <w:numPr>
          <w:ilvl w:val="0"/>
          <w:numId w:val="32"/>
        </w:numPr>
        <w:ind w:left="714" w:hanging="357"/>
        <w:contextualSpacing w:val="0"/>
      </w:pPr>
      <w:r w:rsidRPr="00E244B2">
        <w:t xml:space="preserve">For hospitals reporting the COF, an estimated 10% of episodes have at least one hospital-acquired diagnosis reported, and for these there is an average 2.19 diagnoses flagged as hospital-acquired reported per episode. </w:t>
      </w:r>
    </w:p>
    <w:p w:rsidR="007718C7" w:rsidRPr="00E244B2" w:rsidRDefault="007718C7" w:rsidP="00B270C2">
      <w:pPr>
        <w:pStyle w:val="ListParagraph"/>
        <w:numPr>
          <w:ilvl w:val="0"/>
          <w:numId w:val="32"/>
        </w:numPr>
        <w:contextualSpacing w:val="0"/>
      </w:pPr>
      <w:r w:rsidRPr="00E244B2">
        <w:t xml:space="preserve">The exclusion of hospital-acquired diagnoses in determining each patient’s AR-DRG changes a patient’s AR-DRG in 3.1% of all patient episodes.  One of the reasons that there is not a larger impact is that many of the hospital-acquired diagnosis codes do not have an impact on AR-DRG assignment (i.e. they are not in the list of codes that attract a complexity score greater than zero). Also, any procedures necessitated by treatment of hospital-acquired diagnoses cannot be identified as such, and therefore, remain in the reallocation process. If these procedures could be removed from AR-DRG assignment, the impact on AR-DRG assignment would be greater. </w:t>
      </w:r>
    </w:p>
    <w:p w:rsidR="007718C7" w:rsidRPr="00E244B2" w:rsidRDefault="007718C7" w:rsidP="00741005">
      <w:pPr>
        <w:pStyle w:val="ListParagraph"/>
        <w:numPr>
          <w:ilvl w:val="0"/>
          <w:numId w:val="32"/>
        </w:numPr>
        <w:ind w:left="714" w:hanging="357"/>
        <w:contextualSpacing w:val="0"/>
      </w:pPr>
      <w:r w:rsidRPr="00E244B2">
        <w:lastRenderedPageBreak/>
        <w:t>There are many methodological challenges in analysing the impact of hospital-acquired diagnoses on cost and length of stay. These are explored in Appendix 4 of this report. The current project has provided an opportunity to develop enhanced approaches to analysing these data, compared with the existing literature, but limitations should be taken into account in interpreting the findings.</w:t>
      </w:r>
    </w:p>
    <w:p w:rsidR="007718C7" w:rsidRPr="00E244B2" w:rsidRDefault="007718C7" w:rsidP="00582792">
      <w:pPr>
        <w:pStyle w:val="ListParagraph"/>
        <w:numPr>
          <w:ilvl w:val="0"/>
          <w:numId w:val="32"/>
        </w:numPr>
        <w:contextualSpacing w:val="0"/>
      </w:pPr>
      <w:r w:rsidRPr="00E244B2">
        <w:t xml:space="preserve">Using data from the National Hospital Cost Data Collection (NHCDC) for 2011-12, the impact of the </w:t>
      </w:r>
      <w:r w:rsidRPr="00E244B2">
        <w:rPr>
          <w:b/>
        </w:rPr>
        <w:t xml:space="preserve">presence of hospital-acquired diagnoses on cost and length of stay was explored for a subset of high volume and </w:t>
      </w:r>
      <w:r w:rsidR="00F50FB9" w:rsidRPr="00E244B2">
        <w:rPr>
          <w:b/>
        </w:rPr>
        <w:t xml:space="preserve">high </w:t>
      </w:r>
      <w:r w:rsidRPr="00E244B2">
        <w:rPr>
          <w:b/>
        </w:rPr>
        <w:t>priority</w:t>
      </w:r>
      <w:r w:rsidR="00B80936" w:rsidRPr="00E244B2">
        <w:rPr>
          <w:b/>
        </w:rPr>
        <w:t xml:space="preserve"> conditions/ interventions </w:t>
      </w:r>
      <w:r w:rsidRPr="00E244B2">
        <w:rPr>
          <w:b/>
        </w:rPr>
        <w:t>that was identified by the Commission</w:t>
      </w:r>
      <w:r w:rsidRPr="00E244B2">
        <w:rPr>
          <w:rStyle w:val="FootnoteReference"/>
        </w:rPr>
        <w:footnoteReference w:id="1"/>
      </w:r>
      <w:r w:rsidRPr="00E244B2">
        <w:t xml:space="preserve">.  It was found the costs for episodes with hospital-acquired diagnoses present were $9,200 per episode higher </w:t>
      </w:r>
      <w:r w:rsidR="00F50FB9" w:rsidRPr="00E244B2">
        <w:t xml:space="preserve">on average </w:t>
      </w:r>
      <w:r w:rsidRPr="00E244B2">
        <w:t xml:space="preserve">than was the case for episodes without these conditions. The length of stay </w:t>
      </w:r>
      <w:r w:rsidR="00F50FB9" w:rsidRPr="00E244B2">
        <w:t>averaged</w:t>
      </w:r>
      <w:r w:rsidRPr="00E244B2">
        <w:t xml:space="preserve"> 5.3 days longer.  Many of these episodes have more than one hospital-acquired diagnosis reported, so these estimates reflect the combined impact of all hospital-acquired diagnoses present within a particular episode.  </w:t>
      </w:r>
    </w:p>
    <w:p w:rsidR="007718C7" w:rsidRPr="00E244B2" w:rsidRDefault="007718C7" w:rsidP="00B270C2">
      <w:pPr>
        <w:pStyle w:val="ListParagraph"/>
        <w:numPr>
          <w:ilvl w:val="0"/>
          <w:numId w:val="32"/>
        </w:numPr>
        <w:ind w:left="714" w:hanging="357"/>
        <w:contextualSpacing w:val="0"/>
      </w:pPr>
      <w:r w:rsidRPr="00E244B2">
        <w:t>Modelling at a more detailed level revealed that the cost and length of stay impacts vary significantly according to the type of hospital-acquired diagnosis.  The total cost impact is a function of both the additional costs and the frequency with which particular types of hospital-acquired diagnoses occur.  For example, there were relatively few instances of a foreign body being retained in a patient after a procedure, but each instance costs almost $10,000.  In contrast, pressure ulcers result in relatively low additional costs per episode (about $1,850), but they are estimated to cost a total of $11 million nationally due to their relatively high prevalence within the AR-DRGs modelled.  Note that these estimates also relate to a single hospitalisation rather than ongoing costs of treatment.</w:t>
      </w:r>
    </w:p>
    <w:p w:rsidR="007718C7" w:rsidRPr="00E244B2" w:rsidRDefault="00C72246" w:rsidP="006B7468">
      <w:pPr>
        <w:pStyle w:val="ListParagraph"/>
        <w:numPr>
          <w:ilvl w:val="0"/>
          <w:numId w:val="32"/>
        </w:numPr>
        <w:ind w:left="714" w:hanging="357"/>
        <w:contextualSpacing w:val="0"/>
      </w:pPr>
      <w:r>
        <w:t>M</w:t>
      </w:r>
      <w:r w:rsidR="007718C7" w:rsidRPr="00E244B2">
        <w:t xml:space="preserve">odelling suggested that hospital-acquired diagnoses potentially explained between 12.0% and 16.5% of total costs within the sample hospitals for the high volume ADRGs analysed. </w:t>
      </w:r>
    </w:p>
    <w:p w:rsidR="007718C7" w:rsidRPr="00E244B2" w:rsidRDefault="007718C7" w:rsidP="00C7518C">
      <w:r w:rsidRPr="00E244B2">
        <w:t>This analysis suggests that in setting priorities for improved patient safety, there needs to be sufficient attention on low cost but relatively common complications, such as hypotension, electrolyte disorders and urinary tract infections, as well as high cost hospital-acquired diagnoses.</w:t>
      </w:r>
    </w:p>
    <w:p w:rsidR="007718C7" w:rsidRPr="00E244B2" w:rsidRDefault="007718C7" w:rsidP="00C7518C">
      <w:r w:rsidRPr="00E244B2">
        <w:t>There are four recommendations arising from the study.  These are:</w:t>
      </w:r>
    </w:p>
    <w:p w:rsidR="007718C7" w:rsidRPr="00E244B2" w:rsidRDefault="007718C7" w:rsidP="00DB542A">
      <w:pPr>
        <w:pStyle w:val="ListParagraph"/>
        <w:numPr>
          <w:ilvl w:val="0"/>
          <w:numId w:val="34"/>
        </w:numPr>
        <w:ind w:left="714" w:hanging="357"/>
        <w:contextualSpacing w:val="0"/>
      </w:pPr>
      <w:r w:rsidRPr="00E244B2">
        <w:t>That the COF becomes part of routine auditing of clinical coding undertaken by states and territories.</w:t>
      </w:r>
    </w:p>
    <w:p w:rsidR="007718C7" w:rsidRPr="00E244B2" w:rsidRDefault="007718C7" w:rsidP="00DB542A">
      <w:pPr>
        <w:pStyle w:val="ListParagraph"/>
        <w:numPr>
          <w:ilvl w:val="0"/>
          <w:numId w:val="34"/>
        </w:numPr>
        <w:ind w:left="714" w:hanging="357"/>
        <w:contextualSpacing w:val="0"/>
      </w:pPr>
      <w:r w:rsidRPr="00E244B2">
        <w:t>That a system for grouping together related hospital ‘events’ (i.e. diagnoses and procedures) to assist in accurately counting hospital-acquired events, and the procedures that result from them be further pursued.</w:t>
      </w:r>
    </w:p>
    <w:p w:rsidR="007718C7" w:rsidRPr="00E244B2" w:rsidRDefault="007718C7" w:rsidP="00A42D21">
      <w:pPr>
        <w:pStyle w:val="ListParagraph"/>
        <w:numPr>
          <w:ilvl w:val="0"/>
          <w:numId w:val="34"/>
        </w:numPr>
        <w:ind w:left="714" w:hanging="357"/>
        <w:contextualSpacing w:val="0"/>
      </w:pPr>
      <w:r w:rsidRPr="00E244B2">
        <w:t xml:space="preserve">That further work on identifying false positives (i.e. complications that are not hospital-acquired but are flagged as such) and false negatives (i.e. complications that are most certainly hospital-acquired but are not flagged as such) in the APC NMDS be </w:t>
      </w:r>
      <w:r w:rsidRPr="00E244B2">
        <w:lastRenderedPageBreak/>
        <w:t>undertaken. The work should involve clinicians as well as reviewing the rich literature on these issues.</w:t>
      </w:r>
    </w:p>
    <w:p w:rsidR="007718C7" w:rsidRPr="00E244B2" w:rsidRDefault="007718C7" w:rsidP="00B270C2">
      <w:pPr>
        <w:pStyle w:val="ListParagraph"/>
        <w:numPr>
          <w:ilvl w:val="0"/>
          <w:numId w:val="34"/>
        </w:numPr>
      </w:pPr>
      <w:r w:rsidRPr="00E244B2">
        <w:t>COF coding be extended to capture complications arising during care provided at another facility or during a preceding admission (e.g. an infection acquired during a same day surgical procedure or a fall in a previous sub- or non-acute admission requiring a ‘type change’ to acute).</w:t>
      </w:r>
    </w:p>
    <w:p w:rsidR="007718C7" w:rsidRPr="006B7468" w:rsidRDefault="007718C7" w:rsidP="00C7518C">
      <w:pPr>
        <w:sectPr w:rsidR="007718C7" w:rsidRPr="006B7468" w:rsidSect="00B30967">
          <w:headerReference w:type="default" r:id="rId18"/>
          <w:footerReference w:type="default" r:id="rId19"/>
          <w:headerReference w:type="first" r:id="rId20"/>
          <w:footerReference w:type="first" r:id="rId21"/>
          <w:pgSz w:w="11906" w:h="16838"/>
          <w:pgMar w:top="1440" w:right="1440" w:bottom="1440" w:left="1440" w:header="708" w:footer="708" w:gutter="0"/>
          <w:pgNumType w:fmt="lowerRoman" w:start="1"/>
          <w:cols w:space="708"/>
          <w:titlePg/>
          <w:docGrid w:linePitch="360"/>
        </w:sectPr>
      </w:pPr>
    </w:p>
    <w:p w:rsidR="007718C7" w:rsidRPr="00E5676C" w:rsidRDefault="007718C7" w:rsidP="00A75A2D">
      <w:pPr>
        <w:pStyle w:val="Heading1"/>
        <w:numPr>
          <w:ilvl w:val="0"/>
          <w:numId w:val="6"/>
        </w:numPr>
        <w:ind w:left="0" w:hanging="851"/>
        <w:rPr>
          <w:b w:val="0"/>
          <w:sz w:val="92"/>
          <w:szCs w:val="28"/>
        </w:rPr>
      </w:pPr>
      <w:bookmarkStart w:id="1" w:name="_Toc374114568"/>
      <w:r>
        <w:rPr>
          <w:b w:val="0"/>
          <w:sz w:val="92"/>
          <w:szCs w:val="28"/>
        </w:rPr>
        <w:lastRenderedPageBreak/>
        <w:t>Overview</w:t>
      </w:r>
      <w:bookmarkEnd w:id="1"/>
    </w:p>
    <w:p w:rsidR="007718C7" w:rsidRDefault="007718C7" w:rsidP="00C3500D">
      <w:pPr>
        <w:widowControl w:val="0"/>
        <w:autoSpaceDE w:val="0"/>
        <w:autoSpaceDN w:val="0"/>
        <w:adjustRightInd w:val="0"/>
        <w:spacing w:after="120"/>
        <w:ind w:right="-11"/>
        <w:rPr>
          <w:szCs w:val="20"/>
        </w:rPr>
      </w:pPr>
      <w:r>
        <w:rPr>
          <w:szCs w:val="20"/>
        </w:rPr>
        <w:t>This Chapter provides a more detailed summary of the project methodology and results.</w:t>
      </w:r>
    </w:p>
    <w:p w:rsidR="007718C7" w:rsidRPr="008D3BBD" w:rsidRDefault="007718C7" w:rsidP="00A75A2D">
      <w:pPr>
        <w:widowControl w:val="0"/>
        <w:autoSpaceDE w:val="0"/>
        <w:autoSpaceDN w:val="0"/>
        <w:adjustRightInd w:val="0"/>
        <w:spacing w:after="120"/>
        <w:ind w:right="-11"/>
        <w:rPr>
          <w:szCs w:val="20"/>
        </w:rPr>
      </w:pPr>
      <w:r w:rsidRPr="008D3BBD">
        <w:rPr>
          <w:szCs w:val="20"/>
        </w:rPr>
        <w:t xml:space="preserve">The Australian Commission on Safety and Quality in Health Care (the Commission) engaged Health Policy Analysis </w:t>
      </w:r>
      <w:r>
        <w:rPr>
          <w:szCs w:val="20"/>
        </w:rPr>
        <w:t xml:space="preserve">to </w:t>
      </w:r>
      <w:r w:rsidRPr="008D3BBD">
        <w:rPr>
          <w:szCs w:val="20"/>
        </w:rPr>
        <w:t xml:space="preserve">analyse hospital-acquired diagnoses and their effect on case complexity and resource use. </w:t>
      </w:r>
    </w:p>
    <w:p w:rsidR="007718C7" w:rsidRDefault="007718C7" w:rsidP="00C3500D">
      <w:pPr>
        <w:widowControl w:val="0"/>
        <w:autoSpaceDE w:val="0"/>
        <w:autoSpaceDN w:val="0"/>
        <w:adjustRightInd w:val="0"/>
        <w:spacing w:after="120"/>
        <w:ind w:right="-11"/>
        <w:rPr>
          <w:szCs w:val="20"/>
        </w:rPr>
      </w:pPr>
      <w:r w:rsidRPr="008D3BBD">
        <w:rPr>
          <w:szCs w:val="20"/>
        </w:rPr>
        <w:t xml:space="preserve">This </w:t>
      </w:r>
      <w:r>
        <w:rPr>
          <w:szCs w:val="20"/>
        </w:rPr>
        <w:t>project is of joint interest</w:t>
      </w:r>
      <w:r w:rsidRPr="008D3BBD">
        <w:rPr>
          <w:szCs w:val="20"/>
        </w:rPr>
        <w:t xml:space="preserve"> </w:t>
      </w:r>
      <w:r w:rsidR="00DB54E3">
        <w:rPr>
          <w:szCs w:val="20"/>
        </w:rPr>
        <w:t>to</w:t>
      </w:r>
      <w:r w:rsidRPr="008D3BBD">
        <w:rPr>
          <w:szCs w:val="20"/>
        </w:rPr>
        <w:t xml:space="preserve"> the Commission and the Independent Hospital Pricing Authority (IHPA). Responding to submissions received by IHPA in its consultation around the Pricing Framework, the Commission and IHPA created a Joint Working Party</w:t>
      </w:r>
      <w:r>
        <w:rPr>
          <w:szCs w:val="20"/>
        </w:rPr>
        <w:t xml:space="preserve"> for Safety and Quality in Health Care</w:t>
      </w:r>
      <w:r w:rsidRPr="008D3BBD">
        <w:rPr>
          <w:szCs w:val="20"/>
        </w:rPr>
        <w:t xml:space="preserve"> (JWP) to consider options on the most appropriate approaches for ensuring safety and quality in the provision of health care services </w:t>
      </w:r>
      <w:r>
        <w:rPr>
          <w:szCs w:val="20"/>
        </w:rPr>
        <w:t xml:space="preserve">under the new funding reforms </w:t>
      </w:r>
      <w:r w:rsidRPr="006F2274">
        <w:rPr>
          <w:szCs w:val="20"/>
        </w:rPr>
        <w:t>of the National Health Reform Agreement (NHRA).</w:t>
      </w:r>
      <w:r>
        <w:rPr>
          <w:szCs w:val="20"/>
        </w:rPr>
        <w:t xml:space="preserve"> </w:t>
      </w:r>
    </w:p>
    <w:p w:rsidR="007718C7" w:rsidRPr="002047F0" w:rsidRDefault="007718C7" w:rsidP="00C3500D">
      <w:pPr>
        <w:rPr>
          <w:szCs w:val="20"/>
        </w:rPr>
      </w:pPr>
      <w:r w:rsidRPr="002047F0">
        <w:rPr>
          <w:szCs w:val="20"/>
        </w:rPr>
        <w:t xml:space="preserve">On 1 July 2012, a national system of </w:t>
      </w:r>
      <w:r>
        <w:rPr>
          <w:szCs w:val="20"/>
        </w:rPr>
        <w:t>activity based funding (</w:t>
      </w:r>
      <w:r w:rsidRPr="002047F0">
        <w:rPr>
          <w:szCs w:val="20"/>
        </w:rPr>
        <w:t>ABF</w:t>
      </w:r>
      <w:r>
        <w:rPr>
          <w:szCs w:val="20"/>
        </w:rPr>
        <w:t>)</w:t>
      </w:r>
      <w:r w:rsidRPr="002047F0">
        <w:rPr>
          <w:szCs w:val="20"/>
        </w:rPr>
        <w:t xml:space="preserve"> was introduced </w:t>
      </w:r>
      <w:r w:rsidRPr="006F2274">
        <w:rPr>
          <w:szCs w:val="20"/>
        </w:rPr>
        <w:t xml:space="preserve">under the NHRA </w:t>
      </w:r>
      <w:r w:rsidRPr="002047F0">
        <w:rPr>
          <w:szCs w:val="20"/>
        </w:rPr>
        <w:t xml:space="preserve">for the funding of </w:t>
      </w:r>
      <w:r>
        <w:rPr>
          <w:szCs w:val="20"/>
        </w:rPr>
        <w:t>public hospital</w:t>
      </w:r>
      <w:r w:rsidR="00F50FB9">
        <w:rPr>
          <w:szCs w:val="20"/>
        </w:rPr>
        <w:t xml:space="preserve"> services</w:t>
      </w:r>
      <w:r>
        <w:rPr>
          <w:szCs w:val="20"/>
        </w:rPr>
        <w:t xml:space="preserve"> in Australia</w:t>
      </w:r>
      <w:r w:rsidRPr="002047F0">
        <w:rPr>
          <w:szCs w:val="20"/>
        </w:rPr>
        <w:t>. For acute admitted patient care, the system is based on weights (National Weighted Activity Units or NWAUs) developed fo</w:t>
      </w:r>
      <w:r>
        <w:rPr>
          <w:szCs w:val="20"/>
        </w:rPr>
        <w:t xml:space="preserve">r Australian Refined </w:t>
      </w:r>
      <w:r w:rsidRPr="002047F0">
        <w:rPr>
          <w:szCs w:val="20"/>
        </w:rPr>
        <w:t>Diagnosis Related Groups (</w:t>
      </w:r>
      <w:r>
        <w:rPr>
          <w:szCs w:val="20"/>
        </w:rPr>
        <w:t>AR-</w:t>
      </w:r>
      <w:r w:rsidRPr="002047F0">
        <w:rPr>
          <w:szCs w:val="20"/>
        </w:rPr>
        <w:t xml:space="preserve">DRGs). The resulting weight for each patient episode is then multiplied by the National Efficient Price, which will ultimately be used to determine the Commonwealth component of funding to </w:t>
      </w:r>
      <w:r>
        <w:rPr>
          <w:szCs w:val="20"/>
        </w:rPr>
        <w:t>public</w:t>
      </w:r>
      <w:r w:rsidRPr="002047F0">
        <w:rPr>
          <w:szCs w:val="20"/>
        </w:rPr>
        <w:t xml:space="preserve"> hospitals.</w:t>
      </w:r>
    </w:p>
    <w:p w:rsidR="007718C7" w:rsidRPr="002047F0" w:rsidRDefault="007718C7" w:rsidP="00C3500D">
      <w:pPr>
        <w:rPr>
          <w:szCs w:val="20"/>
        </w:rPr>
      </w:pPr>
      <w:r w:rsidRPr="002047F0">
        <w:rPr>
          <w:szCs w:val="20"/>
        </w:rPr>
        <w:t>The payment system does not incorporate a</w:t>
      </w:r>
      <w:r>
        <w:rPr>
          <w:szCs w:val="20"/>
        </w:rPr>
        <w:t>n explicit</w:t>
      </w:r>
      <w:r w:rsidRPr="002047F0">
        <w:rPr>
          <w:szCs w:val="20"/>
        </w:rPr>
        <w:t xml:space="preserve"> quality dimension</w:t>
      </w:r>
      <w:r>
        <w:rPr>
          <w:szCs w:val="20"/>
        </w:rPr>
        <w:t>.  A</w:t>
      </w:r>
      <w:r w:rsidRPr="002047F0">
        <w:rPr>
          <w:szCs w:val="20"/>
        </w:rPr>
        <w:t>ll episodes are included in the development of the NWAUs, and all episodes in scope are paid for</w:t>
      </w:r>
      <w:r>
        <w:rPr>
          <w:szCs w:val="20"/>
        </w:rPr>
        <w:t>, which includes the entire spectrum of quality of care delivered</w:t>
      </w:r>
      <w:r w:rsidRPr="002047F0">
        <w:rPr>
          <w:szCs w:val="20"/>
        </w:rPr>
        <w:t>.</w:t>
      </w:r>
    </w:p>
    <w:p w:rsidR="007718C7" w:rsidRPr="002047F0" w:rsidRDefault="007718C7" w:rsidP="00C3500D">
      <w:pPr>
        <w:rPr>
          <w:szCs w:val="20"/>
        </w:rPr>
      </w:pPr>
      <w:r w:rsidRPr="002047F0">
        <w:rPr>
          <w:szCs w:val="20"/>
        </w:rPr>
        <w:t xml:space="preserve">Internationally, there have been efforts in recent years to adjust hospital funding based on the quality of care provided by </w:t>
      </w:r>
      <w:r>
        <w:rPr>
          <w:szCs w:val="20"/>
        </w:rPr>
        <w:t xml:space="preserve">the </w:t>
      </w:r>
      <w:r w:rsidRPr="002047F0">
        <w:rPr>
          <w:szCs w:val="20"/>
        </w:rPr>
        <w:t>hospital. A variety of approaches ha</w:t>
      </w:r>
      <w:r>
        <w:rPr>
          <w:szCs w:val="20"/>
        </w:rPr>
        <w:t>s</w:t>
      </w:r>
      <w:r w:rsidRPr="002047F0">
        <w:rPr>
          <w:szCs w:val="20"/>
        </w:rPr>
        <w:t xml:space="preserve"> been used by different countries and payers. </w:t>
      </w:r>
    </w:p>
    <w:p w:rsidR="007718C7" w:rsidRPr="002047F0" w:rsidRDefault="007718C7" w:rsidP="00C3500D">
      <w:pPr>
        <w:rPr>
          <w:szCs w:val="20"/>
        </w:rPr>
      </w:pPr>
      <w:r w:rsidRPr="002047F0">
        <w:rPr>
          <w:szCs w:val="20"/>
        </w:rPr>
        <w:t xml:space="preserve">The Commission and IHPA jointly commissioned a systematic review of the literature on this issue.  It </w:t>
      </w:r>
      <w:r w:rsidRPr="006972A5">
        <w:rPr>
          <w:szCs w:val="20"/>
        </w:rPr>
        <w:t>found no material impact on the outcomes of care of the introduction of payment systems incorporating a quality component.  However, it did find evidence</w:t>
      </w:r>
      <w:r w:rsidRPr="002047F0">
        <w:rPr>
          <w:szCs w:val="20"/>
        </w:rPr>
        <w:t xml:space="preserve"> for the impact of </w:t>
      </w:r>
      <w:r w:rsidR="00F50FB9">
        <w:rPr>
          <w:szCs w:val="20"/>
        </w:rPr>
        <w:t xml:space="preserve">providing </w:t>
      </w:r>
      <w:r w:rsidRPr="002047F0">
        <w:rPr>
          <w:szCs w:val="20"/>
        </w:rPr>
        <w:t>relevant and timely data and information for driving safety and quality improvements.</w:t>
      </w:r>
    </w:p>
    <w:p w:rsidR="007718C7" w:rsidRDefault="007718C7" w:rsidP="00176FC1">
      <w:pPr>
        <w:rPr>
          <w:szCs w:val="20"/>
        </w:rPr>
      </w:pPr>
      <w:r>
        <w:rPr>
          <w:szCs w:val="20"/>
        </w:rPr>
        <w:t>T</w:t>
      </w:r>
      <w:r w:rsidRPr="002047F0">
        <w:rPr>
          <w:szCs w:val="20"/>
        </w:rPr>
        <w:t xml:space="preserve">he Commission and IHPA </w:t>
      </w:r>
      <w:r>
        <w:rPr>
          <w:szCs w:val="20"/>
        </w:rPr>
        <w:t>are</w:t>
      </w:r>
      <w:r w:rsidRPr="002047F0">
        <w:rPr>
          <w:szCs w:val="20"/>
        </w:rPr>
        <w:t xml:space="preserve"> now undertak</w:t>
      </w:r>
      <w:r>
        <w:rPr>
          <w:szCs w:val="20"/>
        </w:rPr>
        <w:t>ing</w:t>
      </w:r>
      <w:r w:rsidRPr="002047F0">
        <w:rPr>
          <w:szCs w:val="20"/>
        </w:rPr>
        <w:t xml:space="preserve"> further work on ways in which data routinely generated by hospitals can be used towards improving safety and quality.</w:t>
      </w:r>
      <w:r>
        <w:rPr>
          <w:szCs w:val="20"/>
        </w:rPr>
        <w:t xml:space="preserve"> One of the variables available in these data is a flag against each diagnosis for a patient identifying which ones were pre-existing at the time of the patient’s admission to hospital, and which diagnoses arose during the hospital stay. This is known as the condition onset flag (COF), and has been collected in a standardised way on a national basis in Australia since 1 July 2008.</w:t>
      </w:r>
    </w:p>
    <w:p w:rsidR="00C224FC" w:rsidRPr="00C224FC" w:rsidRDefault="007718C7" w:rsidP="00C224FC">
      <w:pPr>
        <w:rPr>
          <w:szCs w:val="20"/>
        </w:rPr>
      </w:pPr>
      <w:r>
        <w:rPr>
          <w:szCs w:val="20"/>
        </w:rPr>
        <w:t>It is acknowledged that the COF has limitations as a measure of quality of care. Q</w:t>
      </w:r>
      <w:r w:rsidRPr="00176FC1">
        <w:rPr>
          <w:szCs w:val="20"/>
        </w:rPr>
        <w:t>uality</w:t>
      </w:r>
      <w:r>
        <w:rPr>
          <w:szCs w:val="20"/>
        </w:rPr>
        <w:t xml:space="preserve"> in the context of health care </w:t>
      </w:r>
      <w:r w:rsidRPr="00176FC1">
        <w:rPr>
          <w:szCs w:val="20"/>
        </w:rPr>
        <w:t>is defined as “</w:t>
      </w:r>
      <w:r w:rsidRPr="00176FC1">
        <w:rPr>
          <w:i/>
          <w:szCs w:val="20"/>
        </w:rPr>
        <w:t>the degree to which health services for individuals and populations increase the likelihood of desired health outcomes and are consistent with current professional knowledge</w:t>
      </w:r>
      <w:r w:rsidRPr="00176FC1">
        <w:rPr>
          <w:szCs w:val="20"/>
        </w:rPr>
        <w:t>”</w:t>
      </w:r>
      <w:r>
        <w:rPr>
          <w:szCs w:val="20"/>
        </w:rPr>
        <w:t xml:space="preserve"> (</w:t>
      </w:r>
      <w:hyperlink w:anchor="_ENREF_17" w:tooltip="Institute of Medicine, 2013 #119" w:history="1">
        <w:r w:rsidR="00C33CAE">
          <w:rPr>
            <w:szCs w:val="20"/>
          </w:rPr>
          <w:fldChar w:fldCharType="begin"/>
        </w:r>
        <w:r w:rsidR="00C33CAE">
          <w:rPr>
            <w:szCs w:val="20"/>
          </w:rPr>
          <w:instrText xml:space="preserve"> ADDIN EN.CITE &lt;EndNote&gt;&lt;Cite&gt;&lt;Author&gt;Institute of Medicine&lt;/Author&gt;&lt;Year&gt;2013&lt;/Year&gt;&lt;RecNum&gt;119&lt;/RecNum&gt;&lt;DisplayText&gt;Institute of Medicine, 2013&lt;/DisplayText&gt;&lt;record&gt;&lt;rec-number&gt;119&lt;/rec-number&gt;&lt;foreign-keys&gt;&lt;key app="EN" db-id="92tftt5v2arxd6e9wzr50w2w0rz0epx099ft" timestamp="1380343037"&gt;119&lt;/key&gt;&lt;/foreign-keys&gt;&lt;ref-type name="Web Page"&gt;12&lt;/ref-type&gt;&lt;contributors&gt;&lt;authors&gt;&lt;author&gt;Institute of Medicine,,&lt;/author&gt;&lt;/authors&gt;&lt;/contributors&gt;&lt;titles&gt;&lt;title&gt;Crossing the Quality Chasm: The IOM Health Care Quality Initiative&lt;/title&gt;&lt;/titles&gt;&lt;number&gt;20 September 2013&lt;/number&gt;&lt;dates&gt;&lt;year&gt;2013&lt;/year&gt;&lt;/dates&gt;&lt;urls&gt;&lt;related-urls&gt;&lt;url&gt;http://www.iom.edu/Global/News%20Announcements/Crossing-the-Quality-Chasm-The-IOM-Health-Care-Quality-Initiative.aspx&lt;/url&gt;&lt;/related-urls&gt;&lt;/urls&gt;&lt;/record&gt;&lt;/Cite&gt;&lt;/EndNote&gt;</w:instrText>
        </w:r>
        <w:r w:rsidR="00C33CAE">
          <w:rPr>
            <w:szCs w:val="20"/>
          </w:rPr>
          <w:fldChar w:fldCharType="separate"/>
        </w:r>
        <w:r w:rsidR="00C33CAE">
          <w:rPr>
            <w:noProof/>
            <w:szCs w:val="20"/>
          </w:rPr>
          <w:t>Institute of Medicine, 2013</w:t>
        </w:r>
        <w:r w:rsidR="00C33CAE">
          <w:rPr>
            <w:szCs w:val="20"/>
          </w:rPr>
          <w:fldChar w:fldCharType="end"/>
        </w:r>
      </w:hyperlink>
      <w:r>
        <w:rPr>
          <w:szCs w:val="20"/>
        </w:rPr>
        <w:t xml:space="preserve">). Quality of care </w:t>
      </w:r>
      <w:r w:rsidRPr="00176FC1">
        <w:rPr>
          <w:szCs w:val="20"/>
        </w:rPr>
        <w:t xml:space="preserve">encompasses dimensions such as timeliness and clinical appropriateness. </w:t>
      </w:r>
      <w:r>
        <w:rPr>
          <w:szCs w:val="20"/>
        </w:rPr>
        <w:t>The main contribution of COF is as a measure of safety; that is, flagging adverse events (see discussion below under ‘</w:t>
      </w:r>
      <w:r w:rsidRPr="00C4727E">
        <w:rPr>
          <w:i/>
          <w:szCs w:val="20"/>
        </w:rPr>
        <w:t>What is the potential for hospitals to use the COF for monitoring patient safety?</w:t>
      </w:r>
      <w:r>
        <w:rPr>
          <w:szCs w:val="20"/>
        </w:rPr>
        <w:t>’).</w:t>
      </w:r>
    </w:p>
    <w:tbl>
      <w:tblPr>
        <w:tblW w:w="0" w:type="auto"/>
        <w:tblBorders>
          <w:top w:val="single" w:sz="4" w:space="0" w:color="BFBFBF"/>
          <w:left w:val="single" w:sz="4" w:space="0" w:color="BFBFBF"/>
          <w:bottom w:val="single" w:sz="4" w:space="0" w:color="BFBFBF"/>
          <w:right w:val="single" w:sz="4" w:space="0" w:color="BFBFBF"/>
        </w:tblBorders>
        <w:tblLook w:val="00A0" w:firstRow="1" w:lastRow="0" w:firstColumn="1" w:lastColumn="0" w:noHBand="0" w:noVBand="0"/>
      </w:tblPr>
      <w:tblGrid>
        <w:gridCol w:w="9016"/>
      </w:tblGrid>
      <w:tr w:rsidR="00C224FC" w:rsidTr="00290091">
        <w:tc>
          <w:tcPr>
            <w:tcW w:w="9016" w:type="dxa"/>
            <w:tcBorders>
              <w:top w:val="single" w:sz="4" w:space="0" w:color="BFBFBF"/>
            </w:tcBorders>
            <w:shd w:val="clear" w:color="auto" w:fill="F2F2F2"/>
          </w:tcPr>
          <w:p w:rsidR="00C224FC" w:rsidRPr="00F220A3" w:rsidRDefault="00C224FC" w:rsidP="00290091">
            <w:pPr>
              <w:jc w:val="center"/>
              <w:rPr>
                <w:b/>
                <w:sz w:val="18"/>
                <w:szCs w:val="18"/>
              </w:rPr>
            </w:pPr>
            <w:r w:rsidRPr="00F220A3">
              <w:rPr>
                <w:b/>
                <w:sz w:val="18"/>
                <w:szCs w:val="18"/>
              </w:rPr>
              <w:lastRenderedPageBreak/>
              <w:t>Concepts used in this report</w:t>
            </w:r>
          </w:p>
          <w:p w:rsidR="00C224FC" w:rsidRPr="00F220A3" w:rsidRDefault="00C224FC" w:rsidP="00290091">
            <w:pPr>
              <w:rPr>
                <w:sz w:val="18"/>
                <w:szCs w:val="18"/>
              </w:rPr>
            </w:pPr>
            <w:r w:rsidRPr="00F220A3">
              <w:rPr>
                <w:b/>
                <w:sz w:val="18"/>
                <w:szCs w:val="18"/>
              </w:rPr>
              <w:t>Condition onset flag (COF):</w:t>
            </w:r>
            <w:r w:rsidRPr="00F220A3">
              <w:rPr>
                <w:sz w:val="18"/>
                <w:szCs w:val="18"/>
              </w:rPr>
              <w:t xml:space="preserve"> A flag to indicate whether a diagnosis reported for an admitted episode of care had an onset during the episode or otherwise.  A COF is assigned to each diagnosis reported for each patient for an episode of care.  It is assigned to the principal as well as additional diagnoses.  The principal diagnosis code is always assigned a flag of </w:t>
            </w:r>
            <w:r w:rsidRPr="00F220A3">
              <w:rPr>
                <w:sz w:val="18"/>
                <w:szCs w:val="18"/>
                <w:u w:val="single"/>
              </w:rPr>
              <w:t>not</w:t>
            </w:r>
            <w:r w:rsidRPr="00F220A3">
              <w:rPr>
                <w:sz w:val="18"/>
                <w:szCs w:val="18"/>
              </w:rPr>
              <w:t xml:space="preserve"> noted as arising during the episode of admitted patient care. The exception to this is neonates in their admitted birth episode where codes sequenced as the principal diagnosis may be assigned as having an onset during the episode of admitted patient care, if appropriate.</w:t>
            </w:r>
          </w:p>
          <w:p w:rsidR="00C224FC" w:rsidRPr="00F220A3" w:rsidRDefault="00C224FC" w:rsidP="00290091">
            <w:pPr>
              <w:rPr>
                <w:sz w:val="18"/>
                <w:szCs w:val="18"/>
              </w:rPr>
            </w:pPr>
            <w:r w:rsidRPr="00F220A3">
              <w:rPr>
                <w:b/>
                <w:sz w:val="18"/>
                <w:szCs w:val="18"/>
              </w:rPr>
              <w:t>COF diagnoses</w:t>
            </w:r>
            <w:r w:rsidRPr="00F220A3">
              <w:rPr>
                <w:sz w:val="18"/>
                <w:szCs w:val="18"/>
              </w:rPr>
              <w:t>: Diagnoses flagged as having an onset during the episode of admitted patient care.</w:t>
            </w:r>
          </w:p>
          <w:p w:rsidR="00C224FC" w:rsidRPr="00F220A3" w:rsidRDefault="00C224FC" w:rsidP="00290091">
            <w:pPr>
              <w:rPr>
                <w:sz w:val="18"/>
                <w:szCs w:val="18"/>
              </w:rPr>
            </w:pPr>
            <w:r w:rsidRPr="00F220A3">
              <w:rPr>
                <w:b/>
                <w:sz w:val="18"/>
                <w:szCs w:val="18"/>
              </w:rPr>
              <w:t>Hospital-acquired diagnoses</w:t>
            </w:r>
            <w:r w:rsidRPr="00F220A3">
              <w:rPr>
                <w:sz w:val="18"/>
                <w:szCs w:val="18"/>
              </w:rPr>
              <w:t>: Synonymous with COF diagnoses, that is, diagnoses flagged as having an onset during the episode of admitted patient care.</w:t>
            </w:r>
          </w:p>
          <w:p w:rsidR="00C224FC" w:rsidRPr="00F220A3" w:rsidRDefault="00C224FC" w:rsidP="00290091">
            <w:pPr>
              <w:rPr>
                <w:sz w:val="18"/>
                <w:szCs w:val="18"/>
              </w:rPr>
            </w:pPr>
            <w:r w:rsidRPr="00F220A3">
              <w:rPr>
                <w:b/>
                <w:sz w:val="18"/>
                <w:szCs w:val="18"/>
              </w:rPr>
              <w:t>Principal diagnosis</w:t>
            </w:r>
            <w:r w:rsidRPr="00F220A3">
              <w:rPr>
                <w:sz w:val="18"/>
                <w:szCs w:val="18"/>
              </w:rPr>
              <w:t>: The diagnosis established after study to be chiefly responsible for occasioning an episode of admitted patient care.</w:t>
            </w:r>
          </w:p>
          <w:p w:rsidR="00C224FC" w:rsidRPr="00F220A3" w:rsidRDefault="00C224FC" w:rsidP="00290091">
            <w:pPr>
              <w:rPr>
                <w:sz w:val="18"/>
                <w:szCs w:val="18"/>
              </w:rPr>
            </w:pPr>
            <w:r w:rsidRPr="00F220A3">
              <w:rPr>
                <w:b/>
                <w:sz w:val="18"/>
                <w:szCs w:val="18"/>
              </w:rPr>
              <w:t>Additional diagnoses</w:t>
            </w:r>
            <w:r w:rsidRPr="00F220A3">
              <w:rPr>
                <w:sz w:val="18"/>
                <w:szCs w:val="18"/>
              </w:rPr>
              <w:t>: Conditions or complaints either coexisting with the principal diagnosis or arising during the episode of admitted patient care.</w:t>
            </w:r>
          </w:p>
          <w:p w:rsidR="00C224FC" w:rsidRPr="00F220A3" w:rsidRDefault="00C224FC" w:rsidP="00290091">
            <w:pPr>
              <w:rPr>
                <w:sz w:val="18"/>
                <w:szCs w:val="18"/>
              </w:rPr>
            </w:pPr>
            <w:r w:rsidRPr="00F220A3">
              <w:rPr>
                <w:b/>
                <w:sz w:val="18"/>
                <w:szCs w:val="18"/>
              </w:rPr>
              <w:t>Australian Refined Diagnosis Related Groups (AR-DRGs)</w:t>
            </w:r>
            <w:r w:rsidRPr="00F220A3">
              <w:rPr>
                <w:sz w:val="18"/>
                <w:szCs w:val="18"/>
              </w:rPr>
              <w:t>:  A method of grouping acute admitted episodes into clinically meaningful, resource homogenous categories.  Episodes are assigned to AR-DRGs based on an algorithm that first partitions episodes into MDCs, which in turn is based on the principal diagnosis assigned to the episode.  The version of AR-DRGs used in this report is 6.0x. There are 708 AR-DRGs in this version.</w:t>
            </w:r>
          </w:p>
          <w:p w:rsidR="00C224FC" w:rsidRPr="00F220A3" w:rsidRDefault="00C224FC" w:rsidP="00290091">
            <w:pPr>
              <w:rPr>
                <w:sz w:val="18"/>
                <w:szCs w:val="18"/>
              </w:rPr>
            </w:pPr>
            <w:r w:rsidRPr="00F220A3">
              <w:rPr>
                <w:b/>
                <w:sz w:val="18"/>
                <w:szCs w:val="18"/>
              </w:rPr>
              <w:t>Major Diagnostic Categories (MDCs)</w:t>
            </w:r>
            <w:r w:rsidRPr="00F220A3">
              <w:rPr>
                <w:sz w:val="18"/>
                <w:szCs w:val="18"/>
              </w:rPr>
              <w:t>:  These represent body systems or conditions, broadly reflecting specialties providing care.</w:t>
            </w:r>
          </w:p>
          <w:p w:rsidR="00C224FC" w:rsidRPr="00F220A3" w:rsidRDefault="00C224FC" w:rsidP="00290091">
            <w:pPr>
              <w:rPr>
                <w:sz w:val="18"/>
                <w:szCs w:val="18"/>
              </w:rPr>
            </w:pPr>
            <w:r w:rsidRPr="00F220A3">
              <w:rPr>
                <w:b/>
                <w:sz w:val="18"/>
                <w:szCs w:val="18"/>
              </w:rPr>
              <w:t>Adjacent Diagnosis Related Groups (ADRGs)</w:t>
            </w:r>
            <w:r w:rsidRPr="00F220A3">
              <w:rPr>
                <w:sz w:val="18"/>
                <w:szCs w:val="18"/>
              </w:rPr>
              <w:t>:  These are groupings of procedures and conditions within an MDC. They are the next level of grouping following MDC, and preceding AR-DRGs.  There are 399 ADRGs in the version 6.0x AR-DRG classification.</w:t>
            </w:r>
          </w:p>
          <w:p w:rsidR="00C224FC" w:rsidRPr="00F220A3" w:rsidRDefault="00C224FC" w:rsidP="00290091">
            <w:pPr>
              <w:rPr>
                <w:sz w:val="18"/>
                <w:szCs w:val="18"/>
              </w:rPr>
            </w:pPr>
            <w:r w:rsidRPr="00F220A3">
              <w:rPr>
                <w:b/>
                <w:sz w:val="18"/>
                <w:szCs w:val="18"/>
              </w:rPr>
              <w:t>Complication and Co-morbidity Level (CCL)</w:t>
            </w:r>
            <w:r w:rsidRPr="00F220A3">
              <w:rPr>
                <w:sz w:val="18"/>
                <w:szCs w:val="18"/>
              </w:rPr>
              <w:t xml:space="preserve">: To determine the severity level of an episode to assign it to the appropriate AR-DRG within an ADRG, additional diagnoses are analysed.  Each additional diagnosis attracts a Complication and Comorbidity Level (CCL).  The level assigned may range from 0 to 4.  An assignment of a CCL level of 0 means that the additional diagnosis is not recognised as a complication or comorbidity (CC) for the purposes of AR-DRG assignment.  Of the approximately 19,500 valid ICD-10-AM diagnosis codes, just over 3,000 are recognised as CCs for neonates for AR-DRG version 6.0x (i.e. have a CCL value of greater than zero) and just under 3,000 codes are recognised as CCs for all other patients.  </w:t>
            </w:r>
          </w:p>
          <w:p w:rsidR="00C224FC" w:rsidRDefault="00C224FC" w:rsidP="00290091">
            <w:pPr>
              <w:rPr>
                <w:sz w:val="18"/>
                <w:szCs w:val="18"/>
              </w:rPr>
            </w:pPr>
            <w:r w:rsidRPr="00F220A3">
              <w:rPr>
                <w:b/>
                <w:sz w:val="18"/>
                <w:szCs w:val="18"/>
              </w:rPr>
              <w:t>Patient Clinical Complexity Level (PCCL)</w:t>
            </w:r>
            <w:r w:rsidRPr="00F220A3">
              <w:rPr>
                <w:sz w:val="18"/>
                <w:szCs w:val="18"/>
              </w:rPr>
              <w:t>: The combined effect of each CCL for each additional diagnosis is then determined using an algorithm to calculate what is known as the PCCL.  The PCCL is a summary of the combined impact of each additional diagnosis reported to a single episode of care with a CCL of greater than 0. PCCL will have a value of between 0 and 4.  Depending on the ADRG (i.e. whether or not it is split into severity levels), the PCCL will be used to allocate episodes to more or less complicated AR-DRGs.</w:t>
            </w:r>
          </w:p>
          <w:p w:rsidR="00E244B2" w:rsidRPr="00E244B2" w:rsidRDefault="00E244B2" w:rsidP="00E244B2">
            <w:pPr>
              <w:rPr>
                <w:b/>
                <w:sz w:val="18"/>
                <w:szCs w:val="18"/>
              </w:rPr>
            </w:pPr>
            <w:r w:rsidRPr="00F220A3">
              <w:rPr>
                <w:b/>
                <w:sz w:val="18"/>
                <w:szCs w:val="18"/>
              </w:rPr>
              <w:t>Severity level in AR-DRGs</w:t>
            </w:r>
            <w:r w:rsidRPr="00F220A3">
              <w:rPr>
                <w:sz w:val="18"/>
                <w:szCs w:val="18"/>
              </w:rPr>
              <w:t>: ADRGs may be split further based on the severity level assigned to the episode (i.e. the PCCL score).  In version 6.0x, 148 ADRGs have a single severity level, indicated by a ‘Z’ suffix of the corresponding AR-DRG. The remainder may be split into two or three severity levels indicated by an ‘A’, ’B’ or ‘C’ suffix on the AR-DRG.</w:t>
            </w:r>
          </w:p>
        </w:tc>
      </w:tr>
    </w:tbl>
    <w:p w:rsidR="00E244B2" w:rsidRDefault="00E244B2"/>
    <w:tbl>
      <w:tblPr>
        <w:tblW w:w="0" w:type="auto"/>
        <w:tblBorders>
          <w:top w:val="single" w:sz="4" w:space="0" w:color="BFBFBF"/>
          <w:left w:val="single" w:sz="4" w:space="0" w:color="BFBFBF"/>
          <w:bottom w:val="single" w:sz="4" w:space="0" w:color="BFBFBF"/>
          <w:right w:val="single" w:sz="4" w:space="0" w:color="BFBFBF"/>
        </w:tblBorders>
        <w:tblLook w:val="00A0" w:firstRow="1" w:lastRow="0" w:firstColumn="1" w:lastColumn="0" w:noHBand="0" w:noVBand="0"/>
      </w:tblPr>
      <w:tblGrid>
        <w:gridCol w:w="9016"/>
      </w:tblGrid>
      <w:tr w:rsidR="00C224FC" w:rsidTr="00290091">
        <w:tc>
          <w:tcPr>
            <w:tcW w:w="9016" w:type="dxa"/>
            <w:tcBorders>
              <w:bottom w:val="single" w:sz="4" w:space="0" w:color="BFBFBF"/>
            </w:tcBorders>
            <w:shd w:val="clear" w:color="auto" w:fill="F2F2F2"/>
          </w:tcPr>
          <w:p w:rsidR="00E244B2" w:rsidRPr="00F220A3" w:rsidRDefault="00E244B2" w:rsidP="00E244B2">
            <w:pPr>
              <w:rPr>
                <w:sz w:val="18"/>
                <w:szCs w:val="18"/>
              </w:rPr>
            </w:pPr>
            <w:r w:rsidRPr="00F220A3">
              <w:rPr>
                <w:b/>
                <w:sz w:val="18"/>
                <w:szCs w:val="18"/>
              </w:rPr>
              <w:lastRenderedPageBreak/>
              <w:t>International Classification of Diseases – 10</w:t>
            </w:r>
            <w:r w:rsidRPr="00F220A3">
              <w:rPr>
                <w:b/>
                <w:sz w:val="18"/>
                <w:szCs w:val="18"/>
                <w:vertAlign w:val="superscript"/>
              </w:rPr>
              <w:t>th</w:t>
            </w:r>
            <w:r w:rsidRPr="00F220A3">
              <w:rPr>
                <w:b/>
                <w:sz w:val="18"/>
                <w:szCs w:val="18"/>
              </w:rPr>
              <w:t xml:space="preserve"> Revision – Australian Modification (ICD-10-AM)</w:t>
            </w:r>
            <w:r w:rsidRPr="00F220A3">
              <w:rPr>
                <w:sz w:val="18"/>
                <w:szCs w:val="18"/>
              </w:rPr>
              <w:t>: This is a system used to represent diagnoses assigned to each patient, as abstracted from their medical record.  The system is hierarchical in that codes assigned can be grouped up in various ways (e.g. major conditions such as stroke), ultimately up to chapters representing body systems or major events (such as childbirth and the perinatal period).</w:t>
            </w:r>
          </w:p>
          <w:p w:rsidR="00E244B2" w:rsidRPr="00F220A3" w:rsidRDefault="00E244B2" w:rsidP="00E244B2">
            <w:pPr>
              <w:rPr>
                <w:sz w:val="18"/>
                <w:szCs w:val="18"/>
              </w:rPr>
            </w:pPr>
            <w:r w:rsidRPr="00F220A3">
              <w:rPr>
                <w:b/>
                <w:sz w:val="18"/>
                <w:szCs w:val="18"/>
              </w:rPr>
              <w:t>Classification of Hospital-Acquired Diagnoses (CHADx)</w:t>
            </w:r>
            <w:r w:rsidRPr="00F220A3">
              <w:rPr>
                <w:sz w:val="18"/>
                <w:szCs w:val="18"/>
              </w:rPr>
              <w:t>: A system for grouping of hospital-acquired diagnoses developed by researchers at the Australian Centre for Economic Research on Health at the University of Queensland, with funding from the Commission.  The CHADx groups the 4,500 ICD-10-AM codes identified as hospital-acquired into a hierarchical set of 17 classes, with 145 sub-classes. Examples include post-procedural complications; adverse drug events; accidental injuries; specific infections; and metabolic disorders.</w:t>
            </w:r>
          </w:p>
          <w:p w:rsidR="00E244B2" w:rsidRPr="00F220A3" w:rsidRDefault="00E244B2" w:rsidP="00E244B2">
            <w:pPr>
              <w:rPr>
                <w:sz w:val="18"/>
                <w:szCs w:val="18"/>
              </w:rPr>
            </w:pPr>
            <w:r w:rsidRPr="00F220A3">
              <w:rPr>
                <w:b/>
                <w:sz w:val="18"/>
                <w:szCs w:val="18"/>
              </w:rPr>
              <w:t xml:space="preserve">Data </w:t>
            </w:r>
            <w:r>
              <w:rPr>
                <w:b/>
                <w:sz w:val="18"/>
                <w:szCs w:val="18"/>
              </w:rPr>
              <w:t>cleaning</w:t>
            </w:r>
            <w:r w:rsidRPr="00F220A3">
              <w:rPr>
                <w:b/>
                <w:sz w:val="18"/>
                <w:szCs w:val="18"/>
              </w:rPr>
              <w:t xml:space="preserve"> algorithm</w:t>
            </w:r>
            <w:r w:rsidRPr="00F220A3">
              <w:rPr>
                <w:sz w:val="18"/>
                <w:szCs w:val="18"/>
              </w:rPr>
              <w:t xml:space="preserve">:  An algorithm enabling </w:t>
            </w:r>
            <w:r>
              <w:rPr>
                <w:sz w:val="18"/>
                <w:szCs w:val="18"/>
              </w:rPr>
              <w:t>cleaning</w:t>
            </w:r>
            <w:r w:rsidRPr="00F220A3">
              <w:rPr>
                <w:sz w:val="18"/>
                <w:szCs w:val="18"/>
              </w:rPr>
              <w:t xml:space="preserve"> of COF in patient morbidity data, particularly identifying false positives  and some false negatives, developed by Jackson et al. (2009).  The algorithm also groups up related diagnoses into ‘events’ using the rules for sequencing of codes specified in the Australian Coding Standards.</w:t>
            </w:r>
          </w:p>
          <w:p w:rsidR="00E244B2" w:rsidRPr="00F220A3" w:rsidRDefault="00E244B2" w:rsidP="00E244B2">
            <w:pPr>
              <w:rPr>
                <w:sz w:val="18"/>
                <w:szCs w:val="18"/>
              </w:rPr>
            </w:pPr>
            <w:r w:rsidRPr="00F220A3">
              <w:rPr>
                <w:b/>
                <w:sz w:val="18"/>
                <w:szCs w:val="18"/>
              </w:rPr>
              <w:t>Australian Classification of Healthcare Interventions (ACHI)</w:t>
            </w:r>
            <w:r w:rsidRPr="00F220A3">
              <w:rPr>
                <w:sz w:val="18"/>
                <w:szCs w:val="18"/>
              </w:rPr>
              <w:t>:  This forms part of the ICD-10-AM suite, and is used to represent procedures undergone by patients during their admitted episode.</w:t>
            </w:r>
          </w:p>
          <w:p w:rsidR="00E244B2" w:rsidRPr="00F220A3" w:rsidRDefault="00E244B2" w:rsidP="00E244B2">
            <w:pPr>
              <w:rPr>
                <w:sz w:val="18"/>
                <w:szCs w:val="18"/>
              </w:rPr>
            </w:pPr>
            <w:r w:rsidRPr="00F220A3">
              <w:rPr>
                <w:b/>
                <w:sz w:val="18"/>
                <w:szCs w:val="18"/>
              </w:rPr>
              <w:t>Australian Coding Standards</w:t>
            </w:r>
            <w:r w:rsidRPr="00F220A3">
              <w:rPr>
                <w:sz w:val="18"/>
                <w:szCs w:val="18"/>
              </w:rPr>
              <w:t>: This also forms part of the ICD-10-AM suite, and is a guide to professional clinical coders on the diagnoses and procedures to abstract for each episode, and how to represent them using an ICD-10-AM or ACHI code. It also includes instructions on sequencing codes to represent related events (e.g. the organism responsible for an infection follows the infection/ infectious site).</w:t>
            </w:r>
          </w:p>
          <w:p w:rsidR="00C224FC" w:rsidRPr="00F220A3" w:rsidRDefault="00E244B2" w:rsidP="00E244B2">
            <w:pPr>
              <w:rPr>
                <w:rFonts w:ascii="Calibri" w:hAnsi="Calibri"/>
              </w:rPr>
            </w:pPr>
            <w:r w:rsidRPr="00F220A3">
              <w:rPr>
                <w:b/>
                <w:sz w:val="18"/>
                <w:szCs w:val="18"/>
              </w:rPr>
              <w:t>Hospital peer groups</w:t>
            </w:r>
            <w:r w:rsidRPr="00F220A3">
              <w:rPr>
                <w:sz w:val="18"/>
                <w:szCs w:val="18"/>
              </w:rPr>
              <w:t xml:space="preserve">: Groupings of hospitals based on similarity in size and/ or complexity and/ or specialist role. The peer hospital groups referred to in this report are the ones developed by the Australian Institute of Health and Welfare (AIHW), published in </w:t>
            </w:r>
            <w:r w:rsidRPr="00F220A3">
              <w:rPr>
                <w:i/>
                <w:sz w:val="18"/>
                <w:szCs w:val="18"/>
              </w:rPr>
              <w:t>Australian hospital statistics</w:t>
            </w:r>
            <w:r w:rsidRPr="00F220A3">
              <w:rPr>
                <w:sz w:val="18"/>
                <w:szCs w:val="18"/>
              </w:rPr>
              <w:t>.</w:t>
            </w:r>
          </w:p>
        </w:tc>
      </w:tr>
    </w:tbl>
    <w:p w:rsidR="00C224FC" w:rsidRDefault="00C224FC" w:rsidP="00C224FC">
      <w:pPr>
        <w:spacing w:after="0" w:line="240" w:lineRule="auto"/>
      </w:pPr>
    </w:p>
    <w:p w:rsidR="007718C7" w:rsidRPr="002047F0" w:rsidRDefault="007718C7" w:rsidP="00C3500D">
      <w:pPr>
        <w:rPr>
          <w:szCs w:val="20"/>
        </w:rPr>
      </w:pPr>
      <w:r w:rsidRPr="002047F0">
        <w:rPr>
          <w:szCs w:val="20"/>
        </w:rPr>
        <w:t>Overall, understanding the interaction</w:t>
      </w:r>
      <w:r>
        <w:rPr>
          <w:szCs w:val="20"/>
        </w:rPr>
        <w:t xml:space="preserve"> of the</w:t>
      </w:r>
      <w:r w:rsidRPr="002047F0">
        <w:rPr>
          <w:szCs w:val="20"/>
        </w:rPr>
        <w:t xml:space="preserve"> effects of ABF and the Commission’s efforts to achieve national standards for safety and quality is important in the initial years of ABF implementation in Australia.</w:t>
      </w:r>
      <w:r>
        <w:rPr>
          <w:szCs w:val="20"/>
        </w:rPr>
        <w:t xml:space="preserve">  </w:t>
      </w:r>
    </w:p>
    <w:p w:rsidR="007718C7" w:rsidRDefault="007718C7" w:rsidP="00C3500D">
      <w:r>
        <w:t>The specific questions that were raised by this study are as follows:</w:t>
      </w:r>
      <w:r w:rsidR="007D0920">
        <w:t xml:space="preserve"> </w:t>
      </w:r>
    </w:p>
    <w:p w:rsidR="007718C7" w:rsidRPr="00631973" w:rsidRDefault="007718C7" w:rsidP="002002B2">
      <w:pPr>
        <w:pStyle w:val="ListParagraph"/>
        <w:numPr>
          <w:ilvl w:val="0"/>
          <w:numId w:val="14"/>
        </w:numPr>
        <w:rPr>
          <w:rFonts w:cs="Calibri"/>
        </w:rPr>
      </w:pPr>
      <w:r w:rsidRPr="00631973">
        <w:rPr>
          <w:rFonts w:cs="Calibri"/>
        </w:rPr>
        <w:t xml:space="preserve">How well is COF </w:t>
      </w:r>
      <w:r>
        <w:rPr>
          <w:rFonts w:cs="Calibri"/>
        </w:rPr>
        <w:t>reported</w:t>
      </w:r>
      <w:r w:rsidRPr="00631973">
        <w:rPr>
          <w:rFonts w:cs="Calibri"/>
        </w:rPr>
        <w:t xml:space="preserve"> </w:t>
      </w:r>
      <w:r>
        <w:rPr>
          <w:rFonts w:cs="Calibri"/>
        </w:rPr>
        <w:t>by hospitals</w:t>
      </w:r>
      <w:r w:rsidRPr="00631973">
        <w:rPr>
          <w:rFonts w:cs="Calibri"/>
        </w:rPr>
        <w:t>?</w:t>
      </w:r>
    </w:p>
    <w:p w:rsidR="007718C7" w:rsidRPr="00631973" w:rsidRDefault="007718C7" w:rsidP="002002B2">
      <w:pPr>
        <w:pStyle w:val="ListParagraph"/>
        <w:numPr>
          <w:ilvl w:val="0"/>
          <w:numId w:val="14"/>
        </w:numPr>
        <w:rPr>
          <w:rFonts w:cs="Calibri"/>
        </w:rPr>
      </w:pPr>
      <w:r w:rsidRPr="00631973">
        <w:rPr>
          <w:rFonts w:cs="Calibri"/>
        </w:rPr>
        <w:t>To what extent is the coding correct?</w:t>
      </w:r>
    </w:p>
    <w:p w:rsidR="007718C7" w:rsidRPr="007D0920" w:rsidRDefault="007718C7" w:rsidP="002002B2">
      <w:pPr>
        <w:pStyle w:val="ListParagraph"/>
        <w:numPr>
          <w:ilvl w:val="0"/>
          <w:numId w:val="14"/>
        </w:numPr>
        <w:rPr>
          <w:rFonts w:cs="Calibri"/>
        </w:rPr>
      </w:pPr>
      <w:r w:rsidRPr="007D0920">
        <w:rPr>
          <w:rFonts w:cs="Calibri"/>
        </w:rPr>
        <w:t>How should the codes be interpreted?</w:t>
      </w:r>
    </w:p>
    <w:p w:rsidR="00B80936" w:rsidRPr="007D0920" w:rsidRDefault="00B80936" w:rsidP="00B80936">
      <w:pPr>
        <w:pStyle w:val="ListParagraph"/>
        <w:numPr>
          <w:ilvl w:val="0"/>
          <w:numId w:val="14"/>
        </w:numPr>
        <w:rPr>
          <w:rFonts w:cs="Calibri"/>
        </w:rPr>
      </w:pPr>
      <w:r w:rsidRPr="007D0920">
        <w:rPr>
          <w:rFonts w:cs="Calibri"/>
        </w:rPr>
        <w:t>What are the limitations of the COF?</w:t>
      </w:r>
    </w:p>
    <w:p w:rsidR="007718C7" w:rsidRPr="00631973" w:rsidRDefault="007718C7" w:rsidP="002002B2">
      <w:pPr>
        <w:pStyle w:val="ListParagraph"/>
        <w:numPr>
          <w:ilvl w:val="0"/>
          <w:numId w:val="14"/>
        </w:numPr>
        <w:rPr>
          <w:rFonts w:cs="Calibri"/>
        </w:rPr>
      </w:pPr>
      <w:r w:rsidRPr="00631973">
        <w:rPr>
          <w:rFonts w:cs="Calibri"/>
        </w:rPr>
        <w:t>What is the impact on AR-DRG assignment if hospital-acquired diagnoses are excluded?</w:t>
      </w:r>
    </w:p>
    <w:p w:rsidR="007718C7" w:rsidRDefault="007718C7" w:rsidP="002002B2">
      <w:pPr>
        <w:pStyle w:val="ListParagraph"/>
        <w:numPr>
          <w:ilvl w:val="0"/>
          <w:numId w:val="14"/>
        </w:numPr>
        <w:rPr>
          <w:rFonts w:cs="Calibri"/>
        </w:rPr>
      </w:pPr>
      <w:r w:rsidRPr="00631973">
        <w:rPr>
          <w:rFonts w:cs="Calibri"/>
        </w:rPr>
        <w:t xml:space="preserve">What additional costs and/ or length of stay are there associated with hospital-acquired diagnoses?  </w:t>
      </w:r>
    </w:p>
    <w:p w:rsidR="007718C7" w:rsidRDefault="007718C7" w:rsidP="000044F6">
      <w:pPr>
        <w:rPr>
          <w:rFonts w:cs="Calibri"/>
          <w:szCs w:val="20"/>
        </w:rPr>
      </w:pPr>
      <w:r>
        <w:rPr>
          <w:rFonts w:cs="Calibri"/>
          <w:szCs w:val="20"/>
        </w:rPr>
        <w:t>An additional question, although not specifically the target of this study, is:</w:t>
      </w:r>
    </w:p>
    <w:p w:rsidR="007718C7" w:rsidRDefault="007718C7" w:rsidP="002002B2">
      <w:pPr>
        <w:pStyle w:val="ListParagraph"/>
        <w:numPr>
          <w:ilvl w:val="0"/>
          <w:numId w:val="14"/>
        </w:numPr>
        <w:rPr>
          <w:rFonts w:cs="Calibri"/>
        </w:rPr>
      </w:pPr>
      <w:r>
        <w:rPr>
          <w:rFonts w:cs="Calibri"/>
        </w:rPr>
        <w:t xml:space="preserve"> What is the potential for hospitals to use the COF for monitoring patient safety?  </w:t>
      </w:r>
    </w:p>
    <w:p w:rsidR="007718C7" w:rsidRPr="00C52848" w:rsidRDefault="007718C7" w:rsidP="000044F6">
      <w:pPr>
        <w:rPr>
          <w:rFonts w:cs="Calibri"/>
          <w:szCs w:val="20"/>
        </w:rPr>
      </w:pPr>
      <w:r>
        <w:rPr>
          <w:rFonts w:cs="Calibri"/>
          <w:szCs w:val="20"/>
        </w:rPr>
        <w:t>Lastly, in answering the questions above, another question is:</w:t>
      </w:r>
    </w:p>
    <w:p w:rsidR="007718C7" w:rsidRDefault="007718C7" w:rsidP="002002B2">
      <w:pPr>
        <w:pStyle w:val="ListParagraph"/>
        <w:numPr>
          <w:ilvl w:val="0"/>
          <w:numId w:val="14"/>
        </w:numPr>
        <w:rPr>
          <w:rFonts w:cs="Calibri"/>
        </w:rPr>
      </w:pPr>
      <w:r>
        <w:rPr>
          <w:rFonts w:cs="Calibri"/>
        </w:rPr>
        <w:t>What are the limitations of the COF, and what steps can be taken to improve its capture and/ or interpretation?</w:t>
      </w:r>
    </w:p>
    <w:p w:rsidR="007718C7" w:rsidRDefault="007718C7" w:rsidP="000044F6">
      <w:pPr>
        <w:rPr>
          <w:rFonts w:cs="Calibri"/>
          <w:szCs w:val="20"/>
        </w:rPr>
      </w:pPr>
      <w:r>
        <w:rPr>
          <w:rFonts w:cs="Calibri"/>
          <w:szCs w:val="20"/>
        </w:rPr>
        <w:lastRenderedPageBreak/>
        <w:t>These are examined in turn.</w:t>
      </w:r>
    </w:p>
    <w:p w:rsidR="007718C7" w:rsidRPr="000044F6" w:rsidRDefault="007718C7" w:rsidP="009C7734">
      <w:pPr>
        <w:pStyle w:val="Stageheading"/>
      </w:pPr>
      <w:bookmarkStart w:id="2" w:name="_Toc374114569"/>
      <w:r>
        <w:t>Data sources and concepts</w:t>
      </w:r>
      <w:bookmarkEnd w:id="2"/>
    </w:p>
    <w:p w:rsidR="007718C7" w:rsidRDefault="007718C7" w:rsidP="000044F6">
      <w:pPr>
        <w:rPr>
          <w:rFonts w:cs="Calibri"/>
          <w:szCs w:val="20"/>
        </w:rPr>
      </w:pPr>
      <w:r>
        <w:rPr>
          <w:rFonts w:cs="Calibri"/>
          <w:szCs w:val="20"/>
        </w:rPr>
        <w:t>Before proceeding to outline the findings in relation to each of the above questions, it is important to outline the data that were used for this analysis, and the concepts that are referred to throughout this report.</w:t>
      </w:r>
    </w:p>
    <w:p w:rsidR="007718C7" w:rsidRDefault="007718C7" w:rsidP="009C7734">
      <w:pPr>
        <w:tabs>
          <w:tab w:val="left" w:pos="924"/>
          <w:tab w:val="left" w:pos="1848"/>
          <w:tab w:val="left" w:pos="2773"/>
          <w:tab w:val="left" w:pos="3697"/>
          <w:tab w:val="left" w:pos="4621"/>
          <w:tab w:val="left" w:pos="5545"/>
          <w:tab w:val="left" w:pos="6469"/>
          <w:tab w:val="left" w:pos="7394"/>
          <w:tab w:val="left" w:pos="8318"/>
          <w:tab w:val="right" w:pos="8930"/>
        </w:tabs>
      </w:pPr>
      <w:r>
        <w:t>The data sets used for analysis for this project are the Admitted Patient Care (APC) National Minimum Data Set (NMDS) and the National Hospital Cost Data Collection (NHCDC). The reasons for using both of these collections are that:</w:t>
      </w:r>
    </w:p>
    <w:p w:rsidR="007718C7" w:rsidRDefault="007718C7" w:rsidP="009C7734">
      <w:pPr>
        <w:pStyle w:val="ListParagraph"/>
        <w:numPr>
          <w:ilvl w:val="0"/>
          <w:numId w:val="7"/>
        </w:numPr>
        <w:ind w:left="714" w:hanging="357"/>
        <w:contextualSpacing w:val="0"/>
      </w:pPr>
      <w:r>
        <w:t>The APC NMDS provides the full range of variables associated with hospital ‘activity’ (i.e. relating to the events of each episode of admitted care) in all hospitals within Australia.</w:t>
      </w:r>
    </w:p>
    <w:p w:rsidR="007718C7" w:rsidRDefault="007718C7" w:rsidP="009C7734">
      <w:pPr>
        <w:pStyle w:val="ListParagraph"/>
        <w:numPr>
          <w:ilvl w:val="0"/>
          <w:numId w:val="7"/>
        </w:numPr>
        <w:ind w:left="714" w:hanging="357"/>
        <w:contextualSpacing w:val="0"/>
      </w:pPr>
      <w:r>
        <w:t>The NHCDC provides costs for episodes of care.</w:t>
      </w:r>
    </w:p>
    <w:p w:rsidR="007718C7" w:rsidRDefault="007718C7" w:rsidP="000044F6">
      <w:r>
        <w:rPr>
          <w:rFonts w:cs="Calibri"/>
          <w:szCs w:val="20"/>
        </w:rPr>
        <w:t>C</w:t>
      </w:r>
      <w:r>
        <w:t xml:space="preserve">oncepts referred to throughout this report are outlined in the text box in the </w:t>
      </w:r>
      <w:r w:rsidR="00DB54E3">
        <w:t>Overview</w:t>
      </w:r>
      <w:r>
        <w:t>.</w:t>
      </w:r>
    </w:p>
    <w:p w:rsidR="007718C7" w:rsidRPr="000044F6" w:rsidRDefault="007718C7" w:rsidP="000044F6">
      <w:pPr>
        <w:pStyle w:val="Stageheading"/>
      </w:pPr>
      <w:bookmarkStart w:id="3" w:name="_Toc374114570"/>
      <w:r w:rsidRPr="000044F6">
        <w:t>How well is COF reported by hospitals?</w:t>
      </w:r>
      <w:bookmarkEnd w:id="3"/>
    </w:p>
    <w:p w:rsidR="007718C7" w:rsidRDefault="007718C7" w:rsidP="000044F6">
      <w:r>
        <w:t xml:space="preserve">The analysis in this report showed that since it was introduced as a national standard in 2008, reporting of the COF has improved over time.  Overall, 81% of public hospitals reported COF in 2011-12, an increase on 74% in 2009-10. Public hospitals are reporting it more consistently than private hospitals (about 60% of private hospitals reported COF in 2010-11). </w:t>
      </w:r>
    </w:p>
    <w:p w:rsidR="007718C7" w:rsidRDefault="007718C7" w:rsidP="00C9763C">
      <w:r>
        <w:t xml:space="preserve">COF reporting was generally higher amongst the larger hospitals, that is, ones grouped to the Australian Institute of Health and Welfare (AIHW) hospital peer groups of: Principal referral (A1), Specialist women’s and children’s (A2), Major city (B1), Major regional and remote (B2), Medium Group 1 (C1) and Medium Group 2 (C2).  </w:t>
      </w:r>
      <w:r w:rsidR="00C9763C">
        <w:t xml:space="preserve">The proportion of hospitals reporting COF was lower for hospitals with a designated sub-acute role. However, episodes with a care type of sub-acute or non-acute (which often are reported for acute hospitals) </w:t>
      </w:r>
      <w:r>
        <w:t>generally had more COF diagnoses than acute episodes (e.g. 21.5% of rehabilitation episodes had at least one COF diagnosis reported compared with 8.8% of acute episodes in 2011-12).</w:t>
      </w:r>
    </w:p>
    <w:p w:rsidR="007718C7" w:rsidRDefault="007718C7" w:rsidP="006972A5">
      <w:r>
        <w:t>Following this exploratory analysis it was decided to limit the analysis relating to the impact on AR-DRG assignment and on length of stay and cost to:</w:t>
      </w:r>
    </w:p>
    <w:p w:rsidR="007718C7" w:rsidRDefault="007718C7" w:rsidP="002002B2">
      <w:pPr>
        <w:pStyle w:val="ListParagraph"/>
        <w:numPr>
          <w:ilvl w:val="0"/>
          <w:numId w:val="5"/>
        </w:numPr>
        <w:contextualSpacing w:val="0"/>
      </w:pPr>
      <w:r>
        <w:t>Public hospitals reporting COF in AIHW peer groups A1 to C2.  The reasons for this were that the scope of this project was limited to public hospitals at the outset; and cost data (which is required for analysing the cost impact of hospital-acquired diagnoses), was predominantly available for these peer groups.</w:t>
      </w:r>
    </w:p>
    <w:p w:rsidR="007718C7" w:rsidRDefault="007718C7" w:rsidP="002002B2">
      <w:pPr>
        <w:pStyle w:val="ListParagraph"/>
        <w:numPr>
          <w:ilvl w:val="0"/>
          <w:numId w:val="5"/>
        </w:numPr>
        <w:contextualSpacing w:val="0"/>
      </w:pPr>
      <w:r>
        <w:t>Financial year 2011-12. This year was selected as it is the latest year for which both activity and cost data are available.  After analysis, this year was shown to have better quality COF reporting than the previous two years.</w:t>
      </w:r>
    </w:p>
    <w:p w:rsidR="007718C7" w:rsidRDefault="007718C7" w:rsidP="002002B2">
      <w:pPr>
        <w:pStyle w:val="ListParagraph"/>
        <w:numPr>
          <w:ilvl w:val="0"/>
          <w:numId w:val="5"/>
        </w:numPr>
        <w:contextualSpacing w:val="0"/>
      </w:pPr>
      <w:r>
        <w:t xml:space="preserve">Episodes with a care type of acute and newborn care (the latter with ‘qualified’ days). The reason for selecting these was that it is not clear with other care types, </w:t>
      </w:r>
      <w:r>
        <w:lastRenderedPageBreak/>
        <w:t xml:space="preserve">which generally have a longer length of stay, whether the hospital-acquired diagnoses result from the fact that they stay longer.   </w:t>
      </w:r>
    </w:p>
    <w:p w:rsidR="007718C7" w:rsidRDefault="007718C7" w:rsidP="005A631D">
      <w:r>
        <w:t>One issue that was not examined was the extent to which the breadth of coding at each hospital reflected their reporting</w:t>
      </w:r>
      <w:r w:rsidRPr="006F2274">
        <w:t xml:space="preserve"> </w:t>
      </w:r>
      <w:r>
        <w:t xml:space="preserve">of the COF.  This is an extensive piece of work requiring analysis of COF reporting by the number of diagnoses reported by episode, standardised by AR-DRG (and potentially age group). </w:t>
      </w:r>
      <w:r w:rsidRPr="00BD0909">
        <w:t>Systematically recording less additional diagnoses per episode may under-estimate the number of hospital-acquired conditions.</w:t>
      </w:r>
    </w:p>
    <w:p w:rsidR="007718C7" w:rsidRDefault="007718C7" w:rsidP="005A631D">
      <w:r>
        <w:t xml:space="preserve">Another related issue, not examined in this report, is the use of non-specific codes in favour of more specific ones within each ICD-10-AM category. An example is the use of </w:t>
      </w:r>
      <w:r w:rsidRPr="00DD7B16">
        <w:rPr>
          <w:i/>
        </w:rPr>
        <w:t>G97.9 Postprocedural disorder of nervous system, unspecified</w:t>
      </w:r>
      <w:r>
        <w:t>, rather than any one of:</w:t>
      </w:r>
    </w:p>
    <w:p w:rsidR="007718C7" w:rsidRPr="00DD7B16" w:rsidRDefault="007718C7" w:rsidP="005A631D">
      <w:pPr>
        <w:pStyle w:val="ListParagraph"/>
        <w:numPr>
          <w:ilvl w:val="0"/>
          <w:numId w:val="15"/>
        </w:numPr>
        <w:rPr>
          <w:i/>
        </w:rPr>
      </w:pPr>
      <w:r w:rsidRPr="00DD7B16">
        <w:rPr>
          <w:i/>
        </w:rPr>
        <w:t>G97.0</w:t>
      </w:r>
      <w:r w:rsidRPr="00DD7B16">
        <w:rPr>
          <w:i/>
        </w:rPr>
        <w:tab/>
        <w:t>Cerebrospinal fluid leak from spinal puncture</w:t>
      </w:r>
    </w:p>
    <w:p w:rsidR="007718C7" w:rsidRPr="00DD7B16" w:rsidRDefault="007718C7" w:rsidP="005A631D">
      <w:pPr>
        <w:pStyle w:val="ListParagraph"/>
        <w:numPr>
          <w:ilvl w:val="0"/>
          <w:numId w:val="15"/>
        </w:numPr>
        <w:rPr>
          <w:i/>
        </w:rPr>
      </w:pPr>
      <w:r w:rsidRPr="00DD7B16">
        <w:rPr>
          <w:i/>
        </w:rPr>
        <w:t>G97.1</w:t>
      </w:r>
      <w:r w:rsidRPr="00DD7B16">
        <w:rPr>
          <w:i/>
        </w:rPr>
        <w:tab/>
        <w:t>Other reaction to spinal and lumbar puncture</w:t>
      </w:r>
    </w:p>
    <w:p w:rsidR="007718C7" w:rsidRPr="00DD7B16" w:rsidRDefault="007718C7" w:rsidP="005A631D">
      <w:pPr>
        <w:pStyle w:val="ListParagraph"/>
        <w:numPr>
          <w:ilvl w:val="0"/>
          <w:numId w:val="15"/>
        </w:numPr>
        <w:rPr>
          <w:i/>
        </w:rPr>
      </w:pPr>
      <w:r w:rsidRPr="00DD7B16">
        <w:rPr>
          <w:i/>
        </w:rPr>
        <w:t>G97.2</w:t>
      </w:r>
      <w:r w:rsidRPr="00DD7B16">
        <w:rPr>
          <w:i/>
        </w:rPr>
        <w:tab/>
        <w:t>Intracranial hypotension following ventricular shunting</w:t>
      </w:r>
    </w:p>
    <w:p w:rsidR="007718C7" w:rsidRPr="00DD7B16" w:rsidRDefault="007718C7" w:rsidP="005A631D">
      <w:pPr>
        <w:pStyle w:val="ListParagraph"/>
        <w:numPr>
          <w:ilvl w:val="0"/>
          <w:numId w:val="15"/>
        </w:numPr>
        <w:rPr>
          <w:i/>
        </w:rPr>
      </w:pPr>
      <w:r w:rsidRPr="00DD7B16">
        <w:rPr>
          <w:i/>
        </w:rPr>
        <w:t>G97.8</w:t>
      </w:r>
      <w:r w:rsidRPr="00DD7B16">
        <w:rPr>
          <w:i/>
        </w:rPr>
        <w:tab/>
        <w:t>Other postprocedural disorders of nervous system</w:t>
      </w:r>
    </w:p>
    <w:p w:rsidR="007D0920" w:rsidRDefault="007718C7" w:rsidP="007D0920">
      <w:r>
        <w:t>This impacts on the collection of information on hospital-acquired diagnoses as it does not identify the specific complication. This may occur due to the skills and experience of the clinical coder, and potentially also the time that they have to code a record, as well as the documentation that is available to them.  Hospitals capturing fewer codes are also more likely to have under-coding of the COF.</w:t>
      </w:r>
    </w:p>
    <w:p w:rsidR="007718C7" w:rsidRDefault="007718C7" w:rsidP="007D0920">
      <w:pPr>
        <w:pStyle w:val="Stageheading"/>
      </w:pPr>
      <w:bookmarkStart w:id="4" w:name="_Toc374114571"/>
      <w:r w:rsidRPr="00DA0C8B">
        <w:t>To what extent is the coding correct?</w:t>
      </w:r>
      <w:bookmarkEnd w:id="4"/>
    </w:p>
    <w:p w:rsidR="007718C7" w:rsidRDefault="007718C7" w:rsidP="009B5C83">
      <w:r>
        <w:t xml:space="preserve">The quality of COF coding cannot easily be ascertained through data available in the APC NMDS.  An algorithm enabling </w:t>
      </w:r>
      <w:r w:rsidR="002F611A">
        <w:t>cleaning</w:t>
      </w:r>
      <w:r>
        <w:t xml:space="preserve"> of data, particularly identifying false positives and some false negatives</w:t>
      </w:r>
      <w:r>
        <w:rPr>
          <w:rStyle w:val="FootnoteReference"/>
        </w:rPr>
        <w:footnoteReference w:id="2"/>
      </w:r>
      <w:r>
        <w:t xml:space="preserve">, has been developed by Jackson et al. (2009) and could be used in improving coding of the COF.  The COF has not traditionally been part of routine clinical coding audits undertaken by states and territories.  If the COF is to be used to guide quality and safety efforts, it is recommended that it forms part of these audits.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9242"/>
      </w:tblGrid>
      <w:tr w:rsidR="007718C7" w:rsidRPr="00864829" w:rsidTr="00864829">
        <w:tc>
          <w:tcPr>
            <w:tcW w:w="9242" w:type="dxa"/>
            <w:shd w:val="clear" w:color="auto" w:fill="F2F2F2"/>
          </w:tcPr>
          <w:p w:rsidR="007718C7" w:rsidRPr="00864829" w:rsidRDefault="007718C7" w:rsidP="009B5C83">
            <w:pPr>
              <w:contextualSpacing/>
              <w:rPr>
                <w:b/>
                <w:i/>
                <w:szCs w:val="20"/>
                <w:lang w:val="en-US"/>
              </w:rPr>
            </w:pPr>
            <w:r w:rsidRPr="00864829">
              <w:rPr>
                <w:b/>
                <w:i/>
                <w:szCs w:val="20"/>
                <w:lang w:val="en-US"/>
              </w:rPr>
              <w:t>Recommendation</w:t>
            </w:r>
          </w:p>
          <w:p w:rsidR="007718C7" w:rsidRPr="00F220A3" w:rsidRDefault="007718C7" w:rsidP="002002B2">
            <w:pPr>
              <w:pStyle w:val="ListParagraph"/>
              <w:numPr>
                <w:ilvl w:val="0"/>
                <w:numId w:val="16"/>
              </w:numPr>
              <w:contextualSpacing w:val="0"/>
              <w:rPr>
                <w:rFonts w:ascii="Calibri" w:hAnsi="Calibri"/>
                <w:lang w:eastAsia="ja-JP"/>
              </w:rPr>
            </w:pPr>
            <w:r w:rsidRPr="00F220A3">
              <w:rPr>
                <w:lang w:eastAsia="ja-JP"/>
              </w:rPr>
              <w:t>That the COF becomes part of routine auditing of clinical coding undertaken by states and territories.</w:t>
            </w:r>
            <w:r w:rsidRPr="00F220A3">
              <w:rPr>
                <w:rFonts w:ascii="Calibri" w:hAnsi="Calibri"/>
                <w:lang w:eastAsia="ja-JP"/>
              </w:rPr>
              <w:t xml:space="preserve"> </w:t>
            </w:r>
          </w:p>
        </w:tc>
      </w:tr>
    </w:tbl>
    <w:p w:rsidR="007718C7" w:rsidRDefault="007718C7" w:rsidP="000044F6">
      <w:pPr>
        <w:pStyle w:val="Stageheading"/>
      </w:pPr>
      <w:bookmarkStart w:id="5" w:name="_Toc374114572"/>
      <w:r w:rsidRPr="00DA0C8B">
        <w:t>How should the codes be interpreted?</w:t>
      </w:r>
      <w:bookmarkEnd w:id="5"/>
    </w:p>
    <w:p w:rsidR="007718C7" w:rsidRDefault="007718C7" w:rsidP="000044F6">
      <w:r>
        <w:t xml:space="preserve">The ICD-10-AM system, which is used to represent patient diagnoses in the admitted patient data set, is structured in a way that sometimes more than one code is required to adequately describe a health issue.  Also, at other times, multiple concepts are captured within a single code.  Therefore, one hospital-acquired event can have multiple codes </w:t>
      </w:r>
      <w:r w:rsidRPr="004D519D">
        <w:t>associated with it, and one code may represent a component of a condition that is hospital-</w:t>
      </w:r>
      <w:r w:rsidRPr="004D519D">
        <w:lastRenderedPageBreak/>
        <w:t xml:space="preserve">acquired, and a component that is not.  In the analysis presented in this report, the data </w:t>
      </w:r>
      <w:r w:rsidR="002F611A">
        <w:t>cleaning</w:t>
      </w:r>
      <w:r w:rsidRPr="004D519D">
        <w:t xml:space="preserve"> algorithm referred to above was used to group together hospital-acquired diagnoses that are likely to be part of the same event.  This is necessary for any system of counting hospital-acquired diagnoses. A ‘straight-out’ count would misrepresent (i.e. over specify) the number of hospital-acquired events.</w:t>
      </w:r>
    </w:p>
    <w:p w:rsidR="007718C7" w:rsidRDefault="007718C7" w:rsidP="00ED4E41">
      <w:pPr>
        <w:pStyle w:val="Stageheading"/>
      </w:pPr>
      <w:bookmarkStart w:id="6" w:name="_Toc374114573"/>
      <w:r w:rsidRPr="00DA0C8B">
        <w:t>What are the limitations of the COF</w:t>
      </w:r>
      <w:r>
        <w:t>?</w:t>
      </w:r>
      <w:bookmarkEnd w:id="6"/>
    </w:p>
    <w:p w:rsidR="007718C7" w:rsidRDefault="007718C7" w:rsidP="00ED4E41">
      <w:pPr>
        <w:autoSpaceDE w:val="0"/>
        <w:autoSpaceDN w:val="0"/>
        <w:adjustRightInd w:val="0"/>
        <w:spacing w:after="0"/>
      </w:pPr>
      <w:r w:rsidRPr="0016214D">
        <w:t>Conditions acquired during hospitalisation are not necessarily conditions that can be prevented, and do not necessarily imply that the care provided to a patient was suboptimal (</w:t>
      </w:r>
      <w:hyperlink w:anchor="_ENREF_26" w:tooltip="Pronovost, 2008 #13" w:history="1">
        <w:r w:rsidR="00C33CAE">
          <w:fldChar w:fldCharType="begin"/>
        </w:r>
        <w:r w:rsidR="00C33CAE">
          <w:instrText xml:space="preserve"> ADDIN EN.CITE &lt;EndNote&gt;&lt;Cite&gt;&lt;Author&gt;Pronovost&lt;/Author&gt;&lt;Year&gt;2008&lt;/Year&gt;&lt;RecNum&gt;13&lt;/RecNum&gt;&lt;DisplayText&gt;Pronovost, Goeschel, &amp;amp; Wachter, 2008&lt;/DisplayText&gt;&lt;record&gt;&lt;rec-number&gt;13&lt;/rec-number&gt;&lt;foreign-keys&gt;&lt;key app="EN" db-id="92tftt5v2arxd6e9wzr50w2w0rz0epx099ft" timestamp="1371532947"&gt;13&lt;/key&gt;&lt;/foreign-keys&gt;&lt;ref-type name="Journal Article"&gt;17&lt;/ref-type&gt;&lt;contributors&gt;&lt;authors&gt;&lt;author&gt;Pronovost, P&lt;/author&gt;&lt;author&gt;Goeschel, C&lt;/author&gt;&lt;author&gt;Wachter, R&lt;/author&gt;&lt;/authors&gt;&lt;/contributors&gt;&lt;titles&gt;&lt;title&gt;The wisdom and justice of not paying for “preventable complications”&lt;/title&gt;&lt;secondary-title&gt;Journal of the American Medical Association&lt;/secondary-title&gt;&lt;/titles&gt;&lt;periodical&gt;&lt;full-title&gt;Journal of the American Medical Association&lt;/full-title&gt;&lt;/periodical&gt;&lt;pages&gt;2197–2199&lt;/pages&gt;&lt;volume&gt;299&lt;/volume&gt;&lt;dates&gt;&lt;year&gt;2008&lt;/year&gt;&lt;/dates&gt;&lt;urls&gt;&lt;/urls&gt;&lt;/record&gt;&lt;/Cite&gt;&lt;/EndNote&gt;</w:instrText>
        </w:r>
        <w:r w:rsidR="00C33CAE">
          <w:fldChar w:fldCharType="separate"/>
        </w:r>
        <w:r w:rsidR="00C33CAE">
          <w:rPr>
            <w:noProof/>
          </w:rPr>
          <w:t>Pronovost, Goeschel, &amp; Wachter, 2008</w:t>
        </w:r>
        <w:r w:rsidR="00C33CAE">
          <w:fldChar w:fldCharType="end"/>
        </w:r>
      </w:hyperlink>
      <w:r w:rsidRPr="0016214D">
        <w:t xml:space="preserve">).  </w:t>
      </w:r>
      <w:r>
        <w:t>This study has considered the impact of all hospital-acquired conditions, rather than a subset of conditions.</w:t>
      </w:r>
    </w:p>
    <w:p w:rsidR="007718C7" w:rsidRDefault="007718C7" w:rsidP="00ED4E41">
      <w:pPr>
        <w:autoSpaceDE w:val="0"/>
        <w:autoSpaceDN w:val="0"/>
        <w:adjustRightInd w:val="0"/>
        <w:spacing w:after="0"/>
      </w:pPr>
    </w:p>
    <w:p w:rsidR="007718C7" w:rsidRDefault="007718C7" w:rsidP="00244E60">
      <w:pPr>
        <w:autoSpaceDE w:val="0"/>
        <w:autoSpaceDN w:val="0"/>
        <w:adjustRightInd w:val="0"/>
      </w:pPr>
      <w:r>
        <w:t>Some hospital-acquired conditions relate to complications of the primary conditions leading to the hospital admission, rather than hospital care itself.  For example, patients admitted to hospital with subarachnoid haemorrhage will sometimes suffer from vasospasm (</w:t>
      </w:r>
      <w:r w:rsidRPr="002E4168">
        <w:t>delayed cerebral ischaemia</w:t>
      </w:r>
      <w:r>
        <w:t>) usually days after the original haemorrhage. This will typically result in the need for additional procedures and drugs, and adds significantly to cost and length of stay.  Vasospasm is a complication of the original condition and there is little evidence that the nature of hospital treatment impacts the likelihood of a patient experiencing this complication.</w:t>
      </w:r>
    </w:p>
    <w:p w:rsidR="007718C7" w:rsidRDefault="007718C7" w:rsidP="00ED4E41">
      <w:pPr>
        <w:autoSpaceDE w:val="0"/>
        <w:autoSpaceDN w:val="0"/>
        <w:adjustRightInd w:val="0"/>
        <w:spacing w:after="0"/>
      </w:pPr>
      <w:r w:rsidRPr="0016214D">
        <w:t>However, many</w:t>
      </w:r>
      <w:r>
        <w:t xml:space="preserve"> hospital-acquired conditions</w:t>
      </w:r>
      <w:r w:rsidRPr="0016214D">
        <w:t xml:space="preserve"> have</w:t>
      </w:r>
      <w:r>
        <w:t xml:space="preserve"> been</w:t>
      </w:r>
      <w:r w:rsidRPr="0016214D">
        <w:t xml:space="preserve"> shown to be amenable to </w:t>
      </w:r>
      <w:r>
        <w:t xml:space="preserve">a </w:t>
      </w:r>
      <w:r w:rsidRPr="0016214D">
        <w:t>reduction in their rates (</w:t>
      </w:r>
      <w:r>
        <w:fldChar w:fldCharType="begin">
          <w:fldData xml:space="preserve">PEVuZE5vdGU+PENpdGU+PEF1dGhvcj5VbXNjaGVpZDwvQXV0aG9yPjxZZWFyPjIwMTE8L1llYXI+
PFJlY051bT40MDwvUmVjTnVtPjxEaXNwbGF5VGV4dD5VbXNjaGVpZCBldCBhbC4sIDIwMTE7IFdp
bHNvbiBldCBhbC4sIDE5OTU8L0Rpc3BsYXlUZXh0PjxyZWNvcmQ+PHJlYy1udW1iZXI+NDA8L3Jl
Yy1udW1iZXI+PGZvcmVpZ24ta2V5cz48a2V5IGFwcD0iRU4iIGRiLWlkPSI5MnRmdHQ1djJhcnhk
NmU5d3pyNTB3MncwcnowZXB4MDk5ZnQiIHRpbWVzdGFtcD0iMTM3ODM2MjQ5OSI+NDA8L2tleT48
L2ZvcmVpZ24ta2V5cz48cmVmLXR5cGUgbmFtZT0iSm91cm5hbCBBcnRpY2xlIj4xNzwvcmVmLXR5
cGU+PGNvbnRyaWJ1dG9ycz48YXV0aG9ycz48YXV0aG9yPlVtc2NoZWlkLCBDLiBBLjwvYXV0aG9y
PjxhdXRob3I+TWl0Y2hlbGwsIE0uIEQuPC9hdXRob3I+PGF1dGhvcj5Eb3NoaSwgSi4gQS48L2F1
dGhvcj48YXV0aG9yPkFnYXJ3YWwsIFIuPC9hdXRob3I+PGF1dGhvcj5XaWxsaWFtcywgSy48L2F1
dGhvcj48YXV0aG9yPkJyZW5uYW4sIFAuIEouPC9hdXRob3I+PC9hdXRob3JzPjwvY29udHJpYnV0
b3JzPjxhdXRoLWFkZHJlc3M+Q2VudGVyIGZvciBFdmlkZW5jZS1CYXNlZCBQcmFjdGljZSwgVW5p
dmVyc2l0eSBvZiBQZW5uc3lsdmFuaWEsIFBoaWxhZGVscGhpYSwgUGVubnN5bHZhbmlhIDE5MTA0
LCBVU0EuIGNyYWlnLnVtc2NoZWlkQHVwaHMudXBlbm4uZWR1PC9hdXRoLWFkZHJlc3M+PHRpdGxl
cz48dGl0bGU+RXN0aW1hdGluZyB0aGUgcHJvcG9ydGlvbiBvZiBoZWFsdGhjYXJlLWFzc29jaWF0
ZWQgaW5mZWN0aW9ucyB0aGF0IGFyZSByZWFzb25hYmx5IHByZXZlbnRhYmxlIGFuZCB0aGUgcmVs
YXRlZCBtb3J0YWxpdHkgYW5kIGNvc3RzPC90aXRsZT48c2Vjb25kYXJ5LXRpdGxlPkluZmVjdCBD
b250cm9sIEhvc3AgRXBpZGVtaW9sPC9zZWNvbmRhcnktdGl0bGU+PGFsdC10aXRsZT5JbmZlY3Rp
b24gY29udHJvbCBhbmQgaG9zcGl0YWwgZXBpZGVtaW9sb2d5IDogdGhlIG9mZmljaWFsIGpvdXJu
YWwgb2YgdGhlIFNvY2lldHkgb2YgSG9zcGl0YWwgRXBpZGVtaW9sb2dpc3RzIG9mIEFtZXJpY2E8
L2FsdC10aXRsZT48L3RpdGxlcz48cGVyaW9kaWNhbD48ZnVsbC10aXRsZT5JbmZlY3QgQ29udHJv
bCBIb3NwIEVwaWRlbWlvbDwvZnVsbC10aXRsZT48YWJici0xPkluZmVjdGlvbiBjb250cm9sIGFu
ZCBob3NwaXRhbCBlcGlkZW1pb2xvZ3kgOiB0aGUgb2ZmaWNpYWwgam91cm5hbCBvZiB0aGUgU29j
aWV0eSBvZiBIb3NwaXRhbCBFcGlkZW1pb2xvZ2lzdHMgb2YgQW1lcmljYTwvYWJici0xPjwvcGVy
aW9kaWNhbD48YWx0LXBlcmlvZGljYWw+PGZ1bGwtdGl0bGU+SW5mZWN0IENvbnRyb2wgSG9zcCBF
cGlkZW1pb2w8L2Z1bGwtdGl0bGU+PGFiYnItMT5JbmZlY3Rpb24gY29udHJvbCBhbmQgaG9zcGl0
YWwgZXBpZGVtaW9sb2d5IDogdGhlIG9mZmljaWFsIGpvdXJuYWwgb2YgdGhlIFNvY2lldHkgb2Yg
SG9zcGl0YWwgRXBpZGVtaW9sb2dpc3RzIG9mIEFtZXJpY2E8L2FiYnItMT48L2FsdC1wZXJpb2Rp
Y2FsPjxwYWdlcz4xMDEtMTQ8L3BhZ2VzPjx2b2x1bWU+MzI8L3ZvbHVtZT48bnVtYmVyPjI8L251
bWJlcj48ZWRpdGlvbj4yMDExLzA0LzA1PC9lZGl0aW9uPjxrZXl3b3Jkcz48a2V5d29yZD4qQ2F0
aGV0ZXItUmVsYXRlZCBJbmZlY3Rpb25zL2Vjb25vbWljcy9lcGlkZW1pb2xvZ3kvcHJldmVudGlv
biAmYW1wOyBjb250cm9sPC9rZXl3b3JkPjxrZXl3b3JkPkNhdGhldGVycy8qYWR2ZXJzZSBlZmZl
Y3RzL21pY3JvYmlvbG9neTwva2V5d29yZD48a2V5d29yZD5Db3N0cyBhbmQgQ29zdCBBbmFseXNp
czwva2V5d29yZD48a2V5d29yZD4qQ3Jvc3MgSW5mZWN0aW9uL2Vjb25vbWljcy9lcGlkZW1pb2xv
Z3kvbW9ydGFsaXR5L3ByZXZlbnRpb24gJmFtcDsgY29udHJvbDwva2V5d29yZD48a2V5d29yZD4q
RXF1aXBtZW50IENvbnRhbWluYXRpb24vZWNvbm9taWNzL3ByZXZlbnRpb24gJmFtcDsgY29udHJv
bDwva2V5d29yZD48a2V5d29yZD5IZWFsdGggQ2FyZSBTdXJ2ZXlzPC9rZXl3b3JkPjxrZXl3b3Jk
Pkh1bWFuczwva2V5d29yZD48a2V5d29yZD5JbmZlY3Rpb24gQ29udHJvbC9tZXRob2RzPC9rZXl3
b3JkPjxrZXl3b3JkPlBuZXVtb25pYSwgVmVudGlsYXRvci1Bc3NvY2lhdGVkL2Vjb25vbWljcy9l
cGlkZW1pb2xvZ3kvcHJldmVudGlvbiAmYW1wOyBjb250cm9sPC9rZXl3b3JkPjxrZXl3b3JkPlJl
Z3Jlc3Npb24gQW5hbHlzaXM8L2tleXdvcmQ+PGtleXdvcmQ+UmlzayBBc3Nlc3NtZW50PC9rZXl3
b3JkPjxrZXl3b3JkPlNlcHNpcy9lY29ub21pY3MvZXRpb2xvZ3kvcHJldmVudGlvbiAmYW1wOyBj
b250cm9sPC9rZXl3b3JkPjxrZXl3b3JkPlN1cmdpY2FsIFdvdW5kIEluZmVjdGlvbi9lY29ub21p
Y3MvZXBpZGVtaW9sb2d5L2V0aW9sb2d5L3ByZXZlbnRpb24gJmFtcDsgY29udHJvbDwva2V5d29y
ZD48a2V5d29yZD5Vbml0ZWQgU3RhdGVzL2VwaWRlbWlvbG9neTwva2V5d29yZD48a2V5d29yZD5V
cmluYXJ5IFRyYWN0IEluZmVjdGlvbnMvZWNvbm9taWNzL2VwaWRlbWlvbG9neS9ldGlvbG9neS9w
cmV2ZW50aW9uICZhbXA7IGNvbnRyb2w8L2tleXdvcmQ+PC9rZXl3b3Jkcz48ZGF0ZXM+PHllYXI+
MjAxMTwveWVhcj48cHViLWRhdGVzPjxkYXRlPkZlYjwvZGF0ZT48L3B1Yi1kYXRlcz48L2RhdGVz
Pjxpc2JuPjE1NTktNjgzNCAoRWxlY3Ryb25pYykmI3hEOzA4OTktODIzWCAoTGlua2luZyk8L2lz
Ym4+PGFjY2Vzc2lvbi1udW0+MjE0NjA0NjM8L2FjY2Vzc2lvbi1udW0+PHdvcmstdHlwZT5SZXZp
ZXc8L3dvcmstdHlwZT48dXJscz48cmVsYXRlZC11cmxzPjx1cmw+aHR0cDovL3d3dy5uY2JpLm5s
bS5uaWguZ292L3B1Ym1lZC8yMTQ2MDQ2MzwvdXJsPjwvcmVsYXRlZC11cmxzPjwvdXJscz48ZWxl
Y3Ryb25pYy1yZXNvdXJjZS1udW0+MTAuMTA4Ni82NTc5MTI8L2VsZWN0cm9uaWMtcmVzb3VyY2Ut
bnVtPjxsYW5ndWFnZT5lbmc8L2xhbmd1YWdlPjwvcmVjb3JkPjwvQ2l0ZT48Q2l0ZT48QXV0aG9y
PldpbHNvbjwvQXV0aG9yPjxZZWFyPjE5OTU8L1llYXI+PFJlY051bT4xNDwvUmVjTnVtPjxyZWNv
cmQ+PHJlYy1udW1iZXI+MTQ8L3JlYy1udW1iZXI+PGZvcmVpZ24ta2V5cz48a2V5IGFwcD0iRU4i
IGRiLWlkPSI5MnRmdHQ1djJhcnhkNmU5d3pyNTB3MncwcnowZXB4MDk5ZnQiIHRpbWVzdGFtcD0i
MTM3MTUzMzI4NyI+MTQ8L2tleT48L2ZvcmVpZ24ta2V5cz48cmVmLXR5cGUgbmFtZT0iSm91cm5h
bCBBcnRpY2xlIj4xNzwvcmVmLXR5cGU+PGNvbnRyaWJ1dG9ycz48YXV0aG9ycz48YXV0aG9yPldp
bHNvbiwgUk08L2F1dGhvcj48YXV0aG9yPlJ1bmNpbWFuLCBXQjwvYXV0aG9yPjxhdXRob3I+R2li
YmVyZCwgUlc8L2F1dGhvcj48YXV0aG9yPkhhcnJpc29uLCBCVDwvYXV0aG9yPjxhdXRob3I+TmV3
YnksIEw8L2F1dGhvcj48YXV0aG9yPkhhbWlsdG9uLCBKRDwvYXV0aG9yPjwvYXV0aG9ycz48L2Nv
bnRyaWJ1dG9ycz48dGl0bGVzPjx0aXRsZT5UaGUgUXVhbGl0eSBpbiBBdXN0cmFsaWFuIEhlYWx0
aCBDYXJlIFN0dWR5PC90aXRsZT48c2Vjb25kYXJ5LXRpdGxlPk1lZGljYWwgSm91cm5hbCBvZiBB
dXN0cmFsaWE8L3NlY29uZGFyeS10aXRsZT48L3RpdGxlcz48cGVyaW9kaWNhbD48ZnVsbC10aXRs
ZT5NZWRpY2FsIEpvdXJuYWwgb2YgQXVzdHJhbGlhPC9mdWxsLXRpdGxlPjwvcGVyaW9kaWNhbD48
cGFnZXM+NDU4LTQ3MTwvcGFnZXM+PHZvbHVtZT4xNjM8L3ZvbHVtZT48ZGF0ZXM+PHllYXI+MTk5
NTwveWVhcj48L2RhdGVzPjx1cmxzPjwvdXJscz48L3JlY29yZD48L0NpdGU+PC9FbmROb3RlPgB=
</w:fldData>
        </w:fldChar>
      </w:r>
      <w:r w:rsidR="00290091">
        <w:instrText xml:space="preserve"> ADDIN EN.CITE </w:instrText>
      </w:r>
      <w:r w:rsidR="00290091">
        <w:fldChar w:fldCharType="begin">
          <w:fldData xml:space="preserve">PEVuZE5vdGU+PENpdGU+PEF1dGhvcj5VbXNjaGVpZDwvQXV0aG9yPjxZZWFyPjIwMTE8L1llYXI+
PFJlY051bT40MDwvUmVjTnVtPjxEaXNwbGF5VGV4dD5VbXNjaGVpZCBldCBhbC4sIDIwMTE7IFdp
bHNvbiBldCBhbC4sIDE5OTU8L0Rpc3BsYXlUZXh0PjxyZWNvcmQ+PHJlYy1udW1iZXI+NDA8L3Jl
Yy1udW1iZXI+PGZvcmVpZ24ta2V5cz48a2V5IGFwcD0iRU4iIGRiLWlkPSI5MnRmdHQ1djJhcnhk
NmU5d3pyNTB3MncwcnowZXB4MDk5ZnQiIHRpbWVzdGFtcD0iMTM3ODM2MjQ5OSI+NDA8L2tleT48
L2ZvcmVpZ24ta2V5cz48cmVmLXR5cGUgbmFtZT0iSm91cm5hbCBBcnRpY2xlIj4xNzwvcmVmLXR5
cGU+PGNvbnRyaWJ1dG9ycz48YXV0aG9ycz48YXV0aG9yPlVtc2NoZWlkLCBDLiBBLjwvYXV0aG9y
PjxhdXRob3I+TWl0Y2hlbGwsIE0uIEQuPC9hdXRob3I+PGF1dGhvcj5Eb3NoaSwgSi4gQS48L2F1
dGhvcj48YXV0aG9yPkFnYXJ3YWwsIFIuPC9hdXRob3I+PGF1dGhvcj5XaWxsaWFtcywgSy48L2F1
dGhvcj48YXV0aG9yPkJyZW5uYW4sIFAuIEouPC9hdXRob3I+PC9hdXRob3JzPjwvY29udHJpYnV0
b3JzPjxhdXRoLWFkZHJlc3M+Q2VudGVyIGZvciBFdmlkZW5jZS1CYXNlZCBQcmFjdGljZSwgVW5p
dmVyc2l0eSBvZiBQZW5uc3lsdmFuaWEsIFBoaWxhZGVscGhpYSwgUGVubnN5bHZhbmlhIDE5MTA0
LCBVU0EuIGNyYWlnLnVtc2NoZWlkQHVwaHMudXBlbm4uZWR1PC9hdXRoLWFkZHJlc3M+PHRpdGxl
cz48dGl0bGU+RXN0aW1hdGluZyB0aGUgcHJvcG9ydGlvbiBvZiBoZWFsdGhjYXJlLWFzc29jaWF0
ZWQgaW5mZWN0aW9ucyB0aGF0IGFyZSByZWFzb25hYmx5IHByZXZlbnRhYmxlIGFuZCB0aGUgcmVs
YXRlZCBtb3J0YWxpdHkgYW5kIGNvc3RzPC90aXRsZT48c2Vjb25kYXJ5LXRpdGxlPkluZmVjdCBD
b250cm9sIEhvc3AgRXBpZGVtaW9sPC9zZWNvbmRhcnktdGl0bGU+PGFsdC10aXRsZT5JbmZlY3Rp
b24gY29udHJvbCBhbmQgaG9zcGl0YWwgZXBpZGVtaW9sb2d5IDogdGhlIG9mZmljaWFsIGpvdXJu
YWwgb2YgdGhlIFNvY2lldHkgb2YgSG9zcGl0YWwgRXBpZGVtaW9sb2dpc3RzIG9mIEFtZXJpY2E8
L2FsdC10aXRsZT48L3RpdGxlcz48cGVyaW9kaWNhbD48ZnVsbC10aXRsZT5JbmZlY3QgQ29udHJv
bCBIb3NwIEVwaWRlbWlvbDwvZnVsbC10aXRsZT48YWJici0xPkluZmVjdGlvbiBjb250cm9sIGFu
ZCBob3NwaXRhbCBlcGlkZW1pb2xvZ3kgOiB0aGUgb2ZmaWNpYWwgam91cm5hbCBvZiB0aGUgU29j
aWV0eSBvZiBIb3NwaXRhbCBFcGlkZW1pb2xvZ2lzdHMgb2YgQW1lcmljYTwvYWJici0xPjwvcGVy
aW9kaWNhbD48YWx0LXBlcmlvZGljYWw+PGZ1bGwtdGl0bGU+SW5mZWN0IENvbnRyb2wgSG9zcCBF
cGlkZW1pb2w8L2Z1bGwtdGl0bGU+PGFiYnItMT5JbmZlY3Rpb24gY29udHJvbCBhbmQgaG9zcGl0
YWwgZXBpZGVtaW9sb2d5IDogdGhlIG9mZmljaWFsIGpvdXJuYWwgb2YgdGhlIFNvY2lldHkgb2Yg
SG9zcGl0YWwgRXBpZGVtaW9sb2dpc3RzIG9mIEFtZXJpY2E8L2FiYnItMT48L2FsdC1wZXJpb2Rp
Y2FsPjxwYWdlcz4xMDEtMTQ8L3BhZ2VzPjx2b2x1bWU+MzI8L3ZvbHVtZT48bnVtYmVyPjI8L251
bWJlcj48ZWRpdGlvbj4yMDExLzA0LzA1PC9lZGl0aW9uPjxrZXl3b3Jkcz48a2V5d29yZD4qQ2F0
aGV0ZXItUmVsYXRlZCBJbmZlY3Rpb25zL2Vjb25vbWljcy9lcGlkZW1pb2xvZ3kvcHJldmVudGlv
biAmYW1wOyBjb250cm9sPC9rZXl3b3JkPjxrZXl3b3JkPkNhdGhldGVycy8qYWR2ZXJzZSBlZmZl
Y3RzL21pY3JvYmlvbG9neTwva2V5d29yZD48a2V5d29yZD5Db3N0cyBhbmQgQ29zdCBBbmFseXNp
czwva2V5d29yZD48a2V5d29yZD4qQ3Jvc3MgSW5mZWN0aW9uL2Vjb25vbWljcy9lcGlkZW1pb2xv
Z3kvbW9ydGFsaXR5L3ByZXZlbnRpb24gJmFtcDsgY29udHJvbDwva2V5d29yZD48a2V5d29yZD4q
RXF1aXBtZW50IENvbnRhbWluYXRpb24vZWNvbm9taWNzL3ByZXZlbnRpb24gJmFtcDsgY29udHJv
bDwva2V5d29yZD48a2V5d29yZD5IZWFsdGggQ2FyZSBTdXJ2ZXlzPC9rZXl3b3JkPjxrZXl3b3Jk
Pkh1bWFuczwva2V5d29yZD48a2V5d29yZD5JbmZlY3Rpb24gQ29udHJvbC9tZXRob2RzPC9rZXl3
b3JkPjxrZXl3b3JkPlBuZXVtb25pYSwgVmVudGlsYXRvci1Bc3NvY2lhdGVkL2Vjb25vbWljcy9l
cGlkZW1pb2xvZ3kvcHJldmVudGlvbiAmYW1wOyBjb250cm9sPC9rZXl3b3JkPjxrZXl3b3JkPlJl
Z3Jlc3Npb24gQW5hbHlzaXM8L2tleXdvcmQ+PGtleXdvcmQ+UmlzayBBc3Nlc3NtZW50PC9rZXl3
b3JkPjxrZXl3b3JkPlNlcHNpcy9lY29ub21pY3MvZXRpb2xvZ3kvcHJldmVudGlvbiAmYW1wOyBj
b250cm9sPC9rZXl3b3JkPjxrZXl3b3JkPlN1cmdpY2FsIFdvdW5kIEluZmVjdGlvbi9lY29ub21p
Y3MvZXBpZGVtaW9sb2d5L2V0aW9sb2d5L3ByZXZlbnRpb24gJmFtcDsgY29udHJvbDwva2V5d29y
ZD48a2V5d29yZD5Vbml0ZWQgU3RhdGVzL2VwaWRlbWlvbG9neTwva2V5d29yZD48a2V5d29yZD5V
cmluYXJ5IFRyYWN0IEluZmVjdGlvbnMvZWNvbm9taWNzL2VwaWRlbWlvbG9neS9ldGlvbG9neS9w
cmV2ZW50aW9uICZhbXA7IGNvbnRyb2w8L2tleXdvcmQ+PC9rZXl3b3Jkcz48ZGF0ZXM+PHllYXI+
MjAxMTwveWVhcj48cHViLWRhdGVzPjxkYXRlPkZlYjwvZGF0ZT48L3B1Yi1kYXRlcz48L2RhdGVz
Pjxpc2JuPjE1NTktNjgzNCAoRWxlY3Ryb25pYykmI3hEOzA4OTktODIzWCAoTGlua2luZyk8L2lz
Ym4+PGFjY2Vzc2lvbi1udW0+MjE0NjA0NjM8L2FjY2Vzc2lvbi1udW0+PHdvcmstdHlwZT5SZXZp
ZXc8L3dvcmstdHlwZT48dXJscz48cmVsYXRlZC11cmxzPjx1cmw+aHR0cDovL3d3dy5uY2JpLm5s
bS5uaWguZ292L3B1Ym1lZC8yMTQ2MDQ2MzwvdXJsPjwvcmVsYXRlZC11cmxzPjwvdXJscz48ZWxl
Y3Ryb25pYy1yZXNvdXJjZS1udW0+MTAuMTA4Ni82NTc5MTI8L2VsZWN0cm9uaWMtcmVzb3VyY2Ut
bnVtPjxsYW5ndWFnZT5lbmc8L2xhbmd1YWdlPjwvcmVjb3JkPjwvQ2l0ZT48Q2l0ZT48QXV0aG9y
PldpbHNvbjwvQXV0aG9yPjxZZWFyPjE5OTU8L1llYXI+PFJlY051bT4xNDwvUmVjTnVtPjxyZWNv
cmQ+PHJlYy1udW1iZXI+MTQ8L3JlYy1udW1iZXI+PGZvcmVpZ24ta2V5cz48a2V5IGFwcD0iRU4i
IGRiLWlkPSI5MnRmdHQ1djJhcnhkNmU5d3pyNTB3MncwcnowZXB4MDk5ZnQiIHRpbWVzdGFtcD0i
MTM3MTUzMzI4NyI+MTQ8L2tleT48L2ZvcmVpZ24ta2V5cz48cmVmLXR5cGUgbmFtZT0iSm91cm5h
bCBBcnRpY2xlIj4xNzwvcmVmLXR5cGU+PGNvbnRyaWJ1dG9ycz48YXV0aG9ycz48YXV0aG9yPldp
bHNvbiwgUk08L2F1dGhvcj48YXV0aG9yPlJ1bmNpbWFuLCBXQjwvYXV0aG9yPjxhdXRob3I+R2li
YmVyZCwgUlc8L2F1dGhvcj48YXV0aG9yPkhhcnJpc29uLCBCVDwvYXV0aG9yPjxhdXRob3I+TmV3
YnksIEw8L2F1dGhvcj48YXV0aG9yPkhhbWlsdG9uLCBKRDwvYXV0aG9yPjwvYXV0aG9ycz48L2Nv
bnRyaWJ1dG9ycz48dGl0bGVzPjx0aXRsZT5UaGUgUXVhbGl0eSBpbiBBdXN0cmFsaWFuIEhlYWx0
aCBDYXJlIFN0dWR5PC90aXRsZT48c2Vjb25kYXJ5LXRpdGxlPk1lZGljYWwgSm91cm5hbCBvZiBB
dXN0cmFsaWE8L3NlY29uZGFyeS10aXRsZT48L3RpdGxlcz48cGVyaW9kaWNhbD48ZnVsbC10aXRs
ZT5NZWRpY2FsIEpvdXJuYWwgb2YgQXVzdHJhbGlhPC9mdWxsLXRpdGxlPjwvcGVyaW9kaWNhbD48
cGFnZXM+NDU4LTQ3MTwvcGFnZXM+PHZvbHVtZT4xNjM8L3ZvbHVtZT48ZGF0ZXM+PHllYXI+MTk5
NTwveWVhcj48L2RhdGVzPjx1cmxzPjwvdXJscz48L3JlY29yZD48L0NpdGU+PC9FbmROb3RlPgB=
</w:fldData>
        </w:fldChar>
      </w:r>
      <w:r w:rsidR="00290091">
        <w:instrText xml:space="preserve"> ADDIN EN.CITE.DATA </w:instrText>
      </w:r>
      <w:r w:rsidR="00290091">
        <w:fldChar w:fldCharType="end"/>
      </w:r>
      <w:r>
        <w:fldChar w:fldCharType="separate"/>
      </w:r>
      <w:hyperlink w:anchor="_ENREF_29" w:tooltip="Umscheid, 2011 #40" w:history="1">
        <w:r w:rsidR="00C33CAE">
          <w:rPr>
            <w:noProof/>
          </w:rPr>
          <w:t>Umscheid et al., 2011</w:t>
        </w:r>
      </w:hyperlink>
      <w:r w:rsidR="00290091">
        <w:rPr>
          <w:noProof/>
        </w:rPr>
        <w:t xml:space="preserve">; </w:t>
      </w:r>
      <w:hyperlink w:anchor="_ENREF_32" w:tooltip="Wilson, 1995 #14" w:history="1">
        <w:r w:rsidR="00C33CAE">
          <w:rPr>
            <w:noProof/>
          </w:rPr>
          <w:t>Wilson et al., 1995</w:t>
        </w:r>
      </w:hyperlink>
      <w:r>
        <w:fldChar w:fldCharType="end"/>
      </w:r>
      <w:r>
        <w:t xml:space="preserve">; </w:t>
      </w:r>
      <w:hyperlink w:anchor="_ENREF_5" w:tooltip="Berenholtz, 2011 #127" w:history="1">
        <w:r w:rsidR="00C33CAE">
          <w:fldChar w:fldCharType="begin">
            <w:fldData xml:space="preserve">PEVuZE5vdGU+PENpdGU+PEF1dGhvcj5CZXJlbmhvbHR6PC9BdXRob3I+PFllYXI+MjAxMTwvWWVh
cj48UmVjTnVtPjEyNzwvUmVjTnVtPjxEaXNwbGF5VGV4dD5CZXJlbmhvbHR6IGV0IGFsLiwgMjAx
MTwvRGlzcGxheVRleHQ+PHJlY29yZD48cmVjLW51bWJlcj4xMjc8L3JlYy1udW1iZXI+PGZvcmVp
Z24ta2V5cz48a2V5IGFwcD0iRU4iIGRiLWlkPSI5MnRmdHQ1djJhcnhkNmU5d3pyNTB3Mncwcnow
ZXB4MDk5ZnQiIHRpbWVzdGFtcD0iMTM4MDM0MzcyMCI+MTI3PC9rZXk+PC9mb3JlaWduLWtleXM+
PHJlZi10eXBlIG5hbWU9IkpvdXJuYWwgQXJ0aWNsZSI+MTc8L3JlZi10eXBlPjxjb250cmlidXRv
cnM+PGF1dGhvcnM+PGF1dGhvcj5CZXJlbmhvbHR6LCBTLiBNLjwvYXV0aG9yPjxhdXRob3I+UGhh
bSwgSi4gQy48L2F1dGhvcj48YXV0aG9yPlRob21wc29uLCBELiBBLjwvYXV0aG9yPjxhdXRob3I+
TmVlZGhhbSwgRC4gTS48L2F1dGhvcj48YXV0aG9yPkx1Ym9tc2tpLCBMLiBILjwvYXV0aG9yPjxh
dXRob3I+SHl6eSwgUi4gQy48L2F1dGhvcj48YXV0aG9yPldlbHNoLCBSLjwvYXV0aG9yPjxhdXRo
b3I+Q29zZ3JvdmUsIFMuIEUuPC9hdXRob3I+PGF1dGhvcj5TZXh0b24sIEouIEIuPC9hdXRob3I+
PGF1dGhvcj5Db2xhbnR1b25pLCBFLjwvYXV0aG9yPjxhdXRob3I+V2F0c29uLCBTLiBSLjwvYXV0
aG9yPjxhdXRob3I+R29lc2NoZWwsIEMuIEEuPC9hdXRob3I+PGF1dGhvcj5Qcm9ub3Zvc3QsIFAu
IEouPC9hdXRob3I+PC9hdXRob3JzPjwvY29udHJpYnV0b3JzPjxhdXRoLWFkZHJlc3M+Sm9obnMg
SG9wa2lucyBVbml2ZXJzaXR5IFNjaG9vbCBvZiBNZWRpY2luZSwgQmFsdGltb3JlLCBNYXJ5bGFu
ZCwgVVNBLiBzYmVyZW5ob0BqaG1pLmVkdTwvYXV0aC1hZGRyZXNzPjx0aXRsZXM+PHRpdGxlPkNv
bGxhYm9yYXRpdmUgY29ob3J0IHN0dWR5IG9mIGFuIGludGVydmVudGlvbiB0byByZWR1Y2UgdmVu
dGlsYXRvci1hc3NvY2lhdGVkIHBuZXVtb25pYSBpbiB0aGUgaW50ZW5zaXZlIGNhcmUgdW5pdDwv
dGl0bGU+PHNlY29uZGFyeS10aXRsZT5JbmZlY3QgQ29udHJvbCBIb3NwIEVwaWRlbWlvbDwvc2Vj
b25kYXJ5LXRpdGxlPjxhbHQtdGl0bGU+SW5mZWN0aW9uIGNvbnRyb2wgYW5kIGhvc3BpdGFsIGVw
aWRlbWlvbG9neSA6IHRoZSBvZmZpY2lhbCBqb3VybmFsIG9mIHRoZSBTb2NpZXR5IG9mIEhvc3Bp
dGFsIEVwaWRlbWlvbG9naXN0cyBvZiBBbWVyaWNhPC9hbHQtdGl0bGU+PC90aXRsZXM+PHBlcmlv
ZGljYWw+PGZ1bGwtdGl0bGU+SW5mZWN0IENvbnRyb2wgSG9zcCBFcGlkZW1pb2w8L2Z1bGwtdGl0
bGU+PGFiYnItMT5JbmZlY3Rpb24gY29udHJvbCBhbmQgaG9zcGl0YWwgZXBpZGVtaW9sb2d5IDog
dGhlIG9mZmljaWFsIGpvdXJuYWwgb2YgdGhlIFNvY2lldHkgb2YgSG9zcGl0YWwgRXBpZGVtaW9s
b2dpc3RzIG9mIEFtZXJpY2E8L2FiYnItMT48L3BlcmlvZGljYWw+PGFsdC1wZXJpb2RpY2FsPjxm
dWxsLXRpdGxlPkluZmVjdCBDb250cm9sIEhvc3AgRXBpZGVtaW9sPC9mdWxsLXRpdGxlPjxhYmJy
LTE+SW5mZWN0aW9uIGNvbnRyb2wgYW5kIGhvc3BpdGFsIGVwaWRlbWlvbG9neSA6IHRoZSBvZmZp
Y2lhbCBqb3VybmFsIG9mIHRoZSBTb2NpZXR5IG9mIEhvc3BpdGFsIEVwaWRlbWlvbG9naXN0cyBv
ZiBBbWVyaWNhPC9hYmJyLTE+PC9hbHQtcGVyaW9kaWNhbD48cGFnZXM+MzA1LTE0PC9wYWdlcz48
dm9sdW1lPjMyPC92b2x1bWU+PG51bWJlcj40PC9udW1iZXI+PGVkaXRpb24+MjAxMS8wNC8wNTwv
ZWRpdGlvbj48a2V5d29yZHM+PGtleXdvcmQ+Q29ob3J0IFN0dWRpZXM8L2tleXdvcmQ+PGtleXdv
cmQ+RXZpZGVuY2UtQmFzZWQgTWVkaWNpbmU8L2tleXdvcmQ+PGtleXdvcmQ+R3VpZGVsaW5lIEFk
aGVyZW5jZTwva2V5d29yZD48a2V5d29yZD5IdW1hbnM8L2tleXdvcmQ+PGtleXdvcmQ+SW5jaWRl
bmNlPC9rZXl3b3JkPjxrZXl3b3JkPipJbmZlY3Rpb24gQ29udHJvbC9tZXRob2RzL3N0YXRpc3Rp
Y3MgJmFtcDsgbnVtZXJpY2FsIGRhdGE8L2tleXdvcmQ+PGtleXdvcmQ+KkludGVuc2l2ZSBDYXJl
IFVuaXRzL29yZ2FuaXphdGlvbiAmYW1wOyBhZG1pbmlzdHJhdGlvbi9zdGF0aXN0aWNzICZhbXA7
IG51bWVyaWNhbCBkYXRhPC9rZXl3b3JkPjxrZXl3b3JkPlBuZXVtb25pYSwgVmVudGlsYXRvci1B
c3NvY2lhdGVkL2VwaWRlbWlvbG9neS8qcHJldmVudGlvbiAmYW1wOyBjb250cm9sPC9rZXl3b3Jk
PjxrZXl3b3JkPlBvaXNzb24gRGlzdHJpYnV0aW9uPC9rZXl3b3JkPjxrZXl3b3JkPlJlZ3Jlc3Np
b24gQW5hbHlzaXM8L2tleXdvcmQ+PGtleXdvcmQ+UmVzcGlyYXRpb24sIEFydGlmaWNpYWwvYWR2
ZXJzZSBlZmZlY3RzPC9rZXl3b3JkPjwva2V5d29yZHM+PGRhdGVzPjx5ZWFyPjIwMTE8L3llYXI+
PHB1Yi1kYXRlcz48ZGF0ZT5BcHI8L2RhdGU+PC9wdWItZGF0ZXM+PC9kYXRlcz48aXNibj4xNTU5
LTY4MzQgKEVsZWN0cm9uaWMpJiN4RDswODk5LTgyM1ggKExpbmtpbmcpPC9pc2JuPjxhY2Nlc3Np
b24tbnVtPjIxNDYwNDgxPC9hY2Nlc3Npb24tbnVtPjx3b3JrLXR5cGU+UmVzZWFyY2ggU3VwcG9y
dCwgTi5JLkguLCBFeHRyYW11cmFsJiN4RDtSZXNlYXJjaCBTdXBwb3J0LCBOb24tVS5TLiBHb3Ym
YXBvczt0PC93b3JrLXR5cGU+PHVybHM+PHJlbGF0ZWQtdXJscz48dXJsPmh0dHA6Ly93d3cubmNi
aS5ubG0ubmloLmdvdi9wdWJtZWQvMjE0NjA0ODE8L3VybD48dXJsPmh0dHA6Ly93d3cuanN0b3Iu
b3JnL3N0YWJsZS9wZGZwbHVzLzEwLjEwODYvNjU4OTM4LnBkZj9hY2NlcHRUQz10cnVlPC91cmw+
PC9yZWxhdGVkLXVybHM+PC91cmxzPjxlbGVjdHJvbmljLXJlc291cmNlLW51bT4xMC4xMDg2LzY1
ODkzODwvZWxlY3Ryb25pYy1yZXNvdXJjZS1udW0+PGxhbmd1YWdlPmVuZzwvbGFuZ3VhZ2U+PC9y
ZWNvcmQ+PC9DaXRlPjwvRW5kTm90ZT5=
</w:fldData>
          </w:fldChar>
        </w:r>
        <w:r w:rsidR="00C33CAE">
          <w:instrText xml:space="preserve"> ADDIN EN.CITE </w:instrText>
        </w:r>
        <w:r w:rsidR="00C33CAE">
          <w:fldChar w:fldCharType="begin">
            <w:fldData xml:space="preserve">PEVuZE5vdGU+PENpdGU+PEF1dGhvcj5CZXJlbmhvbHR6PC9BdXRob3I+PFllYXI+MjAxMTwvWWVh
cj48UmVjTnVtPjEyNzwvUmVjTnVtPjxEaXNwbGF5VGV4dD5CZXJlbmhvbHR6IGV0IGFsLiwgMjAx
MTwvRGlzcGxheVRleHQ+PHJlY29yZD48cmVjLW51bWJlcj4xMjc8L3JlYy1udW1iZXI+PGZvcmVp
Z24ta2V5cz48a2V5IGFwcD0iRU4iIGRiLWlkPSI5MnRmdHQ1djJhcnhkNmU5d3pyNTB3Mncwcnow
ZXB4MDk5ZnQiIHRpbWVzdGFtcD0iMTM4MDM0MzcyMCI+MTI3PC9rZXk+PC9mb3JlaWduLWtleXM+
PHJlZi10eXBlIG5hbWU9IkpvdXJuYWwgQXJ0aWNsZSI+MTc8L3JlZi10eXBlPjxjb250cmlidXRv
cnM+PGF1dGhvcnM+PGF1dGhvcj5CZXJlbmhvbHR6LCBTLiBNLjwvYXV0aG9yPjxhdXRob3I+UGhh
bSwgSi4gQy48L2F1dGhvcj48YXV0aG9yPlRob21wc29uLCBELiBBLjwvYXV0aG9yPjxhdXRob3I+
TmVlZGhhbSwgRC4gTS48L2F1dGhvcj48YXV0aG9yPkx1Ym9tc2tpLCBMLiBILjwvYXV0aG9yPjxh
dXRob3I+SHl6eSwgUi4gQy48L2F1dGhvcj48YXV0aG9yPldlbHNoLCBSLjwvYXV0aG9yPjxhdXRo
b3I+Q29zZ3JvdmUsIFMuIEUuPC9hdXRob3I+PGF1dGhvcj5TZXh0b24sIEouIEIuPC9hdXRob3I+
PGF1dGhvcj5Db2xhbnR1b25pLCBFLjwvYXV0aG9yPjxhdXRob3I+V2F0c29uLCBTLiBSLjwvYXV0
aG9yPjxhdXRob3I+R29lc2NoZWwsIEMuIEEuPC9hdXRob3I+PGF1dGhvcj5Qcm9ub3Zvc3QsIFAu
IEouPC9hdXRob3I+PC9hdXRob3JzPjwvY29udHJpYnV0b3JzPjxhdXRoLWFkZHJlc3M+Sm9obnMg
SG9wa2lucyBVbml2ZXJzaXR5IFNjaG9vbCBvZiBNZWRpY2luZSwgQmFsdGltb3JlLCBNYXJ5bGFu
ZCwgVVNBLiBzYmVyZW5ob0BqaG1pLmVkdTwvYXV0aC1hZGRyZXNzPjx0aXRsZXM+PHRpdGxlPkNv
bGxhYm9yYXRpdmUgY29ob3J0IHN0dWR5IG9mIGFuIGludGVydmVudGlvbiB0byByZWR1Y2UgdmVu
dGlsYXRvci1hc3NvY2lhdGVkIHBuZXVtb25pYSBpbiB0aGUgaW50ZW5zaXZlIGNhcmUgdW5pdDwv
dGl0bGU+PHNlY29uZGFyeS10aXRsZT5JbmZlY3QgQ29udHJvbCBIb3NwIEVwaWRlbWlvbDwvc2Vj
b25kYXJ5LXRpdGxlPjxhbHQtdGl0bGU+SW5mZWN0aW9uIGNvbnRyb2wgYW5kIGhvc3BpdGFsIGVw
aWRlbWlvbG9neSA6IHRoZSBvZmZpY2lhbCBqb3VybmFsIG9mIHRoZSBTb2NpZXR5IG9mIEhvc3Bp
dGFsIEVwaWRlbWlvbG9naXN0cyBvZiBBbWVyaWNhPC9hbHQtdGl0bGU+PC90aXRsZXM+PHBlcmlv
ZGljYWw+PGZ1bGwtdGl0bGU+SW5mZWN0IENvbnRyb2wgSG9zcCBFcGlkZW1pb2w8L2Z1bGwtdGl0
bGU+PGFiYnItMT5JbmZlY3Rpb24gY29udHJvbCBhbmQgaG9zcGl0YWwgZXBpZGVtaW9sb2d5IDog
dGhlIG9mZmljaWFsIGpvdXJuYWwgb2YgdGhlIFNvY2lldHkgb2YgSG9zcGl0YWwgRXBpZGVtaW9s
b2dpc3RzIG9mIEFtZXJpY2E8L2FiYnItMT48L3BlcmlvZGljYWw+PGFsdC1wZXJpb2RpY2FsPjxm
dWxsLXRpdGxlPkluZmVjdCBDb250cm9sIEhvc3AgRXBpZGVtaW9sPC9mdWxsLXRpdGxlPjxhYmJy
LTE+SW5mZWN0aW9uIGNvbnRyb2wgYW5kIGhvc3BpdGFsIGVwaWRlbWlvbG9neSA6IHRoZSBvZmZp
Y2lhbCBqb3VybmFsIG9mIHRoZSBTb2NpZXR5IG9mIEhvc3BpdGFsIEVwaWRlbWlvbG9naXN0cyBv
ZiBBbWVyaWNhPC9hYmJyLTE+PC9hbHQtcGVyaW9kaWNhbD48cGFnZXM+MzA1LTE0PC9wYWdlcz48
dm9sdW1lPjMyPC92b2x1bWU+PG51bWJlcj40PC9udW1iZXI+PGVkaXRpb24+MjAxMS8wNC8wNTwv
ZWRpdGlvbj48a2V5d29yZHM+PGtleXdvcmQ+Q29ob3J0IFN0dWRpZXM8L2tleXdvcmQ+PGtleXdv
cmQ+RXZpZGVuY2UtQmFzZWQgTWVkaWNpbmU8L2tleXdvcmQ+PGtleXdvcmQ+R3VpZGVsaW5lIEFk
aGVyZW5jZTwva2V5d29yZD48a2V5d29yZD5IdW1hbnM8L2tleXdvcmQ+PGtleXdvcmQ+SW5jaWRl
bmNlPC9rZXl3b3JkPjxrZXl3b3JkPipJbmZlY3Rpb24gQ29udHJvbC9tZXRob2RzL3N0YXRpc3Rp
Y3MgJmFtcDsgbnVtZXJpY2FsIGRhdGE8L2tleXdvcmQ+PGtleXdvcmQ+KkludGVuc2l2ZSBDYXJl
IFVuaXRzL29yZ2FuaXphdGlvbiAmYW1wOyBhZG1pbmlzdHJhdGlvbi9zdGF0aXN0aWNzICZhbXA7
IG51bWVyaWNhbCBkYXRhPC9rZXl3b3JkPjxrZXl3b3JkPlBuZXVtb25pYSwgVmVudGlsYXRvci1B
c3NvY2lhdGVkL2VwaWRlbWlvbG9neS8qcHJldmVudGlvbiAmYW1wOyBjb250cm9sPC9rZXl3b3Jk
PjxrZXl3b3JkPlBvaXNzb24gRGlzdHJpYnV0aW9uPC9rZXl3b3JkPjxrZXl3b3JkPlJlZ3Jlc3Np
b24gQW5hbHlzaXM8L2tleXdvcmQ+PGtleXdvcmQ+UmVzcGlyYXRpb24sIEFydGlmaWNpYWwvYWR2
ZXJzZSBlZmZlY3RzPC9rZXl3b3JkPjwva2V5d29yZHM+PGRhdGVzPjx5ZWFyPjIwMTE8L3llYXI+
PHB1Yi1kYXRlcz48ZGF0ZT5BcHI8L2RhdGU+PC9wdWItZGF0ZXM+PC9kYXRlcz48aXNibj4xNTU5
LTY4MzQgKEVsZWN0cm9uaWMpJiN4RDswODk5LTgyM1ggKExpbmtpbmcpPC9pc2JuPjxhY2Nlc3Np
b24tbnVtPjIxNDYwNDgxPC9hY2Nlc3Npb24tbnVtPjx3b3JrLXR5cGU+UmVzZWFyY2ggU3VwcG9y
dCwgTi5JLkguLCBFeHRyYW11cmFsJiN4RDtSZXNlYXJjaCBTdXBwb3J0LCBOb24tVS5TLiBHb3Ym
YXBvczt0PC93b3JrLXR5cGU+PHVybHM+PHJlbGF0ZWQtdXJscz48dXJsPmh0dHA6Ly93d3cubmNi
aS5ubG0ubmloLmdvdi9wdWJtZWQvMjE0NjA0ODE8L3VybD48dXJsPmh0dHA6Ly93d3cuanN0b3Iu
b3JnL3N0YWJsZS9wZGZwbHVzLzEwLjEwODYvNjU4OTM4LnBkZj9hY2NlcHRUQz10cnVlPC91cmw+
PC9yZWxhdGVkLXVybHM+PC91cmxzPjxlbGVjdHJvbmljLXJlc291cmNlLW51bT4xMC4xMDg2LzY1
ODkzODwvZWxlY3Ryb25pYy1yZXNvdXJjZS1udW0+PGxhbmd1YWdlPmVuZzwvbGFuZ3VhZ2U+PC9y
ZWNvcmQ+PC9DaXRlPjwvRW5kTm90ZT5=
</w:fldData>
          </w:fldChar>
        </w:r>
        <w:r w:rsidR="00C33CAE">
          <w:instrText xml:space="preserve"> ADDIN EN.CITE.DATA </w:instrText>
        </w:r>
        <w:r w:rsidR="00C33CAE">
          <w:fldChar w:fldCharType="end"/>
        </w:r>
        <w:r w:rsidR="00C33CAE">
          <w:fldChar w:fldCharType="separate"/>
        </w:r>
        <w:r w:rsidR="00C33CAE">
          <w:rPr>
            <w:noProof/>
          </w:rPr>
          <w:t>Berenholtz et al., 2011</w:t>
        </w:r>
        <w:r w:rsidR="00C33CAE">
          <w:fldChar w:fldCharType="end"/>
        </w:r>
      </w:hyperlink>
      <w:r>
        <w:rPr>
          <w:rFonts w:cs="MyriadPro-Regular"/>
          <w:szCs w:val="20"/>
          <w:lang w:val="en-US"/>
        </w:rPr>
        <w:t xml:space="preserve">; </w:t>
      </w:r>
      <w:hyperlink w:anchor="_ENREF_27" w:tooltip="Pronovost, 2006 #131" w:history="1">
        <w:r w:rsidR="00C33CAE">
          <w:rPr>
            <w:rFonts w:cs="MyriadPro-Regular"/>
            <w:szCs w:val="20"/>
            <w:lang w:val="en-US"/>
          </w:rPr>
          <w:fldChar w:fldCharType="begin">
            <w:fldData xml:space="preserve">PEVuZE5vdGU+PENpdGU+PEF1dGhvcj5Qcm9ub3Zvc3Q8L0F1dGhvcj48WWVhcj4yMDA2PC9ZZWFy
PjxSZWNOdW0+MTMxPC9SZWNOdW0+PERpc3BsYXlUZXh0PlByb25vdm9zdCBldCBhbC4sIDIwMDY8
L0Rpc3BsYXlUZXh0PjxyZWNvcmQ+PHJlYy1udW1iZXI+MTMxPC9yZWMtbnVtYmVyPjxmb3JlaWdu
LWtleXM+PGtleSBhcHA9IkVOIiBkYi1pZD0iOTJ0ZnR0NXYyYXJ4ZDZlOXd6cjUwdzJ3MHJ6MGVw
eDA5OWZ0IiB0aW1lc3RhbXA9IjEzODAzNDM4MTgiPjEzMTwva2V5PjwvZm9yZWlnbi1rZXlzPjxy
ZWYtdHlwZSBuYW1lPSJKb3VybmFsIEFydGljbGUiPjE3PC9yZWYtdHlwZT48Y29udHJpYnV0b3Jz
PjxhdXRob3JzPjxhdXRob3I+UHJvbm92b3N0LCBQPC9hdXRob3I+PGF1dGhvcj5OZWVkaGFtLCBE
PC9hdXRob3I+PGF1dGhvcj5CZXJlbmhvbHR6LCBTPC9hdXRob3I+PGF1dGhvcj5TaW5vcG9saSwg
RDwvYXV0aG9yPjxhdXRob3I+Q2h1LCBIPC9hdXRob3I+PGF1dGhvcj5Db3Nncm92ZSwgUzwvYXV0
aG9yPjxhdXRob3I+U2V4dG9uLCBCPC9hdXRob3I+PGF1dGhvcj5IeXp5LCBSPC9hdXRob3I+PGF1
dGhvcj5XZWxzaCwgUjwvYXV0aG9yPjxhdXRob3I+Um90aCwgRzwvYXV0aG9yPjxhdXRob3I+QmFu
ZGVyLCBKPC9hdXRob3I+PGF1dGhvcj5LZXByb3MsIEo8L2F1dGhvcj48YXV0aG9yPkdvZXNjaGVs
LCBDPC9hdXRob3I+PC9hdXRob3JzPjwvY29udHJpYnV0b3JzPjxhdXRoLWFkZHJlc3M+U2Nob29s
IG9mIE1lZGljaW5lLCBKb2hucyBIb3BraW5zIFVuaXZlcnNpdHksIEJhbHRpbW9yZSwgVVNBPC9h
dXRoLWFkZHJlc3M+PHRpdGxlcz48dGl0bGU+QW4gaW50ZXJ2ZW50aW9uIHRvIGRlY3JlYXNlIGNh
dGhldGVyLXJlbGF0ZWQgYmxvb2RzdHJlYW0gaW5mZWN0aW9ucyBpbiB0aGUgSUNVPC90aXRsZT48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b2RpY2FsPjxwYWdlcz4yNzI1LTMyPC9wYWdlcz48dm9sdW1lPjM1NTwvdm9sdW1lPjxudW1iZXI+
MjY8L251bWJlcj48ZWRpdGlvbj4yMDA2LzEyLzI5PC9lZGl0aW9uPjxrZXl3b3Jkcz48a2V5d29y
ZD5BZHVsdDwva2V5d29yZD48a2V5d29yZD5CYWN0ZXJlbWlhL2VwaWRlbWlvbG9neS8qcHJldmVu
dGlvbiAmYW1wOyBjb250cm9sPC9rZXl3b3JkPjxrZXl3b3JkPkNhdGhldGVycywgSW5kd2VsbGlu
Zy8qYWR2ZXJzZSBlZmZlY3RzPC9rZXl3b3JkPjxrZXl3b3JkPkNvaG9ydCBTdHVkaWVzPC9rZXl3
b3JkPjxrZXl3b3JkPkNyb3NzIEluZmVjdGlvbi9lcGlkZW1pb2xvZ3kvKnByZXZlbnRpb24gJmFt
cDsgY29udHJvbDwva2V5d29yZD48a2V5d29yZD5IdW1hbnM8L2tleXdvcmQ+PGtleXdvcmQ+SW5j
aWRlbmNlPC9rZXl3b3JkPjxrZXl3b3JkPkluZmVjdGlvbiBDb250cm9sLyptZXRob2RzL3N0YW5k
YXJkczwva2V5d29yZD48a2V5d29yZD5JbnNlcnZpY2UgVHJhaW5pbmc8L2tleXdvcmQ+PGtleXdv
cmQ+SW50ZW5zaXZlIENhcmUgVW5pdHMvKnN0YW5kYXJkczwva2V5d29yZD48a2V5d29yZD5NaWNo
aWdhbi9lcGlkZW1pb2xvZ3k8L2tleXdvcmQ+PGtleXdvcmQ+UG9pc3NvbiBEaXN0cmlidXRpb248
L2tleXdvcmQ+PGtleXdvcmQ+UXVhbGl0eSBBc3N1cmFuY2UsIEhlYWx0aCBDYXJlPC9rZXl3b3Jk
PjxrZXl3b3JkPlJlZ3Jlc3Npb24gQW5hbHlzaXM8L2tleXdvcmQ+PC9rZXl3b3Jkcz48ZGF0ZXM+
PHllYXI+MjAwNjwveWVhcj48cHViLWRhdGVzPjxkYXRlPkRlYyAyODwvZGF0ZT48L3B1Yi1kYXRl
cz48L2RhdGVzPjxpc2JuPjE1MzMtNDQwNiAoRWxlY3Ryb25pYykmI3hEOzAwMjgtNDc5MyAoTGlu
a2luZyk8L2lzYm4+PGFjY2Vzc2lvbi1udW0+MTcxOTI1Mzc8L2FjY2Vzc2lvbi1udW0+PHdvcmst
dHlwZT5NdWx0aWNlbnRlciBTdHVkeSYjeEQ7UmVzZWFyY2ggU3VwcG9ydCwgVS5TLiBHb3YmYXBv
czt0LCBQLkguUy48L3dvcmstdHlwZT48dXJscz48cmVsYXRlZC11cmxzPjx1cmw+aHR0cDovL3d3
dy5uY2JpLm5sbS5uaWguZ292L3B1Ym1lZC8xNzE5MjUzNzwvdXJsPjwvcmVsYXRlZC11cmxzPjwv
dXJscz48ZWxlY3Ryb25pYy1yZXNvdXJjZS1udW0+MTAuMTA1Ni9ORUpNb2EwNjExMTU8L2VsZWN0
cm9uaWMtcmVzb3VyY2UtbnVtPjxsYW5ndWFnZT5lbmc8L2xhbmd1YWdlPjwvcmVjb3JkPjwvQ2l0
ZT48L0VuZE5vdGU+AG==
</w:fldData>
          </w:fldChar>
        </w:r>
        <w:r w:rsidR="00C33CAE">
          <w:rPr>
            <w:rFonts w:cs="MyriadPro-Regular"/>
            <w:szCs w:val="20"/>
            <w:lang w:val="en-US"/>
          </w:rPr>
          <w:instrText xml:space="preserve"> ADDIN EN.CITE </w:instrText>
        </w:r>
        <w:r w:rsidR="00C33CAE">
          <w:rPr>
            <w:rFonts w:cs="MyriadPro-Regular"/>
            <w:szCs w:val="20"/>
            <w:lang w:val="en-US"/>
          </w:rPr>
          <w:fldChar w:fldCharType="begin">
            <w:fldData xml:space="preserve">PEVuZE5vdGU+PENpdGU+PEF1dGhvcj5Qcm9ub3Zvc3Q8L0F1dGhvcj48WWVhcj4yMDA2PC9ZZWFy
PjxSZWNOdW0+MTMxPC9SZWNOdW0+PERpc3BsYXlUZXh0PlByb25vdm9zdCBldCBhbC4sIDIwMDY8
L0Rpc3BsYXlUZXh0PjxyZWNvcmQ+PHJlYy1udW1iZXI+MTMxPC9yZWMtbnVtYmVyPjxmb3JlaWdu
LWtleXM+PGtleSBhcHA9IkVOIiBkYi1pZD0iOTJ0ZnR0NXYyYXJ4ZDZlOXd6cjUwdzJ3MHJ6MGVw
eDA5OWZ0IiB0aW1lc3RhbXA9IjEzODAzNDM4MTgiPjEzMTwva2V5PjwvZm9yZWlnbi1rZXlzPjxy
ZWYtdHlwZSBuYW1lPSJKb3VybmFsIEFydGljbGUiPjE3PC9yZWYtdHlwZT48Y29udHJpYnV0b3Jz
PjxhdXRob3JzPjxhdXRob3I+UHJvbm92b3N0LCBQPC9hdXRob3I+PGF1dGhvcj5OZWVkaGFtLCBE
PC9hdXRob3I+PGF1dGhvcj5CZXJlbmhvbHR6LCBTPC9hdXRob3I+PGF1dGhvcj5TaW5vcG9saSwg
RDwvYXV0aG9yPjxhdXRob3I+Q2h1LCBIPC9hdXRob3I+PGF1dGhvcj5Db3Nncm92ZSwgUzwvYXV0
aG9yPjxhdXRob3I+U2V4dG9uLCBCPC9hdXRob3I+PGF1dGhvcj5IeXp5LCBSPC9hdXRob3I+PGF1
dGhvcj5XZWxzaCwgUjwvYXV0aG9yPjxhdXRob3I+Um90aCwgRzwvYXV0aG9yPjxhdXRob3I+QmFu
ZGVyLCBKPC9hdXRob3I+PGF1dGhvcj5LZXByb3MsIEo8L2F1dGhvcj48YXV0aG9yPkdvZXNjaGVs
LCBDPC9hdXRob3I+PC9hdXRob3JzPjwvY29udHJpYnV0b3JzPjxhdXRoLWFkZHJlc3M+U2Nob29s
IG9mIE1lZGljaW5lLCBKb2hucyBIb3BraW5zIFVuaXZlcnNpdHksIEJhbHRpbW9yZSwgVVNBPC9h
dXRoLWFkZHJlc3M+PHRpdGxlcz48dGl0bGU+QW4gaW50ZXJ2ZW50aW9uIHRvIGRlY3JlYXNlIGNh
dGhldGVyLXJlbGF0ZWQgYmxvb2RzdHJlYW0gaW5mZWN0aW9ucyBpbiB0aGUgSUNVPC90aXRsZT48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b2RpY2FsPjxwYWdlcz4yNzI1LTMyPC9wYWdlcz48dm9sdW1lPjM1NTwvdm9sdW1lPjxudW1iZXI+
MjY8L251bWJlcj48ZWRpdGlvbj4yMDA2LzEyLzI5PC9lZGl0aW9uPjxrZXl3b3Jkcz48a2V5d29y
ZD5BZHVsdDwva2V5d29yZD48a2V5d29yZD5CYWN0ZXJlbWlhL2VwaWRlbWlvbG9neS8qcHJldmVu
dGlvbiAmYW1wOyBjb250cm9sPC9rZXl3b3JkPjxrZXl3b3JkPkNhdGhldGVycywgSW5kd2VsbGlu
Zy8qYWR2ZXJzZSBlZmZlY3RzPC9rZXl3b3JkPjxrZXl3b3JkPkNvaG9ydCBTdHVkaWVzPC9rZXl3
b3JkPjxrZXl3b3JkPkNyb3NzIEluZmVjdGlvbi9lcGlkZW1pb2xvZ3kvKnByZXZlbnRpb24gJmFt
cDsgY29udHJvbDwva2V5d29yZD48a2V5d29yZD5IdW1hbnM8L2tleXdvcmQ+PGtleXdvcmQ+SW5j
aWRlbmNlPC9rZXl3b3JkPjxrZXl3b3JkPkluZmVjdGlvbiBDb250cm9sLyptZXRob2RzL3N0YW5k
YXJkczwva2V5d29yZD48a2V5d29yZD5JbnNlcnZpY2UgVHJhaW5pbmc8L2tleXdvcmQ+PGtleXdv
cmQ+SW50ZW5zaXZlIENhcmUgVW5pdHMvKnN0YW5kYXJkczwva2V5d29yZD48a2V5d29yZD5NaWNo
aWdhbi9lcGlkZW1pb2xvZ3k8L2tleXdvcmQ+PGtleXdvcmQ+UG9pc3NvbiBEaXN0cmlidXRpb248
L2tleXdvcmQ+PGtleXdvcmQ+UXVhbGl0eSBBc3N1cmFuY2UsIEhlYWx0aCBDYXJlPC9rZXl3b3Jk
PjxrZXl3b3JkPlJlZ3Jlc3Npb24gQW5hbHlzaXM8L2tleXdvcmQ+PC9rZXl3b3Jkcz48ZGF0ZXM+
PHllYXI+MjAwNjwveWVhcj48cHViLWRhdGVzPjxkYXRlPkRlYyAyODwvZGF0ZT48L3B1Yi1kYXRl
cz48L2RhdGVzPjxpc2JuPjE1MzMtNDQwNiAoRWxlY3Ryb25pYykmI3hEOzAwMjgtNDc5MyAoTGlu
a2luZyk8L2lzYm4+PGFjY2Vzc2lvbi1udW0+MTcxOTI1Mzc8L2FjY2Vzc2lvbi1udW0+PHdvcmst
dHlwZT5NdWx0aWNlbnRlciBTdHVkeSYjeEQ7UmVzZWFyY2ggU3VwcG9ydCwgVS5TLiBHb3YmYXBv
czt0LCBQLkguUy48L3dvcmstdHlwZT48dXJscz48cmVsYXRlZC11cmxzPjx1cmw+aHR0cDovL3d3
dy5uY2JpLm5sbS5uaWguZ292L3B1Ym1lZC8xNzE5MjUzNzwvdXJsPjwvcmVsYXRlZC11cmxzPjwv
dXJscz48ZWxlY3Ryb25pYy1yZXNvdXJjZS1udW0+MTAuMTA1Ni9ORUpNb2EwNjExMTU8L2VsZWN0
cm9uaWMtcmVzb3VyY2UtbnVtPjxsYW5ndWFnZT5lbmc8L2xhbmd1YWdlPjwvcmVjb3JkPjwvQ2l0
ZT48L0VuZE5vdGU+AG==
</w:fldData>
          </w:fldChar>
        </w:r>
        <w:r w:rsidR="00C33CAE">
          <w:rPr>
            <w:rFonts w:cs="MyriadPro-Regular"/>
            <w:szCs w:val="20"/>
            <w:lang w:val="en-US"/>
          </w:rPr>
          <w:instrText xml:space="preserve"> ADDIN EN.CITE.DATA </w:instrText>
        </w:r>
        <w:r w:rsidR="00C33CAE">
          <w:rPr>
            <w:rFonts w:cs="MyriadPro-Regular"/>
            <w:szCs w:val="20"/>
            <w:lang w:val="en-US"/>
          </w:rPr>
        </w:r>
        <w:r w:rsidR="00C33CAE">
          <w:rPr>
            <w:rFonts w:cs="MyriadPro-Regular"/>
            <w:szCs w:val="20"/>
            <w:lang w:val="en-US"/>
          </w:rPr>
          <w:fldChar w:fldCharType="end"/>
        </w:r>
        <w:r w:rsidR="00C33CAE">
          <w:rPr>
            <w:rFonts w:cs="MyriadPro-Regular"/>
            <w:szCs w:val="20"/>
            <w:lang w:val="en-US"/>
          </w:rPr>
        </w:r>
        <w:r w:rsidR="00C33CAE">
          <w:rPr>
            <w:rFonts w:cs="MyriadPro-Regular"/>
            <w:szCs w:val="20"/>
            <w:lang w:val="en-US"/>
          </w:rPr>
          <w:fldChar w:fldCharType="separate"/>
        </w:r>
        <w:r w:rsidR="00C33CAE">
          <w:rPr>
            <w:rFonts w:cs="MyriadPro-Regular"/>
            <w:noProof/>
            <w:szCs w:val="20"/>
            <w:lang w:val="en-US"/>
          </w:rPr>
          <w:t>Pronovost et al., 2006</w:t>
        </w:r>
        <w:r w:rsidR="00C33CAE">
          <w:rPr>
            <w:rFonts w:cs="MyriadPro-Regular"/>
            <w:szCs w:val="20"/>
            <w:lang w:val="en-US"/>
          </w:rPr>
          <w:fldChar w:fldCharType="end"/>
        </w:r>
      </w:hyperlink>
      <w:r w:rsidRPr="0016214D">
        <w:t>).</w:t>
      </w:r>
      <w:r>
        <w:t xml:space="preserve">  </w:t>
      </w:r>
    </w:p>
    <w:p w:rsidR="007718C7" w:rsidRPr="004D519D" w:rsidRDefault="007718C7" w:rsidP="00ED4E41">
      <w:pPr>
        <w:autoSpaceDE w:val="0"/>
        <w:autoSpaceDN w:val="0"/>
        <w:adjustRightInd w:val="0"/>
        <w:spacing w:after="0"/>
        <w:rPr>
          <w:rFonts w:cs="MyriadPro-Regular"/>
          <w:szCs w:val="20"/>
          <w:lang w:val="en-US"/>
        </w:rPr>
      </w:pPr>
    </w:p>
    <w:p w:rsidR="007718C7" w:rsidRPr="0016214D" w:rsidRDefault="007718C7" w:rsidP="00ED4E41">
      <w:r w:rsidRPr="0016214D">
        <w:t xml:space="preserve">The </w:t>
      </w:r>
      <w:r>
        <w:t>COF</w:t>
      </w:r>
      <w:r w:rsidRPr="0016214D">
        <w:t xml:space="preserve"> is applied to diagnoses in the context of a single episode of care.  This means that the condition onset may not be picked up in certain circumstances, such as where a patient is admitted to hospital as a result of a </w:t>
      </w:r>
      <w:r>
        <w:t>complication</w:t>
      </w:r>
      <w:r w:rsidRPr="0016214D">
        <w:t xml:space="preserve"> </w:t>
      </w:r>
      <w:r>
        <w:t>arising from treatment</w:t>
      </w:r>
      <w:r w:rsidRPr="0016214D">
        <w:t xml:space="preserve"> at another hospital or a preceding admission (e.g. following an episode of same day surgery after which the patient went home but needed to be readmitted as a result of a hospital-acquired infection, or the patient ha</w:t>
      </w:r>
      <w:r>
        <w:t>d</w:t>
      </w:r>
      <w:r w:rsidRPr="0016214D">
        <w:t xml:space="preserve"> a fall during sub</w:t>
      </w:r>
      <w:r>
        <w:t xml:space="preserve">- and </w:t>
      </w:r>
      <w:r w:rsidRPr="0016214D">
        <w:t xml:space="preserve">non-acute episode, after which they are type-changed to acute).  </w:t>
      </w:r>
    </w:p>
    <w:p w:rsidR="007718C7" w:rsidRDefault="007718C7" w:rsidP="000044F6">
      <w:r w:rsidRPr="0016214D">
        <w:t xml:space="preserve">The </w:t>
      </w:r>
      <w:r>
        <w:t>COF</w:t>
      </w:r>
      <w:r w:rsidRPr="0016214D">
        <w:t xml:space="preserve"> is also applied to diagnoses and not to procedures. The full </w:t>
      </w:r>
      <w:r>
        <w:t xml:space="preserve">clinical </w:t>
      </w:r>
      <w:r w:rsidRPr="0016214D">
        <w:t>impact of hospital-acquired diagnoses cannot be ascertained without also identifying the procedure(s) or other interventions that the patient had to undergo as a result of a complication.</w:t>
      </w:r>
      <w:r>
        <w:t xml:space="preserve">  </w:t>
      </w:r>
    </w:p>
    <w:p w:rsidR="007718C7" w:rsidRDefault="007718C7" w:rsidP="00DA0C8B">
      <w:pPr>
        <w:pStyle w:val="Stageheading"/>
      </w:pPr>
      <w:bookmarkStart w:id="7" w:name="_Toc374114574"/>
      <w:r>
        <w:t>What is the impact on AR-DRG assignment if hospital-acquired diagnoses are excluded?</w:t>
      </w:r>
      <w:bookmarkEnd w:id="7"/>
      <w:r>
        <w:t xml:space="preserve"> </w:t>
      </w:r>
    </w:p>
    <w:p w:rsidR="007718C7" w:rsidRPr="00AC2A49" w:rsidRDefault="007718C7" w:rsidP="00300A5E">
      <w:r>
        <w:t>The analysis undertaken for this project included regrouping of episodes to AR-DRGs once diagnoses flagged as onset during the hospital stay were removed</w:t>
      </w:r>
      <w:r w:rsidRPr="007847F7">
        <w:t xml:space="preserve">.  </w:t>
      </w:r>
      <w:r>
        <w:t xml:space="preserve">Overall, there was a change in AR-DRG for 3.1% of episodes. This was made up of 0.2% episodes being grouped to another ADRG, and 2.9% of episodes changing severity level within an ADRG block. Therefore, close to 97% of episodes did not result in a changed AR-DRG once the diagnosis(es) being reported as onset during the hospital stay was removed. </w:t>
      </w:r>
      <w:r w:rsidRPr="007847F7">
        <w:rPr>
          <w:iCs/>
        </w:rPr>
        <w:t>There are a number of reasons for this:</w:t>
      </w:r>
    </w:p>
    <w:p w:rsidR="007718C7" w:rsidRPr="007847F7" w:rsidRDefault="007718C7" w:rsidP="002002B2">
      <w:pPr>
        <w:numPr>
          <w:ilvl w:val="0"/>
          <w:numId w:val="13"/>
        </w:numPr>
        <w:rPr>
          <w:iCs/>
        </w:rPr>
      </w:pPr>
      <w:r w:rsidRPr="007847F7">
        <w:rPr>
          <w:iCs/>
        </w:rPr>
        <w:lastRenderedPageBreak/>
        <w:t>Of the 708 AR-DRGs in version 6.0x, 148 (21%) only have a single severity level (i.e. those with a ‘Z’ suffix).</w:t>
      </w:r>
    </w:p>
    <w:p w:rsidR="007718C7" w:rsidRDefault="007718C7" w:rsidP="00F05F29">
      <w:pPr>
        <w:numPr>
          <w:ilvl w:val="0"/>
          <w:numId w:val="13"/>
        </w:numPr>
        <w:rPr>
          <w:iCs/>
        </w:rPr>
      </w:pPr>
      <w:r w:rsidRPr="007847F7">
        <w:rPr>
          <w:iCs/>
        </w:rPr>
        <w:t xml:space="preserve">Of the approximately </w:t>
      </w:r>
      <w:r>
        <w:rPr>
          <w:iCs/>
        </w:rPr>
        <w:t>19,500</w:t>
      </w:r>
      <w:r w:rsidRPr="007847F7">
        <w:rPr>
          <w:iCs/>
        </w:rPr>
        <w:t xml:space="preserve"> valid ICD-10-AM diagnosis codes, just </w:t>
      </w:r>
      <w:r>
        <w:rPr>
          <w:iCs/>
        </w:rPr>
        <w:t>over</w:t>
      </w:r>
      <w:r w:rsidRPr="007847F7">
        <w:rPr>
          <w:iCs/>
        </w:rPr>
        <w:t xml:space="preserve"> 3,000 </w:t>
      </w:r>
      <w:r>
        <w:rPr>
          <w:iCs/>
        </w:rPr>
        <w:t xml:space="preserve">codes </w:t>
      </w:r>
      <w:r w:rsidRPr="007847F7">
        <w:rPr>
          <w:iCs/>
        </w:rPr>
        <w:t xml:space="preserve">are recognised as complications that may </w:t>
      </w:r>
      <w:r>
        <w:rPr>
          <w:iCs/>
        </w:rPr>
        <w:t>impact</w:t>
      </w:r>
      <w:r w:rsidRPr="007847F7">
        <w:rPr>
          <w:iCs/>
        </w:rPr>
        <w:t xml:space="preserve"> AR-DRG assignment for neonates and just </w:t>
      </w:r>
      <w:r>
        <w:rPr>
          <w:iCs/>
        </w:rPr>
        <w:t xml:space="preserve">under </w:t>
      </w:r>
      <w:r w:rsidRPr="007847F7">
        <w:rPr>
          <w:iCs/>
        </w:rPr>
        <w:t xml:space="preserve">3,000 are recognised as such for </w:t>
      </w:r>
      <w:r>
        <w:rPr>
          <w:iCs/>
        </w:rPr>
        <w:t>all other patients</w:t>
      </w:r>
      <w:r w:rsidRPr="007847F7">
        <w:rPr>
          <w:iCs/>
        </w:rPr>
        <w:t xml:space="preserve">.  Also, although an additional diagnosis might be recognised as potentially </w:t>
      </w:r>
      <w:r>
        <w:rPr>
          <w:iCs/>
        </w:rPr>
        <w:t>a</w:t>
      </w:r>
      <w:r w:rsidRPr="007847F7">
        <w:rPr>
          <w:iCs/>
        </w:rPr>
        <w:t xml:space="preserve">ffecting AR-DRG assignment,  its severity level is overwritten with a zero if 1) the diagnosis is part of the definition of the ADRG (e.g. multiple trauma); 2) it is closely related to the principal </w:t>
      </w:r>
      <w:r>
        <w:rPr>
          <w:iCs/>
        </w:rPr>
        <w:t>diagnosis; or 3) it is already i</w:t>
      </w:r>
      <w:r w:rsidRPr="007847F7">
        <w:rPr>
          <w:iCs/>
        </w:rPr>
        <w:t xml:space="preserve">n the record (i.e. duplicate code).  </w:t>
      </w:r>
    </w:p>
    <w:p w:rsidR="007718C7" w:rsidRPr="00AC2A49" w:rsidRDefault="007718C7" w:rsidP="00AC2A49">
      <w:pPr>
        <w:numPr>
          <w:ilvl w:val="0"/>
          <w:numId w:val="13"/>
        </w:numPr>
        <w:rPr>
          <w:iCs/>
        </w:rPr>
      </w:pPr>
      <w:r>
        <w:rPr>
          <w:iCs/>
        </w:rPr>
        <w:t>P</w:t>
      </w:r>
      <w:r w:rsidRPr="00AC2A49">
        <w:rPr>
          <w:iCs/>
        </w:rPr>
        <w:t>rocedures are retained</w:t>
      </w:r>
      <w:r>
        <w:rPr>
          <w:iCs/>
        </w:rPr>
        <w:t xml:space="preserve"> in the re-assignment process, whether or not they are necessitated by a hospital-acquired diagnosis.  Procedures </w:t>
      </w:r>
      <w:r w:rsidRPr="00AC2A49">
        <w:rPr>
          <w:iCs/>
        </w:rPr>
        <w:t xml:space="preserve">determine AR-DRG assignment in 364 of the 708 (51%) AR-DRGs in version 6.0x.  </w:t>
      </w:r>
      <w:r>
        <w:rPr>
          <w:iCs/>
        </w:rPr>
        <w:t>W</w:t>
      </w:r>
      <w:r w:rsidRPr="00AC2A49">
        <w:rPr>
          <w:iCs/>
        </w:rPr>
        <w:t xml:space="preserve">ith the current data collection specifications and standards used in Australia (and comparable countries), it is not possible to directly link the provision of a particular procedure with any diagnosis(es), including those that are acquired during a hospital stay.   Therefore, an implicit assumption in this analysis (and prior analyses of similar data </w:t>
      </w:r>
      <w:r w:rsidR="00290091">
        <w:rPr>
          <w:iCs/>
        </w:rPr>
        <w:t>(</w:t>
      </w:r>
      <w:r w:rsidRPr="00AC2A49">
        <w:rPr>
          <w:iCs/>
        </w:rPr>
        <w:t xml:space="preserve">e.g. </w:t>
      </w:r>
      <w:hyperlink w:anchor="_ENREF_21" w:tooltip="Jackson, 2011 #8" w:history="1">
        <w:r w:rsidR="00C33CAE" w:rsidRPr="00290091">
          <w:rPr>
            <w:iCs/>
          </w:rPr>
          <w:fldChar w:fldCharType="begin">
            <w:fldData xml:space="preserve">PEVuZE5vdGU+PENpdGU+PEF1dGhvcj5KYWNrc29uPC9BdXRob3I+PFllYXI+MjAxMTwvWWVhcj48
UmVjTnVtPjg8L1JlY051bT48RGlzcGxheVRleHQ+SmFja3NvbiwgTmdoaWVtLCBSb3dlbGwsIEpv
cm0sICZhbXA7IFdha2VmaWVsZCwgMjAxMTwvRGlzcGxheVRleHQ+PHJlY29yZD48cmVjLW51bWJl
cj44PC9yZWMtbnVtYmVyPjxmb3JlaWduLWtleXM+PGtleSBhcHA9IkVOIiBkYi1pZD0iOTJ0ZnR0
NXYyYXJ4ZDZlOXd6cjUwdzJ3MHJ6MGVweDA5OWZ0IiB0aW1lc3RhbXA9IjEzNzE0MzQyNzUiPjg8
L2tleT48L2ZvcmVpZ24ta2V5cz48cmVmLXR5cGUgbmFtZT0iSm91cm5hbCBBcnRpY2xlIj4xNzwv
cmVmLXR5cGU+PGNvbnRyaWJ1dG9ycz48YXV0aG9ycz48YXV0aG9yPkphY2tzb24sIFQ8L2F1dGhv
cj48YXV0aG9yPk5naGllbSwgSC4gUzwvYXV0aG9yPjxhdXRob3I+Um93ZWxsLCBEPC9hdXRob3I+
PGF1dGhvcj5Kb3JtLCBDPC9hdXRob3I+PGF1dGhvcj5XYWtlZmllbGQsIEo8L2F1dGhvcj48L2F1
dGhvcnM+PC9jb250cmlidXRvcnM+PGF1dGgtYWRkcmVzcz5GYWN1bHR5IG9mIE1lZGljaW5lIGFu
ZCBEZW50aXN0cnksIFVuaXZlcnNpdHkgb2YgQWxiZXJ0YSwgRWRtb250b24sIENhbmFkYS4gdGVy
cmkuamFja3NvbkB1YWxiZXJ0YS5jYTwvYXV0aC1hZGRyZXNzPjx0aXRsZXM+PHRpdGxlPk1hcmdp
bmFsIGNvc3RzIG9mIGhvc3BpdGFsLWFjcXVpcmVkIGNvbmRpdGlvbnM6IGluZm9ybWF0aW9uIGZv
ciBwcmlvcml0eS1zZXR0aW5nIGZvciBwYXRpZW50IHNhZmV0eSBwcm9ncmFtbWVzIGFuZCByZXNl
YXJjaDwvdGl0bGU+PHNlY29uZGFyeS10aXRsZT5KIEhlYWx0aCBTZXJ2IFJlcyBQb2xpY3k8L3Nl
Y29uZGFyeS10aXRsZT48YWx0LXRpdGxlPkpvdXJuYWwgb2YgaGVhbHRoIHNlcnZpY2VzIHJlc2Vh
cmNoICZhbXA7IHBvbGljeTwvYWx0LXRpdGxlPjwvdGl0bGVzPjxwZXJpb2RpY2FsPjxmdWxsLXRp
dGxlPkogSGVhbHRoIFNlcnYgUmVzIFBvbGljeTwvZnVsbC10aXRsZT48YWJici0xPkpvdXJuYWwg
b2YgaGVhbHRoIHNlcnZpY2VzIHJlc2VhcmNoICZhbXA7IHBvbGljeTwvYWJici0xPjwvcGVyaW9k
aWNhbD48YWx0LXBlcmlvZGljYWw+PGZ1bGwtdGl0bGU+SiBIZWFsdGggU2VydiBSZXMgUG9saWN5
PC9mdWxsLXRpdGxlPjxhYmJyLTE+Sm91cm5hbCBvZiBoZWFsdGggc2VydmljZXMgcmVzZWFyY2gg
JmFtcDsgcG9saWN5PC9hYmJyLTE+PC9hbHQtcGVyaW9kaWNhbD48cGFnZXM+MTQxLTY8L3BhZ2Vz
Pjx2b2x1bWU+MTY8L3ZvbHVtZT48bnVtYmVyPjM8L251bWJlcj48ZWRpdGlvbj4yMDExLzA3LzAy
PC9lZGl0aW9uPjxrZXl3b3Jkcz48a2V5d29yZD5BdXN0cmFsaWE8L2tleXdvcmQ+PGtleXdvcmQ+
SGVhbHRoIFByaW9yaXRpZXMvZWNvbm9taWNzLypvcmdhbml6YXRpb24gJmFtcDsgYWRtaW5pc3Ry
YXRpb248L2tleXdvcmQ+PGtleXdvcmQ+SGVhbHRoIFNlcnZpY2VzIFJlc2VhcmNoLypvcmdhbml6
YXRpb24gJmFtcDsgYWRtaW5pc3RyYXRpb248L2tleXdvcmQ+PGtleXdvcmQ+Kkhvc3BpdGFsIENv
c3RzPC9rZXl3b3JkPjxrZXl3b3JkPkh1bWFuczwva2V5d29yZD48a2V5d29yZD5RdWFsaXR5IG9m
IEhlYWx0aCBDYXJlL2Vjb25vbWljcy8qb3JnYW5pemF0aW9uICZhbXA7IGFkbWluaXN0cmF0aW9u
PC9rZXl3b3JkPjxrZXl3b3JkPlNhZmV0eSBNYW5hZ2VtZW50L2Vjb25vbWljcy8qb3JnYW5pemF0
aW9uICZhbXA7IGFkbWluaXN0cmF0aW9uPC9rZXl3b3JkPjwva2V5d29yZHM+PGRhdGVzPjx5ZWFy
PjIwMTE8L3llYXI+PHB1Yi1kYXRlcz48ZGF0ZT5KdWw8L2RhdGU+PC9wdWItZGF0ZXM+PC9kYXRl
cz48aXNibj4xNzU4LTEwNjAgKEVsZWN0cm9uaWMpJiN4RDsxMzU1LTgxOTYgKExpbmtpbmcpPC9p
c2JuPjxhY2Nlc3Npb24tbnVtPjIxNzE5NDc4PC9hY2Nlc3Npb24tbnVtPjx3b3JrLXR5cGU+UmVz
ZWFyY2ggU3VwcG9ydCwgTm9uLVUuUy4gR292JmFwb3M7dDwvd29yay10eXBlPjx1cmxzPjxyZWxh
dGVkLXVybHM+PHVybD5odHRwOi8vd3d3Lm5jYmkubmxtLm5paC5nb3YvcHVibWVkLzIxNzE5NDc4
PC91cmw+PC9yZWxhdGVkLXVybHM+PC91cmxzPjxlbGVjdHJvbmljLXJlc291cmNlLW51bT4xMC4x
MjU4L2poc3JwLjIwMTAuMDEwMDUwPC9lbGVjdHJvbmljLXJlc291cmNlLW51bT48bGFuZ3VhZ2U+
ZW5nPC9sYW5ndWFnZT48L3JlY29yZD48L0NpdGU+PC9FbmROb3RlPn==
</w:fldData>
          </w:fldChar>
        </w:r>
        <w:r w:rsidR="00C33CAE">
          <w:rPr>
            <w:iCs/>
          </w:rPr>
          <w:instrText xml:space="preserve"> ADDIN EN.CITE </w:instrText>
        </w:r>
        <w:r w:rsidR="00C33CAE">
          <w:rPr>
            <w:iCs/>
          </w:rPr>
          <w:fldChar w:fldCharType="begin">
            <w:fldData xml:space="preserve">PEVuZE5vdGU+PENpdGU+PEF1dGhvcj5KYWNrc29uPC9BdXRob3I+PFllYXI+MjAxMTwvWWVhcj48
UmVjTnVtPjg8L1JlY051bT48RGlzcGxheVRleHQ+SmFja3NvbiwgTmdoaWVtLCBSb3dlbGwsIEpv
cm0sICZhbXA7IFdha2VmaWVsZCwgMjAxMTwvRGlzcGxheVRleHQ+PHJlY29yZD48cmVjLW51bWJl
cj44PC9yZWMtbnVtYmVyPjxmb3JlaWduLWtleXM+PGtleSBhcHA9IkVOIiBkYi1pZD0iOTJ0ZnR0
NXYyYXJ4ZDZlOXd6cjUwdzJ3MHJ6MGVweDA5OWZ0IiB0aW1lc3RhbXA9IjEzNzE0MzQyNzUiPjg8
L2tleT48L2ZvcmVpZ24ta2V5cz48cmVmLXR5cGUgbmFtZT0iSm91cm5hbCBBcnRpY2xlIj4xNzwv
cmVmLXR5cGU+PGNvbnRyaWJ1dG9ycz48YXV0aG9ycz48YXV0aG9yPkphY2tzb24sIFQ8L2F1dGhv
cj48YXV0aG9yPk5naGllbSwgSC4gUzwvYXV0aG9yPjxhdXRob3I+Um93ZWxsLCBEPC9hdXRob3I+
PGF1dGhvcj5Kb3JtLCBDPC9hdXRob3I+PGF1dGhvcj5XYWtlZmllbGQsIEo8L2F1dGhvcj48L2F1
dGhvcnM+PC9jb250cmlidXRvcnM+PGF1dGgtYWRkcmVzcz5GYWN1bHR5IG9mIE1lZGljaW5lIGFu
ZCBEZW50aXN0cnksIFVuaXZlcnNpdHkgb2YgQWxiZXJ0YSwgRWRtb250b24sIENhbmFkYS4gdGVy
cmkuamFja3NvbkB1YWxiZXJ0YS5jYTwvYXV0aC1hZGRyZXNzPjx0aXRsZXM+PHRpdGxlPk1hcmdp
bmFsIGNvc3RzIG9mIGhvc3BpdGFsLWFjcXVpcmVkIGNvbmRpdGlvbnM6IGluZm9ybWF0aW9uIGZv
ciBwcmlvcml0eS1zZXR0aW5nIGZvciBwYXRpZW50IHNhZmV0eSBwcm9ncmFtbWVzIGFuZCByZXNl
YXJjaDwvdGl0bGU+PHNlY29uZGFyeS10aXRsZT5KIEhlYWx0aCBTZXJ2IFJlcyBQb2xpY3k8L3Nl
Y29uZGFyeS10aXRsZT48YWx0LXRpdGxlPkpvdXJuYWwgb2YgaGVhbHRoIHNlcnZpY2VzIHJlc2Vh
cmNoICZhbXA7IHBvbGljeTwvYWx0LXRpdGxlPjwvdGl0bGVzPjxwZXJpb2RpY2FsPjxmdWxsLXRp
dGxlPkogSGVhbHRoIFNlcnYgUmVzIFBvbGljeTwvZnVsbC10aXRsZT48YWJici0xPkpvdXJuYWwg
b2YgaGVhbHRoIHNlcnZpY2VzIHJlc2VhcmNoICZhbXA7IHBvbGljeTwvYWJici0xPjwvcGVyaW9k
aWNhbD48YWx0LXBlcmlvZGljYWw+PGZ1bGwtdGl0bGU+SiBIZWFsdGggU2VydiBSZXMgUG9saWN5
PC9mdWxsLXRpdGxlPjxhYmJyLTE+Sm91cm5hbCBvZiBoZWFsdGggc2VydmljZXMgcmVzZWFyY2gg
JmFtcDsgcG9saWN5PC9hYmJyLTE+PC9hbHQtcGVyaW9kaWNhbD48cGFnZXM+MTQxLTY8L3BhZ2Vz
Pjx2b2x1bWU+MTY8L3ZvbHVtZT48bnVtYmVyPjM8L251bWJlcj48ZWRpdGlvbj4yMDExLzA3LzAy
PC9lZGl0aW9uPjxrZXl3b3Jkcz48a2V5d29yZD5BdXN0cmFsaWE8L2tleXdvcmQ+PGtleXdvcmQ+
SGVhbHRoIFByaW9yaXRpZXMvZWNvbm9taWNzLypvcmdhbml6YXRpb24gJmFtcDsgYWRtaW5pc3Ry
YXRpb248L2tleXdvcmQ+PGtleXdvcmQ+SGVhbHRoIFNlcnZpY2VzIFJlc2VhcmNoLypvcmdhbml6
YXRpb24gJmFtcDsgYWRtaW5pc3RyYXRpb248L2tleXdvcmQ+PGtleXdvcmQ+Kkhvc3BpdGFsIENv
c3RzPC9rZXl3b3JkPjxrZXl3b3JkPkh1bWFuczwva2V5d29yZD48a2V5d29yZD5RdWFsaXR5IG9m
IEhlYWx0aCBDYXJlL2Vjb25vbWljcy8qb3JnYW5pemF0aW9uICZhbXA7IGFkbWluaXN0cmF0aW9u
PC9rZXl3b3JkPjxrZXl3b3JkPlNhZmV0eSBNYW5hZ2VtZW50L2Vjb25vbWljcy8qb3JnYW5pemF0
aW9uICZhbXA7IGFkbWluaXN0cmF0aW9uPC9rZXl3b3JkPjwva2V5d29yZHM+PGRhdGVzPjx5ZWFy
PjIwMTE8L3llYXI+PHB1Yi1kYXRlcz48ZGF0ZT5KdWw8L2RhdGU+PC9wdWItZGF0ZXM+PC9kYXRl
cz48aXNibj4xNzU4LTEwNjAgKEVsZWN0cm9uaWMpJiN4RDsxMzU1LTgxOTYgKExpbmtpbmcpPC9p
c2JuPjxhY2Nlc3Npb24tbnVtPjIxNzE5NDc4PC9hY2Nlc3Npb24tbnVtPjx3b3JrLXR5cGU+UmVz
ZWFyY2ggU3VwcG9ydCwgTm9uLVUuUy4gR292JmFwb3M7dDwvd29yay10eXBlPjx1cmxzPjxyZWxh
dGVkLXVybHM+PHVybD5odHRwOi8vd3d3Lm5jYmkubmxtLm5paC5nb3YvcHVibWVkLzIxNzE5NDc4
PC91cmw+PC9yZWxhdGVkLXVybHM+PC91cmxzPjxlbGVjdHJvbmljLXJlc291cmNlLW51bT4xMC4x
MjU4L2poc3JwLjIwMTAuMDEwMDUwPC9lbGVjdHJvbmljLXJlc291cmNlLW51bT48bGFuZ3VhZ2U+
ZW5nPC9sYW5ndWFnZT48L3JlY29yZD48L0NpdGU+PC9FbmROb3RlPn==
</w:fldData>
          </w:fldChar>
        </w:r>
        <w:r w:rsidR="00C33CAE">
          <w:rPr>
            <w:iCs/>
          </w:rPr>
          <w:instrText xml:space="preserve"> ADDIN EN.CITE.DATA </w:instrText>
        </w:r>
        <w:r w:rsidR="00C33CAE">
          <w:rPr>
            <w:iCs/>
          </w:rPr>
        </w:r>
        <w:r w:rsidR="00C33CAE">
          <w:rPr>
            <w:iCs/>
          </w:rPr>
          <w:fldChar w:fldCharType="end"/>
        </w:r>
        <w:r w:rsidR="00C33CAE" w:rsidRPr="00290091">
          <w:rPr>
            <w:iCs/>
          </w:rPr>
        </w:r>
        <w:r w:rsidR="00C33CAE" w:rsidRPr="00290091">
          <w:rPr>
            <w:iCs/>
          </w:rPr>
          <w:fldChar w:fldCharType="separate"/>
        </w:r>
        <w:r w:rsidR="00C33CAE">
          <w:rPr>
            <w:iCs/>
            <w:noProof/>
          </w:rPr>
          <w:t>Jackson, Nghiem, Rowell, Jorm, &amp; Wakefield, 2011</w:t>
        </w:r>
        <w:r w:rsidR="00C33CAE" w:rsidRPr="00290091">
          <w:rPr>
            <w:iCs/>
          </w:rPr>
          <w:fldChar w:fldCharType="end"/>
        </w:r>
      </w:hyperlink>
      <w:r w:rsidRPr="00290091">
        <w:rPr>
          <w:iCs/>
        </w:rPr>
        <w:t xml:space="preserve">, </w:t>
      </w:r>
      <w:hyperlink w:anchor="_ENREF_10" w:tooltip="Fuller, 2009 #48" w:history="1">
        <w:r w:rsidR="00C33CAE" w:rsidRPr="00290091">
          <w:rPr>
            <w:iCs/>
          </w:rPr>
          <w:fldChar w:fldCharType="begin"/>
        </w:r>
        <w:r w:rsidR="00C33CAE" w:rsidRPr="00290091">
          <w:rPr>
            <w:iCs/>
          </w:rPr>
          <w:instrText xml:space="preserve"> ADDIN EN.CITE &lt;EndNote&gt;&lt;Cite&gt;&lt;Author&gt;Fuller&lt;/Author&gt;&lt;Year&gt;2009&lt;/Year&gt;&lt;RecNum&gt;48&lt;/RecNum&gt;&lt;DisplayText&gt;Fuller, McCullough, Bao, &amp;amp; Averill, 2009&lt;/DisplayText&gt;&lt;record&gt;&lt;rec-number&gt;48&lt;/rec-number&gt;&lt;foreign-keys&gt;&lt;key app="EN" db-id="92tftt5v2arxd6e9wzr50w2w0rz0epx099ft" timestamp="1378362726"&gt;48&lt;/key&gt;&lt;/foreign-keys&gt;&lt;ref-type name="Journal Article"&gt;17&lt;/ref-type&gt;&lt;contributors&gt;&lt;authors&gt;&lt;author&gt;Fuller, R. L.&lt;/author&gt;&lt;author&gt;McCullough, E. C.&lt;/author&gt;&lt;author&gt;Bao, M. Z.&lt;/author&gt;&lt;author&gt;Averill, R. F.&lt;/author&gt;&lt;/authors&gt;&lt;/contributors&gt;&lt;auth-address&gt;3M Health Information Systems, Silver Spring, Maryland 20904, USA. rlfuller@mmm.com&lt;/auth-address&gt;&lt;titles&gt;&lt;title&gt;Estimating the costs of potentially preventable hospital acquired complications&lt;/title&gt;&lt;secondary-title&gt;Health Care Financ Rev&lt;/secondary-title&gt;&lt;alt-title&gt;Health care financing review&lt;/alt-title&gt;&lt;/titles&gt;&lt;alt-periodical&gt;&lt;full-title&gt;Health Care Financing Review&lt;/full-title&gt;&lt;/alt-periodical&gt;&lt;pages&gt;17-32&lt;/pages&gt;&lt;volume&gt;30&lt;/volume&gt;&lt;number&gt;4&lt;/number&gt;&lt;edition&gt;2009/09/02&lt;/edition&gt;&lt;keywords&gt;&lt;keyword&gt;Costs and Cost Analysis&lt;/keyword&gt;&lt;keyword&gt;Cross Infection/*economics&lt;/keyword&gt;&lt;keyword&gt;Economics, Hospital&lt;/keyword&gt;&lt;keyword&gt;*Health Care Costs&lt;/keyword&gt;&lt;keyword&gt;Humans&lt;/keyword&gt;&lt;keyword&gt;Linear Models&lt;/keyword&gt;&lt;keyword&gt;Medical Errors/*economics&lt;/keyword&gt;&lt;keyword&gt;Postoperative Complications/*economics&lt;/keyword&gt;&lt;keyword&gt;United States&lt;/keyword&gt;&lt;/keywords&gt;&lt;dates&gt;&lt;year&gt;2009&lt;/year&gt;&lt;pub-dates&gt;&lt;date&gt;Summer&lt;/date&gt;&lt;/pub-dates&gt;&lt;/dates&gt;&lt;isbn&gt;0195-8631 (Print)&amp;#xD;0195-8631 (Linking)&lt;/isbn&gt;&lt;accession-num&gt;19719030&lt;/accession-num&gt;&lt;urls&gt;&lt;related-urls&gt;&lt;url&gt;http://www.ncbi.nlm.nih.gov/pubmed/19719030&lt;/url&gt;&lt;/related-urls&gt;&lt;/urls&gt;&lt;language&gt;eng&lt;/language&gt;&lt;/record&gt;&lt;/Cite&gt;&lt;/EndNote&gt;</w:instrText>
        </w:r>
        <w:r w:rsidR="00C33CAE" w:rsidRPr="00290091">
          <w:rPr>
            <w:iCs/>
          </w:rPr>
          <w:fldChar w:fldCharType="separate"/>
        </w:r>
        <w:r w:rsidR="00C33CAE" w:rsidRPr="00290091">
          <w:rPr>
            <w:iCs/>
            <w:noProof/>
          </w:rPr>
          <w:t>Fuller, McCullough, Bao, &amp; Averill, 2009</w:t>
        </w:r>
        <w:r w:rsidR="00C33CAE" w:rsidRPr="00290091">
          <w:rPr>
            <w:iCs/>
          </w:rPr>
          <w:fldChar w:fldCharType="end"/>
        </w:r>
      </w:hyperlink>
      <w:r w:rsidRPr="00290091">
        <w:rPr>
          <w:iCs/>
        </w:rPr>
        <w:t xml:space="preserve">, </w:t>
      </w:r>
      <w:hyperlink w:anchor="_ENREF_33" w:tooltip="Zhan, 2003 #96" w:history="1">
        <w:r w:rsidR="00C33CAE" w:rsidRPr="00290091">
          <w:rPr>
            <w:iCs/>
          </w:rPr>
          <w:fldChar w:fldCharType="begin">
            <w:fldData xml:space="preserve">PEVuZE5vdGU+PENpdGU+PEF1dGhvcj5aaGFuPC9BdXRob3I+PFllYXI+MjAwMzwvWWVhcj48UmVj
TnVtPjk2PC9SZWNOdW0+PERpc3BsYXlUZXh0PlpoYW4gJmFtcDsgTWlsbGVyLCAyMDAzPC9EaXNw
bGF5VGV4dD48cmVjb3JkPjxyZWMtbnVtYmVyPjk2PC9yZWMtbnVtYmVyPjxmb3JlaWduLWtleXM+
PGtleSBhcHA9IkVOIiBkYi1pZD0iOTJ0ZnR0NXYyYXJ4ZDZlOXd6cjUwdzJ3MHJ6MGVweDA5OWZ0
IiB0aW1lc3RhbXA9IjEzNzg1MjgzNjciPjk2PC9rZXk+PC9mb3JlaWduLWtleXM+PHJlZi10eXBl
IG5hbWU9IkpvdXJuYWwgQXJ0aWNsZSI+MTc8L3JlZi10eXBlPjxjb250cmlidXRvcnM+PGF1dGhv
cnM+PGF1dGhvcj5aaGFuLCBDPC9hdXRob3I+PGF1dGhvcj5NaWxsZXIsIE0uIFI8L2F1dGhvcj48
L2F1dGhvcnM+PC9jb250cmlidXRvcnM+PGF1dGgtYWRkcmVzcz5DZW50ZXIgZm9yIFF1YWxpdHkg
SW1wcm92ZW1lbnQgYW5kIFBhdGllbnQgU2FmZXR5LCBBZ2VuY3kgZm9yIEhlYWx0aGNhcmUgUmVz
ZWFyY2ggYW5kIFF1YWxpdHksIERlcGFydG1lbnQgb2YgSGVhbHRoIGFuZCBIdW1hbiBTZXJ2aWNl
cywgUm9ja3ZpbGxlLCBNZCAyMDg1MCwgVVNBLiBjemhhbkBhaHJxLmdvdjwvYXV0aC1hZGRyZXNz
Pjx0aXRsZXM+PHRpdGxlPkV4Y2VzcyBsZW5ndGggb2Ygc3RheSwgY2hhcmdlcywgYW5kIG1vcnRh
bGl0eSBhdHRyaWJ1dGFibGUgdG8gbWVkaWNhbCBpbmp1cmllcyBkdXJpbmcgaG9zcGl0YWxpemF0
aW9uPC90aXRsZT48c2Vjb25kYXJ5LXRpdGxlPkpBTUE8L3NlY29uZGFyeS10aXRsZT48YWx0LXRp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ZXJpY2FuIE1lZGljYWwgQXNzb2NpYXRpb248L2FiYnItMT48L2FsdC1wZXJpb2RpY2FsPjxwYWdl
cz4xODY4LTc0PC9wYWdlcz48dm9sdW1lPjI5MDwvdm9sdW1lPjxudW1iZXI+MTQ8L251bWJlcj48
ZWRpdGlvbj4yMDAzLzEwLzA5PC9lZGl0aW9uPjxrZXl3b3Jkcz48a2V5d29yZD5EaWFnbm9zaXMt
UmVsYXRlZCBHcm91cHM8L2tleXdvcmQ+PGtleXdvcmQ+SGVhbHRoIFNlcnZpY2VzIFJlc2VhcmNo
PC9rZXl3b3JkPjxrZXl3b3JkPkhvc3BpdGFsIENoYXJnZXMvKnN0YXRpc3RpY3MgJmFtcDsgbnVt
ZXJpY2FsIGRhdGE8L2tleXdvcmQ+PGtleXdvcmQ+Kkhvc3BpdGFsIE1vcnRhbGl0eTwva2V5d29y
ZD48a2V5d29yZD5IdW1hbnM8L2tleXdvcmQ+PGtleXdvcmQ+SW50ZXJuYXRpb25hbCBDbGFzc2lm
aWNhdGlvbiBvZiBEaXNlYXNlczwva2V5d29yZD48a2V5d29yZD5MZW5ndGggb2YgU3RheS9lY29u
b21pY3MvKnN0YXRpc3RpY3MgJmFtcDsgbnVtZXJpY2FsIGRhdGE8L2tleXdvcmQ+PGtleXdvcmQ+
TWVkaWNhbCBFcnJvcnMvZWNvbm9taWNzLypzdGF0aXN0aWNzICZhbXA7IG51bWVyaWNhbCBkYXRh
PC9rZXl3b3JkPjxrZXl3b3JkPk91dGNvbWUgQXNzZXNzbWVudCAoSGVhbHRoIENhcmUpPC9rZXl3
b3JkPjxrZXl3b3JkPlBvc3RvcGVyYXRpdmUgQ29tcGxpY2F0aW9ucy9lY29ub21pY3MvZXBpZGVt
aW9sb2d5PC9rZXl3b3JkPjxrZXl3b3JkPlF1YWxpdHkgSW5kaWNhdG9ycywgSGVhbHRoIENhcmU8
L2tleXdvcmQ+PGtleXdvcmQ+UXVhbGl0eSBvZiBIZWFsdGggQ2FyZS8qc3RhdGlzdGljcyAmYW1w
OyBudW1lcmljYWwgZGF0YTwva2V5d29yZD48a2V5d29yZD5Vbml0ZWQgU3RhdGVzL2VwaWRlbWlv
bG9neTwva2V5d29yZD48a2V5d29yZD5Vbml0ZWQgU3RhdGVzIEFnZW5jeSBmb3IgSGVhbHRoY2Fy
ZSBSZXNlYXJjaCBhbmQgUXVhbGl0eTwva2V5d29yZD48L2tleXdvcmRzPjxkYXRlcz48eWVhcj4y
MDAzPC95ZWFyPjxwdWItZGF0ZXM+PGRhdGU+T2N0IDg8L2RhdGU+PC9wdWItZGF0ZXM+PC9kYXRl
cz48aXNibj4xNTM4LTM1OTggKEVsZWN0cm9uaWMpJiN4RDswMDk4LTc0ODQgKExpbmtpbmcpPC9p
c2JuPjxhY2Nlc3Npb24tbnVtPjE0NTMyMzE1PC9hY2Nlc3Npb24tbnVtPjx3b3JrLXR5cGU+RXZh
bHVhdGlvbiBTdHVkaWVzPC93b3JrLXR5cGU+PHVybHM+PHJlbGF0ZWQtdXJscz48dXJsPmh0dHA6
Ly93d3cubmNiaS5ubG0ubmloLmdvdi9wdWJtZWQvMTQ1MzIzMTU8L3VybD48L3JlbGF0ZWQtdXJs
cz48L3VybHM+PGVsZWN0cm9uaWMtcmVzb3VyY2UtbnVtPjEwLjEwMDEvamFtYS4yOTAuMTQuMTg2
ODwvZWxlY3Ryb25pYy1yZXNvdXJjZS1udW0+PGxhbmd1YWdlPmVuZzwvbGFuZ3VhZ2U+PC9yZWNv
cmQ+PC9DaXRlPjwvRW5kTm90ZT4A
</w:fldData>
          </w:fldChar>
        </w:r>
        <w:r w:rsidR="00C33CAE" w:rsidRPr="00290091">
          <w:rPr>
            <w:iCs/>
          </w:rPr>
          <w:instrText xml:space="preserve"> ADDIN EN.CITE </w:instrText>
        </w:r>
        <w:r w:rsidR="00C33CAE" w:rsidRPr="00290091">
          <w:rPr>
            <w:iCs/>
          </w:rPr>
          <w:fldChar w:fldCharType="begin">
            <w:fldData xml:space="preserve">PEVuZE5vdGU+PENpdGU+PEF1dGhvcj5aaGFuPC9BdXRob3I+PFllYXI+MjAwMzwvWWVhcj48UmVj
TnVtPjk2PC9SZWNOdW0+PERpc3BsYXlUZXh0PlpoYW4gJmFtcDsgTWlsbGVyLCAyMDAzPC9EaXNw
bGF5VGV4dD48cmVjb3JkPjxyZWMtbnVtYmVyPjk2PC9yZWMtbnVtYmVyPjxmb3JlaWduLWtleXM+
PGtleSBhcHA9IkVOIiBkYi1pZD0iOTJ0ZnR0NXYyYXJ4ZDZlOXd6cjUwdzJ3MHJ6MGVweDA5OWZ0
IiB0aW1lc3RhbXA9IjEzNzg1MjgzNjciPjk2PC9rZXk+PC9mb3JlaWduLWtleXM+PHJlZi10eXBl
IG5hbWU9IkpvdXJuYWwgQXJ0aWNsZSI+MTc8L3JlZi10eXBlPjxjb250cmlidXRvcnM+PGF1dGhv
cnM+PGF1dGhvcj5aaGFuLCBDPC9hdXRob3I+PGF1dGhvcj5NaWxsZXIsIE0uIFI8L2F1dGhvcj48
L2F1dGhvcnM+PC9jb250cmlidXRvcnM+PGF1dGgtYWRkcmVzcz5DZW50ZXIgZm9yIFF1YWxpdHkg
SW1wcm92ZW1lbnQgYW5kIFBhdGllbnQgU2FmZXR5LCBBZ2VuY3kgZm9yIEhlYWx0aGNhcmUgUmVz
ZWFyY2ggYW5kIFF1YWxpdHksIERlcGFydG1lbnQgb2YgSGVhbHRoIGFuZCBIdW1hbiBTZXJ2aWNl
cywgUm9ja3ZpbGxlLCBNZCAyMDg1MCwgVVNBLiBjemhhbkBhaHJxLmdvdjwvYXV0aC1hZGRyZXNz
Pjx0aXRsZXM+PHRpdGxlPkV4Y2VzcyBsZW5ndGggb2Ygc3RheSwgY2hhcmdlcywgYW5kIG1vcnRh
bGl0eSBhdHRyaWJ1dGFibGUgdG8gbWVkaWNhbCBpbmp1cmllcyBkdXJpbmcgaG9zcGl0YWxpemF0
aW9uPC90aXRsZT48c2Vjb25kYXJ5LXRpdGxlPkpBTUE8L3NlY29uZGFyeS10aXRsZT48YWx0LXRp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ZXJpY2FuIE1lZGljYWwgQXNzb2NpYXRpb248L2FiYnItMT48L2FsdC1wZXJpb2RpY2FsPjxwYWdl
cz4xODY4LTc0PC9wYWdlcz48dm9sdW1lPjI5MDwvdm9sdW1lPjxudW1iZXI+MTQ8L251bWJlcj48
ZWRpdGlvbj4yMDAzLzEwLzA5PC9lZGl0aW9uPjxrZXl3b3Jkcz48a2V5d29yZD5EaWFnbm9zaXMt
UmVsYXRlZCBHcm91cHM8L2tleXdvcmQ+PGtleXdvcmQ+SGVhbHRoIFNlcnZpY2VzIFJlc2VhcmNo
PC9rZXl3b3JkPjxrZXl3b3JkPkhvc3BpdGFsIENoYXJnZXMvKnN0YXRpc3RpY3MgJmFtcDsgbnVt
ZXJpY2FsIGRhdGE8L2tleXdvcmQ+PGtleXdvcmQ+Kkhvc3BpdGFsIE1vcnRhbGl0eTwva2V5d29y
ZD48a2V5d29yZD5IdW1hbnM8L2tleXdvcmQ+PGtleXdvcmQ+SW50ZXJuYXRpb25hbCBDbGFzc2lm
aWNhdGlvbiBvZiBEaXNlYXNlczwva2V5d29yZD48a2V5d29yZD5MZW5ndGggb2YgU3RheS9lY29u
b21pY3MvKnN0YXRpc3RpY3MgJmFtcDsgbnVtZXJpY2FsIGRhdGE8L2tleXdvcmQ+PGtleXdvcmQ+
TWVkaWNhbCBFcnJvcnMvZWNvbm9taWNzLypzdGF0aXN0aWNzICZhbXA7IG51bWVyaWNhbCBkYXRh
PC9rZXl3b3JkPjxrZXl3b3JkPk91dGNvbWUgQXNzZXNzbWVudCAoSGVhbHRoIENhcmUpPC9rZXl3
b3JkPjxrZXl3b3JkPlBvc3RvcGVyYXRpdmUgQ29tcGxpY2F0aW9ucy9lY29ub21pY3MvZXBpZGVt
aW9sb2d5PC9rZXl3b3JkPjxrZXl3b3JkPlF1YWxpdHkgSW5kaWNhdG9ycywgSGVhbHRoIENhcmU8
L2tleXdvcmQ+PGtleXdvcmQ+UXVhbGl0eSBvZiBIZWFsdGggQ2FyZS8qc3RhdGlzdGljcyAmYW1w
OyBudW1lcmljYWwgZGF0YTwva2V5d29yZD48a2V5d29yZD5Vbml0ZWQgU3RhdGVzL2VwaWRlbWlv
bG9neTwva2V5d29yZD48a2V5d29yZD5Vbml0ZWQgU3RhdGVzIEFnZW5jeSBmb3IgSGVhbHRoY2Fy
ZSBSZXNlYXJjaCBhbmQgUXVhbGl0eTwva2V5d29yZD48L2tleXdvcmRzPjxkYXRlcz48eWVhcj4y
MDAzPC95ZWFyPjxwdWItZGF0ZXM+PGRhdGU+T2N0IDg8L2RhdGU+PC9wdWItZGF0ZXM+PC9kYXRl
cz48aXNibj4xNTM4LTM1OTggKEVsZWN0cm9uaWMpJiN4RDswMDk4LTc0ODQgKExpbmtpbmcpPC9p
c2JuPjxhY2Nlc3Npb24tbnVtPjE0NTMyMzE1PC9hY2Nlc3Npb24tbnVtPjx3b3JrLXR5cGU+RXZh
bHVhdGlvbiBTdHVkaWVzPC93b3JrLXR5cGU+PHVybHM+PHJlbGF0ZWQtdXJscz48dXJsPmh0dHA6
Ly93d3cubmNiaS5ubG0ubmloLmdvdi9wdWJtZWQvMTQ1MzIzMTU8L3VybD48L3JlbGF0ZWQtdXJs
cz48L3VybHM+PGVsZWN0cm9uaWMtcmVzb3VyY2UtbnVtPjEwLjEwMDEvamFtYS4yOTAuMTQuMTg2
ODwvZWxlY3Ryb25pYy1yZXNvdXJjZS1udW0+PGxhbmd1YWdlPmVuZzwvbGFuZ3VhZ2U+PC9yZWNv
cmQ+PC9DaXRlPjwvRW5kTm90ZT4A
</w:fldData>
          </w:fldChar>
        </w:r>
        <w:r w:rsidR="00C33CAE" w:rsidRPr="00290091">
          <w:rPr>
            <w:iCs/>
          </w:rPr>
          <w:instrText xml:space="preserve"> ADDIN EN.CITE.DATA </w:instrText>
        </w:r>
        <w:r w:rsidR="00C33CAE" w:rsidRPr="00290091">
          <w:rPr>
            <w:iCs/>
          </w:rPr>
        </w:r>
        <w:r w:rsidR="00C33CAE" w:rsidRPr="00290091">
          <w:rPr>
            <w:iCs/>
          </w:rPr>
          <w:fldChar w:fldCharType="end"/>
        </w:r>
        <w:r w:rsidR="00C33CAE" w:rsidRPr="00290091">
          <w:rPr>
            <w:iCs/>
          </w:rPr>
        </w:r>
        <w:r w:rsidR="00C33CAE" w:rsidRPr="00290091">
          <w:rPr>
            <w:iCs/>
          </w:rPr>
          <w:fldChar w:fldCharType="separate"/>
        </w:r>
        <w:r w:rsidR="00C33CAE" w:rsidRPr="00290091">
          <w:rPr>
            <w:iCs/>
            <w:noProof/>
          </w:rPr>
          <w:t>Zhan &amp; Miller, 2003</w:t>
        </w:r>
        <w:r w:rsidR="00C33CAE" w:rsidRPr="00290091">
          <w:rPr>
            <w:iCs/>
          </w:rPr>
          <w:fldChar w:fldCharType="end"/>
        </w:r>
      </w:hyperlink>
      <w:r w:rsidRPr="00290091">
        <w:rPr>
          <w:iCs/>
        </w:rPr>
        <w:t>) is that procedures are not related to diagnoses that were flagged as hospital-acquired (except i</w:t>
      </w:r>
      <w:r>
        <w:rPr>
          <w:iCs/>
        </w:rPr>
        <w:t xml:space="preserve">n the case of tracheostomy and ventilation procedures – see point </w:t>
      </w:r>
      <w:r>
        <w:rPr>
          <w:iCs/>
        </w:rPr>
        <w:fldChar w:fldCharType="begin"/>
      </w:r>
      <w:r>
        <w:rPr>
          <w:iCs/>
        </w:rPr>
        <w:instrText xml:space="preserve"> REF _Ref371086190 \r \h </w:instrText>
      </w:r>
      <w:r>
        <w:rPr>
          <w:iCs/>
        </w:rPr>
      </w:r>
      <w:r>
        <w:rPr>
          <w:iCs/>
        </w:rPr>
        <w:fldChar w:fldCharType="separate"/>
      </w:r>
      <w:r w:rsidR="00363A39">
        <w:rPr>
          <w:iCs/>
        </w:rPr>
        <w:t>c</w:t>
      </w:r>
      <w:r>
        <w:rPr>
          <w:iCs/>
        </w:rPr>
        <w:fldChar w:fldCharType="end"/>
      </w:r>
      <w:r>
        <w:rPr>
          <w:iCs/>
        </w:rPr>
        <w:t xml:space="preserve">, page </w:t>
      </w:r>
      <w:r>
        <w:rPr>
          <w:iCs/>
        </w:rPr>
        <w:fldChar w:fldCharType="begin"/>
      </w:r>
      <w:r>
        <w:rPr>
          <w:iCs/>
        </w:rPr>
        <w:instrText xml:space="preserve"> PAGEREF _Ref371086190 \h </w:instrText>
      </w:r>
      <w:r>
        <w:rPr>
          <w:iCs/>
        </w:rPr>
      </w:r>
      <w:r>
        <w:rPr>
          <w:iCs/>
        </w:rPr>
        <w:fldChar w:fldCharType="separate"/>
      </w:r>
      <w:r w:rsidR="00363A39">
        <w:rPr>
          <w:iCs/>
          <w:noProof/>
        </w:rPr>
        <w:t>33</w:t>
      </w:r>
      <w:r>
        <w:rPr>
          <w:iCs/>
        </w:rPr>
        <w:fldChar w:fldCharType="end"/>
      </w:r>
      <w:r>
        <w:rPr>
          <w:iCs/>
        </w:rPr>
        <w:t>)</w:t>
      </w:r>
      <w:r w:rsidRPr="00AC2A49">
        <w:rPr>
          <w:iCs/>
        </w:rPr>
        <w:t>. Although it may be possible to link individual procedures to specific diagnoses, this would require considerable investment in conceptualising and researching the issue, and in developing relevant data standards (including education in applying these).</w:t>
      </w:r>
    </w:p>
    <w:p w:rsidR="007718C7" w:rsidRPr="007847F7" w:rsidRDefault="007718C7" w:rsidP="00367AB1">
      <w:r w:rsidRPr="007847F7">
        <w:t xml:space="preserve">In short, there are several limitations of examining the effect of </w:t>
      </w:r>
      <w:r>
        <w:t>hospital-acquired</w:t>
      </w:r>
      <w:r w:rsidRPr="007847F7">
        <w:t xml:space="preserve"> conditions on case complexity and AR-DRG grouping. The classification system is not sensitive to factoring in secondary diagnoses (</w:t>
      </w:r>
      <w:r>
        <w:t>whether</w:t>
      </w:r>
      <w:r w:rsidRPr="007847F7">
        <w:t xml:space="preserve"> pre-existing or </w:t>
      </w:r>
      <w:r>
        <w:t>hospital-acquired</w:t>
      </w:r>
      <w:r w:rsidRPr="007847F7">
        <w:t>)</w:t>
      </w:r>
      <w:r>
        <w:rPr>
          <w:rStyle w:val="FootnoteReference"/>
        </w:rPr>
        <w:footnoteReference w:id="3"/>
      </w:r>
      <w:r w:rsidRPr="007847F7">
        <w:t xml:space="preserve">. In addition, only the removal of </w:t>
      </w:r>
      <w:r w:rsidRPr="007847F7">
        <w:rPr>
          <w:i/>
        </w:rPr>
        <w:t>conditions</w:t>
      </w:r>
      <w:r w:rsidRPr="007847F7">
        <w:t xml:space="preserve"> is possible. Procedures that are the result of a </w:t>
      </w:r>
      <w:r>
        <w:t>hospital-acquired</w:t>
      </w:r>
      <w:r w:rsidRPr="007847F7">
        <w:t xml:space="preserve"> diagnos</w:t>
      </w:r>
      <w:r>
        <w:t>i</w:t>
      </w:r>
      <w:r w:rsidRPr="007847F7">
        <w:t xml:space="preserve">s </w:t>
      </w:r>
      <w:r>
        <w:t>are not specifically identified</w:t>
      </w:r>
      <w:r w:rsidRPr="007847F7">
        <w:t xml:space="preserve">.  </w:t>
      </w:r>
    </w:p>
    <w:p w:rsidR="007718C7" w:rsidRDefault="007718C7" w:rsidP="000044F6">
      <w:pPr>
        <w:pStyle w:val="Stageheading"/>
      </w:pPr>
      <w:bookmarkStart w:id="8" w:name="_Toc374114575"/>
      <w:r w:rsidRPr="00DA0C8B">
        <w:t>What additional costs and/ or length of stay are</w:t>
      </w:r>
      <w:r>
        <w:t xml:space="preserve"> </w:t>
      </w:r>
      <w:r w:rsidRPr="00DA0C8B">
        <w:t>associated with hospital-acquired diagnoses</w:t>
      </w:r>
      <w:r>
        <w:t>?</w:t>
      </w:r>
      <w:bookmarkEnd w:id="8"/>
    </w:p>
    <w:p w:rsidR="007718C7" w:rsidRDefault="007718C7" w:rsidP="005A631D">
      <w:r>
        <w:t xml:space="preserve">Across the sample of high volume and </w:t>
      </w:r>
      <w:r w:rsidR="00CC4DD1">
        <w:t xml:space="preserve">high </w:t>
      </w:r>
      <w:r>
        <w:t xml:space="preserve">priority conditions/interventions identified by the Commission, the mean incremental impact of the presence of any COF diagnosis was estimated to be $9,244 and 5.3 days. The median incremental cost impact was estimated to be $6,710.  </w:t>
      </w:r>
      <w:r w:rsidRPr="006B7468">
        <w:t xml:space="preserve">Many </w:t>
      </w:r>
      <w:r>
        <w:t xml:space="preserve">of these </w:t>
      </w:r>
      <w:r w:rsidRPr="006B7468">
        <w:t xml:space="preserve">episodes have more than one </w:t>
      </w:r>
      <w:r>
        <w:t>hospital-acquired</w:t>
      </w:r>
      <w:r w:rsidRPr="006B7468">
        <w:t xml:space="preserve"> diagnosis reported, so these </w:t>
      </w:r>
      <w:r>
        <w:t xml:space="preserve">estimates </w:t>
      </w:r>
      <w:r w:rsidRPr="006B7468">
        <w:t xml:space="preserve">reflect the combined impact of all </w:t>
      </w:r>
      <w:r>
        <w:t>hospital-acquired</w:t>
      </w:r>
      <w:r w:rsidRPr="006B7468">
        <w:t xml:space="preserve"> conditions present within a particular episode.  </w:t>
      </w:r>
    </w:p>
    <w:p w:rsidR="007718C7" w:rsidRDefault="007718C7" w:rsidP="00AF08D3">
      <w:r>
        <w:t>Several models were estimated examining the incremental costs of selected groups of conditions (</w:t>
      </w:r>
      <w:r w:rsidR="00F50FB9">
        <w:fldChar w:fldCharType="begin"/>
      </w:r>
      <w:r w:rsidR="00F50FB9">
        <w:instrText xml:space="preserve"> REF _Ref369156099 \h  \* MERGEFORMAT </w:instrText>
      </w:r>
      <w:r w:rsidR="00F50FB9">
        <w:fldChar w:fldCharType="separate"/>
      </w:r>
      <w:r w:rsidR="00363A39" w:rsidRPr="00363A39">
        <w:t>Table 1</w:t>
      </w:r>
      <w:r w:rsidR="00F50FB9">
        <w:fldChar w:fldCharType="end"/>
      </w:r>
      <w:r>
        <w:t>).  These varied from between $2,000 and $3,000 (e.g. m</w:t>
      </w:r>
      <w:r w:rsidRPr="00B5378E">
        <w:t xml:space="preserve">etabolic </w:t>
      </w:r>
      <w:r>
        <w:t>d</w:t>
      </w:r>
      <w:r w:rsidRPr="00B5378E">
        <w:t>isorders</w:t>
      </w:r>
      <w:r>
        <w:t xml:space="preserve"> and ha</w:t>
      </w:r>
      <w:r w:rsidRPr="00B5378E">
        <w:t xml:space="preserve">ematological </w:t>
      </w:r>
      <w:r>
        <w:t>d</w:t>
      </w:r>
      <w:r w:rsidRPr="00B5378E">
        <w:t>isorders</w:t>
      </w:r>
      <w:r>
        <w:t>) up to over $6,000 (e.g. the p</w:t>
      </w:r>
      <w:r w:rsidRPr="00B5378E">
        <w:t>ost-procedural complications</w:t>
      </w:r>
      <w:r>
        <w:t xml:space="preserve">, </w:t>
      </w:r>
      <w:r>
        <w:lastRenderedPageBreak/>
        <w:t>sp</w:t>
      </w:r>
      <w:r w:rsidRPr="00B5378E">
        <w:t>ecific infections</w:t>
      </w:r>
      <w:r>
        <w:t>, and n</w:t>
      </w:r>
      <w:r w:rsidRPr="00B5378E">
        <w:t xml:space="preserve">ervous </w:t>
      </w:r>
      <w:r>
        <w:t>s</w:t>
      </w:r>
      <w:r w:rsidRPr="00B5378E">
        <w:t xml:space="preserve">ystem </w:t>
      </w:r>
      <w:r>
        <w:t>c</w:t>
      </w:r>
      <w:r w:rsidRPr="00B5378E">
        <w:t>omplications</w:t>
      </w:r>
      <w:r>
        <w:t xml:space="preserve">). The largest incremental costs are estimated for the specific infections which add an estimated $7,615 per episode. </w:t>
      </w:r>
    </w:p>
    <w:p w:rsidR="007718C7" w:rsidRDefault="007718C7" w:rsidP="005A631D">
      <w:r>
        <w:t>Costs of specific hospital-acquired conditions were also estimated.  These estimates revealed a number of conditions with a very high cost impact per episode.  For some of these conditions (s</w:t>
      </w:r>
      <w:r w:rsidRPr="004D44A8">
        <w:t xml:space="preserve">epsis, </w:t>
      </w:r>
      <w:r>
        <w:t>g</w:t>
      </w:r>
      <w:r w:rsidRPr="004D44A8">
        <w:t xml:space="preserve">as </w:t>
      </w:r>
      <w:r>
        <w:t>e</w:t>
      </w:r>
      <w:r w:rsidRPr="004D44A8">
        <w:t xml:space="preserve">mbolism and </w:t>
      </w:r>
      <w:r>
        <w:t>c</w:t>
      </w:r>
      <w:r w:rsidRPr="004D44A8">
        <w:t xml:space="preserve">omplications of </w:t>
      </w:r>
      <w:r>
        <w:t>t</w:t>
      </w:r>
      <w:r w:rsidRPr="004D44A8">
        <w:t>ransplants</w:t>
      </w:r>
      <w:r>
        <w:t xml:space="preserve">), the number of occurrences in the sample was very low.  Estimates were suppressed in these instances.  </w:t>
      </w:r>
      <w:r w:rsidR="00F50FB9">
        <w:fldChar w:fldCharType="begin"/>
      </w:r>
      <w:r w:rsidR="00F50FB9">
        <w:instrText xml:space="preserve"> REF _Ref369158151 \h  \* MERGEFORMAT </w:instrText>
      </w:r>
      <w:r w:rsidR="00F50FB9">
        <w:fldChar w:fldCharType="separate"/>
      </w:r>
      <w:r w:rsidR="00363A39" w:rsidRPr="00363A39">
        <w:t>Table 2</w:t>
      </w:r>
      <w:r w:rsidR="00F50FB9">
        <w:fldChar w:fldCharType="end"/>
      </w:r>
      <w:r>
        <w:t xml:space="preserve"> shows the estimated impact of other conditions with a high cost per episode impact.  These ranged from between $9,208 for m</w:t>
      </w:r>
      <w:r w:rsidRPr="004D44A8">
        <w:t>ethicillin resistant agent</w:t>
      </w:r>
      <w:r>
        <w:t xml:space="preserve"> to $15,032 for injury due to assault.  The numbers of episodes with these conditions was between 17 and 967.  As a consequence, the total cost impact of these conditions was not always very high relative to other conditions.</w:t>
      </w:r>
    </w:p>
    <w:p w:rsidR="002F611A" w:rsidRDefault="007718C7" w:rsidP="002F611A">
      <w:r>
        <w:t xml:space="preserve">In contrast there were a number of other conditions which had relatively lower cost per episode impacts, but because there were larger numbers of the episodes, the total cost impact was very high.  These are also shown in </w:t>
      </w:r>
      <w:r w:rsidR="00F50FB9">
        <w:fldChar w:fldCharType="begin"/>
      </w:r>
      <w:r w:rsidR="00F50FB9">
        <w:instrText xml:space="preserve"> REF _Ref369158151 \h  \* MERGEFORMAT </w:instrText>
      </w:r>
      <w:r w:rsidR="00F50FB9">
        <w:fldChar w:fldCharType="separate"/>
      </w:r>
      <w:r w:rsidR="00363A39" w:rsidRPr="00363A39">
        <w:t>Table 2</w:t>
      </w:r>
      <w:r w:rsidR="00F50FB9">
        <w:fldChar w:fldCharType="end"/>
      </w:r>
      <w:r>
        <w:t>.  Total cost impacts of these conditions ranged from $10.9 million for pressure ulcers (1,866 episodes) to $27.4 million for</w:t>
      </w:r>
      <w:r w:rsidRPr="003F446D">
        <w:t xml:space="preserve"> </w:t>
      </w:r>
      <w:r>
        <w:t>e</w:t>
      </w:r>
      <w:r w:rsidRPr="003F446D">
        <w:t>lectrolyte disorders w</w:t>
      </w:r>
      <w:r>
        <w:t xml:space="preserve">ithout </w:t>
      </w:r>
      <w:r w:rsidRPr="003F446D">
        <w:t xml:space="preserve">dehydration </w:t>
      </w:r>
      <w:r>
        <w:t>(9,808 episodes).  As has been pointed out elsewhere (</w:t>
      </w:r>
      <w:hyperlink w:anchor="_ENREF_21" w:tooltip="Jackson, 2011 #8" w:history="1">
        <w:r w:rsidR="00C33CAE">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 </w:instrText>
        </w:r>
        <w:r w:rsidR="00C33CAE">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EN.CITE.DATA </w:instrText>
        </w:r>
        <w:r w:rsidR="00C33CAE">
          <w:fldChar w:fldCharType="end"/>
        </w:r>
        <w:r w:rsidR="00C33CAE">
          <w:fldChar w:fldCharType="separate"/>
        </w:r>
        <w:r w:rsidR="00C33CAE">
          <w:rPr>
            <w:noProof/>
          </w:rPr>
          <w:t>Jackson et al., 2011</w:t>
        </w:r>
        <w:r w:rsidR="00C33CAE">
          <w:fldChar w:fldCharType="end"/>
        </w:r>
      </w:hyperlink>
      <w:r>
        <w:t xml:space="preserve">), this perspective suggests that in setting priority for safety initiatives, it may be beneficial to consider conditions that have a relatively low cost impact on the individual episode of care, but may be very common. </w:t>
      </w:r>
    </w:p>
    <w:tbl>
      <w:tblPr>
        <w:tblW w:w="9246" w:type="dxa"/>
        <w:tblLook w:val="00A0" w:firstRow="1" w:lastRow="0" w:firstColumn="1" w:lastColumn="0" w:noHBand="0" w:noVBand="0"/>
      </w:tblPr>
      <w:tblGrid>
        <w:gridCol w:w="9246"/>
      </w:tblGrid>
      <w:tr w:rsidR="007718C7" w:rsidTr="00F220A3">
        <w:tc>
          <w:tcPr>
            <w:tcW w:w="9246" w:type="dxa"/>
          </w:tcPr>
          <w:p w:rsidR="007718C7" w:rsidRPr="000F1C72" w:rsidRDefault="007718C7" w:rsidP="00F220A3">
            <w:pPr>
              <w:spacing w:after="0"/>
              <w:jc w:val="center"/>
              <w:rPr>
                <w:rFonts w:cs="Arial"/>
                <w:b/>
                <w:color w:val="000000"/>
                <w:sz w:val="18"/>
                <w:szCs w:val="18"/>
              </w:rPr>
            </w:pPr>
            <w:bookmarkStart w:id="9" w:name="_Ref369156099"/>
            <w:r w:rsidRPr="000F1C72">
              <w:rPr>
                <w:rFonts w:cs="Arial"/>
                <w:b/>
                <w:color w:val="000000"/>
                <w:sz w:val="18"/>
                <w:szCs w:val="18"/>
              </w:rPr>
              <w:t xml:space="preserve">Table </w:t>
            </w:r>
            <w:r w:rsidRPr="000F1C72">
              <w:rPr>
                <w:rFonts w:cs="Arial"/>
                <w:b/>
                <w:color w:val="000000"/>
                <w:sz w:val="18"/>
                <w:szCs w:val="18"/>
              </w:rPr>
              <w:fldChar w:fldCharType="begin"/>
            </w:r>
            <w:r w:rsidRPr="000F1C72">
              <w:rPr>
                <w:rFonts w:cs="Arial"/>
                <w:b/>
                <w:color w:val="000000"/>
                <w:sz w:val="18"/>
                <w:szCs w:val="18"/>
              </w:rPr>
              <w:instrText xml:space="preserve"> SEQ Table \* ARABIC </w:instrText>
            </w:r>
            <w:r w:rsidRPr="000F1C72">
              <w:rPr>
                <w:rFonts w:cs="Arial"/>
                <w:b/>
                <w:color w:val="000000"/>
                <w:sz w:val="18"/>
                <w:szCs w:val="18"/>
              </w:rPr>
              <w:fldChar w:fldCharType="separate"/>
            </w:r>
            <w:r w:rsidR="00363A39">
              <w:rPr>
                <w:rFonts w:cs="Arial"/>
                <w:b/>
                <w:noProof/>
                <w:color w:val="000000"/>
                <w:sz w:val="18"/>
                <w:szCs w:val="18"/>
              </w:rPr>
              <w:t>1</w:t>
            </w:r>
            <w:r w:rsidRPr="000F1C72">
              <w:rPr>
                <w:rFonts w:cs="Arial"/>
                <w:b/>
                <w:color w:val="000000"/>
                <w:sz w:val="18"/>
                <w:szCs w:val="18"/>
              </w:rPr>
              <w:fldChar w:fldCharType="end"/>
            </w:r>
            <w:bookmarkEnd w:id="9"/>
            <w:r w:rsidRPr="000F1C72">
              <w:rPr>
                <w:rFonts w:cs="Arial"/>
                <w:b/>
                <w:color w:val="000000"/>
                <w:sz w:val="18"/>
                <w:szCs w:val="18"/>
              </w:rPr>
              <w:t xml:space="preserve"> – Estimates of incremental impact of major COF diagnoses groups </w:t>
            </w:r>
          </w:p>
          <w:p w:rsidR="007718C7" w:rsidRPr="00F220A3" w:rsidRDefault="007718C7" w:rsidP="00F220A3">
            <w:pPr>
              <w:spacing w:after="0"/>
              <w:jc w:val="center"/>
              <w:rPr>
                <w:rFonts w:ascii="Calibri" w:hAnsi="Calibri"/>
              </w:rPr>
            </w:pPr>
            <w:r w:rsidRPr="000F1C72">
              <w:rPr>
                <w:rFonts w:cs="Arial"/>
                <w:b/>
                <w:color w:val="000000"/>
                <w:sz w:val="18"/>
                <w:szCs w:val="18"/>
              </w:rPr>
              <w:t>on cost and length of stay, selected ADRGs, NHCDC, 2011-12</w:t>
            </w:r>
          </w:p>
        </w:tc>
      </w:tr>
      <w:tr w:rsidR="007718C7" w:rsidTr="00F220A3">
        <w:tc>
          <w:tcPr>
            <w:tcW w:w="9246" w:type="dxa"/>
          </w:tcPr>
          <w:p w:rsidR="007718C7" w:rsidRPr="00F220A3" w:rsidRDefault="009B164C" w:rsidP="00F220A3">
            <w:pPr>
              <w:spacing w:after="0" w:line="240" w:lineRule="auto"/>
              <w:jc w:val="center"/>
              <w:rPr>
                <w:rFonts w:ascii="Calibri" w:hAnsi="Calibri"/>
              </w:rPr>
            </w:pPr>
            <w:r>
              <w:rPr>
                <w:rFonts w:ascii="Calibri" w:hAnsi="Calibri"/>
                <w:noProof/>
                <w:lang w:eastAsia="en-AU"/>
              </w:rPr>
              <w:drawing>
                <wp:inline distT="0" distB="0" distL="0" distR="0" wp14:anchorId="152E8F92" wp14:editId="36468E7C">
                  <wp:extent cx="4718685" cy="3683635"/>
                  <wp:effectExtent l="0" t="0" r="5715"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685" cy="3683635"/>
                          </a:xfrm>
                          <a:prstGeom prst="rect">
                            <a:avLst/>
                          </a:prstGeom>
                          <a:noFill/>
                          <a:ln>
                            <a:noFill/>
                          </a:ln>
                        </pic:spPr>
                      </pic:pic>
                    </a:graphicData>
                  </a:graphic>
                </wp:inline>
              </w:drawing>
            </w:r>
          </w:p>
        </w:tc>
      </w:tr>
    </w:tbl>
    <w:p w:rsidR="002F611A" w:rsidRDefault="002F611A" w:rsidP="000B15F4">
      <w:pPr>
        <w:spacing w:after="0" w:line="240" w:lineRule="auto"/>
      </w:pPr>
    </w:p>
    <w:p w:rsidR="002F611A" w:rsidRDefault="002F611A">
      <w:pPr>
        <w:spacing w:after="0" w:line="240" w:lineRule="auto"/>
      </w:pPr>
      <w:r>
        <w:br w:type="page"/>
      </w:r>
    </w:p>
    <w:tbl>
      <w:tblPr>
        <w:tblW w:w="9356" w:type="dxa"/>
        <w:jc w:val="center"/>
        <w:tblLook w:val="00A0" w:firstRow="1" w:lastRow="0" w:firstColumn="1" w:lastColumn="0" w:noHBand="0" w:noVBand="0"/>
      </w:tblPr>
      <w:tblGrid>
        <w:gridCol w:w="9356"/>
      </w:tblGrid>
      <w:tr w:rsidR="007718C7" w:rsidTr="00F220A3">
        <w:trPr>
          <w:jc w:val="center"/>
        </w:trPr>
        <w:tc>
          <w:tcPr>
            <w:tcW w:w="9356" w:type="dxa"/>
          </w:tcPr>
          <w:p w:rsidR="007718C7" w:rsidRPr="000F1C72" w:rsidRDefault="007718C7" w:rsidP="00F220A3">
            <w:pPr>
              <w:spacing w:after="0"/>
              <w:jc w:val="center"/>
            </w:pPr>
            <w:bookmarkStart w:id="10" w:name="_Ref369158151"/>
            <w:r w:rsidRPr="000F1C72">
              <w:rPr>
                <w:rFonts w:cs="Arial"/>
                <w:b/>
                <w:color w:val="000000"/>
                <w:sz w:val="18"/>
                <w:szCs w:val="18"/>
              </w:rPr>
              <w:lastRenderedPageBreak/>
              <w:t xml:space="preserve">Table </w:t>
            </w:r>
            <w:r w:rsidRPr="000F1C72">
              <w:rPr>
                <w:rFonts w:cs="Arial"/>
                <w:b/>
                <w:color w:val="000000"/>
                <w:sz w:val="18"/>
                <w:szCs w:val="18"/>
              </w:rPr>
              <w:fldChar w:fldCharType="begin"/>
            </w:r>
            <w:r w:rsidRPr="000F1C72">
              <w:rPr>
                <w:rFonts w:cs="Arial"/>
                <w:b/>
                <w:color w:val="000000"/>
                <w:sz w:val="18"/>
                <w:szCs w:val="18"/>
              </w:rPr>
              <w:instrText xml:space="preserve"> SEQ Table \* ARABIC </w:instrText>
            </w:r>
            <w:r w:rsidRPr="000F1C72">
              <w:rPr>
                <w:rFonts w:cs="Arial"/>
                <w:b/>
                <w:color w:val="000000"/>
                <w:sz w:val="18"/>
                <w:szCs w:val="18"/>
              </w:rPr>
              <w:fldChar w:fldCharType="separate"/>
            </w:r>
            <w:r w:rsidR="00363A39">
              <w:rPr>
                <w:rFonts w:cs="Arial"/>
                <w:b/>
                <w:noProof/>
                <w:color w:val="000000"/>
                <w:sz w:val="18"/>
                <w:szCs w:val="18"/>
              </w:rPr>
              <w:t>2</w:t>
            </w:r>
            <w:r w:rsidRPr="000F1C72">
              <w:rPr>
                <w:rFonts w:cs="Arial"/>
                <w:b/>
                <w:color w:val="000000"/>
                <w:sz w:val="18"/>
                <w:szCs w:val="18"/>
              </w:rPr>
              <w:fldChar w:fldCharType="end"/>
            </w:r>
            <w:bookmarkEnd w:id="10"/>
            <w:r w:rsidRPr="000F1C72">
              <w:rPr>
                <w:rFonts w:cs="Arial"/>
                <w:b/>
                <w:color w:val="000000"/>
                <w:sz w:val="18"/>
                <w:szCs w:val="18"/>
              </w:rPr>
              <w:t xml:space="preserve"> – Estimates of incremental impact of selected COF diagnoses on cost and length of stay,  </w:t>
            </w:r>
            <w:r w:rsidRPr="000F1C72">
              <w:rPr>
                <w:rFonts w:cs="Arial"/>
                <w:b/>
                <w:color w:val="000000"/>
                <w:sz w:val="18"/>
                <w:szCs w:val="18"/>
              </w:rPr>
              <w:br/>
              <w:t>plus estimated total cost impact, selected ADRGs, NHCDC, 2011-12</w:t>
            </w:r>
          </w:p>
        </w:tc>
      </w:tr>
      <w:tr w:rsidR="007718C7" w:rsidTr="00F220A3">
        <w:trPr>
          <w:jc w:val="center"/>
        </w:trPr>
        <w:tc>
          <w:tcPr>
            <w:tcW w:w="9356" w:type="dxa"/>
          </w:tcPr>
          <w:p w:rsidR="007718C7" w:rsidRPr="00F220A3" w:rsidRDefault="009B164C" w:rsidP="00F220A3">
            <w:pPr>
              <w:jc w:val="center"/>
              <w:rPr>
                <w:rFonts w:ascii="Calibri" w:hAnsi="Calibri"/>
              </w:rPr>
            </w:pPr>
            <w:r>
              <w:rPr>
                <w:rFonts w:ascii="Calibri" w:hAnsi="Calibri"/>
                <w:noProof/>
                <w:lang w:eastAsia="en-AU"/>
              </w:rPr>
              <w:drawing>
                <wp:inline distT="0" distB="0" distL="0" distR="0" wp14:anchorId="4BD4F899" wp14:editId="4451DF59">
                  <wp:extent cx="5219065" cy="3157220"/>
                  <wp:effectExtent l="0" t="0" r="635" b="508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065" cy="3157220"/>
                          </a:xfrm>
                          <a:prstGeom prst="rect">
                            <a:avLst/>
                          </a:prstGeom>
                          <a:noFill/>
                          <a:ln>
                            <a:noFill/>
                          </a:ln>
                        </pic:spPr>
                      </pic:pic>
                    </a:graphicData>
                  </a:graphic>
                </wp:inline>
              </w:drawing>
            </w:r>
          </w:p>
        </w:tc>
      </w:tr>
    </w:tbl>
    <w:p w:rsidR="007718C7" w:rsidRDefault="007718C7" w:rsidP="00C64E4C"/>
    <w:tbl>
      <w:tblPr>
        <w:tblW w:w="9447" w:type="dxa"/>
        <w:tblLook w:val="00A0" w:firstRow="1" w:lastRow="0" w:firstColumn="1" w:lastColumn="0" w:noHBand="0" w:noVBand="0"/>
      </w:tblPr>
      <w:tblGrid>
        <w:gridCol w:w="9447"/>
      </w:tblGrid>
      <w:tr w:rsidR="007718C7" w:rsidTr="00F220A3">
        <w:trPr>
          <w:trHeight w:val="7294"/>
        </w:trPr>
        <w:tc>
          <w:tcPr>
            <w:tcW w:w="9447" w:type="dxa"/>
          </w:tcPr>
          <w:p w:rsidR="007718C7" w:rsidRPr="000F1C72" w:rsidRDefault="007718C7" w:rsidP="00F220A3">
            <w:pPr>
              <w:spacing w:after="0"/>
              <w:jc w:val="center"/>
            </w:pPr>
            <w:r>
              <w:br w:type="page"/>
            </w:r>
            <w:r w:rsidRPr="00F220A3">
              <w:rPr>
                <w:rFonts w:ascii="Calibri" w:hAnsi="Calibri"/>
              </w:rPr>
              <w:br w:type="page"/>
            </w:r>
            <w:r w:rsidRPr="000F1C72">
              <w:rPr>
                <w:rFonts w:cs="Arial"/>
                <w:b/>
                <w:color w:val="000000"/>
                <w:sz w:val="18"/>
                <w:szCs w:val="18"/>
              </w:rPr>
              <w:t xml:space="preserve">Table </w:t>
            </w:r>
            <w:r w:rsidRPr="000F1C72">
              <w:rPr>
                <w:rFonts w:cs="Arial"/>
                <w:b/>
                <w:color w:val="000000"/>
                <w:sz w:val="18"/>
                <w:szCs w:val="18"/>
              </w:rPr>
              <w:fldChar w:fldCharType="begin"/>
            </w:r>
            <w:r w:rsidRPr="000F1C72">
              <w:rPr>
                <w:rFonts w:cs="Arial"/>
                <w:b/>
                <w:color w:val="000000"/>
                <w:sz w:val="18"/>
                <w:szCs w:val="18"/>
              </w:rPr>
              <w:instrText xml:space="preserve"> SEQ Table \* ARABIC </w:instrText>
            </w:r>
            <w:r w:rsidRPr="000F1C72">
              <w:rPr>
                <w:rFonts w:cs="Arial"/>
                <w:b/>
                <w:color w:val="000000"/>
                <w:sz w:val="18"/>
                <w:szCs w:val="18"/>
              </w:rPr>
              <w:fldChar w:fldCharType="separate"/>
            </w:r>
            <w:r w:rsidR="00363A39">
              <w:rPr>
                <w:rFonts w:cs="Arial"/>
                <w:b/>
                <w:noProof/>
                <w:color w:val="000000"/>
                <w:sz w:val="18"/>
                <w:szCs w:val="18"/>
              </w:rPr>
              <w:t>3</w:t>
            </w:r>
            <w:r w:rsidRPr="000F1C72">
              <w:rPr>
                <w:rFonts w:cs="Arial"/>
                <w:b/>
                <w:color w:val="000000"/>
                <w:sz w:val="18"/>
                <w:szCs w:val="18"/>
              </w:rPr>
              <w:fldChar w:fldCharType="end"/>
            </w:r>
            <w:r w:rsidRPr="000F1C72">
              <w:rPr>
                <w:rFonts w:cs="Arial"/>
                <w:b/>
                <w:color w:val="000000"/>
                <w:sz w:val="18"/>
                <w:szCs w:val="18"/>
              </w:rPr>
              <w:t xml:space="preserve"> – Estimates of incremental impact of COF diagnoses on cost and length of stay, By  ADRG, NHCDC, 2011-12</w:t>
            </w:r>
          </w:p>
          <w:p w:rsidR="007718C7" w:rsidRPr="00F220A3" w:rsidRDefault="009B164C" w:rsidP="00F220A3">
            <w:pPr>
              <w:jc w:val="center"/>
              <w:rPr>
                <w:rFonts w:ascii="Calibri" w:hAnsi="Calibri"/>
              </w:rPr>
            </w:pPr>
            <w:r>
              <w:rPr>
                <w:rFonts w:ascii="Calibri" w:hAnsi="Calibri"/>
                <w:noProof/>
                <w:lang w:eastAsia="en-AU"/>
              </w:rPr>
              <w:drawing>
                <wp:inline distT="0" distB="0" distL="0" distR="0" wp14:anchorId="13F2240A" wp14:editId="4B5D4AC8">
                  <wp:extent cx="5667375" cy="4287520"/>
                  <wp:effectExtent l="0" t="0" r="9525"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4287520"/>
                          </a:xfrm>
                          <a:prstGeom prst="rect">
                            <a:avLst/>
                          </a:prstGeom>
                          <a:noFill/>
                          <a:ln>
                            <a:noFill/>
                          </a:ln>
                        </pic:spPr>
                      </pic:pic>
                    </a:graphicData>
                  </a:graphic>
                </wp:inline>
              </w:drawing>
            </w:r>
          </w:p>
        </w:tc>
      </w:tr>
    </w:tbl>
    <w:p w:rsidR="00C72246" w:rsidRDefault="00C72246" w:rsidP="00AF08D3">
      <w:r>
        <w:lastRenderedPageBreak/>
        <w:t>Estimated impacts vary across ADRGs. For example, the mean incremental cost of the presence of any COF diagnosis for episodes in the chest pain ADRG was $2,491, but for the cranial procedures ADRG it was $26,450.</w:t>
      </w:r>
    </w:p>
    <w:p w:rsidR="007718C7" w:rsidRPr="00404A84" w:rsidRDefault="007718C7" w:rsidP="00AF08D3">
      <w:pPr>
        <w:rPr>
          <w:szCs w:val="20"/>
        </w:rPr>
      </w:pPr>
      <w:r>
        <w:t>Overall, the m</w:t>
      </w:r>
      <w:r w:rsidR="001B5067">
        <w:t>odelling suggests that hospital-</w:t>
      </w:r>
      <w:r>
        <w:t>acquired conditions potentially account for between 12% and 16.5% of total costs within the sample</w:t>
      </w:r>
      <w:r w:rsidR="00C64E4C">
        <w:t>,</w:t>
      </w:r>
      <w:r>
        <w:t xml:space="preserve"> and 11.6% and 15.9% of costs </w:t>
      </w:r>
      <w:r w:rsidR="00C72246">
        <w:t>across all hospitals for the selected conditions</w:t>
      </w:r>
      <w:r>
        <w:t xml:space="preserve">.  Across all acute episodes assigned to the selected ADRGs, the incremental cost of hospital-acquired conditions was estimated to be between $634 million and $896 million.  </w:t>
      </w:r>
      <w:r w:rsidRPr="0003016A">
        <w:t>To place this estimate in context, total expenditures for public hospitals were $40,384 million in 2011-12, of which an approximated $28,000 million (70%) relate</w:t>
      </w:r>
      <w:r w:rsidR="00F50FB9">
        <w:t>d</w:t>
      </w:r>
      <w:r w:rsidRPr="0003016A">
        <w:t xml:space="preserve"> to admitted </w:t>
      </w:r>
      <w:r w:rsidRPr="00F50FB9">
        <w:rPr>
          <w:szCs w:val="20"/>
        </w:rPr>
        <w:t>patients</w:t>
      </w:r>
      <w:r w:rsidRPr="00404A84">
        <w:rPr>
          <w:szCs w:val="20"/>
        </w:rPr>
        <w:t xml:space="preserve"> (</w:t>
      </w:r>
      <w:hyperlink w:anchor="_ENREF_2" w:tooltip="Australian Institute of Health and Welfare, 2013 #144" w:history="1">
        <w:r w:rsidR="00C33CAE" w:rsidRPr="009C26A0">
          <w:rPr>
            <w:szCs w:val="20"/>
          </w:rPr>
          <w:fldChar w:fldCharType="begin"/>
        </w:r>
        <w:r w:rsidR="00C33CAE">
          <w:rPr>
            <w:szCs w:val="20"/>
          </w:rPr>
          <w:instrText xml:space="preserve"> ADDIN EN.CITE &lt;EndNote&gt;&lt;Cite ExcludeAuth="1"&gt;&lt;Author&gt;Australian Institute of Health and Welfare&lt;/Author&gt;&lt;Year&gt;2013&lt;/Year&gt;&lt;RecNum&gt;144&lt;/RecNum&gt;&lt;DisplayText&gt;2013a&lt;/DisplayText&gt;&lt;record&gt;&lt;rec-number&gt;144&lt;/rec-number&gt;&lt;foreign-keys&gt;&lt;key app="EN" db-id="92tftt5v2arxd6e9wzr50w2w0rz0epx099ft" timestamp="1383450412"&gt;144&lt;/key&gt;&lt;/foreign-keys&gt;&lt;ref-type name="Report"&gt;27&lt;/ref-type&gt;&lt;contributors&gt;&lt;authors&gt;&lt;author&gt;Australian Institute of Health and Welfare,,&lt;/author&gt;&lt;/authors&gt;&lt;/contributors&gt;&lt;auth-address&gt;http://www.aihw.gov.au/WorkArea/DownloadAsset.aspx?id=60129543827&lt;/auth-address&gt;&lt;titles&gt;&lt;title&gt;Australian Hospital Statistics 2011-12 &lt;/title&gt;&lt;secondary-title&gt;Health services series no. 50. Cat. no. HSE 134&lt;/secondary-title&gt;&lt;/titles&gt;&lt;dates&gt;&lt;year&gt;2013&lt;/year&gt;&lt;/dates&gt;&lt;pub-location&gt;Canberra&lt;/pub-location&gt;&lt;publisher&gt;AIHW&lt;/publisher&gt;&lt;label&gt;AIHW&lt;/label&gt;&lt;urls&gt;&lt;/urls&gt;&lt;/record&gt;&lt;/Cite&gt;&lt;/EndNote&gt;</w:instrText>
        </w:r>
        <w:r w:rsidR="00C33CAE" w:rsidRPr="009C26A0">
          <w:rPr>
            <w:szCs w:val="20"/>
          </w:rPr>
          <w:fldChar w:fldCharType="separate"/>
        </w:r>
        <w:r w:rsidR="00C33CAE">
          <w:rPr>
            <w:noProof/>
            <w:szCs w:val="20"/>
          </w:rPr>
          <w:t>2013a</w:t>
        </w:r>
        <w:r w:rsidR="00C33CAE" w:rsidRPr="009C26A0">
          <w:rPr>
            <w:szCs w:val="20"/>
          </w:rPr>
          <w:fldChar w:fldCharType="end"/>
        </w:r>
      </w:hyperlink>
      <w:r w:rsidRPr="00F50FB9">
        <w:rPr>
          <w:szCs w:val="20"/>
        </w:rPr>
        <w:t>).</w:t>
      </w:r>
    </w:p>
    <w:p w:rsidR="007718C7" w:rsidRPr="00C64E4C" w:rsidRDefault="007718C7" w:rsidP="00AF08D3">
      <w:pPr>
        <w:pStyle w:val="ListParagraph"/>
        <w:ind w:left="0"/>
        <w:contextualSpacing w:val="0"/>
      </w:pPr>
      <w:r w:rsidRPr="00C64E4C">
        <w:t>Limitations to these estimates should be emphasised. A particular challenge is endogeneity bias.  This is the potential that length of stay (which is closely correlated with cost) may increase the probability that a hospital-acquired condition will occur, in addition to the hospital-acquired condition causing longer length of stay and higher costs.  This particular issue has not been addressed in similar studies of large national samples of hospital data, and it was beyond the scope of this study to develop methods to address this issue.  Endogeneity bias may result in inflated estimates of the impact of hospital-acquired conditions.  Endogeneity bias is likely to vary across different types of hospital-acquired conditions, which is one of the reasons approaches to this issue were not feasible within the scope of this project.  At the extremes, procedural related conditions are less likely to be impacted by this problem, but conditions commonly associated with long lengths of stay (e.g. pressure ulcers), may be more likely to be impacted.</w:t>
      </w:r>
    </w:p>
    <w:p w:rsidR="007718C7" w:rsidRPr="00C64E4C" w:rsidRDefault="007718C7" w:rsidP="00AF08D3">
      <w:pPr>
        <w:pStyle w:val="ListParagraph"/>
        <w:ind w:left="0"/>
        <w:contextualSpacing w:val="0"/>
      </w:pPr>
      <w:r w:rsidRPr="00C64E4C">
        <w:t>A further limitation is that the differences in the quality of coding of diagnoses and the COF may impact the estimates.  This problem may result in under-estimates of the impact of hospital-acquired conditions.</w:t>
      </w:r>
    </w:p>
    <w:p w:rsidR="007718C7" w:rsidRPr="00C64E4C" w:rsidRDefault="007718C7" w:rsidP="00AF08D3">
      <w:pPr>
        <w:pStyle w:val="ListParagraph"/>
        <w:ind w:left="0"/>
        <w:contextualSpacing w:val="0"/>
      </w:pPr>
      <w:r w:rsidRPr="00C64E4C">
        <w:t>Finally, it is important to re-emphasise that hospital-acquired conditions may not all be preventable.  Some hospital-acquired conditions relate to complications of the primary condition leading to the hospital admission, rather than hospital care itself. Other hospital-acquired conditions may be able to be significantly reduced, but not entirely eliminated.</w:t>
      </w:r>
    </w:p>
    <w:p w:rsidR="007718C7" w:rsidRDefault="007718C7" w:rsidP="00AF08D3">
      <w:r w:rsidRPr="00EC25B0">
        <w:t>The results of this study are not directly comparable with previous studies due to the focus on a specific sample defined by specific conditions of interest</w:t>
      </w:r>
      <w:r>
        <w:t xml:space="preserve"> </w:t>
      </w:r>
      <w:r w:rsidRPr="005B5AD5">
        <w:t>which had been determined by the Commission</w:t>
      </w:r>
      <w:r w:rsidRPr="00EC25B0">
        <w:t xml:space="preserve">. </w:t>
      </w:r>
      <w:r>
        <w:t xml:space="preserve"> One previous Australian study </w:t>
      </w:r>
      <w:r w:rsidRPr="00EC25B0">
        <w:t xml:space="preserve">estimated </w:t>
      </w:r>
      <w:r>
        <w:t>that hospital-acquired condition</w:t>
      </w:r>
      <w:r w:rsidR="00404A84">
        <w:t>s</w:t>
      </w:r>
      <w:r>
        <w:t xml:space="preserve"> </w:t>
      </w:r>
      <w:r w:rsidRPr="00EC25B0">
        <w:t>add 17.3% to treatment costs</w:t>
      </w:r>
      <w:r>
        <w:t xml:space="preserve"> (</w:t>
      </w:r>
      <w:hyperlink w:anchor="_ENREF_21" w:tooltip="Jackson, 2011 #8" w:history="1">
        <w:r w:rsidR="00C33CAE">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 </w:instrText>
        </w:r>
        <w:r w:rsidR="00C33CAE">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EN.CITE.DATA </w:instrText>
        </w:r>
        <w:r w:rsidR="00C33CAE">
          <w:fldChar w:fldCharType="end"/>
        </w:r>
        <w:r w:rsidR="00C33CAE">
          <w:fldChar w:fldCharType="separate"/>
        </w:r>
        <w:r w:rsidR="00C33CAE">
          <w:rPr>
            <w:noProof/>
          </w:rPr>
          <w:t>Jackson et al., 2011</w:t>
        </w:r>
        <w:r w:rsidR="00C33CAE">
          <w:fldChar w:fldCharType="end"/>
        </w:r>
      </w:hyperlink>
      <w:r>
        <w:t>), which is slightly higher than the range estimated for the current project.  Factors that may contribute to differences include that the Jackson et al. study included maternity services, which have a relatively higher</w:t>
      </w:r>
      <w:r w:rsidRPr="00EC25B0">
        <w:t xml:space="preserve"> </w:t>
      </w:r>
      <w:r>
        <w:t>rate of reported hospital-acquired conditions, and that there were variables introduced to control for differences between the complicated and uncomplicated patient episodes.  An earlier study (</w:t>
      </w:r>
      <w:hyperlink w:anchor="_ENREF_6" w:tooltip="Ehsani, 2006 #108" w:history="1">
        <w:r w:rsidR="00C33CAE">
          <w:fldChar w:fldCharType="begin">
            <w:fldData xml:space="preserve">PEVuZE5vdGU+PENpdGU+PEF1dGhvcj5FaHNhbmk8L0F1dGhvcj48WWVhcj4yMDA2PC9ZZWFyPjxS
ZWNOdW0+MTA4PC9SZWNOdW0+PERpc3BsYXlUZXh0PkVoc2FuaSwgSmFja3NvbiwgJmFtcDsgRHVj
a2V0dCwgMjAwNjwvRGlzcGxheVRleHQ+PHJlY29yZD48cmVjLW51bWJlcj4xMDg8L3JlYy1udW1i
ZXI+PGZvcmVpZ24ta2V5cz48a2V5IGFwcD0iRU4iIGRiLWlkPSI5MnRmdHQ1djJhcnhkNmU5d3py
NTB3MncwcnowZXB4MDk5ZnQiIHRpbWVzdGFtcD0iMTM3ODk1MTk1NSI+MTA4PC9rZXk+PC9mb3Jl
aWduLWtleXM+PHJlZi10eXBlIG5hbWU9IkpvdXJuYWwgQXJ0aWNsZSI+MTc8L3JlZi10eXBlPjxj
b250cmlidXRvcnM+PGF1dGhvcnM+PGF1dGhvcj5FaHNhbmksIEpvbmF0aG9uIFAuPC9hdXRob3I+
PGF1dGhvcj5KYWNrc29uLCBUZXJyaTwvYXV0aG9yPjxhdXRob3I+RHVja2V0dCwgU3RlcGhlbiBK
LjwvYXV0aG9yPjwvYXV0aG9ycz48L2NvbnRyaWJ1dG9ycz48dGl0bGVzPjx0aXRsZT5UaGUgaW5j
aWRlbmNlIGFuZCBjb3N0IG9mIGFkdmVyc2UgZXZlbnRzIGluIFZpY3RvcmlhbiBob3NwaXRhbHMg
MjAwMy0wNDwvdGl0bGU+PHNlY29uZGFyeS10aXRsZT5NZWRpY2FsIEpvdXJuYWwgb2YgQXVzdHJh
bGlhPC9zZWNvbmRhcnktdGl0bGU+PC90aXRsZXM+PHBlcmlvZGljYWw+PGZ1bGwtdGl0bGU+TWVk
aWNhbCBKb3VybmFsIG9mIEF1c3RyYWxpYTwvZnVsbC10aXRsZT48L3BlcmlvZGljYWw+PHBhZ2Vz
PjU1MS01PC9wYWdlcz48dm9sdW1lPjE4NDwvdm9sdW1lPjxudW1iZXI+MTE8L251bWJlcj48a2V5
d29yZHM+PGtleXdvcmQ+TWVkaWNhbCBTY2llbmNlczwva2V5d29yZD48a2V5d29yZD5BZ2UgRmFj
dG9yczwva2V5d29yZD48a2V5d29yZD5IdW1hbnM8L2tleXdvcmQ+PGtleXdvcmQ+TGluZWFyIE1v
ZGVsczwva2V5d29yZD48a2V5d29yZD5JbmZhbnQsIE5ld2Jvcm48L2tleXdvcmQ+PGtleXdvcmQ+
QWdlZDwva2V5d29yZD48a2V5d29yZD5BZ2VkLCA4MCAmYW1wOyBvdmVyPC9rZXl3b3JkPjxrZXl3
b3JkPkNoaWxkPC9rZXl3b3JkPjxrZXl3b3JkPkNoaWxkLCBQcmVzY2hvb2w8L2tleXdvcmQ+PGtl
eXdvcmQ+SW5mYW50PC9rZXl3b3JkPjxrZXl3b3JkPkxlbmd0aCBvZiBTdGF5IC0tIHN0YXRpc3Rp
Y3MgJmFtcDsgbnVtZXJpY2FsIGRhdGE8L2tleXdvcmQ+PGtleXdvcmQ+SG9zcGl0YWwgTW9ydGFs
aXR5PC9rZXl3b3JkPjxrZXl3b3JkPkFkdWx0PC9rZXl3b3JkPjxrZXl3b3JkPlJpc2sgTWFuYWdl
bWVudDwva2V5d29yZD48a2V5d29yZD5MZW5ndGggb2YgU3RheSAtLSBlY29ub21pY3M8L2tleXdv
cmQ+PGtleXdvcmQ+SW5jaWRlbmNlPC9rZXl3b3JkPjxrZXl3b3JkPk1pZGRsZSBBZ2VkPC9rZXl3
b3JkPjxrZXl3b3JkPkF1c3RyYWxpYTwva2V5d29yZD48a2V5d29yZD5BZG9sZXNjZW50PC9rZXl3
b3JkPjxrZXl3b3JkPkhvc3BpdGFsIENvc3RzIC0tIHN0YXRpc3RpY3MgJmFtcDsgbnVtZXJpY2Fs
IGRhdGE8L2tleXdvcmQ+PGtleXdvcmQ+RGlhZ25vc2lzLVJlbGF0ZWQgR3JvdXBzPC9rZXl3b3Jk
PjxrZXl3b3JkPk1lZGljYWwgRXJyb3JzIC0tIHN0YXRpc3RpY3MgJmFtcDsgbnVtZXJpY2FsIGRh
dGE8L2tleXdvcmQ+PGtleXdvcmQ+TWVkaWNhbCBFcnJvcnMgLS0gZWNvbm9taWNzPC9rZXl3b3Jk
Pjwva2V5d29yZHM+PGRhdGVzPjx5ZWFyPjIwMDY8L3llYXI+PHB1Yi1kYXRlcz48ZGF0ZT4yMDA2
IEp1biAwNTwvZGF0ZT48L3B1Yi1kYXRlcz48L2RhdGVzPjxwdWItbG9jYXRpb24+UHlybW9udDwv
cHViLWxvY2F0aW9uPjxwdWJsaXNoZXI+QXVzdHJhbGFzaWFuIE1lZGljYWwgUHVibGlzaGluZyBD
b21wYW55IFByb3ByaWV0YXJ5LCBMdGQuPC9wdWJsaXNoZXI+PGlzYm4+MDAyNTcyOVg8L2lzYm4+
PGFjY2Vzc2lvbi1udW0+MjM1NzA5MDI1OyAxNjc2ODY2MDwvYWNjZXNzaW9uLW51bT48dXJscz48
cmVsYXRlZC11cmxzPjx1cmw+aHR0cDovL2V6cHJveHkudW93LmVkdS5hdS9sb2dpbj91cmw9aHR0
cDovL3NlYXJjaC5wcm9xdWVzdC5jb20vZG9jdmlldy8yMzU3MDkwMjU/YWNjb3VudGlkPTE1MTEy
PC91cmw+PHVybD5odHRwOi8vZXk5ZmY3amI2bC5zZWFyY2guc2VyaWFsc3NvbHV0aW9ucy5jb20v
P2N0eF92ZXI9WjM5Ljg4LTIwMDQmYW1wO2N0eF9lbmM9aW5mbzpvZmkvZW5jOlVURi04JmFtcDty
ZnJfaWQ9aW5mbzpzaWQvUHJvUSUzQWFzaWFuYnVzaW5lc3MmYW1wO3JmdF92YWxfZm10PWluZm86
b2ZpL2ZtdDprZXY6bXR4OmpvdXJuYWwmYW1wO3JmdC5nZW5yZT1hcnRpY2xlJmFtcDtyZnQuanRp
dGxlPU1lZGljYWwrSm91cm5hbCtvZitBdXN0cmFsaWEmYW1wO3JmdC5hdGl0bGU9VGhlK2luY2lk
ZW5jZSthbmQrY29zdCtvZithZHZlcnNlK2V2ZW50cytpbitWaWN0b3JpYW4raG9zcGl0YWxzKzIw
MDMtMDQmYW1wO3JmdC5hdT1FaHNhbmklMkMrSm9uYXRob24rUCUzQkphY2tzb24lMkMrVGVycmkl
M0JEdWNrZXR0JTJDK1N0ZXBoZW4rSiZhbXA7cmZ0LmF1bGFzdD1FaHNhbmkmYW1wO3JmdC5hdWZp
cnN0PUpvbmF0aG9uJmFtcDtyZnQuZGF0ZT0yMDA2LTA2LTA1JmFtcDtyZnQudm9sdW1lPTE4NCZh
bXA7cmZ0Lmlzc3VlPTExJmFtcDtyZnQuc3BhZ2U9NTUxJmFtcDtyZnQuaXNibj0mYW1wO3JmdC5i
dGl0bGU9JmFtcDtyZnQudGl0bGU9TWVkaWNhbCtKb3VybmFsK29mK0F1c3RyYWxpYSZhbXA7cmZ0
Lmlzc249MDAyNTcyOVg8L3VybD48L3JlbGF0ZWQtdXJscz48L3VybHM+PHJlbW90ZS1kYXRhYmFz
ZS1uYW1lPlByb1F1ZXN0IENlbnRyYWw8L3JlbW90ZS1kYXRhYmFzZS1uYW1lPjxsYW5ndWFnZT5F
bmdsaXNoPC9sYW5ndWFnZT48L3JlY29yZD48L0NpdGU+PC9FbmROb3RlPn==
</w:fldData>
          </w:fldChar>
        </w:r>
        <w:r w:rsidR="00C33CAE">
          <w:instrText xml:space="preserve"> ADDIN EN.CITE </w:instrText>
        </w:r>
        <w:r w:rsidR="00C33CAE">
          <w:fldChar w:fldCharType="begin">
            <w:fldData xml:space="preserve">PEVuZE5vdGU+PENpdGU+PEF1dGhvcj5FaHNhbmk8L0F1dGhvcj48WWVhcj4yMDA2PC9ZZWFyPjxS
ZWNOdW0+MTA4PC9SZWNOdW0+PERpc3BsYXlUZXh0PkVoc2FuaSwgSmFja3NvbiwgJmFtcDsgRHVj
a2V0dCwgMjAwNjwvRGlzcGxheVRleHQ+PHJlY29yZD48cmVjLW51bWJlcj4xMDg8L3JlYy1udW1i
ZXI+PGZvcmVpZ24ta2V5cz48a2V5IGFwcD0iRU4iIGRiLWlkPSI5MnRmdHQ1djJhcnhkNmU5d3py
NTB3MncwcnowZXB4MDk5ZnQiIHRpbWVzdGFtcD0iMTM3ODk1MTk1NSI+MTA4PC9rZXk+PC9mb3Jl
aWduLWtleXM+PHJlZi10eXBlIG5hbWU9IkpvdXJuYWwgQXJ0aWNsZSI+MTc8L3JlZi10eXBlPjxj
b250cmlidXRvcnM+PGF1dGhvcnM+PGF1dGhvcj5FaHNhbmksIEpvbmF0aG9uIFAuPC9hdXRob3I+
PGF1dGhvcj5KYWNrc29uLCBUZXJyaTwvYXV0aG9yPjxhdXRob3I+RHVja2V0dCwgU3RlcGhlbiBK
LjwvYXV0aG9yPjwvYXV0aG9ycz48L2NvbnRyaWJ1dG9ycz48dGl0bGVzPjx0aXRsZT5UaGUgaW5j
aWRlbmNlIGFuZCBjb3N0IG9mIGFkdmVyc2UgZXZlbnRzIGluIFZpY3RvcmlhbiBob3NwaXRhbHMg
MjAwMy0wNDwvdGl0bGU+PHNlY29uZGFyeS10aXRsZT5NZWRpY2FsIEpvdXJuYWwgb2YgQXVzdHJh
bGlhPC9zZWNvbmRhcnktdGl0bGU+PC90aXRsZXM+PHBlcmlvZGljYWw+PGZ1bGwtdGl0bGU+TWVk
aWNhbCBKb3VybmFsIG9mIEF1c3RyYWxpYTwvZnVsbC10aXRsZT48L3BlcmlvZGljYWw+PHBhZ2Vz
PjU1MS01PC9wYWdlcz48dm9sdW1lPjE4NDwvdm9sdW1lPjxudW1iZXI+MTE8L251bWJlcj48a2V5
d29yZHM+PGtleXdvcmQ+TWVkaWNhbCBTY2llbmNlczwva2V5d29yZD48a2V5d29yZD5BZ2UgRmFj
dG9yczwva2V5d29yZD48a2V5d29yZD5IdW1hbnM8L2tleXdvcmQ+PGtleXdvcmQ+TGluZWFyIE1v
ZGVsczwva2V5d29yZD48a2V5d29yZD5JbmZhbnQsIE5ld2Jvcm48L2tleXdvcmQ+PGtleXdvcmQ+
QWdlZDwva2V5d29yZD48a2V5d29yZD5BZ2VkLCA4MCAmYW1wOyBvdmVyPC9rZXl3b3JkPjxrZXl3
b3JkPkNoaWxkPC9rZXl3b3JkPjxrZXl3b3JkPkNoaWxkLCBQcmVzY2hvb2w8L2tleXdvcmQ+PGtl
eXdvcmQ+SW5mYW50PC9rZXl3b3JkPjxrZXl3b3JkPkxlbmd0aCBvZiBTdGF5IC0tIHN0YXRpc3Rp
Y3MgJmFtcDsgbnVtZXJpY2FsIGRhdGE8L2tleXdvcmQ+PGtleXdvcmQ+SG9zcGl0YWwgTW9ydGFs
aXR5PC9rZXl3b3JkPjxrZXl3b3JkPkFkdWx0PC9rZXl3b3JkPjxrZXl3b3JkPlJpc2sgTWFuYWdl
bWVudDwva2V5d29yZD48a2V5d29yZD5MZW5ndGggb2YgU3RheSAtLSBlY29ub21pY3M8L2tleXdv
cmQ+PGtleXdvcmQ+SW5jaWRlbmNlPC9rZXl3b3JkPjxrZXl3b3JkPk1pZGRsZSBBZ2VkPC9rZXl3
b3JkPjxrZXl3b3JkPkF1c3RyYWxpYTwva2V5d29yZD48a2V5d29yZD5BZG9sZXNjZW50PC9rZXl3
b3JkPjxrZXl3b3JkPkhvc3BpdGFsIENvc3RzIC0tIHN0YXRpc3RpY3MgJmFtcDsgbnVtZXJpY2Fs
IGRhdGE8L2tleXdvcmQ+PGtleXdvcmQ+RGlhZ25vc2lzLVJlbGF0ZWQgR3JvdXBzPC9rZXl3b3Jk
PjxrZXl3b3JkPk1lZGljYWwgRXJyb3JzIC0tIHN0YXRpc3RpY3MgJmFtcDsgbnVtZXJpY2FsIGRh
dGE8L2tleXdvcmQ+PGtleXdvcmQ+TWVkaWNhbCBFcnJvcnMgLS0gZWNvbm9taWNzPC9rZXl3b3Jk
Pjwva2V5d29yZHM+PGRhdGVzPjx5ZWFyPjIwMDY8L3llYXI+PHB1Yi1kYXRlcz48ZGF0ZT4yMDA2
IEp1biAwNTwvZGF0ZT48L3B1Yi1kYXRlcz48L2RhdGVzPjxwdWItbG9jYXRpb24+UHlybW9udDwv
cHViLWxvY2F0aW9uPjxwdWJsaXNoZXI+QXVzdHJhbGFzaWFuIE1lZGljYWwgUHVibGlzaGluZyBD
b21wYW55IFByb3ByaWV0YXJ5LCBMdGQuPC9wdWJsaXNoZXI+PGlzYm4+MDAyNTcyOVg8L2lzYm4+
PGFjY2Vzc2lvbi1udW0+MjM1NzA5MDI1OyAxNjc2ODY2MDwvYWNjZXNzaW9uLW51bT48dXJscz48
cmVsYXRlZC11cmxzPjx1cmw+aHR0cDovL2V6cHJveHkudW93LmVkdS5hdS9sb2dpbj91cmw9aHR0
cDovL3NlYXJjaC5wcm9xdWVzdC5jb20vZG9jdmlldy8yMzU3MDkwMjU/YWNjb3VudGlkPTE1MTEy
PC91cmw+PHVybD5odHRwOi8vZXk5ZmY3amI2bC5zZWFyY2guc2VyaWFsc3NvbHV0aW9ucy5jb20v
P2N0eF92ZXI9WjM5Ljg4LTIwMDQmYW1wO2N0eF9lbmM9aW5mbzpvZmkvZW5jOlVURi04JmFtcDty
ZnJfaWQ9aW5mbzpzaWQvUHJvUSUzQWFzaWFuYnVzaW5lc3MmYW1wO3JmdF92YWxfZm10PWluZm86
b2ZpL2ZtdDprZXY6bXR4OmpvdXJuYWwmYW1wO3JmdC5nZW5yZT1hcnRpY2xlJmFtcDtyZnQuanRp
dGxlPU1lZGljYWwrSm91cm5hbCtvZitBdXN0cmFsaWEmYW1wO3JmdC5hdGl0bGU9VGhlK2luY2lk
ZW5jZSthbmQrY29zdCtvZithZHZlcnNlK2V2ZW50cytpbitWaWN0b3JpYW4raG9zcGl0YWxzKzIw
MDMtMDQmYW1wO3JmdC5hdT1FaHNhbmklMkMrSm9uYXRob24rUCUzQkphY2tzb24lMkMrVGVycmkl
M0JEdWNrZXR0JTJDK1N0ZXBoZW4rSiZhbXA7cmZ0LmF1bGFzdD1FaHNhbmkmYW1wO3JmdC5hdWZp
cnN0PUpvbmF0aG9uJmFtcDtyZnQuZGF0ZT0yMDA2LTA2LTA1JmFtcDtyZnQudm9sdW1lPTE4NCZh
bXA7cmZ0Lmlzc3VlPTExJmFtcDtyZnQuc3BhZ2U9NTUxJmFtcDtyZnQuaXNibj0mYW1wO3JmdC5i
dGl0bGU9JmFtcDtyZnQudGl0bGU9TWVkaWNhbCtKb3VybmFsK29mK0F1c3RyYWxpYSZhbXA7cmZ0
Lmlzc249MDAyNTcyOVg8L3VybD48L3JlbGF0ZWQtdXJscz48L3VybHM+PHJlbW90ZS1kYXRhYmFz
ZS1uYW1lPlByb1F1ZXN0IENlbnRyYWw8L3JlbW90ZS1kYXRhYmFzZS1uYW1lPjxsYW5ndWFnZT5F
bmdsaXNoPC9sYW5ndWFnZT48L3JlY29yZD48L0NpdGU+PC9FbmROb3RlPn==
</w:fldData>
          </w:fldChar>
        </w:r>
        <w:r w:rsidR="00C33CAE">
          <w:instrText xml:space="preserve"> ADDIN EN.CITE.DATA </w:instrText>
        </w:r>
        <w:r w:rsidR="00C33CAE">
          <w:fldChar w:fldCharType="end"/>
        </w:r>
        <w:r w:rsidR="00C33CAE">
          <w:fldChar w:fldCharType="separate"/>
        </w:r>
        <w:r w:rsidR="00C33CAE">
          <w:rPr>
            <w:noProof/>
          </w:rPr>
          <w:t>Ehsani, Jackson, &amp; Duckett, 2006</w:t>
        </w:r>
        <w:r w:rsidR="00C33CAE">
          <w:fldChar w:fldCharType="end"/>
        </w:r>
      </w:hyperlink>
      <w:r>
        <w:t xml:space="preserve">) estimated that </w:t>
      </w:r>
      <w:r w:rsidRPr="001A3E71">
        <w:t xml:space="preserve">adverse events </w:t>
      </w:r>
      <w:r>
        <w:t xml:space="preserve">accounted for </w:t>
      </w:r>
      <w:r w:rsidRPr="001A3E71">
        <w:t>18.6% of the total inpatient hospital budget</w:t>
      </w:r>
      <w:r>
        <w:t xml:space="preserve"> in Victorian hospitals in 2003-04.</w:t>
      </w:r>
    </w:p>
    <w:p w:rsidR="007718C7" w:rsidRDefault="007718C7" w:rsidP="000044F6">
      <w:pPr>
        <w:pStyle w:val="Stageheading"/>
      </w:pPr>
      <w:bookmarkStart w:id="11" w:name="_Toc374114576"/>
      <w:r>
        <w:t>Implications for</w:t>
      </w:r>
      <w:r w:rsidRPr="00065043">
        <w:t xml:space="preserve"> activity based funding (ABF)</w:t>
      </w:r>
      <w:bookmarkEnd w:id="11"/>
    </w:p>
    <w:p w:rsidR="007718C7" w:rsidRPr="00065043" w:rsidRDefault="007718C7" w:rsidP="00BF4EFB">
      <w:r w:rsidRPr="00065043">
        <w:t xml:space="preserve">On 1 July 2012, a national system of ABF was introduced for the funding of Australian hospitals. For acute admitted patient care, the system is based on weights (National Weighted Activity Units or NWAUs) developed for </w:t>
      </w:r>
      <w:r>
        <w:t>AR-DRGs</w:t>
      </w:r>
      <w:r w:rsidRPr="00065043">
        <w:t xml:space="preserve">, including adjustments for a range </w:t>
      </w:r>
      <w:r w:rsidRPr="00065043">
        <w:lastRenderedPageBreak/>
        <w:t xml:space="preserve">of factors, such as patients staying much shorter or longer than expected within a DRG. The resulting weight for each patient episode is then multiplied by the National Efficient Price, which will ultimately be used to determine the Commonwealth component of funding to </w:t>
      </w:r>
      <w:r>
        <w:t xml:space="preserve">public </w:t>
      </w:r>
      <w:r w:rsidRPr="00065043">
        <w:t>hospitals.</w:t>
      </w:r>
    </w:p>
    <w:p w:rsidR="007718C7" w:rsidRPr="00065043" w:rsidRDefault="007718C7" w:rsidP="00BF4EFB">
      <w:r w:rsidRPr="00065043">
        <w:t xml:space="preserve">The payment system does not incorporate a </w:t>
      </w:r>
      <w:r>
        <w:t xml:space="preserve">specific </w:t>
      </w:r>
      <w:r w:rsidRPr="00065043">
        <w:t>quality dimension – all episodes are included in the development of the NWAUs, and all</w:t>
      </w:r>
      <w:r>
        <w:t xml:space="preserve"> episodes in scope are paid for, </w:t>
      </w:r>
      <w:r w:rsidRPr="005B5AD5">
        <w:t>which includes the entire spectrum of quality of care delivered.</w:t>
      </w:r>
    </w:p>
    <w:p w:rsidR="007718C7" w:rsidRPr="00065043" w:rsidRDefault="007718C7" w:rsidP="00BF4EFB">
      <w:r w:rsidRPr="00065043">
        <w:t>Internationally, there have been efforts in recent years to adjust hospital funding based on the quality of care provided by the hospital. A variety of approaches ha</w:t>
      </w:r>
      <w:r>
        <w:t>s</w:t>
      </w:r>
      <w:r w:rsidRPr="00065043">
        <w:t xml:space="preserve"> been used by different countries and payers. One of these approaches is to identify any component of care provided to an admitted patient that was suboptimal (i.e. resulting in an adverse event or the patient acquiring a condition that could have been prevented with better care), and to withhold or reduce payment for that component.</w:t>
      </w:r>
    </w:p>
    <w:p w:rsidR="007718C7" w:rsidRPr="00065043" w:rsidRDefault="007718C7" w:rsidP="00BF4EFB">
      <w:r w:rsidRPr="00065043">
        <w:t xml:space="preserve">The Commission and IHPA jointly commissioned a systematic review of the literature on this issue.  </w:t>
      </w:r>
      <w:r>
        <w:t>The review</w:t>
      </w:r>
      <w:r w:rsidRPr="00065043">
        <w:t xml:space="preserve"> found evidence for material impact on the outcomes of care of the introduction of payment systems incorporating a quality component</w:t>
      </w:r>
      <w:r>
        <w:t xml:space="preserve"> was lacking</w:t>
      </w:r>
      <w:r w:rsidRPr="00065043">
        <w:t xml:space="preserve">.  </w:t>
      </w:r>
      <w:r>
        <w:t xml:space="preserve">The review suggested there was </w:t>
      </w:r>
      <w:r w:rsidRPr="00065043">
        <w:t xml:space="preserve">evidence for the impact of </w:t>
      </w:r>
      <w:r w:rsidR="00404A84">
        <w:t xml:space="preserve">providing </w:t>
      </w:r>
      <w:r w:rsidRPr="00065043">
        <w:t>relevant and timely data and information for driving safety and quality improvements.</w:t>
      </w:r>
    </w:p>
    <w:p w:rsidR="007718C7" w:rsidRDefault="007718C7" w:rsidP="00BF4EFB">
      <w:r w:rsidRPr="00B51CF7">
        <w:t xml:space="preserve">It is this finding which has led the Commission and IHPA to commission the current study. </w:t>
      </w:r>
      <w:r>
        <w:t>U</w:t>
      </w:r>
      <w:r w:rsidRPr="00065043">
        <w:t>nderstanding the interaction</w:t>
      </w:r>
      <w:r>
        <w:t xml:space="preserve"> of the</w:t>
      </w:r>
      <w:r w:rsidRPr="00065043">
        <w:t xml:space="preserve"> effects of ABF and the Commission’s efforts to achieve national standards for safety and quality is important, at least in these initial years of ABF implementation in Australia.</w:t>
      </w:r>
      <w:r>
        <w:t xml:space="preserve">  </w:t>
      </w:r>
    </w:p>
    <w:p w:rsidR="007718C7" w:rsidRDefault="007718C7" w:rsidP="00BF4EFB">
      <w:r>
        <w:t>This study provides some insights into the implications of approaches that attempt to include a quality dimension into the ABF systems.  The broad approaches available include:</w:t>
      </w:r>
    </w:p>
    <w:p w:rsidR="007718C7" w:rsidRPr="00C224FC" w:rsidRDefault="007718C7" w:rsidP="00BF4EFB">
      <w:pPr>
        <w:pStyle w:val="ListParagraph"/>
        <w:numPr>
          <w:ilvl w:val="0"/>
          <w:numId w:val="36"/>
        </w:numPr>
        <w:ind w:left="714" w:hanging="357"/>
        <w:contextualSpacing w:val="0"/>
      </w:pPr>
      <w:r w:rsidRPr="00C224FC">
        <w:rPr>
          <w:b/>
        </w:rPr>
        <w:t>Excluding hospital-acquired complications in the AR-DRG assignment</w:t>
      </w:r>
      <w:r w:rsidRPr="00C224FC">
        <w:t xml:space="preserve">, so that they do not impact on the patient’s DRG (including changing this to a higher cost DRG in a small proportion of episodes).  This means that the price payable to the hospital would reflect the average costs of providing care across episodes complicated by hospital-acquired conditions and those with no hospital-acquired conditions. This approach involves changes only to the AR-DRG assignment processes, but otherwise the setting of prices by IHPA would be undertaken in an identical fashion to present.  Under this approach, hospitals with lower than average hospital-acquired diagnoses would receive the same funding as hospitals with higher than average numbers of hospital-acquired diagnoses.  This study has indicated that taking this approach would impact AR-DRG assignment for around 3% of episodes.  This approach might have a range of impacts on NWAUs, including the base weights applied, but also how short and long stay outliers are identified and weighted. </w:t>
      </w:r>
    </w:p>
    <w:p w:rsidR="007718C7" w:rsidRPr="00C224FC" w:rsidRDefault="007718C7" w:rsidP="00BF4EFB">
      <w:pPr>
        <w:pStyle w:val="ListParagraph"/>
        <w:numPr>
          <w:ilvl w:val="0"/>
          <w:numId w:val="36"/>
        </w:numPr>
        <w:ind w:left="714" w:hanging="357"/>
        <w:contextualSpacing w:val="0"/>
      </w:pPr>
      <w:r w:rsidRPr="00C224FC">
        <w:rPr>
          <w:b/>
        </w:rPr>
        <w:t xml:space="preserve">Excluding a subset of hospital-acquired complications in the AR-DRG assignment. </w:t>
      </w:r>
      <w:r w:rsidRPr="00C224FC">
        <w:t xml:space="preserve"> A variation on the first approach is that a subset of hospital-acquired conditions could be ignored in the AR-DRG assignment, where there is good evidence concerning the preventability of the complications. This is effectively the model adopted by US Medicare.</w:t>
      </w:r>
    </w:p>
    <w:p w:rsidR="007718C7" w:rsidRPr="00C224FC" w:rsidRDefault="007718C7" w:rsidP="005515D5">
      <w:pPr>
        <w:pStyle w:val="ListParagraph"/>
        <w:numPr>
          <w:ilvl w:val="0"/>
          <w:numId w:val="36"/>
        </w:numPr>
        <w:ind w:left="714" w:hanging="357"/>
        <w:contextualSpacing w:val="0"/>
      </w:pPr>
      <w:r w:rsidRPr="00C224FC">
        <w:rPr>
          <w:b/>
        </w:rPr>
        <w:lastRenderedPageBreak/>
        <w:t>Excluding the costs of hospital-acquired complications, in calculating the NWAU for each AR-DRG.</w:t>
      </w:r>
      <w:r w:rsidRPr="00C224FC">
        <w:t xml:space="preserve">  This means that the price payable to hospitals would reflect the average costs of providing uncomplicated care and the prices would not incorporate the additional costs of managing hospital-acquired conditions.  This approach requires estimation and exclusion of costs associated with hospital-acquired complications.  This study indicates that in taking this approach, up to 15% of costs would be excluded in calculating prices, if the costs of all hospital-acquired conditions were excluded.  A lower proportion would apply if the approach was taken to a subset of hospital-acquired conditions where there was good evidence concerning preventability.  The study also highlights that there are significant methodological challenges that impact the estimate</w:t>
      </w:r>
      <w:r w:rsidR="00404A84">
        <w:t>s</w:t>
      </w:r>
      <w:r w:rsidRPr="00C224FC">
        <w:t xml:space="preserve"> of hospital-acquired conditions on cost.  Having a stable and well-validated basis for excluding costs would be necessary prior to implementation. </w:t>
      </w:r>
    </w:p>
    <w:p w:rsidR="007718C7" w:rsidRPr="00065043" w:rsidRDefault="007718C7" w:rsidP="00DA0C8B">
      <w:pPr>
        <w:pStyle w:val="Stageheading"/>
      </w:pPr>
      <w:bookmarkStart w:id="12" w:name="_Toc374114577"/>
      <w:r>
        <w:t>What is the potential for hospitals to use the COF for monitoring patient safety?</w:t>
      </w:r>
      <w:bookmarkEnd w:id="12"/>
    </w:p>
    <w:p w:rsidR="007718C7" w:rsidRDefault="007718C7" w:rsidP="000044F6">
      <w:r>
        <w:t>Although the primary objective of this project was to assess the impact of hospital</w:t>
      </w:r>
      <w:r>
        <w:noBreakHyphen/>
        <w:t xml:space="preserve">acquired diagnoses on length of stay and cost, it is worth mentioning the value of this work for monitoring patient safety at the local level.  The use of the COF for this purpose offers the health care system an efficient means of monitoring these issues, as it uses data collected for other purposes to screen for quality and safety issues. Other similar systems that are used within the Australian health care system are the Commission’s core, hospital based outcome indicators (CHBOI) and Queensland’s variable life adjusted display (VLAD) system (although the former is applied as a global indication of safety).  </w:t>
      </w:r>
      <w:r w:rsidRPr="005027FD">
        <w:t xml:space="preserve">Vincent et al. </w:t>
      </w:r>
      <w:r>
        <w:t>(</w:t>
      </w:r>
      <w:hyperlink w:anchor="_ENREF_31" w:tooltip="Vincent, 2008 #117" w:history="1">
        <w:r w:rsidR="00C33CAE">
          <w:fldChar w:fldCharType="begin"/>
        </w:r>
        <w:r w:rsidR="00C33CAE">
          <w:instrText xml:space="preserve"> ADDIN EN.CITE &lt;EndNote&gt;&lt;Cite ExcludeAuth="1"&gt;&lt;Author&gt;Vincent&lt;/Author&gt;&lt;Year&gt;2008&lt;/Year&gt;&lt;RecNum&gt;117&lt;/RecNum&gt;&lt;DisplayText&gt;2008&lt;/DisplayText&gt;&lt;record&gt;&lt;rec-number&gt;117&lt;/rec-number&gt;&lt;foreign-keys&gt;&lt;key app="EN" db-id="92tftt5v2arxd6e9wzr50w2w0rz0epx099ft" timestamp="1379314764"&gt;117&lt;/key&gt;&lt;/foreign-keys&gt;&lt;ref-type name="Journal Article"&gt;17&lt;/ref-type&gt;&lt;contributors&gt;&lt;authors&gt;&lt;author&gt;Vincent, C.&lt;/author&gt;&lt;author&gt;Aylin, P.&lt;/author&gt;&lt;author&gt;Franklin, B. D.&lt;/author&gt;&lt;author&gt;Holmes, A.&lt;/author&gt;&lt;author&gt;Iskander, S.&lt;/author&gt;&lt;author&gt;Jacklin, A.&lt;/author&gt;&lt;author&gt;Moorthy, K.&lt;/author&gt;&lt;/authors&gt;&lt;/contributors&gt;&lt;auth-address&gt;Imperial Centre for Patient Safety and Service Quality, Department of Biosurgery and Technology, St Mary&amp;apos;s Hospital, London W2 1NY. c.vincent@imperial.ac.uk&lt;/auth-address&gt;&lt;titles&gt;&lt;title&gt;Is health care getting safer?&lt;/title&gt;&lt;secondary-title&gt;BMJ&lt;/secondary-title&gt;&lt;/titles&gt;&lt;periodical&gt;&lt;full-title&gt;BMJ&lt;/full-title&gt;&lt;/periodical&gt;&lt;pages&gt;a2426&lt;/pages&gt;&lt;volume&gt;337&lt;/volume&gt;&lt;edition&gt;2008/11/15&lt;/edition&gt;&lt;keywords&gt;&lt;keyword&gt;Cross Infection/etiology&lt;/keyword&gt;&lt;keyword&gt;Delivery of Health Care/*standards&lt;/keyword&gt;&lt;keyword&gt;Drug Toxicity&lt;/keyword&gt;&lt;keyword&gt;Health Policy&lt;/keyword&gt;&lt;keyword&gt;Hospital Mortality&lt;/keyword&gt;&lt;keyword&gt;*Hospitalization&lt;/keyword&gt;&lt;keyword&gt;Humans&lt;/keyword&gt;&lt;keyword&gt;Medication Errors&lt;/keyword&gt;&lt;keyword&gt;*Safety&lt;/keyword&gt;&lt;keyword&gt;Safety Management&lt;/keyword&gt;&lt;keyword&gt;Surgical Procedures, Operative/mortality&lt;/keyword&gt;&lt;/keywords&gt;&lt;dates&gt;&lt;year&gt;2008&lt;/year&gt;&lt;/dates&gt;&lt;isbn&gt;1756-1833 (Electronic)&amp;#xD;0959-535X (Linking)&lt;/isbn&gt;&lt;accession-num&gt;19008272&lt;/accession-num&gt;&lt;urls&gt;&lt;related-urls&gt;&lt;url&gt;http://www.ncbi.nlm.nih.gov/pubmed/19008272&lt;/url&gt;&lt;/related-urls&gt;&lt;/urls&gt;&lt;electronic-resource-num&gt;10.1136/bmj.a2426&lt;/electronic-resource-num&gt;&lt;language&gt;eng&lt;/language&gt;&lt;/record&gt;&lt;/Cite&gt;&lt;/EndNote&gt;</w:instrText>
        </w:r>
        <w:r w:rsidR="00C33CAE">
          <w:fldChar w:fldCharType="separate"/>
        </w:r>
        <w:r w:rsidR="00C33CAE">
          <w:rPr>
            <w:noProof/>
          </w:rPr>
          <w:t>2008</w:t>
        </w:r>
        <w:r w:rsidR="00C33CAE">
          <w:fldChar w:fldCharType="end"/>
        </w:r>
      </w:hyperlink>
      <w:r>
        <w:t>) assert that the health system move “</w:t>
      </w:r>
      <w:r w:rsidRPr="005027FD">
        <w:rPr>
          <w:i/>
        </w:rPr>
        <w:t>away from unsystematic voluntary reporting towards systematic measurement</w:t>
      </w:r>
      <w:r>
        <w:t>”. They advocate “</w:t>
      </w:r>
      <w:r w:rsidRPr="005027FD">
        <w:rPr>
          <w:i/>
        </w:rPr>
        <w:t>a broad but manageable spectrum of indicators that are genuinely useful to the clinical teams that monitor quality and safety day to day</w:t>
      </w:r>
      <w:r>
        <w:t xml:space="preserve">”, </w:t>
      </w:r>
      <w:r w:rsidRPr="005027FD">
        <w:rPr>
          <w:i/>
        </w:rPr>
        <w:t>using “local data that are relevant to clinical concerns . . . how a team is doing compared with last month and last year</w:t>
      </w:r>
      <w:r>
        <w:t xml:space="preserve">” (cited in </w:t>
      </w:r>
      <w:hyperlink w:anchor="_ENREF_20" w:tooltip="Jackson, 2009 #16" w:history="1">
        <w:r w:rsidR="00C33CAE">
          <w:fldChar w:fldCharType="begin">
            <w:fldData xml:space="preserve">PEVuZE5vdGU+PENpdGU+PEF1dGhvcj5KYWNrc29uPC9BdXRob3I+PFllYXI+MjAwOTwvWWVhcj48
UmVjTnVtPjE2PC9SZWNOdW0+PERpc3BsYXlUZXh0PkphY2tzb24sIE1pY2hlbCwgUm9iZXJ0cywg
Sm9ybSwgJmFtcDsgV2FrZWZpZWxkLCAyMDA5PC9EaXNwbGF5VGV4dD48cmVjb3JkPjxyZWMtbnVt
YmVyPjE2PC9yZWMtbnVtYmVyPjxmb3JlaWduLWtleXM+PGtleSBhcHA9IkVOIiBkYi1pZD0iOTJ0
ZnR0NXYyYXJ4ZDZlOXd6cjUwdzJ3MHJ6MGVweDA5OWZ0IiB0aW1lc3RhbXA9IjEzNzQ0NzU1NDEi
PjE2PC9rZXk+PC9mb3JlaWduLWtleXM+PHJlZi10eXBlIG5hbWU9IkpvdXJuYWwgQXJ0aWNsZSI+
MTc8L3JlZi10eXBlPjxjb250cmlidXRvcnM+PGF1dGhvcnM+PGF1dGhvcj5KYWNrc29uLCBUPC9h
dXRob3I+PGF1dGhvcj5NaWNoZWwsIEouIEw8L2F1dGhvcj48YXV0aG9yPlJvYmVydHMsIFIuIEY8
L2F1dGhvcj48YXV0aG9yPkpvcm0sIEMuIE08L2F1dGhvcj48YXV0aG9yPldha2VmaWVsZCwgSi4g
RzwvYXV0aG9yPjwvYXV0aG9ycz48L2NvbnRyaWJ1dG9ycz48YXV0aC1hZGRyZXNzPkF1c3RyYWxp
YW4gQ2VudHJlIGZvciBFY29ub21pYyBSZXNlYXJjaCBvbiBIZWFsdGgsIFVuaXZlcnNpdHkgb2Yg
UXVlZW5zbGFuZCwgQnJpc2JhbmUsIFFMRCwgQXVzdHJhbGlhLiB0LmphY2tzb25AdXEuZWR1LmF1
PC9hdXRoLWFkZHJlc3M+PHRpdGxlcz48dGl0bGU+QSBjbGFzc2lmaWNhdGlvbiBvZiBob3NwaXRh
bC1hY3F1aXJlZCBkaWFnbm9zZXMgZm9yIHVzZSB3aXRoIHJvdXRpbmUgaG9zcGl0YWwgZGF0YTwv
dGl0bGU+PHNlY29uZGFyeS10aXRsZT5NZWQgSiBBdXN0PC9zZWNvbmRhcnktdGl0bGU+PGFsdC10
aXRsZT5UaGUgTWVkaWNhbCBqb3VybmFsIG9mIEF1c3RyYWxpYTwvYWx0LXRpdGxlPjwvdGl0bGVz
PjxwZXJpb2RpY2FsPjxmdWxsLXRpdGxlPk1lZCBKIEF1c3Q8L2Z1bGwtdGl0bGU+PGFiYnItMT5U
aGUgTWVkaWNhbCBqb3VybmFsIG9mIEF1c3RyYWxpYTwvYWJici0xPjwvcGVyaW9kaWNhbD48YWx0
LXBlcmlvZGljYWw+PGZ1bGwtdGl0bGU+TWVkIEogQXVzdDwvZnVsbC10aXRsZT48YWJici0xPlRo
ZSBNZWRpY2FsIGpvdXJuYWwgb2YgQXVzdHJhbGlhPC9hYmJyLTE+PC9hbHQtcGVyaW9kaWNhbD48
cGFnZXM+NTQ0LTg8L3BhZ2VzPjx2b2x1bWU+MTkxPC92b2x1bWU+PG51bWJlcj4xMDwvbnVtYmVy
PjxlZGl0aW9uPjIwMDkvMTEvMTc8L2VkaXRpb24+PGtleXdvcmRzPjxrZXl3b3JkPkZlbWFsZTwv
a2V5d29yZD48a2V5d29yZD5Gb3JtcyBhbmQgUmVjb3JkcyBDb250cm9sL2NsYXNzaWZpY2F0aW9u
PC9rZXl3b3JkPjxrZXl3b3JkPkhvc3BpdGFsaXphdGlvbi8qc3RhdGlzdGljcyAmYW1wOyBudW1l
cmljYWwgZGF0YTwva2V5d29yZD48a2V5d29yZD5IdW1hbnM8L2tleXdvcmQ+PGtleXdvcmQ+Kklh
dHJvZ2VuaWMgRGlzZWFzZTwva2V5d29yZD48a2V5d29yZD5JbnRlcm5hdGlvbmFsIENsYXNzaWZp
Y2F0aW9uIG9mIERpc2Vhc2VzLypjbGFzc2lmaWNhdGlvbjwva2V5d29yZD48a2V5d29yZD5NYWxl
PC9rZXl3b3JkPjxrZXl3b3JkPk1lZGljYWwgRXJyb3JzL2NsYXNzaWZpY2F0aW9uPC9rZXl3b3Jk
PjxrZXl3b3JkPk1lZGljYWwgUmVjb3Jkcy8qY2xhc3NpZmljYXRpb248L2tleXdvcmQ+PGtleXdv
cmQ+UG9zdG9wZXJhdGl2ZSBDb21wbGljYXRpb25zL2NsYXNzaWZpY2F0aW9uPC9rZXl3b3JkPjxr
ZXl3b3JkPlByZWduYW5jeTwva2V5d29yZD48a2V5d29yZD5QcmVnbmFuY3kgQ29tcGxpY2F0aW9u
cy9jbGFzc2lmaWNhdGlvbjwva2V5d29yZD48a2V5d29yZD5RdWFsaXR5IEluZGljYXRvcnMsIEhl
YWx0aCBDYXJlLypvcmdhbml6YXRpb24gJmFtcDsgYWRtaW5pc3RyYXRpb248L2tleXdvcmQ+PGtl
eXdvcmQ+UmV0cm9zcGVjdGl2ZSBTdHVkaWVzPC9rZXl3b3JkPjxrZXl3b3JkPlZpY3RvcmlhPC9r
ZXl3b3JkPjwva2V5d29yZHM+PGRhdGVzPjx5ZWFyPjIwMDk8L3llYXI+PHB1Yi1kYXRlcz48ZGF0
ZT5Ob3YgMTY8L2RhdGU+PC9wdWItZGF0ZXM+PC9kYXRlcz48aXNibj4wMDI1LTcyOVggKFByaW50
KSYjeEQ7MDAyNS03MjlYIChMaW5raW5nKTwvaXNibj48YWNjZXNzaW9uLW51bT4xOTkxMjA4Njwv
YWNjZXNzaW9uLW51bT48dXJscz48cmVsYXRlZC11cmxzPjx1cmw+aHR0cDovL3d3dy5uY2JpLm5s
bS5uaWguZ292L3B1Ym1lZC8xOTkxMjA4NjwvdXJsPjwvcmVsYXRlZC11cmxzPjwvdXJscz48bGFu
Z3VhZ2U+ZW5nPC9sYW5ndWFnZT48L3JlY29yZD48L0NpdGU+PC9FbmROb3RlPgB=
</w:fldData>
          </w:fldChar>
        </w:r>
        <w:r w:rsidR="00C33CAE">
          <w:instrText xml:space="preserve"> ADDIN EN.CITE </w:instrText>
        </w:r>
        <w:r w:rsidR="00C33CAE">
          <w:fldChar w:fldCharType="begin">
            <w:fldData xml:space="preserve">PEVuZE5vdGU+PENpdGU+PEF1dGhvcj5KYWNrc29uPC9BdXRob3I+PFllYXI+MjAwOTwvWWVhcj48
UmVjTnVtPjE2PC9SZWNOdW0+PERpc3BsYXlUZXh0PkphY2tzb24sIE1pY2hlbCwgUm9iZXJ0cywg
Sm9ybSwgJmFtcDsgV2FrZWZpZWxkLCAyMDA5PC9EaXNwbGF5VGV4dD48cmVjb3JkPjxyZWMtbnVt
YmVyPjE2PC9yZWMtbnVtYmVyPjxmb3JlaWduLWtleXM+PGtleSBhcHA9IkVOIiBkYi1pZD0iOTJ0
ZnR0NXYyYXJ4ZDZlOXd6cjUwdzJ3MHJ6MGVweDA5OWZ0IiB0aW1lc3RhbXA9IjEzNzQ0NzU1NDEi
PjE2PC9rZXk+PC9mb3JlaWduLWtleXM+PHJlZi10eXBlIG5hbWU9IkpvdXJuYWwgQXJ0aWNsZSI+
MTc8L3JlZi10eXBlPjxjb250cmlidXRvcnM+PGF1dGhvcnM+PGF1dGhvcj5KYWNrc29uLCBUPC9h
dXRob3I+PGF1dGhvcj5NaWNoZWwsIEouIEw8L2F1dGhvcj48YXV0aG9yPlJvYmVydHMsIFIuIEY8
L2F1dGhvcj48YXV0aG9yPkpvcm0sIEMuIE08L2F1dGhvcj48YXV0aG9yPldha2VmaWVsZCwgSi4g
RzwvYXV0aG9yPjwvYXV0aG9ycz48L2NvbnRyaWJ1dG9ycz48YXV0aC1hZGRyZXNzPkF1c3RyYWxp
YW4gQ2VudHJlIGZvciBFY29ub21pYyBSZXNlYXJjaCBvbiBIZWFsdGgsIFVuaXZlcnNpdHkgb2Yg
UXVlZW5zbGFuZCwgQnJpc2JhbmUsIFFMRCwgQXVzdHJhbGlhLiB0LmphY2tzb25AdXEuZWR1LmF1
PC9hdXRoLWFkZHJlc3M+PHRpdGxlcz48dGl0bGU+QSBjbGFzc2lmaWNhdGlvbiBvZiBob3NwaXRh
bC1hY3F1aXJlZCBkaWFnbm9zZXMgZm9yIHVzZSB3aXRoIHJvdXRpbmUgaG9zcGl0YWwgZGF0YTwv
dGl0bGU+PHNlY29uZGFyeS10aXRsZT5NZWQgSiBBdXN0PC9zZWNvbmRhcnktdGl0bGU+PGFsdC10
aXRsZT5UaGUgTWVkaWNhbCBqb3VybmFsIG9mIEF1c3RyYWxpYTwvYWx0LXRpdGxlPjwvdGl0bGVz
PjxwZXJpb2RpY2FsPjxmdWxsLXRpdGxlPk1lZCBKIEF1c3Q8L2Z1bGwtdGl0bGU+PGFiYnItMT5U
aGUgTWVkaWNhbCBqb3VybmFsIG9mIEF1c3RyYWxpYTwvYWJici0xPjwvcGVyaW9kaWNhbD48YWx0
LXBlcmlvZGljYWw+PGZ1bGwtdGl0bGU+TWVkIEogQXVzdDwvZnVsbC10aXRsZT48YWJici0xPlRo
ZSBNZWRpY2FsIGpvdXJuYWwgb2YgQXVzdHJhbGlhPC9hYmJyLTE+PC9hbHQtcGVyaW9kaWNhbD48
cGFnZXM+NTQ0LTg8L3BhZ2VzPjx2b2x1bWU+MTkxPC92b2x1bWU+PG51bWJlcj4xMDwvbnVtYmVy
PjxlZGl0aW9uPjIwMDkvMTEvMTc8L2VkaXRpb24+PGtleXdvcmRzPjxrZXl3b3JkPkZlbWFsZTwv
a2V5d29yZD48a2V5d29yZD5Gb3JtcyBhbmQgUmVjb3JkcyBDb250cm9sL2NsYXNzaWZpY2F0aW9u
PC9rZXl3b3JkPjxrZXl3b3JkPkhvc3BpdGFsaXphdGlvbi8qc3RhdGlzdGljcyAmYW1wOyBudW1l
cmljYWwgZGF0YTwva2V5d29yZD48a2V5d29yZD5IdW1hbnM8L2tleXdvcmQ+PGtleXdvcmQ+Kklh
dHJvZ2VuaWMgRGlzZWFzZTwva2V5d29yZD48a2V5d29yZD5JbnRlcm5hdGlvbmFsIENsYXNzaWZp
Y2F0aW9uIG9mIERpc2Vhc2VzLypjbGFzc2lmaWNhdGlvbjwva2V5d29yZD48a2V5d29yZD5NYWxl
PC9rZXl3b3JkPjxrZXl3b3JkPk1lZGljYWwgRXJyb3JzL2NsYXNzaWZpY2F0aW9uPC9rZXl3b3Jk
PjxrZXl3b3JkPk1lZGljYWwgUmVjb3Jkcy8qY2xhc3NpZmljYXRpb248L2tleXdvcmQ+PGtleXdv
cmQ+UG9zdG9wZXJhdGl2ZSBDb21wbGljYXRpb25zL2NsYXNzaWZpY2F0aW9uPC9rZXl3b3JkPjxr
ZXl3b3JkPlByZWduYW5jeTwva2V5d29yZD48a2V5d29yZD5QcmVnbmFuY3kgQ29tcGxpY2F0aW9u
cy9jbGFzc2lmaWNhdGlvbjwva2V5d29yZD48a2V5d29yZD5RdWFsaXR5IEluZGljYXRvcnMsIEhl
YWx0aCBDYXJlLypvcmdhbml6YXRpb24gJmFtcDsgYWRtaW5pc3RyYXRpb248L2tleXdvcmQ+PGtl
eXdvcmQ+UmV0cm9zcGVjdGl2ZSBTdHVkaWVzPC9rZXl3b3JkPjxrZXl3b3JkPlZpY3RvcmlhPC9r
ZXl3b3JkPjwva2V5d29yZHM+PGRhdGVzPjx5ZWFyPjIwMDk8L3llYXI+PHB1Yi1kYXRlcz48ZGF0
ZT5Ob3YgMTY8L2RhdGU+PC9wdWItZGF0ZXM+PC9kYXRlcz48aXNibj4wMDI1LTcyOVggKFByaW50
KSYjeEQ7MDAyNS03MjlYIChMaW5raW5nKTwvaXNibj48YWNjZXNzaW9uLW51bT4xOTkxMjA4Njwv
YWNjZXNzaW9uLW51bT48dXJscz48cmVsYXRlZC11cmxzPjx1cmw+aHR0cDovL3d3dy5uY2JpLm5s
bS5uaWguZ292L3B1Ym1lZC8xOTkxMjA4NjwvdXJsPjwvcmVsYXRlZC11cmxzPjwvdXJscz48bGFu
Z3VhZ2U+ZW5nPC9sYW5ndWFnZT48L3JlY29yZD48L0NpdGU+PC9FbmROb3RlPgB=
</w:fldData>
          </w:fldChar>
        </w:r>
        <w:r w:rsidR="00C33CAE">
          <w:instrText xml:space="preserve"> ADDIN EN.CITE.DATA </w:instrText>
        </w:r>
        <w:r w:rsidR="00C33CAE">
          <w:fldChar w:fldCharType="end"/>
        </w:r>
        <w:r w:rsidR="00C33CAE">
          <w:fldChar w:fldCharType="separate"/>
        </w:r>
        <w:r w:rsidR="00C33CAE">
          <w:rPr>
            <w:noProof/>
          </w:rPr>
          <w:t>Jackson, Michel, Roberts, Jorm, &amp; Wakefield, 2009</w:t>
        </w:r>
        <w:r w:rsidR="00C33CAE">
          <w:fldChar w:fldCharType="end"/>
        </w:r>
      </w:hyperlink>
      <w:r>
        <w:t>, p. 544). The COF lends itself to this.</w:t>
      </w:r>
    </w:p>
    <w:p w:rsidR="007718C7" w:rsidRDefault="007718C7" w:rsidP="000044F6">
      <w:r>
        <w:t>Another application of</w:t>
      </w:r>
      <w:r w:rsidRPr="00065043">
        <w:t xml:space="preserve"> </w:t>
      </w:r>
      <w:r>
        <w:t>analysing hospital-acquired conditions</w:t>
      </w:r>
      <w:r w:rsidRPr="00065043">
        <w:t xml:space="preserve"> is to prioritise quality and safety efforts.  </w:t>
      </w:r>
      <w:r>
        <w:rPr>
          <w:szCs w:val="20"/>
        </w:rPr>
        <w:t xml:space="preserve">For example, </w:t>
      </w:r>
      <w:r w:rsidR="00C33CAE" w:rsidRPr="00C33CAE">
        <w:rPr>
          <w:szCs w:val="20"/>
        </w:rPr>
        <w:t>Jackson et al.</w:t>
      </w:r>
      <w:r>
        <w:rPr>
          <w:szCs w:val="20"/>
        </w:rPr>
        <w:t xml:space="preserve"> (</w:t>
      </w:r>
      <w:hyperlink w:anchor="_ENREF_21" w:tooltip="Jackson, 2011 #8" w:history="1">
        <w:r w:rsidR="00C33CAE">
          <w:rPr>
            <w:szCs w:val="20"/>
          </w:rPr>
          <w:fldChar w:fldCharType="begin">
            <w:fldData xml:space="preserve">PEVuZE5vdGU+PENpdGUgRXhjbHVkZUF1dGg9IjEiPjxBdXRob3I+SmFja3NvbjwvQXV0aG9yPjxZ
ZWFyPjIwMTE8L1llYXI+PFJlY051bT44PC9SZWNOdW0+PERpc3BsYXlUZXh0PjIwMTE8L0Rpc3Bs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rPr>
            <w:szCs w:val="20"/>
          </w:rPr>
          <w:instrText xml:space="preserve"> ADDIN EN.CITE </w:instrText>
        </w:r>
        <w:r w:rsidR="00C33CAE">
          <w:rPr>
            <w:szCs w:val="20"/>
          </w:rPr>
          <w:fldChar w:fldCharType="begin">
            <w:fldData xml:space="preserve">PEVuZE5vdGU+PENpdGUgRXhjbHVkZUF1dGg9IjEiPjxBdXRob3I+SmFja3NvbjwvQXV0aG9yPjxZ
ZWFyPjIwMTE8L1llYXI+PFJlY051bT44PC9SZWNOdW0+PERpc3BsYXlUZXh0PjIwMTE8L0Rpc3Bs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rPr>
            <w:szCs w:val="20"/>
          </w:rPr>
          <w:instrText xml:space="preserve"> ADDIN EN.CITE.DATA </w:instrText>
        </w:r>
        <w:r w:rsidR="00C33CAE">
          <w:rPr>
            <w:szCs w:val="20"/>
          </w:rPr>
        </w:r>
        <w:r w:rsidR="00C33CAE">
          <w:rPr>
            <w:szCs w:val="20"/>
          </w:rPr>
          <w:fldChar w:fldCharType="end"/>
        </w:r>
        <w:r w:rsidR="00C33CAE">
          <w:rPr>
            <w:szCs w:val="20"/>
          </w:rPr>
        </w:r>
        <w:r w:rsidR="00C33CAE">
          <w:rPr>
            <w:szCs w:val="20"/>
          </w:rPr>
          <w:fldChar w:fldCharType="separate"/>
        </w:r>
        <w:r w:rsidR="00C33CAE">
          <w:rPr>
            <w:noProof/>
            <w:szCs w:val="20"/>
          </w:rPr>
          <w:t>2011</w:t>
        </w:r>
        <w:r w:rsidR="00C33CAE">
          <w:rPr>
            <w:szCs w:val="20"/>
          </w:rPr>
          <w:fldChar w:fldCharType="end"/>
        </w:r>
      </w:hyperlink>
      <w:r w:rsidRPr="002047F0">
        <w:rPr>
          <w:szCs w:val="20"/>
        </w:rPr>
        <w:t>) found that common, often neglected, conditions such as urinary tract infections, add considerably to the costs of inpatient care in addition to the detrimental effect to the patient.</w:t>
      </w:r>
      <w:r>
        <w:rPr>
          <w:szCs w:val="20"/>
        </w:rPr>
        <w:t xml:space="preserve">  The identification and quantification of </w:t>
      </w:r>
      <w:r w:rsidRPr="005B5AD5">
        <w:rPr>
          <w:szCs w:val="20"/>
        </w:rPr>
        <w:t>common hospital-acquired conditions</w:t>
      </w:r>
      <w:r>
        <w:rPr>
          <w:szCs w:val="20"/>
        </w:rPr>
        <w:t xml:space="preserve"> can help to prioritise</w:t>
      </w:r>
      <w:r>
        <w:t xml:space="preserve"> initiatives to areas that have a large impact.</w:t>
      </w:r>
    </w:p>
    <w:p w:rsidR="007718C7" w:rsidRPr="00065043" w:rsidRDefault="007718C7" w:rsidP="000044F6">
      <w:pPr>
        <w:pStyle w:val="Stageheading"/>
      </w:pPr>
      <w:bookmarkStart w:id="13" w:name="_Toc374114578"/>
      <w:r>
        <w:t>W</w:t>
      </w:r>
      <w:r w:rsidRPr="007F776F">
        <w:t xml:space="preserve">hat steps can be taken to improve </w:t>
      </w:r>
      <w:r>
        <w:t xml:space="preserve">the </w:t>
      </w:r>
      <w:r w:rsidRPr="007F776F">
        <w:t>capture and/ or interpretation</w:t>
      </w:r>
      <w:r>
        <w:t xml:space="preserve"> of hospital-acquired diagnoses?</w:t>
      </w:r>
      <w:bookmarkEnd w:id="13"/>
    </w:p>
    <w:p w:rsidR="007718C7" w:rsidRDefault="007718C7" w:rsidP="000044F6">
      <w:r>
        <w:t xml:space="preserve">An important piece of work would be to determine the extent to which COF reporting is impacted by depth of clinical coding at each hospital and/ or at a state/ territory level.  That is, there are known differences in the comprehensiveness of coding amongst hospitals and amongst states and territories.  The differences between the public and private sectors are </w:t>
      </w:r>
      <w:r>
        <w:lastRenderedPageBreak/>
        <w:t>particularly marked.  The specific question is:  Are the number of COF diagnoses reported by any one hospital as a result of hospital-acquired events, or the extent to which the hospital tends to capture diagnoses, as compared with other hospitals for similar patients?</w:t>
      </w:r>
    </w:p>
    <w:p w:rsidR="007718C7" w:rsidRDefault="007718C7" w:rsidP="000044F6">
      <w:r>
        <w:t xml:space="preserve">As described above, an algorithm exists for grouping hospital-acquired ‘events’ as opposed to counting single diagnoses codes. This relies on codes being sequenced as per the </w:t>
      </w:r>
      <w:r w:rsidRPr="001765FA">
        <w:rPr>
          <w:i/>
        </w:rPr>
        <w:t>Australian Coding Standards</w:t>
      </w:r>
      <w:r>
        <w:t xml:space="preserve"> (</w:t>
      </w:r>
      <w:hyperlink w:anchor="_ENREF_24" w:tooltip="National Casemix and Classification Centre, 2012 #118" w:history="1">
        <w:r w:rsidR="00C33CAE">
          <w:fldChar w:fldCharType="begin"/>
        </w:r>
        <w:r w:rsidR="00C33CAE">
          <w:instrText xml:space="preserve"> ADDIN EN.CITE &lt;EndNote&gt;&lt;Cite&gt;&lt;Author&gt;National Casemix and Classification Centre&lt;/Author&gt;&lt;Year&gt;2012&lt;/Year&gt;&lt;RecNum&gt;118&lt;/RecNum&gt;&lt;DisplayText&gt;National Casemix and Classification Centre, 2012&lt;/DisplayText&gt;&lt;record&gt;&lt;rec-number&gt;118&lt;/rec-number&gt;&lt;foreign-keys&gt;&lt;key app="EN" db-id="92tftt5v2arxd6e9wzr50w2w0rz0epx099ft" timestamp="1379393026"&gt;118&lt;/key&gt;&lt;/foreign-keys&gt;&lt;ref-type name="Report"&gt;27&lt;/ref-type&gt;&lt;contributors&gt;&lt;authors&gt;&lt;author&gt;National Casemix and Classification Centre,,&lt;/author&gt;&lt;/authors&gt;&lt;/contributors&gt;&lt;titles&gt;&lt;title&gt;Australian Coding Standards&lt;/title&gt;&lt;/titles&gt;&lt;dates&gt;&lt;year&gt;2012&lt;/year&gt;&lt;/dates&gt;&lt;pub-location&gt;Sydney&lt;/pub-location&gt;&lt;publisher&gt;NCCC&lt;/publisher&gt;&lt;urls&gt;&lt;/urls&gt;&lt;/record&gt;&lt;/Cite&gt;&lt;/EndNote&gt;</w:instrText>
        </w:r>
        <w:r w:rsidR="00C33CAE">
          <w:fldChar w:fldCharType="separate"/>
        </w:r>
        <w:r w:rsidR="00C33CAE">
          <w:rPr>
            <w:noProof/>
          </w:rPr>
          <w:t>National Casemix and Classification Centre, 2012</w:t>
        </w:r>
        <w:r w:rsidR="00C33CAE">
          <w:fldChar w:fldCharType="end"/>
        </w:r>
      </w:hyperlink>
      <w:r>
        <w:t>).  However, standards are only available for some code combinations and not others.  Also, the extent to which this is followed by coders is not known.  This could potentially lead to multiple counts of what is actually a single hospital-acquired event (</w:t>
      </w:r>
      <w:hyperlink w:anchor="_ENREF_23" w:tooltip="Michel, 2009 #9" w:history="1">
        <w:r w:rsidR="00C33CAE">
          <w:fldChar w:fldCharType="begin">
            <w:fldData xml:space="preserve">PEVuZE5vdGU+PENpdGU+PEF1dGhvcj5NaWNoZWw8L0F1dGhvcj48WWVhcj4yMDA5PC9ZZWFyPjxS
ZWNOdW0+OTwvUmVjTnVtPjxEaXNwbGF5VGV4dD5NaWNoZWwsIE5naGllbSwgJmFtcDsgSmFja3Nv
biwgMjAwOTwvRGlzcGxheVRleHQ+PHJlY29yZD48cmVjLW51bWJlcj45PC9yZWMtbnVtYmVyPjxm
b3JlaWduLWtleXM+PGtleSBhcHA9IkVOIiBkYi1pZD0iOTJ0ZnR0NXYyYXJ4ZDZlOXd6cjUwdzJ3
MHJ6MGVweDA5OWZ0IiB0aW1lc3RhbXA9IjEzNzE0MzQzMjgiPjk8L2tleT48L2ZvcmVpZ24ta2V5
cz48cmVmLXR5cGUgbmFtZT0iSm91cm5hbCBBcnRpY2xlIj4xNzwvcmVmLXR5cGU+PGNvbnRyaWJ1
dG9ycz48YXV0aG9ycz48YXV0aG9yPk1pY2hlbCwgSi48L2F1dGhvcj48YXV0aG9yPk5naGllbSwg
SC4gRC48L2F1dGhvcj48YXV0aG9yPkphY2tzb24sIFQuIEouPC9hdXRob3I+PC9hdXRob3JzPjwv
Y29udHJpYnV0b3JzPjxhdXRoLWFkZHJlc3M+QXVzdHJhbGlhbiBDZW50cmUgZm9yIEVjb25vbWlj
IFJlc2VhcmNoIG9uIEhlYWx0aCwgVW5pdmVyc2l0eSBvZiBRdWVlbnNsYW5kIFNjaG9vbCBvZiBN
ZWRpY2luZSwgSGVyc3RvbiwgUUxELCBBdXN0cmFsaWEuIGp1ZGl0aC5taWNoZWxAdXEuZWR1LmF1
PC9hdXRoLWFkZHJlc3M+PHRpdGxlcz48dGl0bGU+VXNpbmcgSUNELTEwLUFNIGNvZGVzIHRvIGNo
YXJhY3RlcmlzZSBob3NwaXRhbC1hY3F1aXJlZCBjb21wbGljYXRpb25zPC90aXRsZT48c2Vjb25k
YXJ5LXRpdGxlPkhJTSBKPC9zZWNvbmRhcnktdGl0bGU+PGFsdC10aXRsZT5UaGUgSElNIGpvdXJu
YWw8L2FsdC10aXRsZT48L3RpdGxlcz48cGVyaW9kaWNhbD48ZnVsbC10aXRsZT5ISU0gSjwvZnVs
bC10aXRsZT48YWJici0xPlRoZSBISU0gam91cm5hbDwvYWJici0xPjwvcGVyaW9kaWNhbD48YWx0
LXBlcmlvZGljYWw+PGZ1bGwtdGl0bGU+SElNIEo8L2Z1bGwtdGl0bGU+PGFiYnItMT5UaGUgSElN
IGpvdXJuYWw8L2FiYnItMT48L2FsdC1wZXJpb2RpY2FsPjxwYWdlcz4xOC0yNTwvcGFnZXM+PHZv
bHVtZT4zODwvdm9sdW1lPjxudW1iZXI+MzwvbnVtYmVyPjxlZGl0aW9uPjIwMDkvMTAvMzE8L2Vk
aXRpb24+PGtleXdvcmRzPjxrZXl3b3JkPkFjY2lkZW50cy9jbGFzc2lmaWNhdGlvbjwva2V5d29y
ZD48a2V5d29yZD5BdXN0cmFsaWE8L2tleXdvcmQ+PGtleXdvcmQ+Q2xpbmljYWwgQ29kaW5nLypj
bGFzc2lmaWNhdGlvbi9zdGFuZGFyZHM8L2tleXdvcmQ+PGtleXdvcmQ+RGF0YSBJbnRlcnByZXRh
dGlvbiwgU3RhdGlzdGljYWw8L2tleXdvcmQ+PGtleXdvcmQ+RmVtYWxlPC9rZXl3b3JkPjxrZXl3
b3JkPkh1bWFuczwva2V5d29yZD48a2V5d29yZD5JbnRlcm5hdGlvbmFsIENsYXNzaWZpY2F0aW9u
IG9mIERpc2Vhc2VzLypjbGFzc2lmaWNhdGlvbjwva2V5d29yZD48a2V5d29yZD5NZWRpY2FsIEVy
cm9ycy8qY2xhc3NpZmljYXRpb248L2tleXdvcmQ+PGtleXdvcmQ+T2JzdGV0cmljIExhYm9yIENv
bXBsaWNhdGlvbnMvY2xhc3NpZmljYXRpb248L2tleXdvcmQ+PGtleXdvcmQ+T3V0Y29tZSBBc3Nl
c3NtZW50IChIZWFsdGggQ2FyZSkvKmNsYXNzaWZpY2F0aW9uPC9rZXl3b3JkPjxrZXl3b3JkPlBh
dGllbnQgQWRtaXNzaW9uL3N0YW5kYXJkcy9zdGF0aXN0aWNzICZhbXA7IG51bWVyaWNhbCBkYXRh
PC9rZXl3b3JkPjxrZXl3b3JkPlByZWduYW5jeTwva2V5d29yZD48a2V5d29yZD5TYWZldHkgTWFu
YWdlbWVudC9tZXRob2RzL3N0YW5kYXJkczwva2V5d29yZD48a2V5d29yZD5WaWN0b3JpYTwva2V5
d29yZD48L2tleXdvcmRzPjxkYXRlcz48eWVhcj4yMDA5PC95ZWFyPjwvZGF0ZXM+PGlzYm4+MTgz
My0zNTc1IChFbGVjdHJvbmljKSYjeEQ7MTgzMy0zNTgzIChMaW5raW5nKTwvaXNibj48YWNjZXNz
aW9uLW51bT4xOTg3NTg1MTwvYWNjZXNzaW9uLW51bT48d29yay10eXBlPlJlc2VhcmNoIFN1cHBv
cnQsIE5vbi1VLlMuIEdvdiZhcG9zO3Q8L3dvcmstdHlwZT48dXJscz48cmVsYXRlZC11cmxzPjx1
cmw+aHR0cDovL3d3dy5uY2JpLm5sbS5uaWguZ292L3B1Ym1lZC8xOTg3NTg1MTwvdXJsPjwvcmVs
YXRlZC11cmxzPjwvdXJscz48bGFuZ3VhZ2U+ZW5nPC9sYW5ndWFnZT48L3JlY29yZD48L0NpdGU+
PC9FbmROb3RlPgB=
</w:fldData>
          </w:fldChar>
        </w:r>
        <w:r w:rsidR="00C33CAE">
          <w:instrText xml:space="preserve"> ADDIN EN.CITE </w:instrText>
        </w:r>
        <w:r w:rsidR="00C33CAE">
          <w:fldChar w:fldCharType="begin">
            <w:fldData xml:space="preserve">PEVuZE5vdGU+PENpdGU+PEF1dGhvcj5NaWNoZWw8L0F1dGhvcj48WWVhcj4yMDA5PC9ZZWFyPjxS
ZWNOdW0+OTwvUmVjTnVtPjxEaXNwbGF5VGV4dD5NaWNoZWwsIE5naGllbSwgJmFtcDsgSmFja3Nv
biwgMjAwOTwvRGlzcGxheVRleHQ+PHJlY29yZD48cmVjLW51bWJlcj45PC9yZWMtbnVtYmVyPjxm
b3JlaWduLWtleXM+PGtleSBhcHA9IkVOIiBkYi1pZD0iOTJ0ZnR0NXYyYXJ4ZDZlOXd6cjUwdzJ3
MHJ6MGVweDA5OWZ0IiB0aW1lc3RhbXA9IjEzNzE0MzQzMjgiPjk8L2tleT48L2ZvcmVpZ24ta2V5
cz48cmVmLXR5cGUgbmFtZT0iSm91cm5hbCBBcnRpY2xlIj4xNzwvcmVmLXR5cGU+PGNvbnRyaWJ1
dG9ycz48YXV0aG9ycz48YXV0aG9yPk1pY2hlbCwgSi48L2F1dGhvcj48YXV0aG9yPk5naGllbSwg
SC4gRC48L2F1dGhvcj48YXV0aG9yPkphY2tzb24sIFQuIEouPC9hdXRob3I+PC9hdXRob3JzPjwv
Y29udHJpYnV0b3JzPjxhdXRoLWFkZHJlc3M+QXVzdHJhbGlhbiBDZW50cmUgZm9yIEVjb25vbWlj
IFJlc2VhcmNoIG9uIEhlYWx0aCwgVW5pdmVyc2l0eSBvZiBRdWVlbnNsYW5kIFNjaG9vbCBvZiBN
ZWRpY2luZSwgSGVyc3RvbiwgUUxELCBBdXN0cmFsaWEuIGp1ZGl0aC5taWNoZWxAdXEuZWR1LmF1
PC9hdXRoLWFkZHJlc3M+PHRpdGxlcz48dGl0bGU+VXNpbmcgSUNELTEwLUFNIGNvZGVzIHRvIGNo
YXJhY3RlcmlzZSBob3NwaXRhbC1hY3F1aXJlZCBjb21wbGljYXRpb25zPC90aXRsZT48c2Vjb25k
YXJ5LXRpdGxlPkhJTSBKPC9zZWNvbmRhcnktdGl0bGU+PGFsdC10aXRsZT5UaGUgSElNIGpvdXJu
YWw8L2FsdC10aXRsZT48L3RpdGxlcz48cGVyaW9kaWNhbD48ZnVsbC10aXRsZT5ISU0gSjwvZnVs
bC10aXRsZT48YWJici0xPlRoZSBISU0gam91cm5hbDwvYWJici0xPjwvcGVyaW9kaWNhbD48YWx0
LXBlcmlvZGljYWw+PGZ1bGwtdGl0bGU+SElNIEo8L2Z1bGwtdGl0bGU+PGFiYnItMT5UaGUgSElN
IGpvdXJuYWw8L2FiYnItMT48L2FsdC1wZXJpb2RpY2FsPjxwYWdlcz4xOC0yNTwvcGFnZXM+PHZv
bHVtZT4zODwvdm9sdW1lPjxudW1iZXI+MzwvbnVtYmVyPjxlZGl0aW9uPjIwMDkvMTAvMzE8L2Vk
aXRpb24+PGtleXdvcmRzPjxrZXl3b3JkPkFjY2lkZW50cy9jbGFzc2lmaWNhdGlvbjwva2V5d29y
ZD48a2V5d29yZD5BdXN0cmFsaWE8L2tleXdvcmQ+PGtleXdvcmQ+Q2xpbmljYWwgQ29kaW5nLypj
bGFzc2lmaWNhdGlvbi9zdGFuZGFyZHM8L2tleXdvcmQ+PGtleXdvcmQ+RGF0YSBJbnRlcnByZXRh
dGlvbiwgU3RhdGlzdGljYWw8L2tleXdvcmQ+PGtleXdvcmQ+RmVtYWxlPC9rZXl3b3JkPjxrZXl3
b3JkPkh1bWFuczwva2V5d29yZD48a2V5d29yZD5JbnRlcm5hdGlvbmFsIENsYXNzaWZpY2F0aW9u
IG9mIERpc2Vhc2VzLypjbGFzc2lmaWNhdGlvbjwva2V5d29yZD48a2V5d29yZD5NZWRpY2FsIEVy
cm9ycy8qY2xhc3NpZmljYXRpb248L2tleXdvcmQ+PGtleXdvcmQ+T2JzdGV0cmljIExhYm9yIENv
bXBsaWNhdGlvbnMvY2xhc3NpZmljYXRpb248L2tleXdvcmQ+PGtleXdvcmQ+T3V0Y29tZSBBc3Nl
c3NtZW50IChIZWFsdGggQ2FyZSkvKmNsYXNzaWZpY2F0aW9uPC9rZXl3b3JkPjxrZXl3b3JkPlBh
dGllbnQgQWRtaXNzaW9uL3N0YW5kYXJkcy9zdGF0aXN0aWNzICZhbXA7IG51bWVyaWNhbCBkYXRh
PC9rZXl3b3JkPjxrZXl3b3JkPlByZWduYW5jeTwva2V5d29yZD48a2V5d29yZD5TYWZldHkgTWFu
YWdlbWVudC9tZXRob2RzL3N0YW5kYXJkczwva2V5d29yZD48a2V5d29yZD5WaWN0b3JpYTwva2V5
d29yZD48L2tleXdvcmRzPjxkYXRlcz48eWVhcj4yMDA5PC95ZWFyPjwvZGF0ZXM+PGlzYm4+MTgz
My0zNTc1IChFbGVjdHJvbmljKSYjeEQ7MTgzMy0zNTgzIChMaW5raW5nKTwvaXNibj48YWNjZXNz
aW9uLW51bT4xOTg3NTg1MTwvYWNjZXNzaW9uLW51bT48d29yay10eXBlPlJlc2VhcmNoIFN1cHBv
cnQsIE5vbi1VLlMuIEdvdiZhcG9zO3Q8L3dvcmstdHlwZT48dXJscz48cmVsYXRlZC11cmxzPjx1
cmw+aHR0cDovL3d3dy5uY2JpLm5sbS5uaWguZ292L3B1Ym1lZC8xOTg3NTg1MTwvdXJsPjwvcmVs
YXRlZC11cmxzPjwvdXJscz48bGFuZ3VhZ2U+ZW5nPC9sYW5ndWFnZT48L3JlY29yZD48L0NpdGU+
PC9FbmROb3RlPgB=
</w:fldData>
          </w:fldChar>
        </w:r>
        <w:r w:rsidR="00C33CAE">
          <w:instrText xml:space="preserve"> ADDIN EN.CITE.DATA </w:instrText>
        </w:r>
        <w:r w:rsidR="00C33CAE">
          <w:fldChar w:fldCharType="end"/>
        </w:r>
        <w:r w:rsidR="00C33CAE">
          <w:fldChar w:fldCharType="separate"/>
        </w:r>
        <w:r w:rsidR="00C33CAE">
          <w:rPr>
            <w:noProof/>
          </w:rPr>
          <w:t>Michel, Nghiem, &amp; Jackson, 2009</w:t>
        </w:r>
        <w:r w:rsidR="00C33CAE">
          <w:fldChar w:fldCharType="end"/>
        </w:r>
      </w:hyperlink>
      <w:r>
        <w:t>). In addition, as mentioned earlier, procedures are currently not identified as having arisen due to a hospital-acquired event (i.e. versus those planned on admission or indicated at the point of admission by the patient’s diagnosis(es) occasioning the admission). A system whereby ICD-10-AM diagnoses and procedure codes can be related to one another in the routine data collection would assist in addressing these issues.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9242"/>
      </w:tblGrid>
      <w:tr w:rsidR="007718C7" w:rsidRPr="00864829" w:rsidTr="00864829">
        <w:tc>
          <w:tcPr>
            <w:tcW w:w="9242" w:type="dxa"/>
            <w:shd w:val="clear" w:color="auto" w:fill="F2F2F2"/>
          </w:tcPr>
          <w:p w:rsidR="007718C7" w:rsidRPr="00864829" w:rsidRDefault="007718C7" w:rsidP="000044F6">
            <w:pPr>
              <w:contextualSpacing/>
              <w:rPr>
                <w:b/>
                <w:i/>
                <w:szCs w:val="20"/>
                <w:lang w:val="en-US"/>
              </w:rPr>
            </w:pPr>
            <w:r w:rsidRPr="00864829">
              <w:rPr>
                <w:b/>
                <w:i/>
                <w:szCs w:val="20"/>
                <w:lang w:val="en-US"/>
              </w:rPr>
              <w:t>Recommendation</w:t>
            </w:r>
          </w:p>
          <w:p w:rsidR="007718C7" w:rsidRPr="00F220A3" w:rsidRDefault="007718C7" w:rsidP="005B5AD5">
            <w:pPr>
              <w:pStyle w:val="ListParagraph"/>
              <w:numPr>
                <w:ilvl w:val="0"/>
                <w:numId w:val="16"/>
              </w:numPr>
              <w:contextualSpacing w:val="0"/>
              <w:rPr>
                <w:rFonts w:ascii="Calibri" w:hAnsi="Calibri"/>
                <w:lang w:eastAsia="ja-JP"/>
              </w:rPr>
            </w:pPr>
            <w:r w:rsidRPr="00F220A3">
              <w:rPr>
                <w:lang w:eastAsia="ja-JP"/>
              </w:rPr>
              <w:t>That a system for grouping together related hospital ‘events’ (i.e. diagnoses and procedures) to assist in accurately counting hospital-acquired events, and the procedures that result from them be further pursued.</w:t>
            </w:r>
            <w:r w:rsidRPr="00F220A3">
              <w:rPr>
                <w:rFonts w:ascii="Calibri" w:hAnsi="Calibri"/>
                <w:lang w:eastAsia="ja-JP"/>
              </w:rPr>
              <w:t xml:space="preserve"> </w:t>
            </w:r>
          </w:p>
        </w:tc>
      </w:tr>
    </w:tbl>
    <w:p w:rsidR="007718C7" w:rsidRDefault="007718C7" w:rsidP="000044F6">
      <w:pPr>
        <w:spacing w:after="0" w:line="240" w:lineRule="auto"/>
      </w:pPr>
    </w:p>
    <w:p w:rsidR="007718C7" w:rsidRDefault="007718C7" w:rsidP="000044F6">
      <w:r>
        <w:t xml:space="preserve">The data </w:t>
      </w:r>
      <w:r w:rsidR="002F611A">
        <w:t>cleaning</w:t>
      </w:r>
      <w:r>
        <w:t xml:space="preserve"> algorithm currently only identifies false positives (i.e. diagnoses that are </w:t>
      </w:r>
      <w:r w:rsidRPr="00A42D21">
        <w:t>not hospital-acquired but are flagged as such) (e.g. congenital conditions or cancers).  False negatives (conditions that are most certainly hospital-acquired but are not flagged as such) are identified only for obstetric and perinatal events, as indicated by</w:t>
      </w:r>
      <w:r>
        <w:t xml:space="preserve"> the</w:t>
      </w:r>
      <w:r w:rsidRPr="00A42D21">
        <w:t xml:space="preserve"> specified ICD-10-AM codes, whether or not a coder has flagged them as such.</w:t>
      </w:r>
      <w:r>
        <w:t xml:space="preserve">  There is rich literature on this, particularly in the United States.  A potential issue with this is that the COF currently flags as hospital-acquired only those diagnoses that arose during an episode of care.  It could be envisaged that separate codes might be used to flag conditions acquired during or as a result of a previous admission.  In any case, further work could be done on identifying false positives and false negatives, and using this as an additional data quality check and/ or for coder education.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9242"/>
      </w:tblGrid>
      <w:tr w:rsidR="007718C7" w:rsidRPr="00864829" w:rsidTr="00864829">
        <w:tc>
          <w:tcPr>
            <w:tcW w:w="9242" w:type="dxa"/>
            <w:shd w:val="clear" w:color="auto" w:fill="F2F2F2"/>
          </w:tcPr>
          <w:p w:rsidR="007718C7" w:rsidRPr="00864829" w:rsidRDefault="007718C7" w:rsidP="000044F6">
            <w:pPr>
              <w:contextualSpacing/>
              <w:rPr>
                <w:b/>
                <w:i/>
                <w:szCs w:val="20"/>
                <w:lang w:val="en-US"/>
              </w:rPr>
            </w:pPr>
            <w:r w:rsidRPr="00864829">
              <w:rPr>
                <w:b/>
                <w:i/>
                <w:szCs w:val="20"/>
                <w:lang w:val="en-US"/>
              </w:rPr>
              <w:t>Recommendation</w:t>
            </w:r>
          </w:p>
          <w:p w:rsidR="007718C7" w:rsidRPr="00F220A3" w:rsidRDefault="007718C7" w:rsidP="002002B2">
            <w:pPr>
              <w:pStyle w:val="ListParagraph"/>
              <w:numPr>
                <w:ilvl w:val="0"/>
                <w:numId w:val="16"/>
              </w:numPr>
              <w:contextualSpacing w:val="0"/>
              <w:rPr>
                <w:rFonts w:ascii="Calibri" w:hAnsi="Calibri"/>
                <w:lang w:eastAsia="ja-JP"/>
              </w:rPr>
            </w:pPr>
            <w:r w:rsidRPr="00F220A3">
              <w:rPr>
                <w:lang w:eastAsia="ja-JP"/>
              </w:rPr>
              <w:t>That further work on identifying false positives (i.e. complications that are not hospital-acquired but are flagged as such) and false negatives (i.e. complications that are most certainly hospital-acquired but are not flagged as such) in the APC NMDS be undertaken. The work should involve clinicians as well as reviewing the rich literature on these issues.</w:t>
            </w:r>
          </w:p>
          <w:p w:rsidR="007718C7" w:rsidRPr="00F220A3" w:rsidRDefault="007718C7" w:rsidP="00DB542A">
            <w:pPr>
              <w:pStyle w:val="ListParagraph"/>
              <w:numPr>
                <w:ilvl w:val="0"/>
                <w:numId w:val="16"/>
              </w:numPr>
              <w:contextualSpacing w:val="0"/>
              <w:rPr>
                <w:rFonts w:ascii="Calibri" w:hAnsi="Calibri"/>
                <w:lang w:eastAsia="ja-JP"/>
              </w:rPr>
            </w:pPr>
            <w:r w:rsidRPr="00F220A3">
              <w:rPr>
                <w:lang w:eastAsia="ja-JP"/>
              </w:rPr>
              <w:t>COF coding be extended to capture complications arising during care provided at another facility or during a preceding admission (e.g. an infection acquired during a same day surgical procedure or a fall in a previous sub- or non-acute admission requiring a ‘type change’ to acute).</w:t>
            </w:r>
          </w:p>
        </w:tc>
      </w:tr>
    </w:tbl>
    <w:p w:rsidR="007718C7" w:rsidRDefault="007718C7" w:rsidP="000044F6">
      <w:pPr>
        <w:spacing w:after="0" w:line="240" w:lineRule="auto"/>
      </w:pPr>
    </w:p>
    <w:p w:rsidR="007718C7" w:rsidRDefault="007718C7" w:rsidP="00C3500D"/>
    <w:p w:rsidR="007718C7" w:rsidRPr="00C3500D" w:rsidRDefault="007718C7" w:rsidP="00C3500D">
      <w:pPr>
        <w:sectPr w:rsidR="007718C7" w:rsidRPr="00C3500D" w:rsidSect="00B30967">
          <w:headerReference w:type="first" r:id="rId25"/>
          <w:pgSz w:w="11906" w:h="16838"/>
          <w:pgMar w:top="1440" w:right="1440" w:bottom="1440" w:left="1440" w:header="708" w:footer="708" w:gutter="0"/>
          <w:pgNumType w:start="1"/>
          <w:cols w:space="708"/>
          <w:titlePg/>
          <w:docGrid w:linePitch="360"/>
        </w:sectPr>
      </w:pPr>
      <w:r>
        <w:t xml:space="preserve"> </w:t>
      </w:r>
    </w:p>
    <w:p w:rsidR="007718C7" w:rsidRDefault="007718C7" w:rsidP="002002B2">
      <w:pPr>
        <w:pStyle w:val="Heading1"/>
        <w:numPr>
          <w:ilvl w:val="0"/>
          <w:numId w:val="6"/>
        </w:numPr>
        <w:ind w:left="0" w:hanging="851"/>
        <w:rPr>
          <w:b w:val="0"/>
          <w:sz w:val="92"/>
          <w:szCs w:val="28"/>
        </w:rPr>
        <w:sectPr w:rsidR="007718C7" w:rsidSect="00415B75">
          <w:headerReference w:type="first" r:id="rId26"/>
          <w:footerReference w:type="first" r:id="rId27"/>
          <w:footnotePr>
            <w:numFmt w:val="lowerLetter"/>
          </w:footnotePr>
          <w:endnotePr>
            <w:numFmt w:val="decimal"/>
          </w:endnotePr>
          <w:type w:val="continuous"/>
          <w:pgSz w:w="11906" w:h="16838"/>
          <w:pgMar w:top="1440" w:right="1440" w:bottom="1440" w:left="1440" w:header="708" w:footer="708" w:gutter="0"/>
          <w:pgNumType w:start="1"/>
          <w:cols w:space="708"/>
          <w:titlePg/>
          <w:docGrid w:linePitch="360"/>
        </w:sectPr>
      </w:pPr>
    </w:p>
    <w:p w:rsidR="007718C7" w:rsidRPr="00E5676C" w:rsidRDefault="007718C7" w:rsidP="002002B2">
      <w:pPr>
        <w:pStyle w:val="Heading1"/>
        <w:numPr>
          <w:ilvl w:val="0"/>
          <w:numId w:val="6"/>
        </w:numPr>
        <w:ind w:left="0" w:hanging="851"/>
        <w:rPr>
          <w:b w:val="0"/>
          <w:sz w:val="92"/>
          <w:szCs w:val="28"/>
        </w:rPr>
      </w:pPr>
      <w:bookmarkStart w:id="14" w:name="_Toc374114579"/>
      <w:r>
        <w:rPr>
          <w:b w:val="0"/>
          <w:sz w:val="92"/>
          <w:szCs w:val="28"/>
        </w:rPr>
        <w:lastRenderedPageBreak/>
        <w:t>Introduction</w:t>
      </w:r>
      <w:bookmarkEnd w:id="14"/>
    </w:p>
    <w:p w:rsidR="007718C7" w:rsidRPr="00E5676C" w:rsidRDefault="007718C7" w:rsidP="000044F6">
      <w:pPr>
        <w:pStyle w:val="Stageheading"/>
      </w:pPr>
      <w:bookmarkStart w:id="15" w:name="_Toc374114580"/>
      <w:r w:rsidRPr="00E5676C">
        <w:t>Project objectives</w:t>
      </w:r>
      <w:bookmarkEnd w:id="15"/>
    </w:p>
    <w:p w:rsidR="007718C7" w:rsidRPr="008D3BBD" w:rsidRDefault="007718C7" w:rsidP="00A65A97">
      <w:pPr>
        <w:widowControl w:val="0"/>
        <w:autoSpaceDE w:val="0"/>
        <w:autoSpaceDN w:val="0"/>
        <w:adjustRightInd w:val="0"/>
        <w:spacing w:after="120"/>
        <w:ind w:right="-11"/>
        <w:rPr>
          <w:szCs w:val="20"/>
        </w:rPr>
      </w:pPr>
      <w:r w:rsidRPr="008D3BBD">
        <w:rPr>
          <w:szCs w:val="20"/>
        </w:rPr>
        <w:t>The Australian Commission on Safety and Quality in Health Care (</w:t>
      </w:r>
      <w:r>
        <w:rPr>
          <w:szCs w:val="20"/>
        </w:rPr>
        <w:t>the Commission</w:t>
      </w:r>
      <w:r w:rsidRPr="008D3BBD">
        <w:rPr>
          <w:szCs w:val="20"/>
        </w:rPr>
        <w:t xml:space="preserve">) engaged Health Policy Analysis Pty Ltd to analyse hospital-acquired diagnoses and their effect on case complexity and resource use. </w:t>
      </w:r>
    </w:p>
    <w:p w:rsidR="007718C7" w:rsidRDefault="007718C7" w:rsidP="00A65A97">
      <w:pPr>
        <w:widowControl w:val="0"/>
        <w:autoSpaceDE w:val="0"/>
        <w:autoSpaceDN w:val="0"/>
        <w:adjustRightInd w:val="0"/>
        <w:spacing w:after="120"/>
        <w:ind w:right="-11"/>
        <w:rPr>
          <w:szCs w:val="20"/>
        </w:rPr>
      </w:pPr>
      <w:r w:rsidRPr="008D3BBD">
        <w:rPr>
          <w:szCs w:val="20"/>
        </w:rPr>
        <w:t xml:space="preserve">This </w:t>
      </w:r>
      <w:r>
        <w:rPr>
          <w:szCs w:val="20"/>
        </w:rPr>
        <w:t>project is of joint interest</w:t>
      </w:r>
      <w:r w:rsidRPr="008D3BBD">
        <w:rPr>
          <w:szCs w:val="20"/>
        </w:rPr>
        <w:t xml:space="preserve"> </w:t>
      </w:r>
      <w:r w:rsidR="00404A84">
        <w:rPr>
          <w:szCs w:val="20"/>
        </w:rPr>
        <w:t>to</w:t>
      </w:r>
      <w:r w:rsidRPr="008D3BBD">
        <w:rPr>
          <w:szCs w:val="20"/>
        </w:rPr>
        <w:t xml:space="preserve"> the Commission and the Independent Hospital Pricing Authority (IHPA). Responding to submissions received by IHPA in its consultation </w:t>
      </w:r>
      <w:r>
        <w:rPr>
          <w:szCs w:val="20"/>
        </w:rPr>
        <w:t>on</w:t>
      </w:r>
      <w:r w:rsidRPr="008D3BBD">
        <w:rPr>
          <w:szCs w:val="20"/>
        </w:rPr>
        <w:t xml:space="preserve"> the </w:t>
      </w:r>
      <w:r>
        <w:rPr>
          <w:szCs w:val="20"/>
        </w:rPr>
        <w:t xml:space="preserve">2012 Draft </w:t>
      </w:r>
      <w:r w:rsidRPr="008D3BBD">
        <w:rPr>
          <w:szCs w:val="20"/>
        </w:rPr>
        <w:t xml:space="preserve">Pricing Framework, the Commission and IHPA created a Joint Working Party </w:t>
      </w:r>
      <w:r>
        <w:rPr>
          <w:szCs w:val="20"/>
        </w:rPr>
        <w:t xml:space="preserve">for Safety and Quality in Health Care </w:t>
      </w:r>
      <w:r w:rsidRPr="008D3BBD">
        <w:rPr>
          <w:szCs w:val="20"/>
        </w:rPr>
        <w:t xml:space="preserve">(JWP) to consider options on the most appropriate approaches for ensuring safety and quality in the provision of health care services </w:t>
      </w:r>
      <w:r>
        <w:rPr>
          <w:szCs w:val="20"/>
        </w:rPr>
        <w:t xml:space="preserve">under the funding reforms of the </w:t>
      </w:r>
      <w:r>
        <w:rPr>
          <w:i/>
          <w:szCs w:val="20"/>
        </w:rPr>
        <w:t>National Health Reform Agreement 2011</w:t>
      </w:r>
      <w:r>
        <w:rPr>
          <w:szCs w:val="20"/>
        </w:rPr>
        <w:t>. This project is of specific interest to this group</w:t>
      </w:r>
      <w:r w:rsidRPr="008D3BBD">
        <w:rPr>
          <w:szCs w:val="20"/>
        </w:rPr>
        <w:t>.</w:t>
      </w:r>
    </w:p>
    <w:p w:rsidR="007718C7" w:rsidRDefault="007718C7" w:rsidP="00352793">
      <w:pPr>
        <w:rPr>
          <w:szCs w:val="20"/>
        </w:rPr>
      </w:pPr>
      <w:r>
        <w:rPr>
          <w:szCs w:val="20"/>
        </w:rPr>
        <w:t>The principal objective of this project, as requested by the Commission and IHPA, is “</w:t>
      </w:r>
      <w:r w:rsidRPr="00352793">
        <w:rPr>
          <w:i/>
          <w:szCs w:val="20"/>
        </w:rPr>
        <w:t>to analyse hospital-acquired diagnoses and their effect on case complexity and resource use</w:t>
      </w:r>
      <w:r>
        <w:rPr>
          <w:i/>
          <w:szCs w:val="20"/>
        </w:rPr>
        <w:t xml:space="preserve">” </w:t>
      </w:r>
      <w:r w:rsidRPr="00F803F4">
        <w:rPr>
          <w:szCs w:val="20"/>
        </w:rPr>
        <w:t>through the following steps:</w:t>
      </w:r>
      <w:r>
        <w:rPr>
          <w:i/>
          <w:szCs w:val="20"/>
        </w:rPr>
        <w:t xml:space="preserve"> </w:t>
      </w:r>
      <w:r w:rsidRPr="00352793">
        <w:rPr>
          <w:szCs w:val="20"/>
        </w:rPr>
        <w:t xml:space="preserve"> </w:t>
      </w:r>
    </w:p>
    <w:p w:rsidR="007718C7" w:rsidRPr="00C224FC" w:rsidRDefault="007718C7" w:rsidP="002002B2">
      <w:pPr>
        <w:pStyle w:val="ListParagraph"/>
        <w:numPr>
          <w:ilvl w:val="0"/>
          <w:numId w:val="9"/>
        </w:numPr>
        <w:autoSpaceDE w:val="0"/>
        <w:autoSpaceDN w:val="0"/>
        <w:adjustRightInd w:val="0"/>
        <w:ind w:left="714" w:hanging="357"/>
        <w:rPr>
          <w:rFonts w:cs="Calibri"/>
        </w:rPr>
      </w:pPr>
      <w:r w:rsidRPr="00C224FC">
        <w:rPr>
          <w:rFonts w:cs="Calibri"/>
        </w:rPr>
        <w:t>analyse the impact on selected DRGs of excluding hospital-acquired diagnoses</w:t>
      </w:r>
    </w:p>
    <w:p w:rsidR="007718C7" w:rsidRPr="00C224FC" w:rsidRDefault="007718C7" w:rsidP="002002B2">
      <w:pPr>
        <w:pStyle w:val="ListParagraph"/>
        <w:numPr>
          <w:ilvl w:val="0"/>
          <w:numId w:val="9"/>
        </w:numPr>
        <w:autoSpaceDE w:val="0"/>
        <w:autoSpaceDN w:val="0"/>
        <w:adjustRightInd w:val="0"/>
        <w:ind w:left="714" w:hanging="357"/>
        <w:rPr>
          <w:rFonts w:cs="Calibri"/>
        </w:rPr>
      </w:pPr>
      <w:r w:rsidRPr="00C224FC">
        <w:rPr>
          <w:rFonts w:cs="Calibri"/>
        </w:rPr>
        <w:t>examine the impact of hospital-acquired diagnoses on costs and bed days</w:t>
      </w:r>
    </w:p>
    <w:p w:rsidR="007718C7" w:rsidRPr="00C224FC" w:rsidRDefault="007718C7" w:rsidP="002002B2">
      <w:pPr>
        <w:pStyle w:val="ListParagraph"/>
        <w:numPr>
          <w:ilvl w:val="0"/>
          <w:numId w:val="9"/>
        </w:numPr>
        <w:autoSpaceDE w:val="0"/>
        <w:autoSpaceDN w:val="0"/>
        <w:adjustRightInd w:val="0"/>
        <w:ind w:left="714" w:hanging="357"/>
        <w:rPr>
          <w:rFonts w:cs="Calibri"/>
        </w:rPr>
      </w:pPr>
      <w:r w:rsidRPr="00C224FC">
        <w:rPr>
          <w:rFonts w:cs="Calibri"/>
        </w:rPr>
        <w:t>report on the findings, making appropriate and relevant recommendations for future activity.</w:t>
      </w:r>
    </w:p>
    <w:p w:rsidR="007718C7" w:rsidRPr="00A65A97" w:rsidRDefault="007718C7" w:rsidP="0074457D">
      <w:pPr>
        <w:rPr>
          <w:szCs w:val="20"/>
        </w:rPr>
      </w:pPr>
      <w:r>
        <w:rPr>
          <w:szCs w:val="20"/>
        </w:rPr>
        <w:t xml:space="preserve">Hospital-acquired diagnoses are indicated by the COF.  This is a flag that clinical coders assign to each diagnosis for each admitted episode of care to indicate whether the diagnosis </w:t>
      </w:r>
      <w:r w:rsidRPr="00A65A97">
        <w:rPr>
          <w:szCs w:val="20"/>
        </w:rPr>
        <w:t>was present on admission or acquired during the hospital stay. It was introduced into the Admitted Patient Care</w:t>
      </w:r>
      <w:r>
        <w:rPr>
          <w:szCs w:val="20"/>
        </w:rPr>
        <w:t xml:space="preserve"> (APC)</w:t>
      </w:r>
      <w:r w:rsidRPr="00A65A97">
        <w:rPr>
          <w:szCs w:val="20"/>
        </w:rPr>
        <w:t xml:space="preserve"> National Minimum Data Set (NMDS) on 1 July 2008, although some states (e.g. </w:t>
      </w:r>
      <w:r>
        <w:rPr>
          <w:szCs w:val="20"/>
        </w:rPr>
        <w:t>Queensland</w:t>
      </w:r>
      <w:r w:rsidRPr="00A65A97">
        <w:rPr>
          <w:szCs w:val="20"/>
        </w:rPr>
        <w:t xml:space="preserve"> and Vic</w:t>
      </w:r>
      <w:r>
        <w:rPr>
          <w:szCs w:val="20"/>
        </w:rPr>
        <w:t>toria</w:t>
      </w:r>
      <w:r w:rsidRPr="00A65A97">
        <w:rPr>
          <w:szCs w:val="20"/>
        </w:rPr>
        <w:t>) were already collecting it prior</w:t>
      </w:r>
      <w:r>
        <w:rPr>
          <w:szCs w:val="20"/>
        </w:rPr>
        <w:t xml:space="preserve"> to it becoming a national standard</w:t>
      </w:r>
      <w:r w:rsidRPr="00A65A97">
        <w:rPr>
          <w:szCs w:val="20"/>
        </w:rPr>
        <w:t>.</w:t>
      </w:r>
    </w:p>
    <w:p w:rsidR="00404A84" w:rsidRDefault="007718C7" w:rsidP="00741005">
      <w:r w:rsidRPr="00A65A97">
        <w:rPr>
          <w:szCs w:val="20"/>
        </w:rPr>
        <w:t>Conditions acquired during hospitalisation are not necessarily conditions that can be prevented, and do not necessarily imply that the care provided to a patient was suboptimal (</w:t>
      </w:r>
      <w:hyperlink w:anchor="_ENREF_26" w:tooltip="Pronovost, 2008 #13" w:history="1">
        <w:r w:rsidR="00C33CAE">
          <w:rPr>
            <w:szCs w:val="20"/>
          </w:rPr>
          <w:fldChar w:fldCharType="begin"/>
        </w:r>
        <w:r w:rsidR="00C33CAE">
          <w:rPr>
            <w:szCs w:val="20"/>
          </w:rPr>
          <w:instrText xml:space="preserve"> ADDIN EN.CITE &lt;EndNote&gt;&lt;Cite&gt;&lt;Author&gt;Pronovost&lt;/Author&gt;&lt;Year&gt;2008&lt;/Year&gt;&lt;RecNum&gt;13&lt;/RecNum&gt;&lt;DisplayText&gt;Pronovost et al., 2008&lt;/DisplayText&gt;&lt;record&gt;&lt;rec-number&gt;13&lt;/rec-number&gt;&lt;foreign-keys&gt;&lt;key app="EN" db-id="92tftt5v2arxd6e9wzr50w2w0rz0epx099ft" timestamp="1371532947"&gt;13&lt;/key&gt;&lt;/foreign-keys&gt;&lt;ref-type name="Journal Article"&gt;17&lt;/ref-type&gt;&lt;contributors&gt;&lt;authors&gt;&lt;author&gt;Pronovost, P&lt;/author&gt;&lt;author&gt;Goeschel, C&lt;/author&gt;&lt;author&gt;Wachter, R&lt;/author&gt;&lt;/authors&gt;&lt;/contributors&gt;&lt;titles&gt;&lt;title&gt;The wisdom and justice of not paying for “preventable complications”&lt;/title&gt;&lt;secondary-title&gt;Journal of the American Medical Association&lt;/secondary-title&gt;&lt;/titles&gt;&lt;periodical&gt;&lt;full-title&gt;Journal of the American Medical Association&lt;/full-title&gt;&lt;/periodical&gt;&lt;pages&gt;2197–2199&lt;/pages&gt;&lt;volume&gt;299&lt;/volume&gt;&lt;dates&gt;&lt;year&gt;2008&lt;/year&gt;&lt;/dates&gt;&lt;urls&gt;&lt;/urls&gt;&lt;/record&gt;&lt;/Cite&gt;&lt;/EndNote&gt;</w:instrText>
        </w:r>
        <w:r w:rsidR="00C33CAE">
          <w:rPr>
            <w:szCs w:val="20"/>
          </w:rPr>
          <w:fldChar w:fldCharType="separate"/>
        </w:r>
        <w:r w:rsidR="00C33CAE">
          <w:rPr>
            <w:noProof/>
            <w:szCs w:val="20"/>
          </w:rPr>
          <w:t>Pronovost et al., 2008</w:t>
        </w:r>
        <w:r w:rsidR="00C33CAE">
          <w:rPr>
            <w:szCs w:val="20"/>
          </w:rPr>
          <w:fldChar w:fldCharType="end"/>
        </w:r>
      </w:hyperlink>
      <w:r w:rsidRPr="00A65A97">
        <w:rPr>
          <w:szCs w:val="20"/>
        </w:rPr>
        <w:t xml:space="preserve">).  However, many </w:t>
      </w:r>
      <w:r>
        <w:rPr>
          <w:szCs w:val="20"/>
        </w:rPr>
        <w:t>hospital</w:t>
      </w:r>
      <w:r>
        <w:rPr>
          <w:szCs w:val="20"/>
        </w:rPr>
        <w:noBreakHyphen/>
        <w:t xml:space="preserve">acquired conditions </w:t>
      </w:r>
      <w:r w:rsidRPr="00A65A97">
        <w:rPr>
          <w:szCs w:val="20"/>
        </w:rPr>
        <w:t xml:space="preserve">have </w:t>
      </w:r>
      <w:r>
        <w:rPr>
          <w:szCs w:val="20"/>
        </w:rPr>
        <w:t xml:space="preserve">been </w:t>
      </w:r>
      <w:r w:rsidRPr="00A65A97">
        <w:rPr>
          <w:szCs w:val="20"/>
        </w:rPr>
        <w:t>shown to be amenable to</w:t>
      </w:r>
      <w:r>
        <w:rPr>
          <w:szCs w:val="20"/>
        </w:rPr>
        <w:t xml:space="preserve"> a</w:t>
      </w:r>
      <w:r w:rsidRPr="00A65A97">
        <w:rPr>
          <w:szCs w:val="20"/>
        </w:rPr>
        <w:t xml:space="preserve"> reduction in their rates (</w:t>
      </w:r>
      <w:hyperlink w:anchor="_ENREF_32" w:tooltip="Wilson, 1995 #14" w:history="1">
        <w:r w:rsidR="00C33CAE">
          <w:rPr>
            <w:szCs w:val="20"/>
          </w:rPr>
          <w:fldChar w:fldCharType="begin"/>
        </w:r>
        <w:r w:rsidR="00C33CAE">
          <w:rPr>
            <w:szCs w:val="20"/>
          </w:rPr>
          <w:instrText xml:space="preserve"> ADDIN EN.CITE &lt;EndNote&gt;&lt;Cite&gt;&lt;Author&gt;Wilson&lt;/Author&gt;&lt;Year&gt;1995&lt;/Year&gt;&lt;RecNum&gt;14&lt;/RecNum&gt;&lt;DisplayText&gt;Wilson et al., 1995&lt;/DisplayText&gt;&lt;record&gt;&lt;rec-number&gt;14&lt;/rec-number&gt;&lt;foreign-keys&gt;&lt;key app="EN" db-id="92tftt5v2arxd6e9wzr50w2w0rz0epx099ft" timestamp="1371533287"&gt;14&lt;/key&gt;&lt;/foreign-keys&gt;&lt;ref-type name="Journal Article"&gt;17&lt;/ref-type&gt;&lt;contributors&gt;&lt;authors&gt;&lt;author&gt;Wilson, RM&lt;/author&gt;&lt;author&gt;Runciman, WB&lt;/author&gt;&lt;author&gt;Gibberd, RW&lt;/author&gt;&lt;author&gt;Harrison, BT&lt;/author&gt;&lt;author&gt;Newby, L&lt;/author&gt;&lt;author&gt;Hamilton, JD&lt;/author&gt;&lt;/authors&gt;&lt;/contributors&gt;&lt;titles&gt;&lt;title&gt;The Quality in Australian Health Care Study&lt;/title&gt;&lt;secondary-title&gt;Medical Journal of Australia&lt;/secondary-title&gt;&lt;/titles&gt;&lt;periodical&gt;&lt;full-title&gt;Medical Journal of Australia&lt;/full-title&gt;&lt;/periodical&gt;&lt;pages&gt;458-471&lt;/pages&gt;&lt;volume&gt;163&lt;/volume&gt;&lt;dates&gt;&lt;year&gt;1995&lt;/year&gt;&lt;/dates&gt;&lt;urls&gt;&lt;/urls&gt;&lt;/record&gt;&lt;/Cite&gt;&lt;/EndNote&gt;</w:instrText>
        </w:r>
        <w:r w:rsidR="00C33CAE">
          <w:rPr>
            <w:szCs w:val="20"/>
          </w:rPr>
          <w:fldChar w:fldCharType="separate"/>
        </w:r>
        <w:r w:rsidR="00C33CAE">
          <w:rPr>
            <w:noProof/>
            <w:szCs w:val="20"/>
          </w:rPr>
          <w:t>Wilson et al., 1995</w:t>
        </w:r>
        <w:r w:rsidR="00C33CAE">
          <w:rPr>
            <w:szCs w:val="20"/>
          </w:rPr>
          <w:fldChar w:fldCharType="end"/>
        </w:r>
      </w:hyperlink>
      <w:r>
        <w:rPr>
          <w:szCs w:val="20"/>
        </w:rPr>
        <w:t xml:space="preserve">; </w:t>
      </w:r>
      <w:hyperlink w:anchor="_ENREF_5" w:tooltip="Berenholtz, 2011 #127" w:history="1">
        <w:r w:rsidR="00C33CAE">
          <w:fldChar w:fldCharType="begin">
            <w:fldData xml:space="preserve">PEVuZE5vdGU+PENpdGU+PEF1dGhvcj5CZXJlbmhvbHR6PC9BdXRob3I+PFllYXI+MjAxMTwvWWVh
cj48UmVjTnVtPjEyNzwvUmVjTnVtPjxEaXNwbGF5VGV4dD5CZXJlbmhvbHR6IGV0IGFsLiwgMjAx
MTwvRGlzcGxheVRleHQ+PHJlY29yZD48cmVjLW51bWJlcj4xMjc8L3JlYy1udW1iZXI+PGZvcmVp
Z24ta2V5cz48a2V5IGFwcD0iRU4iIGRiLWlkPSI5MnRmdHQ1djJhcnhkNmU5d3pyNTB3Mncwcnow
ZXB4MDk5ZnQiIHRpbWVzdGFtcD0iMTM4MDM0MzcyMCI+MTI3PC9rZXk+PC9mb3JlaWduLWtleXM+
PHJlZi10eXBlIG5hbWU9IkpvdXJuYWwgQXJ0aWNsZSI+MTc8L3JlZi10eXBlPjxjb250cmlidXRv
cnM+PGF1dGhvcnM+PGF1dGhvcj5CZXJlbmhvbHR6LCBTLiBNLjwvYXV0aG9yPjxhdXRob3I+UGhh
bSwgSi4gQy48L2F1dGhvcj48YXV0aG9yPlRob21wc29uLCBELiBBLjwvYXV0aG9yPjxhdXRob3I+
TmVlZGhhbSwgRC4gTS48L2F1dGhvcj48YXV0aG9yPkx1Ym9tc2tpLCBMLiBILjwvYXV0aG9yPjxh
dXRob3I+SHl6eSwgUi4gQy48L2F1dGhvcj48YXV0aG9yPldlbHNoLCBSLjwvYXV0aG9yPjxhdXRo
b3I+Q29zZ3JvdmUsIFMuIEUuPC9hdXRob3I+PGF1dGhvcj5TZXh0b24sIEouIEIuPC9hdXRob3I+
PGF1dGhvcj5Db2xhbnR1b25pLCBFLjwvYXV0aG9yPjxhdXRob3I+V2F0c29uLCBTLiBSLjwvYXV0
aG9yPjxhdXRob3I+R29lc2NoZWwsIEMuIEEuPC9hdXRob3I+PGF1dGhvcj5Qcm9ub3Zvc3QsIFAu
IEouPC9hdXRob3I+PC9hdXRob3JzPjwvY29udHJpYnV0b3JzPjxhdXRoLWFkZHJlc3M+Sm9obnMg
SG9wa2lucyBVbml2ZXJzaXR5IFNjaG9vbCBvZiBNZWRpY2luZSwgQmFsdGltb3JlLCBNYXJ5bGFu
ZCwgVVNBLiBzYmVyZW5ob0BqaG1pLmVkdTwvYXV0aC1hZGRyZXNzPjx0aXRsZXM+PHRpdGxlPkNv
bGxhYm9yYXRpdmUgY29ob3J0IHN0dWR5IG9mIGFuIGludGVydmVudGlvbiB0byByZWR1Y2UgdmVu
dGlsYXRvci1hc3NvY2lhdGVkIHBuZXVtb25pYSBpbiB0aGUgaW50ZW5zaXZlIGNhcmUgdW5pdDwv
dGl0bGU+PHNlY29uZGFyeS10aXRsZT5JbmZlY3QgQ29udHJvbCBIb3NwIEVwaWRlbWlvbDwvc2Vj
b25kYXJ5LXRpdGxlPjxhbHQtdGl0bGU+SW5mZWN0aW9uIGNvbnRyb2wgYW5kIGhvc3BpdGFsIGVw
aWRlbWlvbG9neSA6IHRoZSBvZmZpY2lhbCBqb3VybmFsIG9mIHRoZSBTb2NpZXR5IG9mIEhvc3Bp
dGFsIEVwaWRlbWlvbG9naXN0cyBvZiBBbWVyaWNhPC9hbHQtdGl0bGU+PC90aXRsZXM+PHBlcmlv
ZGljYWw+PGZ1bGwtdGl0bGU+SW5mZWN0IENvbnRyb2wgSG9zcCBFcGlkZW1pb2w8L2Z1bGwtdGl0
bGU+PGFiYnItMT5JbmZlY3Rpb24gY29udHJvbCBhbmQgaG9zcGl0YWwgZXBpZGVtaW9sb2d5IDog
dGhlIG9mZmljaWFsIGpvdXJuYWwgb2YgdGhlIFNvY2lldHkgb2YgSG9zcGl0YWwgRXBpZGVtaW9s
b2dpc3RzIG9mIEFtZXJpY2E8L2FiYnItMT48L3BlcmlvZGljYWw+PGFsdC1wZXJpb2RpY2FsPjxm
dWxsLXRpdGxlPkluZmVjdCBDb250cm9sIEhvc3AgRXBpZGVtaW9sPC9mdWxsLXRpdGxlPjxhYmJy
LTE+SW5mZWN0aW9uIGNvbnRyb2wgYW5kIGhvc3BpdGFsIGVwaWRlbWlvbG9neSA6IHRoZSBvZmZp
Y2lhbCBqb3VybmFsIG9mIHRoZSBTb2NpZXR5IG9mIEhvc3BpdGFsIEVwaWRlbWlvbG9naXN0cyBv
ZiBBbWVyaWNhPC9hYmJyLTE+PC9hbHQtcGVyaW9kaWNhbD48cGFnZXM+MzA1LTE0PC9wYWdlcz48
dm9sdW1lPjMyPC92b2x1bWU+PG51bWJlcj40PC9udW1iZXI+PGVkaXRpb24+MjAxMS8wNC8wNTwv
ZWRpdGlvbj48a2V5d29yZHM+PGtleXdvcmQ+Q29ob3J0IFN0dWRpZXM8L2tleXdvcmQ+PGtleXdv
cmQ+RXZpZGVuY2UtQmFzZWQgTWVkaWNpbmU8L2tleXdvcmQ+PGtleXdvcmQ+R3VpZGVsaW5lIEFk
aGVyZW5jZTwva2V5d29yZD48a2V5d29yZD5IdW1hbnM8L2tleXdvcmQ+PGtleXdvcmQ+SW5jaWRl
bmNlPC9rZXl3b3JkPjxrZXl3b3JkPipJbmZlY3Rpb24gQ29udHJvbC9tZXRob2RzL3N0YXRpc3Rp
Y3MgJmFtcDsgbnVtZXJpY2FsIGRhdGE8L2tleXdvcmQ+PGtleXdvcmQ+KkludGVuc2l2ZSBDYXJl
IFVuaXRzL29yZ2FuaXphdGlvbiAmYW1wOyBhZG1pbmlzdHJhdGlvbi9zdGF0aXN0aWNzICZhbXA7
IG51bWVyaWNhbCBkYXRhPC9rZXl3b3JkPjxrZXl3b3JkPlBuZXVtb25pYSwgVmVudGlsYXRvci1B
c3NvY2lhdGVkL2VwaWRlbWlvbG9neS8qcHJldmVudGlvbiAmYW1wOyBjb250cm9sPC9rZXl3b3Jk
PjxrZXl3b3JkPlBvaXNzb24gRGlzdHJpYnV0aW9uPC9rZXl3b3JkPjxrZXl3b3JkPlJlZ3Jlc3Np
b24gQW5hbHlzaXM8L2tleXdvcmQ+PGtleXdvcmQ+UmVzcGlyYXRpb24sIEFydGlmaWNpYWwvYWR2
ZXJzZSBlZmZlY3RzPC9rZXl3b3JkPjwva2V5d29yZHM+PGRhdGVzPjx5ZWFyPjIwMTE8L3llYXI+
PHB1Yi1kYXRlcz48ZGF0ZT5BcHI8L2RhdGU+PC9wdWItZGF0ZXM+PC9kYXRlcz48aXNibj4xNTU5
LTY4MzQgKEVsZWN0cm9uaWMpJiN4RDswODk5LTgyM1ggKExpbmtpbmcpPC9pc2JuPjxhY2Nlc3Np
b24tbnVtPjIxNDYwNDgxPC9hY2Nlc3Npb24tbnVtPjx3b3JrLXR5cGU+UmVzZWFyY2ggU3VwcG9y
dCwgTi5JLkguLCBFeHRyYW11cmFsJiN4RDtSZXNlYXJjaCBTdXBwb3J0LCBOb24tVS5TLiBHb3Ym
YXBvczt0PC93b3JrLXR5cGU+PHVybHM+PHJlbGF0ZWQtdXJscz48dXJsPmh0dHA6Ly93d3cubmNi
aS5ubG0ubmloLmdvdi9wdWJtZWQvMjE0NjA0ODE8L3VybD48dXJsPmh0dHA6Ly93d3cuanN0b3Iu
b3JnL3N0YWJsZS9wZGZwbHVzLzEwLjEwODYvNjU4OTM4LnBkZj9hY2NlcHRUQz10cnVlPC91cmw+
PC9yZWxhdGVkLXVybHM+PC91cmxzPjxlbGVjdHJvbmljLXJlc291cmNlLW51bT4xMC4xMDg2LzY1
ODkzODwvZWxlY3Ryb25pYy1yZXNvdXJjZS1udW0+PGxhbmd1YWdlPmVuZzwvbGFuZ3VhZ2U+PC9y
ZWNvcmQ+PC9DaXRlPjwvRW5kTm90ZT5=
</w:fldData>
          </w:fldChar>
        </w:r>
        <w:r w:rsidR="00C33CAE">
          <w:instrText xml:space="preserve"> ADDIN EN.CITE </w:instrText>
        </w:r>
        <w:r w:rsidR="00C33CAE">
          <w:fldChar w:fldCharType="begin">
            <w:fldData xml:space="preserve">PEVuZE5vdGU+PENpdGU+PEF1dGhvcj5CZXJlbmhvbHR6PC9BdXRob3I+PFllYXI+MjAxMTwvWWVh
cj48UmVjTnVtPjEyNzwvUmVjTnVtPjxEaXNwbGF5VGV4dD5CZXJlbmhvbHR6IGV0IGFsLiwgMjAx
MTwvRGlzcGxheVRleHQ+PHJlY29yZD48cmVjLW51bWJlcj4xMjc8L3JlYy1udW1iZXI+PGZvcmVp
Z24ta2V5cz48a2V5IGFwcD0iRU4iIGRiLWlkPSI5MnRmdHQ1djJhcnhkNmU5d3pyNTB3Mncwcnow
ZXB4MDk5ZnQiIHRpbWVzdGFtcD0iMTM4MDM0MzcyMCI+MTI3PC9rZXk+PC9mb3JlaWduLWtleXM+
PHJlZi10eXBlIG5hbWU9IkpvdXJuYWwgQXJ0aWNsZSI+MTc8L3JlZi10eXBlPjxjb250cmlidXRv
cnM+PGF1dGhvcnM+PGF1dGhvcj5CZXJlbmhvbHR6LCBTLiBNLjwvYXV0aG9yPjxhdXRob3I+UGhh
bSwgSi4gQy48L2F1dGhvcj48YXV0aG9yPlRob21wc29uLCBELiBBLjwvYXV0aG9yPjxhdXRob3I+
TmVlZGhhbSwgRC4gTS48L2F1dGhvcj48YXV0aG9yPkx1Ym9tc2tpLCBMLiBILjwvYXV0aG9yPjxh
dXRob3I+SHl6eSwgUi4gQy48L2F1dGhvcj48YXV0aG9yPldlbHNoLCBSLjwvYXV0aG9yPjxhdXRo
b3I+Q29zZ3JvdmUsIFMuIEUuPC9hdXRob3I+PGF1dGhvcj5TZXh0b24sIEouIEIuPC9hdXRob3I+
PGF1dGhvcj5Db2xhbnR1b25pLCBFLjwvYXV0aG9yPjxhdXRob3I+V2F0c29uLCBTLiBSLjwvYXV0
aG9yPjxhdXRob3I+R29lc2NoZWwsIEMuIEEuPC9hdXRob3I+PGF1dGhvcj5Qcm9ub3Zvc3QsIFAu
IEouPC9hdXRob3I+PC9hdXRob3JzPjwvY29udHJpYnV0b3JzPjxhdXRoLWFkZHJlc3M+Sm9obnMg
SG9wa2lucyBVbml2ZXJzaXR5IFNjaG9vbCBvZiBNZWRpY2luZSwgQmFsdGltb3JlLCBNYXJ5bGFu
ZCwgVVNBLiBzYmVyZW5ob0BqaG1pLmVkdTwvYXV0aC1hZGRyZXNzPjx0aXRsZXM+PHRpdGxlPkNv
bGxhYm9yYXRpdmUgY29ob3J0IHN0dWR5IG9mIGFuIGludGVydmVudGlvbiB0byByZWR1Y2UgdmVu
dGlsYXRvci1hc3NvY2lhdGVkIHBuZXVtb25pYSBpbiB0aGUgaW50ZW5zaXZlIGNhcmUgdW5pdDwv
dGl0bGU+PHNlY29uZGFyeS10aXRsZT5JbmZlY3QgQ29udHJvbCBIb3NwIEVwaWRlbWlvbDwvc2Vj
b25kYXJ5LXRpdGxlPjxhbHQtdGl0bGU+SW5mZWN0aW9uIGNvbnRyb2wgYW5kIGhvc3BpdGFsIGVw
aWRlbWlvbG9neSA6IHRoZSBvZmZpY2lhbCBqb3VybmFsIG9mIHRoZSBTb2NpZXR5IG9mIEhvc3Bp
dGFsIEVwaWRlbWlvbG9naXN0cyBvZiBBbWVyaWNhPC9hbHQtdGl0bGU+PC90aXRsZXM+PHBlcmlv
ZGljYWw+PGZ1bGwtdGl0bGU+SW5mZWN0IENvbnRyb2wgSG9zcCBFcGlkZW1pb2w8L2Z1bGwtdGl0
bGU+PGFiYnItMT5JbmZlY3Rpb24gY29udHJvbCBhbmQgaG9zcGl0YWwgZXBpZGVtaW9sb2d5IDog
dGhlIG9mZmljaWFsIGpvdXJuYWwgb2YgdGhlIFNvY2lldHkgb2YgSG9zcGl0YWwgRXBpZGVtaW9s
b2dpc3RzIG9mIEFtZXJpY2E8L2FiYnItMT48L3BlcmlvZGljYWw+PGFsdC1wZXJpb2RpY2FsPjxm
dWxsLXRpdGxlPkluZmVjdCBDb250cm9sIEhvc3AgRXBpZGVtaW9sPC9mdWxsLXRpdGxlPjxhYmJy
LTE+SW5mZWN0aW9uIGNvbnRyb2wgYW5kIGhvc3BpdGFsIGVwaWRlbWlvbG9neSA6IHRoZSBvZmZp
Y2lhbCBqb3VybmFsIG9mIHRoZSBTb2NpZXR5IG9mIEhvc3BpdGFsIEVwaWRlbWlvbG9naXN0cyBv
ZiBBbWVyaWNhPC9hYmJyLTE+PC9hbHQtcGVyaW9kaWNhbD48cGFnZXM+MzA1LTE0PC9wYWdlcz48
dm9sdW1lPjMyPC92b2x1bWU+PG51bWJlcj40PC9udW1iZXI+PGVkaXRpb24+MjAxMS8wNC8wNTwv
ZWRpdGlvbj48a2V5d29yZHM+PGtleXdvcmQ+Q29ob3J0IFN0dWRpZXM8L2tleXdvcmQ+PGtleXdv
cmQ+RXZpZGVuY2UtQmFzZWQgTWVkaWNpbmU8L2tleXdvcmQ+PGtleXdvcmQ+R3VpZGVsaW5lIEFk
aGVyZW5jZTwva2V5d29yZD48a2V5d29yZD5IdW1hbnM8L2tleXdvcmQ+PGtleXdvcmQ+SW5jaWRl
bmNlPC9rZXl3b3JkPjxrZXl3b3JkPipJbmZlY3Rpb24gQ29udHJvbC9tZXRob2RzL3N0YXRpc3Rp
Y3MgJmFtcDsgbnVtZXJpY2FsIGRhdGE8L2tleXdvcmQ+PGtleXdvcmQ+KkludGVuc2l2ZSBDYXJl
IFVuaXRzL29yZ2FuaXphdGlvbiAmYW1wOyBhZG1pbmlzdHJhdGlvbi9zdGF0aXN0aWNzICZhbXA7
IG51bWVyaWNhbCBkYXRhPC9rZXl3b3JkPjxrZXl3b3JkPlBuZXVtb25pYSwgVmVudGlsYXRvci1B
c3NvY2lhdGVkL2VwaWRlbWlvbG9neS8qcHJldmVudGlvbiAmYW1wOyBjb250cm9sPC9rZXl3b3Jk
PjxrZXl3b3JkPlBvaXNzb24gRGlzdHJpYnV0aW9uPC9rZXl3b3JkPjxrZXl3b3JkPlJlZ3Jlc3Np
b24gQW5hbHlzaXM8L2tleXdvcmQ+PGtleXdvcmQ+UmVzcGlyYXRpb24sIEFydGlmaWNpYWwvYWR2
ZXJzZSBlZmZlY3RzPC9rZXl3b3JkPjwva2V5d29yZHM+PGRhdGVzPjx5ZWFyPjIwMTE8L3llYXI+
PHB1Yi1kYXRlcz48ZGF0ZT5BcHI8L2RhdGU+PC9wdWItZGF0ZXM+PC9kYXRlcz48aXNibj4xNTU5
LTY4MzQgKEVsZWN0cm9uaWMpJiN4RDswODk5LTgyM1ggKExpbmtpbmcpPC9pc2JuPjxhY2Nlc3Np
b24tbnVtPjIxNDYwNDgxPC9hY2Nlc3Npb24tbnVtPjx3b3JrLXR5cGU+UmVzZWFyY2ggU3VwcG9y
dCwgTi5JLkguLCBFeHRyYW11cmFsJiN4RDtSZXNlYXJjaCBTdXBwb3J0LCBOb24tVS5TLiBHb3Ym
YXBvczt0PC93b3JrLXR5cGU+PHVybHM+PHJlbGF0ZWQtdXJscz48dXJsPmh0dHA6Ly93d3cubmNi
aS5ubG0ubmloLmdvdi9wdWJtZWQvMjE0NjA0ODE8L3VybD48dXJsPmh0dHA6Ly93d3cuanN0b3Iu
b3JnL3N0YWJsZS9wZGZwbHVzLzEwLjEwODYvNjU4OTM4LnBkZj9hY2NlcHRUQz10cnVlPC91cmw+
PC9yZWxhdGVkLXVybHM+PC91cmxzPjxlbGVjdHJvbmljLXJlc291cmNlLW51bT4xMC4xMDg2LzY1
ODkzODwvZWxlY3Ryb25pYy1yZXNvdXJjZS1udW0+PGxhbmd1YWdlPmVuZzwvbGFuZ3VhZ2U+PC9y
ZWNvcmQ+PC9DaXRlPjwvRW5kTm90ZT5=
</w:fldData>
          </w:fldChar>
        </w:r>
        <w:r w:rsidR="00C33CAE">
          <w:instrText xml:space="preserve"> ADDIN EN.CITE.DATA </w:instrText>
        </w:r>
        <w:r w:rsidR="00C33CAE">
          <w:fldChar w:fldCharType="end"/>
        </w:r>
        <w:r w:rsidR="00C33CAE">
          <w:fldChar w:fldCharType="separate"/>
        </w:r>
        <w:r w:rsidR="00C33CAE">
          <w:rPr>
            <w:noProof/>
          </w:rPr>
          <w:t>Berenholtz et al., 2011</w:t>
        </w:r>
        <w:r w:rsidR="00C33CAE">
          <w:fldChar w:fldCharType="end"/>
        </w:r>
      </w:hyperlink>
      <w:r>
        <w:rPr>
          <w:rFonts w:cs="MyriadPro-Regular"/>
          <w:szCs w:val="20"/>
          <w:lang w:val="en-US"/>
        </w:rPr>
        <w:t xml:space="preserve">; </w:t>
      </w:r>
      <w:hyperlink w:anchor="_ENREF_27" w:tooltip="Pronovost, 2006 #131" w:history="1">
        <w:r w:rsidR="00C33CAE">
          <w:rPr>
            <w:rFonts w:cs="MyriadPro-Regular"/>
            <w:szCs w:val="20"/>
            <w:lang w:val="en-US"/>
          </w:rPr>
          <w:fldChar w:fldCharType="begin">
            <w:fldData xml:space="preserve">PEVuZE5vdGU+PENpdGU+PEF1dGhvcj5Qcm9ub3Zvc3Q8L0F1dGhvcj48WWVhcj4yMDA2PC9ZZWFy
PjxSZWNOdW0+MTMxPC9SZWNOdW0+PERpc3BsYXlUZXh0PlByb25vdm9zdCBldCBhbC4sIDIwMDY8
L0Rpc3BsYXlUZXh0PjxyZWNvcmQ+PHJlYy1udW1iZXI+MTMxPC9yZWMtbnVtYmVyPjxmb3JlaWdu
LWtleXM+PGtleSBhcHA9IkVOIiBkYi1pZD0iOTJ0ZnR0NXYyYXJ4ZDZlOXd6cjUwdzJ3MHJ6MGVw
eDA5OWZ0IiB0aW1lc3RhbXA9IjEzODAzNDM4MTgiPjEzMTwva2V5PjwvZm9yZWlnbi1rZXlzPjxy
ZWYtdHlwZSBuYW1lPSJKb3VybmFsIEFydGljbGUiPjE3PC9yZWYtdHlwZT48Y29udHJpYnV0b3Jz
PjxhdXRob3JzPjxhdXRob3I+UHJvbm92b3N0LCBQPC9hdXRob3I+PGF1dGhvcj5OZWVkaGFtLCBE
PC9hdXRob3I+PGF1dGhvcj5CZXJlbmhvbHR6LCBTPC9hdXRob3I+PGF1dGhvcj5TaW5vcG9saSwg
RDwvYXV0aG9yPjxhdXRob3I+Q2h1LCBIPC9hdXRob3I+PGF1dGhvcj5Db3Nncm92ZSwgUzwvYXV0
aG9yPjxhdXRob3I+U2V4dG9uLCBCPC9hdXRob3I+PGF1dGhvcj5IeXp5LCBSPC9hdXRob3I+PGF1
dGhvcj5XZWxzaCwgUjwvYXV0aG9yPjxhdXRob3I+Um90aCwgRzwvYXV0aG9yPjxhdXRob3I+QmFu
ZGVyLCBKPC9hdXRob3I+PGF1dGhvcj5LZXByb3MsIEo8L2F1dGhvcj48YXV0aG9yPkdvZXNjaGVs
LCBDPC9hdXRob3I+PC9hdXRob3JzPjwvY29udHJpYnV0b3JzPjxhdXRoLWFkZHJlc3M+U2Nob29s
IG9mIE1lZGljaW5lLCBKb2hucyBIb3BraW5zIFVuaXZlcnNpdHksIEJhbHRpbW9yZSwgVVNBPC9h
dXRoLWFkZHJlc3M+PHRpdGxlcz48dGl0bGU+QW4gaW50ZXJ2ZW50aW9uIHRvIGRlY3JlYXNlIGNh
dGhldGVyLXJlbGF0ZWQgYmxvb2RzdHJlYW0gaW5mZWN0aW9ucyBpbiB0aGUgSUNVPC90aXRsZT48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b2RpY2FsPjxwYWdlcz4yNzI1LTMyPC9wYWdlcz48dm9sdW1lPjM1NTwvdm9sdW1lPjxudW1iZXI+
MjY8L251bWJlcj48ZWRpdGlvbj4yMDA2LzEyLzI5PC9lZGl0aW9uPjxrZXl3b3Jkcz48a2V5d29y
ZD5BZHVsdDwva2V5d29yZD48a2V5d29yZD5CYWN0ZXJlbWlhL2VwaWRlbWlvbG9neS8qcHJldmVu
dGlvbiAmYW1wOyBjb250cm9sPC9rZXl3b3JkPjxrZXl3b3JkPkNhdGhldGVycywgSW5kd2VsbGlu
Zy8qYWR2ZXJzZSBlZmZlY3RzPC9rZXl3b3JkPjxrZXl3b3JkPkNvaG9ydCBTdHVkaWVzPC9rZXl3
b3JkPjxrZXl3b3JkPkNyb3NzIEluZmVjdGlvbi9lcGlkZW1pb2xvZ3kvKnByZXZlbnRpb24gJmFt
cDsgY29udHJvbDwva2V5d29yZD48a2V5d29yZD5IdW1hbnM8L2tleXdvcmQ+PGtleXdvcmQ+SW5j
aWRlbmNlPC9rZXl3b3JkPjxrZXl3b3JkPkluZmVjdGlvbiBDb250cm9sLyptZXRob2RzL3N0YW5k
YXJkczwva2V5d29yZD48a2V5d29yZD5JbnNlcnZpY2UgVHJhaW5pbmc8L2tleXdvcmQ+PGtleXdv
cmQ+SW50ZW5zaXZlIENhcmUgVW5pdHMvKnN0YW5kYXJkczwva2V5d29yZD48a2V5d29yZD5NaWNo
aWdhbi9lcGlkZW1pb2xvZ3k8L2tleXdvcmQ+PGtleXdvcmQ+UG9pc3NvbiBEaXN0cmlidXRpb248
L2tleXdvcmQ+PGtleXdvcmQ+UXVhbGl0eSBBc3N1cmFuY2UsIEhlYWx0aCBDYXJlPC9rZXl3b3Jk
PjxrZXl3b3JkPlJlZ3Jlc3Npb24gQW5hbHlzaXM8L2tleXdvcmQ+PC9rZXl3b3Jkcz48ZGF0ZXM+
PHllYXI+MjAwNjwveWVhcj48cHViLWRhdGVzPjxkYXRlPkRlYyAyODwvZGF0ZT48L3B1Yi1kYXRl
cz48L2RhdGVzPjxpc2JuPjE1MzMtNDQwNiAoRWxlY3Ryb25pYykmI3hEOzAwMjgtNDc5MyAoTGlu
a2luZyk8L2lzYm4+PGFjY2Vzc2lvbi1udW0+MTcxOTI1Mzc8L2FjY2Vzc2lvbi1udW0+PHdvcmst
dHlwZT5NdWx0aWNlbnRlciBTdHVkeSYjeEQ7UmVzZWFyY2ggU3VwcG9ydCwgVS5TLiBHb3YmYXBv
czt0LCBQLkguUy48L3dvcmstdHlwZT48dXJscz48cmVsYXRlZC11cmxzPjx1cmw+aHR0cDovL3d3
dy5uY2JpLm5sbS5uaWguZ292L3B1Ym1lZC8xNzE5MjUzNzwvdXJsPjwvcmVsYXRlZC11cmxzPjwv
dXJscz48ZWxlY3Ryb25pYy1yZXNvdXJjZS1udW0+MTAuMTA1Ni9ORUpNb2EwNjExMTU8L2VsZWN0
cm9uaWMtcmVzb3VyY2UtbnVtPjxsYW5ndWFnZT5lbmc8L2xhbmd1YWdlPjwvcmVjb3JkPjwvQ2l0
ZT48L0VuZE5vdGU+AG==
</w:fldData>
          </w:fldChar>
        </w:r>
        <w:r w:rsidR="00C33CAE">
          <w:rPr>
            <w:rFonts w:cs="MyriadPro-Regular"/>
            <w:szCs w:val="20"/>
            <w:lang w:val="en-US"/>
          </w:rPr>
          <w:instrText xml:space="preserve"> ADDIN EN.CITE </w:instrText>
        </w:r>
        <w:r w:rsidR="00C33CAE">
          <w:rPr>
            <w:rFonts w:cs="MyriadPro-Regular"/>
            <w:szCs w:val="20"/>
            <w:lang w:val="en-US"/>
          </w:rPr>
          <w:fldChar w:fldCharType="begin">
            <w:fldData xml:space="preserve">PEVuZE5vdGU+PENpdGU+PEF1dGhvcj5Qcm9ub3Zvc3Q8L0F1dGhvcj48WWVhcj4yMDA2PC9ZZWFy
PjxSZWNOdW0+MTMxPC9SZWNOdW0+PERpc3BsYXlUZXh0PlByb25vdm9zdCBldCBhbC4sIDIwMDY8
L0Rpc3BsYXlUZXh0PjxyZWNvcmQ+PHJlYy1udW1iZXI+MTMxPC9yZWMtbnVtYmVyPjxmb3JlaWdu
LWtleXM+PGtleSBhcHA9IkVOIiBkYi1pZD0iOTJ0ZnR0NXYyYXJ4ZDZlOXd6cjUwdzJ3MHJ6MGVw
eDA5OWZ0IiB0aW1lc3RhbXA9IjEzODAzNDM4MTgiPjEzMTwva2V5PjwvZm9yZWlnbi1rZXlzPjxy
ZWYtdHlwZSBuYW1lPSJKb3VybmFsIEFydGljbGUiPjE3PC9yZWYtdHlwZT48Y29udHJpYnV0b3Jz
PjxhdXRob3JzPjxhdXRob3I+UHJvbm92b3N0LCBQPC9hdXRob3I+PGF1dGhvcj5OZWVkaGFtLCBE
PC9hdXRob3I+PGF1dGhvcj5CZXJlbmhvbHR6LCBTPC9hdXRob3I+PGF1dGhvcj5TaW5vcG9saSwg
RDwvYXV0aG9yPjxhdXRob3I+Q2h1LCBIPC9hdXRob3I+PGF1dGhvcj5Db3Nncm92ZSwgUzwvYXV0
aG9yPjxhdXRob3I+U2V4dG9uLCBCPC9hdXRob3I+PGF1dGhvcj5IeXp5LCBSPC9hdXRob3I+PGF1
dGhvcj5XZWxzaCwgUjwvYXV0aG9yPjxhdXRob3I+Um90aCwgRzwvYXV0aG9yPjxhdXRob3I+QmFu
ZGVyLCBKPC9hdXRob3I+PGF1dGhvcj5LZXByb3MsIEo8L2F1dGhvcj48YXV0aG9yPkdvZXNjaGVs
LCBDPC9hdXRob3I+PC9hdXRob3JzPjwvY29udHJpYnV0b3JzPjxhdXRoLWFkZHJlc3M+U2Nob29s
IG9mIE1lZGljaW5lLCBKb2hucyBIb3BraW5zIFVuaXZlcnNpdHksIEJhbHRpbW9yZSwgVVNBPC9h
dXRoLWFkZHJlc3M+PHRpdGxlcz48dGl0bGU+QW4gaW50ZXJ2ZW50aW9uIHRvIGRlY3JlYXNlIGNh
dGhldGVyLXJlbGF0ZWQgYmxvb2RzdHJlYW0gaW5mZWN0aW9ucyBpbiB0aGUgSUNVPC90aXRsZT48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b2RpY2FsPjxwYWdlcz4yNzI1LTMyPC9wYWdlcz48dm9sdW1lPjM1NTwvdm9sdW1lPjxudW1iZXI+
MjY8L251bWJlcj48ZWRpdGlvbj4yMDA2LzEyLzI5PC9lZGl0aW9uPjxrZXl3b3Jkcz48a2V5d29y
ZD5BZHVsdDwva2V5d29yZD48a2V5d29yZD5CYWN0ZXJlbWlhL2VwaWRlbWlvbG9neS8qcHJldmVu
dGlvbiAmYW1wOyBjb250cm9sPC9rZXl3b3JkPjxrZXl3b3JkPkNhdGhldGVycywgSW5kd2VsbGlu
Zy8qYWR2ZXJzZSBlZmZlY3RzPC9rZXl3b3JkPjxrZXl3b3JkPkNvaG9ydCBTdHVkaWVzPC9rZXl3
b3JkPjxrZXl3b3JkPkNyb3NzIEluZmVjdGlvbi9lcGlkZW1pb2xvZ3kvKnByZXZlbnRpb24gJmFt
cDsgY29udHJvbDwva2V5d29yZD48a2V5d29yZD5IdW1hbnM8L2tleXdvcmQ+PGtleXdvcmQ+SW5j
aWRlbmNlPC9rZXl3b3JkPjxrZXl3b3JkPkluZmVjdGlvbiBDb250cm9sLyptZXRob2RzL3N0YW5k
YXJkczwva2V5d29yZD48a2V5d29yZD5JbnNlcnZpY2UgVHJhaW5pbmc8L2tleXdvcmQ+PGtleXdv
cmQ+SW50ZW5zaXZlIENhcmUgVW5pdHMvKnN0YW5kYXJkczwva2V5d29yZD48a2V5d29yZD5NaWNo
aWdhbi9lcGlkZW1pb2xvZ3k8L2tleXdvcmQ+PGtleXdvcmQ+UG9pc3NvbiBEaXN0cmlidXRpb248
L2tleXdvcmQ+PGtleXdvcmQ+UXVhbGl0eSBBc3N1cmFuY2UsIEhlYWx0aCBDYXJlPC9rZXl3b3Jk
PjxrZXl3b3JkPlJlZ3Jlc3Npb24gQW5hbHlzaXM8L2tleXdvcmQ+PC9rZXl3b3Jkcz48ZGF0ZXM+
PHllYXI+MjAwNjwveWVhcj48cHViLWRhdGVzPjxkYXRlPkRlYyAyODwvZGF0ZT48L3B1Yi1kYXRl
cz48L2RhdGVzPjxpc2JuPjE1MzMtNDQwNiAoRWxlY3Ryb25pYykmI3hEOzAwMjgtNDc5MyAoTGlu
a2luZyk8L2lzYm4+PGFjY2Vzc2lvbi1udW0+MTcxOTI1Mzc8L2FjY2Vzc2lvbi1udW0+PHdvcmst
dHlwZT5NdWx0aWNlbnRlciBTdHVkeSYjeEQ7UmVzZWFyY2ggU3VwcG9ydCwgVS5TLiBHb3YmYXBv
czt0LCBQLkguUy48L3dvcmstdHlwZT48dXJscz48cmVsYXRlZC11cmxzPjx1cmw+aHR0cDovL3d3
dy5uY2JpLm5sbS5uaWguZ292L3B1Ym1lZC8xNzE5MjUzNzwvdXJsPjwvcmVsYXRlZC11cmxzPjwv
dXJscz48ZWxlY3Ryb25pYy1yZXNvdXJjZS1udW0+MTAuMTA1Ni9ORUpNb2EwNjExMTU8L2VsZWN0
cm9uaWMtcmVzb3VyY2UtbnVtPjxsYW5ndWFnZT5lbmc8L2xhbmd1YWdlPjwvcmVjb3JkPjwvQ2l0
ZT48L0VuZE5vdGU+AG==
</w:fldData>
          </w:fldChar>
        </w:r>
        <w:r w:rsidR="00C33CAE">
          <w:rPr>
            <w:rFonts w:cs="MyriadPro-Regular"/>
            <w:szCs w:val="20"/>
            <w:lang w:val="en-US"/>
          </w:rPr>
          <w:instrText xml:space="preserve"> ADDIN EN.CITE.DATA </w:instrText>
        </w:r>
        <w:r w:rsidR="00C33CAE">
          <w:rPr>
            <w:rFonts w:cs="MyriadPro-Regular"/>
            <w:szCs w:val="20"/>
            <w:lang w:val="en-US"/>
          </w:rPr>
        </w:r>
        <w:r w:rsidR="00C33CAE">
          <w:rPr>
            <w:rFonts w:cs="MyriadPro-Regular"/>
            <w:szCs w:val="20"/>
            <w:lang w:val="en-US"/>
          </w:rPr>
          <w:fldChar w:fldCharType="end"/>
        </w:r>
        <w:r w:rsidR="00C33CAE">
          <w:rPr>
            <w:rFonts w:cs="MyriadPro-Regular"/>
            <w:szCs w:val="20"/>
            <w:lang w:val="en-US"/>
          </w:rPr>
        </w:r>
        <w:r w:rsidR="00C33CAE">
          <w:rPr>
            <w:rFonts w:cs="MyriadPro-Regular"/>
            <w:szCs w:val="20"/>
            <w:lang w:val="en-US"/>
          </w:rPr>
          <w:fldChar w:fldCharType="separate"/>
        </w:r>
        <w:r w:rsidR="00C33CAE">
          <w:rPr>
            <w:rFonts w:cs="MyriadPro-Regular"/>
            <w:noProof/>
            <w:szCs w:val="20"/>
            <w:lang w:val="en-US"/>
          </w:rPr>
          <w:t>Pronovost et al., 2006</w:t>
        </w:r>
        <w:r w:rsidR="00C33CAE">
          <w:rPr>
            <w:rFonts w:cs="MyriadPro-Regular"/>
            <w:szCs w:val="20"/>
            <w:lang w:val="en-US"/>
          </w:rPr>
          <w:fldChar w:fldCharType="end"/>
        </w:r>
      </w:hyperlink>
      <w:r w:rsidRPr="0016214D">
        <w:t>).</w:t>
      </w:r>
      <w:r w:rsidRPr="00E5676C">
        <w:t xml:space="preserve"> </w:t>
      </w:r>
    </w:p>
    <w:p w:rsidR="007718C7" w:rsidRPr="00E5676C" w:rsidRDefault="007718C7" w:rsidP="00C224FC">
      <w:pPr>
        <w:pStyle w:val="Stageheading"/>
      </w:pPr>
      <w:bookmarkStart w:id="16" w:name="_Toc374114581"/>
      <w:r w:rsidRPr="00E5676C">
        <w:t>Structure of report</w:t>
      </w:r>
      <w:bookmarkEnd w:id="16"/>
    </w:p>
    <w:p w:rsidR="007718C7" w:rsidRDefault="007718C7" w:rsidP="0050653B">
      <w:r>
        <w:t xml:space="preserve">This report is structured as follows: </w:t>
      </w:r>
    </w:p>
    <w:p w:rsidR="007718C7" w:rsidRPr="004F48A9" w:rsidRDefault="007718C7" w:rsidP="0050653B">
      <w:r w:rsidRPr="004F48A9">
        <w:t xml:space="preserve">Chapter </w:t>
      </w:r>
      <w:r>
        <w:t>3</w:t>
      </w:r>
      <w:r w:rsidRPr="004F48A9">
        <w:t xml:space="preserve"> defines the COF, and introduces the data sets analysed for this project and their limitations.</w:t>
      </w:r>
    </w:p>
    <w:p w:rsidR="007718C7" w:rsidRPr="004F48A9" w:rsidRDefault="007718C7" w:rsidP="004F48A9">
      <w:r w:rsidRPr="004F48A9">
        <w:t xml:space="preserve">Chapter </w:t>
      </w:r>
      <w:r>
        <w:t>4</w:t>
      </w:r>
      <w:r w:rsidRPr="004F48A9">
        <w:t xml:space="preserve"> describes the nature of the COF diagnosis codes that are reported in the national data, and high level analysis of the characteristics of episodes within which these are </w:t>
      </w:r>
      <w:r w:rsidRPr="004F48A9">
        <w:lastRenderedPageBreak/>
        <w:t>reported. It then introduces the exclusion criteria designed to focus the</w:t>
      </w:r>
      <w:r>
        <w:t xml:space="preserve"> remaining analyses on the issues of relevance for this project.</w:t>
      </w:r>
    </w:p>
    <w:p w:rsidR="007718C7" w:rsidRPr="004F48A9" w:rsidRDefault="007718C7" w:rsidP="0050653B">
      <w:r w:rsidRPr="004F48A9">
        <w:t xml:space="preserve">Chapter </w:t>
      </w:r>
      <w:r>
        <w:t>5</w:t>
      </w:r>
      <w:r w:rsidRPr="004F48A9">
        <w:t xml:space="preserve"> examines the impact of the change to AR-DRG assignment once hospital-acquired diagnoses are removed from each episode of care.</w:t>
      </w:r>
    </w:p>
    <w:p w:rsidR="007718C7" w:rsidRPr="004F48A9" w:rsidRDefault="007718C7" w:rsidP="005D5CA6">
      <w:r w:rsidRPr="004F48A9">
        <w:t xml:space="preserve">Chapter </w:t>
      </w:r>
      <w:r>
        <w:t>6</w:t>
      </w:r>
      <w:r w:rsidRPr="004F48A9">
        <w:t xml:space="preserve"> shows the results of the impact of the presence of COF diagnoses on cost and length of stay (within the selected AR-DRGs), and estimates the impact of specific groups of COF diagnoses.</w:t>
      </w:r>
    </w:p>
    <w:p w:rsidR="007718C7" w:rsidRDefault="007718C7" w:rsidP="0050653B">
      <w:r w:rsidRPr="00BE34EC">
        <w:t>Appendix 1 shows descriptive statistics of the COF according to a number of dimensions (e.g. by state/ territory, hospital peer group</w:t>
      </w:r>
      <w:r>
        <w:t>).</w:t>
      </w:r>
    </w:p>
    <w:p w:rsidR="007718C7" w:rsidRDefault="007718C7" w:rsidP="0050653B">
      <w:r>
        <w:t>Appendix 2 shows the characteristics of the NHCDC sample.</w:t>
      </w:r>
    </w:p>
    <w:p w:rsidR="007718C7" w:rsidRDefault="007718C7" w:rsidP="0050653B">
      <w:r>
        <w:t>Appendix 3 shows detailed results.</w:t>
      </w:r>
    </w:p>
    <w:p w:rsidR="007718C7" w:rsidRDefault="007718C7" w:rsidP="00EA2C70">
      <w:pPr>
        <w:sectPr w:rsidR="007718C7" w:rsidSect="003B5BA5">
          <w:footerReference w:type="first" r:id="rId28"/>
          <w:footnotePr>
            <w:numFmt w:val="lowerLetter"/>
          </w:footnotePr>
          <w:endnotePr>
            <w:numFmt w:val="decimal"/>
          </w:endnotePr>
          <w:pgSz w:w="11906" w:h="16838"/>
          <w:pgMar w:top="1440" w:right="1440" w:bottom="1440" w:left="1440" w:header="708" w:footer="708" w:gutter="0"/>
          <w:pgNumType w:start="14"/>
          <w:cols w:space="708"/>
          <w:titlePg/>
          <w:docGrid w:linePitch="360"/>
        </w:sectPr>
      </w:pPr>
      <w:r>
        <w:t xml:space="preserve">Appendix 4 details the model specifications for the results shown in </w:t>
      </w:r>
      <w:r w:rsidRPr="00EA2C70">
        <w:rPr>
          <w:i/>
        </w:rPr>
        <w:t>Chapter 4: Impact on cost and length of stay</w:t>
      </w:r>
      <w:r>
        <w:t>, including a review of the literature on methods.</w:t>
      </w:r>
    </w:p>
    <w:p w:rsidR="007718C7" w:rsidRPr="00E5676C" w:rsidRDefault="007718C7" w:rsidP="002002B2">
      <w:pPr>
        <w:pStyle w:val="Heading1"/>
        <w:numPr>
          <w:ilvl w:val="0"/>
          <w:numId w:val="6"/>
        </w:numPr>
        <w:ind w:left="0" w:hanging="851"/>
        <w:rPr>
          <w:b w:val="0"/>
          <w:sz w:val="92"/>
          <w:szCs w:val="28"/>
        </w:rPr>
      </w:pPr>
      <w:bookmarkStart w:id="17" w:name="_Ref368997204"/>
      <w:bookmarkStart w:id="18" w:name="_Ref368997211"/>
      <w:bookmarkStart w:id="19" w:name="_Toc374114582"/>
      <w:r>
        <w:rPr>
          <w:b w:val="0"/>
          <w:sz w:val="92"/>
          <w:szCs w:val="28"/>
        </w:rPr>
        <w:lastRenderedPageBreak/>
        <w:t>Data sources and issues</w:t>
      </w:r>
      <w:bookmarkEnd w:id="17"/>
      <w:bookmarkEnd w:id="18"/>
      <w:bookmarkEnd w:id="19"/>
    </w:p>
    <w:p w:rsidR="007718C7" w:rsidRDefault="007718C7" w:rsidP="00C0614A">
      <w:r>
        <w:t>This Chapter defines the COF, and introduces the data sets analysed for this project and their limitations.</w:t>
      </w:r>
    </w:p>
    <w:p w:rsidR="007718C7" w:rsidRPr="00E5676C" w:rsidRDefault="007718C7" w:rsidP="000044F6">
      <w:pPr>
        <w:pStyle w:val="Stageheading"/>
      </w:pPr>
      <w:bookmarkStart w:id="20" w:name="_Toc374114583"/>
      <w:r w:rsidRPr="00E5676C">
        <w:t>The Condition Onset Flag</w:t>
      </w:r>
      <w:r>
        <w:t xml:space="preserve"> (COF)</w:t>
      </w:r>
      <w:bookmarkEnd w:id="20"/>
    </w:p>
    <w:p w:rsidR="007718C7" w:rsidRDefault="007718C7" w:rsidP="00EB2AAB">
      <w:pPr>
        <w:tabs>
          <w:tab w:val="left" w:pos="924"/>
          <w:tab w:val="left" w:pos="1848"/>
          <w:tab w:val="left" w:pos="2773"/>
          <w:tab w:val="left" w:pos="3697"/>
          <w:tab w:val="left" w:pos="4621"/>
          <w:tab w:val="left" w:pos="5545"/>
          <w:tab w:val="left" w:pos="6469"/>
          <w:tab w:val="left" w:pos="7394"/>
          <w:tab w:val="left" w:pos="8318"/>
          <w:tab w:val="right" w:pos="8930"/>
        </w:tabs>
      </w:pPr>
      <w:r>
        <w:t>A COF is assigned to each diagnosis reported for each patient for an episode of care indicating whether the diagnosis arose during the episode or otherwise.  Reporting of the COF</w:t>
      </w:r>
      <w:r w:rsidRPr="00B16072">
        <w:rPr>
          <w:rStyle w:val="FootnoteReference"/>
          <w:szCs w:val="20"/>
        </w:rPr>
        <w:footnoteReference w:id="4"/>
      </w:r>
      <w:r>
        <w:t xml:space="preserve"> was agreed as a national standard from 1 July 2008. Several jurisdictions had already implemented reporting this flag (or a similar version) prior to that date. </w:t>
      </w:r>
    </w:p>
    <w:p w:rsidR="007718C7" w:rsidRDefault="007718C7" w:rsidP="00D626F4">
      <w:pPr>
        <w:tabs>
          <w:tab w:val="left" w:pos="924"/>
          <w:tab w:val="left" w:pos="1848"/>
          <w:tab w:val="left" w:pos="2773"/>
          <w:tab w:val="left" w:pos="3697"/>
          <w:tab w:val="left" w:pos="4621"/>
          <w:tab w:val="left" w:pos="5545"/>
          <w:tab w:val="left" w:pos="6469"/>
          <w:tab w:val="left" w:pos="7394"/>
          <w:tab w:val="left" w:pos="8318"/>
          <w:tab w:val="right" w:pos="8930"/>
        </w:tabs>
      </w:pPr>
      <w:r>
        <w:t xml:space="preserve">The COF data element in the national standard is represented by three values. These are described in </w:t>
      </w:r>
      <w:r w:rsidR="00F50FB9">
        <w:fldChar w:fldCharType="begin"/>
      </w:r>
      <w:r w:rsidR="00F50FB9">
        <w:instrText xml:space="preserve"> REF _Ref365874761 \h  \* MERGEFORMAT </w:instrText>
      </w:r>
      <w:r w:rsidR="00F50FB9">
        <w:fldChar w:fldCharType="separate"/>
      </w:r>
      <w:r w:rsidR="00363A39" w:rsidRPr="00363A39">
        <w:t>Table 4</w:t>
      </w:r>
      <w:r w:rsidR="00F50FB9">
        <w:fldChar w:fldCharType="end"/>
      </w:r>
      <w:r>
        <w:t>.</w:t>
      </w:r>
    </w:p>
    <w:p w:rsidR="007718C7" w:rsidRPr="00917904" w:rsidRDefault="007718C7" w:rsidP="00DA483F">
      <w:pPr>
        <w:contextualSpacing/>
        <w:jc w:val="center"/>
        <w:rPr>
          <w:sz w:val="18"/>
          <w:szCs w:val="18"/>
        </w:rPr>
      </w:pPr>
      <w:r w:rsidRPr="00917904">
        <w:rPr>
          <w:sz w:val="18"/>
          <w:szCs w:val="18"/>
        </w:rPr>
        <w:t xml:space="preserve"> </w:t>
      </w:r>
      <w:bookmarkStart w:id="21" w:name="_Ref365874761"/>
      <w:r w:rsidRPr="00917904">
        <w:rPr>
          <w:rFonts w:cs="Arial"/>
          <w:b/>
          <w:color w:val="000000"/>
          <w:sz w:val="18"/>
          <w:szCs w:val="18"/>
        </w:rPr>
        <w:t xml:space="preserve">Table </w:t>
      </w:r>
      <w:r w:rsidRPr="00917904">
        <w:rPr>
          <w:rFonts w:cs="Arial"/>
          <w:b/>
          <w:color w:val="000000"/>
          <w:sz w:val="18"/>
          <w:szCs w:val="18"/>
        </w:rPr>
        <w:fldChar w:fldCharType="begin"/>
      </w:r>
      <w:r w:rsidRPr="00917904">
        <w:rPr>
          <w:rFonts w:cs="Arial"/>
          <w:b/>
          <w:color w:val="000000"/>
          <w:sz w:val="18"/>
          <w:szCs w:val="18"/>
        </w:rPr>
        <w:instrText xml:space="preserve"> SEQ Table \* ARABIC </w:instrText>
      </w:r>
      <w:r w:rsidRPr="00917904">
        <w:rPr>
          <w:rFonts w:cs="Arial"/>
          <w:b/>
          <w:color w:val="000000"/>
          <w:sz w:val="18"/>
          <w:szCs w:val="18"/>
        </w:rPr>
        <w:fldChar w:fldCharType="separate"/>
      </w:r>
      <w:r w:rsidR="00363A39">
        <w:rPr>
          <w:rFonts w:cs="Arial"/>
          <w:b/>
          <w:noProof/>
          <w:color w:val="000000"/>
          <w:sz w:val="18"/>
          <w:szCs w:val="18"/>
        </w:rPr>
        <w:t>4</w:t>
      </w:r>
      <w:r w:rsidRPr="00917904">
        <w:rPr>
          <w:rFonts w:cs="Arial"/>
          <w:b/>
          <w:color w:val="000000"/>
          <w:sz w:val="18"/>
          <w:szCs w:val="18"/>
        </w:rPr>
        <w:fldChar w:fldCharType="end"/>
      </w:r>
      <w:bookmarkEnd w:id="21"/>
      <w:r w:rsidRPr="00917904">
        <w:rPr>
          <w:rFonts w:cs="Arial"/>
          <w:b/>
          <w:color w:val="000000"/>
          <w:sz w:val="18"/>
          <w:szCs w:val="18"/>
        </w:rPr>
        <w:t xml:space="preserve"> – National standard for the representation of the </w:t>
      </w:r>
      <w:r>
        <w:rPr>
          <w:rFonts w:cs="Arial"/>
          <w:b/>
          <w:color w:val="000000"/>
          <w:sz w:val="18"/>
          <w:szCs w:val="18"/>
        </w:rPr>
        <w:t>COF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785"/>
        <w:gridCol w:w="1733"/>
        <w:gridCol w:w="6724"/>
      </w:tblGrid>
      <w:tr w:rsidR="007718C7" w:rsidRPr="00864829" w:rsidTr="006972A5">
        <w:trPr>
          <w:cantSplit/>
          <w:tblHeader/>
        </w:trPr>
        <w:tc>
          <w:tcPr>
            <w:tcW w:w="785" w:type="dxa"/>
            <w:shd w:val="clear" w:color="auto" w:fill="003D79"/>
          </w:tcPr>
          <w:p w:rsidR="007718C7" w:rsidRPr="00864829" w:rsidRDefault="007718C7" w:rsidP="00864829">
            <w:pPr>
              <w:tabs>
                <w:tab w:val="left" w:pos="924"/>
                <w:tab w:val="left" w:pos="1848"/>
                <w:tab w:val="left" w:pos="2773"/>
                <w:tab w:val="left" w:pos="3697"/>
                <w:tab w:val="left" w:pos="4621"/>
                <w:tab w:val="left" w:pos="5545"/>
                <w:tab w:val="left" w:pos="6469"/>
                <w:tab w:val="left" w:pos="7394"/>
                <w:tab w:val="left" w:pos="8318"/>
                <w:tab w:val="right" w:pos="8930"/>
              </w:tabs>
              <w:spacing w:after="0" w:line="240" w:lineRule="auto"/>
              <w:rPr>
                <w:b/>
                <w:color w:val="FFFFFF"/>
                <w:sz w:val="18"/>
                <w:szCs w:val="18"/>
                <w:lang w:val="en-US"/>
              </w:rPr>
            </w:pPr>
            <w:r w:rsidRPr="00864829">
              <w:rPr>
                <w:b/>
                <w:color w:val="FFFFFF"/>
                <w:sz w:val="18"/>
                <w:szCs w:val="18"/>
                <w:lang w:val="en-US"/>
              </w:rPr>
              <w:t>Value</w:t>
            </w:r>
          </w:p>
        </w:tc>
        <w:tc>
          <w:tcPr>
            <w:tcW w:w="1733" w:type="dxa"/>
            <w:shd w:val="clear" w:color="auto" w:fill="003D79"/>
          </w:tcPr>
          <w:p w:rsidR="007718C7" w:rsidRPr="00864829" w:rsidRDefault="007718C7" w:rsidP="00864829">
            <w:pPr>
              <w:tabs>
                <w:tab w:val="left" w:pos="924"/>
                <w:tab w:val="left" w:pos="1848"/>
                <w:tab w:val="left" w:pos="2773"/>
                <w:tab w:val="left" w:pos="3697"/>
                <w:tab w:val="left" w:pos="4621"/>
                <w:tab w:val="left" w:pos="5545"/>
                <w:tab w:val="left" w:pos="6469"/>
                <w:tab w:val="left" w:pos="7394"/>
                <w:tab w:val="left" w:pos="8318"/>
                <w:tab w:val="right" w:pos="8930"/>
              </w:tabs>
              <w:spacing w:after="0" w:line="240" w:lineRule="auto"/>
              <w:rPr>
                <w:b/>
                <w:color w:val="FFFFFF"/>
                <w:sz w:val="18"/>
                <w:szCs w:val="18"/>
                <w:lang w:val="en-US"/>
              </w:rPr>
            </w:pPr>
            <w:r w:rsidRPr="00864829">
              <w:rPr>
                <w:b/>
                <w:color w:val="FFFFFF"/>
                <w:sz w:val="18"/>
                <w:szCs w:val="18"/>
                <w:lang w:val="en-US"/>
              </w:rPr>
              <w:t>Description</w:t>
            </w:r>
          </w:p>
        </w:tc>
        <w:tc>
          <w:tcPr>
            <w:tcW w:w="6724" w:type="dxa"/>
            <w:shd w:val="clear" w:color="auto" w:fill="003D79"/>
          </w:tcPr>
          <w:p w:rsidR="007718C7" w:rsidRPr="00864829" w:rsidRDefault="007718C7" w:rsidP="00864829">
            <w:pPr>
              <w:tabs>
                <w:tab w:val="left" w:pos="924"/>
                <w:tab w:val="left" w:pos="1848"/>
                <w:tab w:val="left" w:pos="2773"/>
                <w:tab w:val="left" w:pos="3697"/>
                <w:tab w:val="left" w:pos="4621"/>
                <w:tab w:val="left" w:pos="5545"/>
                <w:tab w:val="left" w:pos="6469"/>
                <w:tab w:val="left" w:pos="7394"/>
                <w:tab w:val="left" w:pos="8318"/>
                <w:tab w:val="right" w:pos="8930"/>
              </w:tabs>
              <w:spacing w:after="0" w:line="240" w:lineRule="auto"/>
              <w:rPr>
                <w:b/>
                <w:color w:val="FFFFFF"/>
                <w:sz w:val="18"/>
                <w:szCs w:val="18"/>
                <w:lang w:val="en-US"/>
              </w:rPr>
            </w:pPr>
            <w:r w:rsidRPr="00864829">
              <w:rPr>
                <w:b/>
                <w:color w:val="FFFFFF"/>
                <w:sz w:val="18"/>
                <w:szCs w:val="18"/>
                <w:lang w:val="en-US"/>
              </w:rPr>
              <w:t>Definition</w:t>
            </w:r>
          </w:p>
        </w:tc>
      </w:tr>
      <w:tr w:rsidR="007718C7" w:rsidRPr="00864829" w:rsidTr="006972A5">
        <w:trPr>
          <w:cantSplit/>
        </w:trPr>
        <w:tc>
          <w:tcPr>
            <w:tcW w:w="785" w:type="dxa"/>
          </w:tcPr>
          <w:p w:rsidR="007718C7" w:rsidRPr="00864829" w:rsidRDefault="007718C7" w:rsidP="00864829">
            <w:pPr>
              <w:tabs>
                <w:tab w:val="left" w:pos="924"/>
                <w:tab w:val="left" w:pos="1848"/>
                <w:tab w:val="left" w:pos="2773"/>
                <w:tab w:val="left" w:pos="3697"/>
                <w:tab w:val="left" w:pos="4621"/>
                <w:tab w:val="left" w:pos="5545"/>
                <w:tab w:val="left" w:pos="6469"/>
                <w:tab w:val="left" w:pos="7394"/>
                <w:tab w:val="left" w:pos="8318"/>
                <w:tab w:val="right" w:pos="8930"/>
              </w:tabs>
              <w:spacing w:after="0" w:line="240" w:lineRule="auto"/>
              <w:rPr>
                <w:sz w:val="18"/>
                <w:szCs w:val="18"/>
                <w:lang w:val="en-US"/>
              </w:rPr>
            </w:pPr>
            <w:r w:rsidRPr="00864829">
              <w:rPr>
                <w:sz w:val="18"/>
                <w:szCs w:val="18"/>
                <w:lang w:val="en-US"/>
              </w:rPr>
              <w:t>1</w:t>
            </w:r>
          </w:p>
        </w:tc>
        <w:tc>
          <w:tcPr>
            <w:tcW w:w="1733" w:type="dxa"/>
          </w:tcPr>
          <w:p w:rsidR="007718C7" w:rsidRPr="00864829" w:rsidRDefault="007718C7" w:rsidP="00864829">
            <w:pPr>
              <w:tabs>
                <w:tab w:val="left" w:pos="924"/>
                <w:tab w:val="left" w:pos="1848"/>
                <w:tab w:val="left" w:pos="2773"/>
                <w:tab w:val="left" w:pos="3697"/>
                <w:tab w:val="left" w:pos="4621"/>
                <w:tab w:val="left" w:pos="5545"/>
                <w:tab w:val="left" w:pos="6469"/>
                <w:tab w:val="left" w:pos="7394"/>
                <w:tab w:val="left" w:pos="8318"/>
                <w:tab w:val="right" w:pos="8930"/>
              </w:tabs>
              <w:spacing w:after="0" w:line="240" w:lineRule="auto"/>
              <w:rPr>
                <w:sz w:val="18"/>
                <w:szCs w:val="18"/>
                <w:lang w:val="en-US"/>
              </w:rPr>
            </w:pPr>
            <w:r w:rsidRPr="00864829">
              <w:rPr>
                <w:sz w:val="18"/>
                <w:szCs w:val="18"/>
                <w:lang w:val="en-US"/>
              </w:rPr>
              <w:t>Condition with onset during the episode of admitted patient care</w:t>
            </w:r>
          </w:p>
        </w:tc>
        <w:tc>
          <w:tcPr>
            <w:tcW w:w="6724" w:type="dxa"/>
          </w:tcPr>
          <w:p w:rsidR="007718C7" w:rsidRPr="00F220A3" w:rsidRDefault="007718C7" w:rsidP="002002B2">
            <w:pPr>
              <w:pStyle w:val="ListParagraph"/>
              <w:numPr>
                <w:ilvl w:val="0"/>
                <w:numId w:val="7"/>
              </w:numPr>
              <w:spacing w:after="60" w:line="240" w:lineRule="auto"/>
              <w:ind w:left="317" w:hanging="317"/>
              <w:rPr>
                <w:sz w:val="18"/>
                <w:szCs w:val="18"/>
                <w:lang w:eastAsia="ja-JP"/>
              </w:rPr>
            </w:pPr>
            <w:r w:rsidRPr="00F220A3">
              <w:rPr>
                <w:sz w:val="18"/>
                <w:szCs w:val="18"/>
                <w:lang w:eastAsia="ja-JP"/>
              </w:rPr>
              <w:t>A condition which arises during the episode of admitted patient care and would not have been present on admission.</w:t>
            </w:r>
          </w:p>
          <w:p w:rsidR="007718C7" w:rsidRPr="00864829" w:rsidRDefault="007718C7" w:rsidP="006972A5">
            <w:pPr>
              <w:spacing w:after="60" w:line="240" w:lineRule="auto"/>
              <w:rPr>
                <w:i/>
                <w:sz w:val="18"/>
                <w:szCs w:val="18"/>
                <w:lang w:val="en-US"/>
              </w:rPr>
            </w:pPr>
            <w:r w:rsidRPr="00864829">
              <w:rPr>
                <w:sz w:val="18"/>
                <w:szCs w:val="18"/>
                <w:lang w:val="en-US"/>
              </w:rPr>
              <w:t>Includes:</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Conditions resulting from misadventure during surgical or medical care in the current episode of admitted patient care (e.g. accidental laceration during procedure, foreign body left in cavity, medication infusion error).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Abnormal reactions to, or later complication of, surgical or medical care arising during the current episode of admitted patient care (e.g. post procedural shock, disruption of wound, catheter associated urinary tract infection (UTI)).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Conditions newly arising during the episode of admitted patient care (e.g. pneumonia, rash, confusion, UTI, hypotension, electrolyte imbalance).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Conditions impacting on obstetric care arising after admission, including complications or unsuccessful interventions of labour and delivery or prenatal/postpartum management (e.g. labour and delivery complicated by fetal heart rate anomalies, postpartum haemorrhage).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For neonates, this also includes the condition(s) in the birth episode arising during the birth event (i.e. the labour and delivery process) (e.g. respiratory distress, jaundice, feeding problems, neonatal aspiration, conditions associated with birth trauma, newborn affected by delivery or intrauterine procedures).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Disease status or administrative codes arising during the episode of admitted patient care (e.g. cancelled procedure, multi-resistant </w:t>
            </w:r>
            <w:r w:rsidRPr="00F220A3">
              <w:rPr>
                <w:i/>
                <w:sz w:val="18"/>
                <w:szCs w:val="18"/>
                <w:lang w:eastAsia="ja-JP"/>
              </w:rPr>
              <w:t>Staphylococcus aureus</w:t>
            </w:r>
            <w:r w:rsidRPr="00F220A3">
              <w:rPr>
                <w:sz w:val="18"/>
                <w:szCs w:val="18"/>
                <w:lang w:eastAsia="ja-JP"/>
              </w:rPr>
              <w:t xml:space="preserve"> (MRSA)).</w:t>
            </w:r>
          </w:p>
        </w:tc>
      </w:tr>
      <w:tr w:rsidR="007718C7" w:rsidRPr="00864829" w:rsidTr="006972A5">
        <w:trPr>
          <w:cantSplit/>
        </w:trPr>
        <w:tc>
          <w:tcPr>
            <w:tcW w:w="785" w:type="dxa"/>
          </w:tcPr>
          <w:p w:rsidR="007718C7" w:rsidRPr="00864829" w:rsidRDefault="007718C7" w:rsidP="00864829">
            <w:pPr>
              <w:tabs>
                <w:tab w:val="left" w:pos="924"/>
                <w:tab w:val="left" w:pos="1848"/>
                <w:tab w:val="left" w:pos="2773"/>
                <w:tab w:val="left" w:pos="3697"/>
                <w:tab w:val="left" w:pos="4621"/>
                <w:tab w:val="left" w:pos="5545"/>
                <w:tab w:val="left" w:pos="6469"/>
                <w:tab w:val="left" w:pos="7394"/>
                <w:tab w:val="left" w:pos="8318"/>
                <w:tab w:val="right" w:pos="8930"/>
              </w:tabs>
              <w:spacing w:after="0" w:line="240" w:lineRule="auto"/>
              <w:rPr>
                <w:sz w:val="18"/>
                <w:szCs w:val="18"/>
                <w:lang w:val="en-US"/>
              </w:rPr>
            </w:pPr>
            <w:r w:rsidRPr="00864829">
              <w:rPr>
                <w:sz w:val="18"/>
                <w:szCs w:val="18"/>
                <w:lang w:val="en-US"/>
              </w:rPr>
              <w:lastRenderedPageBreak/>
              <w:t>2</w:t>
            </w:r>
          </w:p>
        </w:tc>
        <w:tc>
          <w:tcPr>
            <w:tcW w:w="1733" w:type="dxa"/>
          </w:tcPr>
          <w:p w:rsidR="007718C7" w:rsidRPr="00864829" w:rsidRDefault="007718C7" w:rsidP="00864829">
            <w:pPr>
              <w:tabs>
                <w:tab w:val="left" w:pos="924"/>
                <w:tab w:val="left" w:pos="1848"/>
                <w:tab w:val="left" w:pos="2773"/>
                <w:tab w:val="left" w:pos="3697"/>
                <w:tab w:val="left" w:pos="4621"/>
                <w:tab w:val="left" w:pos="5545"/>
                <w:tab w:val="left" w:pos="6469"/>
                <w:tab w:val="left" w:pos="7394"/>
                <w:tab w:val="left" w:pos="8318"/>
                <w:tab w:val="right" w:pos="8930"/>
              </w:tabs>
              <w:spacing w:after="0" w:line="240" w:lineRule="auto"/>
              <w:rPr>
                <w:sz w:val="18"/>
                <w:szCs w:val="18"/>
                <w:lang w:val="en-US"/>
              </w:rPr>
            </w:pPr>
            <w:r w:rsidRPr="00864829">
              <w:rPr>
                <w:sz w:val="18"/>
                <w:szCs w:val="18"/>
                <w:lang w:val="en-US"/>
              </w:rPr>
              <w:t>Condition not noted as arising during the episode of admitted patient care</w:t>
            </w:r>
          </w:p>
        </w:tc>
        <w:tc>
          <w:tcPr>
            <w:tcW w:w="6724" w:type="dxa"/>
          </w:tcPr>
          <w:p w:rsidR="007718C7" w:rsidRPr="00F220A3" w:rsidRDefault="007718C7" w:rsidP="00C95C81">
            <w:pPr>
              <w:pStyle w:val="ListParagraph"/>
              <w:numPr>
                <w:ilvl w:val="0"/>
                <w:numId w:val="7"/>
              </w:numPr>
              <w:spacing w:after="60" w:line="240" w:lineRule="auto"/>
              <w:ind w:left="317" w:hanging="317"/>
              <w:rPr>
                <w:sz w:val="18"/>
                <w:szCs w:val="18"/>
                <w:lang w:eastAsia="ja-JP"/>
              </w:rPr>
            </w:pPr>
            <w:r w:rsidRPr="00F220A3">
              <w:rPr>
                <w:sz w:val="18"/>
                <w:szCs w:val="18"/>
                <w:lang w:eastAsia="ja-JP"/>
              </w:rPr>
              <w:t>A condition present on admission, such as the presenting problem, a comorbidity or chronic disease.</w:t>
            </w:r>
          </w:p>
          <w:p w:rsidR="007718C7" w:rsidRPr="00864829" w:rsidRDefault="007718C7" w:rsidP="006972A5">
            <w:pPr>
              <w:spacing w:after="60" w:line="240" w:lineRule="auto"/>
              <w:rPr>
                <w:sz w:val="18"/>
                <w:szCs w:val="18"/>
                <w:lang w:val="en-US"/>
              </w:rPr>
            </w:pPr>
            <w:r w:rsidRPr="00864829">
              <w:rPr>
                <w:sz w:val="18"/>
                <w:szCs w:val="18"/>
                <w:lang w:val="en-US"/>
              </w:rPr>
              <w:t>Includes:</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Conditions that have not been documented at the time of admission, but clearly did not develop after admission (e.g. newly diagnosed diabetes mellitus, malignancy and morphology).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A previously existing condition that is exacerbated during the current episode of admitted patient care (e.g. atrial fibrillation, unstable angina).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Conditions that are suspected at the time of admission and subsequently confirmed during the current episode of admitted patient care (e.g. pneumonia, acute myocardial infarction (AMI), stroke, unstable angina).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Conditions impacting on obstetric care arising prior to admission (e.g. venous complications, maternal disproportion).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For neonates, this also includes the condition(s) in the birth episode arising before the labour and delivery process (e.g. prematurity, birth weight, talipes, clicking hip). </w:t>
            </w:r>
          </w:p>
          <w:p w:rsidR="007718C7" w:rsidRPr="00F220A3" w:rsidRDefault="007718C7" w:rsidP="00C95C81">
            <w:pPr>
              <w:pStyle w:val="ListParagraph"/>
              <w:numPr>
                <w:ilvl w:val="0"/>
                <w:numId w:val="7"/>
              </w:numPr>
              <w:spacing w:after="60" w:line="240" w:lineRule="auto"/>
              <w:rPr>
                <w:sz w:val="18"/>
                <w:szCs w:val="18"/>
                <w:lang w:eastAsia="ja-JP"/>
              </w:rPr>
            </w:pPr>
            <w:r w:rsidRPr="00F220A3">
              <w:rPr>
                <w:sz w:val="18"/>
                <w:szCs w:val="18"/>
                <w:lang w:eastAsia="ja-JP"/>
              </w:rPr>
              <w:t xml:space="preserve">Disease status or administrative codes not arising during the episode of admitted patient care (e.g. history of tobacco use, duration of pregnancy, colostomy status). </w:t>
            </w:r>
          </w:p>
          <w:p w:rsidR="007718C7" w:rsidRPr="00F220A3" w:rsidRDefault="007718C7" w:rsidP="00C95C81">
            <w:pPr>
              <w:pStyle w:val="ListParagraph"/>
              <w:numPr>
                <w:ilvl w:val="0"/>
                <w:numId w:val="7"/>
              </w:numPr>
              <w:spacing w:after="60" w:line="240" w:lineRule="auto"/>
              <w:rPr>
                <w:color w:val="000000"/>
                <w:sz w:val="18"/>
                <w:szCs w:val="18"/>
                <w:lang w:eastAsia="ja-JP"/>
              </w:rPr>
            </w:pPr>
            <w:r w:rsidRPr="00F220A3">
              <w:rPr>
                <w:sz w:val="18"/>
                <w:szCs w:val="18"/>
                <w:lang w:eastAsia="ja-JP"/>
              </w:rPr>
              <w:t>Outcome of delivery (Z37) and place of birth (Z38) codes.</w:t>
            </w:r>
          </w:p>
        </w:tc>
      </w:tr>
      <w:tr w:rsidR="007718C7" w:rsidRPr="00864829" w:rsidTr="006972A5">
        <w:trPr>
          <w:cantSplit/>
        </w:trPr>
        <w:tc>
          <w:tcPr>
            <w:tcW w:w="785" w:type="dxa"/>
          </w:tcPr>
          <w:p w:rsidR="007718C7" w:rsidRPr="00864829" w:rsidRDefault="007718C7" w:rsidP="00864829">
            <w:pPr>
              <w:tabs>
                <w:tab w:val="left" w:pos="924"/>
                <w:tab w:val="left" w:pos="1848"/>
                <w:tab w:val="left" w:pos="2773"/>
                <w:tab w:val="left" w:pos="3697"/>
                <w:tab w:val="left" w:pos="4621"/>
                <w:tab w:val="left" w:pos="5545"/>
                <w:tab w:val="left" w:pos="6469"/>
                <w:tab w:val="left" w:pos="7394"/>
                <w:tab w:val="left" w:pos="8318"/>
                <w:tab w:val="right" w:pos="8930"/>
              </w:tabs>
              <w:spacing w:after="0" w:line="240" w:lineRule="auto"/>
              <w:rPr>
                <w:sz w:val="18"/>
                <w:szCs w:val="18"/>
                <w:lang w:val="en-US"/>
              </w:rPr>
            </w:pPr>
            <w:r w:rsidRPr="00864829">
              <w:rPr>
                <w:sz w:val="18"/>
                <w:szCs w:val="18"/>
                <w:lang w:val="en-US"/>
              </w:rPr>
              <w:t>9</w:t>
            </w:r>
          </w:p>
        </w:tc>
        <w:tc>
          <w:tcPr>
            <w:tcW w:w="1733" w:type="dxa"/>
          </w:tcPr>
          <w:p w:rsidR="007718C7" w:rsidRPr="00864829" w:rsidRDefault="007718C7" w:rsidP="00864829">
            <w:pPr>
              <w:tabs>
                <w:tab w:val="left" w:pos="924"/>
                <w:tab w:val="left" w:pos="1848"/>
                <w:tab w:val="left" w:pos="2773"/>
                <w:tab w:val="left" w:pos="3697"/>
                <w:tab w:val="left" w:pos="4621"/>
                <w:tab w:val="left" w:pos="5545"/>
                <w:tab w:val="left" w:pos="6469"/>
                <w:tab w:val="left" w:pos="7394"/>
                <w:tab w:val="left" w:pos="8318"/>
                <w:tab w:val="right" w:pos="8930"/>
              </w:tabs>
              <w:spacing w:after="0" w:line="240" w:lineRule="auto"/>
              <w:rPr>
                <w:sz w:val="18"/>
                <w:szCs w:val="18"/>
                <w:lang w:val="en-US"/>
              </w:rPr>
            </w:pPr>
            <w:r w:rsidRPr="00864829">
              <w:rPr>
                <w:sz w:val="18"/>
                <w:szCs w:val="18"/>
                <w:lang w:val="en-US"/>
              </w:rPr>
              <w:t>Not reported</w:t>
            </w:r>
          </w:p>
        </w:tc>
        <w:tc>
          <w:tcPr>
            <w:tcW w:w="6724" w:type="dxa"/>
          </w:tcPr>
          <w:p w:rsidR="007718C7" w:rsidRPr="00F220A3" w:rsidRDefault="007718C7" w:rsidP="002002B2">
            <w:pPr>
              <w:pStyle w:val="ListParagraph"/>
              <w:numPr>
                <w:ilvl w:val="0"/>
                <w:numId w:val="7"/>
              </w:numPr>
              <w:spacing w:after="60" w:line="240" w:lineRule="auto"/>
              <w:ind w:left="317" w:hanging="317"/>
              <w:rPr>
                <w:sz w:val="18"/>
                <w:szCs w:val="18"/>
                <w:lang w:eastAsia="ja-JP"/>
              </w:rPr>
            </w:pPr>
            <w:r w:rsidRPr="00F220A3">
              <w:rPr>
                <w:sz w:val="18"/>
                <w:szCs w:val="18"/>
                <w:lang w:eastAsia="ja-JP"/>
              </w:rPr>
              <w:t>The COF could not be reported due to limitations of the data management system.</w:t>
            </w:r>
          </w:p>
        </w:tc>
      </w:tr>
    </w:tbl>
    <w:p w:rsidR="007718C7" w:rsidRPr="008B1022" w:rsidRDefault="007718C7" w:rsidP="008B1022">
      <w:pPr>
        <w:tabs>
          <w:tab w:val="left" w:pos="924"/>
          <w:tab w:val="left" w:pos="1848"/>
          <w:tab w:val="left" w:pos="2773"/>
          <w:tab w:val="left" w:pos="3697"/>
          <w:tab w:val="left" w:pos="4621"/>
          <w:tab w:val="left" w:pos="5545"/>
          <w:tab w:val="left" w:pos="6469"/>
          <w:tab w:val="left" w:pos="7394"/>
          <w:tab w:val="left" w:pos="8318"/>
          <w:tab w:val="right" w:pos="8930"/>
        </w:tabs>
        <w:jc w:val="center"/>
        <w:rPr>
          <w:i/>
        </w:rPr>
      </w:pPr>
      <w:r w:rsidRPr="008B1022">
        <w:rPr>
          <w:i/>
        </w:rPr>
        <w:t xml:space="preserve">Source: </w:t>
      </w:r>
      <w:hyperlink w:anchor="_ENREF_3" w:tooltip="Australian Institute of Health and Welfare, 2013 #20" w:history="1">
        <w:r w:rsidR="00C33CAE">
          <w:rPr>
            <w:i/>
          </w:rPr>
          <w:fldChar w:fldCharType="begin"/>
        </w:r>
        <w:r w:rsidR="00C33CAE">
          <w:rPr>
            <w:i/>
          </w:rPr>
          <w:instrText xml:space="preserve"> ADDIN EN.CITE &lt;EndNote&gt;&lt;Cite ExcludeAuth="1"&gt;&lt;Author&gt;Australian Institute of Health and Welfare&lt;/Author&gt;&lt;Year&gt;2013&lt;/Year&gt;&lt;RecNum&gt;20&lt;/RecNum&gt;&lt;DisplayText&gt;2013b&lt;/DisplayText&gt;&lt;record&gt;&lt;rec-number&gt;20&lt;/rec-number&gt;&lt;foreign-keys&gt;&lt;key app="EN" db-id="92tftt5v2arxd6e9wzr50w2w0rz0epx099ft" timestamp="1377838985"&gt;20&lt;/key&gt;&lt;/foreign-keys&gt;&lt;ref-type name="Web Page"&gt;12&lt;/ref-type&gt;&lt;contributors&gt;&lt;authors&gt;&lt;author&gt;Australian Institute of Health and Welfare,,&lt;/author&gt;&lt;/authors&gt;&lt;/contributors&gt;&lt;titles&gt;&lt;title&gt;METeOR - Episode of admitted patient care—condition onset flag &lt;/title&gt;&lt;/titles&gt;&lt;volume&gt;2013&lt;/volume&gt;&lt;number&gt;26/8/2013&lt;/number&gt;&lt;dates&gt;&lt;year&gt;2013&lt;/year&gt;&lt;/dates&gt;&lt;label&gt;AIHW&lt;/label&gt;&lt;urls&gt;&lt;related-urls&gt;&lt;url&gt;http://meteor.aihw.gov.au/content/index.phtml/itemId/354816&lt;/url&gt;&lt;/related-urls&gt;&lt;/urls&gt;&lt;/record&gt;&lt;/Cite&gt;&lt;/EndNote&gt;</w:instrText>
        </w:r>
        <w:r w:rsidR="00C33CAE">
          <w:rPr>
            <w:i/>
          </w:rPr>
          <w:fldChar w:fldCharType="separate"/>
        </w:r>
        <w:r w:rsidR="00C33CAE">
          <w:rPr>
            <w:i/>
            <w:noProof/>
          </w:rPr>
          <w:t>2013b</w:t>
        </w:r>
        <w:r w:rsidR="00C33CAE">
          <w:rPr>
            <w:i/>
          </w:rPr>
          <w:fldChar w:fldCharType="end"/>
        </w:r>
      </w:hyperlink>
    </w:p>
    <w:p w:rsidR="007718C7" w:rsidRDefault="007718C7" w:rsidP="00D626F4">
      <w:pPr>
        <w:tabs>
          <w:tab w:val="left" w:pos="924"/>
          <w:tab w:val="left" w:pos="1848"/>
          <w:tab w:val="left" w:pos="2773"/>
          <w:tab w:val="left" w:pos="3697"/>
          <w:tab w:val="left" w:pos="4621"/>
          <w:tab w:val="left" w:pos="5545"/>
          <w:tab w:val="left" w:pos="6469"/>
          <w:tab w:val="left" w:pos="7394"/>
          <w:tab w:val="left" w:pos="8318"/>
          <w:tab w:val="right" w:pos="8930"/>
        </w:tabs>
      </w:pPr>
      <w:r>
        <w:t>The following guide for use is also provided:</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Pr>
          <w:rFonts w:ascii="Century Gothic" w:hAnsi="Century Gothic" w:cs="Calibri"/>
          <w:i/>
          <w:sz w:val="20"/>
          <w:szCs w:val="20"/>
          <w:lang w:eastAsia="en-US"/>
        </w:rPr>
        <w:t>“</w:t>
      </w:r>
      <w:r w:rsidRPr="00C95C81">
        <w:rPr>
          <w:rFonts w:ascii="Century Gothic" w:hAnsi="Century Gothic" w:cs="Calibri"/>
          <w:i/>
          <w:sz w:val="20"/>
          <w:szCs w:val="20"/>
          <w:lang w:eastAsia="en-US"/>
        </w:rPr>
        <w:t>Assign the relevant COF value only to ICD-10-AM codes assigned in the principal diagnosis and additional diagnosis fields for the National Hospital Morbidity Database collection.</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Sequencing of ICD-10-AM codes must comply with the Australian Coding Standards and therefore codes should not be re-sequenced in an attempt to list codes with the same COF values together.</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The principal diagnosis code is always assigned COF 2. The exception to this is neonates in their admitted birth episode in that hospital where codes sequenced as the principal diagnosis may be assigned COF 1 if appropriate.</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For neonates, where a condition in the admitted birth episode is determined to have arisen during the birth event (i.e. labour and delivery process), these conditions should be considered as arising during the episode of admitted patient care and assigned COF 1.</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When a single ICD-10-AM code describes multiple concepts (i.e. a combination code) and any concept within that code meets the criteria of COF 1, assign COF 1.</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When it is difficult to decide if a condition was present at the beginning of the episode of care or if it arose during the episode, assign a COF 2.</w:t>
      </w:r>
    </w:p>
    <w:p w:rsidR="007718C7" w:rsidRPr="0087051E" w:rsidRDefault="007718C7" w:rsidP="0087051E">
      <w:pPr>
        <w:pStyle w:val="NormalWeb"/>
        <w:shd w:val="clear" w:color="auto" w:fill="FFFFFF"/>
        <w:spacing w:before="48" w:beforeAutospacing="0" w:after="192" w:afterAutospacing="0"/>
        <w:ind w:left="720"/>
        <w:rPr>
          <w:rFonts w:ascii="Century Gothic" w:hAnsi="Century Gothic" w:cs="Calibri"/>
          <w:i/>
          <w:sz w:val="20"/>
          <w:szCs w:val="20"/>
          <w:lang w:eastAsia="en-US"/>
        </w:rPr>
      </w:pPr>
      <w:r>
        <w:rPr>
          <w:rFonts w:ascii="Century Gothic" w:hAnsi="Century Gothic" w:cs="Calibri"/>
          <w:i/>
          <w:sz w:val="20"/>
          <w:szCs w:val="20"/>
          <w:lang w:eastAsia="en-US"/>
        </w:rPr>
        <w:br w:type="page"/>
      </w:r>
      <w:r w:rsidRPr="0087051E">
        <w:rPr>
          <w:rFonts w:ascii="Century Gothic" w:hAnsi="Century Gothic" w:cs="Calibri"/>
          <w:i/>
          <w:sz w:val="20"/>
          <w:szCs w:val="20"/>
          <w:lang w:eastAsia="en-US"/>
        </w:rPr>
        <w:lastRenderedPageBreak/>
        <w:t>Explanatory notes:</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The COF value assigned to external cause, place of occurrence and activity codes should match that of the corresponding injury or disease code. Injuries which occur during the admitted episode of care but not on the hospital grounds (e.g. hospital in the home (HITH)) should be assigned COF 1 as 'arising during the episode of admitted patient care'.</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The COF value assigned to morphology codes should match that on the corresponding neoplasm code.</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The COF value on Z codes related to the outcome of delivery on the mother’s record (Z37), or the place of birth on the baby's record (Z38) should always be assigned COF 2.</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The COF value on aetiology and manifestation (dagger and asterisk) codes should be appropriate to each condition and therefore the dagger and asterisk codes may be assigned different COF values.</w:t>
      </w:r>
    </w:p>
    <w:p w:rsidR="007718C7" w:rsidRPr="00C95C81" w:rsidRDefault="007718C7" w:rsidP="00C95C81">
      <w:pPr>
        <w:pStyle w:val="NormalWeb"/>
        <w:shd w:val="clear" w:color="auto" w:fill="FFFFFF"/>
        <w:spacing w:before="48" w:after="192"/>
        <w:ind w:left="720"/>
        <w:rPr>
          <w:rFonts w:ascii="Century Gothic" w:hAnsi="Century Gothic" w:cs="Calibri"/>
          <w:i/>
          <w:sz w:val="20"/>
          <w:szCs w:val="20"/>
          <w:lang w:eastAsia="en-US"/>
        </w:rPr>
      </w:pPr>
      <w:r w:rsidRPr="00C95C81">
        <w:rPr>
          <w:rFonts w:ascii="Century Gothic" w:hAnsi="Century Gothic" w:cs="Calibri"/>
          <w:i/>
          <w:sz w:val="20"/>
          <w:szCs w:val="20"/>
          <w:lang w:eastAsia="en-US"/>
        </w:rPr>
        <w:t>An episode of admitted patient care includes all periods when the patient remains admitted and under the responsibility of the health care provider, including periods of authorised leave and HITH. Where diagnoses arising during this period meet the criteria for ACS 0002 Additional diagnoses, coders should apply the COF Guide for use instructions and assign COF 1 if appropriate. Unauthorised leave does not fall under the responsibility of the health care provider and conditions arising during this time should be assigned COF 2.</w:t>
      </w:r>
    </w:p>
    <w:p w:rsidR="007718C7" w:rsidRDefault="007718C7" w:rsidP="00C95C81">
      <w:pPr>
        <w:pStyle w:val="NormalWeb"/>
        <w:shd w:val="clear" w:color="auto" w:fill="FFFFFF"/>
        <w:spacing w:before="48" w:beforeAutospacing="0" w:after="192" w:afterAutospacing="0"/>
        <w:ind w:left="720"/>
        <w:rPr>
          <w:rFonts w:ascii="Verdana" w:hAnsi="Verdana"/>
          <w:color w:val="000000"/>
          <w:sz w:val="20"/>
          <w:szCs w:val="20"/>
        </w:rPr>
      </w:pPr>
      <w:r w:rsidRPr="00C95C81">
        <w:rPr>
          <w:rFonts w:ascii="Century Gothic" w:hAnsi="Century Gothic" w:cs="Calibri"/>
          <w:i/>
          <w:sz w:val="20"/>
          <w:szCs w:val="20"/>
          <w:lang w:eastAsia="en-US"/>
        </w:rPr>
        <w:t>Where an admission has multiple admitted patient episode 'care type' changes (e.g. acute to rehabilitation), COF assignment should be relevant to each episode. A condition arising in an episode should be assigned COF 1. If care for that condition continues in subsequent episodes those conditions should be assigned COF 2</w:t>
      </w:r>
      <w:r w:rsidRPr="0087051E">
        <w:rPr>
          <w:rFonts w:ascii="Century Gothic" w:hAnsi="Century Gothic" w:cs="Calibri"/>
          <w:i/>
          <w:sz w:val="20"/>
          <w:szCs w:val="20"/>
          <w:lang w:eastAsia="en-US"/>
        </w:rPr>
        <w:t>.</w:t>
      </w:r>
    </w:p>
    <w:p w:rsidR="007718C7" w:rsidRDefault="007718C7" w:rsidP="00D626F4">
      <w:pPr>
        <w:tabs>
          <w:tab w:val="left" w:pos="924"/>
          <w:tab w:val="left" w:pos="1848"/>
          <w:tab w:val="left" w:pos="2773"/>
          <w:tab w:val="left" w:pos="3697"/>
          <w:tab w:val="left" w:pos="4621"/>
          <w:tab w:val="left" w:pos="5545"/>
          <w:tab w:val="left" w:pos="6469"/>
          <w:tab w:val="left" w:pos="7394"/>
          <w:tab w:val="left" w:pos="8318"/>
          <w:tab w:val="right" w:pos="8930"/>
        </w:tabs>
      </w:pPr>
      <w:r>
        <w:t>(</w:t>
      </w:r>
      <w:hyperlink w:anchor="_ENREF_3" w:tooltip="Australian Institute of Health and Welfare, 2013 #20" w:history="1">
        <w:r w:rsidR="00C33CAE">
          <w:fldChar w:fldCharType="begin"/>
        </w:r>
        <w:r w:rsidR="00C33CAE">
          <w:instrText xml:space="preserve"> ADDIN EN.CITE &lt;EndNote&gt;&lt;Cite ExcludeAuth="1"&gt;&lt;Author&gt;Australian Institute of Health and Welfare&lt;/Author&gt;&lt;Year&gt;2013&lt;/Year&gt;&lt;RecNum&gt;20&lt;/RecNum&gt;&lt;DisplayText&gt;2013b&lt;/DisplayText&gt;&lt;record&gt;&lt;rec-number&gt;20&lt;/rec-number&gt;&lt;foreign-keys&gt;&lt;key app="EN" db-id="92tftt5v2arxd6e9wzr50w2w0rz0epx099ft" timestamp="1377838985"&gt;20&lt;/key&gt;&lt;/foreign-keys&gt;&lt;ref-type name="Web Page"&gt;12&lt;/ref-type&gt;&lt;contributors&gt;&lt;authors&gt;&lt;author&gt;Australian Institute of Health and Welfare,,&lt;/author&gt;&lt;/authors&gt;&lt;/contributors&gt;&lt;titles&gt;&lt;title&gt;METeOR - Episode of admitted patient care—condition onset flag &lt;/title&gt;&lt;/titles&gt;&lt;volume&gt;2013&lt;/volume&gt;&lt;number&gt;26/8/2013&lt;/number&gt;&lt;dates&gt;&lt;year&gt;2013&lt;/year&gt;&lt;/dates&gt;&lt;label&gt;AIHW&lt;/label&gt;&lt;urls&gt;&lt;related-urls&gt;&lt;url&gt;http://meteor.aihw.gov.au/content/index.phtml/itemId/354816&lt;/url&gt;&lt;/related-urls&gt;&lt;/urls&gt;&lt;/record&gt;&lt;/Cite&gt;&lt;/EndNote&gt;</w:instrText>
        </w:r>
        <w:r w:rsidR="00C33CAE">
          <w:fldChar w:fldCharType="separate"/>
        </w:r>
        <w:r w:rsidR="00C33CAE">
          <w:rPr>
            <w:noProof/>
          </w:rPr>
          <w:t>2013b</w:t>
        </w:r>
        <w:r w:rsidR="00C33CAE">
          <w:fldChar w:fldCharType="end"/>
        </w:r>
      </w:hyperlink>
      <w:r>
        <w:t>)</w:t>
      </w:r>
    </w:p>
    <w:p w:rsidR="007718C7" w:rsidRPr="005D5CA6" w:rsidRDefault="007718C7" w:rsidP="000044F6">
      <w:pPr>
        <w:pStyle w:val="Stageheading"/>
      </w:pPr>
      <w:bookmarkStart w:id="22" w:name="_Toc374114584"/>
      <w:r w:rsidRPr="005D5CA6">
        <w:t>Data sets</w:t>
      </w:r>
      <w:bookmarkEnd w:id="22"/>
    </w:p>
    <w:p w:rsidR="007718C7" w:rsidRDefault="007718C7" w:rsidP="00D626F4">
      <w:pPr>
        <w:tabs>
          <w:tab w:val="left" w:pos="924"/>
          <w:tab w:val="left" w:pos="1848"/>
          <w:tab w:val="left" w:pos="2773"/>
          <w:tab w:val="left" w:pos="3697"/>
          <w:tab w:val="left" w:pos="4621"/>
          <w:tab w:val="left" w:pos="5545"/>
          <w:tab w:val="left" w:pos="6469"/>
          <w:tab w:val="left" w:pos="7394"/>
          <w:tab w:val="left" w:pos="8318"/>
          <w:tab w:val="right" w:pos="8930"/>
        </w:tabs>
      </w:pPr>
      <w:r>
        <w:t>The data sets used for analysis for this project are the Admitted Patient Care (APC) National Minimum Data Set (NMDS) and the National Hospital Cost Data Collection (NHCDC). The reasons for using both of these collections are that:</w:t>
      </w:r>
    </w:p>
    <w:p w:rsidR="007718C7" w:rsidRDefault="007718C7" w:rsidP="002002B2">
      <w:pPr>
        <w:pStyle w:val="ListParagraph"/>
        <w:numPr>
          <w:ilvl w:val="0"/>
          <w:numId w:val="7"/>
        </w:numPr>
        <w:ind w:left="714" w:hanging="357"/>
        <w:contextualSpacing w:val="0"/>
      </w:pPr>
      <w:r>
        <w:t>The APC NMDS provides the full range of variables associated with hospital ‘activity’ (i.e. relating to the events of each episode of admitted care) in all public and private hospitals within Australia, and incorporating all care types (i.e. acute, newborn, sub- and non-acute, etc.).</w:t>
      </w:r>
    </w:p>
    <w:p w:rsidR="007718C7" w:rsidRDefault="007718C7" w:rsidP="002002B2">
      <w:pPr>
        <w:pStyle w:val="ListParagraph"/>
        <w:numPr>
          <w:ilvl w:val="0"/>
          <w:numId w:val="7"/>
        </w:numPr>
        <w:ind w:left="714" w:hanging="357"/>
        <w:contextualSpacing w:val="0"/>
      </w:pPr>
      <w:r>
        <w:t>The NHCDC provides costs for episodes of care.  Although the collection also captures costs for other episodes other than acute, the costs for acute episodes are the most robust due to their long history (on a national level, the collection has been going for more than 15 years) and investments by states and territories and the Commonwealth (e.g. in the development of ‘feeder’ systems and relative value units).</w:t>
      </w:r>
    </w:p>
    <w:p w:rsidR="007718C7" w:rsidRPr="005D5CA6" w:rsidRDefault="007718C7" w:rsidP="000044F6">
      <w:pPr>
        <w:pStyle w:val="Stageheading"/>
      </w:pPr>
      <w:bookmarkStart w:id="23" w:name="_Toc374114585"/>
      <w:r w:rsidRPr="005D5CA6">
        <w:lastRenderedPageBreak/>
        <w:t>Limitations</w:t>
      </w:r>
      <w:bookmarkEnd w:id="23"/>
    </w:p>
    <w:p w:rsidR="007718C7" w:rsidRDefault="007718C7" w:rsidP="00D626F4">
      <w:pPr>
        <w:tabs>
          <w:tab w:val="left" w:pos="924"/>
          <w:tab w:val="left" w:pos="1848"/>
          <w:tab w:val="left" w:pos="2773"/>
          <w:tab w:val="left" w:pos="3697"/>
          <w:tab w:val="left" w:pos="4621"/>
          <w:tab w:val="left" w:pos="5545"/>
          <w:tab w:val="left" w:pos="6469"/>
          <w:tab w:val="left" w:pos="7394"/>
          <w:tab w:val="left" w:pos="8318"/>
          <w:tab w:val="right" w:pos="8930"/>
        </w:tabs>
        <w:rPr>
          <w:rFonts w:cs="Calibri"/>
          <w:szCs w:val="20"/>
        </w:rPr>
      </w:pPr>
      <w:r>
        <w:rPr>
          <w:rFonts w:cs="Calibri"/>
          <w:szCs w:val="20"/>
        </w:rPr>
        <w:t>There are several characteristics of the available national data set related to admitted patient care (APC and NHCDC) which limit the capacity to analyse COF diagnoses and their consequences.  These include:</w:t>
      </w:r>
    </w:p>
    <w:p w:rsidR="007718C7" w:rsidRPr="00695934" w:rsidRDefault="007718C7" w:rsidP="002002B2">
      <w:pPr>
        <w:pStyle w:val="ListParagraph"/>
        <w:numPr>
          <w:ilvl w:val="0"/>
          <w:numId w:val="4"/>
        </w:numPr>
        <w:ind w:left="714" w:hanging="357"/>
        <w:contextualSpacing w:val="0"/>
        <w:rPr>
          <w:rFonts w:cs="Calibri"/>
        </w:rPr>
      </w:pPr>
      <w:r w:rsidRPr="00695934">
        <w:rPr>
          <w:rFonts w:cs="Calibri"/>
        </w:rPr>
        <w:t xml:space="preserve">The NHCDC is a voluntary collection, and therefore, not all hospitals </w:t>
      </w:r>
      <w:r>
        <w:rPr>
          <w:rFonts w:cs="Calibri"/>
        </w:rPr>
        <w:t xml:space="preserve">reporting to </w:t>
      </w:r>
      <w:r w:rsidRPr="00695934">
        <w:rPr>
          <w:rFonts w:cs="Calibri"/>
        </w:rPr>
        <w:t xml:space="preserve">the APC </w:t>
      </w:r>
      <w:r>
        <w:rPr>
          <w:rFonts w:cs="Calibri"/>
        </w:rPr>
        <w:t xml:space="preserve">NMDS </w:t>
      </w:r>
      <w:r w:rsidRPr="00695934">
        <w:rPr>
          <w:rFonts w:cs="Calibri"/>
        </w:rPr>
        <w:t xml:space="preserve">have corresponding </w:t>
      </w:r>
      <w:r>
        <w:rPr>
          <w:rFonts w:cs="Calibri"/>
        </w:rPr>
        <w:t>records in the NHCDC</w:t>
      </w:r>
      <w:r w:rsidRPr="00695934">
        <w:rPr>
          <w:rFonts w:cs="Calibri"/>
        </w:rPr>
        <w:t>.</w:t>
      </w:r>
      <w:r>
        <w:rPr>
          <w:rFonts w:cs="Calibri"/>
        </w:rPr>
        <w:t xml:space="preserve">  The representativeness of the NCHCDC has been estimated against the APC NMDS in this report.  </w:t>
      </w:r>
    </w:p>
    <w:p w:rsidR="007718C7" w:rsidRPr="00695934" w:rsidRDefault="007718C7" w:rsidP="002002B2">
      <w:pPr>
        <w:pStyle w:val="ListParagraph"/>
        <w:numPr>
          <w:ilvl w:val="0"/>
          <w:numId w:val="4"/>
        </w:numPr>
        <w:ind w:left="714" w:hanging="357"/>
        <w:contextualSpacing w:val="0"/>
        <w:rPr>
          <w:rFonts w:cs="Calibri"/>
        </w:rPr>
      </w:pPr>
      <w:r>
        <w:rPr>
          <w:rFonts w:cs="Calibri"/>
        </w:rPr>
        <w:t>T</w:t>
      </w:r>
      <w:r w:rsidRPr="00695934">
        <w:rPr>
          <w:rFonts w:cs="Calibri"/>
        </w:rPr>
        <w:t xml:space="preserve">he later years are </w:t>
      </w:r>
      <w:r>
        <w:rPr>
          <w:rFonts w:cs="Calibri"/>
        </w:rPr>
        <w:t xml:space="preserve">reported to have </w:t>
      </w:r>
      <w:r w:rsidRPr="00695934">
        <w:rPr>
          <w:rFonts w:cs="Calibri"/>
        </w:rPr>
        <w:t>better quality</w:t>
      </w:r>
      <w:r>
        <w:rPr>
          <w:rFonts w:cs="Calibri"/>
        </w:rPr>
        <w:t xml:space="preserve"> of COF assignment</w:t>
      </w:r>
      <w:r w:rsidRPr="00695934">
        <w:rPr>
          <w:rFonts w:cs="Calibri"/>
        </w:rPr>
        <w:t xml:space="preserve"> than the previous years.</w:t>
      </w:r>
      <w:r>
        <w:rPr>
          <w:rFonts w:cs="Calibri"/>
        </w:rPr>
        <w:t xml:space="preserve">  This was also explored, and documented in this report.</w:t>
      </w:r>
    </w:p>
    <w:p w:rsidR="007718C7" w:rsidRDefault="007718C7" w:rsidP="002002B2">
      <w:pPr>
        <w:pStyle w:val="ListParagraph"/>
        <w:numPr>
          <w:ilvl w:val="0"/>
          <w:numId w:val="4"/>
        </w:numPr>
        <w:ind w:left="714" w:hanging="357"/>
        <w:contextualSpacing w:val="0"/>
        <w:rPr>
          <w:rFonts w:cs="Calibri"/>
        </w:rPr>
      </w:pPr>
      <w:r>
        <w:rPr>
          <w:rFonts w:cs="Calibri"/>
        </w:rPr>
        <w:t>T</w:t>
      </w:r>
      <w:r w:rsidRPr="00695934">
        <w:rPr>
          <w:rFonts w:cs="Calibri"/>
        </w:rPr>
        <w:t xml:space="preserve">he NHCDC data set has 30 diagnoses, whereas the APC has </w:t>
      </w:r>
      <w:r>
        <w:rPr>
          <w:rFonts w:cs="Calibri"/>
        </w:rPr>
        <w:t>100</w:t>
      </w:r>
      <w:r w:rsidRPr="00695934">
        <w:rPr>
          <w:rFonts w:cs="Calibri"/>
        </w:rPr>
        <w:t xml:space="preserve">.  </w:t>
      </w:r>
      <w:r>
        <w:rPr>
          <w:rFonts w:cs="Calibri"/>
        </w:rPr>
        <w:t>However, IHPA merges these data sets and generally uses the diagnoses reported in the APC for analysis purposes.  There are some records in which the NHCDC items do not match the APC items.  However, these have a minimal impact in this analysis.</w:t>
      </w:r>
    </w:p>
    <w:p w:rsidR="007718C7" w:rsidRPr="00695934" w:rsidRDefault="007718C7" w:rsidP="002002B2">
      <w:pPr>
        <w:pStyle w:val="ListParagraph"/>
        <w:numPr>
          <w:ilvl w:val="0"/>
          <w:numId w:val="4"/>
        </w:numPr>
        <w:ind w:left="714" w:hanging="357"/>
        <w:contextualSpacing w:val="0"/>
        <w:rPr>
          <w:rFonts w:cs="Calibri"/>
        </w:rPr>
      </w:pPr>
      <w:r>
        <w:rPr>
          <w:rFonts w:cs="Calibri"/>
        </w:rPr>
        <w:t>T</w:t>
      </w:r>
      <w:r w:rsidRPr="00695934">
        <w:rPr>
          <w:rFonts w:cs="Calibri"/>
        </w:rPr>
        <w:t xml:space="preserve">here are ICD coding version changes between 2009-10 and 2010-11 (2009-10 uses 6th edition, and 2010-11 and </w:t>
      </w:r>
      <w:r>
        <w:rPr>
          <w:rFonts w:cs="Calibri"/>
        </w:rPr>
        <w:t>2011-12 use 7th edition). In this report, the focus is on the 2011-12 data. Where previous years’ data has been used, this is for showing the level of COF coding rather than attempting to map individual ICD-10-AM diagnoses over time. Therefore, this has not been a problem for the analysis in this project.</w:t>
      </w:r>
    </w:p>
    <w:p w:rsidR="007718C7" w:rsidRDefault="007718C7" w:rsidP="00994CE7">
      <w:pPr>
        <w:rPr>
          <w:rFonts w:ascii="Gill Sans MT" w:eastAsia="MS Gothic" w:hAnsi="Gill Sans MT"/>
          <w:bCs/>
          <w:color w:val="003D79"/>
          <w:sz w:val="92"/>
          <w:szCs w:val="28"/>
        </w:rPr>
      </w:pPr>
    </w:p>
    <w:p w:rsidR="007718C7" w:rsidRPr="00994CE7" w:rsidRDefault="007718C7" w:rsidP="00994CE7">
      <w:pPr>
        <w:sectPr w:rsidR="007718C7" w:rsidRPr="00994CE7" w:rsidSect="00915342">
          <w:headerReference w:type="first" r:id="rId29"/>
          <w:pgSz w:w="11906" w:h="16838"/>
          <w:pgMar w:top="1440" w:right="1440" w:bottom="1440" w:left="1440" w:header="708" w:footer="708" w:gutter="0"/>
          <w:cols w:space="708"/>
          <w:titlePg/>
          <w:docGrid w:linePitch="360"/>
        </w:sectPr>
      </w:pPr>
    </w:p>
    <w:p w:rsidR="007718C7" w:rsidRPr="00E5676C" w:rsidRDefault="007718C7" w:rsidP="002002B2">
      <w:pPr>
        <w:pStyle w:val="Heading1"/>
        <w:numPr>
          <w:ilvl w:val="0"/>
          <w:numId w:val="6"/>
        </w:numPr>
        <w:ind w:left="0" w:hanging="851"/>
        <w:rPr>
          <w:b w:val="0"/>
          <w:sz w:val="92"/>
          <w:szCs w:val="28"/>
        </w:rPr>
      </w:pPr>
      <w:bookmarkStart w:id="24" w:name="_Toc374114586"/>
      <w:r>
        <w:rPr>
          <w:b w:val="0"/>
          <w:sz w:val="92"/>
          <w:szCs w:val="28"/>
        </w:rPr>
        <w:lastRenderedPageBreak/>
        <w:t>Characteristics of hospital-acquired diagnoses and associated episodes</w:t>
      </w:r>
      <w:bookmarkEnd w:id="24"/>
    </w:p>
    <w:p w:rsidR="007718C7" w:rsidRDefault="007718C7" w:rsidP="002B3AAC">
      <w:r>
        <w:t>This Chapter provides an initial profile of episodes in which diagnoses are reported with onset occurring after admission (COF diagnoses), and the nature of the COF diagnosis codes themselves. This analysis was conducted initially using the full APC NMDS, and the scope was then narrowed to reflect the objectives of this project.</w:t>
      </w:r>
    </w:p>
    <w:p w:rsidR="007718C7" w:rsidRPr="000044F6" w:rsidRDefault="007718C7" w:rsidP="002B3AAC">
      <w:pPr>
        <w:pStyle w:val="Stageheading"/>
      </w:pPr>
      <w:bookmarkStart w:id="25" w:name="_Toc374114587"/>
      <w:r>
        <w:t>Episodes with hospital-acquired diagnoses</w:t>
      </w:r>
      <w:bookmarkEnd w:id="25"/>
    </w:p>
    <w:p w:rsidR="007718C7" w:rsidRDefault="007718C7" w:rsidP="002B3AAC">
      <w:r>
        <w:t xml:space="preserve">Reporting of the COF in the APC NMDS was analysed according to a range of variables, including state/territory, care type, peer group, day only/overnight status and elective/non elective admission.  These analyses are presented in Appendix 1.  The analysis was conducted using three years of data, from 2009-10 to 2011-12.  Initial analysis sought evidence that hospitals were reporting COF, and the level of reporting that was occurring.  While data is summarised and presented at the state/territory level, the analysis was undertaken at the hospital level. </w:t>
      </w:r>
    </w:p>
    <w:p w:rsidR="007718C7" w:rsidRDefault="007718C7" w:rsidP="002B3AAC">
      <w:r>
        <w:t>The initial analysis revealed the following:</w:t>
      </w:r>
    </w:p>
    <w:p w:rsidR="007718C7" w:rsidRPr="000C1520" w:rsidRDefault="007718C7" w:rsidP="002002B2">
      <w:pPr>
        <w:pStyle w:val="ListParagraph"/>
        <w:numPr>
          <w:ilvl w:val="0"/>
          <w:numId w:val="5"/>
        </w:numPr>
        <w:ind w:left="714" w:hanging="357"/>
        <w:contextualSpacing w:val="0"/>
      </w:pPr>
      <w:r w:rsidRPr="000C1520">
        <w:t>Reporting by the public sector and the private sector was examined.  Data was not available for private hospitals for 2011-12 for several jurisdictions (New South Wales, South Australia, Western Australia, Tasmania, Northern Territory, and the Australian Capital Territory).  In three jurisdictions (Victoria, Western Australia, Australian Capital Territory), all private hospitals were reporting COF in 2010-11.  In a further three jurisdictions (Queensland, South Australia, Tasmania), around 60-70% of private hospitals were reporting COF.  In NSW and NT, no private hospitals were reporting COF.  Across the private sector for 2010-11, around 3.8% of episodes had at least one COF diagnosis reported. The jurisdiction with highest level of reporting was Victoria, with 7.0% of episodes reporting the COF in private hospitals. Private hospitals were excluded for all further analyses, as the focus of this project was public hospitals.</w:t>
      </w:r>
    </w:p>
    <w:p w:rsidR="007718C7" w:rsidRPr="000C1520" w:rsidRDefault="007718C7" w:rsidP="002002B2">
      <w:pPr>
        <w:pStyle w:val="ListParagraph"/>
        <w:numPr>
          <w:ilvl w:val="0"/>
          <w:numId w:val="5"/>
        </w:numPr>
        <w:ind w:left="714" w:hanging="357"/>
        <w:contextualSpacing w:val="0"/>
      </w:pPr>
      <w:r w:rsidRPr="000C1520">
        <w:t>Within the public sector, there were just over 700 hospitals reporting to the APC NMDS. The proportion of hospitals reporting at least one episode with a COF diagnosis increased from 74% in 2009-10 to 81% in to 2011-12.  In 2011-12, these hospitals accounted for 91% of all public sector episodes.</w:t>
      </w:r>
    </w:p>
    <w:p w:rsidR="007718C7" w:rsidRPr="000C1520" w:rsidRDefault="007718C7" w:rsidP="002002B2">
      <w:pPr>
        <w:pStyle w:val="ListParagraph"/>
        <w:numPr>
          <w:ilvl w:val="0"/>
          <w:numId w:val="5"/>
        </w:numPr>
        <w:ind w:left="714" w:hanging="357"/>
        <w:contextualSpacing w:val="0"/>
      </w:pPr>
      <w:r w:rsidRPr="000C1520">
        <w:lastRenderedPageBreak/>
        <w:t xml:space="preserve">Reporting of the COF has increased overall from 6.2% of episodes in public hospitals in 2009-10 to 8.3% of episodes in 2011-12. </w:t>
      </w:r>
    </w:p>
    <w:p w:rsidR="007718C7" w:rsidRPr="000C1520" w:rsidRDefault="007718C7" w:rsidP="002002B2">
      <w:pPr>
        <w:pStyle w:val="ListParagraph"/>
        <w:numPr>
          <w:ilvl w:val="0"/>
          <w:numId w:val="5"/>
        </w:numPr>
        <w:ind w:left="714" w:hanging="357"/>
        <w:contextualSpacing w:val="0"/>
      </w:pPr>
      <w:r w:rsidRPr="000C1520">
        <w:t>Increases in reporting have mainly related to New South Wales hospitals.  The number of public hospitals reporting COF in New South Wales has increased from 96 to 130 over the three years. While 96 hospitals reported COF diagnoses in 2009-10, the level of reporting for that year was very low (with only 1.9% of episodes having a COF assigned in those hospitals).  In subsequent years, the reporting level increased to approach the levels seen in other states.</w:t>
      </w:r>
    </w:p>
    <w:p w:rsidR="007718C7" w:rsidRPr="000C1520" w:rsidRDefault="007718C7" w:rsidP="002002B2">
      <w:pPr>
        <w:pStyle w:val="ListParagraph"/>
        <w:numPr>
          <w:ilvl w:val="0"/>
          <w:numId w:val="5"/>
        </w:numPr>
        <w:ind w:left="714" w:hanging="357"/>
        <w:contextualSpacing w:val="0"/>
      </w:pPr>
      <w:r w:rsidRPr="000C1520">
        <w:t>There have also been increases in numbers of hospitals reporting COF in Queensland and Tasmania.</w:t>
      </w:r>
    </w:p>
    <w:p w:rsidR="007718C7" w:rsidRPr="000C1520" w:rsidRDefault="007718C7" w:rsidP="002002B2">
      <w:pPr>
        <w:pStyle w:val="ListParagraph"/>
        <w:numPr>
          <w:ilvl w:val="0"/>
          <w:numId w:val="5"/>
        </w:numPr>
        <w:ind w:left="714" w:hanging="357"/>
        <w:contextualSpacing w:val="0"/>
      </w:pPr>
      <w:r w:rsidRPr="000C1520">
        <w:t>When restricted to hospitals which are reporting at least one episode with a COF, the proportion of episodes with COF diagnoses ha</w:t>
      </w:r>
      <w:r w:rsidR="00404A84" w:rsidRPr="000C1520">
        <w:t>s</w:t>
      </w:r>
      <w:r w:rsidRPr="000C1520">
        <w:t xml:space="preserve"> increased from 7.5% of episodes in 2009-10 to 9.1% in 2011-12 (see </w:t>
      </w:r>
      <w:r w:rsidR="00F50FB9" w:rsidRPr="000C1520">
        <w:fldChar w:fldCharType="begin"/>
      </w:r>
      <w:r w:rsidR="00F50FB9" w:rsidRPr="000C1520">
        <w:instrText xml:space="preserve"> REF _Ref365639240 \h  \* MERGEFORMAT </w:instrText>
      </w:r>
      <w:r w:rsidR="00F50FB9" w:rsidRPr="000C1520">
        <w:fldChar w:fldCharType="separate"/>
      </w:r>
      <w:r w:rsidR="00363A39" w:rsidRPr="00363A39">
        <w:t>Figure 1</w:t>
      </w:r>
      <w:r w:rsidR="00F50FB9" w:rsidRPr="000C1520">
        <w:fldChar w:fldCharType="end"/>
      </w:r>
      <w:r w:rsidRPr="000C1520">
        <w:t>).  There have been increases in reporting for all states and territories, except the Northern Territory.</w:t>
      </w:r>
    </w:p>
    <w:p w:rsidR="007718C7" w:rsidRDefault="007718C7" w:rsidP="002B3AAC">
      <w:pPr>
        <w:pStyle w:val="ListParagraph"/>
        <w:rPr>
          <w:highlight w:val="yellow"/>
        </w:rPr>
      </w:pPr>
    </w:p>
    <w:p w:rsidR="007718C7" w:rsidRDefault="009B164C" w:rsidP="002B3AAC">
      <w:pPr>
        <w:pStyle w:val="ListParagraph"/>
        <w:rPr>
          <w:highlight w:val="yellow"/>
        </w:rPr>
      </w:pPr>
      <w:r>
        <w:rPr>
          <w:noProof/>
          <w:lang w:val="en-AU" w:eastAsia="en-AU"/>
        </w:rPr>
        <w:drawing>
          <wp:inline distT="0" distB="0" distL="0" distR="0" wp14:anchorId="550AA881" wp14:editId="14EF5281">
            <wp:extent cx="4572000" cy="2743200"/>
            <wp:effectExtent l="0" t="0" r="0" b="0"/>
            <wp:docPr id="33" name="Picture 7" descr="This figure shows the proportion of hospitals reporting at least one episode with a condition onset flag of 1.  Overall, the proportion has increased from 7.5% of episodes in 2009-10 to 9.1% in 2011-12." title="Figure 1 – Percentage of episodes within hospitals reporting COF, where at least one COF diagnosis is reported, public hospitals, 2009-10 to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7718C7" w:rsidRPr="00A72712" w:rsidRDefault="007718C7" w:rsidP="002B3AAC">
      <w:pPr>
        <w:pStyle w:val="ListParagraph"/>
        <w:jc w:val="center"/>
        <w:rPr>
          <w:b/>
          <w:sz w:val="18"/>
          <w:szCs w:val="18"/>
        </w:rPr>
      </w:pPr>
      <w:bookmarkStart w:id="26" w:name="_Ref365639240"/>
      <w:r w:rsidRPr="00A72712">
        <w:rPr>
          <w:b/>
          <w:sz w:val="18"/>
          <w:szCs w:val="18"/>
        </w:rPr>
        <w:t xml:space="preserve">Figure </w:t>
      </w:r>
      <w:r w:rsidRPr="00A72712">
        <w:rPr>
          <w:b/>
          <w:sz w:val="18"/>
          <w:szCs w:val="18"/>
        </w:rPr>
        <w:fldChar w:fldCharType="begin"/>
      </w:r>
      <w:r w:rsidRPr="00A72712">
        <w:rPr>
          <w:b/>
          <w:sz w:val="18"/>
          <w:szCs w:val="18"/>
        </w:rPr>
        <w:instrText xml:space="preserve"> SEQ Figure \* ARABIC </w:instrText>
      </w:r>
      <w:r w:rsidRPr="00A72712">
        <w:rPr>
          <w:b/>
          <w:sz w:val="18"/>
          <w:szCs w:val="18"/>
        </w:rPr>
        <w:fldChar w:fldCharType="separate"/>
      </w:r>
      <w:r w:rsidR="00363A39">
        <w:rPr>
          <w:b/>
          <w:noProof/>
          <w:sz w:val="18"/>
          <w:szCs w:val="18"/>
        </w:rPr>
        <w:t>1</w:t>
      </w:r>
      <w:r w:rsidRPr="00A72712">
        <w:rPr>
          <w:b/>
          <w:sz w:val="18"/>
          <w:szCs w:val="18"/>
        </w:rPr>
        <w:fldChar w:fldCharType="end"/>
      </w:r>
      <w:bookmarkEnd w:id="26"/>
      <w:r w:rsidRPr="00A72712">
        <w:rPr>
          <w:b/>
          <w:sz w:val="18"/>
          <w:szCs w:val="18"/>
        </w:rPr>
        <w:t xml:space="preserve"> – Percentage of episodes within hospitals reporting </w:t>
      </w:r>
      <w:r>
        <w:rPr>
          <w:b/>
          <w:sz w:val="18"/>
          <w:szCs w:val="18"/>
        </w:rPr>
        <w:t>COF</w:t>
      </w:r>
      <w:r w:rsidRPr="00A72712">
        <w:rPr>
          <w:b/>
          <w:sz w:val="18"/>
          <w:szCs w:val="18"/>
        </w:rPr>
        <w:t xml:space="preserve">, where at least one </w:t>
      </w:r>
      <w:r>
        <w:rPr>
          <w:b/>
          <w:sz w:val="18"/>
          <w:szCs w:val="18"/>
        </w:rPr>
        <w:t>COF</w:t>
      </w:r>
      <w:r w:rsidRPr="00A72712">
        <w:rPr>
          <w:b/>
          <w:sz w:val="18"/>
          <w:szCs w:val="18"/>
        </w:rPr>
        <w:t xml:space="preserve"> diagnosis is reported, </w:t>
      </w:r>
      <w:r>
        <w:rPr>
          <w:b/>
          <w:sz w:val="18"/>
          <w:szCs w:val="18"/>
        </w:rPr>
        <w:t>public hospital</w:t>
      </w:r>
      <w:r w:rsidRPr="00A72712">
        <w:rPr>
          <w:b/>
          <w:sz w:val="18"/>
          <w:szCs w:val="18"/>
        </w:rPr>
        <w:t>s, 2009-10 to 2011-12</w:t>
      </w:r>
    </w:p>
    <w:p w:rsidR="007718C7" w:rsidRDefault="007718C7" w:rsidP="002B3AAC">
      <w:r>
        <w:t xml:space="preserve">This analysis shows some of the differences in reporting at the jurisdiction level.  However, as will be discussed </w:t>
      </w:r>
      <w:r w:rsidRPr="00A06899">
        <w:t>below (see p</w:t>
      </w:r>
      <w:r>
        <w:t xml:space="preserve">. </w:t>
      </w:r>
      <w:r>
        <w:fldChar w:fldCharType="begin"/>
      </w:r>
      <w:r>
        <w:instrText xml:space="preserve"> PAGEREF _Ref369021405 \h </w:instrText>
      </w:r>
      <w:r>
        <w:fldChar w:fldCharType="separate"/>
      </w:r>
      <w:r w:rsidR="00363A39">
        <w:rPr>
          <w:noProof/>
        </w:rPr>
        <w:t>26</w:t>
      </w:r>
      <w:r>
        <w:fldChar w:fldCharType="end"/>
      </w:r>
      <w:r w:rsidRPr="00A06899">
        <w:t>), it is important</w:t>
      </w:r>
      <w:r>
        <w:t xml:space="preserve"> to consider the quality of reporting at the individual hospital level.  Hospitals not reporting the COF were excluded from the subsequent analysis.  </w:t>
      </w:r>
    </w:p>
    <w:p w:rsidR="007718C7" w:rsidRDefault="007718C7" w:rsidP="002B3AAC">
      <w:r>
        <w:t>A range of other characteristics was investigated to identify particular issues that would assist in focussing the analysis.  These are described below.</w:t>
      </w:r>
    </w:p>
    <w:p w:rsidR="007718C7" w:rsidRDefault="007718C7" w:rsidP="002B3AAC">
      <w:pPr>
        <w:pStyle w:val="Heading3"/>
      </w:pPr>
      <w:r>
        <w:t>Hospital peer group</w:t>
      </w:r>
    </w:p>
    <w:p w:rsidR="00152116" w:rsidRDefault="007718C7" w:rsidP="002B3AAC">
      <w:r>
        <w:t>Hospitals were examined with respect to the Australian Institute of Health and Welfare’s (AIHW’s) hospital peer groups (</w:t>
      </w:r>
      <w:r w:rsidR="00F50FB9">
        <w:fldChar w:fldCharType="begin"/>
      </w:r>
      <w:r w:rsidR="00F50FB9">
        <w:instrText xml:space="preserve"> REF _Ref365453065 \h  \* MERGEFORMAT </w:instrText>
      </w:r>
      <w:r w:rsidR="00F50FB9">
        <w:fldChar w:fldCharType="separate"/>
      </w:r>
      <w:r w:rsidR="00363A39" w:rsidRPr="00363A39">
        <w:t>Figure 2</w:t>
      </w:r>
      <w:r w:rsidR="00F50FB9">
        <w:fldChar w:fldCharType="end"/>
      </w:r>
      <w:r>
        <w:t>). Reporting is generally lower for smaller hospitals</w:t>
      </w:r>
      <w:r w:rsidR="00322757">
        <w:t xml:space="preserve"> and for</w:t>
      </w:r>
      <w:r w:rsidR="00152116">
        <w:t xml:space="preserve"> hospitals with a designated sub-acute role</w:t>
      </w:r>
      <w:r w:rsidR="00322757">
        <w:t xml:space="preserve">.  </w:t>
      </w:r>
    </w:p>
    <w:p w:rsidR="007718C7" w:rsidRDefault="007718C7" w:rsidP="002B3AAC">
      <w:r>
        <w:lastRenderedPageBreak/>
        <w:t>A decision was taken to focus the analysis on episodes within hospitals with a peer group of A1- C2 (i.e. Principal referral (A1), Specialist women’s and children’s (A2), Major city (B1), Major regional and remote (B2), Medium Group 1 (C1) and Medium Group 2 (C2)).  These hospitals account for 93% of episodes in public hospitals (</w:t>
      </w:r>
      <w:r w:rsidR="00F50FB9">
        <w:fldChar w:fldCharType="begin"/>
      </w:r>
      <w:r w:rsidR="00F50FB9">
        <w:instrText xml:space="preserve"> REF _Ref365453086 \h  \* MERGEFORMAT </w:instrText>
      </w:r>
      <w:r w:rsidR="00F50FB9">
        <w:fldChar w:fldCharType="separate"/>
      </w:r>
      <w:r w:rsidR="00363A39" w:rsidRPr="00363A39">
        <w:t>Figure 3</w:t>
      </w:r>
      <w:r w:rsidR="00F50FB9">
        <w:fldChar w:fldCharType="end"/>
      </w:r>
      <w:r>
        <w:t>).  One of the key factors influencing the decision to focus on this subset of hospitals was that the analysis of costs, reported later in this report (based on the NHCDC), requires costing data reported at the patient level.  Generally the smaller hospitals (e.g. in the ‘D’ peer groups) do not report patient level costing data, and therefore were excluded from further analysis.</w:t>
      </w:r>
    </w:p>
    <w:p w:rsidR="007718C7" w:rsidRDefault="00322757" w:rsidP="002B3AAC">
      <w:pPr>
        <w:spacing w:after="0"/>
        <w:jc w:val="center"/>
      </w:pPr>
      <w:r w:rsidRPr="00322757">
        <w:rPr>
          <w:noProof/>
          <w:lang w:eastAsia="en-AU"/>
        </w:rPr>
        <w:drawing>
          <wp:inline distT="0" distB="0" distL="0" distR="0" wp14:anchorId="4DD3BF4D" wp14:editId="4F5ECDEE">
            <wp:extent cx="4571429" cy="3600000"/>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1429" cy="3600000"/>
                    </a:xfrm>
                    <a:prstGeom prst="rect">
                      <a:avLst/>
                    </a:prstGeom>
                  </pic:spPr>
                </pic:pic>
              </a:graphicData>
            </a:graphic>
          </wp:inline>
        </w:drawing>
      </w:r>
    </w:p>
    <w:p w:rsidR="00632BEA" w:rsidRDefault="007718C7" w:rsidP="002B3AAC">
      <w:pPr>
        <w:contextualSpacing/>
        <w:jc w:val="center"/>
        <w:rPr>
          <w:b/>
          <w:sz w:val="18"/>
          <w:szCs w:val="18"/>
        </w:rPr>
      </w:pPr>
      <w:bookmarkStart w:id="27" w:name="_Ref365453065"/>
      <w:r w:rsidRPr="00A72712">
        <w:rPr>
          <w:b/>
          <w:sz w:val="18"/>
          <w:szCs w:val="18"/>
        </w:rPr>
        <w:t xml:space="preserve">Figure </w:t>
      </w:r>
      <w:r w:rsidRPr="00A72712">
        <w:rPr>
          <w:b/>
          <w:sz w:val="18"/>
          <w:szCs w:val="18"/>
        </w:rPr>
        <w:fldChar w:fldCharType="begin"/>
      </w:r>
      <w:r w:rsidRPr="00A72712">
        <w:rPr>
          <w:b/>
          <w:sz w:val="18"/>
          <w:szCs w:val="18"/>
        </w:rPr>
        <w:instrText xml:space="preserve"> SEQ Figure \* ARABIC </w:instrText>
      </w:r>
      <w:r w:rsidRPr="00A72712">
        <w:rPr>
          <w:b/>
          <w:sz w:val="18"/>
          <w:szCs w:val="18"/>
        </w:rPr>
        <w:fldChar w:fldCharType="separate"/>
      </w:r>
      <w:r w:rsidR="00363A39">
        <w:rPr>
          <w:b/>
          <w:noProof/>
          <w:sz w:val="18"/>
          <w:szCs w:val="18"/>
        </w:rPr>
        <w:t>2</w:t>
      </w:r>
      <w:r w:rsidRPr="00A72712">
        <w:rPr>
          <w:b/>
          <w:sz w:val="18"/>
          <w:szCs w:val="18"/>
        </w:rPr>
        <w:fldChar w:fldCharType="end"/>
      </w:r>
      <w:bookmarkEnd w:id="27"/>
      <w:r w:rsidRPr="00A72712">
        <w:rPr>
          <w:b/>
          <w:sz w:val="18"/>
          <w:szCs w:val="18"/>
        </w:rPr>
        <w:t xml:space="preserve"> – Proportion of </w:t>
      </w:r>
      <w:r w:rsidR="00322757">
        <w:rPr>
          <w:b/>
          <w:sz w:val="18"/>
          <w:szCs w:val="18"/>
        </w:rPr>
        <w:t xml:space="preserve">hospitals reporting </w:t>
      </w:r>
      <w:r w:rsidRPr="00A72712">
        <w:rPr>
          <w:b/>
          <w:sz w:val="18"/>
          <w:szCs w:val="18"/>
        </w:rPr>
        <w:t xml:space="preserve">COF </w:t>
      </w:r>
      <w:r w:rsidR="00322757">
        <w:rPr>
          <w:b/>
          <w:sz w:val="18"/>
          <w:szCs w:val="18"/>
        </w:rPr>
        <w:t>by</w:t>
      </w:r>
    </w:p>
    <w:p w:rsidR="007718C7" w:rsidRDefault="007718C7" w:rsidP="002B3AAC">
      <w:pPr>
        <w:contextualSpacing/>
        <w:jc w:val="center"/>
        <w:rPr>
          <w:b/>
          <w:sz w:val="18"/>
          <w:szCs w:val="18"/>
        </w:rPr>
      </w:pPr>
      <w:r>
        <w:rPr>
          <w:b/>
          <w:sz w:val="18"/>
          <w:szCs w:val="18"/>
        </w:rPr>
        <w:t>by AIHW hospital peer group</w:t>
      </w:r>
      <w:r w:rsidRPr="00A72712">
        <w:rPr>
          <w:b/>
          <w:sz w:val="18"/>
          <w:szCs w:val="18"/>
        </w:rPr>
        <w:t xml:space="preserve">, </w:t>
      </w:r>
      <w:r>
        <w:rPr>
          <w:b/>
          <w:sz w:val="18"/>
          <w:szCs w:val="18"/>
        </w:rPr>
        <w:t>public hospital</w:t>
      </w:r>
      <w:r w:rsidRPr="00C5416F">
        <w:rPr>
          <w:b/>
          <w:sz w:val="18"/>
          <w:szCs w:val="18"/>
        </w:rPr>
        <w:t>s</w:t>
      </w:r>
      <w:r>
        <w:rPr>
          <w:b/>
          <w:sz w:val="18"/>
          <w:szCs w:val="18"/>
        </w:rPr>
        <w:t xml:space="preserve"> reporting COF, 2011-12</w:t>
      </w:r>
    </w:p>
    <w:p w:rsidR="007718C7" w:rsidRPr="00A72712" w:rsidRDefault="009B164C" w:rsidP="002B3AAC">
      <w:pPr>
        <w:jc w:val="center"/>
        <w:rPr>
          <w:b/>
          <w:sz w:val="18"/>
          <w:szCs w:val="18"/>
        </w:rPr>
      </w:pPr>
      <w:r>
        <w:rPr>
          <w:noProof/>
          <w:lang w:eastAsia="en-AU"/>
        </w:rPr>
        <w:drawing>
          <wp:inline distT="0" distB="0" distL="0" distR="0" wp14:anchorId="6F8A2857" wp14:editId="223A818D">
            <wp:extent cx="4589145" cy="2233930"/>
            <wp:effectExtent l="0" t="0" r="1905" b="0"/>
            <wp:docPr id="31" name="Picture 14" descr="This figure shows the numbers of episodes reported by hospitals within the different peer hospital groups.  Hospitals with a peer group of A1- C2 (i.e. Principal referral (A1), Specialist women’s and children’s (A2), Major city (B1), Major regional and remote (B2), Medium Group 1 (C1) and Medium Group 2 (C2)) account for 93% of episodes with at least one hospital acquired diagnosis in public hospitals." title="Figure 3 – Total number of episodes by AIHW hospital peer group, public hospitals reporting COF,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9145" cy="2233930"/>
                    </a:xfrm>
                    <a:prstGeom prst="rect">
                      <a:avLst/>
                    </a:prstGeom>
                    <a:noFill/>
                    <a:ln>
                      <a:noFill/>
                    </a:ln>
                  </pic:spPr>
                </pic:pic>
              </a:graphicData>
            </a:graphic>
          </wp:inline>
        </w:drawing>
      </w:r>
    </w:p>
    <w:p w:rsidR="00632BEA" w:rsidRDefault="007718C7" w:rsidP="002B3AAC">
      <w:pPr>
        <w:contextualSpacing/>
        <w:jc w:val="center"/>
        <w:rPr>
          <w:b/>
          <w:sz w:val="18"/>
          <w:szCs w:val="18"/>
        </w:rPr>
      </w:pPr>
      <w:bookmarkStart w:id="28" w:name="_Ref365453086"/>
      <w:r w:rsidRPr="00A72712">
        <w:rPr>
          <w:b/>
          <w:sz w:val="18"/>
          <w:szCs w:val="18"/>
        </w:rPr>
        <w:t xml:space="preserve">Figure </w:t>
      </w:r>
      <w:r w:rsidRPr="00A72712">
        <w:rPr>
          <w:b/>
          <w:sz w:val="18"/>
          <w:szCs w:val="18"/>
        </w:rPr>
        <w:fldChar w:fldCharType="begin"/>
      </w:r>
      <w:r w:rsidRPr="00A72712">
        <w:rPr>
          <w:b/>
          <w:sz w:val="18"/>
          <w:szCs w:val="18"/>
        </w:rPr>
        <w:instrText xml:space="preserve"> SEQ Figure \* ARABIC </w:instrText>
      </w:r>
      <w:r w:rsidRPr="00A72712">
        <w:rPr>
          <w:b/>
          <w:sz w:val="18"/>
          <w:szCs w:val="18"/>
        </w:rPr>
        <w:fldChar w:fldCharType="separate"/>
      </w:r>
      <w:r w:rsidR="00363A39">
        <w:rPr>
          <w:b/>
          <w:noProof/>
          <w:sz w:val="18"/>
          <w:szCs w:val="18"/>
        </w:rPr>
        <w:t>3</w:t>
      </w:r>
      <w:r w:rsidRPr="00A72712">
        <w:rPr>
          <w:b/>
          <w:sz w:val="18"/>
          <w:szCs w:val="18"/>
        </w:rPr>
        <w:fldChar w:fldCharType="end"/>
      </w:r>
      <w:bookmarkEnd w:id="28"/>
      <w:r w:rsidRPr="00A72712">
        <w:rPr>
          <w:b/>
          <w:sz w:val="18"/>
          <w:szCs w:val="18"/>
        </w:rPr>
        <w:t xml:space="preserve"> – </w:t>
      </w:r>
      <w:r>
        <w:rPr>
          <w:b/>
          <w:sz w:val="18"/>
          <w:szCs w:val="18"/>
        </w:rPr>
        <w:t xml:space="preserve">Total number of </w:t>
      </w:r>
      <w:r w:rsidRPr="00A72712">
        <w:rPr>
          <w:b/>
          <w:sz w:val="18"/>
          <w:szCs w:val="18"/>
        </w:rPr>
        <w:t xml:space="preserve">episodes </w:t>
      </w:r>
      <w:r>
        <w:rPr>
          <w:b/>
          <w:sz w:val="18"/>
          <w:szCs w:val="18"/>
        </w:rPr>
        <w:t>by AIHW hospital peer group</w:t>
      </w:r>
      <w:r w:rsidRPr="00A72712">
        <w:rPr>
          <w:b/>
          <w:sz w:val="18"/>
          <w:szCs w:val="18"/>
        </w:rPr>
        <w:t xml:space="preserve">, </w:t>
      </w:r>
    </w:p>
    <w:p w:rsidR="007718C7" w:rsidRPr="00A72712" w:rsidRDefault="007718C7" w:rsidP="002B3AAC">
      <w:pPr>
        <w:contextualSpacing/>
        <w:jc w:val="center"/>
        <w:rPr>
          <w:b/>
          <w:sz w:val="18"/>
          <w:szCs w:val="18"/>
        </w:rPr>
      </w:pPr>
      <w:r>
        <w:rPr>
          <w:b/>
          <w:sz w:val="18"/>
          <w:szCs w:val="18"/>
        </w:rPr>
        <w:t>public hospitals reporting COF, 2011-12</w:t>
      </w:r>
    </w:p>
    <w:p w:rsidR="007718C7" w:rsidRDefault="007718C7" w:rsidP="001858A1">
      <w:pPr>
        <w:pStyle w:val="Heading3"/>
      </w:pPr>
      <w:r w:rsidRPr="00974A05">
        <w:lastRenderedPageBreak/>
        <w:t>Care type</w:t>
      </w:r>
    </w:p>
    <w:p w:rsidR="007718C7" w:rsidRDefault="007718C7" w:rsidP="001858A1">
      <w:r>
        <w:t xml:space="preserve">Levels of reporting by care type were reviewed.  The analysis revealed that levels of reporting of COF diagnoses were much higher for sub and non-acute episodes.  This is shown in </w:t>
      </w:r>
      <w:r w:rsidR="00F50FB9">
        <w:fldChar w:fldCharType="begin"/>
      </w:r>
      <w:r w:rsidR="00F50FB9">
        <w:instrText xml:space="preserve"> REF _Ref371086914 \h  \* MERGEFORMAT </w:instrText>
      </w:r>
      <w:r w:rsidR="00F50FB9">
        <w:fldChar w:fldCharType="separate"/>
      </w:r>
      <w:r w:rsidR="00363A39" w:rsidRPr="00363A39">
        <w:t>Figure 4</w:t>
      </w:r>
      <w:r w:rsidR="00F50FB9">
        <w:fldChar w:fldCharType="end"/>
      </w:r>
      <w:r>
        <w:t xml:space="preserve">.  A possible explanation for this is that these episodes are generally much longer, and hence the likelihood of a new problem emerging during the stay is higher.  While there are interesting issues to be explored with respect to sub and non-acute episodes, this project focussed on acute episodes. </w:t>
      </w:r>
    </w:p>
    <w:p w:rsidR="007718C7" w:rsidRDefault="009B164C" w:rsidP="002B3AAC">
      <w:pPr>
        <w:contextualSpacing/>
        <w:jc w:val="center"/>
        <w:rPr>
          <w:b/>
          <w:sz w:val="18"/>
          <w:szCs w:val="18"/>
        </w:rPr>
      </w:pPr>
      <w:bookmarkStart w:id="29" w:name="_Ref363118373"/>
      <w:r>
        <w:rPr>
          <w:noProof/>
          <w:lang w:eastAsia="en-AU"/>
        </w:rPr>
        <w:drawing>
          <wp:inline distT="0" distB="0" distL="0" distR="0" wp14:anchorId="3988BFEF" wp14:editId="4E381920">
            <wp:extent cx="4131945" cy="2355215"/>
            <wp:effectExtent l="0" t="0" r="1905" b="6985"/>
            <wp:docPr id="30" name="Picture 40" descr="This figure shows that levels of reporting of COF diagnoses were much higher for sub and non-acute episodes. That is, between 17.9% (maintenance) and 33.7% (geriatric evaluation and management) of the total sub and non-acute episodes had at least one additional diagnosis reported as being hospital acquired, while acute episodes had 8.8 percent of the total episodes with at least one hospital acquired diagnosis reported." title="Figure 4 – Proportion of episodes with at least one COF diagnosis reported by care type, public hospitals reporting COF,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1945" cy="2355215"/>
                    </a:xfrm>
                    <a:prstGeom prst="rect">
                      <a:avLst/>
                    </a:prstGeom>
                    <a:noFill/>
                    <a:ln>
                      <a:noFill/>
                    </a:ln>
                  </pic:spPr>
                </pic:pic>
              </a:graphicData>
            </a:graphic>
          </wp:inline>
        </w:drawing>
      </w:r>
    </w:p>
    <w:p w:rsidR="00632BEA" w:rsidRDefault="007718C7" w:rsidP="00632BEA">
      <w:pPr>
        <w:spacing w:after="0"/>
        <w:contextualSpacing/>
        <w:jc w:val="center"/>
        <w:rPr>
          <w:b/>
          <w:sz w:val="18"/>
          <w:szCs w:val="18"/>
        </w:rPr>
      </w:pPr>
      <w:bookmarkStart w:id="30" w:name="_Ref371086914"/>
      <w:r w:rsidRPr="00A72712">
        <w:rPr>
          <w:b/>
          <w:sz w:val="18"/>
          <w:szCs w:val="18"/>
        </w:rPr>
        <w:t xml:space="preserve">Figure </w:t>
      </w:r>
      <w:r w:rsidRPr="00A72712">
        <w:rPr>
          <w:b/>
          <w:sz w:val="18"/>
          <w:szCs w:val="18"/>
        </w:rPr>
        <w:fldChar w:fldCharType="begin"/>
      </w:r>
      <w:r w:rsidRPr="00A72712">
        <w:rPr>
          <w:b/>
          <w:sz w:val="18"/>
          <w:szCs w:val="18"/>
        </w:rPr>
        <w:instrText xml:space="preserve"> SEQ Figure \* ARABIC </w:instrText>
      </w:r>
      <w:r w:rsidRPr="00A72712">
        <w:rPr>
          <w:b/>
          <w:sz w:val="18"/>
          <w:szCs w:val="18"/>
        </w:rPr>
        <w:fldChar w:fldCharType="separate"/>
      </w:r>
      <w:r w:rsidR="00363A39">
        <w:rPr>
          <w:b/>
          <w:noProof/>
          <w:sz w:val="18"/>
          <w:szCs w:val="18"/>
        </w:rPr>
        <w:t>4</w:t>
      </w:r>
      <w:r w:rsidRPr="00A72712">
        <w:rPr>
          <w:b/>
          <w:sz w:val="18"/>
          <w:szCs w:val="18"/>
        </w:rPr>
        <w:fldChar w:fldCharType="end"/>
      </w:r>
      <w:bookmarkEnd w:id="29"/>
      <w:bookmarkEnd w:id="30"/>
      <w:r w:rsidRPr="00A72712">
        <w:rPr>
          <w:b/>
          <w:sz w:val="18"/>
          <w:szCs w:val="18"/>
        </w:rPr>
        <w:t xml:space="preserve"> – Proportion of episodes with at least one COF diagnosis reported</w:t>
      </w:r>
      <w:r>
        <w:rPr>
          <w:b/>
          <w:sz w:val="18"/>
          <w:szCs w:val="18"/>
        </w:rPr>
        <w:t xml:space="preserve"> by care type</w:t>
      </w:r>
      <w:r w:rsidRPr="00A72712">
        <w:rPr>
          <w:b/>
          <w:sz w:val="18"/>
          <w:szCs w:val="18"/>
        </w:rPr>
        <w:t xml:space="preserve">, </w:t>
      </w:r>
    </w:p>
    <w:p w:rsidR="007718C7" w:rsidRPr="000C1520" w:rsidRDefault="007718C7" w:rsidP="00632BEA">
      <w:pPr>
        <w:jc w:val="center"/>
        <w:rPr>
          <w:b/>
          <w:sz w:val="18"/>
          <w:szCs w:val="18"/>
        </w:rPr>
      </w:pPr>
      <w:r w:rsidRPr="000C1520">
        <w:rPr>
          <w:b/>
          <w:sz w:val="18"/>
          <w:szCs w:val="18"/>
        </w:rPr>
        <w:t>public hospitals reporting COF, 2011-12</w:t>
      </w:r>
    </w:p>
    <w:p w:rsidR="007718C7" w:rsidRDefault="007718C7" w:rsidP="002B3AAC">
      <w:r>
        <w:t xml:space="preserve">Acute episodes include those with a care type of ‘acute’ and ‘newborn’.  Episodes with a care type of ‘newborn’ are grouped into those where ‘qualified days’ are reported, and those where there are no ‘qualified days’ reported.  In the costing of episodes, the costs of unqualified newborns are bundled with the costs of the mother.  The associated costs of unqualified newborns are generally considered to be relatively minor.  As a consequence, a usual practice is to exclude these episodes from analysis.  However, it is worth noting that some unqualified newborns do have COF diagnoses reported (around 3,000 episodes in 2011-12).  These were reported in public hospitals in all states and territories, although rates of reporting were higher in some jurisdictions.  Further investigation revealed that these rates may interact with the probability that a newborn episode is reported with qualified days.  Hospitals in some states have slightly lower proportions of newborns reported with qualified days than would be expected using national rates. After considering all options, it was decided to exclude unqualified newborns from the analysis of the NHCDC episodes.  </w:t>
      </w:r>
    </w:p>
    <w:p w:rsidR="007718C7" w:rsidRDefault="007718C7" w:rsidP="002B3AAC">
      <w:pPr>
        <w:pStyle w:val="Heading3"/>
      </w:pPr>
      <w:r w:rsidRPr="00EE25C0">
        <w:t xml:space="preserve">Day only and </w:t>
      </w:r>
      <w:r>
        <w:t>admission status</w:t>
      </w:r>
    </w:p>
    <w:p w:rsidR="007718C7" w:rsidRDefault="007718C7" w:rsidP="002B3AAC">
      <w:r>
        <w:t>R</w:t>
      </w:r>
      <w:r w:rsidRPr="00CE3F69">
        <w:t xml:space="preserve">eporting of COF was examined by whether the episode </w:t>
      </w:r>
      <w:r>
        <w:t xml:space="preserve">occurred as a </w:t>
      </w:r>
      <w:r w:rsidRPr="00CE3F69">
        <w:t>day only or overnight</w:t>
      </w:r>
      <w:r>
        <w:t xml:space="preserve"> stay</w:t>
      </w:r>
      <w:r w:rsidRPr="00CE3F69">
        <w:t>.</w:t>
      </w:r>
      <w:r>
        <w:t xml:space="preserve">  Overnight episodes in this context are defined as episodes with at least an overnight hospital stay.</w:t>
      </w:r>
      <w:r w:rsidRPr="00CE3F69">
        <w:t xml:space="preserve">  A</w:t>
      </w:r>
      <w:r>
        <w:t xml:space="preserve">s shown in </w:t>
      </w:r>
      <w:r w:rsidR="00F50FB9">
        <w:fldChar w:fldCharType="begin"/>
      </w:r>
      <w:r w:rsidR="00F50FB9">
        <w:instrText xml:space="preserve"> REF _Ref371086981 \h  \* MERGEFORMAT </w:instrText>
      </w:r>
      <w:r w:rsidR="00F50FB9">
        <w:fldChar w:fldCharType="separate"/>
      </w:r>
      <w:r w:rsidR="00363A39" w:rsidRPr="00363A39">
        <w:t>Figure 5</w:t>
      </w:r>
      <w:r w:rsidR="00F50FB9">
        <w:fldChar w:fldCharType="end"/>
      </w:r>
      <w:r>
        <w:t xml:space="preserve">, </w:t>
      </w:r>
      <w:r w:rsidRPr="00CE3F69">
        <w:t xml:space="preserve">0.9% of </w:t>
      </w:r>
      <w:r>
        <w:t xml:space="preserve">day only </w:t>
      </w:r>
      <w:r w:rsidRPr="00CE3F69">
        <w:t>episodes and 1</w:t>
      </w:r>
      <w:r>
        <w:t>7</w:t>
      </w:r>
      <w:r w:rsidRPr="00CE3F69">
        <w:t>.</w:t>
      </w:r>
      <w:r>
        <w:t>4</w:t>
      </w:r>
      <w:r w:rsidRPr="00CE3F69">
        <w:t>% overnight episodes</w:t>
      </w:r>
      <w:r w:rsidRPr="006611F8">
        <w:t xml:space="preserve"> </w:t>
      </w:r>
      <w:r w:rsidRPr="00CE3F69">
        <w:t>had a COF diagnos</w:t>
      </w:r>
      <w:r>
        <w:t>i</w:t>
      </w:r>
      <w:r w:rsidRPr="00CE3F69">
        <w:t>s reported.</w:t>
      </w:r>
      <w:r>
        <w:t xml:space="preserve">  Day only episodes account for 50.3% of the episodes within the hospitals included in the analysis.</w:t>
      </w:r>
    </w:p>
    <w:p w:rsidR="007718C7" w:rsidRDefault="007718C7" w:rsidP="002B3AAC">
      <w:pPr>
        <w:rPr>
          <w:b/>
        </w:rPr>
      </w:pPr>
      <w:r>
        <w:t xml:space="preserve">The categories were further split by whether the admission status was ‘emergency’, ‘planned’ or ‘other’.  Overall, episodes with an emergency admission status had a higher proportion of episodes with at least one COF diagnosis compared with planned episodes (10.2% vs. 6.0%).  Episodes with the ‘other’ category for admission status have the highest proportion (13.1%).  (This is partially explained by the fact that obstetric admissions, which generally have a larger </w:t>
      </w:r>
      <w:r>
        <w:lastRenderedPageBreak/>
        <w:t>number of COF diagnoses reported, are typically allocated to the ‘other’ category.)  When split by day only and overnight, an interesting observation is that for overnight episodes, a lower proportion of episodes with ‘emergency’ admission status have at least one COF compared with ‘planned’ episodes (13.4% vs. 20.5%). This was not expected, and warrants further investigation.</w:t>
      </w:r>
    </w:p>
    <w:p w:rsidR="007718C7" w:rsidRDefault="009B164C" w:rsidP="002B3AAC">
      <w:pPr>
        <w:contextualSpacing/>
        <w:jc w:val="center"/>
        <w:rPr>
          <w:b/>
        </w:rPr>
      </w:pPr>
      <w:r>
        <w:rPr>
          <w:noProof/>
          <w:lang w:eastAsia="en-AU"/>
        </w:rPr>
        <w:drawing>
          <wp:inline distT="0" distB="0" distL="0" distR="0" wp14:anchorId="5928D0A4" wp14:editId="0DD912A0">
            <wp:extent cx="3821430" cy="1544320"/>
            <wp:effectExtent l="0" t="0" r="7620" b="0"/>
            <wp:docPr id="29" name="Picture 42" descr="This series of figures shows the proportion of episodes with at least one COF diagnosis reported. Part 1 shows that of the total overnight episodes, 17.4% episodes had at least one hospital acquired diagnosis compared with day only episodes, where 0.9% of the total episodes had at least one hospital acquired diagnosis reported.  " title="Figure 5 – Proportion of episodes with at least one COF diagnosis reported, by day only/overnight status and admission status, public hospitals reporting COF with peer group A1-C2, 2011-1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1430" cy="1544320"/>
                    </a:xfrm>
                    <a:prstGeom prst="rect">
                      <a:avLst/>
                    </a:prstGeom>
                    <a:noFill/>
                    <a:ln>
                      <a:noFill/>
                    </a:ln>
                  </pic:spPr>
                </pic:pic>
              </a:graphicData>
            </a:graphic>
          </wp:inline>
        </w:drawing>
      </w:r>
    </w:p>
    <w:p w:rsidR="007718C7" w:rsidRDefault="009B164C" w:rsidP="002B3AAC">
      <w:pPr>
        <w:contextualSpacing/>
        <w:jc w:val="center"/>
        <w:rPr>
          <w:b/>
        </w:rPr>
      </w:pPr>
      <w:r>
        <w:rPr>
          <w:noProof/>
          <w:lang w:eastAsia="en-AU"/>
        </w:rPr>
        <w:drawing>
          <wp:inline distT="0" distB="0" distL="0" distR="0" wp14:anchorId="5BAC3EF1" wp14:editId="79F793F1">
            <wp:extent cx="3821430" cy="1544320"/>
            <wp:effectExtent l="0" t="0" r="7620" b="0"/>
            <wp:docPr id="27" name="Picture 43" descr="This second part of this figure shows that episodes reported as 'Other' (that is, not emergency or planned) had 13.1% of the total in this category reporting at least one hospital acquired diagnosis,  compared with 10.2% for emergency and 6% for planned.  " title="Figure 5 – Proportion of episodes with at least one COF diagnosis reported, by day only/overnight status and admission status, public hospitals reporting COF with peer group A1-C2, 2011-1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1430" cy="1544320"/>
                    </a:xfrm>
                    <a:prstGeom prst="rect">
                      <a:avLst/>
                    </a:prstGeom>
                    <a:noFill/>
                    <a:ln>
                      <a:noFill/>
                    </a:ln>
                  </pic:spPr>
                </pic:pic>
              </a:graphicData>
            </a:graphic>
          </wp:inline>
        </w:drawing>
      </w:r>
    </w:p>
    <w:p w:rsidR="007718C7" w:rsidRDefault="009B164C" w:rsidP="002B3AAC">
      <w:pPr>
        <w:contextualSpacing/>
        <w:jc w:val="center"/>
        <w:rPr>
          <w:b/>
        </w:rPr>
      </w:pPr>
      <w:r>
        <w:rPr>
          <w:noProof/>
          <w:lang w:eastAsia="en-AU"/>
        </w:rPr>
        <w:drawing>
          <wp:inline distT="0" distB="0" distL="0" distR="0" wp14:anchorId="29F37013" wp14:editId="7B1F558D">
            <wp:extent cx="3821430" cy="2372360"/>
            <wp:effectExtent l="0" t="0" r="7620" b="8890"/>
            <wp:docPr id="26" name="Picture 44" descr="This third part of this figure combines the results for same day/ overnight status and emergency/planned status. Overnight 'other' episodes had the highest proportion of total episodes with at least one hospital acquired diagnosis (26%), followed by planned overnight (20.5%), and then overnight emergency (13.4%)." title="Figure 5 – Proportion of episodes with at least one COF diagnosis reported, by day only/overnight status and admission status, public hospitals reporting COF with peer group A1-C2, 2011-12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1430" cy="2372360"/>
                    </a:xfrm>
                    <a:prstGeom prst="rect">
                      <a:avLst/>
                    </a:prstGeom>
                    <a:noFill/>
                    <a:ln>
                      <a:noFill/>
                    </a:ln>
                  </pic:spPr>
                </pic:pic>
              </a:graphicData>
            </a:graphic>
          </wp:inline>
        </w:drawing>
      </w:r>
    </w:p>
    <w:p w:rsidR="007718C7" w:rsidRPr="00A72712" w:rsidRDefault="007718C7" w:rsidP="002B3AAC">
      <w:pPr>
        <w:jc w:val="center"/>
        <w:rPr>
          <w:b/>
          <w:sz w:val="18"/>
          <w:szCs w:val="18"/>
        </w:rPr>
      </w:pPr>
      <w:bookmarkStart w:id="31" w:name="_Ref371086981"/>
      <w:r w:rsidRPr="00A72712">
        <w:rPr>
          <w:b/>
          <w:sz w:val="18"/>
          <w:szCs w:val="18"/>
        </w:rPr>
        <w:t xml:space="preserve">Figure </w:t>
      </w:r>
      <w:r w:rsidRPr="00A72712">
        <w:rPr>
          <w:b/>
          <w:sz w:val="18"/>
          <w:szCs w:val="18"/>
        </w:rPr>
        <w:fldChar w:fldCharType="begin"/>
      </w:r>
      <w:r w:rsidRPr="00A72712">
        <w:rPr>
          <w:b/>
          <w:sz w:val="18"/>
          <w:szCs w:val="18"/>
        </w:rPr>
        <w:instrText xml:space="preserve"> SEQ Figure \* ARABIC </w:instrText>
      </w:r>
      <w:r w:rsidRPr="00A72712">
        <w:rPr>
          <w:b/>
          <w:sz w:val="18"/>
          <w:szCs w:val="18"/>
        </w:rPr>
        <w:fldChar w:fldCharType="separate"/>
      </w:r>
      <w:r w:rsidR="00363A39">
        <w:rPr>
          <w:b/>
          <w:noProof/>
          <w:sz w:val="18"/>
          <w:szCs w:val="18"/>
        </w:rPr>
        <w:t>5</w:t>
      </w:r>
      <w:r w:rsidRPr="00A72712">
        <w:rPr>
          <w:b/>
          <w:sz w:val="18"/>
          <w:szCs w:val="18"/>
        </w:rPr>
        <w:fldChar w:fldCharType="end"/>
      </w:r>
      <w:bookmarkEnd w:id="31"/>
      <w:r w:rsidRPr="00A72712">
        <w:rPr>
          <w:b/>
          <w:sz w:val="18"/>
          <w:szCs w:val="18"/>
        </w:rPr>
        <w:t xml:space="preserve"> – Proportion of episodes with at least one COF diagnosis reported</w:t>
      </w:r>
      <w:r>
        <w:rPr>
          <w:b/>
          <w:sz w:val="18"/>
          <w:szCs w:val="18"/>
        </w:rPr>
        <w:t>, by day only/overnight status and admission status, public hospital</w:t>
      </w:r>
      <w:r w:rsidRPr="00C5416F">
        <w:rPr>
          <w:b/>
          <w:sz w:val="18"/>
          <w:szCs w:val="18"/>
        </w:rPr>
        <w:t>s</w:t>
      </w:r>
      <w:r>
        <w:rPr>
          <w:b/>
          <w:sz w:val="18"/>
          <w:szCs w:val="18"/>
        </w:rPr>
        <w:t xml:space="preserve"> reporting COF with peer group A1-C2, 2011-12</w:t>
      </w:r>
    </w:p>
    <w:p w:rsidR="007718C7" w:rsidRDefault="007718C7" w:rsidP="002B3AAC">
      <w:r w:rsidRPr="00FD5F4C">
        <w:t>This analys</w:t>
      </w:r>
      <w:r>
        <w:t>i</w:t>
      </w:r>
      <w:r w:rsidRPr="00FD5F4C">
        <w:t>s suggests that there are potentially important differences between day only and overnight episodes</w:t>
      </w:r>
      <w:r>
        <w:t xml:space="preserve"> with respect to diagnoses being flagged as hospital-acquired. These differences may diminish once other factors are taken into account (e.g. assignment to AR-DRG).  Rather than excluding day only episodes from the analysis, an alternative approach is to control for this factor in modelling the impact of COF diagnoses on costs.  </w:t>
      </w:r>
    </w:p>
    <w:p w:rsidR="007718C7" w:rsidRDefault="007718C7" w:rsidP="002B3AAC">
      <w:r>
        <w:t>Similarly, the analysis suggests that admission status may be an important factor to control for in the model specification for modelling the impact of COF diagnoses on length of stay and cost, which is reported later in this report.</w:t>
      </w:r>
    </w:p>
    <w:p w:rsidR="007718C7" w:rsidRDefault="007718C7" w:rsidP="0037417A">
      <w:pPr>
        <w:pStyle w:val="Stageheading"/>
      </w:pPr>
      <w:r>
        <w:br w:type="page"/>
      </w:r>
      <w:bookmarkStart w:id="32" w:name="_Ref368824739"/>
      <w:bookmarkStart w:id="33" w:name="_Toc374114588"/>
      <w:r>
        <w:lastRenderedPageBreak/>
        <w:t>Initial exclusions</w:t>
      </w:r>
      <w:bookmarkEnd w:id="32"/>
      <w:bookmarkEnd w:id="33"/>
    </w:p>
    <w:p w:rsidR="007718C7" w:rsidRDefault="007718C7" w:rsidP="00D852EB">
      <w:r>
        <w:t>Based on the analysis conducted above, it was decided to apply a number of exclusions for the next phase of the analysis. The exclusions agreed with the project team were:</w:t>
      </w:r>
    </w:p>
    <w:p w:rsidR="007718C7" w:rsidRDefault="007718C7" w:rsidP="00041A4D">
      <w:pPr>
        <w:pStyle w:val="ListParagraph"/>
        <w:numPr>
          <w:ilvl w:val="0"/>
          <w:numId w:val="5"/>
        </w:numPr>
        <w:contextualSpacing w:val="0"/>
      </w:pPr>
      <w:r>
        <w:t xml:space="preserve">Private hospitals were excluded from the analysis due to the fact that the primary focus on this review was public hospitals. </w:t>
      </w:r>
    </w:p>
    <w:p w:rsidR="007718C7" w:rsidRDefault="007718C7" w:rsidP="00041A4D">
      <w:pPr>
        <w:pStyle w:val="ListParagraph"/>
        <w:numPr>
          <w:ilvl w:val="0"/>
          <w:numId w:val="5"/>
        </w:numPr>
        <w:contextualSpacing w:val="0"/>
      </w:pPr>
      <w:r>
        <w:t>The analysis was focussed on 2011-12.  This was because overall reporting rates of COF by hospitals were better for that year (which is the most current year of data available) than previous years.</w:t>
      </w:r>
    </w:p>
    <w:p w:rsidR="007718C7" w:rsidRDefault="007718C7" w:rsidP="00041A4D">
      <w:pPr>
        <w:pStyle w:val="ListParagraph"/>
        <w:numPr>
          <w:ilvl w:val="0"/>
          <w:numId w:val="5"/>
        </w:numPr>
        <w:contextualSpacing w:val="0"/>
      </w:pPr>
      <w:r>
        <w:t xml:space="preserve">Hospitals that did not report the COF were excluded from the analysis.  </w:t>
      </w:r>
    </w:p>
    <w:p w:rsidR="007718C7" w:rsidRDefault="007718C7" w:rsidP="00041A4D">
      <w:pPr>
        <w:pStyle w:val="ListParagraph"/>
        <w:numPr>
          <w:ilvl w:val="0"/>
          <w:numId w:val="5"/>
        </w:numPr>
        <w:contextualSpacing w:val="0"/>
      </w:pPr>
      <w:r>
        <w:t xml:space="preserve">The analysis was focussed on episodes with an acute care type plus episodes with a </w:t>
      </w:r>
      <w:r w:rsidRPr="00E664C7">
        <w:t xml:space="preserve">newborn care type reporting qualified days.  This was due to the fact that other care types generally have much longer lengths of stay, and therefore, issues may arise for patients during the hospital stay because of the longer length of stay rather than the care provided. </w:t>
      </w:r>
    </w:p>
    <w:p w:rsidR="007718C7" w:rsidRDefault="007718C7" w:rsidP="00041A4D">
      <w:pPr>
        <w:pStyle w:val="ListParagraph"/>
        <w:numPr>
          <w:ilvl w:val="0"/>
          <w:numId w:val="5"/>
        </w:numPr>
        <w:ind w:left="714" w:hanging="357"/>
        <w:contextualSpacing w:val="0"/>
      </w:pPr>
      <w:r>
        <w:t>The analysis was focussed on hospitals with an AIHW hospital peer groups of: A1, A2, B1, B2, C1 or C2.  This was for the reasons in relation to length of stay and the availability of cost data.</w:t>
      </w:r>
    </w:p>
    <w:p w:rsidR="007718C7" w:rsidRPr="000F1C72" w:rsidRDefault="007718C7" w:rsidP="007E2FC8">
      <w:pPr>
        <w:pStyle w:val="ListParagraph"/>
        <w:ind w:left="0"/>
        <w:contextualSpacing w:val="0"/>
      </w:pPr>
      <w:r w:rsidRPr="000F1C72">
        <w:t xml:space="preserve">These exclusions have been applied in the analyses presented in </w:t>
      </w:r>
      <w:r w:rsidR="00F50FB9" w:rsidRPr="000F1C72">
        <w:fldChar w:fldCharType="begin"/>
      </w:r>
      <w:r w:rsidR="00F50FB9" w:rsidRPr="000F1C72">
        <w:instrText xml:space="preserve"> REF _Ref365643301 \h  \* MERGEFORMAT </w:instrText>
      </w:r>
      <w:r w:rsidR="00F50FB9" w:rsidRPr="000F1C72">
        <w:fldChar w:fldCharType="separate"/>
      </w:r>
      <w:r w:rsidR="00363A39" w:rsidRPr="00363A39">
        <w:t>Table 5</w:t>
      </w:r>
      <w:r w:rsidR="00F50FB9" w:rsidRPr="000F1C72">
        <w:fldChar w:fldCharType="end"/>
      </w:r>
      <w:r w:rsidRPr="000F1C72">
        <w:t xml:space="preserve">, </w:t>
      </w:r>
      <w:r w:rsidR="00F50FB9" w:rsidRPr="000F1C72">
        <w:fldChar w:fldCharType="begin"/>
      </w:r>
      <w:r w:rsidR="00F50FB9" w:rsidRPr="000F1C72">
        <w:instrText xml:space="preserve"> REF _Ref368824602 \h  \* MERGEFORMAT </w:instrText>
      </w:r>
      <w:r w:rsidR="00F50FB9" w:rsidRPr="000F1C72">
        <w:fldChar w:fldCharType="separate"/>
      </w:r>
      <w:r w:rsidR="00363A39" w:rsidRPr="00363A39">
        <w:t>Table 6</w:t>
      </w:r>
      <w:r w:rsidR="00F50FB9" w:rsidRPr="000F1C72">
        <w:fldChar w:fldCharType="end"/>
      </w:r>
      <w:r w:rsidRPr="000F1C72">
        <w:t xml:space="preserve">, and </w:t>
      </w:r>
      <w:r w:rsidR="00F50FB9" w:rsidRPr="000F1C72">
        <w:fldChar w:fldCharType="begin"/>
      </w:r>
      <w:r w:rsidR="00F50FB9" w:rsidRPr="000F1C72">
        <w:instrText xml:space="preserve"> REF _Ref368824604 \h  \* MERGEFORMAT </w:instrText>
      </w:r>
      <w:r w:rsidR="00F50FB9" w:rsidRPr="000F1C72">
        <w:fldChar w:fldCharType="separate"/>
      </w:r>
      <w:r w:rsidR="00363A39" w:rsidRPr="00363A39">
        <w:t>Table 7</w:t>
      </w:r>
      <w:r w:rsidR="00F50FB9" w:rsidRPr="000F1C72">
        <w:fldChar w:fldCharType="end"/>
      </w:r>
      <w:r w:rsidRPr="000F1C72">
        <w:t>.  These initial exclusions were also applied with respect to the analysis of the NHCDC (see discussion below).</w:t>
      </w:r>
    </w:p>
    <w:p w:rsidR="007718C7" w:rsidRDefault="007718C7" w:rsidP="0037417A">
      <w:pPr>
        <w:pStyle w:val="Stageheading"/>
      </w:pPr>
      <w:bookmarkStart w:id="34" w:name="_Toc374114589"/>
      <w:r>
        <w:t>Characteristics of hospital-acquired diagnosis codes</w:t>
      </w:r>
      <w:bookmarkEnd w:id="34"/>
    </w:p>
    <w:p w:rsidR="007718C7" w:rsidRDefault="007718C7" w:rsidP="00172993">
      <w:r w:rsidRPr="00071084">
        <w:t xml:space="preserve">The analysis presented above examined the characteristics of episodes of care in which </w:t>
      </w:r>
      <w:r>
        <w:t>hospital-acquired</w:t>
      </w:r>
      <w:r w:rsidRPr="00071084">
        <w:t xml:space="preserve"> diagnoses were reported.  Further analysis was undertaken on the nature of </w:t>
      </w:r>
      <w:r>
        <w:t>hospital-acquired</w:t>
      </w:r>
      <w:r w:rsidRPr="00071084">
        <w:t xml:space="preserve"> diagnos</w:t>
      </w:r>
      <w:r>
        <w:t>i</w:t>
      </w:r>
      <w:r w:rsidRPr="00071084">
        <w:t>s</w:t>
      </w:r>
      <w:r>
        <w:t xml:space="preserve"> codes</w:t>
      </w:r>
      <w:r w:rsidRPr="00071084">
        <w:t xml:space="preserve"> reported in the APC NMDS in 2011-12.</w:t>
      </w:r>
      <w:r>
        <w:t xml:space="preserve"> This analysis also examined the implications of applying a data </w:t>
      </w:r>
      <w:r w:rsidR="002F611A">
        <w:t>cleaning</w:t>
      </w:r>
      <w:r>
        <w:t xml:space="preserve"> </w:t>
      </w:r>
      <w:r w:rsidRPr="00172993">
        <w:t>algorithm originally proposed by Jackson et al. (</w:t>
      </w:r>
      <w:hyperlink w:anchor="_ENREF_19" w:tooltip="Jackson, 2009 #3" w:history="1">
        <w:r w:rsidR="00C33CAE" w:rsidRPr="00172993">
          <w:fldChar w:fldCharType="begin">
            <w:fldData xml:space="preserve">PEVuZE5vdGU+PENpdGUgRXhjbHVkZUF1dGg9IjEiPjxBdXRob3I+SmFja3NvbjwvQXV0aG9yPjxZ
ZWFyPjIwMDk8L1llYXI+PFJlY051bT4zPC9SZWNOdW0+PERpc3BsYXlUZXh0PjIwMDk8L0Rpc3Bs
YXlUZXh0PjxyZWNvcmQ+PHJlYy1udW1iZXI+MzwvcmVjLW51bWJlcj48Zm9yZWlnbi1rZXlzPjxr
ZXkgYXBwPSJFTiIgZGItaWQ9IjkydGZ0dDV2MmFyeGQ2ZTl3enI1MHcydzByejBlcHgwOTlmdCIg
dGltZXN0YW1wPSIxMzcxNDM0MTA4Ij4zPC9rZXk+PC9mb3JlaWduLWtleXM+PHJlZi10eXBlIG5h
bWU9IkpvdXJuYWwgQXJ0aWNsZSI+MTc8L3JlZi10eXBlPjxjb250cmlidXRvcnM+PGF1dGhvcnM+
PGF1dGhvcj5KYWNrc29uLCBUPC9hdXRob3I+PGF1dGhvcj5NaWNoZWwsIEouIEw8L2F1dGhvcj48
YXV0aG9yPlJvYmVydHMsIFI8L2F1dGhvcj48YXV0aG9yPlNoZXBoZWFyZCwgSjwvYXV0aG9yPjxh
dXRob3I+Q2hlbmcsIEQ8L2F1dGhvcj48YXV0aG9yPlJ1c3QsIEo8L2F1dGhvcj48YXV0aG9yPlBl
cnJ5LCBDPC9hdXRob3I+PC9hdXRob3JzPjwvY29udHJpYnV0b3JzPjxhdXRoLWFkZHJlc3M+QXVz
dHJhbGlhbiBDZW50cmUgZm9yIEVjb25vbWljIFJlc2VhcmNoIG9uIEhlYWx0aCwgU2Nob29sIG9m
IE1lZGljaW5lLCBVbml2ZXJzaXR5IG9mIFF1ZWVuc2xhbmQsIEJyaXNiYW5lLCBBdXN0cmFsaWEu
IHQuamFja3NvbkB1cS5lZHUuYXU8L2F1dGgtYWRkcmVzcz48dGl0bGVzPjx0aXRsZT5EZXZlbG9w
bWVudCBvZiBhIHZhbGlkYXRpb24gYWxnb3JpdGhtIGZvciAmYXBvcztwcmVzZW50IG9uIGFkbWlz
c2lvbiZhcG9zOyBmbGFnZ2luZzwvdGl0bGU+PHNlY29uZGFyeS10aXRsZT5CTUMgTWVkIEluZm9y
bSBEZWNpcyBNYWs8L3NlY29uZGFyeS10aXRsZT48YWx0LXRpdGxlPkJNQyBtZWRpY2FsIGluZm9y
bWF0aWNzIGFuZCBkZWNpc2lvbiBtYWtpbmc8L2FsdC10aXRsZT48L3RpdGxlcz48cGVyaW9kaWNh
bD48ZnVsbC10aXRsZT5CTUMgTWVkIEluZm9ybSBEZWNpcyBNYWs8L2Z1bGwtdGl0bGU+PGFiYnIt
MT5CTUMgbWVkaWNhbCBpbmZvcm1hdGljcyBhbmQgZGVjaXNpb24gbWFraW5nPC9hYmJyLTE+PC9w
ZXJpb2RpY2FsPjxhbHQtcGVyaW9kaWNhbD48ZnVsbC10aXRsZT5CTUMgTWVkIEluZm9ybSBEZWNp
cyBNYWs8L2Z1bGwtdGl0bGU+PGFiYnItMT5CTUMgbWVkaWNhbCBpbmZvcm1hdGljcyBhbmQgZGVj
aXNpb24gbWFraW5nPC9hYmJyLTE+PC9hbHQtcGVyaW9kaWNhbD48cGFnZXM+NDg8L3BhZ2VzPjx2
b2x1bWU+OTwvdm9sdW1lPjxlZGl0aW9uPjIwMDkvMTIvMDM8L2VkaXRpb24+PGtleXdvcmRzPjxr
ZXl3b3JkPipBbGdvcml0aG1zPC9rZXl3b3JkPjxrZXl3b3JkPkF1c3RyYWxpYTwva2V5d29yZD48
a2V5d29yZD5Db21vcmJpZGl0eTwva2V5d29yZD48a2V5d29yZD5EaWFnbm9zaXM8L2tleXdvcmQ+
PGtleXdvcmQ+RXBpc29kZSBvZiBDYXJlPC9rZXl3b3JkPjxrZXl3b3JkPkZlbWFsZTwva2V5d29y
ZD48a2V5d29yZD5IdW1hbnM8L2tleXdvcmQ+PGtleXdvcmQ+SW50ZXJuYXRpb25hbCBDbGFzc2lm
aWNhdGlvbiBvZiBEaXNlYXNlczwva2V5d29yZD48a2V5d29yZD5NYWxlPC9rZXl3b3JkPjxrZXl3
b3JkPipQYXRpZW50IEFkbWlzc2lvbjwva2V5d29yZD48a2V5d29yZD5RdWFsaXR5IG9mIEhlYWx0
aCBDYXJlPC9rZXl3b3JkPjwva2V5d29yZHM+PGRhdGVzPjx5ZWFyPjIwMDk8L3llYXI+PC9kYXRl
cz48aXNibj4xNDcyLTY5NDcgKEVsZWN0cm9uaWMpJiN4RDsxNDcyLTY5NDcgKExpbmtpbmcpPC9p
c2JuPjxhY2Nlc3Npb24tbnVtPjE5OTUxNDMwPC9hY2Nlc3Npb24tbnVtPjx1cmxzPjxyZWxhdGVk
LXVybHM+PHVybD5odHRwOi8vd3d3Lm5jYmkubmxtLm5paC5nb3YvcHVibWVkLzE5OTUxNDMwPC91
cmw+PHVybD5odHRwOi8vd3d3LmJpb21lZGNlbnRyYWwuY29tL2NvbnRlbnQvcGRmLzE0NzItNjk0
Ny05LTQ4LnBkZjwvdXJsPjwvcmVsYXRlZC11cmxzPjwvdXJscz48Y3VzdG9tMj4yNzkzMjQ0PC9j
dXN0b20yPjxlbGVjdHJvbmljLXJlc291cmNlLW51bT4xMC4xMTg2LzE0NzItNjk0Ny05LTQ4PC9l
bGVjdHJvbmljLXJlc291cmNlLW51bT48bGFuZ3VhZ2U+ZW5nPC9sYW5ndWFnZT48L3JlY29yZD48
L0NpdGU+PC9FbmROb3RlPgB=
</w:fldData>
          </w:fldChar>
        </w:r>
        <w:r w:rsidR="00C33CAE">
          <w:instrText xml:space="preserve"> ADDIN EN.CITE </w:instrText>
        </w:r>
        <w:r w:rsidR="00C33CAE">
          <w:fldChar w:fldCharType="begin">
            <w:fldData xml:space="preserve">PEVuZE5vdGU+PENpdGUgRXhjbHVkZUF1dGg9IjEiPjxBdXRob3I+SmFja3NvbjwvQXV0aG9yPjxZ
ZWFyPjIwMDk8L1llYXI+PFJlY051bT4zPC9SZWNOdW0+PERpc3BsYXlUZXh0PjIwMDk8L0Rpc3Bs
YXlUZXh0PjxyZWNvcmQ+PHJlYy1udW1iZXI+MzwvcmVjLW51bWJlcj48Zm9yZWlnbi1rZXlzPjxr
ZXkgYXBwPSJFTiIgZGItaWQ9IjkydGZ0dDV2MmFyeGQ2ZTl3enI1MHcydzByejBlcHgwOTlmdCIg
dGltZXN0YW1wPSIxMzcxNDM0MTA4Ij4zPC9rZXk+PC9mb3JlaWduLWtleXM+PHJlZi10eXBlIG5h
bWU9IkpvdXJuYWwgQXJ0aWNsZSI+MTc8L3JlZi10eXBlPjxjb250cmlidXRvcnM+PGF1dGhvcnM+
PGF1dGhvcj5KYWNrc29uLCBUPC9hdXRob3I+PGF1dGhvcj5NaWNoZWwsIEouIEw8L2F1dGhvcj48
YXV0aG9yPlJvYmVydHMsIFI8L2F1dGhvcj48YXV0aG9yPlNoZXBoZWFyZCwgSjwvYXV0aG9yPjxh
dXRob3I+Q2hlbmcsIEQ8L2F1dGhvcj48YXV0aG9yPlJ1c3QsIEo8L2F1dGhvcj48YXV0aG9yPlBl
cnJ5LCBDPC9hdXRob3I+PC9hdXRob3JzPjwvY29udHJpYnV0b3JzPjxhdXRoLWFkZHJlc3M+QXVz
dHJhbGlhbiBDZW50cmUgZm9yIEVjb25vbWljIFJlc2VhcmNoIG9uIEhlYWx0aCwgU2Nob29sIG9m
IE1lZGljaW5lLCBVbml2ZXJzaXR5IG9mIFF1ZWVuc2xhbmQsIEJyaXNiYW5lLCBBdXN0cmFsaWEu
IHQuamFja3NvbkB1cS5lZHUuYXU8L2F1dGgtYWRkcmVzcz48dGl0bGVzPjx0aXRsZT5EZXZlbG9w
bWVudCBvZiBhIHZhbGlkYXRpb24gYWxnb3JpdGhtIGZvciAmYXBvcztwcmVzZW50IG9uIGFkbWlz
c2lvbiZhcG9zOyBmbGFnZ2luZzwvdGl0bGU+PHNlY29uZGFyeS10aXRsZT5CTUMgTWVkIEluZm9y
bSBEZWNpcyBNYWs8L3NlY29uZGFyeS10aXRsZT48YWx0LXRpdGxlPkJNQyBtZWRpY2FsIGluZm9y
bWF0aWNzIGFuZCBkZWNpc2lvbiBtYWtpbmc8L2FsdC10aXRsZT48L3RpdGxlcz48cGVyaW9kaWNh
bD48ZnVsbC10aXRsZT5CTUMgTWVkIEluZm9ybSBEZWNpcyBNYWs8L2Z1bGwtdGl0bGU+PGFiYnIt
MT5CTUMgbWVkaWNhbCBpbmZvcm1hdGljcyBhbmQgZGVjaXNpb24gbWFraW5nPC9hYmJyLTE+PC9w
ZXJpb2RpY2FsPjxhbHQtcGVyaW9kaWNhbD48ZnVsbC10aXRsZT5CTUMgTWVkIEluZm9ybSBEZWNp
cyBNYWs8L2Z1bGwtdGl0bGU+PGFiYnItMT5CTUMgbWVkaWNhbCBpbmZvcm1hdGljcyBhbmQgZGVj
aXNpb24gbWFraW5nPC9hYmJyLTE+PC9hbHQtcGVyaW9kaWNhbD48cGFnZXM+NDg8L3BhZ2VzPjx2
b2x1bWU+OTwvdm9sdW1lPjxlZGl0aW9uPjIwMDkvMTIvMDM8L2VkaXRpb24+PGtleXdvcmRzPjxr
ZXl3b3JkPipBbGdvcml0aG1zPC9rZXl3b3JkPjxrZXl3b3JkPkF1c3RyYWxpYTwva2V5d29yZD48
a2V5d29yZD5Db21vcmJpZGl0eTwva2V5d29yZD48a2V5d29yZD5EaWFnbm9zaXM8L2tleXdvcmQ+
PGtleXdvcmQ+RXBpc29kZSBvZiBDYXJlPC9rZXl3b3JkPjxrZXl3b3JkPkZlbWFsZTwva2V5d29y
ZD48a2V5d29yZD5IdW1hbnM8L2tleXdvcmQ+PGtleXdvcmQ+SW50ZXJuYXRpb25hbCBDbGFzc2lm
aWNhdGlvbiBvZiBEaXNlYXNlczwva2V5d29yZD48a2V5d29yZD5NYWxlPC9rZXl3b3JkPjxrZXl3
b3JkPipQYXRpZW50IEFkbWlzc2lvbjwva2V5d29yZD48a2V5d29yZD5RdWFsaXR5IG9mIEhlYWx0
aCBDYXJlPC9rZXl3b3JkPjwva2V5d29yZHM+PGRhdGVzPjx5ZWFyPjIwMDk8L3llYXI+PC9kYXRl
cz48aXNibj4xNDcyLTY5NDcgKEVsZWN0cm9uaWMpJiN4RDsxNDcyLTY5NDcgKExpbmtpbmcpPC9p
c2JuPjxhY2Nlc3Npb24tbnVtPjE5OTUxNDMwPC9hY2Nlc3Npb24tbnVtPjx1cmxzPjxyZWxhdGVk
LXVybHM+PHVybD5odHRwOi8vd3d3Lm5jYmkubmxtLm5paC5nb3YvcHVibWVkLzE5OTUxNDMwPC91
cmw+PHVybD5odHRwOi8vd3d3LmJpb21lZGNlbnRyYWwuY29tL2NvbnRlbnQvcGRmLzE0NzItNjk0
Ny05LTQ4LnBkZjwvdXJsPjwvcmVsYXRlZC11cmxzPjwvdXJscz48Y3VzdG9tMj4yNzkzMjQ0PC9j
dXN0b20yPjxlbGVjdHJvbmljLXJlc291cmNlLW51bT4xMC4xMTg2LzE0NzItNjk0Ny05LTQ4PC9l
bGVjdHJvbmljLXJlc291cmNlLW51bT48bGFuZ3VhZ2U+ZW5nPC9sYW5ndWFnZT48L3JlY29yZD48
L0NpdGU+PC9FbmROb3RlPgB=
</w:fldData>
          </w:fldChar>
        </w:r>
        <w:r w:rsidR="00C33CAE">
          <w:instrText xml:space="preserve"> ADDIN EN.CITE.DATA </w:instrText>
        </w:r>
        <w:r w:rsidR="00C33CAE">
          <w:fldChar w:fldCharType="end"/>
        </w:r>
        <w:r w:rsidR="00C33CAE" w:rsidRPr="00172993">
          <w:fldChar w:fldCharType="separate"/>
        </w:r>
        <w:r w:rsidR="00C33CAE" w:rsidRPr="00172993">
          <w:rPr>
            <w:noProof/>
          </w:rPr>
          <w:t>2009</w:t>
        </w:r>
        <w:r w:rsidR="00C33CAE" w:rsidRPr="00172993">
          <w:fldChar w:fldCharType="end"/>
        </w:r>
      </w:hyperlink>
      <w:r w:rsidRPr="00172993">
        <w:t xml:space="preserve">).  </w:t>
      </w:r>
    </w:p>
    <w:p w:rsidR="007718C7" w:rsidRDefault="007718C7" w:rsidP="0047391A">
      <w:r>
        <w:t>Many of issues with the interpretation of COF diagnoses have been previously highlighted in the literature (</w:t>
      </w:r>
      <w:r>
        <w:fldChar w:fldCharType="begin">
          <w:fldData xml:space="preserve">PEVuZE5vdGU+PENpdGU+PEF1dGhvcj5KYWNrc29uPC9BdXRob3I+PFllYXI+MjAwOTwvWWVhcj48
UmVjTnVtPjM8L1JlY051bT48RGlzcGxheVRleHQ+SmFja3NvbiwgTWljaGVsLCBSb2JlcnRzLCBT
aGVwaGVhcmQsIGV0IGFsLiwgMjAwOTsgSmFja3NvbiwgTWljaGVsLCBSb2JlcnRzLCBKb3JtLCBl
dCBhbC4sIDIwMDk7IE1pY2hlbCBldCBhbC4sIDIwMDk8L0Rpc3BsYXlUZXh0PjxyZWNvcmQ+PHJl
Yy1udW1iZXI+MzwvcmVjLW51bWJlcj48Zm9yZWlnbi1rZXlzPjxrZXkgYXBwPSJFTiIgZGItaWQ9
IjkydGZ0dDV2MmFyeGQ2ZTl3enI1MHcydzByejBlcHgwOTlmdCIgdGltZXN0YW1wPSIxMzcxNDM0
MTA4Ij4zPC9rZXk+PC9mb3JlaWduLWtleXM+PHJlZi10eXBlIG5hbWU9IkpvdXJuYWwgQXJ0aWNs
ZSI+MTc8L3JlZi10eXBlPjxjb250cmlidXRvcnM+PGF1dGhvcnM+PGF1dGhvcj5KYWNrc29uLCBU
PC9hdXRob3I+PGF1dGhvcj5NaWNoZWwsIEouIEw8L2F1dGhvcj48YXV0aG9yPlJvYmVydHMsIFI8
L2F1dGhvcj48YXV0aG9yPlNoZXBoZWFyZCwgSjwvYXV0aG9yPjxhdXRob3I+Q2hlbmcsIEQ8L2F1
dGhvcj48YXV0aG9yPlJ1c3QsIEo8L2F1dGhvcj48YXV0aG9yPlBlcnJ5LCBDPC9hdXRob3I+PC9h
dXRob3JzPjwvY29udHJpYnV0b3JzPjxhdXRoLWFkZHJlc3M+QXVzdHJhbGlhbiBDZW50cmUgZm9y
IEVjb25vbWljIFJlc2VhcmNoIG9uIEhlYWx0aCwgU2Nob29sIG9mIE1lZGljaW5lLCBVbml2ZXJz
aXR5IG9mIFF1ZWVuc2xhbmQsIEJyaXNiYW5lLCBBdXN0cmFsaWEuIHQuamFja3NvbkB1cS5lZHUu
YXU8L2F1dGgtYWRkcmVzcz48dGl0bGVzPjx0aXRsZT5EZXZlbG9wbWVudCBvZiBhIHZhbGlkYXRp
b24gYWxnb3JpdGhtIGZvciAmYXBvcztwcmVzZW50IG9uIGFkbWlzc2lvbiZhcG9zOyBmbGFnZ2lu
ZzwvdGl0bGU+PHNlY29uZGFyeS10aXRsZT5CTUMgTWVkIEluZm9ybSBEZWNpcyBNYWs8L3NlY29u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LTE+PC9hbHQtcGVyaW9kaWNhbD48cGFnZXM+NDg8L3BhZ2VzPjx2b2x1bWU+OTwvdm9sdW1lPjxl
ZGl0aW9uPjIwMDkvMTIvMDM8L2VkaXRpb24+PGtleXdvcmRzPjxrZXl3b3JkPipBbGdvcml0aG1z
PC9rZXl3b3JkPjxrZXl3b3JkPkF1c3RyYWxpYTwva2V5d29yZD48a2V5d29yZD5Db21vcmJpZGl0
eTwva2V5d29yZD48a2V5d29yZD5EaWFnbm9zaXM8L2tleXdvcmQ+PGtleXdvcmQ+RXBpc29kZSBv
ZiBDYXJlPC9rZXl3b3JkPjxrZXl3b3JkPkZlbWFsZTwva2V5d29yZD48a2V5d29yZD5IdW1hbnM8
L2tleXdvcmQ+PGtleXdvcmQ+SW50ZXJuYXRpb25hbCBDbGFzc2lmaWNhdGlvbiBvZiBEaXNlYXNl
czwva2V5d29yZD48a2V5d29yZD5NYWxlPC9rZXl3b3JkPjxrZXl3b3JkPipQYXRpZW50IEFkbWlz
c2lvbjwva2V5d29yZD48a2V5d29yZD5RdWFsaXR5IG9mIEhlYWx0aCBDYXJlPC9rZXl3b3JkPjwv
a2V5d29yZHM+PGRhdGVzPjx5ZWFyPjIwMDk8L3llYXI+PC9kYXRlcz48aXNibj4xNDcyLTY5NDcg
KEVsZWN0cm9uaWMpJiN4RDsxNDcyLTY5NDcgKExpbmtpbmcpPC9pc2JuPjxhY2Nlc3Npb24tbnVt
PjE5OTUxNDMwPC9hY2Nlc3Npb24tbnVtPjx1cmxzPjxyZWxhdGVkLXVybHM+PHVybD5odHRwOi8v
d3d3Lm5jYmkubmxtLm5paC5nb3YvcHVibWVkLzE5OTUxNDMwPC91cmw+PHVybD5odHRwOi8vd3d3
LmJpb21lZGNlbnRyYWwuY29tL2NvbnRlbnQvcGRmLzE0NzItNjk0Ny05LTQ4LnBkZjwvdXJsPjwv
cmVsYXRlZC11cmxzPjwvdXJscz48Y3VzdG9tMj4yNzkzMjQ0PC9jdXN0b20yPjxlbGVjdHJvbmlj
LXJlc291cmNlLW51bT4xMC4xMTg2LzE0NzItNjk0Ny05LTQ4PC9lbGVjdHJvbmljLXJlc291cmNl
LW51bT48bGFuZ3VhZ2U+ZW5nPC9sYW5ndWFnZT48L3JlY29yZD48L0NpdGU+PENpdGU+PEF1dGhv
cj5KYWNrc29uPC9BdXRob3I+PFllYXI+MjAwOTwvWWVhcj48UmVjTnVtPjE2PC9SZWNOdW0+PHJl
Y29yZD48cmVjLW51bWJlcj4xNjwvcmVjLW51bWJlcj48Zm9yZWlnbi1rZXlzPjxrZXkgYXBwPSJF
TiIgZGItaWQ9IjkydGZ0dDV2MmFyeGQ2ZTl3enI1MHcydzByejBlcHgwOTlmdCIgdGltZXN0YW1w
PSIxMzc0NDc1NTQxIj4xNjwva2V5PjwvZm9yZWlnbi1rZXlzPjxyZWYtdHlwZSBuYW1lPSJKb3Vy
bmFsIEFydGljbGUiPjE3PC9yZWYtdHlwZT48Y29udHJpYnV0b3JzPjxhdXRob3JzPjxhdXRob3I+
SmFja3NvbiwgVDwvYXV0aG9yPjxhdXRob3I+TWljaGVsLCBKLiBMPC9hdXRob3I+PGF1dGhvcj5S
b2JlcnRzLCBSLiBGPC9hdXRob3I+PGF1dGhvcj5Kb3JtLCBDLiBNPC9hdXRob3I+PGF1dGhvcj5X
YWtlZmllbGQsIEouIEc8L2F1dGhvcj48L2F1dGhvcnM+PC9jb250cmlidXRvcnM+PGF1dGgtYWRk
cmVzcz5BdXN0cmFsaWFuIENlbnRyZSBmb3IgRWNvbm9taWMgUmVzZWFyY2ggb24gSGVhbHRoLCBV
bml2ZXJzaXR5IG9mIFF1ZWVuc2xhbmQsIEJyaXNiYW5lLCBRTEQsIEF1c3RyYWxpYS4gdC5qYWNr
c29uQHVxLmVkdS5hdTwvYXV0aC1hZGRyZXNzPjx0aXRsZXM+PHRpdGxlPkEgY2xhc3NpZmljYXRp
b24gb2YgaG9zcGl0YWwtYWNxdWlyZWQgZGlhZ25vc2VzIGZvciB1c2Ugd2l0aCByb3V0aW5lIGhv
c3BpdGFsIGRhdGE8L3RpdGxlPjxzZWNvbmRhcnktdGl0bGU+TWVkIEogQXVzdDwvc2Vjb25kYXJ5
LXRpdGxlPjxhbHQtdGl0bGU+VGhlIE1lZGljYWwgam91cm5hbCBvZiBBdXN0cmFsaWE8L2FsdC10
aXRsZT48L3RpdGxlcz48cGVyaW9kaWNhbD48ZnVsbC10aXRsZT5NZWQgSiBBdXN0PC9mdWxsLXRp
dGxlPjxhYmJyLTE+VGhlIE1lZGljYWwgam91cm5hbCBvZiBBdXN0cmFsaWE8L2FiYnItMT48L3Bl
cmlvZGljYWw+PGFsdC1wZXJpb2RpY2FsPjxmdWxsLXRpdGxlPk1lZCBKIEF1c3Q8L2Z1bGwtdGl0
bGU+PGFiYnItMT5UaGUgTWVkaWNhbCBqb3VybmFsIG9mIEF1c3RyYWxpYTwvYWJici0xPjwvYWx0
LXBlcmlvZGljYWw+PHBhZ2VzPjU0NC04PC9wYWdlcz48dm9sdW1lPjE5MTwvdm9sdW1lPjxudW1i
ZXI+MTA8L251bWJlcj48ZWRpdGlvbj4yMDA5LzExLzE3PC9lZGl0aW9uPjxrZXl3b3Jkcz48a2V5
d29yZD5GZW1hbGU8L2tleXdvcmQ+PGtleXdvcmQ+Rm9ybXMgYW5kIFJlY29yZHMgQ29udHJvbC9j
bGFzc2lmaWNhdGlvbjwva2V5d29yZD48a2V5d29yZD5Ib3NwaXRhbGl6YXRpb24vKnN0YXRpc3Rp
Y3MgJmFtcDsgbnVtZXJpY2FsIGRhdGE8L2tleXdvcmQ+PGtleXdvcmQ+SHVtYW5zPC9rZXl3b3Jk
PjxrZXl3b3JkPipJYXRyb2dlbmljIERpc2Vhc2U8L2tleXdvcmQ+PGtleXdvcmQ+SW50ZXJuYXRp
b25hbCBDbGFzc2lmaWNhdGlvbiBvZiBEaXNlYXNlcy8qY2xhc3NpZmljYXRpb248L2tleXdvcmQ+
PGtleXdvcmQ+TWFsZTwva2V5d29yZD48a2V5d29yZD5NZWRpY2FsIEVycm9ycy9jbGFzc2lmaWNh
dGlvbjwva2V5d29yZD48a2V5d29yZD5NZWRpY2FsIFJlY29yZHMvKmNsYXNzaWZpY2F0aW9uPC9r
ZXl3b3JkPjxrZXl3b3JkPlBvc3RvcGVyYXRpdmUgQ29tcGxpY2F0aW9ucy9jbGFzc2lmaWNhdGlv
bjwva2V5d29yZD48a2V5d29yZD5QcmVnbmFuY3k8L2tleXdvcmQ+PGtleXdvcmQ+UHJlZ25hbmN5
IENvbXBsaWNhdGlvbnMvY2xhc3NpZmljYXRpb248L2tleXdvcmQ+PGtleXdvcmQ+UXVhbGl0eSBJ
bmRpY2F0b3JzLCBIZWFsdGggQ2FyZS8qb3JnYW5pemF0aW9uICZhbXA7IGFkbWluaXN0cmF0aW9u
PC9rZXl3b3JkPjxrZXl3b3JkPlJldHJvc3BlY3RpdmUgU3R1ZGllczwva2V5d29yZD48a2V5d29y
ZD5WaWN0b3JpYTwva2V5d29yZD48L2tleXdvcmRzPjxkYXRlcz48eWVhcj4yMDA5PC95ZWFyPjxw
dWItZGF0ZXM+PGRhdGU+Tm92IDE2PC9kYXRlPjwvcHViLWRhdGVzPjwvZGF0ZXM+PGlzYm4+MDAy
NS03MjlYIChQcmludCkmI3hEOzAwMjUtNzI5WCAoTGlua2luZyk8L2lzYm4+PGFjY2Vzc2lvbi1u
dW0+MTk5MTIwODY8L2FjY2Vzc2lvbi1udW0+PHVybHM+PHJlbGF0ZWQtdXJscz48dXJsPmh0dHA6
Ly93d3cubmNiaS5ubG0ubmloLmdvdi9wdWJtZWQvMTk5MTIwODY8L3VybD48L3JlbGF0ZWQtdXJs
cz48L3VybHM+PGxhbmd1YWdlPmVuZzwvbGFuZ3VhZ2U+PC9yZWNvcmQ+PC9DaXRlPjxDaXRlPjxB
dXRob3I+TWljaGVsPC9BdXRob3I+PFllYXI+MjAwOTwvWWVhcj48UmVjTnVtPjk8L1JlY051bT48
cmVjb3JkPjxyZWMtbnVtYmVyPjk8L3JlYy1udW1iZXI+PGZvcmVpZ24ta2V5cz48a2V5IGFwcD0i
RU4iIGRiLWlkPSI5MnRmdHQ1djJhcnhkNmU5d3pyNTB3MncwcnowZXB4MDk5ZnQiIHRpbWVzdGFt
cD0iMTM3MTQzNDMyOCI+OTwva2V5PjwvZm9yZWlnbi1rZXlzPjxyZWYtdHlwZSBuYW1lPSJKb3Vy
bmFsIEFydGljbGUiPjE3PC9yZWYtdHlwZT48Y29udHJpYnV0b3JzPjxhdXRob3JzPjxhdXRob3I+
TWljaGVsLCBKLjwvYXV0aG9yPjxhdXRob3I+TmdoaWVtLCBILiBELjwvYXV0aG9yPjxhdXRob3I+
SmFja3NvbiwgVC4gSi48L2F1dGhvcj48L2F1dGhvcnM+PC9jb250cmlidXRvcnM+PGF1dGgtYWRk
cmVzcz5BdXN0cmFsaWFuIENlbnRyZSBmb3IgRWNvbm9taWMgUmVzZWFyY2ggb24gSGVhbHRoLCBV
bml2ZXJzaXR5IG9mIFF1ZWVuc2xhbmQgU2Nob29sIG9mIE1lZGljaW5lLCBIZXJzdG9uLCBRTEQs
IEF1c3RyYWxpYS4ganVkaXRoLm1pY2hlbEB1cS5lZHUuYXU8L2F1dGgtYWRkcmVzcz48dGl0bGVz
Pjx0aXRsZT5Vc2luZyBJQ0QtMTAtQU0gY29kZXMgdG8gY2hhcmFjdGVyaXNlIGhvc3BpdGFsLWFj
cXVpcmVkIGNvbXBsaWNhdGlvbnM8L3RpdGxlPjxzZWNvbmRhcnktdGl0bGU+SElNIEo8L3NlY29u
ZGFyeS10aXRsZT48YWx0LXRpdGxlPlRoZSBISU0gam91cm5hbDwvYWx0LXRpdGxlPjwvdGl0bGVz
PjxwZXJpb2RpY2FsPjxmdWxsLXRpdGxlPkhJTSBKPC9mdWxsLXRpdGxlPjxhYmJyLTE+VGhlIEhJ
TSBqb3VybmFsPC9hYmJyLTE+PC9wZXJpb2RpY2FsPjxhbHQtcGVyaW9kaWNhbD48ZnVsbC10aXRs
ZT5ISU0gSjwvZnVsbC10aXRsZT48YWJici0xPlRoZSBISU0gam91cm5hbDwvYWJici0xPjwvYWx0
LXBlcmlvZGljYWw+PHBhZ2VzPjE4LTI1PC9wYWdlcz48dm9sdW1lPjM4PC92b2x1bWU+PG51bWJl
cj4zPC9udW1iZXI+PGVkaXRpb24+MjAwOS8xMC8zMTwvZWRpdGlvbj48a2V5d29yZHM+PGtleXdv
cmQ+QWNjaWRlbnRzL2NsYXNzaWZpY2F0aW9uPC9rZXl3b3JkPjxrZXl3b3JkPkF1c3RyYWxpYTwv
a2V5d29yZD48a2V5d29yZD5DbGluaWNhbCBDb2RpbmcvKmNsYXNzaWZpY2F0aW9uL3N0YW5kYXJk
czwva2V5d29yZD48a2V5d29yZD5EYXRhIEludGVycHJldGF0aW9uLCBTdGF0aXN0aWNhbDwva2V5
d29yZD48a2V5d29yZD5GZW1hbGU8L2tleXdvcmQ+PGtleXdvcmQ+SHVtYW5zPC9rZXl3b3JkPjxr
ZXl3b3JkPkludGVybmF0aW9uYWwgQ2xhc3NpZmljYXRpb24gb2YgRGlzZWFzZXMvKmNsYXNzaWZp
Y2F0aW9uPC9rZXl3b3JkPjxrZXl3b3JkPk1lZGljYWwgRXJyb3JzLypjbGFzc2lmaWNhdGlvbjwv
a2V5d29yZD48a2V5d29yZD5PYnN0ZXRyaWMgTGFib3IgQ29tcGxpY2F0aW9ucy9jbGFzc2lmaWNh
dGlvbjwva2V5d29yZD48a2V5d29yZD5PdXRjb21lIEFzc2Vzc21lbnQgKEhlYWx0aCBDYXJlKS8q
Y2xhc3NpZmljYXRpb248L2tleXdvcmQ+PGtleXdvcmQ+UGF0aWVudCBBZG1pc3Npb24vc3RhbmRh
cmRzL3N0YXRpc3RpY3MgJmFtcDsgbnVtZXJpY2FsIGRhdGE8L2tleXdvcmQ+PGtleXdvcmQ+UHJl
Z25hbmN5PC9rZXl3b3JkPjxrZXl3b3JkPlNhZmV0eSBNYW5hZ2VtZW50L21ldGhvZHMvc3RhbmRh
cmRzPC9rZXl3b3JkPjxrZXl3b3JkPlZpY3RvcmlhPC9rZXl3b3JkPjwva2V5d29yZHM+PGRhdGVz
Pjx5ZWFyPjIwMDk8L3llYXI+PC9kYXRlcz48aXNibj4xODMzLTM1NzUgKEVsZWN0cm9uaWMpJiN4
RDsxODMzLTM1ODMgKExpbmtpbmcpPC9pc2JuPjxhY2Nlc3Npb24tbnVtPjE5ODc1ODUxPC9hY2Nl
c3Npb24tbnVtPjx3b3JrLXR5cGU+UmVzZWFyY2ggU3VwcG9ydCwgTm9uLVUuUy4gR292JmFwb3M7
dDwvd29yay10eXBlPjx1cmxzPjxyZWxhdGVkLXVybHM+PHVybD5odHRwOi8vd3d3Lm5jYmkubmxt
Lm5paC5nb3YvcHVibWVkLzE5ODc1ODUxPC91cmw+PC9yZWxhdGVkLXVybHM+PC91cmxzPjxsYW5n
dWFnZT5lbmc8L2xhbmd1YWdlPjwvcmVjb3JkPjwvQ2l0ZT48L0VuZE5vdGU+AG==
</w:fldData>
        </w:fldChar>
      </w:r>
      <w:r w:rsidR="00290091">
        <w:instrText xml:space="preserve"> ADDIN EN.CITE </w:instrText>
      </w:r>
      <w:r w:rsidR="00290091">
        <w:fldChar w:fldCharType="begin">
          <w:fldData xml:space="preserve">PEVuZE5vdGU+PENpdGU+PEF1dGhvcj5KYWNrc29uPC9BdXRob3I+PFllYXI+MjAwOTwvWWVhcj48
UmVjTnVtPjM8L1JlY051bT48RGlzcGxheVRleHQ+SmFja3NvbiwgTWljaGVsLCBSb2JlcnRzLCBT
aGVwaGVhcmQsIGV0IGFsLiwgMjAwOTsgSmFja3NvbiwgTWljaGVsLCBSb2JlcnRzLCBKb3JtLCBl
dCBhbC4sIDIwMDk7IE1pY2hlbCBldCBhbC4sIDIwMDk8L0Rpc3BsYXlUZXh0PjxyZWNvcmQ+PHJl
Yy1udW1iZXI+MzwvcmVjLW51bWJlcj48Zm9yZWlnbi1rZXlzPjxrZXkgYXBwPSJFTiIgZGItaWQ9
IjkydGZ0dDV2MmFyeGQ2ZTl3enI1MHcydzByejBlcHgwOTlmdCIgdGltZXN0YW1wPSIxMzcxNDM0
MTA4Ij4zPC9rZXk+PC9mb3JlaWduLWtleXM+PHJlZi10eXBlIG5hbWU9IkpvdXJuYWwgQXJ0aWNs
ZSI+MTc8L3JlZi10eXBlPjxjb250cmlidXRvcnM+PGF1dGhvcnM+PGF1dGhvcj5KYWNrc29uLCBU
PC9hdXRob3I+PGF1dGhvcj5NaWNoZWwsIEouIEw8L2F1dGhvcj48YXV0aG9yPlJvYmVydHMsIFI8
L2F1dGhvcj48YXV0aG9yPlNoZXBoZWFyZCwgSjwvYXV0aG9yPjxhdXRob3I+Q2hlbmcsIEQ8L2F1
dGhvcj48YXV0aG9yPlJ1c3QsIEo8L2F1dGhvcj48YXV0aG9yPlBlcnJ5LCBDPC9hdXRob3I+PC9h
dXRob3JzPjwvY29udHJpYnV0b3JzPjxhdXRoLWFkZHJlc3M+QXVzdHJhbGlhbiBDZW50cmUgZm9y
IEVjb25vbWljIFJlc2VhcmNoIG9uIEhlYWx0aCwgU2Nob29sIG9mIE1lZGljaW5lLCBVbml2ZXJz
aXR5IG9mIFF1ZWVuc2xhbmQsIEJyaXNiYW5lLCBBdXN0cmFsaWEuIHQuamFja3NvbkB1cS5lZHUu
YXU8L2F1dGgtYWRkcmVzcz48dGl0bGVzPjx0aXRsZT5EZXZlbG9wbWVudCBvZiBhIHZhbGlkYXRp
b24gYWxnb3JpdGhtIGZvciAmYXBvcztwcmVzZW50IG9uIGFkbWlzc2lvbiZhcG9zOyBmbGFnZ2lu
ZzwvdGl0bGU+PHNlY29uZGFyeS10aXRsZT5CTUMgTWVkIEluZm9ybSBEZWNpcyBNYWs8L3NlY29u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LTE+PC9hbHQtcGVyaW9kaWNhbD48cGFnZXM+NDg8L3BhZ2VzPjx2b2x1bWU+OTwvdm9sdW1lPjxl
ZGl0aW9uPjIwMDkvMTIvMDM8L2VkaXRpb24+PGtleXdvcmRzPjxrZXl3b3JkPipBbGdvcml0aG1z
PC9rZXl3b3JkPjxrZXl3b3JkPkF1c3RyYWxpYTwva2V5d29yZD48a2V5d29yZD5Db21vcmJpZGl0
eTwva2V5d29yZD48a2V5d29yZD5EaWFnbm9zaXM8L2tleXdvcmQ+PGtleXdvcmQ+RXBpc29kZSBv
ZiBDYXJlPC9rZXl3b3JkPjxrZXl3b3JkPkZlbWFsZTwva2V5d29yZD48a2V5d29yZD5IdW1hbnM8
L2tleXdvcmQ+PGtleXdvcmQ+SW50ZXJuYXRpb25hbCBDbGFzc2lmaWNhdGlvbiBvZiBEaXNlYXNl
czwva2V5d29yZD48a2V5d29yZD5NYWxlPC9rZXl3b3JkPjxrZXl3b3JkPipQYXRpZW50IEFkbWlz
c2lvbjwva2V5d29yZD48a2V5d29yZD5RdWFsaXR5IG9mIEhlYWx0aCBDYXJlPC9rZXl3b3JkPjwv
a2V5d29yZHM+PGRhdGVzPjx5ZWFyPjIwMDk8L3llYXI+PC9kYXRlcz48aXNibj4xNDcyLTY5NDcg
KEVsZWN0cm9uaWMpJiN4RDsxNDcyLTY5NDcgKExpbmtpbmcpPC9pc2JuPjxhY2Nlc3Npb24tbnVt
PjE5OTUxNDMwPC9hY2Nlc3Npb24tbnVtPjx1cmxzPjxyZWxhdGVkLXVybHM+PHVybD5odHRwOi8v
d3d3Lm5jYmkubmxtLm5paC5nb3YvcHVibWVkLzE5OTUxNDMwPC91cmw+PHVybD5odHRwOi8vd3d3
LmJpb21lZGNlbnRyYWwuY29tL2NvbnRlbnQvcGRmLzE0NzItNjk0Ny05LTQ4LnBkZjwvdXJsPjwv
cmVsYXRlZC11cmxzPjwvdXJscz48Y3VzdG9tMj4yNzkzMjQ0PC9jdXN0b20yPjxlbGVjdHJvbmlj
LXJlc291cmNlLW51bT4xMC4xMTg2LzE0NzItNjk0Ny05LTQ4PC9lbGVjdHJvbmljLXJlc291cmNl
LW51bT48bGFuZ3VhZ2U+ZW5nPC9sYW5ndWFnZT48L3JlY29yZD48L0NpdGU+PENpdGU+PEF1dGhv
cj5KYWNrc29uPC9BdXRob3I+PFllYXI+MjAwOTwvWWVhcj48UmVjTnVtPjE2PC9SZWNOdW0+PHJl
Y29yZD48cmVjLW51bWJlcj4xNjwvcmVjLW51bWJlcj48Zm9yZWlnbi1rZXlzPjxrZXkgYXBwPSJF
TiIgZGItaWQ9IjkydGZ0dDV2MmFyeGQ2ZTl3enI1MHcydzByejBlcHgwOTlmdCIgdGltZXN0YW1w
PSIxMzc0NDc1NTQxIj4xNjwva2V5PjwvZm9yZWlnbi1rZXlzPjxyZWYtdHlwZSBuYW1lPSJKb3Vy
bmFsIEFydGljbGUiPjE3PC9yZWYtdHlwZT48Y29udHJpYnV0b3JzPjxhdXRob3JzPjxhdXRob3I+
SmFja3NvbiwgVDwvYXV0aG9yPjxhdXRob3I+TWljaGVsLCBKLiBMPC9hdXRob3I+PGF1dGhvcj5S
b2JlcnRzLCBSLiBGPC9hdXRob3I+PGF1dGhvcj5Kb3JtLCBDLiBNPC9hdXRob3I+PGF1dGhvcj5X
YWtlZmllbGQsIEouIEc8L2F1dGhvcj48L2F1dGhvcnM+PC9jb250cmlidXRvcnM+PGF1dGgtYWRk
cmVzcz5BdXN0cmFsaWFuIENlbnRyZSBmb3IgRWNvbm9taWMgUmVzZWFyY2ggb24gSGVhbHRoLCBV
bml2ZXJzaXR5IG9mIFF1ZWVuc2xhbmQsIEJyaXNiYW5lLCBRTEQsIEF1c3RyYWxpYS4gdC5qYWNr
c29uQHVxLmVkdS5hdTwvYXV0aC1hZGRyZXNzPjx0aXRsZXM+PHRpdGxlPkEgY2xhc3NpZmljYXRp
b24gb2YgaG9zcGl0YWwtYWNxdWlyZWQgZGlhZ25vc2VzIGZvciB1c2Ugd2l0aCByb3V0aW5lIGhv
c3BpdGFsIGRhdGE8L3RpdGxlPjxzZWNvbmRhcnktdGl0bGU+TWVkIEogQXVzdDwvc2Vjb25kYXJ5
LXRpdGxlPjxhbHQtdGl0bGU+VGhlIE1lZGljYWwgam91cm5hbCBvZiBBdXN0cmFsaWE8L2FsdC10
aXRsZT48L3RpdGxlcz48cGVyaW9kaWNhbD48ZnVsbC10aXRsZT5NZWQgSiBBdXN0PC9mdWxsLXRp
dGxlPjxhYmJyLTE+VGhlIE1lZGljYWwgam91cm5hbCBvZiBBdXN0cmFsaWE8L2FiYnItMT48L3Bl
cmlvZGljYWw+PGFsdC1wZXJpb2RpY2FsPjxmdWxsLXRpdGxlPk1lZCBKIEF1c3Q8L2Z1bGwtdGl0
bGU+PGFiYnItMT5UaGUgTWVkaWNhbCBqb3VybmFsIG9mIEF1c3RyYWxpYTwvYWJici0xPjwvYWx0
LXBlcmlvZGljYWw+PHBhZ2VzPjU0NC04PC9wYWdlcz48dm9sdW1lPjE5MTwvdm9sdW1lPjxudW1i
ZXI+MTA8L251bWJlcj48ZWRpdGlvbj4yMDA5LzExLzE3PC9lZGl0aW9uPjxrZXl3b3Jkcz48a2V5
d29yZD5GZW1hbGU8L2tleXdvcmQ+PGtleXdvcmQ+Rm9ybXMgYW5kIFJlY29yZHMgQ29udHJvbC9j
bGFzc2lmaWNhdGlvbjwva2V5d29yZD48a2V5d29yZD5Ib3NwaXRhbGl6YXRpb24vKnN0YXRpc3Rp
Y3MgJmFtcDsgbnVtZXJpY2FsIGRhdGE8L2tleXdvcmQ+PGtleXdvcmQ+SHVtYW5zPC9rZXl3b3Jk
PjxrZXl3b3JkPipJYXRyb2dlbmljIERpc2Vhc2U8L2tleXdvcmQ+PGtleXdvcmQ+SW50ZXJuYXRp
b25hbCBDbGFzc2lmaWNhdGlvbiBvZiBEaXNlYXNlcy8qY2xhc3NpZmljYXRpb248L2tleXdvcmQ+
PGtleXdvcmQ+TWFsZTwva2V5d29yZD48a2V5d29yZD5NZWRpY2FsIEVycm9ycy9jbGFzc2lmaWNh
dGlvbjwva2V5d29yZD48a2V5d29yZD5NZWRpY2FsIFJlY29yZHMvKmNsYXNzaWZpY2F0aW9uPC9r
ZXl3b3JkPjxrZXl3b3JkPlBvc3RvcGVyYXRpdmUgQ29tcGxpY2F0aW9ucy9jbGFzc2lmaWNhdGlv
bjwva2V5d29yZD48a2V5d29yZD5QcmVnbmFuY3k8L2tleXdvcmQ+PGtleXdvcmQ+UHJlZ25hbmN5
IENvbXBsaWNhdGlvbnMvY2xhc3NpZmljYXRpb248L2tleXdvcmQ+PGtleXdvcmQ+UXVhbGl0eSBJ
bmRpY2F0b3JzLCBIZWFsdGggQ2FyZS8qb3JnYW5pemF0aW9uICZhbXA7IGFkbWluaXN0cmF0aW9u
PC9rZXl3b3JkPjxrZXl3b3JkPlJldHJvc3BlY3RpdmUgU3R1ZGllczwva2V5d29yZD48a2V5d29y
ZD5WaWN0b3JpYTwva2V5d29yZD48L2tleXdvcmRzPjxkYXRlcz48eWVhcj4yMDA5PC95ZWFyPjxw
dWItZGF0ZXM+PGRhdGU+Tm92IDE2PC9kYXRlPjwvcHViLWRhdGVzPjwvZGF0ZXM+PGlzYm4+MDAy
NS03MjlYIChQcmludCkmI3hEOzAwMjUtNzI5WCAoTGlua2luZyk8L2lzYm4+PGFjY2Vzc2lvbi1u
dW0+MTk5MTIwODY8L2FjY2Vzc2lvbi1udW0+PHVybHM+PHJlbGF0ZWQtdXJscz48dXJsPmh0dHA6
Ly93d3cubmNiaS5ubG0ubmloLmdvdi9wdWJtZWQvMTk5MTIwODY8L3VybD48L3JlbGF0ZWQtdXJs
cz48L3VybHM+PGxhbmd1YWdlPmVuZzwvbGFuZ3VhZ2U+PC9yZWNvcmQ+PC9DaXRlPjxDaXRlPjxB
dXRob3I+TWljaGVsPC9BdXRob3I+PFllYXI+MjAwOTwvWWVhcj48UmVjTnVtPjk8L1JlY051bT48
cmVjb3JkPjxyZWMtbnVtYmVyPjk8L3JlYy1udW1iZXI+PGZvcmVpZ24ta2V5cz48a2V5IGFwcD0i
RU4iIGRiLWlkPSI5MnRmdHQ1djJhcnhkNmU5d3pyNTB3MncwcnowZXB4MDk5ZnQiIHRpbWVzdGFt
cD0iMTM3MTQzNDMyOCI+OTwva2V5PjwvZm9yZWlnbi1rZXlzPjxyZWYtdHlwZSBuYW1lPSJKb3Vy
bmFsIEFydGljbGUiPjE3PC9yZWYtdHlwZT48Y29udHJpYnV0b3JzPjxhdXRob3JzPjxhdXRob3I+
TWljaGVsLCBKLjwvYXV0aG9yPjxhdXRob3I+TmdoaWVtLCBILiBELjwvYXV0aG9yPjxhdXRob3I+
SmFja3NvbiwgVC4gSi48L2F1dGhvcj48L2F1dGhvcnM+PC9jb250cmlidXRvcnM+PGF1dGgtYWRk
cmVzcz5BdXN0cmFsaWFuIENlbnRyZSBmb3IgRWNvbm9taWMgUmVzZWFyY2ggb24gSGVhbHRoLCBV
bml2ZXJzaXR5IG9mIFF1ZWVuc2xhbmQgU2Nob29sIG9mIE1lZGljaW5lLCBIZXJzdG9uLCBRTEQs
IEF1c3RyYWxpYS4ganVkaXRoLm1pY2hlbEB1cS5lZHUuYXU8L2F1dGgtYWRkcmVzcz48dGl0bGVz
Pjx0aXRsZT5Vc2luZyBJQ0QtMTAtQU0gY29kZXMgdG8gY2hhcmFjdGVyaXNlIGhvc3BpdGFsLWFj
cXVpcmVkIGNvbXBsaWNhdGlvbnM8L3RpdGxlPjxzZWNvbmRhcnktdGl0bGU+SElNIEo8L3NlY29u
ZGFyeS10aXRsZT48YWx0LXRpdGxlPlRoZSBISU0gam91cm5hbDwvYWx0LXRpdGxlPjwvdGl0bGVz
PjxwZXJpb2RpY2FsPjxmdWxsLXRpdGxlPkhJTSBKPC9mdWxsLXRpdGxlPjxhYmJyLTE+VGhlIEhJ
TSBqb3VybmFsPC9hYmJyLTE+PC9wZXJpb2RpY2FsPjxhbHQtcGVyaW9kaWNhbD48ZnVsbC10aXRs
ZT5ISU0gSjwvZnVsbC10aXRsZT48YWJici0xPlRoZSBISU0gam91cm5hbDwvYWJici0xPjwvYWx0
LXBlcmlvZGljYWw+PHBhZ2VzPjE4LTI1PC9wYWdlcz48dm9sdW1lPjM4PC92b2x1bWU+PG51bWJl
cj4zPC9udW1iZXI+PGVkaXRpb24+MjAwOS8xMC8zMTwvZWRpdGlvbj48a2V5d29yZHM+PGtleXdv
cmQ+QWNjaWRlbnRzL2NsYXNzaWZpY2F0aW9uPC9rZXl3b3JkPjxrZXl3b3JkPkF1c3RyYWxpYTwv
a2V5d29yZD48a2V5d29yZD5DbGluaWNhbCBDb2RpbmcvKmNsYXNzaWZpY2F0aW9uL3N0YW5kYXJk
czwva2V5d29yZD48a2V5d29yZD5EYXRhIEludGVycHJldGF0aW9uLCBTdGF0aXN0aWNhbDwva2V5
d29yZD48a2V5d29yZD5GZW1hbGU8L2tleXdvcmQ+PGtleXdvcmQ+SHVtYW5zPC9rZXl3b3JkPjxr
ZXl3b3JkPkludGVybmF0aW9uYWwgQ2xhc3NpZmljYXRpb24gb2YgRGlzZWFzZXMvKmNsYXNzaWZp
Y2F0aW9uPC9rZXl3b3JkPjxrZXl3b3JkPk1lZGljYWwgRXJyb3JzLypjbGFzc2lmaWNhdGlvbjwv
a2V5d29yZD48a2V5d29yZD5PYnN0ZXRyaWMgTGFib3IgQ29tcGxpY2F0aW9ucy9jbGFzc2lmaWNh
dGlvbjwva2V5d29yZD48a2V5d29yZD5PdXRjb21lIEFzc2Vzc21lbnQgKEhlYWx0aCBDYXJlKS8q
Y2xhc3NpZmljYXRpb248L2tleXdvcmQ+PGtleXdvcmQ+UGF0aWVudCBBZG1pc3Npb24vc3RhbmRh
cmRzL3N0YXRpc3RpY3MgJmFtcDsgbnVtZXJpY2FsIGRhdGE8L2tleXdvcmQ+PGtleXdvcmQ+UHJl
Z25hbmN5PC9rZXl3b3JkPjxrZXl3b3JkPlNhZmV0eSBNYW5hZ2VtZW50L21ldGhvZHMvc3RhbmRh
cmRzPC9rZXl3b3JkPjxrZXl3b3JkPlZpY3RvcmlhPC9rZXl3b3JkPjwva2V5d29yZHM+PGRhdGVz
Pjx5ZWFyPjIwMDk8L3llYXI+PC9kYXRlcz48aXNibj4xODMzLTM1NzUgKEVsZWN0cm9uaWMpJiN4
RDsxODMzLTM1ODMgKExpbmtpbmcpPC9pc2JuPjxhY2Nlc3Npb24tbnVtPjE5ODc1ODUxPC9hY2Nl
c3Npb24tbnVtPjx3b3JrLXR5cGU+UmVzZWFyY2ggU3VwcG9ydCwgTm9uLVUuUy4gR292JmFwb3M7
dDwvd29yay10eXBlPjx1cmxzPjxyZWxhdGVkLXVybHM+PHVybD5odHRwOi8vd3d3Lm5jYmkubmxt
Lm5paC5nb3YvcHVibWVkLzE5ODc1ODUxPC91cmw+PC9yZWxhdGVkLXVybHM+PC91cmxzPjxsYW5n
dWFnZT5lbmc8L2xhbmd1YWdlPjwvcmVjb3JkPjwvQ2l0ZT48L0VuZE5vdGU+AG==
</w:fldData>
        </w:fldChar>
      </w:r>
      <w:r w:rsidR="00290091">
        <w:instrText xml:space="preserve"> ADDIN EN.CITE.DATA </w:instrText>
      </w:r>
      <w:r w:rsidR="00290091">
        <w:fldChar w:fldCharType="end"/>
      </w:r>
      <w:r>
        <w:fldChar w:fldCharType="separate"/>
      </w:r>
      <w:hyperlink w:anchor="_ENREF_19" w:tooltip="Jackson, 2009 #3" w:history="1">
        <w:r w:rsidR="00C33CAE">
          <w:rPr>
            <w:noProof/>
          </w:rPr>
          <w:t>Jackson, Michel, Roberts, Shepheard, et al., 2009</w:t>
        </w:r>
      </w:hyperlink>
      <w:r w:rsidR="00290091">
        <w:rPr>
          <w:noProof/>
        </w:rPr>
        <w:t xml:space="preserve">; </w:t>
      </w:r>
      <w:hyperlink w:anchor="_ENREF_20" w:tooltip="Jackson, 2009 #16" w:history="1">
        <w:r w:rsidR="00C33CAE">
          <w:rPr>
            <w:noProof/>
          </w:rPr>
          <w:t>Jackson, Michel, Roberts, Jorm, et al., 2009</w:t>
        </w:r>
      </w:hyperlink>
      <w:r w:rsidR="00290091">
        <w:rPr>
          <w:noProof/>
        </w:rPr>
        <w:t xml:space="preserve">; </w:t>
      </w:r>
      <w:hyperlink w:anchor="_ENREF_23" w:tooltip="Michel, 2009 #9" w:history="1">
        <w:r w:rsidR="00C33CAE">
          <w:rPr>
            <w:noProof/>
          </w:rPr>
          <w:t>Michel et al., 2009</w:t>
        </w:r>
      </w:hyperlink>
      <w:r>
        <w:fldChar w:fldCharType="end"/>
      </w:r>
      <w:r>
        <w:t xml:space="preserve">).  These issues motivated the development of the data </w:t>
      </w:r>
      <w:r w:rsidR="002F611A">
        <w:t>cleaning</w:t>
      </w:r>
      <w:r>
        <w:t xml:space="preserve"> algorithm (</w:t>
      </w:r>
      <w:hyperlink w:anchor="_ENREF_19" w:tooltip="Jackson, 2009 #3" w:history="1">
        <w:r w:rsidR="00C33CAE">
          <w:fldChar w:fldCharType="begin">
            <w:fldData xml:space="preserve">PEVuZE5vdGU+PENpdGU+PEF1dGhvcj5KYWNrc29uPC9BdXRob3I+PFllYXI+MjAwOTwvWWVhcj48
UmVjTnVtPjM8L1JlY051bT48RGlzcGxheVRleHQ+SmFja3NvbiwgTWljaGVsLCBSb2JlcnRzLCBT
aGVwaGVhcmQsIGV0IGFsLiwgMjAwOTwvRGlzcGxheVRleHQ+PHJlY29yZD48cmVjLW51bWJlcj4z
PC9yZWMtbnVtYmVyPjxmb3JlaWduLWtleXM+PGtleSBhcHA9IkVOIiBkYi1pZD0iOTJ0ZnR0NXYy
YXJ4ZDZlOXd6cjUwdzJ3MHJ6MGVweDA5OWZ0IiB0aW1lc3RhbXA9IjEzNzE0MzQxMDgiPjM8L2tl
eT48L2ZvcmVpZ24ta2V5cz48cmVmLXR5cGUgbmFtZT0iSm91cm5hbCBBcnRpY2xlIj4xNzwvcmVm
LXR5cGU+PGNvbnRyaWJ1dG9ycz48YXV0aG9ycz48YXV0aG9yPkphY2tzb24sIFQ8L2F1dGhvcj48
YXV0aG9yPk1pY2hlbCwgSi4gTDwvYXV0aG9yPjxhdXRob3I+Um9iZXJ0cywgUjwvYXV0aG9yPjxh
dXRob3I+U2hlcGhlYXJkLCBKPC9hdXRob3I+PGF1dGhvcj5DaGVuZywgRDwvYXV0aG9yPjxhdXRo
b3I+UnVzdCwgSjwvYXV0aG9yPjxhdXRob3I+UGVycnksIEM8L2F1dGhvcj48L2F1dGhvcnM+PC9j
b250cmlidXRvcnM+PGF1dGgtYWRkcmVzcz5BdXN0cmFsaWFuIENlbnRyZSBmb3IgRWNvbm9taWMg
UmVzZWFyY2ggb24gSGVhbHRoLCBTY2hvb2wgb2YgTWVkaWNpbmUsIFVuaXZlcnNpdHkgb2YgUXVl
ZW5zbGFuZCwgQnJpc2JhbmUsIEF1c3RyYWxpYS4gdC5qYWNrc29uQHVxLmVkdS5hdTwvYXV0aC1h
ZGRyZXNzPjx0aXRsZXM+PHRpdGxlPkRldmVsb3BtZW50IG9mIGEgdmFsaWRhdGlvbiBhbGdvcml0
aG0gZm9yICZhcG9zO3ByZXNlbnQgb24gYWRtaXNzaW9uJmFwb3M7IGZsYWdnaW5nPC90aXRsZT48
c2Vjb25kYXJ5LXRpdGxlPkJNQyBNZWQgSW5mb3JtIERlY2lzIE1hazwvc2Vjb25kYXJ5LXRpdGxl
PjxhbHQtdGl0bGU+Qk1DIG1lZGljYWwgaW5mb3JtYXRpY3MgYW5kIGRlY2lzaW9uIG1ha2luZzwv
YWx0LXRpdGxlPjwvdGl0bGVzPjxwZXJpb2RpY2FsPjxmdWxsLXRpdGxlPkJNQyBNZWQgSW5mb3Jt
IERlY2lzIE1hazwvZnVsbC10aXRsZT48YWJici0xPkJNQyBtZWRpY2FsIGluZm9ybWF0aWNzIGFu
ZCBkZWNpc2lvbiBtYWtpbmc8L2FiYnItMT48L3BlcmlvZGljYWw+PGFsdC1wZXJpb2RpY2FsPjxm
dWxsLXRpdGxlPkJNQyBNZWQgSW5mb3JtIERlY2lzIE1hazwvZnVsbC10aXRsZT48YWJici0xPkJN
QyBtZWRpY2FsIGluZm9ybWF0aWNzIGFuZCBkZWNpc2lvbiBtYWtpbmc8L2FiYnItMT48L2FsdC1w
ZXJpb2RpY2FsPjxwYWdlcz40ODwvcGFnZXM+PHZvbHVtZT45PC92b2x1bWU+PGVkaXRpb24+MjAw
OS8xMi8wMzwvZWRpdGlvbj48a2V5d29yZHM+PGtleXdvcmQ+KkFsZ29yaXRobXM8L2tleXdvcmQ+
PGtleXdvcmQ+QXVzdHJhbGlhPC9rZXl3b3JkPjxrZXl3b3JkPkNvbW9yYmlkaXR5PC9rZXl3b3Jk
PjxrZXl3b3JkPkRpYWdub3Npczwva2V5d29yZD48a2V5d29yZD5FcGlzb2RlIG9mIENhcmU8L2tl
eXdvcmQ+PGtleXdvcmQ+RmVtYWxlPC9rZXl3b3JkPjxrZXl3b3JkPkh1bWFuczwva2V5d29yZD48
a2V5d29yZD5JbnRlcm5hdGlvbmFsIENsYXNzaWZpY2F0aW9uIG9mIERpc2Vhc2VzPC9rZXl3b3Jk
PjxrZXl3b3JkPk1hbGU8L2tleXdvcmQ+PGtleXdvcmQ+KlBhdGllbnQgQWRtaXNzaW9uPC9rZXl3
b3JkPjxrZXl3b3JkPlF1YWxpdHkgb2YgSGVhbHRoIENhcmU8L2tleXdvcmQ+PC9rZXl3b3Jkcz48
ZGF0ZXM+PHllYXI+MjAwOTwveWVhcj48L2RhdGVzPjxpc2JuPjE0NzItNjk0NyAoRWxlY3Ryb25p
YykmI3hEOzE0NzItNjk0NyAoTGlua2luZyk8L2lzYm4+PGFjY2Vzc2lvbi1udW0+MTk5NTE0MzA8
L2FjY2Vzc2lvbi1udW0+PHVybHM+PHJlbGF0ZWQtdXJscz48dXJsPmh0dHA6Ly93d3cubmNiaS5u
bG0ubmloLmdvdi9wdWJtZWQvMTk5NTE0MzA8L3VybD48dXJsPmh0dHA6Ly93d3cuYmlvbWVkY2Vu
dHJhbC5jb20vY29udGVudC9wZGYvMTQ3Mi02OTQ3LTktNDgucGRmPC91cmw+PC9yZWxhdGVkLXVy
bHM+PC91cmxzPjxjdXN0b20yPjI3OTMyNDQ8L2N1c3RvbTI+PGVsZWN0cm9uaWMtcmVzb3VyY2Ut
bnVtPjEwLjExODYvMTQ3Mi02OTQ3LTktNDg8L2VsZWN0cm9uaWMtcmVzb3VyY2UtbnVtPjxsYW5n
dWFnZT5lbmc8L2xhbmd1YWdlPjwvcmVjb3JkPjwvQ2l0ZT48L0VuZE5vdGU+
</w:fldData>
          </w:fldChar>
        </w:r>
        <w:r w:rsidR="00C33CAE">
          <w:instrText xml:space="preserve"> ADDIN EN.CITE </w:instrText>
        </w:r>
        <w:r w:rsidR="00C33CAE">
          <w:fldChar w:fldCharType="begin">
            <w:fldData xml:space="preserve">PEVuZE5vdGU+PENpdGU+PEF1dGhvcj5KYWNrc29uPC9BdXRob3I+PFllYXI+MjAwOTwvWWVhcj48
UmVjTnVtPjM8L1JlY051bT48RGlzcGxheVRleHQ+SmFja3NvbiwgTWljaGVsLCBSb2JlcnRzLCBT
aGVwaGVhcmQsIGV0IGFsLiwgMjAwOTwvRGlzcGxheVRleHQ+PHJlY29yZD48cmVjLW51bWJlcj4z
PC9yZWMtbnVtYmVyPjxmb3JlaWduLWtleXM+PGtleSBhcHA9IkVOIiBkYi1pZD0iOTJ0ZnR0NXYy
YXJ4ZDZlOXd6cjUwdzJ3MHJ6MGVweDA5OWZ0IiB0aW1lc3RhbXA9IjEzNzE0MzQxMDgiPjM8L2tl
eT48L2ZvcmVpZ24ta2V5cz48cmVmLXR5cGUgbmFtZT0iSm91cm5hbCBBcnRpY2xlIj4xNzwvcmVm
LXR5cGU+PGNvbnRyaWJ1dG9ycz48YXV0aG9ycz48YXV0aG9yPkphY2tzb24sIFQ8L2F1dGhvcj48
YXV0aG9yPk1pY2hlbCwgSi4gTDwvYXV0aG9yPjxhdXRob3I+Um9iZXJ0cywgUjwvYXV0aG9yPjxh
dXRob3I+U2hlcGhlYXJkLCBKPC9hdXRob3I+PGF1dGhvcj5DaGVuZywgRDwvYXV0aG9yPjxhdXRo
b3I+UnVzdCwgSjwvYXV0aG9yPjxhdXRob3I+UGVycnksIEM8L2F1dGhvcj48L2F1dGhvcnM+PC9j
b250cmlidXRvcnM+PGF1dGgtYWRkcmVzcz5BdXN0cmFsaWFuIENlbnRyZSBmb3IgRWNvbm9taWMg
UmVzZWFyY2ggb24gSGVhbHRoLCBTY2hvb2wgb2YgTWVkaWNpbmUsIFVuaXZlcnNpdHkgb2YgUXVl
ZW5zbGFuZCwgQnJpc2JhbmUsIEF1c3RyYWxpYS4gdC5qYWNrc29uQHVxLmVkdS5hdTwvYXV0aC1h
ZGRyZXNzPjx0aXRsZXM+PHRpdGxlPkRldmVsb3BtZW50IG9mIGEgdmFsaWRhdGlvbiBhbGdvcml0
aG0gZm9yICZhcG9zO3ByZXNlbnQgb24gYWRtaXNzaW9uJmFwb3M7IGZsYWdnaW5nPC90aXRsZT48
c2Vjb25kYXJ5LXRpdGxlPkJNQyBNZWQgSW5mb3JtIERlY2lzIE1hazwvc2Vjb25kYXJ5LXRpdGxl
PjxhbHQtdGl0bGU+Qk1DIG1lZGljYWwgaW5mb3JtYXRpY3MgYW5kIGRlY2lzaW9uIG1ha2luZzwv
YWx0LXRpdGxlPjwvdGl0bGVzPjxwZXJpb2RpY2FsPjxmdWxsLXRpdGxlPkJNQyBNZWQgSW5mb3Jt
IERlY2lzIE1hazwvZnVsbC10aXRsZT48YWJici0xPkJNQyBtZWRpY2FsIGluZm9ybWF0aWNzIGFu
ZCBkZWNpc2lvbiBtYWtpbmc8L2FiYnItMT48L3BlcmlvZGljYWw+PGFsdC1wZXJpb2RpY2FsPjxm
dWxsLXRpdGxlPkJNQyBNZWQgSW5mb3JtIERlY2lzIE1hazwvZnVsbC10aXRsZT48YWJici0xPkJN
QyBtZWRpY2FsIGluZm9ybWF0aWNzIGFuZCBkZWNpc2lvbiBtYWtpbmc8L2FiYnItMT48L2FsdC1w
ZXJpb2RpY2FsPjxwYWdlcz40ODwvcGFnZXM+PHZvbHVtZT45PC92b2x1bWU+PGVkaXRpb24+MjAw
OS8xMi8wMzwvZWRpdGlvbj48a2V5d29yZHM+PGtleXdvcmQ+KkFsZ29yaXRobXM8L2tleXdvcmQ+
PGtleXdvcmQ+QXVzdHJhbGlhPC9rZXl3b3JkPjxrZXl3b3JkPkNvbW9yYmlkaXR5PC9rZXl3b3Jk
PjxrZXl3b3JkPkRpYWdub3Npczwva2V5d29yZD48a2V5d29yZD5FcGlzb2RlIG9mIENhcmU8L2tl
eXdvcmQ+PGtleXdvcmQ+RmVtYWxlPC9rZXl3b3JkPjxrZXl3b3JkPkh1bWFuczwva2V5d29yZD48
a2V5d29yZD5JbnRlcm5hdGlvbmFsIENsYXNzaWZpY2F0aW9uIG9mIERpc2Vhc2VzPC9rZXl3b3Jk
PjxrZXl3b3JkPk1hbGU8L2tleXdvcmQ+PGtleXdvcmQ+KlBhdGllbnQgQWRtaXNzaW9uPC9rZXl3
b3JkPjxrZXl3b3JkPlF1YWxpdHkgb2YgSGVhbHRoIENhcmU8L2tleXdvcmQ+PC9rZXl3b3Jkcz48
ZGF0ZXM+PHllYXI+MjAwOTwveWVhcj48L2RhdGVzPjxpc2JuPjE0NzItNjk0NyAoRWxlY3Ryb25p
YykmI3hEOzE0NzItNjk0NyAoTGlua2luZyk8L2lzYm4+PGFjY2Vzc2lvbi1udW0+MTk5NTE0MzA8
L2FjY2Vzc2lvbi1udW0+PHVybHM+PHJlbGF0ZWQtdXJscz48dXJsPmh0dHA6Ly93d3cubmNiaS5u
bG0ubmloLmdvdi9wdWJtZWQvMTk5NTE0MzA8L3VybD48dXJsPmh0dHA6Ly93d3cuYmlvbWVkY2Vu
dHJhbC5jb20vY29udGVudC9wZGYvMTQ3Mi02OTQ3LTktNDgucGRmPC91cmw+PC9yZWxhdGVkLXVy
bHM+PC91cmxzPjxjdXN0b20yPjI3OTMyNDQ8L2N1c3RvbTI+PGVsZWN0cm9uaWMtcmVzb3VyY2Ut
bnVtPjEwLjExODYvMTQ3Mi02OTQ3LTktNDg8L2VsZWN0cm9uaWMtcmVzb3VyY2UtbnVtPjxsYW5n
dWFnZT5lbmc8L2xhbmd1YWdlPjwvcmVjb3JkPjwvQ2l0ZT48L0VuZE5vdGU+
</w:fldData>
          </w:fldChar>
        </w:r>
        <w:r w:rsidR="00C33CAE">
          <w:instrText xml:space="preserve"> ADDIN EN.CITE.DATA </w:instrText>
        </w:r>
        <w:r w:rsidR="00C33CAE">
          <w:fldChar w:fldCharType="end"/>
        </w:r>
        <w:r w:rsidR="00C33CAE">
          <w:fldChar w:fldCharType="separate"/>
        </w:r>
        <w:r w:rsidR="00C33CAE">
          <w:rPr>
            <w:noProof/>
          </w:rPr>
          <w:t>Jackson, Michel, Roberts, Shepheard, et al., 2009</w:t>
        </w:r>
        <w:r w:rsidR="00C33CAE">
          <w:fldChar w:fldCharType="end"/>
        </w:r>
      </w:hyperlink>
      <w:r>
        <w:t>) and a system for classifying hospital-acquired-diagnoses known as the Classification of Hospital-Acquired Diagnoses (CHADx) (</w:t>
      </w:r>
      <w:r>
        <w:fldChar w:fldCharType="begin">
          <w:fldData xml:space="preserve">PEVuZE5vdGU+PENpdGU+PEF1dGhvcj5KYWNrc29uPC9BdXRob3I+PFllYXI+MjAwOTwvWWVhcj48
UmVjTnVtPjE2PC9SZWNOdW0+PERpc3BsYXlUZXh0PkphY2tzb24sIE1pY2hlbCwgUm9iZXJ0cywg
Sm9ybSwgZXQgYWwuLCAyMDA5OyBNaWNoZWwgZXQgYWwuLCAyMDA5PC9EaXNwbGF5VGV4dD48cmVj
b3JkPjxyZWMtbnVtYmVyPjE2PC9yZWMtbnVtYmVyPjxmb3JlaWduLWtleXM+PGtleSBhcHA9IkVO
IiBkYi1pZD0iOTJ0ZnR0NXYyYXJ4ZDZlOXd6cjUwdzJ3MHJ6MGVweDA5OWZ0IiB0aW1lc3RhbXA9
IjEzNzQ0NzU1NDEiPjE2PC9rZXk+PC9mb3JlaWduLWtleXM+PHJlZi10eXBlIG5hbWU9IkpvdXJu
YWwgQXJ0aWNsZSI+MTc8L3JlZi10eXBlPjxjb250cmlidXRvcnM+PGF1dGhvcnM+PGF1dGhvcj5K
YWNrc29uLCBUPC9hdXRob3I+PGF1dGhvcj5NaWNoZWwsIEouIEw8L2F1dGhvcj48YXV0aG9yPlJv
YmVydHMsIFIuIEY8L2F1dGhvcj48YXV0aG9yPkpvcm0sIEMuIE08L2F1dGhvcj48YXV0aG9yPldh
a2VmaWVsZCwgSi4gRzwvYXV0aG9yPjwvYXV0aG9ycz48L2NvbnRyaWJ1dG9ycz48YXV0aC1hZGRy
ZXNzPkF1c3RyYWxpYW4gQ2VudHJlIGZvciBFY29ub21pYyBSZXNlYXJjaCBvbiBIZWFsdGgsIFVu
aXZlcnNpdHkgb2YgUXVlZW5zbGFuZCwgQnJpc2JhbmUsIFFMRCwgQXVzdHJhbGlhLiB0LmphY2tz
b25AdXEuZWR1LmF1PC9hdXRoLWFkZHJlc3M+PHRpdGxlcz48dGl0bGU+QSBjbGFzc2lmaWNhdGlv
biBvZiBob3NwaXRhbC1hY3F1aXJlZCBkaWFnbm9zZXMgZm9yIHVzZSB3aXRoIHJvdXRpbmUgaG9z
cGl0YWwgZGF0YTwvdGl0bGU+PHNlY29uZGFyeS10aXRsZT5NZWQgSiBBdXN0PC9zZWNvbmRhcnkt
dGl0bGU+PGFsdC10aXRsZT5UaGUgTWVkaWNhbCBqb3VybmFsIG9mIEF1c3RyYWxpYTwvYWx0LXRp
dGxlPjwvdGl0bGVzPjxwZXJpb2RpY2FsPjxmdWxsLXRpdGxlPk1lZCBKIEF1c3Q8L2Z1bGwtdGl0
bGU+PGFiYnItMT5UaGUgTWVkaWNhbCBqb3VybmFsIG9mIEF1c3RyYWxpYTwvYWJici0xPjwvcGVy
aW9kaWNhbD48YWx0LXBlcmlvZGljYWw+PGZ1bGwtdGl0bGU+TWVkIEogQXVzdDwvZnVsbC10aXRs
ZT48YWJici0xPlRoZSBNZWRpY2FsIGpvdXJuYWwgb2YgQXVzdHJhbGlhPC9hYmJyLTE+PC9hbHQt
cGVyaW9kaWNhbD48cGFnZXM+NTQ0LTg8L3BhZ2VzPjx2b2x1bWU+MTkxPC92b2x1bWU+PG51bWJl
cj4xMDwvbnVtYmVyPjxlZGl0aW9uPjIwMDkvMTEvMTc8L2VkaXRpb24+PGtleXdvcmRzPjxrZXl3
b3JkPkZlbWFsZTwva2V5d29yZD48a2V5d29yZD5Gb3JtcyBhbmQgUmVjb3JkcyBDb250cm9sL2Ns
YXNzaWZpY2F0aW9uPC9rZXl3b3JkPjxrZXl3b3JkPkhvc3BpdGFsaXphdGlvbi8qc3RhdGlzdGlj
cyAmYW1wOyBudW1lcmljYWwgZGF0YTwva2V5d29yZD48a2V5d29yZD5IdW1hbnM8L2tleXdvcmQ+
PGtleXdvcmQ+KklhdHJvZ2VuaWMgRGlzZWFzZTwva2V5d29yZD48a2V5d29yZD5JbnRlcm5hdGlv
bmFsIENsYXNzaWZpY2F0aW9uIG9mIERpc2Vhc2VzLypjbGFzc2lmaWNhdGlvbjwva2V5d29yZD48
a2V5d29yZD5NYWxlPC9rZXl3b3JkPjxrZXl3b3JkPk1lZGljYWwgRXJyb3JzL2NsYXNzaWZpY2F0
aW9uPC9rZXl3b3JkPjxrZXl3b3JkPk1lZGljYWwgUmVjb3Jkcy8qY2xhc3NpZmljYXRpb248L2tl
eXdvcmQ+PGtleXdvcmQ+UG9zdG9wZXJhdGl2ZSBDb21wbGljYXRpb25zL2NsYXNzaWZpY2F0aW9u
PC9rZXl3b3JkPjxrZXl3b3JkPlByZWduYW5jeTwva2V5d29yZD48a2V5d29yZD5QcmVnbmFuY3kg
Q29tcGxpY2F0aW9ucy9jbGFzc2lmaWNhdGlvbjwva2V5d29yZD48a2V5d29yZD5RdWFsaXR5IElu
ZGljYXRvcnMsIEhlYWx0aCBDYXJlLypvcmdhbml6YXRpb24gJmFtcDsgYWRtaW5pc3RyYXRpb248
L2tleXdvcmQ+PGtleXdvcmQ+UmV0cm9zcGVjdGl2ZSBTdHVkaWVzPC9rZXl3b3JkPjxrZXl3b3Jk
PlZpY3RvcmlhPC9rZXl3b3JkPjwva2V5d29yZHM+PGRhdGVzPjx5ZWFyPjIwMDk8L3llYXI+PHB1
Yi1kYXRlcz48ZGF0ZT5Ob3YgMTY8L2RhdGU+PC9wdWItZGF0ZXM+PC9kYXRlcz48aXNibj4wMDI1
LTcyOVggKFByaW50KSYjeEQ7MDAyNS03MjlYIChMaW5raW5nKTwvaXNibj48YWNjZXNzaW9uLW51
bT4xOTkxMjA4NjwvYWNjZXNzaW9uLW51bT48dXJscz48cmVsYXRlZC11cmxzPjx1cmw+aHR0cDov
L3d3dy5uY2JpLm5sbS5uaWguZ292L3B1Ym1lZC8xOTkxMjA4NjwvdXJsPjwvcmVsYXRlZC11cmxz
PjwvdXJscz48bGFuZ3VhZ2U+ZW5nPC9sYW5ndWFnZT48L3JlY29yZD48L0NpdGU+PENpdGU+PEF1
dGhvcj5NaWNoZWw8L0F1dGhvcj48WWVhcj4yMDA5PC9ZZWFyPjxSZWNOdW0+OTwvUmVjTnVtPjxy
ZWNvcmQ+PHJlYy1udW1iZXI+OTwvcmVjLW51bWJlcj48Zm9yZWlnbi1rZXlzPjxrZXkgYXBwPSJF
TiIgZGItaWQ9IjkydGZ0dDV2MmFyeGQ2ZTl3enI1MHcydzByejBlcHgwOTlmdCIgdGltZXN0YW1w
PSIxMzcxNDM0MzI4Ij45PC9rZXk+PC9mb3JlaWduLWtleXM+PHJlZi10eXBlIG5hbWU9IkpvdXJu
YWwgQXJ0aWNsZSI+MTc8L3JlZi10eXBlPjxjb250cmlidXRvcnM+PGF1dGhvcnM+PGF1dGhvcj5N
aWNoZWwsIEouPC9hdXRob3I+PGF1dGhvcj5OZ2hpZW0sIEguIEQuPC9hdXRob3I+PGF1dGhvcj5K
YWNrc29uLCBULiBKLjwvYXV0aG9yPjwvYXV0aG9ycz48L2NvbnRyaWJ1dG9ycz48YXV0aC1hZGRy
ZXNzPkF1c3RyYWxpYW4gQ2VudHJlIGZvciBFY29ub21pYyBSZXNlYXJjaCBvbiBIZWFsdGgsIFVu
aXZlcnNpdHkgb2YgUXVlZW5zbGFuZCBTY2hvb2wgb2YgTWVkaWNpbmUsIEhlcnN0b24sIFFMRCwg
QXVzdHJhbGlhLiBqdWRpdGgubWljaGVsQHVxLmVkdS5hdTwvYXV0aC1hZGRyZXNzPjx0aXRsZXM+
PHRpdGxlPlVzaW5nIElDRC0xMC1BTSBjb2RlcyB0byBjaGFyYWN0ZXJpc2UgaG9zcGl0YWwtYWNx
dWlyZWQgY29tcGxpY2F0aW9uczwvdGl0bGU+PHNlY29uZGFyeS10aXRsZT5ISU0gSjwvc2Vjb25k
YXJ5LXRpdGxlPjxhbHQtdGl0bGU+VGhlIEhJTSBqb3VybmFsPC9hbHQtdGl0bGU+PC90aXRsZXM+
PHBlcmlvZGljYWw+PGZ1bGwtdGl0bGU+SElNIEo8L2Z1bGwtdGl0bGU+PGFiYnItMT5UaGUgSElN
IGpvdXJuYWw8L2FiYnItMT48L3BlcmlvZGljYWw+PGFsdC1wZXJpb2RpY2FsPjxmdWxsLXRpdGxl
PkhJTSBKPC9mdWxsLXRpdGxlPjxhYmJyLTE+VGhlIEhJTSBqb3VybmFsPC9hYmJyLTE+PC9hbHQt
cGVyaW9kaWNhbD48cGFnZXM+MTgtMjU8L3BhZ2VzPjx2b2x1bWU+Mzg8L3ZvbHVtZT48bnVtYmVy
PjM8L251bWJlcj48ZWRpdGlvbj4yMDA5LzEwLzMxPC9lZGl0aW9uPjxrZXl3b3Jkcz48a2V5d29y
ZD5BY2NpZGVudHMvY2xhc3NpZmljYXRpb248L2tleXdvcmQ+PGtleXdvcmQ+QXVzdHJhbGlhPC9r
ZXl3b3JkPjxrZXl3b3JkPkNsaW5pY2FsIENvZGluZy8qY2xhc3NpZmljYXRpb24vc3RhbmRhcmRz
PC9rZXl3b3JkPjxrZXl3b3JkPkRhdGEgSW50ZXJwcmV0YXRpb24sIFN0YXRpc3RpY2FsPC9rZXl3
b3JkPjxrZXl3b3JkPkZlbWFsZTwva2V5d29yZD48a2V5d29yZD5IdW1hbnM8L2tleXdvcmQ+PGtl
eXdvcmQ+SW50ZXJuYXRpb25hbCBDbGFzc2lmaWNhdGlvbiBvZiBEaXNlYXNlcy8qY2xhc3NpZmlj
YXRpb248L2tleXdvcmQ+PGtleXdvcmQ+TWVkaWNhbCBFcnJvcnMvKmNsYXNzaWZpY2F0aW9uPC9r
ZXl3b3JkPjxrZXl3b3JkPk9ic3RldHJpYyBMYWJvciBDb21wbGljYXRpb25zL2NsYXNzaWZpY2F0
aW9uPC9rZXl3b3JkPjxrZXl3b3JkPk91dGNvbWUgQXNzZXNzbWVudCAoSGVhbHRoIENhcmUpLypj
bGFzc2lmaWNhdGlvbjwva2V5d29yZD48a2V5d29yZD5QYXRpZW50IEFkbWlzc2lvbi9zdGFuZGFy
ZHMvc3RhdGlzdGljcyAmYW1wOyBudW1lcmljYWwgZGF0YTwva2V5d29yZD48a2V5d29yZD5QcmVn
bmFuY3k8L2tleXdvcmQ+PGtleXdvcmQ+U2FmZXR5IE1hbmFnZW1lbnQvbWV0aG9kcy9zdGFuZGFy
ZHM8L2tleXdvcmQ+PGtleXdvcmQ+VmljdG9yaWE8L2tleXdvcmQ+PC9rZXl3b3Jkcz48ZGF0ZXM+
PHllYXI+MjAwOTwveWVhcj48L2RhdGVzPjxpc2JuPjE4MzMtMzU3NSAoRWxlY3Ryb25pYykmI3hE
OzE4MzMtMzU4MyAoTGlua2luZyk8L2lzYm4+PGFjY2Vzc2lvbi1udW0+MTk4NzU4NTE8L2FjY2Vz
c2lvbi1udW0+PHdvcmstdHlwZT5SZXNlYXJjaCBTdXBwb3J0LCBOb24tVS5TLiBHb3YmYXBvczt0
PC93b3JrLXR5cGU+PHVybHM+PHJlbGF0ZWQtdXJscz48dXJsPmh0dHA6Ly93d3cubmNiaS5ubG0u
bmloLmdvdi9wdWJtZWQvMTk4NzU4NTE8L3VybD48L3JlbGF0ZWQtdXJscz48L3VybHM+PGxhbmd1
YWdlPmVuZzwvbGFuZ3VhZ2U+PC9yZWNvcmQ+PC9DaXRlPjwvRW5kTm90ZT4A
</w:fldData>
        </w:fldChar>
      </w:r>
      <w:r w:rsidR="00290091">
        <w:instrText xml:space="preserve"> ADDIN EN.CITE </w:instrText>
      </w:r>
      <w:r w:rsidR="00290091">
        <w:fldChar w:fldCharType="begin">
          <w:fldData xml:space="preserve">PEVuZE5vdGU+PENpdGU+PEF1dGhvcj5KYWNrc29uPC9BdXRob3I+PFllYXI+MjAwOTwvWWVhcj48
UmVjTnVtPjE2PC9SZWNOdW0+PERpc3BsYXlUZXh0PkphY2tzb24sIE1pY2hlbCwgUm9iZXJ0cywg
Sm9ybSwgZXQgYWwuLCAyMDA5OyBNaWNoZWwgZXQgYWwuLCAyMDA5PC9EaXNwbGF5VGV4dD48cmVj
b3JkPjxyZWMtbnVtYmVyPjE2PC9yZWMtbnVtYmVyPjxmb3JlaWduLWtleXM+PGtleSBhcHA9IkVO
IiBkYi1pZD0iOTJ0ZnR0NXYyYXJ4ZDZlOXd6cjUwdzJ3MHJ6MGVweDA5OWZ0IiB0aW1lc3RhbXA9
IjEzNzQ0NzU1NDEiPjE2PC9rZXk+PC9mb3JlaWduLWtleXM+PHJlZi10eXBlIG5hbWU9IkpvdXJu
YWwgQXJ0aWNsZSI+MTc8L3JlZi10eXBlPjxjb250cmlidXRvcnM+PGF1dGhvcnM+PGF1dGhvcj5K
YWNrc29uLCBUPC9hdXRob3I+PGF1dGhvcj5NaWNoZWwsIEouIEw8L2F1dGhvcj48YXV0aG9yPlJv
YmVydHMsIFIuIEY8L2F1dGhvcj48YXV0aG9yPkpvcm0sIEMuIE08L2F1dGhvcj48YXV0aG9yPldh
a2VmaWVsZCwgSi4gRzwvYXV0aG9yPjwvYXV0aG9ycz48L2NvbnRyaWJ1dG9ycz48YXV0aC1hZGRy
ZXNzPkF1c3RyYWxpYW4gQ2VudHJlIGZvciBFY29ub21pYyBSZXNlYXJjaCBvbiBIZWFsdGgsIFVu
aXZlcnNpdHkgb2YgUXVlZW5zbGFuZCwgQnJpc2JhbmUsIFFMRCwgQXVzdHJhbGlhLiB0LmphY2tz
b25AdXEuZWR1LmF1PC9hdXRoLWFkZHJlc3M+PHRpdGxlcz48dGl0bGU+QSBjbGFzc2lmaWNhdGlv
biBvZiBob3NwaXRhbC1hY3F1aXJlZCBkaWFnbm9zZXMgZm9yIHVzZSB3aXRoIHJvdXRpbmUgaG9z
cGl0YWwgZGF0YTwvdGl0bGU+PHNlY29uZGFyeS10aXRsZT5NZWQgSiBBdXN0PC9zZWNvbmRhcnkt
dGl0bGU+PGFsdC10aXRsZT5UaGUgTWVkaWNhbCBqb3VybmFsIG9mIEF1c3RyYWxpYTwvYWx0LXRp
dGxlPjwvdGl0bGVzPjxwZXJpb2RpY2FsPjxmdWxsLXRpdGxlPk1lZCBKIEF1c3Q8L2Z1bGwtdGl0
bGU+PGFiYnItMT5UaGUgTWVkaWNhbCBqb3VybmFsIG9mIEF1c3RyYWxpYTwvYWJici0xPjwvcGVy
aW9kaWNhbD48YWx0LXBlcmlvZGljYWw+PGZ1bGwtdGl0bGU+TWVkIEogQXVzdDwvZnVsbC10aXRs
ZT48YWJici0xPlRoZSBNZWRpY2FsIGpvdXJuYWwgb2YgQXVzdHJhbGlhPC9hYmJyLTE+PC9hbHQt
cGVyaW9kaWNhbD48cGFnZXM+NTQ0LTg8L3BhZ2VzPjx2b2x1bWU+MTkxPC92b2x1bWU+PG51bWJl
cj4xMDwvbnVtYmVyPjxlZGl0aW9uPjIwMDkvMTEvMTc8L2VkaXRpb24+PGtleXdvcmRzPjxrZXl3
b3JkPkZlbWFsZTwva2V5d29yZD48a2V5d29yZD5Gb3JtcyBhbmQgUmVjb3JkcyBDb250cm9sL2Ns
YXNzaWZpY2F0aW9uPC9rZXl3b3JkPjxrZXl3b3JkPkhvc3BpdGFsaXphdGlvbi8qc3RhdGlzdGlj
cyAmYW1wOyBudW1lcmljYWwgZGF0YTwva2V5d29yZD48a2V5d29yZD5IdW1hbnM8L2tleXdvcmQ+
PGtleXdvcmQ+KklhdHJvZ2VuaWMgRGlzZWFzZTwva2V5d29yZD48a2V5d29yZD5JbnRlcm5hdGlv
bmFsIENsYXNzaWZpY2F0aW9uIG9mIERpc2Vhc2VzLypjbGFzc2lmaWNhdGlvbjwva2V5d29yZD48
a2V5d29yZD5NYWxlPC9rZXl3b3JkPjxrZXl3b3JkPk1lZGljYWwgRXJyb3JzL2NsYXNzaWZpY2F0
aW9uPC9rZXl3b3JkPjxrZXl3b3JkPk1lZGljYWwgUmVjb3Jkcy8qY2xhc3NpZmljYXRpb248L2tl
eXdvcmQ+PGtleXdvcmQ+UG9zdG9wZXJhdGl2ZSBDb21wbGljYXRpb25zL2NsYXNzaWZpY2F0aW9u
PC9rZXl3b3JkPjxrZXl3b3JkPlByZWduYW5jeTwva2V5d29yZD48a2V5d29yZD5QcmVnbmFuY3kg
Q29tcGxpY2F0aW9ucy9jbGFzc2lmaWNhdGlvbjwva2V5d29yZD48a2V5d29yZD5RdWFsaXR5IElu
ZGljYXRvcnMsIEhlYWx0aCBDYXJlLypvcmdhbml6YXRpb24gJmFtcDsgYWRtaW5pc3RyYXRpb248
L2tleXdvcmQ+PGtleXdvcmQ+UmV0cm9zcGVjdGl2ZSBTdHVkaWVzPC9rZXl3b3JkPjxrZXl3b3Jk
PlZpY3RvcmlhPC9rZXl3b3JkPjwva2V5d29yZHM+PGRhdGVzPjx5ZWFyPjIwMDk8L3llYXI+PHB1
Yi1kYXRlcz48ZGF0ZT5Ob3YgMTY8L2RhdGU+PC9wdWItZGF0ZXM+PC9kYXRlcz48aXNibj4wMDI1
LTcyOVggKFByaW50KSYjeEQ7MDAyNS03MjlYIChMaW5raW5nKTwvaXNibj48YWNjZXNzaW9uLW51
bT4xOTkxMjA4NjwvYWNjZXNzaW9uLW51bT48dXJscz48cmVsYXRlZC11cmxzPjx1cmw+aHR0cDov
L3d3dy5uY2JpLm5sbS5uaWguZ292L3B1Ym1lZC8xOTkxMjA4NjwvdXJsPjwvcmVsYXRlZC11cmxz
PjwvdXJscz48bGFuZ3VhZ2U+ZW5nPC9sYW5ndWFnZT48L3JlY29yZD48L0NpdGU+PENpdGU+PEF1
dGhvcj5NaWNoZWw8L0F1dGhvcj48WWVhcj4yMDA5PC9ZZWFyPjxSZWNOdW0+OTwvUmVjTnVtPjxy
ZWNvcmQ+PHJlYy1udW1iZXI+OTwvcmVjLW51bWJlcj48Zm9yZWlnbi1rZXlzPjxrZXkgYXBwPSJF
TiIgZGItaWQ9IjkydGZ0dDV2MmFyeGQ2ZTl3enI1MHcydzByejBlcHgwOTlmdCIgdGltZXN0YW1w
PSIxMzcxNDM0MzI4Ij45PC9rZXk+PC9mb3JlaWduLWtleXM+PHJlZi10eXBlIG5hbWU9IkpvdXJu
YWwgQXJ0aWNsZSI+MTc8L3JlZi10eXBlPjxjb250cmlidXRvcnM+PGF1dGhvcnM+PGF1dGhvcj5N
aWNoZWwsIEouPC9hdXRob3I+PGF1dGhvcj5OZ2hpZW0sIEguIEQuPC9hdXRob3I+PGF1dGhvcj5K
YWNrc29uLCBULiBKLjwvYXV0aG9yPjwvYXV0aG9ycz48L2NvbnRyaWJ1dG9ycz48YXV0aC1hZGRy
ZXNzPkF1c3RyYWxpYW4gQ2VudHJlIGZvciBFY29ub21pYyBSZXNlYXJjaCBvbiBIZWFsdGgsIFVu
aXZlcnNpdHkgb2YgUXVlZW5zbGFuZCBTY2hvb2wgb2YgTWVkaWNpbmUsIEhlcnN0b24sIFFMRCwg
QXVzdHJhbGlhLiBqdWRpdGgubWljaGVsQHVxLmVkdS5hdTwvYXV0aC1hZGRyZXNzPjx0aXRsZXM+
PHRpdGxlPlVzaW5nIElDRC0xMC1BTSBjb2RlcyB0byBjaGFyYWN0ZXJpc2UgaG9zcGl0YWwtYWNx
dWlyZWQgY29tcGxpY2F0aW9uczwvdGl0bGU+PHNlY29uZGFyeS10aXRsZT5ISU0gSjwvc2Vjb25k
YXJ5LXRpdGxlPjxhbHQtdGl0bGU+VGhlIEhJTSBqb3VybmFsPC9hbHQtdGl0bGU+PC90aXRsZXM+
PHBlcmlvZGljYWw+PGZ1bGwtdGl0bGU+SElNIEo8L2Z1bGwtdGl0bGU+PGFiYnItMT5UaGUgSElN
IGpvdXJuYWw8L2FiYnItMT48L3BlcmlvZGljYWw+PGFsdC1wZXJpb2RpY2FsPjxmdWxsLXRpdGxl
PkhJTSBKPC9mdWxsLXRpdGxlPjxhYmJyLTE+VGhlIEhJTSBqb3VybmFsPC9hYmJyLTE+PC9hbHQt
cGVyaW9kaWNhbD48cGFnZXM+MTgtMjU8L3BhZ2VzPjx2b2x1bWU+Mzg8L3ZvbHVtZT48bnVtYmVy
PjM8L251bWJlcj48ZWRpdGlvbj4yMDA5LzEwLzMxPC9lZGl0aW9uPjxrZXl3b3Jkcz48a2V5d29y
ZD5BY2NpZGVudHMvY2xhc3NpZmljYXRpb248L2tleXdvcmQ+PGtleXdvcmQ+QXVzdHJhbGlhPC9r
ZXl3b3JkPjxrZXl3b3JkPkNsaW5pY2FsIENvZGluZy8qY2xhc3NpZmljYXRpb24vc3RhbmRhcmRz
PC9rZXl3b3JkPjxrZXl3b3JkPkRhdGEgSW50ZXJwcmV0YXRpb24sIFN0YXRpc3RpY2FsPC9rZXl3
b3JkPjxrZXl3b3JkPkZlbWFsZTwva2V5d29yZD48a2V5d29yZD5IdW1hbnM8L2tleXdvcmQ+PGtl
eXdvcmQ+SW50ZXJuYXRpb25hbCBDbGFzc2lmaWNhdGlvbiBvZiBEaXNlYXNlcy8qY2xhc3NpZmlj
YXRpb248L2tleXdvcmQ+PGtleXdvcmQ+TWVkaWNhbCBFcnJvcnMvKmNsYXNzaWZpY2F0aW9uPC9r
ZXl3b3JkPjxrZXl3b3JkPk9ic3RldHJpYyBMYWJvciBDb21wbGljYXRpb25zL2NsYXNzaWZpY2F0
aW9uPC9rZXl3b3JkPjxrZXl3b3JkPk91dGNvbWUgQXNzZXNzbWVudCAoSGVhbHRoIENhcmUpLypj
bGFzc2lmaWNhdGlvbjwva2V5d29yZD48a2V5d29yZD5QYXRpZW50IEFkbWlzc2lvbi9zdGFuZGFy
ZHMvc3RhdGlzdGljcyAmYW1wOyBudW1lcmljYWwgZGF0YTwva2V5d29yZD48a2V5d29yZD5QcmVn
bmFuY3k8L2tleXdvcmQ+PGtleXdvcmQ+U2FmZXR5IE1hbmFnZW1lbnQvbWV0aG9kcy9zdGFuZGFy
ZHM8L2tleXdvcmQ+PGtleXdvcmQ+VmljdG9yaWE8L2tleXdvcmQ+PC9rZXl3b3Jkcz48ZGF0ZXM+
PHllYXI+MjAwOTwveWVhcj48L2RhdGVzPjxpc2JuPjE4MzMtMzU3NSAoRWxlY3Ryb25pYykmI3hE
OzE4MzMtMzU4MyAoTGlua2luZyk8L2lzYm4+PGFjY2Vzc2lvbi1udW0+MTk4NzU4NTE8L2FjY2Vz
c2lvbi1udW0+PHdvcmstdHlwZT5SZXNlYXJjaCBTdXBwb3J0LCBOb24tVS5TLiBHb3YmYXBvczt0
PC93b3JrLXR5cGU+PHVybHM+PHJlbGF0ZWQtdXJscz48dXJsPmh0dHA6Ly93d3cubmNiaS5ubG0u
bmloLmdvdi9wdWJtZWQvMTk4NzU4NTE8L3VybD48L3JlbGF0ZWQtdXJscz48L3VybHM+PGxhbmd1
YWdlPmVuZzwvbGFuZ3VhZ2U+PC9yZWNvcmQ+PC9DaXRlPjwvRW5kTm90ZT4A
</w:fldData>
        </w:fldChar>
      </w:r>
      <w:r w:rsidR="00290091">
        <w:instrText xml:space="preserve"> ADDIN EN.CITE.DATA </w:instrText>
      </w:r>
      <w:r w:rsidR="00290091">
        <w:fldChar w:fldCharType="end"/>
      </w:r>
      <w:r>
        <w:fldChar w:fldCharType="separate"/>
      </w:r>
      <w:hyperlink w:anchor="_ENREF_20" w:tooltip="Jackson, 2009 #16" w:history="1">
        <w:r w:rsidR="00C33CAE">
          <w:rPr>
            <w:noProof/>
          </w:rPr>
          <w:t>Jackson, Michel, Roberts, Jorm, et al., 2009</w:t>
        </w:r>
      </w:hyperlink>
      <w:r w:rsidR="00290091">
        <w:rPr>
          <w:noProof/>
        </w:rPr>
        <w:t xml:space="preserve">; </w:t>
      </w:r>
      <w:hyperlink w:anchor="_ENREF_23" w:tooltip="Michel, 2009 #9" w:history="1">
        <w:r w:rsidR="00C33CAE">
          <w:rPr>
            <w:noProof/>
          </w:rPr>
          <w:t>Michel et al., 2009</w:t>
        </w:r>
      </w:hyperlink>
      <w:r>
        <w:fldChar w:fldCharType="end"/>
      </w:r>
      <w:r>
        <w:t xml:space="preserve">).  Particular elements of the data </w:t>
      </w:r>
      <w:r w:rsidR="002F611A">
        <w:t>cleaning</w:t>
      </w:r>
      <w:r>
        <w:t xml:space="preserve"> algorithm include:</w:t>
      </w:r>
    </w:p>
    <w:p w:rsidR="007718C7" w:rsidRPr="000C1520" w:rsidRDefault="007718C7" w:rsidP="002002B2">
      <w:pPr>
        <w:pStyle w:val="ListParagraph"/>
        <w:numPr>
          <w:ilvl w:val="0"/>
          <w:numId w:val="8"/>
        </w:numPr>
        <w:ind w:left="714" w:hanging="357"/>
        <w:contextualSpacing w:val="0"/>
      </w:pPr>
      <w:r w:rsidRPr="000C1520">
        <w:t xml:space="preserve">Removing </w:t>
      </w:r>
      <w:r w:rsidRPr="000C1520">
        <w:rPr>
          <w:b/>
        </w:rPr>
        <w:t>false positives</w:t>
      </w:r>
      <w:r w:rsidRPr="000C1520">
        <w:t xml:space="preserve">, that is, diagnoses that are assigned a flag that are clearly implausible.  An example is codes related to neoplasms, which are likely to have been present on admission. </w:t>
      </w:r>
    </w:p>
    <w:p w:rsidR="007718C7" w:rsidRPr="000C1520" w:rsidRDefault="007718C7" w:rsidP="002002B2">
      <w:pPr>
        <w:pStyle w:val="ListParagraph"/>
        <w:numPr>
          <w:ilvl w:val="0"/>
          <w:numId w:val="8"/>
        </w:numPr>
        <w:ind w:left="714" w:hanging="357"/>
        <w:contextualSpacing w:val="0"/>
      </w:pPr>
      <w:r w:rsidRPr="000C1520">
        <w:t xml:space="preserve">Flagging </w:t>
      </w:r>
      <w:r w:rsidRPr="000C1520">
        <w:rPr>
          <w:b/>
        </w:rPr>
        <w:t>false negatives</w:t>
      </w:r>
      <w:r w:rsidRPr="000C1520">
        <w:t xml:space="preserve">, that is codes are flagged as present on admission, when it is certain that these codes arose subsequent to admission.  An example is </w:t>
      </w:r>
      <w:r w:rsidRPr="000C1520">
        <w:lastRenderedPageBreak/>
        <w:t>complications arising during child birth.  However, only false negatives identified by the Jackson et al. (</w:t>
      </w:r>
      <w:hyperlink w:anchor="_ENREF_19" w:tooltip="Jackson, 2009 #3" w:history="1">
        <w:r w:rsidR="00C33CAE" w:rsidRPr="000C1520">
          <w:fldChar w:fldCharType="begin">
            <w:fldData xml:space="preserve">PEVuZE5vdGU+PENpdGUgRXhjbHVkZUF1dGg9IjEiPjxBdXRob3I+SmFja3NvbjwvQXV0aG9yPjxZ
ZWFyPjIwMDk8L1llYXI+PFJlY051bT4zPC9SZWNOdW0+PERpc3BsYXlUZXh0PjIwMDk8L0Rpc3Bs
YXlUZXh0PjxyZWNvcmQ+PHJlYy1udW1iZXI+MzwvcmVjLW51bWJlcj48Zm9yZWlnbi1rZXlzPjxr
ZXkgYXBwPSJFTiIgZGItaWQ9IjkydGZ0dDV2MmFyeGQ2ZTl3enI1MHcydzByejBlcHgwOTlmdCIg
dGltZXN0YW1wPSIxMzcxNDM0MTA4Ij4zPC9rZXk+PC9mb3JlaWduLWtleXM+PHJlZi10eXBlIG5h
bWU9IkpvdXJuYWwgQXJ0aWNsZSI+MTc8L3JlZi10eXBlPjxjb250cmlidXRvcnM+PGF1dGhvcnM+
PGF1dGhvcj5KYWNrc29uLCBUPC9hdXRob3I+PGF1dGhvcj5NaWNoZWwsIEouIEw8L2F1dGhvcj48
YXV0aG9yPlJvYmVydHMsIFI8L2F1dGhvcj48YXV0aG9yPlNoZXBoZWFyZCwgSjwvYXV0aG9yPjxh
dXRob3I+Q2hlbmcsIEQ8L2F1dGhvcj48YXV0aG9yPlJ1c3QsIEo8L2F1dGhvcj48YXV0aG9yPlBl
cnJ5LCBDPC9hdXRob3I+PC9hdXRob3JzPjwvY29udHJpYnV0b3JzPjxhdXRoLWFkZHJlc3M+QXVz
dHJhbGlhbiBDZW50cmUgZm9yIEVjb25vbWljIFJlc2VhcmNoIG9uIEhlYWx0aCwgU2Nob29sIG9m
IE1lZGljaW5lLCBVbml2ZXJzaXR5IG9mIFF1ZWVuc2xhbmQsIEJyaXNiYW5lLCBBdXN0cmFsaWEu
IHQuamFja3NvbkB1cS5lZHUuYXU8L2F1dGgtYWRkcmVzcz48dGl0bGVzPjx0aXRsZT5EZXZlbG9w
bWVudCBvZiBhIHZhbGlkYXRpb24gYWxnb3JpdGhtIGZvciAmYXBvcztwcmVzZW50IG9uIGFkbWlz
c2lvbiZhcG9zOyBmbGFnZ2luZzwvdGl0bGU+PHNlY29uZGFyeS10aXRsZT5CTUMgTWVkIEluZm9y
bSBEZWNpcyBNYWs8L3NlY29uZGFyeS10aXRsZT48YWx0LXRpdGxlPkJNQyBtZWRpY2FsIGluZm9y
bWF0aWNzIGFuZCBkZWNpc2lvbiBtYWtpbmc8L2FsdC10aXRsZT48L3RpdGxlcz48cGVyaW9kaWNh
bD48ZnVsbC10aXRsZT5CTUMgTWVkIEluZm9ybSBEZWNpcyBNYWs8L2Z1bGwtdGl0bGU+PGFiYnIt
MT5CTUMgbWVkaWNhbCBpbmZvcm1hdGljcyBhbmQgZGVjaXNpb24gbWFraW5nPC9hYmJyLTE+PC9w
ZXJpb2RpY2FsPjxhbHQtcGVyaW9kaWNhbD48ZnVsbC10aXRsZT5CTUMgTWVkIEluZm9ybSBEZWNp
cyBNYWs8L2Z1bGwtdGl0bGU+PGFiYnItMT5CTUMgbWVkaWNhbCBpbmZvcm1hdGljcyBhbmQgZGVj
aXNpb24gbWFraW5nPC9hYmJyLTE+PC9hbHQtcGVyaW9kaWNhbD48cGFnZXM+NDg8L3BhZ2VzPjx2
b2x1bWU+OTwvdm9sdW1lPjxlZGl0aW9uPjIwMDkvMTIvMDM8L2VkaXRpb24+PGtleXdvcmRzPjxr
ZXl3b3JkPipBbGdvcml0aG1zPC9rZXl3b3JkPjxrZXl3b3JkPkF1c3RyYWxpYTwva2V5d29yZD48
a2V5d29yZD5Db21vcmJpZGl0eTwva2V5d29yZD48a2V5d29yZD5EaWFnbm9zaXM8L2tleXdvcmQ+
PGtleXdvcmQ+RXBpc29kZSBvZiBDYXJlPC9rZXl3b3JkPjxrZXl3b3JkPkZlbWFsZTwva2V5d29y
ZD48a2V5d29yZD5IdW1hbnM8L2tleXdvcmQ+PGtleXdvcmQ+SW50ZXJuYXRpb25hbCBDbGFzc2lm
aWNhdGlvbiBvZiBEaXNlYXNlczwva2V5d29yZD48a2V5d29yZD5NYWxlPC9rZXl3b3JkPjxrZXl3
b3JkPipQYXRpZW50IEFkbWlzc2lvbjwva2V5d29yZD48a2V5d29yZD5RdWFsaXR5IG9mIEhlYWx0
aCBDYXJlPC9rZXl3b3JkPjwva2V5d29yZHM+PGRhdGVzPjx5ZWFyPjIwMDk8L3llYXI+PC9kYXRl
cz48aXNibj4xNDcyLTY5NDcgKEVsZWN0cm9uaWMpJiN4RDsxNDcyLTY5NDcgKExpbmtpbmcpPC9p
c2JuPjxhY2Nlc3Npb24tbnVtPjE5OTUxNDMwPC9hY2Nlc3Npb24tbnVtPjx1cmxzPjxyZWxhdGVk
LXVybHM+PHVybD5odHRwOi8vd3d3Lm5jYmkubmxtLm5paC5nb3YvcHVibWVkLzE5OTUxNDMwPC91
cmw+PHVybD5odHRwOi8vd3d3LmJpb21lZGNlbnRyYWwuY29tL2NvbnRlbnQvcGRmLzE0NzItNjk0
Ny05LTQ4LnBkZjwvdXJsPjwvcmVsYXRlZC11cmxzPjwvdXJscz48Y3VzdG9tMj4yNzkzMjQ0PC9j
dXN0b20yPjxlbGVjdHJvbmljLXJlc291cmNlLW51bT4xMC4xMTg2LzE0NzItNjk0Ny05LTQ4PC9l
bGVjdHJvbmljLXJlc291cmNlLW51bT48bGFuZ3VhZ2U+ZW5nPC9sYW5ndWFnZT48L3JlY29yZD48
L0NpdGU+PC9FbmROb3RlPgB=
</w:fldData>
          </w:fldChar>
        </w:r>
        <w:r w:rsidR="00C33CAE">
          <w:instrText xml:space="preserve"> ADDIN EN.CITE </w:instrText>
        </w:r>
        <w:r w:rsidR="00C33CAE">
          <w:fldChar w:fldCharType="begin">
            <w:fldData xml:space="preserve">PEVuZE5vdGU+PENpdGUgRXhjbHVkZUF1dGg9IjEiPjxBdXRob3I+SmFja3NvbjwvQXV0aG9yPjxZ
ZWFyPjIwMDk8L1llYXI+PFJlY051bT4zPC9SZWNOdW0+PERpc3BsYXlUZXh0PjIwMDk8L0Rpc3Bs
YXlUZXh0PjxyZWNvcmQ+PHJlYy1udW1iZXI+MzwvcmVjLW51bWJlcj48Zm9yZWlnbi1rZXlzPjxr
ZXkgYXBwPSJFTiIgZGItaWQ9IjkydGZ0dDV2MmFyeGQ2ZTl3enI1MHcydzByejBlcHgwOTlmdCIg
dGltZXN0YW1wPSIxMzcxNDM0MTA4Ij4zPC9rZXk+PC9mb3JlaWduLWtleXM+PHJlZi10eXBlIG5h
bWU9IkpvdXJuYWwgQXJ0aWNsZSI+MTc8L3JlZi10eXBlPjxjb250cmlidXRvcnM+PGF1dGhvcnM+
PGF1dGhvcj5KYWNrc29uLCBUPC9hdXRob3I+PGF1dGhvcj5NaWNoZWwsIEouIEw8L2F1dGhvcj48
YXV0aG9yPlJvYmVydHMsIFI8L2F1dGhvcj48YXV0aG9yPlNoZXBoZWFyZCwgSjwvYXV0aG9yPjxh
dXRob3I+Q2hlbmcsIEQ8L2F1dGhvcj48YXV0aG9yPlJ1c3QsIEo8L2F1dGhvcj48YXV0aG9yPlBl
cnJ5LCBDPC9hdXRob3I+PC9hdXRob3JzPjwvY29udHJpYnV0b3JzPjxhdXRoLWFkZHJlc3M+QXVz
dHJhbGlhbiBDZW50cmUgZm9yIEVjb25vbWljIFJlc2VhcmNoIG9uIEhlYWx0aCwgU2Nob29sIG9m
IE1lZGljaW5lLCBVbml2ZXJzaXR5IG9mIFF1ZWVuc2xhbmQsIEJyaXNiYW5lLCBBdXN0cmFsaWEu
IHQuamFja3NvbkB1cS5lZHUuYXU8L2F1dGgtYWRkcmVzcz48dGl0bGVzPjx0aXRsZT5EZXZlbG9w
bWVudCBvZiBhIHZhbGlkYXRpb24gYWxnb3JpdGhtIGZvciAmYXBvcztwcmVzZW50IG9uIGFkbWlz
c2lvbiZhcG9zOyBmbGFnZ2luZzwvdGl0bGU+PHNlY29uZGFyeS10aXRsZT5CTUMgTWVkIEluZm9y
bSBEZWNpcyBNYWs8L3NlY29uZGFyeS10aXRsZT48YWx0LXRpdGxlPkJNQyBtZWRpY2FsIGluZm9y
bWF0aWNzIGFuZCBkZWNpc2lvbiBtYWtpbmc8L2FsdC10aXRsZT48L3RpdGxlcz48cGVyaW9kaWNh
bD48ZnVsbC10aXRsZT5CTUMgTWVkIEluZm9ybSBEZWNpcyBNYWs8L2Z1bGwtdGl0bGU+PGFiYnIt
MT5CTUMgbWVkaWNhbCBpbmZvcm1hdGljcyBhbmQgZGVjaXNpb24gbWFraW5nPC9hYmJyLTE+PC9w
ZXJpb2RpY2FsPjxhbHQtcGVyaW9kaWNhbD48ZnVsbC10aXRsZT5CTUMgTWVkIEluZm9ybSBEZWNp
cyBNYWs8L2Z1bGwtdGl0bGU+PGFiYnItMT5CTUMgbWVkaWNhbCBpbmZvcm1hdGljcyBhbmQgZGVj
aXNpb24gbWFraW5nPC9hYmJyLTE+PC9hbHQtcGVyaW9kaWNhbD48cGFnZXM+NDg8L3BhZ2VzPjx2
b2x1bWU+OTwvdm9sdW1lPjxlZGl0aW9uPjIwMDkvMTIvMDM8L2VkaXRpb24+PGtleXdvcmRzPjxr
ZXl3b3JkPipBbGdvcml0aG1zPC9rZXl3b3JkPjxrZXl3b3JkPkF1c3RyYWxpYTwva2V5d29yZD48
a2V5d29yZD5Db21vcmJpZGl0eTwva2V5d29yZD48a2V5d29yZD5EaWFnbm9zaXM8L2tleXdvcmQ+
PGtleXdvcmQ+RXBpc29kZSBvZiBDYXJlPC9rZXl3b3JkPjxrZXl3b3JkPkZlbWFsZTwva2V5d29y
ZD48a2V5d29yZD5IdW1hbnM8L2tleXdvcmQ+PGtleXdvcmQ+SW50ZXJuYXRpb25hbCBDbGFzc2lm
aWNhdGlvbiBvZiBEaXNlYXNlczwva2V5d29yZD48a2V5d29yZD5NYWxlPC9rZXl3b3JkPjxrZXl3
b3JkPipQYXRpZW50IEFkbWlzc2lvbjwva2V5d29yZD48a2V5d29yZD5RdWFsaXR5IG9mIEhlYWx0
aCBDYXJlPC9rZXl3b3JkPjwva2V5d29yZHM+PGRhdGVzPjx5ZWFyPjIwMDk8L3llYXI+PC9kYXRl
cz48aXNibj4xNDcyLTY5NDcgKEVsZWN0cm9uaWMpJiN4RDsxNDcyLTY5NDcgKExpbmtpbmcpPC9p
c2JuPjxhY2Nlc3Npb24tbnVtPjE5OTUxNDMwPC9hY2Nlc3Npb24tbnVtPjx1cmxzPjxyZWxhdGVk
LXVybHM+PHVybD5odHRwOi8vd3d3Lm5jYmkubmxtLm5paC5nb3YvcHVibWVkLzE5OTUxNDMwPC91
cmw+PHVybD5odHRwOi8vd3d3LmJpb21lZGNlbnRyYWwuY29tL2NvbnRlbnQvcGRmLzE0NzItNjk0
Ny05LTQ4LnBkZjwvdXJsPjwvcmVsYXRlZC11cmxzPjwvdXJscz48Y3VzdG9tMj4yNzkzMjQ0PC9j
dXN0b20yPjxlbGVjdHJvbmljLXJlc291cmNlLW51bT4xMC4xMTg2LzE0NzItNjk0Ny05LTQ4PC9l
bGVjdHJvbmljLXJlc291cmNlLW51bT48bGFuZ3VhZ2U+ZW5nPC9sYW5ndWFnZT48L3JlY29yZD48
L0NpdGU+PC9FbmROb3RlPgB=
</w:fldData>
          </w:fldChar>
        </w:r>
        <w:r w:rsidR="00C33CAE">
          <w:instrText xml:space="preserve"> ADDIN EN.CITE.DATA </w:instrText>
        </w:r>
        <w:r w:rsidR="00C33CAE">
          <w:fldChar w:fldCharType="end"/>
        </w:r>
        <w:r w:rsidR="00C33CAE" w:rsidRPr="000C1520">
          <w:fldChar w:fldCharType="separate"/>
        </w:r>
        <w:r w:rsidR="00C33CAE" w:rsidRPr="000C1520">
          <w:rPr>
            <w:noProof/>
          </w:rPr>
          <w:t>2009</w:t>
        </w:r>
        <w:r w:rsidR="00C33CAE" w:rsidRPr="000C1520">
          <w:fldChar w:fldCharType="end"/>
        </w:r>
      </w:hyperlink>
      <w:r w:rsidRPr="000C1520">
        <w:t xml:space="preserve">) data </w:t>
      </w:r>
      <w:r w:rsidR="002F611A">
        <w:t>cleaning</w:t>
      </w:r>
      <w:r w:rsidRPr="000C1520">
        <w:t xml:space="preserve"> algorithm relate to obstetrics and neonates. </w:t>
      </w:r>
    </w:p>
    <w:p w:rsidR="007718C7" w:rsidRPr="000C1520" w:rsidRDefault="007718C7" w:rsidP="002002B2">
      <w:pPr>
        <w:pStyle w:val="ListParagraph"/>
        <w:numPr>
          <w:ilvl w:val="0"/>
          <w:numId w:val="8"/>
        </w:numPr>
        <w:autoSpaceDE w:val="0"/>
        <w:autoSpaceDN w:val="0"/>
        <w:adjustRightInd w:val="0"/>
        <w:ind w:left="714" w:hanging="357"/>
        <w:contextualSpacing w:val="0"/>
      </w:pPr>
      <w:r w:rsidRPr="000C1520">
        <w:t xml:space="preserve">Reducing </w:t>
      </w:r>
      <w:r w:rsidRPr="000C1520">
        <w:rPr>
          <w:b/>
        </w:rPr>
        <w:t>double counting</w:t>
      </w:r>
      <w:r w:rsidRPr="000C1520">
        <w:t xml:space="preserve"> of codes. Some conditions/events require several codes to properly describe the relevant event or diagnosis.  Examples include post procedural complications, injury and adverse effects due to treatment and hospital-acquired infections (</w:t>
      </w:r>
      <w:hyperlink w:anchor="_ENREF_23" w:tooltip="Michel, 2009 #9" w:history="1">
        <w:r w:rsidR="00C33CAE" w:rsidRPr="000C1520">
          <w:fldChar w:fldCharType="begin">
            <w:fldData xml:space="preserve">PEVuZE5vdGU+PENpdGU+PEF1dGhvcj5NaWNoZWw8L0F1dGhvcj48WWVhcj4yMDA5PC9ZZWFyPjxS
ZWNOdW0+OTwvUmVjTnVtPjxEaXNwbGF5VGV4dD5NaWNoZWwgZXQgYWwuLCAyMDA5PC9EaXNwbGF5
VGV4dD48cmVjb3JkPjxyZWMtbnVtYmVyPjk8L3JlYy1udW1iZXI+PGZvcmVpZ24ta2V5cz48a2V5
IGFwcD0iRU4iIGRiLWlkPSI5MnRmdHQ1djJhcnhkNmU5d3pyNTB3MncwcnowZXB4MDk5ZnQiIHRp
bWVzdGFtcD0iMTM3MTQzNDMyOCI+OTwva2V5PjwvZm9yZWlnbi1rZXlzPjxyZWYtdHlwZSBuYW1l
PSJKb3VybmFsIEFydGljbGUiPjE3PC9yZWYtdHlwZT48Y29udHJpYnV0b3JzPjxhdXRob3JzPjxh
dXRob3I+TWljaGVsLCBKLjwvYXV0aG9yPjxhdXRob3I+TmdoaWVtLCBILiBELjwvYXV0aG9yPjxh
dXRob3I+SmFja3NvbiwgVC4gSi48L2F1dGhvcj48L2F1dGhvcnM+PC9jb250cmlidXRvcnM+PGF1
dGgtYWRkcmVzcz5BdXN0cmFsaWFuIENlbnRyZSBmb3IgRWNvbm9taWMgUmVzZWFyY2ggb24gSGVh
bHRoLCBVbml2ZXJzaXR5IG9mIFF1ZWVuc2xhbmQgU2Nob29sIG9mIE1lZGljaW5lLCBIZXJzdG9u
LCBRTEQsIEF1c3RyYWxpYS4ganVkaXRoLm1pY2hlbEB1cS5lZHUuYXU8L2F1dGgtYWRkcmVzcz48
dGl0bGVzPjx0aXRsZT5Vc2luZyBJQ0QtMTAtQU0gY29kZXMgdG8gY2hhcmFjdGVyaXNlIGhvc3Bp
dGFsLWFjcXVpcmVkIGNvbXBsaWNhdGlvbnM8L3RpdGxlPjxzZWNvbmRhcnktdGl0bGU+SElNIEo8
L3NlY29uZGFyeS10aXRsZT48YWx0LXRpdGxlPlRoZSBISU0gam91cm5hbDwvYWx0LXRpdGxlPjwv
dGl0bGVzPjxwZXJpb2RpY2FsPjxmdWxsLXRpdGxlPkhJTSBKPC9mdWxsLXRpdGxlPjxhYmJyLTE+
VGhlIEhJTSBqb3VybmFsPC9hYmJyLTE+PC9wZXJpb2RpY2FsPjxhbHQtcGVyaW9kaWNhbD48ZnVs
bC10aXRsZT5ISU0gSjwvZnVsbC10aXRsZT48YWJici0xPlRoZSBISU0gam91cm5hbDwvYWJici0x
PjwvYWx0LXBlcmlvZGljYWw+PHBhZ2VzPjE4LTI1PC9wYWdlcz48dm9sdW1lPjM4PC92b2x1bWU+
PG51bWJlcj4zPC9udW1iZXI+PGVkaXRpb24+MjAwOS8xMC8zMTwvZWRpdGlvbj48a2V5d29yZHM+
PGtleXdvcmQ+QWNjaWRlbnRzL2NsYXNzaWZpY2F0aW9uPC9rZXl3b3JkPjxrZXl3b3JkPkF1c3Ry
YWxpYTwva2V5d29yZD48a2V5d29yZD5DbGluaWNhbCBDb2RpbmcvKmNsYXNzaWZpY2F0aW9uL3N0
YW5kYXJkczwva2V5d29yZD48a2V5d29yZD5EYXRhIEludGVycHJldGF0aW9uLCBTdGF0aXN0aWNh
bDwva2V5d29yZD48a2V5d29yZD5GZW1hbGU8L2tleXdvcmQ+PGtleXdvcmQ+SHVtYW5zPC9rZXl3
b3JkPjxrZXl3b3JkPkludGVybmF0aW9uYWwgQ2xhc3NpZmljYXRpb24gb2YgRGlzZWFzZXMvKmNs
YXNzaWZpY2F0aW9uPC9rZXl3b3JkPjxrZXl3b3JkPk1lZGljYWwgRXJyb3JzLypjbGFzc2lmaWNh
dGlvbjwva2V5d29yZD48a2V5d29yZD5PYnN0ZXRyaWMgTGFib3IgQ29tcGxpY2F0aW9ucy9jbGFz
c2lmaWNhdGlvbjwva2V5d29yZD48a2V5d29yZD5PdXRjb21lIEFzc2Vzc21lbnQgKEhlYWx0aCBD
YXJlKS8qY2xhc3NpZmljYXRpb248L2tleXdvcmQ+PGtleXdvcmQ+UGF0aWVudCBBZG1pc3Npb24v
c3RhbmRhcmRzL3N0YXRpc3RpY3MgJmFtcDsgbnVtZXJpY2FsIGRhdGE8L2tleXdvcmQ+PGtleXdv
cmQ+UHJlZ25hbmN5PC9rZXl3b3JkPjxrZXl3b3JkPlNhZmV0eSBNYW5hZ2VtZW50L21ldGhvZHMv
c3RhbmRhcmRzPC9rZXl3b3JkPjxrZXl3b3JkPlZpY3RvcmlhPC9rZXl3b3JkPjwva2V5d29yZHM+
PGRhdGVzPjx5ZWFyPjIwMDk8L3llYXI+PC9kYXRlcz48aXNibj4xODMzLTM1NzUgKEVsZWN0cm9u
aWMpJiN4RDsxODMzLTM1ODMgKExpbmtpbmcpPC9pc2JuPjxhY2Nlc3Npb24tbnVtPjE5ODc1ODUx
PC9hY2Nlc3Npb24tbnVtPjx3b3JrLXR5cGU+UmVzZWFyY2ggU3VwcG9ydCwgTm9uLVUuUy4gR292
JmFwb3M7dDwvd29yay10eXBlPjx1cmxzPjxyZWxhdGVkLXVybHM+PHVybD5odHRwOi8vd3d3Lm5j
YmkubmxtLm5paC5nb3YvcHVibWVkLzE5ODc1ODUxPC91cmw+PC9yZWxhdGVkLXVybHM+PC91cmxz
PjxsYW5ndWFnZT5lbmc8L2xhbmd1YWdlPjwvcmVjb3JkPjwvQ2l0ZT48L0VuZE5vdGU+AG==
</w:fldData>
          </w:fldChar>
        </w:r>
        <w:r w:rsidR="00C33CAE">
          <w:instrText xml:space="preserve"> ADDIN EN.CITE </w:instrText>
        </w:r>
        <w:r w:rsidR="00C33CAE">
          <w:fldChar w:fldCharType="begin">
            <w:fldData xml:space="preserve">PEVuZE5vdGU+PENpdGU+PEF1dGhvcj5NaWNoZWw8L0F1dGhvcj48WWVhcj4yMDA5PC9ZZWFyPjxS
ZWNOdW0+OTwvUmVjTnVtPjxEaXNwbGF5VGV4dD5NaWNoZWwgZXQgYWwuLCAyMDA5PC9EaXNwbGF5
VGV4dD48cmVjb3JkPjxyZWMtbnVtYmVyPjk8L3JlYy1udW1iZXI+PGZvcmVpZ24ta2V5cz48a2V5
IGFwcD0iRU4iIGRiLWlkPSI5MnRmdHQ1djJhcnhkNmU5d3pyNTB3MncwcnowZXB4MDk5ZnQiIHRp
bWVzdGFtcD0iMTM3MTQzNDMyOCI+OTwva2V5PjwvZm9yZWlnbi1rZXlzPjxyZWYtdHlwZSBuYW1l
PSJKb3VybmFsIEFydGljbGUiPjE3PC9yZWYtdHlwZT48Y29udHJpYnV0b3JzPjxhdXRob3JzPjxh
dXRob3I+TWljaGVsLCBKLjwvYXV0aG9yPjxhdXRob3I+TmdoaWVtLCBILiBELjwvYXV0aG9yPjxh
dXRob3I+SmFja3NvbiwgVC4gSi48L2F1dGhvcj48L2F1dGhvcnM+PC9jb250cmlidXRvcnM+PGF1
dGgtYWRkcmVzcz5BdXN0cmFsaWFuIENlbnRyZSBmb3IgRWNvbm9taWMgUmVzZWFyY2ggb24gSGVh
bHRoLCBVbml2ZXJzaXR5IG9mIFF1ZWVuc2xhbmQgU2Nob29sIG9mIE1lZGljaW5lLCBIZXJzdG9u
LCBRTEQsIEF1c3RyYWxpYS4ganVkaXRoLm1pY2hlbEB1cS5lZHUuYXU8L2F1dGgtYWRkcmVzcz48
dGl0bGVzPjx0aXRsZT5Vc2luZyBJQ0QtMTAtQU0gY29kZXMgdG8gY2hhcmFjdGVyaXNlIGhvc3Bp
dGFsLWFjcXVpcmVkIGNvbXBsaWNhdGlvbnM8L3RpdGxlPjxzZWNvbmRhcnktdGl0bGU+SElNIEo8
L3NlY29uZGFyeS10aXRsZT48YWx0LXRpdGxlPlRoZSBISU0gam91cm5hbDwvYWx0LXRpdGxlPjwv
dGl0bGVzPjxwZXJpb2RpY2FsPjxmdWxsLXRpdGxlPkhJTSBKPC9mdWxsLXRpdGxlPjxhYmJyLTE+
VGhlIEhJTSBqb3VybmFsPC9hYmJyLTE+PC9wZXJpb2RpY2FsPjxhbHQtcGVyaW9kaWNhbD48ZnVs
bC10aXRsZT5ISU0gSjwvZnVsbC10aXRsZT48YWJici0xPlRoZSBISU0gam91cm5hbDwvYWJici0x
PjwvYWx0LXBlcmlvZGljYWw+PHBhZ2VzPjE4LTI1PC9wYWdlcz48dm9sdW1lPjM4PC92b2x1bWU+
PG51bWJlcj4zPC9udW1iZXI+PGVkaXRpb24+MjAwOS8xMC8zMTwvZWRpdGlvbj48a2V5d29yZHM+
PGtleXdvcmQ+QWNjaWRlbnRzL2NsYXNzaWZpY2F0aW9uPC9rZXl3b3JkPjxrZXl3b3JkPkF1c3Ry
YWxpYTwva2V5d29yZD48a2V5d29yZD5DbGluaWNhbCBDb2RpbmcvKmNsYXNzaWZpY2F0aW9uL3N0
YW5kYXJkczwva2V5d29yZD48a2V5d29yZD5EYXRhIEludGVycHJldGF0aW9uLCBTdGF0aXN0aWNh
bDwva2V5d29yZD48a2V5d29yZD5GZW1hbGU8L2tleXdvcmQ+PGtleXdvcmQ+SHVtYW5zPC9rZXl3
b3JkPjxrZXl3b3JkPkludGVybmF0aW9uYWwgQ2xhc3NpZmljYXRpb24gb2YgRGlzZWFzZXMvKmNs
YXNzaWZpY2F0aW9uPC9rZXl3b3JkPjxrZXl3b3JkPk1lZGljYWwgRXJyb3JzLypjbGFzc2lmaWNh
dGlvbjwva2V5d29yZD48a2V5d29yZD5PYnN0ZXRyaWMgTGFib3IgQ29tcGxpY2F0aW9ucy9jbGFz
c2lmaWNhdGlvbjwva2V5d29yZD48a2V5d29yZD5PdXRjb21lIEFzc2Vzc21lbnQgKEhlYWx0aCBD
YXJlKS8qY2xhc3NpZmljYXRpb248L2tleXdvcmQ+PGtleXdvcmQ+UGF0aWVudCBBZG1pc3Npb24v
c3RhbmRhcmRzL3N0YXRpc3RpY3MgJmFtcDsgbnVtZXJpY2FsIGRhdGE8L2tleXdvcmQ+PGtleXdv
cmQ+UHJlZ25hbmN5PC9rZXl3b3JkPjxrZXl3b3JkPlNhZmV0eSBNYW5hZ2VtZW50L21ldGhvZHMv
c3RhbmRhcmRzPC9rZXl3b3JkPjxrZXl3b3JkPlZpY3RvcmlhPC9rZXl3b3JkPjwva2V5d29yZHM+
PGRhdGVzPjx5ZWFyPjIwMDk8L3llYXI+PC9kYXRlcz48aXNibj4xODMzLTM1NzUgKEVsZWN0cm9u
aWMpJiN4RDsxODMzLTM1ODMgKExpbmtpbmcpPC9pc2JuPjxhY2Nlc3Npb24tbnVtPjE5ODc1ODUx
PC9hY2Nlc3Npb24tbnVtPjx3b3JrLXR5cGU+UmVzZWFyY2ggU3VwcG9ydCwgTm9uLVUuUy4gR292
JmFwb3M7dDwvd29yay10eXBlPjx1cmxzPjxyZWxhdGVkLXVybHM+PHVybD5odHRwOi8vd3d3Lm5j
YmkubmxtLm5paC5nb3YvcHVibWVkLzE5ODc1ODUxPC91cmw+PC9yZWxhdGVkLXVybHM+PC91cmxz
PjxsYW5ndWFnZT5lbmc8L2xhbmd1YWdlPjwvcmVjb3JkPjwvQ2l0ZT48L0VuZE5vdGU+AG==
</w:fldData>
          </w:fldChar>
        </w:r>
        <w:r w:rsidR="00C33CAE">
          <w:instrText xml:space="preserve"> ADDIN EN.CITE.DATA </w:instrText>
        </w:r>
        <w:r w:rsidR="00C33CAE">
          <w:fldChar w:fldCharType="end"/>
        </w:r>
        <w:r w:rsidR="00C33CAE" w:rsidRPr="000C1520">
          <w:fldChar w:fldCharType="separate"/>
        </w:r>
        <w:r w:rsidR="00C33CAE">
          <w:rPr>
            <w:noProof/>
          </w:rPr>
          <w:t>Michel et al., 2009</w:t>
        </w:r>
        <w:r w:rsidR="00C33CAE" w:rsidRPr="000C1520">
          <w:fldChar w:fldCharType="end"/>
        </w:r>
      </w:hyperlink>
      <w:r w:rsidRPr="000C1520">
        <w:t xml:space="preserve">). While there are national standards to guide how coders should sequence the recording of these additional codes (i.e. the </w:t>
      </w:r>
      <w:r w:rsidRPr="000C1520">
        <w:rPr>
          <w:i/>
        </w:rPr>
        <w:t>Australian Coding Standards</w:t>
      </w:r>
      <w:r w:rsidRPr="000C1520">
        <w:t xml:space="preserve">, </w:t>
      </w:r>
      <w:hyperlink w:anchor="_ENREF_24" w:tooltip="National Casemix and Classification Centre, 2012 #118" w:history="1">
        <w:r w:rsidR="00C33CAE" w:rsidRPr="000C1520">
          <w:fldChar w:fldCharType="begin"/>
        </w:r>
        <w:r w:rsidR="00C33CAE">
          <w:instrText xml:space="preserve"> ADDIN EN.CITE &lt;EndNote&gt;&lt;Cite&gt;&lt;Author&gt;National Casemix and Classification Centre&lt;/Author&gt;&lt;Year&gt;2012&lt;/Year&gt;&lt;RecNum&gt;118&lt;/RecNum&gt;&lt;DisplayText&gt;National Casemix and Classification Centre, 2012&lt;/DisplayText&gt;&lt;record&gt;&lt;rec-number&gt;118&lt;/rec-number&gt;&lt;foreign-keys&gt;&lt;key app="EN" db-id="92tftt5v2arxd6e9wzr50w2w0rz0epx099ft" timestamp="1379393026"&gt;118&lt;/key&gt;&lt;/foreign-keys&gt;&lt;ref-type name="Report"&gt;27&lt;/ref-type&gt;&lt;contributors&gt;&lt;authors&gt;&lt;author&gt;National Casemix and Classification Centre,,&lt;/author&gt;&lt;/authors&gt;&lt;/contributors&gt;&lt;titles&gt;&lt;title&gt;Australian Coding Standards&lt;/title&gt;&lt;/titles&gt;&lt;dates&gt;&lt;year&gt;2012&lt;/year&gt;&lt;/dates&gt;&lt;pub-location&gt;Sydney&lt;/pub-location&gt;&lt;publisher&gt;NCCC&lt;/publisher&gt;&lt;urls&gt;&lt;/urls&gt;&lt;/record&gt;&lt;/Cite&gt;&lt;/EndNote&gt;</w:instrText>
        </w:r>
        <w:r w:rsidR="00C33CAE" w:rsidRPr="000C1520">
          <w:fldChar w:fldCharType="separate"/>
        </w:r>
        <w:r w:rsidR="00C33CAE">
          <w:rPr>
            <w:noProof/>
          </w:rPr>
          <w:t>National Casemix and Classification Centre, 2012</w:t>
        </w:r>
        <w:r w:rsidR="00C33CAE" w:rsidRPr="000C1520">
          <w:fldChar w:fldCharType="end"/>
        </w:r>
      </w:hyperlink>
      <w:r w:rsidRPr="000C1520">
        <w:t>), there remains room for ambiguity in the interpretation in some instances.  Also, some ICD-10-AM codes represent two concepts within one code, of which one concept may be present on admission and the other arising following admission. An example is E10.64 Type 1 diabetes mellitus with hypoglycaemia (</w:t>
      </w:r>
      <w:hyperlink w:anchor="_ENREF_19" w:tooltip="Jackson, 2009 #3" w:history="1">
        <w:r w:rsidR="00C33CAE" w:rsidRPr="000C1520">
          <w:fldChar w:fldCharType="begin">
            <w:fldData xml:space="preserve">PEVuZE5vdGU+PENpdGU+PEF1dGhvcj5KYWNrc29uPC9BdXRob3I+PFllYXI+MjAwOTwvWWVhcj48
UmVjTnVtPjM8L1JlY051bT48RGlzcGxheVRleHQ+SmFja3NvbiwgTWljaGVsLCBSb2JlcnRzLCBT
aGVwaGVhcmQsIGV0IGFsLiwgMjAwOTwvRGlzcGxheVRleHQ+PHJlY29yZD48cmVjLW51bWJlcj4z
PC9yZWMtbnVtYmVyPjxmb3JlaWduLWtleXM+PGtleSBhcHA9IkVOIiBkYi1pZD0iOTJ0ZnR0NXYy
YXJ4ZDZlOXd6cjUwdzJ3MHJ6MGVweDA5OWZ0IiB0aW1lc3RhbXA9IjEzNzE0MzQxMDgiPjM8L2tl
eT48L2ZvcmVpZ24ta2V5cz48cmVmLXR5cGUgbmFtZT0iSm91cm5hbCBBcnRpY2xlIj4xNzwvcmVm
LXR5cGU+PGNvbnRyaWJ1dG9ycz48YXV0aG9ycz48YXV0aG9yPkphY2tzb24sIFQ8L2F1dGhvcj48
YXV0aG9yPk1pY2hlbCwgSi4gTDwvYXV0aG9yPjxhdXRob3I+Um9iZXJ0cywgUjwvYXV0aG9yPjxh
dXRob3I+U2hlcGhlYXJkLCBKPC9hdXRob3I+PGF1dGhvcj5DaGVuZywgRDwvYXV0aG9yPjxhdXRo
b3I+UnVzdCwgSjwvYXV0aG9yPjxhdXRob3I+UGVycnksIEM8L2F1dGhvcj48L2F1dGhvcnM+PC9j
b250cmlidXRvcnM+PGF1dGgtYWRkcmVzcz5BdXN0cmFsaWFuIENlbnRyZSBmb3IgRWNvbm9taWMg
UmVzZWFyY2ggb24gSGVhbHRoLCBTY2hvb2wgb2YgTWVkaWNpbmUsIFVuaXZlcnNpdHkgb2YgUXVl
ZW5zbGFuZCwgQnJpc2JhbmUsIEF1c3RyYWxpYS4gdC5qYWNrc29uQHVxLmVkdS5hdTwvYXV0aC1h
ZGRyZXNzPjx0aXRsZXM+PHRpdGxlPkRldmVsb3BtZW50IG9mIGEgdmFsaWRhdGlvbiBhbGdvcml0
aG0gZm9yICZhcG9zO3ByZXNlbnQgb24gYWRtaXNzaW9uJmFwb3M7IGZsYWdnaW5nPC90aXRsZT48
c2Vjb25kYXJ5LXRpdGxlPkJNQyBNZWQgSW5mb3JtIERlY2lzIE1hazwvc2Vjb25kYXJ5LXRpdGxl
PjxhbHQtdGl0bGU+Qk1DIG1lZGljYWwgaW5mb3JtYXRpY3MgYW5kIGRlY2lzaW9uIG1ha2luZzwv
YWx0LXRpdGxlPjwvdGl0bGVzPjxwZXJpb2RpY2FsPjxmdWxsLXRpdGxlPkJNQyBNZWQgSW5mb3Jt
IERlY2lzIE1hazwvZnVsbC10aXRsZT48YWJici0xPkJNQyBtZWRpY2FsIGluZm9ybWF0aWNzIGFu
ZCBkZWNpc2lvbiBtYWtpbmc8L2FiYnItMT48L3BlcmlvZGljYWw+PGFsdC1wZXJpb2RpY2FsPjxm
dWxsLXRpdGxlPkJNQyBNZWQgSW5mb3JtIERlY2lzIE1hazwvZnVsbC10aXRsZT48YWJici0xPkJN
QyBtZWRpY2FsIGluZm9ybWF0aWNzIGFuZCBkZWNpc2lvbiBtYWtpbmc8L2FiYnItMT48L2FsdC1w
ZXJpb2RpY2FsPjxwYWdlcz40ODwvcGFnZXM+PHZvbHVtZT45PC92b2x1bWU+PGVkaXRpb24+MjAw
OS8xMi8wMzwvZWRpdGlvbj48a2V5d29yZHM+PGtleXdvcmQ+KkFsZ29yaXRobXM8L2tleXdvcmQ+
PGtleXdvcmQ+QXVzdHJhbGlhPC9rZXl3b3JkPjxrZXl3b3JkPkNvbW9yYmlkaXR5PC9rZXl3b3Jk
PjxrZXl3b3JkPkRpYWdub3Npczwva2V5d29yZD48a2V5d29yZD5FcGlzb2RlIG9mIENhcmU8L2tl
eXdvcmQ+PGtleXdvcmQ+RmVtYWxlPC9rZXl3b3JkPjxrZXl3b3JkPkh1bWFuczwva2V5d29yZD48
a2V5d29yZD5JbnRlcm5hdGlvbmFsIENsYXNzaWZpY2F0aW9uIG9mIERpc2Vhc2VzPC9rZXl3b3Jk
PjxrZXl3b3JkPk1hbGU8L2tleXdvcmQ+PGtleXdvcmQ+KlBhdGllbnQgQWRtaXNzaW9uPC9rZXl3
b3JkPjxrZXl3b3JkPlF1YWxpdHkgb2YgSGVhbHRoIENhcmU8L2tleXdvcmQ+PC9rZXl3b3Jkcz48
ZGF0ZXM+PHllYXI+MjAwOTwveWVhcj48L2RhdGVzPjxpc2JuPjE0NzItNjk0NyAoRWxlY3Ryb25p
YykmI3hEOzE0NzItNjk0NyAoTGlua2luZyk8L2lzYm4+PGFjY2Vzc2lvbi1udW0+MTk5NTE0MzA8
L2FjY2Vzc2lvbi1udW0+PHVybHM+PHJlbGF0ZWQtdXJscz48dXJsPmh0dHA6Ly93d3cubmNiaS5u
bG0ubmloLmdvdi9wdWJtZWQvMTk5NTE0MzA8L3VybD48dXJsPmh0dHA6Ly93d3cuYmlvbWVkY2Vu
dHJhbC5jb20vY29udGVudC9wZGYvMTQ3Mi02OTQ3LTktNDgucGRmPC91cmw+PC9yZWxhdGVkLXVy
bHM+PC91cmxzPjxjdXN0b20yPjI3OTMyNDQ8L2N1c3RvbTI+PGVsZWN0cm9uaWMtcmVzb3VyY2Ut
bnVtPjEwLjExODYvMTQ3Mi02OTQ3LTktNDg8L2VsZWN0cm9uaWMtcmVzb3VyY2UtbnVtPjxsYW5n
dWFnZT5lbmc8L2xhbmd1YWdlPjwvcmVjb3JkPjwvQ2l0ZT48L0VuZE5vdGU+
</w:fldData>
          </w:fldChar>
        </w:r>
        <w:r w:rsidR="00C33CAE">
          <w:instrText xml:space="preserve"> ADDIN EN.CITE </w:instrText>
        </w:r>
        <w:r w:rsidR="00C33CAE">
          <w:fldChar w:fldCharType="begin">
            <w:fldData xml:space="preserve">PEVuZE5vdGU+PENpdGU+PEF1dGhvcj5KYWNrc29uPC9BdXRob3I+PFllYXI+MjAwOTwvWWVhcj48
UmVjTnVtPjM8L1JlY051bT48RGlzcGxheVRleHQ+SmFja3NvbiwgTWljaGVsLCBSb2JlcnRzLCBT
aGVwaGVhcmQsIGV0IGFsLiwgMjAwOTwvRGlzcGxheVRleHQ+PHJlY29yZD48cmVjLW51bWJlcj4z
PC9yZWMtbnVtYmVyPjxmb3JlaWduLWtleXM+PGtleSBhcHA9IkVOIiBkYi1pZD0iOTJ0ZnR0NXYy
YXJ4ZDZlOXd6cjUwdzJ3MHJ6MGVweDA5OWZ0IiB0aW1lc3RhbXA9IjEzNzE0MzQxMDgiPjM8L2tl
eT48L2ZvcmVpZ24ta2V5cz48cmVmLXR5cGUgbmFtZT0iSm91cm5hbCBBcnRpY2xlIj4xNzwvcmVm
LXR5cGU+PGNvbnRyaWJ1dG9ycz48YXV0aG9ycz48YXV0aG9yPkphY2tzb24sIFQ8L2F1dGhvcj48
YXV0aG9yPk1pY2hlbCwgSi4gTDwvYXV0aG9yPjxhdXRob3I+Um9iZXJ0cywgUjwvYXV0aG9yPjxh
dXRob3I+U2hlcGhlYXJkLCBKPC9hdXRob3I+PGF1dGhvcj5DaGVuZywgRDwvYXV0aG9yPjxhdXRo
b3I+UnVzdCwgSjwvYXV0aG9yPjxhdXRob3I+UGVycnksIEM8L2F1dGhvcj48L2F1dGhvcnM+PC9j
b250cmlidXRvcnM+PGF1dGgtYWRkcmVzcz5BdXN0cmFsaWFuIENlbnRyZSBmb3IgRWNvbm9taWMg
UmVzZWFyY2ggb24gSGVhbHRoLCBTY2hvb2wgb2YgTWVkaWNpbmUsIFVuaXZlcnNpdHkgb2YgUXVl
ZW5zbGFuZCwgQnJpc2JhbmUsIEF1c3RyYWxpYS4gdC5qYWNrc29uQHVxLmVkdS5hdTwvYXV0aC1h
ZGRyZXNzPjx0aXRsZXM+PHRpdGxlPkRldmVsb3BtZW50IG9mIGEgdmFsaWRhdGlvbiBhbGdvcml0
aG0gZm9yICZhcG9zO3ByZXNlbnQgb24gYWRtaXNzaW9uJmFwb3M7IGZsYWdnaW5nPC90aXRsZT48
c2Vjb25kYXJ5LXRpdGxlPkJNQyBNZWQgSW5mb3JtIERlY2lzIE1hazwvc2Vjb25kYXJ5LXRpdGxl
PjxhbHQtdGl0bGU+Qk1DIG1lZGljYWwgaW5mb3JtYXRpY3MgYW5kIGRlY2lzaW9uIG1ha2luZzwv
YWx0LXRpdGxlPjwvdGl0bGVzPjxwZXJpb2RpY2FsPjxmdWxsLXRpdGxlPkJNQyBNZWQgSW5mb3Jt
IERlY2lzIE1hazwvZnVsbC10aXRsZT48YWJici0xPkJNQyBtZWRpY2FsIGluZm9ybWF0aWNzIGFu
ZCBkZWNpc2lvbiBtYWtpbmc8L2FiYnItMT48L3BlcmlvZGljYWw+PGFsdC1wZXJpb2RpY2FsPjxm
dWxsLXRpdGxlPkJNQyBNZWQgSW5mb3JtIERlY2lzIE1hazwvZnVsbC10aXRsZT48YWJici0xPkJN
QyBtZWRpY2FsIGluZm9ybWF0aWNzIGFuZCBkZWNpc2lvbiBtYWtpbmc8L2FiYnItMT48L2FsdC1w
ZXJpb2RpY2FsPjxwYWdlcz40ODwvcGFnZXM+PHZvbHVtZT45PC92b2x1bWU+PGVkaXRpb24+MjAw
OS8xMi8wMzwvZWRpdGlvbj48a2V5d29yZHM+PGtleXdvcmQ+KkFsZ29yaXRobXM8L2tleXdvcmQ+
PGtleXdvcmQ+QXVzdHJhbGlhPC9rZXl3b3JkPjxrZXl3b3JkPkNvbW9yYmlkaXR5PC9rZXl3b3Jk
PjxrZXl3b3JkPkRpYWdub3Npczwva2V5d29yZD48a2V5d29yZD5FcGlzb2RlIG9mIENhcmU8L2tl
eXdvcmQ+PGtleXdvcmQ+RmVtYWxlPC9rZXl3b3JkPjxrZXl3b3JkPkh1bWFuczwva2V5d29yZD48
a2V5d29yZD5JbnRlcm5hdGlvbmFsIENsYXNzaWZpY2F0aW9uIG9mIERpc2Vhc2VzPC9rZXl3b3Jk
PjxrZXl3b3JkPk1hbGU8L2tleXdvcmQ+PGtleXdvcmQ+KlBhdGllbnQgQWRtaXNzaW9uPC9rZXl3
b3JkPjxrZXl3b3JkPlF1YWxpdHkgb2YgSGVhbHRoIENhcmU8L2tleXdvcmQ+PC9rZXl3b3Jkcz48
ZGF0ZXM+PHllYXI+MjAwOTwveWVhcj48L2RhdGVzPjxpc2JuPjE0NzItNjk0NyAoRWxlY3Ryb25p
YykmI3hEOzE0NzItNjk0NyAoTGlua2luZyk8L2lzYm4+PGFjY2Vzc2lvbi1udW0+MTk5NTE0MzA8
L2FjY2Vzc2lvbi1udW0+PHVybHM+PHJlbGF0ZWQtdXJscz48dXJsPmh0dHA6Ly93d3cubmNiaS5u
bG0ubmloLmdvdi9wdWJtZWQvMTk5NTE0MzA8L3VybD48dXJsPmh0dHA6Ly93d3cuYmlvbWVkY2Vu
dHJhbC5jb20vY29udGVudC9wZGYvMTQ3Mi02OTQ3LTktNDgucGRmPC91cmw+PC9yZWxhdGVkLXVy
bHM+PC91cmxzPjxjdXN0b20yPjI3OTMyNDQ8L2N1c3RvbTI+PGVsZWN0cm9uaWMtcmVzb3VyY2Ut
bnVtPjEwLjExODYvMTQ3Mi02OTQ3LTktNDg8L2VsZWN0cm9uaWMtcmVzb3VyY2UtbnVtPjxsYW5n
dWFnZT5lbmc8L2xhbmd1YWdlPjwvcmVjb3JkPjwvQ2l0ZT48L0VuZE5vdGU+
</w:fldData>
          </w:fldChar>
        </w:r>
        <w:r w:rsidR="00C33CAE">
          <w:instrText xml:space="preserve"> ADDIN EN.CITE.DATA </w:instrText>
        </w:r>
        <w:r w:rsidR="00C33CAE">
          <w:fldChar w:fldCharType="end"/>
        </w:r>
        <w:r w:rsidR="00C33CAE" w:rsidRPr="000C1520">
          <w:fldChar w:fldCharType="separate"/>
        </w:r>
        <w:r w:rsidR="00C33CAE">
          <w:rPr>
            <w:noProof/>
          </w:rPr>
          <w:t>Jackson, Michel, Roberts, Shepheard, et al., 2009</w:t>
        </w:r>
        <w:r w:rsidR="00C33CAE" w:rsidRPr="000C1520">
          <w:fldChar w:fldCharType="end"/>
        </w:r>
      </w:hyperlink>
      <w:r w:rsidRPr="000C1520">
        <w:t>). There are coding conventions in some of these situations that allow for two codes to be recorded, one of which may be flagged as occurring after admission.  However, there are a number of areas where interpretation is potentially ambiguous (</w:t>
      </w:r>
      <w:hyperlink w:anchor="_ENREF_19" w:tooltip="Jackson, 2009 #3" w:history="1">
        <w:r w:rsidR="00C33CAE" w:rsidRPr="000C1520">
          <w:fldChar w:fldCharType="begin">
            <w:fldData xml:space="preserve">PEVuZE5vdGU+PENpdGU+PEF1dGhvcj5KYWNrc29uPC9BdXRob3I+PFllYXI+MjAwOTwvWWVhcj48
UmVjTnVtPjM8L1JlY051bT48RGlzcGxheVRleHQ+SmFja3NvbiwgTWljaGVsLCBSb2JlcnRzLCBT
aGVwaGVhcmQsIGV0IGFsLiwgMjAwOTwvRGlzcGxheVRleHQ+PHJlY29yZD48cmVjLW51bWJlcj4z
PC9yZWMtbnVtYmVyPjxmb3JlaWduLWtleXM+PGtleSBhcHA9IkVOIiBkYi1pZD0iOTJ0ZnR0NXYy
YXJ4ZDZlOXd6cjUwdzJ3MHJ6MGVweDA5OWZ0IiB0aW1lc3RhbXA9IjEzNzE0MzQxMDgiPjM8L2tl
eT48L2ZvcmVpZ24ta2V5cz48cmVmLXR5cGUgbmFtZT0iSm91cm5hbCBBcnRpY2xlIj4xNzwvcmVm
LXR5cGU+PGNvbnRyaWJ1dG9ycz48YXV0aG9ycz48YXV0aG9yPkphY2tzb24sIFQ8L2F1dGhvcj48
YXV0aG9yPk1pY2hlbCwgSi4gTDwvYXV0aG9yPjxhdXRob3I+Um9iZXJ0cywgUjwvYXV0aG9yPjxh
dXRob3I+U2hlcGhlYXJkLCBKPC9hdXRob3I+PGF1dGhvcj5DaGVuZywgRDwvYXV0aG9yPjxhdXRo
b3I+UnVzdCwgSjwvYXV0aG9yPjxhdXRob3I+UGVycnksIEM8L2F1dGhvcj48L2F1dGhvcnM+PC9j
b250cmlidXRvcnM+PGF1dGgtYWRkcmVzcz5BdXN0cmFsaWFuIENlbnRyZSBmb3IgRWNvbm9taWMg
UmVzZWFyY2ggb24gSGVhbHRoLCBTY2hvb2wgb2YgTWVkaWNpbmUsIFVuaXZlcnNpdHkgb2YgUXVl
ZW5zbGFuZCwgQnJpc2JhbmUsIEF1c3RyYWxpYS4gdC5qYWNrc29uQHVxLmVkdS5hdTwvYXV0aC1h
ZGRyZXNzPjx0aXRsZXM+PHRpdGxlPkRldmVsb3BtZW50IG9mIGEgdmFsaWRhdGlvbiBhbGdvcml0
aG0gZm9yICZhcG9zO3ByZXNlbnQgb24gYWRtaXNzaW9uJmFwb3M7IGZsYWdnaW5nPC90aXRsZT48
c2Vjb25kYXJ5LXRpdGxlPkJNQyBNZWQgSW5mb3JtIERlY2lzIE1hazwvc2Vjb25kYXJ5LXRpdGxl
PjxhbHQtdGl0bGU+Qk1DIG1lZGljYWwgaW5mb3JtYXRpY3MgYW5kIGRlY2lzaW9uIG1ha2luZzwv
YWx0LXRpdGxlPjwvdGl0bGVzPjxwZXJpb2RpY2FsPjxmdWxsLXRpdGxlPkJNQyBNZWQgSW5mb3Jt
IERlY2lzIE1hazwvZnVsbC10aXRsZT48YWJici0xPkJNQyBtZWRpY2FsIGluZm9ybWF0aWNzIGFu
ZCBkZWNpc2lvbiBtYWtpbmc8L2FiYnItMT48L3BlcmlvZGljYWw+PGFsdC1wZXJpb2RpY2FsPjxm
dWxsLXRpdGxlPkJNQyBNZWQgSW5mb3JtIERlY2lzIE1hazwvZnVsbC10aXRsZT48YWJici0xPkJN
QyBtZWRpY2FsIGluZm9ybWF0aWNzIGFuZCBkZWNpc2lvbiBtYWtpbmc8L2FiYnItMT48L2FsdC1w
ZXJpb2RpY2FsPjxwYWdlcz40ODwvcGFnZXM+PHZvbHVtZT45PC92b2x1bWU+PGVkaXRpb24+MjAw
OS8xMi8wMzwvZWRpdGlvbj48a2V5d29yZHM+PGtleXdvcmQ+KkFsZ29yaXRobXM8L2tleXdvcmQ+
PGtleXdvcmQ+QXVzdHJhbGlhPC9rZXl3b3JkPjxrZXl3b3JkPkNvbW9yYmlkaXR5PC9rZXl3b3Jk
PjxrZXl3b3JkPkRpYWdub3Npczwva2V5d29yZD48a2V5d29yZD5FcGlzb2RlIG9mIENhcmU8L2tl
eXdvcmQ+PGtleXdvcmQ+RmVtYWxlPC9rZXl3b3JkPjxrZXl3b3JkPkh1bWFuczwva2V5d29yZD48
a2V5d29yZD5JbnRlcm5hdGlvbmFsIENsYXNzaWZpY2F0aW9uIG9mIERpc2Vhc2VzPC9rZXl3b3Jk
PjxrZXl3b3JkPk1hbGU8L2tleXdvcmQ+PGtleXdvcmQ+KlBhdGllbnQgQWRtaXNzaW9uPC9rZXl3
b3JkPjxrZXl3b3JkPlF1YWxpdHkgb2YgSGVhbHRoIENhcmU8L2tleXdvcmQ+PC9rZXl3b3Jkcz48
ZGF0ZXM+PHllYXI+MjAwOTwveWVhcj48L2RhdGVzPjxpc2JuPjE0NzItNjk0NyAoRWxlY3Ryb25p
YykmI3hEOzE0NzItNjk0NyAoTGlua2luZyk8L2lzYm4+PGFjY2Vzc2lvbi1udW0+MTk5NTE0MzA8
L2FjY2Vzc2lvbi1udW0+PHVybHM+PHJlbGF0ZWQtdXJscz48dXJsPmh0dHA6Ly93d3cubmNiaS5u
bG0ubmloLmdvdi9wdWJtZWQvMTk5NTE0MzA8L3VybD48dXJsPmh0dHA6Ly93d3cuYmlvbWVkY2Vu
dHJhbC5jb20vY29udGVudC9wZGYvMTQ3Mi02OTQ3LTktNDgucGRmPC91cmw+PC9yZWxhdGVkLXVy
bHM+PC91cmxzPjxjdXN0b20yPjI3OTMyNDQ8L2N1c3RvbTI+PGVsZWN0cm9uaWMtcmVzb3VyY2Ut
bnVtPjEwLjExODYvMTQ3Mi02OTQ3LTktNDg8L2VsZWN0cm9uaWMtcmVzb3VyY2UtbnVtPjxsYW5n
dWFnZT5lbmc8L2xhbmd1YWdlPjwvcmVjb3JkPjwvQ2l0ZT48L0VuZE5vdGU+
</w:fldData>
          </w:fldChar>
        </w:r>
        <w:r w:rsidR="00C33CAE">
          <w:instrText xml:space="preserve"> ADDIN EN.CITE </w:instrText>
        </w:r>
        <w:r w:rsidR="00C33CAE">
          <w:fldChar w:fldCharType="begin">
            <w:fldData xml:space="preserve">PEVuZE5vdGU+PENpdGU+PEF1dGhvcj5KYWNrc29uPC9BdXRob3I+PFllYXI+MjAwOTwvWWVhcj48
UmVjTnVtPjM8L1JlY051bT48RGlzcGxheVRleHQ+SmFja3NvbiwgTWljaGVsLCBSb2JlcnRzLCBT
aGVwaGVhcmQsIGV0IGFsLiwgMjAwOTwvRGlzcGxheVRleHQ+PHJlY29yZD48cmVjLW51bWJlcj4z
PC9yZWMtbnVtYmVyPjxmb3JlaWduLWtleXM+PGtleSBhcHA9IkVOIiBkYi1pZD0iOTJ0ZnR0NXYy
YXJ4ZDZlOXd6cjUwdzJ3MHJ6MGVweDA5OWZ0IiB0aW1lc3RhbXA9IjEzNzE0MzQxMDgiPjM8L2tl
eT48L2ZvcmVpZ24ta2V5cz48cmVmLXR5cGUgbmFtZT0iSm91cm5hbCBBcnRpY2xlIj4xNzwvcmVm
LXR5cGU+PGNvbnRyaWJ1dG9ycz48YXV0aG9ycz48YXV0aG9yPkphY2tzb24sIFQ8L2F1dGhvcj48
YXV0aG9yPk1pY2hlbCwgSi4gTDwvYXV0aG9yPjxhdXRob3I+Um9iZXJ0cywgUjwvYXV0aG9yPjxh
dXRob3I+U2hlcGhlYXJkLCBKPC9hdXRob3I+PGF1dGhvcj5DaGVuZywgRDwvYXV0aG9yPjxhdXRo
b3I+UnVzdCwgSjwvYXV0aG9yPjxhdXRob3I+UGVycnksIEM8L2F1dGhvcj48L2F1dGhvcnM+PC9j
b250cmlidXRvcnM+PGF1dGgtYWRkcmVzcz5BdXN0cmFsaWFuIENlbnRyZSBmb3IgRWNvbm9taWMg
UmVzZWFyY2ggb24gSGVhbHRoLCBTY2hvb2wgb2YgTWVkaWNpbmUsIFVuaXZlcnNpdHkgb2YgUXVl
ZW5zbGFuZCwgQnJpc2JhbmUsIEF1c3RyYWxpYS4gdC5qYWNrc29uQHVxLmVkdS5hdTwvYXV0aC1h
ZGRyZXNzPjx0aXRsZXM+PHRpdGxlPkRldmVsb3BtZW50IG9mIGEgdmFsaWRhdGlvbiBhbGdvcml0
aG0gZm9yICZhcG9zO3ByZXNlbnQgb24gYWRtaXNzaW9uJmFwb3M7IGZsYWdnaW5nPC90aXRsZT48
c2Vjb25kYXJ5LXRpdGxlPkJNQyBNZWQgSW5mb3JtIERlY2lzIE1hazwvc2Vjb25kYXJ5LXRpdGxl
PjxhbHQtdGl0bGU+Qk1DIG1lZGljYWwgaW5mb3JtYXRpY3MgYW5kIGRlY2lzaW9uIG1ha2luZzwv
YWx0LXRpdGxlPjwvdGl0bGVzPjxwZXJpb2RpY2FsPjxmdWxsLXRpdGxlPkJNQyBNZWQgSW5mb3Jt
IERlY2lzIE1hazwvZnVsbC10aXRsZT48YWJici0xPkJNQyBtZWRpY2FsIGluZm9ybWF0aWNzIGFu
ZCBkZWNpc2lvbiBtYWtpbmc8L2FiYnItMT48L3BlcmlvZGljYWw+PGFsdC1wZXJpb2RpY2FsPjxm
dWxsLXRpdGxlPkJNQyBNZWQgSW5mb3JtIERlY2lzIE1hazwvZnVsbC10aXRsZT48YWJici0xPkJN
QyBtZWRpY2FsIGluZm9ybWF0aWNzIGFuZCBkZWNpc2lvbiBtYWtpbmc8L2FiYnItMT48L2FsdC1w
ZXJpb2RpY2FsPjxwYWdlcz40ODwvcGFnZXM+PHZvbHVtZT45PC92b2x1bWU+PGVkaXRpb24+MjAw
OS8xMi8wMzwvZWRpdGlvbj48a2V5d29yZHM+PGtleXdvcmQ+KkFsZ29yaXRobXM8L2tleXdvcmQ+
PGtleXdvcmQ+QXVzdHJhbGlhPC9rZXl3b3JkPjxrZXl3b3JkPkNvbW9yYmlkaXR5PC9rZXl3b3Jk
PjxrZXl3b3JkPkRpYWdub3Npczwva2V5d29yZD48a2V5d29yZD5FcGlzb2RlIG9mIENhcmU8L2tl
eXdvcmQ+PGtleXdvcmQ+RmVtYWxlPC9rZXl3b3JkPjxrZXl3b3JkPkh1bWFuczwva2V5d29yZD48
a2V5d29yZD5JbnRlcm5hdGlvbmFsIENsYXNzaWZpY2F0aW9uIG9mIERpc2Vhc2VzPC9rZXl3b3Jk
PjxrZXl3b3JkPk1hbGU8L2tleXdvcmQ+PGtleXdvcmQ+KlBhdGllbnQgQWRtaXNzaW9uPC9rZXl3
b3JkPjxrZXl3b3JkPlF1YWxpdHkgb2YgSGVhbHRoIENhcmU8L2tleXdvcmQ+PC9rZXl3b3Jkcz48
ZGF0ZXM+PHllYXI+MjAwOTwveWVhcj48L2RhdGVzPjxpc2JuPjE0NzItNjk0NyAoRWxlY3Ryb25p
YykmI3hEOzE0NzItNjk0NyAoTGlua2luZyk8L2lzYm4+PGFjY2Vzc2lvbi1udW0+MTk5NTE0MzA8
L2FjY2Vzc2lvbi1udW0+PHVybHM+PHJlbGF0ZWQtdXJscz48dXJsPmh0dHA6Ly93d3cubmNiaS5u
bG0ubmloLmdvdi9wdWJtZWQvMTk5NTE0MzA8L3VybD48dXJsPmh0dHA6Ly93d3cuYmlvbWVkY2Vu
dHJhbC5jb20vY29udGVudC9wZGYvMTQ3Mi02OTQ3LTktNDgucGRmPC91cmw+PC9yZWxhdGVkLXVy
bHM+PC91cmxzPjxjdXN0b20yPjI3OTMyNDQ8L2N1c3RvbTI+PGVsZWN0cm9uaWMtcmVzb3VyY2Ut
bnVtPjEwLjExODYvMTQ3Mi02OTQ3LTktNDg8L2VsZWN0cm9uaWMtcmVzb3VyY2UtbnVtPjxsYW5n
dWFnZT5lbmc8L2xhbmd1YWdlPjwvcmVjb3JkPjwvQ2l0ZT48L0VuZE5vdGU+
</w:fldData>
          </w:fldChar>
        </w:r>
        <w:r w:rsidR="00C33CAE">
          <w:instrText xml:space="preserve"> ADDIN EN.CITE.DATA </w:instrText>
        </w:r>
        <w:r w:rsidR="00C33CAE">
          <w:fldChar w:fldCharType="end"/>
        </w:r>
        <w:r w:rsidR="00C33CAE" w:rsidRPr="000C1520">
          <w:fldChar w:fldCharType="separate"/>
        </w:r>
        <w:r w:rsidR="00C33CAE">
          <w:rPr>
            <w:noProof/>
          </w:rPr>
          <w:t>Jackson, Michel, Roberts, Shepheard, et al., 2009</w:t>
        </w:r>
        <w:r w:rsidR="00C33CAE" w:rsidRPr="000C1520">
          <w:fldChar w:fldCharType="end"/>
        </w:r>
      </w:hyperlink>
      <w:r w:rsidRPr="000C1520">
        <w:t>).</w:t>
      </w:r>
    </w:p>
    <w:p w:rsidR="007718C7" w:rsidRDefault="007718C7" w:rsidP="0047391A">
      <w:r>
        <w:t xml:space="preserve">The data </w:t>
      </w:r>
      <w:r w:rsidR="002F611A">
        <w:t>cleaning</w:t>
      </w:r>
      <w:r>
        <w:t xml:space="preserve"> algorithm was applied to the 2011-12 APC (and subsequently the NHCDC data).</w:t>
      </w:r>
    </w:p>
    <w:p w:rsidR="007718C7" w:rsidRDefault="007718C7" w:rsidP="00F27C32">
      <w:pPr>
        <w:rPr>
          <w:szCs w:val="20"/>
        </w:rPr>
      </w:pPr>
      <w:r>
        <w:t xml:space="preserve">Hospital-acquired </w:t>
      </w:r>
      <w:r w:rsidRPr="00172993">
        <w:t xml:space="preserve">diagnosis codes were </w:t>
      </w:r>
      <w:r>
        <w:t>also grouped into classes to</w:t>
      </w:r>
      <w:r w:rsidRPr="00172993">
        <w:t xml:space="preserve"> illustrate some specific issues in the</w:t>
      </w:r>
      <w:r>
        <w:t>ir</w:t>
      </w:r>
      <w:r w:rsidRPr="00172993">
        <w:t xml:space="preserve"> interpretation.</w:t>
      </w:r>
      <w:r>
        <w:t xml:space="preserve">  </w:t>
      </w:r>
      <w:r>
        <w:rPr>
          <w:szCs w:val="20"/>
        </w:rPr>
        <w:t>This also helps to make sense of the large number of individual diagnosis codes flagged as hospital-acquired.  (In the analysis presented below, there were approximately 1.3 million ICD-10-AM codes flagged as hospital-acquired.)</w:t>
      </w:r>
    </w:p>
    <w:p w:rsidR="007718C7" w:rsidRPr="00602A2F" w:rsidRDefault="007718C7" w:rsidP="00F27C32">
      <w:pPr>
        <w:rPr>
          <w:szCs w:val="20"/>
        </w:rPr>
      </w:pPr>
      <w:r>
        <w:rPr>
          <w:szCs w:val="20"/>
        </w:rPr>
        <w:t>While there are several systems that have been developed around the world for grouping COF diagnoses (mostly in the United States using the ICD-9-CM classification), these have a number of limitations (</w:t>
      </w:r>
      <w:hyperlink w:anchor="_ENREF_18" w:tooltip="Jackson, 2013, under review #106" w:history="1">
        <w:r w:rsidR="00C33CAE">
          <w:rPr>
            <w:szCs w:val="20"/>
          </w:rPr>
          <w:fldChar w:fldCharType="begin"/>
        </w:r>
        <w:r w:rsidR="00C33CAE">
          <w:rPr>
            <w:szCs w:val="20"/>
          </w:rPr>
          <w:instrText xml:space="preserve"> ADDIN EN.CITE &lt;EndNote&gt;&lt;Cite&gt;&lt;Author&gt;Jackson&lt;/Author&gt;&lt;Year&gt;2013, under review&lt;/Year&gt;&lt;RecNum&gt;106&lt;/RecNum&gt;&lt;DisplayText&gt;Jackson et al., 2013, under review&lt;/DisplayText&gt;&lt;record&gt;&lt;rec-number&gt;106&lt;/rec-number&gt;&lt;foreign-keys&gt;&lt;key app="EN" db-id="92tftt5v2arxd6e9wzr50w2w0rz0epx099ft" timestamp="1378951286"&gt;106&lt;/key&gt;&lt;/foreign-keys&gt;&lt;ref-type name="Journal Article"&gt;17&lt;/ref-type&gt;&lt;contributors&gt;&lt;authors&gt;&lt;author&gt;Jackson, T&lt;/author&gt;&lt;author&gt;Fong, A&lt;/author&gt;&lt;author&gt;Liu, M&lt;/author&gt;&lt;author&gt;Murray, K&lt;/author&gt;&lt;author&gt;QWalz, L&lt;/author&gt;&lt;author&gt;Houston, C&lt;/author&gt;&lt;author&gt;Dean, S&lt;/author&gt;&lt;/authors&gt;&lt;/contributors&gt;&lt;titles&gt;&lt;title&gt;Incremental costs of hospital-acquired complications in Alberta, Canada&lt;/title&gt;&lt;/titles&gt;&lt;dates&gt;&lt;year&gt;2013, under review&lt;/year&gt;&lt;/dates&gt;&lt;urls&gt;&lt;/urls&gt;&lt;/record&gt;&lt;/Cite&gt;&lt;/EndNote&gt;</w:instrText>
        </w:r>
        <w:r w:rsidR="00C33CAE">
          <w:rPr>
            <w:szCs w:val="20"/>
          </w:rPr>
          <w:fldChar w:fldCharType="separate"/>
        </w:r>
        <w:r w:rsidR="00C33CAE">
          <w:rPr>
            <w:noProof/>
            <w:szCs w:val="20"/>
          </w:rPr>
          <w:t>Jackson et al., 2013, under review</w:t>
        </w:r>
        <w:r w:rsidR="00C33CAE">
          <w:rPr>
            <w:szCs w:val="20"/>
          </w:rPr>
          <w:fldChar w:fldCharType="end"/>
        </w:r>
      </w:hyperlink>
      <w:r>
        <w:rPr>
          <w:szCs w:val="20"/>
        </w:rPr>
        <w:t xml:space="preserve">).  One major limitation is that the classifications are not comprehensive.  That is, they focus on particular conditions, and not all COF diagnoses. The Classification of Hospital-Acquired Diagnoses (CHADx) was developed to address these limitations, and is also based on ICD-10-AM. It was developed </w:t>
      </w:r>
      <w:r w:rsidRPr="00B16072">
        <w:rPr>
          <w:szCs w:val="20"/>
        </w:rPr>
        <w:t xml:space="preserve">by researchers at the Australian Centre for Economic Research on Health at the University of Queensland with funding from the </w:t>
      </w:r>
      <w:r>
        <w:rPr>
          <w:szCs w:val="20"/>
        </w:rPr>
        <w:t xml:space="preserve">Commission.  </w:t>
      </w:r>
      <w:r w:rsidRPr="00602A2F">
        <w:rPr>
          <w:szCs w:val="20"/>
        </w:rPr>
        <w:t xml:space="preserve">The CHADx </w:t>
      </w:r>
      <w:r>
        <w:rPr>
          <w:szCs w:val="20"/>
        </w:rPr>
        <w:t>identifies 4,</w:t>
      </w:r>
      <w:r w:rsidRPr="00602A2F">
        <w:rPr>
          <w:szCs w:val="20"/>
        </w:rPr>
        <w:t xml:space="preserve">500 </w:t>
      </w:r>
      <w:r>
        <w:rPr>
          <w:szCs w:val="20"/>
        </w:rPr>
        <w:t>ICD-10-AM codes as being hospital-acquired. It groups these</w:t>
      </w:r>
      <w:r w:rsidRPr="00602A2F">
        <w:rPr>
          <w:szCs w:val="20"/>
        </w:rPr>
        <w:t xml:space="preserve"> into a hierarchical set of 17 classes, with 14</w:t>
      </w:r>
      <w:r>
        <w:rPr>
          <w:szCs w:val="20"/>
        </w:rPr>
        <w:t>5</w:t>
      </w:r>
      <w:r w:rsidRPr="00602A2F">
        <w:rPr>
          <w:szCs w:val="20"/>
        </w:rPr>
        <w:t xml:space="preserve"> sub-classes</w:t>
      </w:r>
      <w:r>
        <w:rPr>
          <w:szCs w:val="20"/>
        </w:rPr>
        <w:t xml:space="preserve"> (</w:t>
      </w:r>
      <w:hyperlink w:anchor="_ENREF_1" w:tooltip="Australian Commissions for Safety and Quality in Health Care, 2013 #57" w:history="1">
        <w:r w:rsidR="00C33CAE">
          <w:rPr>
            <w:szCs w:val="20"/>
          </w:rPr>
          <w:fldChar w:fldCharType="begin"/>
        </w:r>
        <w:r w:rsidR="00C33CAE">
          <w:rPr>
            <w:szCs w:val="20"/>
          </w:rPr>
          <w:instrText xml:space="preserve"> ADDIN EN.CITE &lt;EndNote&gt;&lt;Cite ExcludeAuth="1"&gt;&lt;Author&gt;Australian Commissions for Safety and Quality in Health Care&lt;/Author&gt;&lt;Year&gt;2013&lt;/Year&gt;&lt;RecNum&gt;57&lt;/RecNum&gt;&lt;DisplayText&gt;2013&lt;/DisplayText&gt;&lt;record&gt;&lt;rec-number&gt;57&lt;/rec-number&gt;&lt;foreign-keys&gt;&lt;key app="EN" db-id="92tftt5v2arxd6e9wzr50w2w0rz0epx099ft" timestamp="1378367056"&gt;57&lt;/key&gt;&lt;/foreign-keys&gt;&lt;ref-type name="Report"&gt;27&lt;/ref-type&gt;&lt;contributors&gt;&lt;authors&gt;&lt;author&gt;Australian Commissions for Safety and Quality in Health Care,,&lt;/author&gt;&lt;/authors&gt;&lt;/contributors&gt;&lt;titles&gt;&lt;title&gt;CHADx codes for ICD-10-AM Eight Edition&lt;/title&gt;&lt;/titles&gt;&lt;dates&gt;&lt;year&gt;2013&lt;/year&gt;&lt;/dates&gt;&lt;pub-location&gt;Sydney&lt;/pub-location&gt;&lt;publisher&gt;ACSQHC&lt;/publisher&gt;&lt;label&gt;ACSQHC&lt;/label&gt;&lt;urls&gt;&lt;/urls&gt;&lt;/record&gt;&lt;/Cite&gt;&lt;/EndNote&gt;</w:instrText>
        </w:r>
        <w:r w:rsidR="00C33CAE">
          <w:rPr>
            <w:szCs w:val="20"/>
          </w:rPr>
          <w:fldChar w:fldCharType="separate"/>
        </w:r>
        <w:r w:rsidR="00C33CAE">
          <w:rPr>
            <w:noProof/>
            <w:szCs w:val="20"/>
          </w:rPr>
          <w:t>2013</w:t>
        </w:r>
        <w:r w:rsidR="00C33CAE">
          <w:rPr>
            <w:szCs w:val="20"/>
          </w:rPr>
          <w:fldChar w:fldCharType="end"/>
        </w:r>
      </w:hyperlink>
      <w:r>
        <w:rPr>
          <w:szCs w:val="20"/>
        </w:rPr>
        <w:t>)</w:t>
      </w:r>
      <w:r w:rsidRPr="00602A2F">
        <w:rPr>
          <w:szCs w:val="20"/>
        </w:rPr>
        <w:t>. Examples include post-procedural complications; adverse drug events; accidental injuries; specific infections; and metabolic disorders.</w:t>
      </w:r>
    </w:p>
    <w:p w:rsidR="007718C7" w:rsidRPr="00E5676C" w:rsidRDefault="007718C7" w:rsidP="00D852EB">
      <w:pPr>
        <w:pStyle w:val="Heading3"/>
      </w:pPr>
      <w:bookmarkStart w:id="35" w:name="_Ref369021405"/>
      <w:r w:rsidRPr="00E5676C">
        <w:t>Frequency of reported COF diagnoses</w:t>
      </w:r>
      <w:r w:rsidRPr="00404A84">
        <w:t xml:space="preserve"> </w:t>
      </w:r>
      <w:r w:rsidRPr="000C1520">
        <w:t>codes</w:t>
      </w:r>
      <w:bookmarkEnd w:id="35"/>
    </w:p>
    <w:p w:rsidR="007718C7" w:rsidRDefault="007718C7" w:rsidP="0047391A">
      <w:r>
        <w:t xml:space="preserve">As an initial step, the frequency of COF diagnoses was explored together with the frequency of diagnoses after the application of the data </w:t>
      </w:r>
      <w:r w:rsidR="002F611A">
        <w:t>cleaning</w:t>
      </w:r>
      <w:r>
        <w:t xml:space="preserve"> algorithm.  This analysis was conducted at the level of ‘diagnosis codes’ rather than episodes.  (Note that several diagnoses are usually reported for a single episode.)</w:t>
      </w:r>
    </w:p>
    <w:p w:rsidR="007718C7" w:rsidRDefault="007718C7" w:rsidP="00D852EB">
      <w:r>
        <w:t xml:space="preserve">There was also an interest in understanding the potential impact of COF on AR-DRG assignment.  To provide an initial understanding of this impact, the Complication and Comorbidity Level (CCL) of each diagnosis was assessed (based on Australian Refined Diagnosis Related Groups (AR-DRGs) version </w:t>
      </w:r>
      <w:r w:rsidRPr="004E5573">
        <w:t>6.0</w:t>
      </w:r>
      <w:r>
        <w:t>x, the version in which the data have been costed through the NHCDC).  Diagnosis codes with a CCL of greater than 0 (implying that they could potentially impact AR-DRG assignment) were then identified.  The text box below provides further description of the AR-DRG assignment process.</w:t>
      </w:r>
    </w:p>
    <w:tbl>
      <w:tblPr>
        <w:tblW w:w="0" w:type="auto"/>
        <w:tblLook w:val="00A0" w:firstRow="1" w:lastRow="0" w:firstColumn="1" w:lastColumn="0" w:noHBand="0" w:noVBand="0"/>
      </w:tblPr>
      <w:tblGrid>
        <w:gridCol w:w="9242"/>
      </w:tblGrid>
      <w:tr w:rsidR="007718C7" w:rsidTr="0037417A">
        <w:tc>
          <w:tcPr>
            <w:tcW w:w="9242" w:type="dxa"/>
            <w:shd w:val="clear" w:color="auto" w:fill="DBE5F1"/>
          </w:tcPr>
          <w:p w:rsidR="007718C7" w:rsidRPr="0037417A" w:rsidRDefault="007718C7" w:rsidP="0037417A">
            <w:pPr>
              <w:jc w:val="center"/>
              <w:rPr>
                <w:b/>
                <w:sz w:val="18"/>
                <w:szCs w:val="18"/>
              </w:rPr>
            </w:pPr>
            <w:r w:rsidRPr="002002B2">
              <w:rPr>
                <w:rFonts w:ascii="Calibri" w:hAnsi="Calibri"/>
              </w:rPr>
              <w:lastRenderedPageBreak/>
              <w:br w:type="page"/>
            </w:r>
            <w:r w:rsidRPr="002002B2">
              <w:rPr>
                <w:rFonts w:ascii="Calibri" w:hAnsi="Calibri"/>
              </w:rPr>
              <w:br w:type="page"/>
            </w:r>
            <w:r w:rsidRPr="007B1B77">
              <w:rPr>
                <w:b/>
                <w:sz w:val="18"/>
                <w:szCs w:val="18"/>
              </w:rPr>
              <w:t xml:space="preserve">Assignment of </w:t>
            </w:r>
            <w:r w:rsidRPr="0037417A">
              <w:rPr>
                <w:b/>
                <w:sz w:val="18"/>
                <w:szCs w:val="18"/>
              </w:rPr>
              <w:t>Australian Refined Diagnosis Related Groups (AR-DRG</w:t>
            </w:r>
            <w:r>
              <w:rPr>
                <w:b/>
                <w:sz w:val="18"/>
                <w:szCs w:val="18"/>
              </w:rPr>
              <w:t>s</w:t>
            </w:r>
            <w:r w:rsidRPr="0037417A">
              <w:rPr>
                <w:b/>
                <w:sz w:val="18"/>
                <w:szCs w:val="18"/>
              </w:rPr>
              <w:t>)</w:t>
            </w:r>
          </w:p>
          <w:p w:rsidR="007718C7" w:rsidRPr="0037417A" w:rsidRDefault="007718C7" w:rsidP="008547FD">
            <w:pPr>
              <w:rPr>
                <w:sz w:val="18"/>
                <w:szCs w:val="18"/>
              </w:rPr>
            </w:pPr>
            <w:r w:rsidRPr="0037417A">
              <w:rPr>
                <w:sz w:val="18"/>
                <w:szCs w:val="18"/>
              </w:rPr>
              <w:t xml:space="preserve">Episodes of admitted patient care are assigned to AR-DRGs </w:t>
            </w:r>
            <w:r>
              <w:rPr>
                <w:sz w:val="18"/>
                <w:szCs w:val="18"/>
              </w:rPr>
              <w:t>based on</w:t>
            </w:r>
            <w:r w:rsidRPr="0037417A">
              <w:rPr>
                <w:sz w:val="18"/>
                <w:szCs w:val="18"/>
              </w:rPr>
              <w:t xml:space="preserve"> an algorithm</w:t>
            </w:r>
            <w:r>
              <w:rPr>
                <w:sz w:val="18"/>
                <w:szCs w:val="18"/>
              </w:rPr>
              <w:t xml:space="preserve">, which firstly involves </w:t>
            </w:r>
            <w:r w:rsidRPr="0037417A">
              <w:rPr>
                <w:sz w:val="18"/>
                <w:szCs w:val="18"/>
              </w:rPr>
              <w:t xml:space="preserve">assigning episodes to </w:t>
            </w:r>
            <w:r w:rsidRPr="0037417A">
              <w:rPr>
                <w:b/>
                <w:sz w:val="18"/>
                <w:szCs w:val="18"/>
              </w:rPr>
              <w:t>Major Diagnostic Categories (MDCs)</w:t>
            </w:r>
            <w:r w:rsidRPr="0037417A">
              <w:rPr>
                <w:sz w:val="18"/>
                <w:szCs w:val="18"/>
              </w:rPr>
              <w:t xml:space="preserve"> based on the</w:t>
            </w:r>
            <w:r>
              <w:rPr>
                <w:sz w:val="18"/>
                <w:szCs w:val="18"/>
              </w:rPr>
              <w:t xml:space="preserve"> patient’s</w:t>
            </w:r>
            <w:r w:rsidRPr="0037417A">
              <w:rPr>
                <w:sz w:val="18"/>
                <w:szCs w:val="18"/>
              </w:rPr>
              <w:t xml:space="preserve"> principal diagnosis</w:t>
            </w:r>
            <w:r>
              <w:rPr>
                <w:sz w:val="18"/>
                <w:szCs w:val="18"/>
              </w:rPr>
              <w:t xml:space="preserve"> (i.e. the diagnosis that, after study, is found to be chiefly responsible for the patient’s admission to hospital)</w:t>
            </w:r>
            <w:r w:rsidRPr="0037417A">
              <w:rPr>
                <w:sz w:val="18"/>
                <w:szCs w:val="18"/>
              </w:rPr>
              <w:t xml:space="preserve">.  </w:t>
            </w:r>
            <w:r>
              <w:rPr>
                <w:sz w:val="18"/>
                <w:szCs w:val="18"/>
              </w:rPr>
              <w:t>There is also a ‘pre-MDC’ category, which partitions out episodes that have undergone major procedures (high cost and complex), regardless of the principal diagnosis (e.g. complex organ transplants and tracheostomy).  Within</w:t>
            </w:r>
            <w:r w:rsidRPr="0037417A">
              <w:rPr>
                <w:sz w:val="18"/>
                <w:szCs w:val="18"/>
              </w:rPr>
              <w:t xml:space="preserve"> MDC</w:t>
            </w:r>
            <w:r>
              <w:rPr>
                <w:sz w:val="18"/>
                <w:szCs w:val="18"/>
              </w:rPr>
              <w:t>s, episodes are than assigned to</w:t>
            </w:r>
            <w:r w:rsidRPr="0037417A">
              <w:rPr>
                <w:sz w:val="18"/>
                <w:szCs w:val="18"/>
              </w:rPr>
              <w:t xml:space="preserve"> </w:t>
            </w:r>
            <w:r w:rsidRPr="0037417A">
              <w:rPr>
                <w:b/>
                <w:sz w:val="18"/>
                <w:szCs w:val="18"/>
              </w:rPr>
              <w:t>Adjacent DRGs (ADRGs)</w:t>
            </w:r>
            <w:r w:rsidRPr="0037417A">
              <w:rPr>
                <w:sz w:val="18"/>
                <w:szCs w:val="18"/>
              </w:rPr>
              <w:t xml:space="preserve">.  </w:t>
            </w:r>
            <w:r>
              <w:rPr>
                <w:sz w:val="18"/>
                <w:szCs w:val="18"/>
              </w:rPr>
              <w:t xml:space="preserve">These are groupings of procedures (for patient’s having undergone a procedure in a surgical suite or operating theatre) or conditions (for patients not having undergone a procedure).  </w:t>
            </w:r>
            <w:r w:rsidRPr="0037417A">
              <w:rPr>
                <w:sz w:val="18"/>
                <w:szCs w:val="18"/>
              </w:rPr>
              <w:t xml:space="preserve">There are 399 ADRGs in the version </w:t>
            </w:r>
            <w:r>
              <w:rPr>
                <w:sz w:val="18"/>
                <w:szCs w:val="18"/>
              </w:rPr>
              <w:t>6.0x</w:t>
            </w:r>
            <w:r w:rsidRPr="0037417A">
              <w:rPr>
                <w:sz w:val="18"/>
                <w:szCs w:val="18"/>
              </w:rPr>
              <w:t xml:space="preserve"> classification.</w:t>
            </w:r>
          </w:p>
          <w:p w:rsidR="007718C7" w:rsidRDefault="007718C7" w:rsidP="008547FD">
            <w:pPr>
              <w:rPr>
                <w:sz w:val="18"/>
                <w:szCs w:val="18"/>
              </w:rPr>
            </w:pPr>
            <w:r>
              <w:rPr>
                <w:sz w:val="18"/>
                <w:szCs w:val="18"/>
              </w:rPr>
              <w:t>A</w:t>
            </w:r>
            <w:r w:rsidRPr="009548D7">
              <w:rPr>
                <w:sz w:val="18"/>
                <w:szCs w:val="18"/>
              </w:rPr>
              <w:t>DRGs may be split further based on the severity level assigned to the episode</w:t>
            </w:r>
            <w:r>
              <w:rPr>
                <w:sz w:val="18"/>
                <w:szCs w:val="18"/>
              </w:rPr>
              <w:t>, which in turn is</w:t>
            </w:r>
            <w:r w:rsidRPr="009548D7">
              <w:rPr>
                <w:sz w:val="18"/>
                <w:szCs w:val="18"/>
              </w:rPr>
              <w:t xml:space="preserve"> based on </w:t>
            </w:r>
            <w:r>
              <w:rPr>
                <w:sz w:val="18"/>
                <w:szCs w:val="18"/>
              </w:rPr>
              <w:t xml:space="preserve">the </w:t>
            </w:r>
            <w:r w:rsidRPr="009548D7">
              <w:rPr>
                <w:sz w:val="18"/>
                <w:szCs w:val="18"/>
              </w:rPr>
              <w:t>analysis of additional diagnoses</w:t>
            </w:r>
            <w:r>
              <w:rPr>
                <w:sz w:val="18"/>
                <w:szCs w:val="18"/>
              </w:rPr>
              <w:t xml:space="preserve">.  One hundred and fifty-six ADRGs have a single </w:t>
            </w:r>
            <w:r w:rsidRPr="0037417A">
              <w:rPr>
                <w:sz w:val="18"/>
                <w:szCs w:val="18"/>
              </w:rPr>
              <w:t xml:space="preserve">severity level, indicated </w:t>
            </w:r>
            <w:r>
              <w:rPr>
                <w:sz w:val="18"/>
                <w:szCs w:val="18"/>
              </w:rPr>
              <w:t xml:space="preserve">by a </w:t>
            </w:r>
            <w:r w:rsidRPr="0037417A">
              <w:rPr>
                <w:sz w:val="18"/>
                <w:szCs w:val="18"/>
              </w:rPr>
              <w:t>‘Z’ suffix</w:t>
            </w:r>
            <w:r>
              <w:rPr>
                <w:sz w:val="18"/>
                <w:szCs w:val="18"/>
              </w:rPr>
              <w:t xml:space="preserve"> added to the corresponding AR-DRG</w:t>
            </w:r>
            <w:r w:rsidRPr="0037417A">
              <w:rPr>
                <w:sz w:val="18"/>
                <w:szCs w:val="18"/>
              </w:rPr>
              <w:t>. The remainder may be split into two or three severity levels indicated by an ‘A’, ’B’ or ‘C’ suffix</w:t>
            </w:r>
            <w:r>
              <w:rPr>
                <w:sz w:val="18"/>
                <w:szCs w:val="18"/>
              </w:rPr>
              <w:t xml:space="preserve"> on the AR-DRG</w:t>
            </w:r>
            <w:r w:rsidRPr="0037417A">
              <w:rPr>
                <w:sz w:val="18"/>
                <w:szCs w:val="18"/>
              </w:rPr>
              <w:t>.</w:t>
            </w:r>
          </w:p>
          <w:p w:rsidR="007718C7" w:rsidRPr="0037417A" w:rsidRDefault="007718C7" w:rsidP="009548D7">
            <w:pPr>
              <w:rPr>
                <w:sz w:val="18"/>
                <w:szCs w:val="18"/>
              </w:rPr>
            </w:pPr>
            <w:r>
              <w:rPr>
                <w:sz w:val="18"/>
                <w:szCs w:val="18"/>
              </w:rPr>
              <w:t xml:space="preserve">To determine the severity level of an episode to assign it to the appropriate AR-DRG within an ADRG, additional diagnoses are analysed.  Each additional diagnosis attracts a </w:t>
            </w:r>
            <w:r w:rsidRPr="0037417A">
              <w:rPr>
                <w:sz w:val="18"/>
                <w:szCs w:val="18"/>
              </w:rPr>
              <w:t>Complication and Comorbidity Level (CCL).  The level assigned may range from 0 to 4.  An assignment of a CCL level of 0 m</w:t>
            </w:r>
            <w:r>
              <w:rPr>
                <w:sz w:val="18"/>
                <w:szCs w:val="18"/>
              </w:rPr>
              <w:t>e</w:t>
            </w:r>
            <w:r w:rsidRPr="0037417A">
              <w:rPr>
                <w:sz w:val="18"/>
                <w:szCs w:val="18"/>
              </w:rPr>
              <w:t xml:space="preserve">ans that the additional diagnosis </w:t>
            </w:r>
            <w:r>
              <w:rPr>
                <w:sz w:val="18"/>
                <w:szCs w:val="18"/>
              </w:rPr>
              <w:t xml:space="preserve">is not recognised as a complication or comorbidity (CC) for the purposes of AR-DRG assignment.  </w:t>
            </w:r>
            <w:r w:rsidRPr="0037417A">
              <w:rPr>
                <w:sz w:val="18"/>
                <w:szCs w:val="18"/>
              </w:rPr>
              <w:t xml:space="preserve">Of the approximately </w:t>
            </w:r>
            <w:r>
              <w:rPr>
                <w:sz w:val="18"/>
                <w:szCs w:val="18"/>
              </w:rPr>
              <w:t>19</w:t>
            </w:r>
            <w:r w:rsidRPr="0037417A">
              <w:rPr>
                <w:sz w:val="18"/>
                <w:szCs w:val="18"/>
              </w:rPr>
              <w:t>,</w:t>
            </w:r>
            <w:r>
              <w:rPr>
                <w:sz w:val="18"/>
                <w:szCs w:val="18"/>
              </w:rPr>
              <w:t>5</w:t>
            </w:r>
            <w:r w:rsidRPr="0037417A">
              <w:rPr>
                <w:sz w:val="18"/>
                <w:szCs w:val="18"/>
              </w:rPr>
              <w:t>00 valid ICD-10-AM diagnosis codes, just</w:t>
            </w:r>
            <w:r>
              <w:rPr>
                <w:sz w:val="18"/>
                <w:szCs w:val="18"/>
              </w:rPr>
              <w:t xml:space="preserve"> over</w:t>
            </w:r>
            <w:r w:rsidRPr="0037417A">
              <w:rPr>
                <w:sz w:val="18"/>
                <w:szCs w:val="18"/>
              </w:rPr>
              <w:t xml:space="preserve"> 3,000 </w:t>
            </w:r>
            <w:r>
              <w:rPr>
                <w:sz w:val="18"/>
                <w:szCs w:val="18"/>
              </w:rPr>
              <w:t>a</w:t>
            </w:r>
            <w:r w:rsidRPr="0037417A">
              <w:rPr>
                <w:sz w:val="18"/>
                <w:szCs w:val="18"/>
              </w:rPr>
              <w:t xml:space="preserve">re recognised as CCs for neonates </w:t>
            </w:r>
            <w:r>
              <w:rPr>
                <w:sz w:val="18"/>
                <w:szCs w:val="18"/>
              </w:rPr>
              <w:t>in</w:t>
            </w:r>
            <w:r w:rsidRPr="0037417A">
              <w:rPr>
                <w:sz w:val="18"/>
                <w:szCs w:val="18"/>
              </w:rPr>
              <w:t xml:space="preserve"> AR-DRG version </w:t>
            </w:r>
            <w:r>
              <w:rPr>
                <w:sz w:val="18"/>
                <w:szCs w:val="18"/>
              </w:rPr>
              <w:t>6.0x</w:t>
            </w:r>
            <w:r w:rsidRPr="0037417A">
              <w:rPr>
                <w:sz w:val="18"/>
                <w:szCs w:val="18"/>
              </w:rPr>
              <w:t xml:space="preserve"> (i.e. have a CCL value of greater than zero) and just </w:t>
            </w:r>
            <w:r>
              <w:rPr>
                <w:sz w:val="18"/>
                <w:szCs w:val="18"/>
              </w:rPr>
              <w:t>under</w:t>
            </w:r>
            <w:r w:rsidRPr="0037417A">
              <w:rPr>
                <w:sz w:val="18"/>
                <w:szCs w:val="18"/>
              </w:rPr>
              <w:t xml:space="preserve"> 3,000 codes are recognised as CCs for </w:t>
            </w:r>
            <w:r>
              <w:rPr>
                <w:sz w:val="18"/>
                <w:szCs w:val="18"/>
              </w:rPr>
              <w:t>all other patients</w:t>
            </w:r>
            <w:r w:rsidRPr="0037417A">
              <w:rPr>
                <w:sz w:val="18"/>
                <w:szCs w:val="18"/>
              </w:rPr>
              <w:t xml:space="preserve">.  The analysis in </w:t>
            </w:r>
            <w:r w:rsidR="00F50FB9">
              <w:fldChar w:fldCharType="begin"/>
            </w:r>
            <w:r w:rsidR="00F50FB9">
              <w:instrText xml:space="preserve"> REF _Ref365643301 \h  \* MERGEFORMAT </w:instrText>
            </w:r>
            <w:r w:rsidR="00F50FB9">
              <w:fldChar w:fldCharType="separate"/>
            </w:r>
            <w:r w:rsidR="00363A39" w:rsidRPr="00363A39">
              <w:rPr>
                <w:sz w:val="18"/>
                <w:szCs w:val="18"/>
              </w:rPr>
              <w:t>Table 5</w:t>
            </w:r>
            <w:r w:rsidR="00F50FB9">
              <w:fldChar w:fldCharType="end"/>
            </w:r>
            <w:r w:rsidRPr="0037417A">
              <w:rPr>
                <w:sz w:val="18"/>
                <w:szCs w:val="18"/>
              </w:rPr>
              <w:t>, shows the number of additional diagnoses with a CCL greater than 0, and the number of COF diagnoses with a CCL greater than 0.  It is only these diagnosis codes which will have an impact on AR-DRG assignment.</w:t>
            </w:r>
          </w:p>
          <w:p w:rsidR="007718C7" w:rsidRPr="0037417A" w:rsidRDefault="007718C7" w:rsidP="00890891">
            <w:pPr>
              <w:rPr>
                <w:sz w:val="18"/>
                <w:szCs w:val="18"/>
              </w:rPr>
            </w:pPr>
            <w:r w:rsidRPr="0037417A">
              <w:rPr>
                <w:sz w:val="18"/>
                <w:szCs w:val="18"/>
              </w:rPr>
              <w:t xml:space="preserve">Although an additional diagnosis might be recognised as a CC, the severity level is overwritten with a zero if 1) the CC is part of definition of the ADRG (e.g. multiple trauma); 2) it is closely related to the principal diagnosis; or 3) it is already </w:t>
            </w:r>
            <w:r>
              <w:rPr>
                <w:sz w:val="18"/>
                <w:szCs w:val="18"/>
              </w:rPr>
              <w:t>i</w:t>
            </w:r>
            <w:r w:rsidRPr="0037417A">
              <w:rPr>
                <w:sz w:val="18"/>
                <w:szCs w:val="18"/>
              </w:rPr>
              <w:t xml:space="preserve">n the record (i.e. duplicate code).  </w:t>
            </w:r>
          </w:p>
          <w:p w:rsidR="007718C7" w:rsidRPr="002002B2" w:rsidRDefault="007718C7" w:rsidP="009548D7">
            <w:pPr>
              <w:rPr>
                <w:rFonts w:ascii="Calibri" w:hAnsi="Calibri"/>
              </w:rPr>
            </w:pPr>
            <w:r w:rsidRPr="0037417A">
              <w:rPr>
                <w:sz w:val="18"/>
                <w:szCs w:val="18"/>
              </w:rPr>
              <w:t xml:space="preserve">The combined effect of each CCL for each additional diagnosis is then determined using an algorithm to calculate </w:t>
            </w:r>
            <w:r>
              <w:rPr>
                <w:sz w:val="18"/>
                <w:szCs w:val="18"/>
              </w:rPr>
              <w:t>what is known as the</w:t>
            </w:r>
            <w:r w:rsidRPr="0037417A">
              <w:rPr>
                <w:sz w:val="18"/>
                <w:szCs w:val="18"/>
              </w:rPr>
              <w:t xml:space="preserve"> Patient Clinical Complexity Level (PCCL).  The PCCL, is in effect, a summary of the combined impact of each additional diagnosis reported to a single episode of care with a CCL of greater than 0. PCCL will have a value of between 0 and 4.  Depending on the ADRG</w:t>
            </w:r>
            <w:r>
              <w:rPr>
                <w:sz w:val="18"/>
                <w:szCs w:val="18"/>
              </w:rPr>
              <w:t xml:space="preserve"> (i.e. whether or not it is split into severity levels)</w:t>
            </w:r>
            <w:r w:rsidRPr="0037417A">
              <w:rPr>
                <w:sz w:val="18"/>
                <w:szCs w:val="18"/>
              </w:rPr>
              <w:t xml:space="preserve">, the PCCL will be used to allocate episodes to more </w:t>
            </w:r>
            <w:r>
              <w:rPr>
                <w:sz w:val="18"/>
                <w:szCs w:val="18"/>
              </w:rPr>
              <w:t>or</w:t>
            </w:r>
            <w:r w:rsidRPr="0037417A">
              <w:rPr>
                <w:sz w:val="18"/>
                <w:szCs w:val="18"/>
              </w:rPr>
              <w:t xml:space="preserve"> less complicated AR-DRGs.</w:t>
            </w:r>
          </w:p>
        </w:tc>
      </w:tr>
    </w:tbl>
    <w:p w:rsidR="007718C7" w:rsidRDefault="007718C7" w:rsidP="00D852EB">
      <w:pPr>
        <w:contextualSpacing/>
        <w:jc w:val="center"/>
      </w:pPr>
    </w:p>
    <w:p w:rsidR="007718C7" w:rsidRDefault="00F50FB9" w:rsidP="007C5A79">
      <w:pPr>
        <w:ind w:right="-154"/>
        <w:contextualSpacing/>
      </w:pPr>
      <w:r>
        <w:fldChar w:fldCharType="begin"/>
      </w:r>
      <w:r>
        <w:instrText xml:space="preserve"> REF _Ref365643301 \h  \* MERGEFORMAT </w:instrText>
      </w:r>
      <w:r>
        <w:fldChar w:fldCharType="separate"/>
      </w:r>
      <w:r w:rsidR="00363A39" w:rsidRPr="00363A39">
        <w:t>Table 5</w:t>
      </w:r>
      <w:r>
        <w:fldChar w:fldCharType="end"/>
      </w:r>
      <w:r w:rsidR="007718C7">
        <w:t xml:space="preserve"> shows the resulting frequencies of diagnosis codes grouped by ICD Chapter, using the APC NMDS. The Table shows 9.87 million additional diagnose</w:t>
      </w:r>
      <w:r w:rsidR="007718C7" w:rsidRPr="00053212">
        <w:t>s</w:t>
      </w:r>
      <w:r w:rsidR="007718C7" w:rsidRPr="00053212">
        <w:rPr>
          <w:rStyle w:val="FootnoteReference"/>
        </w:rPr>
        <w:footnoteReference w:id="5"/>
      </w:r>
      <w:r w:rsidR="007718C7" w:rsidRPr="00053212">
        <w:t xml:space="preserve"> codes reported.</w:t>
      </w:r>
      <w:r w:rsidR="007718C7">
        <w:t xml:space="preserve">  Of these, 1.28 million are coded with COF, indicating </w:t>
      </w:r>
      <w:r w:rsidR="007718C7" w:rsidRPr="00EE0D42">
        <w:t>onset during the episode of admitted patient care</w:t>
      </w:r>
      <w:r w:rsidR="007718C7">
        <w:t>,</w:t>
      </w:r>
      <w:r w:rsidR="007718C7" w:rsidRPr="00EE0D42">
        <w:t xml:space="preserve"> represent</w:t>
      </w:r>
      <w:r w:rsidR="007718C7">
        <w:t>ing 12.9</w:t>
      </w:r>
      <w:r w:rsidR="007718C7" w:rsidRPr="00EE0D42">
        <w:t>% of additional diagnosis codes.</w:t>
      </w:r>
      <w:r w:rsidR="007718C7" w:rsidRPr="002B7005">
        <w:t xml:space="preserve">  </w:t>
      </w:r>
      <w:r w:rsidR="007718C7" w:rsidRPr="002A1C0E">
        <w:t>This reduction results from two factors: removal of false positive diagnos</w:t>
      </w:r>
      <w:r w:rsidR="007718C7">
        <w:t xml:space="preserve">es, </w:t>
      </w:r>
      <w:r w:rsidR="007718C7" w:rsidRPr="002A1C0E">
        <w:t>and grouping of related codes</w:t>
      </w:r>
      <w:r w:rsidR="007718C7">
        <w:t xml:space="preserve">. </w:t>
      </w:r>
      <w:r w:rsidR="007718C7" w:rsidRPr="002B7005">
        <w:t xml:space="preserve">When the data </w:t>
      </w:r>
      <w:r w:rsidR="002F611A">
        <w:t>cleaning</w:t>
      </w:r>
      <w:r w:rsidR="007718C7" w:rsidRPr="002B7005">
        <w:t xml:space="preserve"> algorithm </w:t>
      </w:r>
      <w:r w:rsidR="007718C7">
        <w:t>is</w:t>
      </w:r>
      <w:r w:rsidR="007718C7" w:rsidRPr="002B7005">
        <w:t xml:space="preserve"> applied, there are 0.</w:t>
      </w:r>
      <w:r w:rsidR="007718C7">
        <w:t>88</w:t>
      </w:r>
      <w:r w:rsidR="007718C7" w:rsidRPr="002B7005">
        <w:t xml:space="preserve"> million codes identified</w:t>
      </w:r>
      <w:r w:rsidR="007718C7">
        <w:t xml:space="preserve"> (a reduction of around 28%)</w:t>
      </w:r>
      <w:r w:rsidR="007718C7" w:rsidRPr="002B7005">
        <w:t>.</w:t>
      </w:r>
      <w:r w:rsidR="007718C7">
        <w:t xml:space="preserve"> </w:t>
      </w:r>
      <w:r w:rsidR="007718C7">
        <w:br w:type="page"/>
      </w:r>
    </w:p>
    <w:p w:rsidR="007718C7" w:rsidRPr="00445F55" w:rsidRDefault="007718C7" w:rsidP="0047391A">
      <w:pPr>
        <w:contextualSpacing/>
        <w:jc w:val="center"/>
        <w:rPr>
          <w:b/>
          <w:sz w:val="18"/>
          <w:szCs w:val="18"/>
        </w:rPr>
      </w:pPr>
      <w:bookmarkStart w:id="36" w:name="_Ref365643301"/>
      <w:r w:rsidRPr="00D3006B">
        <w:rPr>
          <w:b/>
          <w:sz w:val="18"/>
          <w:szCs w:val="18"/>
        </w:rPr>
        <w:lastRenderedPageBreak/>
        <w:t xml:space="preserve">Table </w:t>
      </w:r>
      <w:r w:rsidRPr="00D3006B">
        <w:rPr>
          <w:b/>
          <w:sz w:val="18"/>
          <w:szCs w:val="18"/>
        </w:rPr>
        <w:fldChar w:fldCharType="begin"/>
      </w:r>
      <w:r w:rsidRPr="00D3006B">
        <w:rPr>
          <w:b/>
          <w:sz w:val="18"/>
          <w:szCs w:val="18"/>
        </w:rPr>
        <w:instrText xml:space="preserve"> SEQ Table \* ARABIC </w:instrText>
      </w:r>
      <w:r w:rsidRPr="00D3006B">
        <w:rPr>
          <w:b/>
          <w:sz w:val="18"/>
          <w:szCs w:val="18"/>
        </w:rPr>
        <w:fldChar w:fldCharType="separate"/>
      </w:r>
      <w:r w:rsidR="00363A39">
        <w:rPr>
          <w:b/>
          <w:noProof/>
          <w:sz w:val="18"/>
          <w:szCs w:val="18"/>
        </w:rPr>
        <w:t>5</w:t>
      </w:r>
      <w:r w:rsidRPr="00D3006B">
        <w:rPr>
          <w:b/>
          <w:sz w:val="18"/>
          <w:szCs w:val="18"/>
        </w:rPr>
        <w:fldChar w:fldCharType="end"/>
      </w:r>
      <w:bookmarkEnd w:id="36"/>
      <w:r w:rsidRPr="00D3006B">
        <w:rPr>
          <w:b/>
          <w:sz w:val="18"/>
          <w:szCs w:val="18"/>
        </w:rPr>
        <w:t xml:space="preserve"> – Additional diagnosis codes, COF diagnosis codes and</w:t>
      </w:r>
      <w:r w:rsidR="000F1C72">
        <w:rPr>
          <w:b/>
          <w:sz w:val="18"/>
          <w:szCs w:val="18"/>
        </w:rPr>
        <w:t xml:space="preserve"> </w:t>
      </w:r>
      <w:r w:rsidRPr="00D3006B">
        <w:rPr>
          <w:b/>
          <w:sz w:val="18"/>
          <w:szCs w:val="18"/>
        </w:rPr>
        <w:t xml:space="preserve">diagnosis codes after application of </w:t>
      </w:r>
      <w:r>
        <w:rPr>
          <w:b/>
          <w:sz w:val="18"/>
          <w:szCs w:val="18"/>
        </w:rPr>
        <w:t xml:space="preserve">the </w:t>
      </w:r>
      <w:r w:rsidRPr="00D3006B">
        <w:rPr>
          <w:b/>
          <w:sz w:val="18"/>
          <w:szCs w:val="18"/>
        </w:rPr>
        <w:t xml:space="preserve">data </w:t>
      </w:r>
      <w:r w:rsidR="002F611A">
        <w:rPr>
          <w:b/>
          <w:sz w:val="18"/>
          <w:szCs w:val="18"/>
        </w:rPr>
        <w:t>cleaning</w:t>
      </w:r>
      <w:r w:rsidRPr="00D3006B">
        <w:rPr>
          <w:b/>
          <w:sz w:val="18"/>
          <w:szCs w:val="18"/>
        </w:rPr>
        <w:t xml:space="preserve"> algorithm,  by ICD Chapter,</w:t>
      </w:r>
      <w:r w:rsidR="000F1C72">
        <w:rPr>
          <w:b/>
          <w:sz w:val="18"/>
          <w:szCs w:val="18"/>
        </w:rPr>
        <w:t xml:space="preserve"> </w:t>
      </w:r>
      <w:r w:rsidRPr="00D3006B">
        <w:rPr>
          <w:b/>
          <w:sz w:val="18"/>
          <w:szCs w:val="18"/>
        </w:rPr>
        <w:t>APC NMDS with initial exclusions applied, 2011-12</w:t>
      </w:r>
    </w:p>
    <w:p w:rsidR="007718C7" w:rsidRDefault="009B164C" w:rsidP="00AF31A7">
      <w:pPr>
        <w:spacing w:after="0"/>
        <w:ind w:left="-709"/>
        <w:jc w:val="center"/>
      </w:pPr>
      <w:r>
        <w:rPr>
          <w:noProof/>
          <w:lang w:eastAsia="en-AU"/>
        </w:rPr>
        <w:drawing>
          <wp:inline distT="0" distB="0" distL="0" distR="0" wp14:anchorId="7C21FB74" wp14:editId="3EB88D4C">
            <wp:extent cx="6478270" cy="4502785"/>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8270" cy="4502785"/>
                    </a:xfrm>
                    <a:prstGeom prst="rect">
                      <a:avLst/>
                    </a:prstGeom>
                    <a:noFill/>
                    <a:ln>
                      <a:noFill/>
                    </a:ln>
                  </pic:spPr>
                </pic:pic>
              </a:graphicData>
            </a:graphic>
          </wp:inline>
        </w:drawing>
      </w:r>
    </w:p>
    <w:p w:rsidR="007718C7" w:rsidRPr="002B7005" w:rsidRDefault="007718C7" w:rsidP="0047391A">
      <w:pPr>
        <w:ind w:left="-567"/>
        <w:jc w:val="center"/>
        <w:rPr>
          <w:i/>
          <w:sz w:val="18"/>
          <w:szCs w:val="18"/>
        </w:rPr>
      </w:pPr>
      <w:r w:rsidRPr="002B122F">
        <w:rPr>
          <w:i/>
          <w:sz w:val="18"/>
          <w:szCs w:val="18"/>
        </w:rPr>
        <w:t>Note: see</w:t>
      </w:r>
      <w:r>
        <w:rPr>
          <w:i/>
          <w:sz w:val="18"/>
          <w:szCs w:val="18"/>
        </w:rPr>
        <w:t xml:space="preserve"> ’</w:t>
      </w:r>
      <w:r w:rsidR="00F50FB9">
        <w:fldChar w:fldCharType="begin"/>
      </w:r>
      <w:r w:rsidR="00F50FB9">
        <w:instrText xml:space="preserve"> REF _Ref368824739 \h  \* MERGEFORMAT </w:instrText>
      </w:r>
      <w:r w:rsidR="00F50FB9">
        <w:fldChar w:fldCharType="separate"/>
      </w:r>
      <w:r w:rsidR="00363A39" w:rsidRPr="00363A39">
        <w:rPr>
          <w:i/>
          <w:sz w:val="18"/>
          <w:szCs w:val="18"/>
        </w:rPr>
        <w:t>Initial exclusions</w:t>
      </w:r>
      <w:r w:rsidR="00F50FB9">
        <w:fldChar w:fldCharType="end"/>
      </w:r>
      <w:r>
        <w:rPr>
          <w:i/>
          <w:sz w:val="18"/>
          <w:szCs w:val="18"/>
        </w:rPr>
        <w:t>’</w:t>
      </w:r>
      <w:r w:rsidRPr="002B122F">
        <w:rPr>
          <w:i/>
          <w:sz w:val="18"/>
          <w:szCs w:val="18"/>
        </w:rPr>
        <w:t xml:space="preserve"> (p</w:t>
      </w:r>
      <w:r>
        <w:rPr>
          <w:i/>
          <w:sz w:val="18"/>
          <w:szCs w:val="18"/>
        </w:rPr>
        <w:t>.</w:t>
      </w:r>
      <w:r w:rsidRPr="002B122F">
        <w:rPr>
          <w:i/>
          <w:sz w:val="18"/>
          <w:szCs w:val="18"/>
        </w:rPr>
        <w:t xml:space="preserve"> </w:t>
      </w:r>
      <w:r w:rsidRPr="002B122F">
        <w:rPr>
          <w:i/>
          <w:sz w:val="18"/>
          <w:szCs w:val="18"/>
        </w:rPr>
        <w:fldChar w:fldCharType="begin"/>
      </w:r>
      <w:r w:rsidRPr="002B122F">
        <w:rPr>
          <w:i/>
          <w:sz w:val="18"/>
          <w:szCs w:val="18"/>
        </w:rPr>
        <w:instrText xml:space="preserve"> PAGEREF _Ref368824739 \h </w:instrText>
      </w:r>
      <w:r w:rsidRPr="002B122F">
        <w:rPr>
          <w:i/>
          <w:sz w:val="18"/>
          <w:szCs w:val="18"/>
        </w:rPr>
      </w:r>
      <w:r w:rsidRPr="002B122F">
        <w:rPr>
          <w:i/>
          <w:sz w:val="18"/>
          <w:szCs w:val="18"/>
        </w:rPr>
        <w:fldChar w:fldCharType="separate"/>
      </w:r>
      <w:r w:rsidR="00363A39">
        <w:rPr>
          <w:i/>
          <w:noProof/>
          <w:sz w:val="18"/>
          <w:szCs w:val="18"/>
        </w:rPr>
        <w:t>25</w:t>
      </w:r>
      <w:r w:rsidRPr="002B122F">
        <w:rPr>
          <w:i/>
          <w:sz w:val="18"/>
          <w:szCs w:val="18"/>
        </w:rPr>
        <w:fldChar w:fldCharType="end"/>
      </w:r>
      <w:r w:rsidRPr="002B122F">
        <w:rPr>
          <w:i/>
          <w:sz w:val="18"/>
          <w:szCs w:val="18"/>
        </w:rPr>
        <w:t>) for details of exclusions applied</w:t>
      </w:r>
      <w:r>
        <w:rPr>
          <w:i/>
          <w:sz w:val="16"/>
          <w:szCs w:val="16"/>
        </w:rPr>
        <w:t>.</w:t>
      </w:r>
      <w:r>
        <w:rPr>
          <w:i/>
          <w:sz w:val="18"/>
          <w:szCs w:val="18"/>
        </w:rPr>
        <w:t xml:space="preserve"> Also e</w:t>
      </w:r>
      <w:r w:rsidRPr="002B7005">
        <w:rPr>
          <w:i/>
          <w:sz w:val="18"/>
          <w:szCs w:val="18"/>
        </w:rPr>
        <w:t>xcludes morphology codes</w:t>
      </w:r>
      <w:r>
        <w:rPr>
          <w:i/>
          <w:sz w:val="18"/>
          <w:szCs w:val="18"/>
        </w:rPr>
        <w:t>.</w:t>
      </w:r>
    </w:p>
    <w:p w:rsidR="007718C7" w:rsidRDefault="007718C7" w:rsidP="0047391A">
      <w:r>
        <w:t xml:space="preserve">Of all the additional diagnoses recorded, 1.85 million (18.7%) have been assigned a CCL of 1 or greater. Of the COF diagnoses, after the data </w:t>
      </w:r>
      <w:r w:rsidR="002F611A">
        <w:t>cleaning</w:t>
      </w:r>
      <w:r>
        <w:t xml:space="preserve"> algorithms are applied, 0.30 million additional codes have a CCL of 1 or greater, making up around 3.0% of all additional diagnoses.</w:t>
      </w:r>
    </w:p>
    <w:p w:rsidR="007718C7" w:rsidRDefault="007718C7" w:rsidP="0047391A">
      <w:r>
        <w:t xml:space="preserve">In the application of the data </w:t>
      </w:r>
      <w:r w:rsidR="002F611A">
        <w:t>cleaning</w:t>
      </w:r>
      <w:r>
        <w:t xml:space="preserve"> algorithm, it can be seen that all codes related to neoplasms are excluded. Most diagnosis codes within the </w:t>
      </w:r>
      <w:r w:rsidRPr="00EE0D42">
        <w:rPr>
          <w:i/>
        </w:rPr>
        <w:t>External causes</w:t>
      </w:r>
      <w:r>
        <w:t xml:space="preserve"> and </w:t>
      </w:r>
      <w:r w:rsidRPr="00EE0D42">
        <w:rPr>
          <w:i/>
        </w:rPr>
        <w:t>Factors influencing health status</w:t>
      </w:r>
      <w:r>
        <w:t xml:space="preserve"> chapters (20 and 21) are also excluded.  There is a substantial increase in the number of codes for the </w:t>
      </w:r>
      <w:r w:rsidRPr="00EE0D42">
        <w:rPr>
          <w:i/>
        </w:rPr>
        <w:t>C</w:t>
      </w:r>
      <w:r>
        <w:rPr>
          <w:i/>
        </w:rPr>
        <w:t>ertain c</w:t>
      </w:r>
      <w:r w:rsidRPr="00EE0D42">
        <w:rPr>
          <w:i/>
        </w:rPr>
        <w:t xml:space="preserve">onditions </w:t>
      </w:r>
      <w:r>
        <w:rPr>
          <w:i/>
        </w:rPr>
        <w:t>originating</w:t>
      </w:r>
      <w:r w:rsidRPr="00EE0D42">
        <w:rPr>
          <w:i/>
        </w:rPr>
        <w:t xml:space="preserve"> in the perinatal period</w:t>
      </w:r>
      <w:r>
        <w:t xml:space="preserve"> chapter (16).</w:t>
      </w:r>
    </w:p>
    <w:p w:rsidR="007718C7" w:rsidRDefault="007718C7" w:rsidP="0047391A">
      <w:r>
        <w:t xml:space="preserve">Codes were also grouped to the CHADx classes.  This is shown in </w:t>
      </w:r>
      <w:r w:rsidR="00F50FB9">
        <w:fldChar w:fldCharType="begin"/>
      </w:r>
      <w:r w:rsidR="00F50FB9">
        <w:instrText xml:space="preserve"> REF _Ref368824602 \h  \* MERGEFORMAT </w:instrText>
      </w:r>
      <w:r w:rsidR="00F50FB9">
        <w:fldChar w:fldCharType="separate"/>
      </w:r>
      <w:r w:rsidR="00363A39" w:rsidRPr="00363A39">
        <w:t>Table 6</w:t>
      </w:r>
      <w:r w:rsidR="00F50FB9">
        <w:fldChar w:fldCharType="end"/>
      </w:r>
      <w:r>
        <w:t xml:space="preserve">.  The CHADx group with the largest number of diagnoses was </w:t>
      </w:r>
      <w:r w:rsidRPr="0040506F">
        <w:rPr>
          <w:i/>
        </w:rPr>
        <w:t>12</w:t>
      </w:r>
      <w:r>
        <w:t xml:space="preserve"> </w:t>
      </w:r>
      <w:r w:rsidRPr="0040506F">
        <w:rPr>
          <w:i/>
        </w:rPr>
        <w:t xml:space="preserve">Labour, </w:t>
      </w:r>
      <w:r>
        <w:rPr>
          <w:i/>
        </w:rPr>
        <w:t>d</w:t>
      </w:r>
      <w:r w:rsidRPr="0040506F">
        <w:rPr>
          <w:i/>
        </w:rPr>
        <w:t xml:space="preserve">elivery &amp; </w:t>
      </w:r>
      <w:r>
        <w:rPr>
          <w:i/>
        </w:rPr>
        <w:t>p</w:t>
      </w:r>
      <w:r w:rsidRPr="0040506F">
        <w:rPr>
          <w:i/>
        </w:rPr>
        <w:t xml:space="preserve">ostpartum </w:t>
      </w:r>
      <w:r>
        <w:rPr>
          <w:i/>
        </w:rPr>
        <w:t>c</w:t>
      </w:r>
      <w:r w:rsidRPr="0040506F">
        <w:rPr>
          <w:i/>
        </w:rPr>
        <w:t>omplications</w:t>
      </w:r>
      <w:r w:rsidRPr="00EB7F29">
        <w:t xml:space="preserve"> (2</w:t>
      </w:r>
      <w:r>
        <w:t>0.9</w:t>
      </w:r>
      <w:r w:rsidRPr="00EB7F29">
        <w:t>%)</w:t>
      </w:r>
      <w:r>
        <w:t>,</w:t>
      </w:r>
      <w:r w:rsidRPr="00EB7F29">
        <w:t xml:space="preserve"> followed by </w:t>
      </w:r>
      <w:r w:rsidRPr="0040506F">
        <w:rPr>
          <w:i/>
        </w:rPr>
        <w:t>05 Cardiovascular complications</w:t>
      </w:r>
      <w:r w:rsidRPr="00EB7F29">
        <w:t xml:space="preserve"> (10</w:t>
      </w:r>
      <w:r>
        <w:t>.4</w:t>
      </w:r>
      <w:r w:rsidRPr="00EB7F29">
        <w:t xml:space="preserve">%), </w:t>
      </w:r>
      <w:r w:rsidRPr="0040506F">
        <w:rPr>
          <w:i/>
        </w:rPr>
        <w:t xml:space="preserve">15 Metabolic </w:t>
      </w:r>
      <w:r>
        <w:rPr>
          <w:i/>
        </w:rPr>
        <w:t>d</w:t>
      </w:r>
      <w:r w:rsidRPr="0040506F">
        <w:rPr>
          <w:i/>
        </w:rPr>
        <w:t>isorders</w:t>
      </w:r>
      <w:r w:rsidRPr="00EB7F29">
        <w:t xml:space="preserve"> (</w:t>
      </w:r>
      <w:r>
        <w:t>9.0</w:t>
      </w:r>
      <w:r w:rsidRPr="00EB7F29">
        <w:t xml:space="preserve">%), </w:t>
      </w:r>
      <w:r w:rsidRPr="0040506F">
        <w:rPr>
          <w:i/>
        </w:rPr>
        <w:t xml:space="preserve">17 Other </w:t>
      </w:r>
      <w:r>
        <w:rPr>
          <w:i/>
        </w:rPr>
        <w:t>c</w:t>
      </w:r>
      <w:r w:rsidRPr="0040506F">
        <w:rPr>
          <w:i/>
        </w:rPr>
        <w:t>omplications</w:t>
      </w:r>
      <w:r w:rsidRPr="00EB7F29">
        <w:t xml:space="preserve"> (8.</w:t>
      </w:r>
      <w:r>
        <w:t xml:space="preserve">7%) and </w:t>
      </w:r>
      <w:r w:rsidRPr="0040506F">
        <w:rPr>
          <w:i/>
        </w:rPr>
        <w:t>01 Post-procedural complications</w:t>
      </w:r>
      <w:r w:rsidRPr="00EB7F29">
        <w:t xml:space="preserve"> (</w:t>
      </w:r>
      <w:r>
        <w:t>8.1</w:t>
      </w:r>
      <w:r w:rsidRPr="00EB7F29">
        <w:t>%)</w:t>
      </w:r>
      <w:r>
        <w:t xml:space="preserve">.  </w:t>
      </w:r>
      <w:r w:rsidR="00F50FB9">
        <w:fldChar w:fldCharType="begin"/>
      </w:r>
      <w:r w:rsidR="00F50FB9">
        <w:instrText xml:space="preserve"> REF _Ref368139988 \h  \* MERGEFORMAT </w:instrText>
      </w:r>
      <w:r w:rsidR="00F50FB9">
        <w:fldChar w:fldCharType="separate"/>
      </w:r>
      <w:r w:rsidR="00363A39" w:rsidRPr="00363A39">
        <w:t>Table 35</w:t>
      </w:r>
      <w:r w:rsidR="00F50FB9">
        <w:fldChar w:fldCharType="end"/>
      </w:r>
      <w:r>
        <w:t xml:space="preserve"> in the Appendix provides details of each individual CHADx class.</w:t>
      </w:r>
    </w:p>
    <w:p w:rsidR="007718C7" w:rsidRDefault="007718C7">
      <w:pPr>
        <w:spacing w:after="0" w:line="240" w:lineRule="auto"/>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7718C7" w:rsidRPr="00864829" w:rsidTr="00B35167">
        <w:tc>
          <w:tcPr>
            <w:tcW w:w="9242" w:type="dxa"/>
            <w:tcBorders>
              <w:top w:val="nil"/>
              <w:left w:val="nil"/>
              <w:bottom w:val="nil"/>
              <w:right w:val="nil"/>
            </w:tcBorders>
          </w:tcPr>
          <w:p w:rsidR="007718C7" w:rsidRPr="00864829" w:rsidRDefault="007718C7" w:rsidP="000F1C72">
            <w:pPr>
              <w:spacing w:after="0" w:line="240" w:lineRule="auto"/>
              <w:contextualSpacing/>
              <w:jc w:val="center"/>
              <w:rPr>
                <w:rFonts w:ascii="Calibri" w:hAnsi="Calibri"/>
                <w:b/>
                <w:sz w:val="18"/>
                <w:szCs w:val="18"/>
                <w:lang w:val="en-US"/>
              </w:rPr>
            </w:pPr>
            <w:r>
              <w:lastRenderedPageBreak/>
              <w:br w:type="page"/>
            </w:r>
            <w:r>
              <w:br w:type="page"/>
            </w:r>
            <w:bookmarkStart w:id="37" w:name="_Ref368824602"/>
            <w:r w:rsidRPr="00864829">
              <w:rPr>
                <w:b/>
                <w:sz w:val="18"/>
                <w:szCs w:val="18"/>
                <w:lang w:val="en-US"/>
              </w:rPr>
              <w:t xml:space="preserve">Table </w:t>
            </w:r>
            <w:r w:rsidRPr="00864829">
              <w:rPr>
                <w:b/>
                <w:sz w:val="18"/>
                <w:szCs w:val="18"/>
                <w:lang w:val="en-US"/>
              </w:rPr>
              <w:fldChar w:fldCharType="begin"/>
            </w:r>
            <w:r w:rsidRPr="00864829">
              <w:rPr>
                <w:b/>
                <w:sz w:val="18"/>
                <w:szCs w:val="18"/>
                <w:lang w:val="en-US"/>
              </w:rPr>
              <w:instrText xml:space="preserve"> SEQ Table \* ARABIC </w:instrText>
            </w:r>
            <w:r w:rsidRPr="00864829">
              <w:rPr>
                <w:b/>
                <w:sz w:val="18"/>
                <w:szCs w:val="18"/>
                <w:lang w:val="en-US"/>
              </w:rPr>
              <w:fldChar w:fldCharType="separate"/>
            </w:r>
            <w:r w:rsidR="00363A39">
              <w:rPr>
                <w:b/>
                <w:noProof/>
                <w:sz w:val="18"/>
                <w:szCs w:val="18"/>
                <w:lang w:val="en-US"/>
              </w:rPr>
              <w:t>6</w:t>
            </w:r>
            <w:r w:rsidRPr="00864829">
              <w:rPr>
                <w:b/>
                <w:sz w:val="18"/>
                <w:szCs w:val="18"/>
                <w:lang w:val="en-US"/>
              </w:rPr>
              <w:fldChar w:fldCharType="end"/>
            </w:r>
            <w:bookmarkEnd w:id="37"/>
            <w:r w:rsidRPr="00864829">
              <w:rPr>
                <w:b/>
                <w:sz w:val="18"/>
                <w:szCs w:val="18"/>
                <w:lang w:val="en-US"/>
              </w:rPr>
              <w:t xml:space="preserve"> – </w:t>
            </w:r>
            <w:r w:rsidRPr="00917904">
              <w:rPr>
                <w:b/>
                <w:sz w:val="18"/>
                <w:szCs w:val="18"/>
                <w:lang w:val="en-US"/>
              </w:rPr>
              <w:t xml:space="preserve">Additional diagnosis codes, COF diagnosis codes and diagnosis codes after application of CHADx data </w:t>
            </w:r>
            <w:r w:rsidR="002F611A">
              <w:rPr>
                <w:b/>
                <w:sz w:val="18"/>
                <w:szCs w:val="18"/>
                <w:lang w:val="en-US"/>
              </w:rPr>
              <w:t>cleaning</w:t>
            </w:r>
            <w:r w:rsidRPr="00917904">
              <w:rPr>
                <w:b/>
                <w:sz w:val="18"/>
                <w:szCs w:val="18"/>
                <w:lang w:val="en-US"/>
              </w:rPr>
              <w:t xml:space="preserve"> algorithm, by CHADx </w:t>
            </w:r>
            <w:r>
              <w:rPr>
                <w:b/>
                <w:sz w:val="18"/>
                <w:szCs w:val="18"/>
                <w:lang w:val="en-US"/>
              </w:rPr>
              <w:t>g</w:t>
            </w:r>
            <w:r w:rsidRPr="00917904">
              <w:rPr>
                <w:b/>
                <w:sz w:val="18"/>
                <w:szCs w:val="18"/>
                <w:lang w:val="en-US"/>
              </w:rPr>
              <w:t>roup,</w:t>
            </w:r>
            <w:r w:rsidR="000F1C72">
              <w:rPr>
                <w:b/>
                <w:sz w:val="18"/>
                <w:szCs w:val="18"/>
                <w:lang w:val="en-US"/>
              </w:rPr>
              <w:t xml:space="preserve"> </w:t>
            </w:r>
            <w:r w:rsidRPr="00917904">
              <w:rPr>
                <w:b/>
                <w:sz w:val="18"/>
                <w:szCs w:val="18"/>
                <w:lang w:val="en-US"/>
              </w:rPr>
              <w:t>APC with initial exclusions applied, 2011-12</w:t>
            </w:r>
          </w:p>
        </w:tc>
      </w:tr>
      <w:tr w:rsidR="007718C7" w:rsidRPr="00864829" w:rsidTr="00B35167">
        <w:tc>
          <w:tcPr>
            <w:tcW w:w="9242" w:type="dxa"/>
            <w:tcBorders>
              <w:top w:val="nil"/>
              <w:left w:val="nil"/>
              <w:bottom w:val="nil"/>
              <w:right w:val="nil"/>
            </w:tcBorders>
          </w:tcPr>
          <w:p w:rsidR="007718C7" w:rsidRPr="00864829" w:rsidRDefault="009B164C" w:rsidP="0047391A">
            <w:pPr>
              <w:spacing w:after="0" w:line="240" w:lineRule="auto"/>
              <w:jc w:val="center"/>
              <w:rPr>
                <w:rFonts w:ascii="Calibri" w:hAnsi="Calibri"/>
                <w:szCs w:val="20"/>
                <w:lang w:val="en-US"/>
              </w:rPr>
            </w:pPr>
            <w:r>
              <w:rPr>
                <w:noProof/>
                <w:lang w:eastAsia="en-AU"/>
              </w:rPr>
              <w:drawing>
                <wp:inline distT="0" distB="0" distL="0" distR="0" wp14:anchorId="491175B3" wp14:editId="3DDD2CBE">
                  <wp:extent cx="5581015" cy="3321050"/>
                  <wp:effectExtent l="0" t="0" r="635"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015" cy="3321050"/>
                          </a:xfrm>
                          <a:prstGeom prst="rect">
                            <a:avLst/>
                          </a:prstGeom>
                          <a:noFill/>
                          <a:ln>
                            <a:noFill/>
                          </a:ln>
                        </pic:spPr>
                      </pic:pic>
                    </a:graphicData>
                  </a:graphic>
                </wp:inline>
              </w:drawing>
            </w:r>
          </w:p>
        </w:tc>
      </w:tr>
    </w:tbl>
    <w:p w:rsidR="007718C7" w:rsidRPr="002B7005" w:rsidRDefault="007718C7" w:rsidP="0003016A">
      <w:pPr>
        <w:jc w:val="center"/>
        <w:rPr>
          <w:i/>
          <w:sz w:val="18"/>
          <w:szCs w:val="18"/>
        </w:rPr>
      </w:pPr>
      <w:r>
        <w:t xml:space="preserve"> </w:t>
      </w:r>
      <w:r w:rsidRPr="002B122F">
        <w:rPr>
          <w:i/>
          <w:sz w:val="18"/>
          <w:szCs w:val="18"/>
        </w:rPr>
        <w:t>Note: see</w:t>
      </w:r>
      <w:r>
        <w:rPr>
          <w:i/>
          <w:sz w:val="18"/>
          <w:szCs w:val="18"/>
        </w:rPr>
        <w:t xml:space="preserve"> ’</w:t>
      </w:r>
      <w:r w:rsidR="00F50FB9">
        <w:fldChar w:fldCharType="begin"/>
      </w:r>
      <w:r w:rsidR="00F50FB9">
        <w:instrText xml:space="preserve"> REF _Ref368824739 \h  \* MERGEFORMAT </w:instrText>
      </w:r>
      <w:r w:rsidR="00F50FB9">
        <w:fldChar w:fldCharType="separate"/>
      </w:r>
      <w:r w:rsidR="00363A39" w:rsidRPr="00363A39">
        <w:rPr>
          <w:i/>
          <w:sz w:val="18"/>
          <w:szCs w:val="18"/>
        </w:rPr>
        <w:t>Initial exclusions</w:t>
      </w:r>
      <w:r w:rsidR="00F50FB9">
        <w:fldChar w:fldCharType="end"/>
      </w:r>
      <w:r>
        <w:rPr>
          <w:i/>
          <w:sz w:val="18"/>
          <w:szCs w:val="18"/>
        </w:rPr>
        <w:t>’</w:t>
      </w:r>
      <w:r w:rsidRPr="002B122F">
        <w:rPr>
          <w:i/>
          <w:sz w:val="18"/>
          <w:szCs w:val="18"/>
        </w:rPr>
        <w:t xml:space="preserve"> (p</w:t>
      </w:r>
      <w:r>
        <w:rPr>
          <w:i/>
          <w:sz w:val="18"/>
          <w:szCs w:val="18"/>
        </w:rPr>
        <w:t>.</w:t>
      </w:r>
      <w:r w:rsidRPr="002B122F">
        <w:rPr>
          <w:i/>
          <w:sz w:val="18"/>
          <w:szCs w:val="18"/>
        </w:rPr>
        <w:t xml:space="preserve"> </w:t>
      </w:r>
      <w:r w:rsidRPr="002B122F">
        <w:rPr>
          <w:i/>
          <w:sz w:val="18"/>
          <w:szCs w:val="18"/>
        </w:rPr>
        <w:fldChar w:fldCharType="begin"/>
      </w:r>
      <w:r w:rsidRPr="002B122F">
        <w:rPr>
          <w:i/>
          <w:sz w:val="18"/>
          <w:szCs w:val="18"/>
        </w:rPr>
        <w:instrText xml:space="preserve"> PAGEREF _Ref368824739 \h </w:instrText>
      </w:r>
      <w:r w:rsidRPr="002B122F">
        <w:rPr>
          <w:i/>
          <w:sz w:val="18"/>
          <w:szCs w:val="18"/>
        </w:rPr>
      </w:r>
      <w:r w:rsidRPr="002B122F">
        <w:rPr>
          <w:i/>
          <w:sz w:val="18"/>
          <w:szCs w:val="18"/>
        </w:rPr>
        <w:fldChar w:fldCharType="separate"/>
      </w:r>
      <w:r w:rsidR="00363A39">
        <w:rPr>
          <w:i/>
          <w:noProof/>
          <w:sz w:val="18"/>
          <w:szCs w:val="18"/>
        </w:rPr>
        <w:t>25</w:t>
      </w:r>
      <w:r w:rsidRPr="002B122F">
        <w:rPr>
          <w:i/>
          <w:sz w:val="18"/>
          <w:szCs w:val="18"/>
        </w:rPr>
        <w:fldChar w:fldCharType="end"/>
      </w:r>
      <w:r w:rsidRPr="002B122F">
        <w:rPr>
          <w:i/>
          <w:sz w:val="18"/>
          <w:szCs w:val="18"/>
        </w:rPr>
        <w:t>) for details of exclusions applied</w:t>
      </w:r>
      <w:r>
        <w:rPr>
          <w:i/>
          <w:sz w:val="16"/>
          <w:szCs w:val="16"/>
        </w:rPr>
        <w:t>.</w:t>
      </w:r>
      <w:r>
        <w:rPr>
          <w:i/>
          <w:sz w:val="18"/>
          <w:szCs w:val="18"/>
        </w:rPr>
        <w:t xml:space="preserve"> Also e</w:t>
      </w:r>
      <w:r w:rsidRPr="002B7005">
        <w:rPr>
          <w:i/>
          <w:sz w:val="18"/>
          <w:szCs w:val="18"/>
        </w:rPr>
        <w:t>xcludes morphology codes</w:t>
      </w:r>
      <w:r>
        <w:rPr>
          <w:i/>
          <w:sz w:val="18"/>
          <w:szCs w:val="18"/>
        </w:rPr>
        <w:t>.</w:t>
      </w:r>
    </w:p>
    <w:p w:rsidR="007718C7" w:rsidRPr="00E5676C" w:rsidRDefault="007718C7" w:rsidP="00D852EB">
      <w:pPr>
        <w:pStyle w:val="Heading3"/>
      </w:pPr>
      <w:r w:rsidRPr="00E5676C">
        <w:t>Frequency of episodes in which COF diagnoses are reported</w:t>
      </w:r>
    </w:p>
    <w:p w:rsidR="007718C7" w:rsidRDefault="007718C7" w:rsidP="0047391A">
      <w:r>
        <w:t xml:space="preserve">Another perspective is to consider the number of episodes in which a COF diagnosis is reported.  Overall, across the APC NMDS (after exclusion criteria are applied), 9.2% of episodes have a COF reported.  For these episodes there are on average 3.06 COF diagnosis codes reported per episode.   After data </w:t>
      </w:r>
      <w:r w:rsidR="002F611A">
        <w:t>cleaning</w:t>
      </w:r>
      <w:r>
        <w:t xml:space="preserve">, 10.0% of episodes have at least one COF diagnosis reported. For these episodes, an average of 2.19 COF diagnoses are reported.  Episodes with a COF with CCL of 1 or greater account for 4.4% of episodes. This is shown in </w:t>
      </w:r>
      <w:r w:rsidR="00F50FB9">
        <w:fldChar w:fldCharType="begin"/>
      </w:r>
      <w:r w:rsidR="00F50FB9">
        <w:instrText xml:space="preserve"> REF _Ref368824604 \h  \* MERGEFORMAT </w:instrText>
      </w:r>
      <w:r w:rsidR="00F50FB9">
        <w:fldChar w:fldCharType="separate"/>
      </w:r>
      <w:r w:rsidR="00363A39" w:rsidRPr="00363A39">
        <w:rPr>
          <w:sz w:val="18"/>
          <w:szCs w:val="18"/>
        </w:rPr>
        <w:t>Table 7</w:t>
      </w:r>
      <w:r w:rsidR="00F50FB9">
        <w:fldChar w:fldCharType="end"/>
      </w:r>
      <w:r w:rsidRPr="003C035F">
        <w:t>.</w:t>
      </w:r>
    </w:p>
    <w:p w:rsidR="007718C7" w:rsidRPr="00445F55" w:rsidRDefault="007718C7" w:rsidP="0047391A">
      <w:pPr>
        <w:contextualSpacing/>
        <w:jc w:val="center"/>
        <w:rPr>
          <w:b/>
          <w:sz w:val="18"/>
          <w:szCs w:val="18"/>
        </w:rPr>
      </w:pPr>
      <w:bookmarkStart w:id="38" w:name="_Ref368824604"/>
      <w:r w:rsidRPr="00445F55">
        <w:rPr>
          <w:b/>
          <w:sz w:val="18"/>
          <w:szCs w:val="18"/>
        </w:rPr>
        <w:t xml:space="preserve">Table </w:t>
      </w:r>
      <w:r w:rsidRPr="00445F55">
        <w:rPr>
          <w:b/>
          <w:sz w:val="18"/>
          <w:szCs w:val="18"/>
        </w:rPr>
        <w:fldChar w:fldCharType="begin"/>
      </w:r>
      <w:r w:rsidRPr="00445F55">
        <w:rPr>
          <w:b/>
          <w:sz w:val="18"/>
          <w:szCs w:val="18"/>
        </w:rPr>
        <w:instrText xml:space="preserve"> SEQ Table \* ARABIC </w:instrText>
      </w:r>
      <w:r w:rsidRPr="00445F55">
        <w:rPr>
          <w:b/>
          <w:sz w:val="18"/>
          <w:szCs w:val="18"/>
        </w:rPr>
        <w:fldChar w:fldCharType="separate"/>
      </w:r>
      <w:r w:rsidR="00363A39">
        <w:rPr>
          <w:b/>
          <w:noProof/>
          <w:sz w:val="18"/>
          <w:szCs w:val="18"/>
        </w:rPr>
        <w:t>7</w:t>
      </w:r>
      <w:r w:rsidRPr="00445F55">
        <w:rPr>
          <w:b/>
          <w:sz w:val="18"/>
          <w:szCs w:val="18"/>
        </w:rPr>
        <w:fldChar w:fldCharType="end"/>
      </w:r>
      <w:bookmarkEnd w:id="38"/>
      <w:r w:rsidRPr="00445F55">
        <w:rPr>
          <w:b/>
          <w:sz w:val="18"/>
          <w:szCs w:val="18"/>
        </w:rPr>
        <w:t xml:space="preserve"> – Ep</w:t>
      </w:r>
      <w:r>
        <w:rPr>
          <w:b/>
          <w:sz w:val="18"/>
          <w:szCs w:val="18"/>
        </w:rPr>
        <w:t xml:space="preserve">isodes in which COF diagnoses, APC NMDS </w:t>
      </w:r>
      <w:r w:rsidRPr="00445F55">
        <w:rPr>
          <w:b/>
          <w:sz w:val="18"/>
          <w:szCs w:val="18"/>
        </w:rPr>
        <w:t>with initial exclusions applied, 2011-12</w:t>
      </w:r>
    </w:p>
    <w:p w:rsidR="007718C7" w:rsidRDefault="009B164C" w:rsidP="007E2FC8">
      <w:pPr>
        <w:spacing w:after="0"/>
        <w:jc w:val="center"/>
      </w:pPr>
      <w:r>
        <w:rPr>
          <w:noProof/>
          <w:lang w:eastAsia="en-AU"/>
        </w:rPr>
        <w:drawing>
          <wp:inline distT="0" distB="0" distL="0" distR="0" wp14:anchorId="690A5142" wp14:editId="4BDC41D1">
            <wp:extent cx="5175885" cy="1000760"/>
            <wp:effectExtent l="0" t="0" r="5715" b="889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5885" cy="1000760"/>
                    </a:xfrm>
                    <a:prstGeom prst="rect">
                      <a:avLst/>
                    </a:prstGeom>
                    <a:noFill/>
                    <a:ln>
                      <a:noFill/>
                    </a:ln>
                  </pic:spPr>
                </pic:pic>
              </a:graphicData>
            </a:graphic>
          </wp:inline>
        </w:drawing>
      </w:r>
    </w:p>
    <w:p w:rsidR="007718C7" w:rsidRDefault="007718C7" w:rsidP="00D852EB">
      <w:pPr>
        <w:jc w:val="center"/>
      </w:pPr>
      <w:r w:rsidRPr="002B122F">
        <w:rPr>
          <w:i/>
          <w:sz w:val="18"/>
          <w:szCs w:val="18"/>
        </w:rPr>
        <w:t>Note: see</w:t>
      </w:r>
      <w:r>
        <w:rPr>
          <w:i/>
          <w:sz w:val="18"/>
          <w:szCs w:val="18"/>
        </w:rPr>
        <w:t xml:space="preserve"> ’</w:t>
      </w:r>
      <w:r w:rsidR="00F50FB9">
        <w:fldChar w:fldCharType="begin"/>
      </w:r>
      <w:r w:rsidR="00F50FB9">
        <w:instrText xml:space="preserve"> REF _Ref368824739 \h  \* MERGEFORMAT </w:instrText>
      </w:r>
      <w:r w:rsidR="00F50FB9">
        <w:fldChar w:fldCharType="separate"/>
      </w:r>
      <w:r w:rsidR="00363A39" w:rsidRPr="00363A39">
        <w:rPr>
          <w:i/>
          <w:sz w:val="18"/>
          <w:szCs w:val="18"/>
        </w:rPr>
        <w:t>Initial exclusions</w:t>
      </w:r>
      <w:r w:rsidR="00F50FB9">
        <w:fldChar w:fldCharType="end"/>
      </w:r>
      <w:r>
        <w:rPr>
          <w:i/>
          <w:sz w:val="18"/>
          <w:szCs w:val="18"/>
        </w:rPr>
        <w:t>’</w:t>
      </w:r>
      <w:r w:rsidRPr="002B122F">
        <w:rPr>
          <w:i/>
          <w:sz w:val="18"/>
          <w:szCs w:val="18"/>
        </w:rPr>
        <w:t xml:space="preserve"> (p</w:t>
      </w:r>
      <w:r>
        <w:rPr>
          <w:i/>
          <w:sz w:val="18"/>
          <w:szCs w:val="18"/>
        </w:rPr>
        <w:t>.</w:t>
      </w:r>
      <w:r w:rsidRPr="002B122F">
        <w:rPr>
          <w:i/>
          <w:sz w:val="18"/>
          <w:szCs w:val="18"/>
        </w:rPr>
        <w:t xml:space="preserve"> </w:t>
      </w:r>
      <w:r w:rsidRPr="002B122F">
        <w:rPr>
          <w:i/>
          <w:sz w:val="18"/>
          <w:szCs w:val="18"/>
        </w:rPr>
        <w:fldChar w:fldCharType="begin"/>
      </w:r>
      <w:r w:rsidRPr="002B122F">
        <w:rPr>
          <w:i/>
          <w:sz w:val="18"/>
          <w:szCs w:val="18"/>
        </w:rPr>
        <w:instrText xml:space="preserve"> PAGEREF _Ref368824739 \h </w:instrText>
      </w:r>
      <w:r w:rsidRPr="002B122F">
        <w:rPr>
          <w:i/>
          <w:sz w:val="18"/>
          <w:szCs w:val="18"/>
        </w:rPr>
      </w:r>
      <w:r w:rsidRPr="002B122F">
        <w:rPr>
          <w:i/>
          <w:sz w:val="18"/>
          <w:szCs w:val="18"/>
        </w:rPr>
        <w:fldChar w:fldCharType="separate"/>
      </w:r>
      <w:r w:rsidR="00363A39">
        <w:rPr>
          <w:i/>
          <w:noProof/>
          <w:sz w:val="18"/>
          <w:szCs w:val="18"/>
        </w:rPr>
        <w:t>25</w:t>
      </w:r>
      <w:r w:rsidRPr="002B122F">
        <w:rPr>
          <w:i/>
          <w:sz w:val="18"/>
          <w:szCs w:val="18"/>
        </w:rPr>
        <w:fldChar w:fldCharType="end"/>
      </w:r>
      <w:r w:rsidRPr="002B122F">
        <w:rPr>
          <w:i/>
          <w:sz w:val="18"/>
          <w:szCs w:val="18"/>
        </w:rPr>
        <w:t>) for details of exclusions applied</w:t>
      </w:r>
      <w:r>
        <w:rPr>
          <w:i/>
          <w:sz w:val="16"/>
          <w:szCs w:val="16"/>
        </w:rPr>
        <w:t>.</w:t>
      </w:r>
    </w:p>
    <w:p w:rsidR="007718C7" w:rsidRDefault="007718C7" w:rsidP="00EA271C">
      <w:pPr>
        <w:pStyle w:val="Stageheading"/>
      </w:pPr>
      <w:bookmarkStart w:id="39" w:name="_Toc374114590"/>
      <w:r>
        <w:t>Implications for analysis of the NHCDC</w:t>
      </w:r>
      <w:bookmarkEnd w:id="39"/>
    </w:p>
    <w:p w:rsidR="007718C7" w:rsidRDefault="007718C7" w:rsidP="00685826">
      <w:r>
        <w:t xml:space="preserve">The initial exclusions discussed earlier (see p. </w:t>
      </w:r>
      <w:r>
        <w:fldChar w:fldCharType="begin"/>
      </w:r>
      <w:r>
        <w:instrText xml:space="preserve"> PAGEREF _Ref368824739 \h </w:instrText>
      </w:r>
      <w:r>
        <w:fldChar w:fldCharType="separate"/>
      </w:r>
      <w:r w:rsidR="00363A39">
        <w:rPr>
          <w:noProof/>
        </w:rPr>
        <w:t>25</w:t>
      </w:r>
      <w:r>
        <w:fldChar w:fldCharType="end"/>
      </w:r>
      <w:r>
        <w:t xml:space="preserve">) were also considered appropriate for the analysis of the NHCDC.  In particular: </w:t>
      </w:r>
    </w:p>
    <w:p w:rsidR="007718C7" w:rsidRPr="000C1520" w:rsidRDefault="007718C7" w:rsidP="00600920">
      <w:pPr>
        <w:pStyle w:val="ListParagraph"/>
        <w:numPr>
          <w:ilvl w:val="0"/>
          <w:numId w:val="5"/>
        </w:numPr>
        <w:ind w:left="714" w:hanging="357"/>
        <w:contextualSpacing w:val="0"/>
      </w:pPr>
      <w:r w:rsidRPr="000C1520">
        <w:t>Excluding hospitals not reporting the COF was necessary for the analysis to be conducted.</w:t>
      </w:r>
    </w:p>
    <w:p w:rsidR="007718C7" w:rsidRPr="000C1520" w:rsidRDefault="007718C7" w:rsidP="00600920">
      <w:pPr>
        <w:pStyle w:val="ListParagraph"/>
        <w:numPr>
          <w:ilvl w:val="0"/>
          <w:numId w:val="5"/>
        </w:numPr>
        <w:ind w:left="714" w:hanging="357"/>
        <w:contextualSpacing w:val="0"/>
      </w:pPr>
      <w:r w:rsidRPr="000C1520">
        <w:lastRenderedPageBreak/>
        <w:t xml:space="preserve">Patient level cost data (i.e. as opposed to cost modelled data), which was necessary for the analysis of the impact of COF on cost, was not available for the majority of private hospitals.  </w:t>
      </w:r>
    </w:p>
    <w:p w:rsidR="007718C7" w:rsidRPr="000C1520" w:rsidRDefault="007718C7" w:rsidP="00600920">
      <w:pPr>
        <w:pStyle w:val="ListParagraph"/>
        <w:numPr>
          <w:ilvl w:val="0"/>
          <w:numId w:val="5"/>
        </w:numPr>
        <w:ind w:left="714" w:hanging="357"/>
        <w:contextualSpacing w:val="0"/>
      </w:pPr>
      <w:r w:rsidRPr="000C1520">
        <w:t>Patient level cost was also not available for many hospitals outside the peer groups A1, A2, B1, B2, C1 or C2.</w:t>
      </w:r>
    </w:p>
    <w:p w:rsidR="007718C7" w:rsidRPr="000C1520" w:rsidRDefault="007718C7" w:rsidP="00600920">
      <w:pPr>
        <w:pStyle w:val="ListParagraph"/>
        <w:numPr>
          <w:ilvl w:val="0"/>
          <w:numId w:val="5"/>
        </w:numPr>
        <w:ind w:left="714" w:hanging="357"/>
        <w:contextualSpacing w:val="0"/>
      </w:pPr>
      <w:r w:rsidRPr="000C1520">
        <w:t>While some patient level cost data is available for sub and non-acute episodes, its quality is mixed.</w:t>
      </w:r>
    </w:p>
    <w:p w:rsidR="007718C7" w:rsidRDefault="00F50FB9" w:rsidP="00994CE7">
      <w:r>
        <w:fldChar w:fldCharType="begin"/>
      </w:r>
      <w:r>
        <w:instrText xml:space="preserve"> REF _Ref365875534 \h  \* MERGEFORMAT </w:instrText>
      </w:r>
      <w:r>
        <w:fldChar w:fldCharType="separate"/>
      </w:r>
      <w:r w:rsidR="00363A39" w:rsidRPr="00363A39">
        <w:t>Table 8</w:t>
      </w:r>
      <w:r>
        <w:fldChar w:fldCharType="end"/>
      </w:r>
      <w:r w:rsidR="007718C7">
        <w:t xml:space="preserve"> shows that applying the exclusion criteria to the APC NMDS results in the identification of 194 public hospitals with 4.5 million episodes.  Within the NHCDC, there were 157 hospitals that met these criteria (81% of the APC hospitals) and 3.9 million episodes (88% of the APC episodes).  When analysed by state and territory, the NHCDC sample as a proportion of the APC ranges from around 77% of episodes to 100% of episodes.</w:t>
      </w:r>
    </w:p>
    <w:p w:rsidR="007718C7" w:rsidRPr="00917904" w:rsidRDefault="007718C7" w:rsidP="002B3AAC">
      <w:pPr>
        <w:contextualSpacing/>
        <w:jc w:val="center"/>
        <w:rPr>
          <w:b/>
          <w:sz w:val="18"/>
          <w:szCs w:val="18"/>
        </w:rPr>
      </w:pPr>
      <w:bookmarkStart w:id="40" w:name="_Ref365484174"/>
      <w:bookmarkStart w:id="41" w:name="_Ref365875534"/>
      <w:r w:rsidRPr="00917904">
        <w:rPr>
          <w:b/>
          <w:sz w:val="18"/>
          <w:szCs w:val="18"/>
        </w:rPr>
        <w:t xml:space="preserve">Table </w:t>
      </w:r>
      <w:r w:rsidRPr="00917904">
        <w:rPr>
          <w:b/>
          <w:sz w:val="18"/>
          <w:szCs w:val="18"/>
        </w:rPr>
        <w:fldChar w:fldCharType="begin"/>
      </w:r>
      <w:r w:rsidRPr="00917904">
        <w:rPr>
          <w:b/>
          <w:sz w:val="18"/>
          <w:szCs w:val="18"/>
        </w:rPr>
        <w:instrText xml:space="preserve"> SEQ Table \* ARABIC </w:instrText>
      </w:r>
      <w:r w:rsidRPr="00917904">
        <w:rPr>
          <w:b/>
          <w:sz w:val="18"/>
          <w:szCs w:val="18"/>
        </w:rPr>
        <w:fldChar w:fldCharType="separate"/>
      </w:r>
      <w:r w:rsidR="00363A39">
        <w:rPr>
          <w:b/>
          <w:noProof/>
          <w:sz w:val="18"/>
          <w:szCs w:val="18"/>
        </w:rPr>
        <w:t>8</w:t>
      </w:r>
      <w:r w:rsidRPr="00917904">
        <w:rPr>
          <w:b/>
          <w:sz w:val="18"/>
          <w:szCs w:val="18"/>
        </w:rPr>
        <w:fldChar w:fldCharType="end"/>
      </w:r>
      <w:bookmarkEnd w:id="40"/>
      <w:bookmarkEnd w:id="41"/>
      <w:r w:rsidRPr="00917904">
        <w:rPr>
          <w:b/>
          <w:sz w:val="18"/>
          <w:szCs w:val="18"/>
        </w:rPr>
        <w:t xml:space="preserve"> –National Hospital Cost Data Collection (NHCDC) hospitals and episodes as a proportion of the Admitted Patient Care (APC) NMDS, within initial exclusions applied, 2011-12</w:t>
      </w:r>
    </w:p>
    <w:p w:rsidR="007718C7" w:rsidRDefault="009B164C" w:rsidP="002B3AAC">
      <w:pPr>
        <w:spacing w:after="0"/>
        <w:jc w:val="center"/>
      </w:pPr>
      <w:r>
        <w:rPr>
          <w:noProof/>
          <w:lang w:eastAsia="en-AU"/>
        </w:rPr>
        <w:drawing>
          <wp:inline distT="0" distB="0" distL="0" distR="0" wp14:anchorId="5BD5DDE5" wp14:editId="36AE7468">
            <wp:extent cx="3493770" cy="2648585"/>
            <wp:effectExtent l="0" t="0" r="0" b="0"/>
            <wp:docPr id="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3770" cy="2648585"/>
                    </a:xfrm>
                    <a:prstGeom prst="rect">
                      <a:avLst/>
                    </a:prstGeom>
                    <a:noFill/>
                    <a:ln>
                      <a:noFill/>
                    </a:ln>
                  </pic:spPr>
                </pic:pic>
              </a:graphicData>
            </a:graphic>
          </wp:inline>
        </w:drawing>
      </w:r>
    </w:p>
    <w:p w:rsidR="007718C7" w:rsidRDefault="007718C7" w:rsidP="002B3AAC">
      <w:pPr>
        <w:jc w:val="center"/>
        <w:rPr>
          <w:i/>
          <w:sz w:val="16"/>
          <w:szCs w:val="16"/>
        </w:rPr>
      </w:pPr>
      <w:r w:rsidRPr="002B122F">
        <w:rPr>
          <w:i/>
          <w:sz w:val="18"/>
          <w:szCs w:val="18"/>
        </w:rPr>
        <w:t>Note: see</w:t>
      </w:r>
      <w:r>
        <w:rPr>
          <w:i/>
          <w:sz w:val="18"/>
          <w:szCs w:val="18"/>
        </w:rPr>
        <w:t xml:space="preserve"> ’</w:t>
      </w:r>
      <w:r w:rsidR="00F50FB9">
        <w:fldChar w:fldCharType="begin"/>
      </w:r>
      <w:r w:rsidR="00F50FB9">
        <w:instrText xml:space="preserve"> REF _Ref368824739 \h  \* MERGEFORMAT </w:instrText>
      </w:r>
      <w:r w:rsidR="00F50FB9">
        <w:fldChar w:fldCharType="separate"/>
      </w:r>
      <w:r w:rsidR="00363A39" w:rsidRPr="00363A39">
        <w:rPr>
          <w:i/>
          <w:sz w:val="18"/>
          <w:szCs w:val="18"/>
        </w:rPr>
        <w:t>Initial exclusions</w:t>
      </w:r>
      <w:r w:rsidR="00F50FB9">
        <w:fldChar w:fldCharType="end"/>
      </w:r>
      <w:r>
        <w:rPr>
          <w:i/>
          <w:sz w:val="18"/>
          <w:szCs w:val="18"/>
        </w:rPr>
        <w:t>’</w:t>
      </w:r>
      <w:r w:rsidRPr="002B122F">
        <w:rPr>
          <w:i/>
          <w:sz w:val="18"/>
          <w:szCs w:val="18"/>
        </w:rPr>
        <w:t xml:space="preserve"> (p</w:t>
      </w:r>
      <w:r>
        <w:rPr>
          <w:i/>
          <w:sz w:val="18"/>
          <w:szCs w:val="18"/>
        </w:rPr>
        <w:t>.</w:t>
      </w:r>
      <w:r w:rsidRPr="002B122F">
        <w:rPr>
          <w:i/>
          <w:sz w:val="18"/>
          <w:szCs w:val="18"/>
        </w:rPr>
        <w:t xml:space="preserve"> </w:t>
      </w:r>
      <w:r w:rsidRPr="002B122F">
        <w:rPr>
          <w:i/>
          <w:sz w:val="18"/>
          <w:szCs w:val="18"/>
        </w:rPr>
        <w:fldChar w:fldCharType="begin"/>
      </w:r>
      <w:r w:rsidRPr="002B122F">
        <w:rPr>
          <w:i/>
          <w:sz w:val="18"/>
          <w:szCs w:val="18"/>
        </w:rPr>
        <w:instrText xml:space="preserve"> PAGEREF _Ref368824739 \h </w:instrText>
      </w:r>
      <w:r w:rsidRPr="002B122F">
        <w:rPr>
          <w:i/>
          <w:sz w:val="18"/>
          <w:szCs w:val="18"/>
        </w:rPr>
      </w:r>
      <w:r w:rsidRPr="002B122F">
        <w:rPr>
          <w:i/>
          <w:sz w:val="18"/>
          <w:szCs w:val="18"/>
        </w:rPr>
        <w:fldChar w:fldCharType="separate"/>
      </w:r>
      <w:r w:rsidR="00363A39">
        <w:rPr>
          <w:i/>
          <w:noProof/>
          <w:sz w:val="18"/>
          <w:szCs w:val="18"/>
        </w:rPr>
        <w:t>25</w:t>
      </w:r>
      <w:r w:rsidRPr="002B122F">
        <w:rPr>
          <w:i/>
          <w:sz w:val="18"/>
          <w:szCs w:val="18"/>
        </w:rPr>
        <w:fldChar w:fldCharType="end"/>
      </w:r>
      <w:r w:rsidRPr="002B122F">
        <w:rPr>
          <w:i/>
          <w:sz w:val="18"/>
          <w:szCs w:val="18"/>
        </w:rPr>
        <w:t>) for details of exclusions applied</w:t>
      </w:r>
      <w:r>
        <w:rPr>
          <w:i/>
          <w:sz w:val="16"/>
          <w:szCs w:val="16"/>
        </w:rPr>
        <w:t>.</w:t>
      </w:r>
      <w:r>
        <w:rPr>
          <w:i/>
          <w:sz w:val="18"/>
          <w:szCs w:val="18"/>
        </w:rPr>
        <w:t xml:space="preserve"> </w:t>
      </w:r>
    </w:p>
    <w:p w:rsidR="007718C7" w:rsidRDefault="007718C7" w:rsidP="005D5CA6">
      <w:r>
        <w:t xml:space="preserve">The following chapter, which explores the impact of COF diagnoses on AR-DRG assignment, is based on analysis of the NHCDC data after applying the initial exclusion criteria discussed earlier (p. </w:t>
      </w:r>
      <w:r>
        <w:fldChar w:fldCharType="begin"/>
      </w:r>
      <w:r>
        <w:instrText xml:space="preserve"> PAGEREF _Ref368824739 \h </w:instrText>
      </w:r>
      <w:r>
        <w:fldChar w:fldCharType="separate"/>
      </w:r>
      <w:r w:rsidR="00363A39">
        <w:rPr>
          <w:noProof/>
        </w:rPr>
        <w:t>25</w:t>
      </w:r>
      <w:r>
        <w:fldChar w:fldCharType="end"/>
      </w:r>
      <w:r>
        <w:t xml:space="preserve">).  </w:t>
      </w:r>
    </w:p>
    <w:p w:rsidR="000F1C72" w:rsidRDefault="007718C7" w:rsidP="000C1520">
      <w:r>
        <w:t>For the estimated impact of COF diagnoses on cost, the project was required to focus on a subset of conditions/procedures and associated AR-DRGs.  These conditions and procedures, which were specified by the Commission at the outset of the project, were identified based on criteria including the volume of activity, the costs of activity and the current priority areas for the Commission.  These conditions and associated AR-DRGs are shown in</w:t>
      </w:r>
      <w:bookmarkStart w:id="42" w:name="_Ref368826986"/>
      <w:r w:rsidR="00037A2C">
        <w:t xml:space="preserve"> </w:t>
      </w:r>
      <w:r w:rsidR="00037A2C">
        <w:fldChar w:fldCharType="begin"/>
      </w:r>
      <w:r w:rsidR="00037A2C">
        <w:instrText xml:space="preserve"> REF _Ref373402045 \h </w:instrText>
      </w:r>
      <w:r w:rsidR="004260CF">
        <w:instrText xml:space="preserve"> \* MERGEFORMAT </w:instrText>
      </w:r>
      <w:r w:rsidR="00037A2C">
        <w:fldChar w:fldCharType="separate"/>
      </w:r>
      <w:r w:rsidR="00363A39" w:rsidRPr="00363A39">
        <w:t>Table 9</w:t>
      </w:r>
      <w:r w:rsidR="00037A2C">
        <w:fldChar w:fldCharType="end"/>
      </w:r>
      <w:r w:rsidR="00037A2C">
        <w:t>.</w:t>
      </w:r>
    </w:p>
    <w:p w:rsidR="000F1C72" w:rsidRDefault="000F1C72">
      <w:pPr>
        <w:spacing w:after="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37A2C" w:rsidTr="00037A2C">
        <w:tc>
          <w:tcPr>
            <w:tcW w:w="9242" w:type="dxa"/>
          </w:tcPr>
          <w:p w:rsidR="00037A2C" w:rsidRPr="000F1C72" w:rsidRDefault="00037A2C" w:rsidP="00037A2C">
            <w:pPr>
              <w:contextualSpacing/>
              <w:jc w:val="center"/>
              <w:rPr>
                <w:rFonts w:ascii="Century Gothic" w:hAnsi="Century Gothic"/>
                <w:b/>
                <w:sz w:val="18"/>
                <w:szCs w:val="18"/>
              </w:rPr>
            </w:pPr>
            <w:bookmarkStart w:id="43" w:name="_Ref373402045"/>
            <w:bookmarkStart w:id="44" w:name="_Ref373403213"/>
            <w:r w:rsidRPr="000F1C72">
              <w:rPr>
                <w:rFonts w:ascii="Century Gothic" w:hAnsi="Century Gothic"/>
                <w:b/>
                <w:sz w:val="18"/>
                <w:szCs w:val="18"/>
              </w:rPr>
              <w:lastRenderedPageBreak/>
              <w:t xml:space="preserve">Table </w:t>
            </w:r>
            <w:r w:rsidRPr="000F1C72">
              <w:rPr>
                <w:b/>
                <w:sz w:val="18"/>
                <w:szCs w:val="18"/>
              </w:rPr>
              <w:fldChar w:fldCharType="begin"/>
            </w:r>
            <w:r w:rsidRPr="000F1C72">
              <w:rPr>
                <w:rFonts w:ascii="Century Gothic" w:hAnsi="Century Gothic"/>
                <w:b/>
                <w:sz w:val="18"/>
                <w:szCs w:val="18"/>
              </w:rPr>
              <w:instrText xml:space="preserve"> SEQ Table \* ARABIC </w:instrText>
            </w:r>
            <w:r w:rsidRPr="000F1C72">
              <w:rPr>
                <w:b/>
                <w:sz w:val="18"/>
                <w:szCs w:val="18"/>
              </w:rPr>
              <w:fldChar w:fldCharType="separate"/>
            </w:r>
            <w:r w:rsidR="00363A39">
              <w:rPr>
                <w:rFonts w:ascii="Century Gothic" w:hAnsi="Century Gothic"/>
                <w:b/>
                <w:noProof/>
                <w:sz w:val="18"/>
                <w:szCs w:val="18"/>
              </w:rPr>
              <w:t>9</w:t>
            </w:r>
            <w:r w:rsidRPr="000F1C72">
              <w:rPr>
                <w:b/>
                <w:sz w:val="18"/>
                <w:szCs w:val="18"/>
              </w:rPr>
              <w:fldChar w:fldCharType="end"/>
            </w:r>
            <w:bookmarkEnd w:id="43"/>
            <w:r w:rsidRPr="000F1C72">
              <w:rPr>
                <w:rFonts w:ascii="Century Gothic" w:hAnsi="Century Gothic"/>
                <w:b/>
                <w:sz w:val="18"/>
                <w:szCs w:val="18"/>
              </w:rPr>
              <w:t xml:space="preserve"> – Conditions and procedures for which cost and length of stay impacts of COF diagnoses were estimated</w:t>
            </w:r>
            <w:bookmarkEnd w:id="44"/>
          </w:p>
        </w:tc>
      </w:tr>
    </w:tbl>
    <w:p w:rsidR="00037A2C" w:rsidRPr="00037A2C" w:rsidRDefault="00037A2C" w:rsidP="00037A2C">
      <w:pPr>
        <w:spacing w:after="0" w:line="240" w:lineRule="auto"/>
        <w:rPr>
          <w:sz w:val="4"/>
          <w:szCs w:val="4"/>
        </w:rPr>
      </w:pPr>
    </w:p>
    <w:bookmarkEnd w:id="42"/>
    <w:p w:rsidR="007718C7" w:rsidRDefault="009B164C" w:rsidP="008428D0">
      <w:pPr>
        <w:ind w:left="-426"/>
        <w:jc w:val="center"/>
      </w:pPr>
      <w:r>
        <w:rPr>
          <w:noProof/>
          <w:lang w:eastAsia="en-AU"/>
        </w:rPr>
        <w:drawing>
          <wp:inline distT="0" distB="0" distL="0" distR="0" wp14:anchorId="5DB487EE" wp14:editId="71CFA09B">
            <wp:extent cx="5262245" cy="5934710"/>
            <wp:effectExtent l="0" t="0" r="0" b="8890"/>
            <wp:docPr id="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2245" cy="5934710"/>
                    </a:xfrm>
                    <a:prstGeom prst="rect">
                      <a:avLst/>
                    </a:prstGeom>
                    <a:noFill/>
                    <a:ln>
                      <a:noFill/>
                    </a:ln>
                  </pic:spPr>
                </pic:pic>
              </a:graphicData>
            </a:graphic>
          </wp:inline>
        </w:drawing>
      </w:r>
    </w:p>
    <w:p w:rsidR="007718C7" w:rsidRDefault="007718C7" w:rsidP="00480718">
      <w:r w:rsidRPr="00916A13">
        <w:t xml:space="preserve">All NHCDC episodes were first regrouped to AR-DRG version 6.0x excluding the COF diagnoses (see discussion in next Chapter).  </w:t>
      </w:r>
      <w:r>
        <w:t xml:space="preserve">Episodes grouped to the AR-DRGs shown in </w:t>
      </w:r>
      <w:r w:rsidR="004260CF">
        <w:fldChar w:fldCharType="begin"/>
      </w:r>
      <w:r w:rsidR="004260CF">
        <w:instrText xml:space="preserve"> REF _Ref373402045 \h  \* MERGEFORMAT </w:instrText>
      </w:r>
      <w:r w:rsidR="004260CF">
        <w:fldChar w:fldCharType="separate"/>
      </w:r>
      <w:r w:rsidR="00363A39" w:rsidRPr="00363A39">
        <w:t>Table 9</w:t>
      </w:r>
      <w:r w:rsidR="004260CF">
        <w:fldChar w:fldCharType="end"/>
      </w:r>
      <w:r w:rsidR="004260CF">
        <w:t xml:space="preserve"> </w:t>
      </w:r>
      <w:r>
        <w:t xml:space="preserve">above were then selected for the sample.  </w:t>
      </w:r>
      <w:r w:rsidRPr="00916A13">
        <w:t xml:space="preserve">Hospitals and episodes that did not meet the criteria discussed previously were also excluded from the sample (see p. </w:t>
      </w:r>
      <w:r w:rsidRPr="00916A13">
        <w:fldChar w:fldCharType="begin"/>
      </w:r>
      <w:r w:rsidRPr="00916A13">
        <w:instrText xml:space="preserve"> PAGEREF _Ref368824739 \h </w:instrText>
      </w:r>
      <w:r w:rsidRPr="00916A13">
        <w:fldChar w:fldCharType="separate"/>
      </w:r>
      <w:r w:rsidR="00363A39">
        <w:rPr>
          <w:noProof/>
        </w:rPr>
        <w:t>25</w:t>
      </w:r>
      <w:r w:rsidRPr="00916A13">
        <w:fldChar w:fldCharType="end"/>
      </w:r>
      <w:r w:rsidRPr="00916A13">
        <w:t>).</w:t>
      </w:r>
      <w:r>
        <w:t xml:space="preserve"> </w:t>
      </w:r>
      <w:r w:rsidRPr="00916A13">
        <w:t>After applying these steps</w:t>
      </w:r>
      <w:r>
        <w:t>,</w:t>
      </w:r>
      <w:r w:rsidRPr="00916A13">
        <w:t xml:space="preserve"> there were </w:t>
      </w:r>
      <w:r w:rsidRPr="00430473">
        <w:t>4</w:t>
      </w:r>
      <w:r w:rsidR="004260CF" w:rsidRPr="00430473">
        <w:t>06,401</w:t>
      </w:r>
      <w:r w:rsidRPr="00916A13">
        <w:t xml:space="preserve"> episodes remaining in the sample.   </w:t>
      </w:r>
    </w:p>
    <w:p w:rsidR="007718C7" w:rsidRDefault="007718C7" w:rsidP="00480718">
      <w:r>
        <w:t xml:space="preserve">As shown in </w:t>
      </w:r>
      <w:r w:rsidR="00F50FB9">
        <w:fldChar w:fldCharType="begin"/>
      </w:r>
      <w:r w:rsidR="00F50FB9">
        <w:instrText xml:space="preserve"> REF _Ref367320878 \h  \* MERGEFORMAT </w:instrText>
      </w:r>
      <w:r w:rsidR="00F50FB9">
        <w:fldChar w:fldCharType="separate"/>
      </w:r>
      <w:r w:rsidR="00363A39" w:rsidRPr="00363A39">
        <w:t>Table 10</w:t>
      </w:r>
      <w:r w:rsidR="00F50FB9">
        <w:fldChar w:fldCharType="end"/>
      </w:r>
      <w:r>
        <w:t xml:space="preserve">, of these episodes, 16.8% had at least one COF diagnosis reported (after data </w:t>
      </w:r>
      <w:r w:rsidR="002F611A">
        <w:t>cleaning</w:t>
      </w:r>
      <w:r>
        <w:t xml:space="preserve">). Episodes with COF diagnosis had an average of 2.24 COF diagnosis codes per episode. For episodes assigned to the surgical/procedural AR-DRGs of interest, 29.5% had at least one COF diagnosis reported, with an average 2.49 COF diagnosis codes per episode.  For episodes assigned to medical AR-DRGs of interest, 10.8% had at least one COF diagnosis, with an average of 1.91 COF diagnoses for these episodes.  </w:t>
      </w:r>
    </w:p>
    <w:p w:rsidR="007718C7" w:rsidRDefault="007718C7" w:rsidP="00480718">
      <w:r>
        <w:lastRenderedPageBreak/>
        <w:t>Compared with the total APC dataset, the episodes analysed in this sample tend to have a higher level of reporting of COF diagnoses (1</w:t>
      </w:r>
      <w:r w:rsidR="004260CF">
        <w:t>6</w:t>
      </w:r>
      <w:r>
        <w:t>.8% vs. 10.0%) and a higher mean number of diagnoses with a COF of onset during the hospital stay per episode (2.24 vs. 2.19).</w:t>
      </w:r>
    </w:p>
    <w:p w:rsidR="007718C7" w:rsidRDefault="007718C7">
      <w:r>
        <w:t xml:space="preserve">There was a wide level of variation between individual ADRGs. This could be a reflection of a combination of the complexity of the conditions and the length of stay.  For example, over 70% of episodes with the </w:t>
      </w:r>
      <w:r w:rsidRPr="00C307AC">
        <w:rPr>
          <w:i/>
        </w:rPr>
        <w:t xml:space="preserve">Coronary </w:t>
      </w:r>
      <w:r>
        <w:rPr>
          <w:i/>
        </w:rPr>
        <w:t>b</w:t>
      </w:r>
      <w:r w:rsidRPr="00C307AC">
        <w:rPr>
          <w:i/>
        </w:rPr>
        <w:t>ypass</w:t>
      </w:r>
      <w:r>
        <w:t xml:space="preserve"> ADRGs (F05, F06) had at least one COF diagnosis reported, compared with 1.8% of episodes with </w:t>
      </w:r>
      <w:r w:rsidRPr="00C307AC">
        <w:rPr>
          <w:i/>
        </w:rPr>
        <w:t>Chest pain</w:t>
      </w:r>
      <w:r>
        <w:t xml:space="preserve"> (ADRG F74).  Chest pain episodes tend to have shorter lengths of stay and are assigned to this ADRG because the patient has not undergone a procedure.</w:t>
      </w:r>
    </w:p>
    <w:p w:rsidR="007718C7" w:rsidRDefault="007718C7">
      <w:r>
        <w:t>While not shown here, episodes assigned to AR-DRGs with a higher level of complexity</w:t>
      </w:r>
      <w:r>
        <w:rPr>
          <w:rStyle w:val="FootnoteReference"/>
        </w:rPr>
        <w:footnoteReference w:id="6"/>
      </w:r>
      <w:r>
        <w:t xml:space="preserve"> had a higher proportion of episodes with at least one COF diagnosis and a higher average number of COF diagnoses per episode.</w:t>
      </w:r>
    </w:p>
    <w:p w:rsidR="007718C7" w:rsidRPr="00445F55" w:rsidRDefault="007718C7" w:rsidP="00917904">
      <w:pPr>
        <w:spacing w:after="0"/>
        <w:jc w:val="center"/>
        <w:rPr>
          <w:b/>
          <w:sz w:val="18"/>
          <w:szCs w:val="18"/>
        </w:rPr>
      </w:pPr>
      <w:bookmarkStart w:id="45" w:name="_Ref367320878"/>
      <w:r w:rsidRPr="00445F55">
        <w:rPr>
          <w:b/>
          <w:sz w:val="18"/>
          <w:szCs w:val="18"/>
        </w:rPr>
        <w:t xml:space="preserve">Table </w:t>
      </w:r>
      <w:r w:rsidRPr="00445F55">
        <w:rPr>
          <w:b/>
          <w:sz w:val="18"/>
          <w:szCs w:val="18"/>
        </w:rPr>
        <w:fldChar w:fldCharType="begin"/>
      </w:r>
      <w:r w:rsidRPr="00445F55">
        <w:rPr>
          <w:b/>
          <w:sz w:val="18"/>
          <w:szCs w:val="18"/>
        </w:rPr>
        <w:instrText xml:space="preserve"> SEQ Table \* ARABIC </w:instrText>
      </w:r>
      <w:r w:rsidRPr="00445F55">
        <w:rPr>
          <w:b/>
          <w:sz w:val="18"/>
          <w:szCs w:val="18"/>
        </w:rPr>
        <w:fldChar w:fldCharType="separate"/>
      </w:r>
      <w:r w:rsidR="00363A39">
        <w:rPr>
          <w:b/>
          <w:noProof/>
          <w:sz w:val="18"/>
          <w:szCs w:val="18"/>
        </w:rPr>
        <w:t>10</w:t>
      </w:r>
      <w:r w:rsidRPr="00445F55">
        <w:rPr>
          <w:b/>
          <w:sz w:val="18"/>
          <w:szCs w:val="18"/>
        </w:rPr>
        <w:fldChar w:fldCharType="end"/>
      </w:r>
      <w:bookmarkEnd w:id="45"/>
      <w:r w:rsidRPr="00445F55">
        <w:rPr>
          <w:b/>
          <w:sz w:val="18"/>
          <w:szCs w:val="18"/>
        </w:rPr>
        <w:t xml:space="preserve"> –</w:t>
      </w:r>
      <w:r>
        <w:rPr>
          <w:b/>
          <w:sz w:val="18"/>
          <w:szCs w:val="18"/>
        </w:rPr>
        <w:t xml:space="preserve"> Presence of COF diagnoses in e</w:t>
      </w:r>
      <w:r w:rsidRPr="00445F55">
        <w:rPr>
          <w:b/>
          <w:sz w:val="18"/>
          <w:szCs w:val="18"/>
        </w:rPr>
        <w:t xml:space="preserve">pisodes </w:t>
      </w:r>
      <w:r w:rsidR="004260CF">
        <w:rPr>
          <w:b/>
          <w:sz w:val="18"/>
          <w:szCs w:val="18"/>
        </w:rPr>
        <w:t>assigned to the A</w:t>
      </w:r>
      <w:r>
        <w:rPr>
          <w:b/>
          <w:sz w:val="18"/>
          <w:szCs w:val="18"/>
        </w:rPr>
        <w:t xml:space="preserve">DRGs of interest to the Commission, </w:t>
      </w:r>
      <w:r w:rsidRPr="00445F55">
        <w:rPr>
          <w:b/>
          <w:sz w:val="18"/>
          <w:szCs w:val="18"/>
        </w:rPr>
        <w:t xml:space="preserve">  NHCDC </w:t>
      </w:r>
      <w:r>
        <w:rPr>
          <w:b/>
          <w:sz w:val="18"/>
          <w:szCs w:val="18"/>
        </w:rPr>
        <w:t xml:space="preserve">sample </w:t>
      </w:r>
      <w:r w:rsidRPr="00445F55">
        <w:rPr>
          <w:b/>
          <w:sz w:val="18"/>
          <w:szCs w:val="18"/>
        </w:rPr>
        <w:t>with initial exclusions applied, 2011-12</w:t>
      </w:r>
    </w:p>
    <w:p w:rsidR="007718C7" w:rsidRDefault="009B164C" w:rsidP="008428D0">
      <w:pPr>
        <w:contextualSpacing/>
      </w:pPr>
      <w:r>
        <w:rPr>
          <w:noProof/>
          <w:lang w:eastAsia="en-AU"/>
        </w:rPr>
        <w:drawing>
          <wp:inline distT="0" distB="0" distL="0" distR="0" wp14:anchorId="455150C5" wp14:editId="5B947626">
            <wp:extent cx="5736590" cy="5210175"/>
            <wp:effectExtent l="0" t="0" r="0" b="9525"/>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6590" cy="5210175"/>
                    </a:xfrm>
                    <a:prstGeom prst="rect">
                      <a:avLst/>
                    </a:prstGeom>
                    <a:noFill/>
                    <a:ln>
                      <a:noFill/>
                    </a:ln>
                  </pic:spPr>
                </pic:pic>
              </a:graphicData>
            </a:graphic>
          </wp:inline>
        </w:drawing>
      </w:r>
    </w:p>
    <w:p w:rsidR="007718C7" w:rsidRPr="008428D0" w:rsidRDefault="007718C7" w:rsidP="008428D0">
      <w:pPr>
        <w:jc w:val="center"/>
        <w:rPr>
          <w:sz w:val="16"/>
          <w:szCs w:val="16"/>
        </w:rPr>
      </w:pPr>
      <w:r w:rsidRPr="008428D0">
        <w:rPr>
          <w:sz w:val="16"/>
          <w:szCs w:val="16"/>
        </w:rPr>
        <w:t xml:space="preserve">* After application of data </w:t>
      </w:r>
      <w:r w:rsidR="002F611A">
        <w:rPr>
          <w:sz w:val="16"/>
          <w:szCs w:val="16"/>
        </w:rPr>
        <w:t>cleaning</w:t>
      </w:r>
      <w:r w:rsidRPr="008428D0">
        <w:rPr>
          <w:sz w:val="16"/>
          <w:szCs w:val="16"/>
        </w:rPr>
        <w:t xml:space="preserve"> algorithm</w:t>
      </w:r>
    </w:p>
    <w:p w:rsidR="007718C7" w:rsidRDefault="007718C7" w:rsidP="00E66D29">
      <w:pPr>
        <w:sectPr w:rsidR="007718C7" w:rsidSect="00915342">
          <w:headerReference w:type="first" r:id="rId43"/>
          <w:pgSz w:w="11906" w:h="16838"/>
          <w:pgMar w:top="1440" w:right="1440" w:bottom="1440" w:left="1440" w:header="708" w:footer="708" w:gutter="0"/>
          <w:cols w:space="708"/>
          <w:titlePg/>
          <w:docGrid w:linePitch="360"/>
        </w:sectPr>
      </w:pPr>
    </w:p>
    <w:p w:rsidR="007718C7" w:rsidRPr="00E5676C" w:rsidRDefault="007718C7" w:rsidP="002002B2">
      <w:pPr>
        <w:pStyle w:val="Heading1"/>
        <w:numPr>
          <w:ilvl w:val="0"/>
          <w:numId w:val="6"/>
        </w:numPr>
        <w:ind w:left="0" w:hanging="851"/>
        <w:rPr>
          <w:b w:val="0"/>
          <w:sz w:val="92"/>
          <w:szCs w:val="28"/>
        </w:rPr>
      </w:pPr>
      <w:bookmarkStart w:id="46" w:name="_Toc374114591"/>
      <w:r>
        <w:rPr>
          <w:b w:val="0"/>
          <w:sz w:val="92"/>
          <w:szCs w:val="28"/>
        </w:rPr>
        <w:lastRenderedPageBreak/>
        <w:t>Impact of hospital-acquired diagnoses on AR-DRG assignment</w:t>
      </w:r>
      <w:bookmarkEnd w:id="46"/>
    </w:p>
    <w:p w:rsidR="007718C7" w:rsidRDefault="007718C7" w:rsidP="009A125C">
      <w:r>
        <w:t>This Chapter examines the impact of the change to AR-DRG assignment once hospital-acquired diagnoses are removed from each episode of care. This analysis illustrates one of the potential implications of implementation of a policy similar to that adopted by the US Medicare system, where potentially preventable complications are removed from DRG assignment (</w:t>
      </w:r>
      <w:hyperlink w:anchor="_ENREF_26" w:tooltip="Pronovost, 2008 #13" w:history="1">
        <w:r w:rsidR="00C33CAE">
          <w:fldChar w:fldCharType="begin"/>
        </w:r>
        <w:r w:rsidR="00C33CAE">
          <w:instrText xml:space="preserve"> ADDIN EN.CITE &lt;EndNote&gt;&lt;Cite&gt;&lt;Author&gt;Pronovost&lt;/Author&gt;&lt;Year&gt;2008&lt;/Year&gt;&lt;RecNum&gt;13&lt;/RecNum&gt;&lt;DisplayText&gt;Pronovost et al., 2008&lt;/DisplayText&gt;&lt;record&gt;&lt;rec-number&gt;13&lt;/rec-number&gt;&lt;foreign-keys&gt;&lt;key app="EN" db-id="92tftt5v2arxd6e9wzr50w2w0rz0epx099ft" timestamp="1371532947"&gt;13&lt;/key&gt;&lt;/foreign-keys&gt;&lt;ref-type name="Journal Article"&gt;17&lt;/ref-type&gt;&lt;contributors&gt;&lt;authors&gt;&lt;author&gt;Pronovost, P&lt;/author&gt;&lt;author&gt;Goeschel, C&lt;/author&gt;&lt;author&gt;Wachter, R&lt;/author&gt;&lt;/authors&gt;&lt;/contributors&gt;&lt;titles&gt;&lt;title&gt;The wisdom and justice of not paying for “preventable complications”&lt;/title&gt;&lt;secondary-title&gt;Journal of the American Medical Association&lt;/secondary-title&gt;&lt;/titles&gt;&lt;periodical&gt;&lt;full-title&gt;Journal of the American Medical Association&lt;/full-title&gt;&lt;/periodical&gt;&lt;pages&gt;2197–2199&lt;/pages&gt;&lt;volume&gt;299&lt;/volume&gt;&lt;dates&gt;&lt;year&gt;2008&lt;/year&gt;&lt;/dates&gt;&lt;urls&gt;&lt;/urls&gt;&lt;/record&gt;&lt;/Cite&gt;&lt;/EndNote&gt;</w:instrText>
        </w:r>
        <w:r w:rsidR="00C33CAE">
          <w:fldChar w:fldCharType="separate"/>
        </w:r>
        <w:r w:rsidR="00C33CAE">
          <w:rPr>
            <w:noProof/>
          </w:rPr>
          <w:t>Pronovost et al., 2008</w:t>
        </w:r>
        <w:r w:rsidR="00C33CAE">
          <w:fldChar w:fldCharType="end"/>
        </w:r>
      </w:hyperlink>
      <w:r>
        <w:t xml:space="preserve">).  </w:t>
      </w:r>
    </w:p>
    <w:p w:rsidR="007718C7" w:rsidRDefault="007718C7" w:rsidP="009A125C">
      <w:r>
        <w:t>The analysis conducted was focussed on the NHCDC sample, which included approximately 4 million episodes.  While a pre-existing AR-DRG was available in the data, episodes were first regrouped to AR-DRG Version 6.0x, using all available data items.  This was to ensure the changes did not reflect differences in the grouping process.  The episodes were then regrouped removing the following data:</w:t>
      </w:r>
    </w:p>
    <w:p w:rsidR="007718C7" w:rsidRPr="004260CF" w:rsidRDefault="007718C7" w:rsidP="00673CEF">
      <w:pPr>
        <w:pStyle w:val="ListParagraph"/>
        <w:numPr>
          <w:ilvl w:val="0"/>
          <w:numId w:val="24"/>
        </w:numPr>
        <w:ind w:left="714" w:hanging="357"/>
        <w:contextualSpacing w:val="0"/>
      </w:pPr>
      <w:r w:rsidRPr="004260CF">
        <w:rPr>
          <w:b/>
          <w:i/>
        </w:rPr>
        <w:t>All additional diagnoses with a COF indicating onset during the admitted episode of care (i.e. flag of ‘1’)</w:t>
      </w:r>
      <w:r w:rsidRPr="004260CF">
        <w:rPr>
          <w:b/>
        </w:rPr>
        <w:t>.</w:t>
      </w:r>
      <w:r w:rsidRPr="004260CF">
        <w:t xml:space="preserve"> Within the dataset, there were some principal diagnoses with a COF of 1. In these cases the original principal diagnosis was retained for grouping purposes. National coding standards indicate that principal diagnosis, other than for neonates, should not be assigned a COF of 1.  </w:t>
      </w:r>
    </w:p>
    <w:p w:rsidR="007718C7" w:rsidRPr="004260CF" w:rsidRDefault="007718C7" w:rsidP="00673CEF">
      <w:pPr>
        <w:pStyle w:val="ListParagraph"/>
        <w:numPr>
          <w:ilvl w:val="0"/>
          <w:numId w:val="24"/>
        </w:numPr>
        <w:ind w:left="714" w:hanging="357"/>
        <w:contextualSpacing w:val="0"/>
      </w:pPr>
      <w:r w:rsidRPr="004260CF">
        <w:rPr>
          <w:b/>
          <w:i/>
        </w:rPr>
        <w:t xml:space="preserve">All additional diagnoses flagged as false negatives by the data </w:t>
      </w:r>
      <w:r w:rsidR="002F611A">
        <w:rPr>
          <w:b/>
          <w:i/>
        </w:rPr>
        <w:t>cleaning</w:t>
      </w:r>
      <w:r w:rsidRPr="004260CF">
        <w:rPr>
          <w:b/>
          <w:i/>
        </w:rPr>
        <w:t xml:space="preserve"> algorithm</w:t>
      </w:r>
      <w:r w:rsidRPr="004260CF">
        <w:rPr>
          <w:b/>
        </w:rPr>
        <w:t>.</w:t>
      </w:r>
      <w:r w:rsidRPr="004260CF">
        <w:t xml:space="preserve">  (These related exclusively to obstetric and neonatal diagnoses). (Note that false positives were ‘un-flagged’, and therefore not removed from the data for regrouping purposes.)</w:t>
      </w:r>
    </w:p>
    <w:p w:rsidR="007718C7" w:rsidRPr="004260CF" w:rsidRDefault="007718C7" w:rsidP="00D02F26">
      <w:pPr>
        <w:pStyle w:val="ListParagraph"/>
        <w:numPr>
          <w:ilvl w:val="0"/>
          <w:numId w:val="24"/>
        </w:numPr>
        <w:ind w:left="714" w:hanging="357"/>
        <w:contextualSpacing w:val="0"/>
      </w:pPr>
      <w:bookmarkStart w:id="47" w:name="_Ref371086190"/>
      <w:r w:rsidRPr="004260CF">
        <w:rPr>
          <w:b/>
          <w:i/>
        </w:rPr>
        <w:t>Procedures that result in episodes being allocated to tracheostomy and ventilation AR-DRGs (A06A, A06B, A06C and AO6D).</w:t>
      </w:r>
      <w:r w:rsidRPr="004260CF">
        <w:rPr>
          <w:i/>
        </w:rPr>
        <w:t xml:space="preserve"> </w:t>
      </w:r>
      <w:r w:rsidRPr="004260CF">
        <w:t xml:space="preserve">This step was undertaken as a result of literature that indicates that many episodes with very significant hospital-acquired conditions are likely to end up in these AR-DRGs (e.g. see </w:t>
      </w:r>
      <w:hyperlink w:anchor="_ENREF_22" w:tooltip="McNair, 2009 #1" w:history="1">
        <w:r w:rsidR="00C33CAE" w:rsidRPr="004260CF">
          <w:fldChar w:fldCharType="begin">
            <w:fldData xml:space="preserve">PEVuZE5vdGU+PENpdGU+PEF1dGhvcj5NY05haXI8L0F1dGhvcj48WWVhcj4yMDA5PC9ZZWFyPjxS
ZWNOdW0+MTwvUmVjTnVtPjxEaXNwbGF5VGV4dD5NY05haXIsIEJvcm92bmljYXIsIEphY2tzb24s
ICZhbXA7IEdpbGxldHQsIDIwMDk8L0Rpc3BsYXlUZXh0PjxyZWNvcmQ+PHJlYy1udW1iZXI+MTwv
cmVjLW51bWJlcj48Zm9yZWlnbi1rZXlzPjxrZXkgYXBwPSJFTiIgZGItaWQ9IjkydGZ0dDV2MmFy
eGQ2ZTl3enI1MHcydzByejBlcHgwOTlmdCIgdGltZXN0YW1wPSIxMzcxNDMzOTY1Ij4xPC9rZXk+
PC9mb3JlaWduLWtleXM+PHJlZi10eXBlIG5hbWU9IkpvdXJuYWwgQXJ0aWNsZSI+MTc8L3JlZi10
eXBlPjxjb250cmlidXRvcnM+PGF1dGhvcnM+PGF1dGhvcj5NY05haXIsIFAuPC9hdXRob3I+PGF1
dGhvcj5Cb3Jvdm5pY2FyLCBELjwvYXV0aG9yPjxhdXRob3I+SmFja3NvbiwgVC48L2F1dGhvcj48
YXV0aG9yPkdpbGxldHQsIFMuPC9hdXRob3I+PC9hdXRob3JzPjwvY29udHJpYnV0b3JzPjxhdXRo
LWFkZHJlc3M+RnVuZGluZyBQb2xpY3kgVW5pdCwgVmljdG9yaWFuIERlcGFydG1lbnQgb2YgSHVt
YW4gU2VydmljZXMsIE1lbGJvdXJuZSwgVmljdG9yaWEsIEF1c3RyYWxpYS4gcGV0ZXIubWNuYWly
QGRocy52aWMuZ292LmF1PC9hdXRoLWFkZHJlc3M+PHRpdGxlcz48dGl0bGU+UHJvc3BlY3RpdmUg
cGF5bWVudCB0byBlbmNvdXJhZ2Ugc3lzdGVtIHdpZGUgcXVhbGl0eSBpbXByb3ZlbWVudDwvdGl0
bGU+PHNlY29uZGFyeS10aXRsZT5NZWQgQ2FyZTwvc2Vjb25kYXJ5LXRpdGxlPjxhbHQtdGl0bGU+
TWVkaWNhbCBjYXJlPC9hbHQtdGl0bGU+PC90aXRsZXM+PHBlcmlvZGljYWw+PGZ1bGwtdGl0bGU+
TWVkIENhcmU8L2Z1bGwtdGl0bGU+PGFiYnItMT5NZWRpY2FsIGNhcmU8L2FiYnItMT48L3Blcmlv
ZGljYWw+PGFsdC1wZXJpb2RpY2FsPjxmdWxsLXRpdGxlPk1lZCBDYXJlPC9mdWxsLXRpdGxlPjxh
YmJyLTE+TWVkaWNhbCBjYXJlPC9hYmJyLTE+PC9hbHQtcGVyaW9kaWNhbD48cGFnZXM+MjcyLTg8
L3BhZ2VzPjx2b2x1bWU+NDc8L3ZvbHVtZT48bnVtYmVyPjM8L251bWJlcj48ZWRpdGlvbj4yMDA5
LzAyLzA2PC9lZGl0aW9uPjxrZXl3b3Jkcz48a2V5d29yZD5BbGdvcml0aG1zPC9rZXl3b3JkPjxr
ZXl3b3JkPkNvc3QgQWxsb2NhdGlvbjwva2V5d29yZD48a2V5d29yZD5Dcm9zcyBJbmZlY3Rpb24v
ZWNvbm9taWNzL2VwaWRlbWlvbG9neS9wcmV2ZW50aW9uICZhbXA7IGNvbnRyb2w8L2tleXdvcmQ+
PGtleXdvcmQ+RGF0YWJhc2VzLCBGYWN0dWFsPC9rZXl3b3JkPjxrZXl3b3JkPkRpYWdub3Npcy1S
ZWxhdGVkIEdyb3Vwcy9jbGFzc2lmaWNhdGlvbi8qZWNvbm9taWNzPC9rZXl3b3JkPjxrZXl3b3Jk
PkVwaXNvZGUgb2YgQ2FyZTwva2V5d29yZD48a2V5d29yZD5Gb3JtcyBhbmQgUmVjb3JkcyBDb250
cm9sL3N0YW5kYXJkczwva2V5d29yZD48a2V5d29yZD5Ib3NwaXRhbHMsIFB1YmxpYy8qZWNvbm9t
aWNzL3N0YW5kYXJkczwva2V5d29yZD48a2V5d29yZD5IdW1hbnM8L2tleXdvcmQ+PGtleXdvcmQ+
SWF0cm9nZW5pYyBEaXNlYXNlL2VwaWRlbWlvbG9neS8qcHJldmVudGlvbiAmYW1wOyBjb250cm9s
PC9rZXl3b3JkPjxrZXl3b3JkPk1lZGljYWwgRXJyb3JzL2Vjb25vbWljcy9wcmV2ZW50aW9uICZh
bXA7IGNvbnRyb2wvc3RhdGlzdGljcyAmYW1wOyBudW1lcmljYWwgZGF0YTwva2V5d29yZD48a2V5
d29yZD5NZWRpY2FyZSBQYXJ0IEE8L2tleXdvcmQ+PGtleXdvcmQ+TW9kZWxzLCBFY29ub21ldHJp
Yzwva2V5d29yZD48a2V5d29yZD5OYXRpb25hbCBIZWFsdGggUHJvZ3JhbXMvKmVjb25vbWljcy9z
dGFuZGFyZHM8L2tleXdvcmQ+PGtleXdvcmQ+T3V0Y29tZSBBc3Nlc3NtZW50IChIZWFsdGggQ2Fy
ZSk8L2tleXdvcmQ+PGtleXdvcmQ+UGF0aWVudCBEaXNjaGFyZ2U8L2tleXdvcmQ+PGtleXdvcmQ+
KlByb3NwZWN0aXZlIFBheW1lbnQgU3lzdGVtPC9rZXl3b3JkPjxrZXl3b3JkPipSZWltYnVyc2Vt
ZW50LCBJbmNlbnRpdmU8L2tleXdvcmQ+PGtleXdvcmQ+VG90YWwgUXVhbGl0eSBNYW5hZ2VtZW50
LyptZXRob2RzPC9rZXl3b3JkPjxrZXl3b3JkPlVuaXRlZCBTdGF0ZXM8L2tleXdvcmQ+PGtleXdv
cmQ+VmljdG9yaWEvZXBpZGVtaW9sb2d5PC9rZXl3b3JkPjwva2V5d29yZHM+PGRhdGVzPjx5ZWFy
PjIwMDk8L3llYXI+PHB1Yi1kYXRlcz48ZGF0ZT5NYXI8L2RhdGU+PC9wdWItZGF0ZXM+PC9kYXRl
cz48aXNibj4xNTM3LTE5NDggKEVsZWN0cm9uaWMpJiN4RDswMDI1LTcwNzkgKExpbmtpbmcpPC9p
c2JuPjxhY2Nlc3Npb24tbnVtPjE5MTk0MzM2PC9hY2Nlc3Npb24tbnVtPjx3b3JrLXR5cGU+Q29t
cGFyYXRpdmUgU3R1ZHkmI3hEO1Jlc2VhcmNoIFN1cHBvcnQsIE5vbi1VLlMuIEdvdiZhcG9zO3Q8
L3dvcmstdHlwZT48dXJscz48cmVsYXRlZC11cmxzPjx1cmw+aHR0cDovL3d3dy5uY2JpLm5sbS5u
aWguZ292L3B1Ym1lZC8xOTE5NDMzNjwvdXJsPjwvcmVsYXRlZC11cmxzPjwvdXJscz48ZWxlY3Ry
b25pYy1yZXNvdXJjZS1udW0+MTAuMTA5Ny9NTFIuMGIwMTNlMzE4MThiMDgyNTwvZWxlY3Ryb25p
Yy1yZXNvdXJjZS1udW0+PGxhbmd1YWdlPmVuZzwvbGFuZ3VhZ2U+PC9yZWNvcmQ+PC9DaXRlPjwv
RW5kTm90ZT5=
</w:fldData>
          </w:fldChar>
        </w:r>
        <w:r w:rsidR="00C33CAE">
          <w:instrText xml:space="preserve"> ADDIN EN.CITE </w:instrText>
        </w:r>
        <w:r w:rsidR="00C33CAE">
          <w:fldChar w:fldCharType="begin">
            <w:fldData xml:space="preserve">PEVuZE5vdGU+PENpdGU+PEF1dGhvcj5NY05haXI8L0F1dGhvcj48WWVhcj4yMDA5PC9ZZWFyPjxS
ZWNOdW0+MTwvUmVjTnVtPjxEaXNwbGF5VGV4dD5NY05haXIsIEJvcm92bmljYXIsIEphY2tzb24s
ICZhbXA7IEdpbGxldHQsIDIwMDk8L0Rpc3BsYXlUZXh0PjxyZWNvcmQ+PHJlYy1udW1iZXI+MTwv
cmVjLW51bWJlcj48Zm9yZWlnbi1rZXlzPjxrZXkgYXBwPSJFTiIgZGItaWQ9IjkydGZ0dDV2MmFy
eGQ2ZTl3enI1MHcydzByejBlcHgwOTlmdCIgdGltZXN0YW1wPSIxMzcxNDMzOTY1Ij4xPC9rZXk+
PC9mb3JlaWduLWtleXM+PHJlZi10eXBlIG5hbWU9IkpvdXJuYWwgQXJ0aWNsZSI+MTc8L3JlZi10
eXBlPjxjb250cmlidXRvcnM+PGF1dGhvcnM+PGF1dGhvcj5NY05haXIsIFAuPC9hdXRob3I+PGF1
dGhvcj5Cb3Jvdm5pY2FyLCBELjwvYXV0aG9yPjxhdXRob3I+SmFja3NvbiwgVC48L2F1dGhvcj48
YXV0aG9yPkdpbGxldHQsIFMuPC9hdXRob3I+PC9hdXRob3JzPjwvY29udHJpYnV0b3JzPjxhdXRo
LWFkZHJlc3M+RnVuZGluZyBQb2xpY3kgVW5pdCwgVmljdG9yaWFuIERlcGFydG1lbnQgb2YgSHVt
YW4gU2VydmljZXMsIE1lbGJvdXJuZSwgVmljdG9yaWEsIEF1c3RyYWxpYS4gcGV0ZXIubWNuYWly
QGRocy52aWMuZ292LmF1PC9hdXRoLWFkZHJlc3M+PHRpdGxlcz48dGl0bGU+UHJvc3BlY3RpdmUg
cGF5bWVudCB0byBlbmNvdXJhZ2Ugc3lzdGVtIHdpZGUgcXVhbGl0eSBpbXByb3ZlbWVudDwvdGl0
bGU+PHNlY29uZGFyeS10aXRsZT5NZWQgQ2FyZTwvc2Vjb25kYXJ5LXRpdGxlPjxhbHQtdGl0bGU+
TWVkaWNhbCBjYXJlPC9hbHQtdGl0bGU+PC90aXRsZXM+PHBlcmlvZGljYWw+PGZ1bGwtdGl0bGU+
TWVkIENhcmU8L2Z1bGwtdGl0bGU+PGFiYnItMT5NZWRpY2FsIGNhcmU8L2FiYnItMT48L3Blcmlv
ZGljYWw+PGFsdC1wZXJpb2RpY2FsPjxmdWxsLXRpdGxlPk1lZCBDYXJlPC9mdWxsLXRpdGxlPjxh
YmJyLTE+TWVkaWNhbCBjYXJlPC9hYmJyLTE+PC9hbHQtcGVyaW9kaWNhbD48cGFnZXM+MjcyLTg8
L3BhZ2VzPjx2b2x1bWU+NDc8L3ZvbHVtZT48bnVtYmVyPjM8L251bWJlcj48ZWRpdGlvbj4yMDA5
LzAyLzA2PC9lZGl0aW9uPjxrZXl3b3Jkcz48a2V5d29yZD5BbGdvcml0aG1zPC9rZXl3b3JkPjxr
ZXl3b3JkPkNvc3QgQWxsb2NhdGlvbjwva2V5d29yZD48a2V5d29yZD5Dcm9zcyBJbmZlY3Rpb24v
ZWNvbm9taWNzL2VwaWRlbWlvbG9neS9wcmV2ZW50aW9uICZhbXA7IGNvbnRyb2w8L2tleXdvcmQ+
PGtleXdvcmQ+RGF0YWJhc2VzLCBGYWN0dWFsPC9rZXl3b3JkPjxrZXl3b3JkPkRpYWdub3Npcy1S
ZWxhdGVkIEdyb3Vwcy9jbGFzc2lmaWNhdGlvbi8qZWNvbm9taWNzPC9rZXl3b3JkPjxrZXl3b3Jk
PkVwaXNvZGUgb2YgQ2FyZTwva2V5d29yZD48a2V5d29yZD5Gb3JtcyBhbmQgUmVjb3JkcyBDb250
cm9sL3N0YW5kYXJkczwva2V5d29yZD48a2V5d29yZD5Ib3NwaXRhbHMsIFB1YmxpYy8qZWNvbm9t
aWNzL3N0YW5kYXJkczwva2V5d29yZD48a2V5d29yZD5IdW1hbnM8L2tleXdvcmQ+PGtleXdvcmQ+
SWF0cm9nZW5pYyBEaXNlYXNlL2VwaWRlbWlvbG9neS8qcHJldmVudGlvbiAmYW1wOyBjb250cm9s
PC9rZXl3b3JkPjxrZXl3b3JkPk1lZGljYWwgRXJyb3JzL2Vjb25vbWljcy9wcmV2ZW50aW9uICZh
bXA7IGNvbnRyb2wvc3RhdGlzdGljcyAmYW1wOyBudW1lcmljYWwgZGF0YTwva2V5d29yZD48a2V5
d29yZD5NZWRpY2FyZSBQYXJ0IEE8L2tleXdvcmQ+PGtleXdvcmQ+TW9kZWxzLCBFY29ub21ldHJp
Yzwva2V5d29yZD48a2V5d29yZD5OYXRpb25hbCBIZWFsdGggUHJvZ3JhbXMvKmVjb25vbWljcy9z
dGFuZGFyZHM8L2tleXdvcmQ+PGtleXdvcmQ+T3V0Y29tZSBBc3Nlc3NtZW50IChIZWFsdGggQ2Fy
ZSk8L2tleXdvcmQ+PGtleXdvcmQ+UGF0aWVudCBEaXNjaGFyZ2U8L2tleXdvcmQ+PGtleXdvcmQ+
KlByb3NwZWN0aXZlIFBheW1lbnQgU3lzdGVtPC9rZXl3b3JkPjxrZXl3b3JkPipSZWltYnVyc2Vt
ZW50LCBJbmNlbnRpdmU8L2tleXdvcmQ+PGtleXdvcmQ+VG90YWwgUXVhbGl0eSBNYW5hZ2VtZW50
LyptZXRob2RzPC9rZXl3b3JkPjxrZXl3b3JkPlVuaXRlZCBTdGF0ZXM8L2tleXdvcmQ+PGtleXdv
cmQ+VmljdG9yaWEvZXBpZGVtaW9sb2d5PC9rZXl3b3JkPjwva2V5d29yZHM+PGRhdGVzPjx5ZWFy
PjIwMDk8L3llYXI+PHB1Yi1kYXRlcz48ZGF0ZT5NYXI8L2RhdGU+PC9wdWItZGF0ZXM+PC9kYXRl
cz48aXNibj4xNTM3LTE5NDggKEVsZWN0cm9uaWMpJiN4RDswMDI1LTcwNzkgKExpbmtpbmcpPC9p
c2JuPjxhY2Nlc3Npb24tbnVtPjE5MTk0MzM2PC9hY2Nlc3Npb24tbnVtPjx3b3JrLXR5cGU+Q29t
cGFyYXRpdmUgU3R1ZHkmI3hEO1Jlc2VhcmNoIFN1cHBvcnQsIE5vbi1VLlMuIEdvdiZhcG9zO3Q8
L3dvcmstdHlwZT48dXJscz48cmVsYXRlZC11cmxzPjx1cmw+aHR0cDovL3d3dy5uY2JpLm5sbS5u
aWguZ292L3B1Ym1lZC8xOTE5NDMzNjwvdXJsPjwvcmVsYXRlZC11cmxzPjwvdXJscz48ZWxlY3Ry
b25pYy1yZXNvdXJjZS1udW0+MTAuMTA5Ny9NTFIuMGIwMTNlMzE4MThiMDgyNTwvZWxlY3Ryb25p
Yy1yZXNvdXJjZS1udW0+PGxhbmd1YWdlPmVuZzwvbGFuZ3VhZ2U+PC9yZWNvcmQ+PC9DaXRlPjwv
RW5kTm90ZT5=
</w:fldData>
          </w:fldChar>
        </w:r>
        <w:r w:rsidR="00C33CAE">
          <w:instrText xml:space="preserve"> ADDIN EN.CITE.DATA </w:instrText>
        </w:r>
        <w:r w:rsidR="00C33CAE">
          <w:fldChar w:fldCharType="end"/>
        </w:r>
        <w:r w:rsidR="00C33CAE" w:rsidRPr="004260CF">
          <w:fldChar w:fldCharType="separate"/>
        </w:r>
        <w:r w:rsidR="00C33CAE">
          <w:rPr>
            <w:noProof/>
          </w:rPr>
          <w:t>McNair, Borovnicar, Jackson, &amp; Gillett, 2009</w:t>
        </w:r>
        <w:r w:rsidR="00C33CAE" w:rsidRPr="004260CF">
          <w:fldChar w:fldCharType="end"/>
        </w:r>
      </w:hyperlink>
      <w:r w:rsidRPr="004260CF">
        <w:t>). Removing these procedures ensured that episodes were allocated to AR-DRGs reflecting the removal of the COF diagnoses rather than being driven by the tracheostomy and ventilation procedures (which may or may not have been necessitated by the hospital-acquired condition).</w:t>
      </w:r>
      <w:bookmarkEnd w:id="47"/>
    </w:p>
    <w:p w:rsidR="007718C7" w:rsidRDefault="007718C7">
      <w:r>
        <w:t>The resulting AR-DRG assigned was compared with the original to determine whether there was a change in the Adjacent DRG (ADRG) or a change in DRG levels within the ADRG</w:t>
      </w:r>
      <w:r w:rsidRPr="00EA3FD8">
        <w:t xml:space="preserve">.  </w:t>
      </w:r>
      <w:r w:rsidR="00F50FB9">
        <w:fldChar w:fldCharType="begin"/>
      </w:r>
      <w:r w:rsidR="00F50FB9">
        <w:instrText xml:space="preserve"> REF _Ref368140146 \h  \* MERGEFORMAT </w:instrText>
      </w:r>
      <w:r w:rsidR="00F50FB9">
        <w:fldChar w:fldCharType="separate"/>
      </w:r>
      <w:r w:rsidR="00363A39" w:rsidRPr="00363A39">
        <w:t>Table 11</w:t>
      </w:r>
      <w:r w:rsidR="00F50FB9">
        <w:fldChar w:fldCharType="end"/>
      </w:r>
      <w:r>
        <w:t xml:space="preserve"> </w:t>
      </w:r>
      <w:r w:rsidRPr="00EA3FD8">
        <w:t>summarises</w:t>
      </w:r>
      <w:r>
        <w:t xml:space="preserve"> the results.  Overall there was a change in AR-DRG for 3.1% of episodes. Of these, 0.2% involved a change in ADRG and 2.9% of episodes involved a change in ADRG levels.</w:t>
      </w:r>
    </w:p>
    <w:p w:rsidR="007718C7" w:rsidRDefault="007718C7" w:rsidP="00AF31A7">
      <w:pPr>
        <w:contextualSpacing/>
      </w:pPr>
    </w:p>
    <w:tbl>
      <w:tblPr>
        <w:tblW w:w="9519" w:type="dxa"/>
        <w:jc w:val="center"/>
        <w:tblLook w:val="00A0" w:firstRow="1" w:lastRow="0" w:firstColumn="1" w:lastColumn="0" w:noHBand="0" w:noVBand="0"/>
      </w:tblPr>
      <w:tblGrid>
        <w:gridCol w:w="9519"/>
      </w:tblGrid>
      <w:tr w:rsidR="007718C7" w:rsidRPr="00864829" w:rsidTr="004F7473">
        <w:trPr>
          <w:jc w:val="center"/>
        </w:trPr>
        <w:tc>
          <w:tcPr>
            <w:tcW w:w="9519" w:type="dxa"/>
          </w:tcPr>
          <w:p w:rsidR="007718C7" w:rsidRPr="00917904" w:rsidRDefault="007718C7" w:rsidP="00864829">
            <w:pPr>
              <w:spacing w:after="0" w:line="240" w:lineRule="auto"/>
              <w:contextualSpacing/>
              <w:jc w:val="center"/>
              <w:rPr>
                <w:b/>
                <w:sz w:val="18"/>
                <w:szCs w:val="18"/>
                <w:lang w:val="en-US"/>
              </w:rPr>
            </w:pPr>
            <w:r>
              <w:lastRenderedPageBreak/>
              <w:br w:type="page"/>
            </w:r>
            <w:r>
              <w:br w:type="page"/>
            </w:r>
            <w:bookmarkStart w:id="48" w:name="_Ref368140146"/>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11</w:t>
            </w:r>
            <w:r w:rsidRPr="00917904">
              <w:rPr>
                <w:b/>
                <w:sz w:val="18"/>
                <w:szCs w:val="18"/>
                <w:lang w:val="en-US"/>
              </w:rPr>
              <w:fldChar w:fldCharType="end"/>
            </w:r>
            <w:bookmarkEnd w:id="48"/>
            <w:r w:rsidRPr="00917904">
              <w:rPr>
                <w:b/>
                <w:sz w:val="18"/>
                <w:szCs w:val="18"/>
                <w:lang w:val="en-US"/>
              </w:rPr>
              <w:t xml:space="preserve"> – Number episodes for which there was a change in AR-DRG following regrouping </w:t>
            </w:r>
          </w:p>
          <w:p w:rsidR="007718C7" w:rsidRPr="00864829" w:rsidRDefault="007718C7" w:rsidP="00864829">
            <w:pPr>
              <w:spacing w:after="0" w:line="240" w:lineRule="auto"/>
              <w:contextualSpacing/>
              <w:jc w:val="center"/>
              <w:rPr>
                <w:rFonts w:ascii="Calibri" w:hAnsi="Calibri"/>
                <w:b/>
                <w:sz w:val="18"/>
                <w:szCs w:val="18"/>
                <w:lang w:val="en-US"/>
              </w:rPr>
            </w:pPr>
            <w:r w:rsidRPr="00917904">
              <w:rPr>
                <w:b/>
                <w:sz w:val="18"/>
                <w:szCs w:val="18"/>
                <w:lang w:val="en-US"/>
              </w:rPr>
              <w:t>excluding condition onset diagnoses, NHCDC, 2011-12</w:t>
            </w:r>
          </w:p>
        </w:tc>
      </w:tr>
      <w:tr w:rsidR="007718C7" w:rsidRPr="00864829" w:rsidTr="001C616D">
        <w:trPr>
          <w:jc w:val="center"/>
        </w:trPr>
        <w:tc>
          <w:tcPr>
            <w:tcW w:w="9519" w:type="dxa"/>
          </w:tcPr>
          <w:p w:rsidR="007718C7" w:rsidRPr="00864829" w:rsidRDefault="009B164C" w:rsidP="001C616D">
            <w:pPr>
              <w:spacing w:after="0" w:line="240" w:lineRule="auto"/>
              <w:jc w:val="center"/>
              <w:rPr>
                <w:rFonts w:ascii="Calibri" w:hAnsi="Calibri"/>
                <w:szCs w:val="20"/>
                <w:lang w:val="en-US"/>
              </w:rPr>
            </w:pPr>
            <w:r>
              <w:rPr>
                <w:noProof/>
                <w:lang w:eastAsia="en-AU"/>
              </w:rPr>
              <w:drawing>
                <wp:inline distT="0" distB="0" distL="0" distR="0" wp14:anchorId="69856ED0" wp14:editId="3EF907B1">
                  <wp:extent cx="5702300" cy="1604645"/>
                  <wp:effectExtent l="0" t="0" r="0" b="0"/>
                  <wp:docPr id="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2300" cy="1604645"/>
                          </a:xfrm>
                          <a:prstGeom prst="rect">
                            <a:avLst/>
                          </a:prstGeom>
                          <a:noFill/>
                          <a:ln>
                            <a:noFill/>
                          </a:ln>
                        </pic:spPr>
                      </pic:pic>
                    </a:graphicData>
                  </a:graphic>
                </wp:inline>
              </w:drawing>
            </w:r>
          </w:p>
        </w:tc>
      </w:tr>
    </w:tbl>
    <w:p w:rsidR="007718C7" w:rsidRDefault="007718C7" w:rsidP="00B912D2">
      <w:pPr>
        <w:spacing w:after="0"/>
      </w:pPr>
    </w:p>
    <w:p w:rsidR="007718C7" w:rsidRDefault="004260CF" w:rsidP="004F7473">
      <w:r>
        <w:t>The results show that o</w:t>
      </w:r>
      <w:r w:rsidRPr="004260CF">
        <w:t>verall, there was a change in AR-DRG for 3.1% of episodes. This was made up of 0.2% episodes being grouped to another ADRG, and 2.9% of episodes changing severity level within an ADRG block. Therefore, close to 97% of episodes did not result in a changed AR-DRG once the diagnosis(es) being reported as onset during the hospital stay was removed. There are a number of reasons for this</w:t>
      </w:r>
      <w:r w:rsidR="007718C7">
        <w:t>:</w:t>
      </w:r>
    </w:p>
    <w:p w:rsidR="007718C7" w:rsidRPr="004260CF" w:rsidRDefault="007718C7" w:rsidP="002002B2">
      <w:pPr>
        <w:pStyle w:val="ListParagraph"/>
        <w:numPr>
          <w:ilvl w:val="0"/>
          <w:numId w:val="25"/>
        </w:numPr>
        <w:contextualSpacing w:val="0"/>
      </w:pPr>
      <w:r w:rsidRPr="004260CF">
        <w:t>Of the 708 AR-DRGs in version 6.0x, 148 (21%) only have a single severity level (i.e. those with a ‘Z’ suffix).</w:t>
      </w:r>
    </w:p>
    <w:p w:rsidR="007718C7" w:rsidRPr="004260CF" w:rsidRDefault="007718C7" w:rsidP="002002B2">
      <w:pPr>
        <w:pStyle w:val="ListParagraph"/>
        <w:numPr>
          <w:ilvl w:val="0"/>
          <w:numId w:val="25"/>
        </w:numPr>
        <w:contextualSpacing w:val="0"/>
      </w:pPr>
      <w:r w:rsidRPr="004260CF">
        <w:t xml:space="preserve">Of the approximately 19,500 valid ICD-10-AM diagnosis codes, just over 3,000 are recognised as CCs (i.e. have a CCL value of greater than zero) for neonates and just under 3,000 codes are recognised as such for all other patients in the AR-DRG grouper.  Also, although an additional diagnosis might be recognised as a CC, the severity level is overwritten with a zero if 1) the CC is part of definition of the ADRG (e.g. multiple trauma); 2) it is closely related to the principal diagnosis; or 3) it is already on the record (i.e. duplicate code).  </w:t>
      </w:r>
    </w:p>
    <w:p w:rsidR="007718C7" w:rsidRPr="004260CF" w:rsidRDefault="007718C7" w:rsidP="00AC2A49">
      <w:pPr>
        <w:pStyle w:val="ListParagraph"/>
        <w:ind w:left="714"/>
        <w:contextualSpacing w:val="0"/>
      </w:pPr>
      <w:r w:rsidRPr="004260CF">
        <w:t>It is possible that the removal of COF diagnoses does not significantly alter AR-DRG assignment because the ‘remaining’ patient diagnoses ensure the episode stays in the higher complexity AR-DRG. That is, patients with more comorbidities may be more likely to have a COF diagnosis, and these comorbidities contribute to the AR-DRG assignment more significantly than the COF diagnoses.</w:t>
      </w:r>
    </w:p>
    <w:p w:rsidR="007718C7" w:rsidRPr="004260CF" w:rsidRDefault="007718C7" w:rsidP="00AC2A49">
      <w:pPr>
        <w:pStyle w:val="ListParagraph"/>
        <w:numPr>
          <w:ilvl w:val="0"/>
          <w:numId w:val="25"/>
        </w:numPr>
        <w:contextualSpacing w:val="0"/>
      </w:pPr>
      <w:r w:rsidRPr="004260CF">
        <w:t xml:space="preserve">Procedures are retained in the re-assignment process, whether or not they are necessitated by a hospital-acquired diagnosis.  Procedures determine AR-DRG assignment in 364 of the 708 (51%) AR-DRGs in version 6.0x.  With the current data collection specifications and standards used in Australia (and comparable countries), it is not possible to directly link the provision of a particular procedure with any diagnosis(es), including those that are acquired during a hospital stay.   Therefore, an implicit assumption in this analysis (and prior analyses of similar data e.g. </w:t>
      </w:r>
      <w:hyperlink w:anchor="_ENREF_21" w:tooltip="Jackson, 2011 #8" w:history="1">
        <w:r w:rsidR="00C33CAE" w:rsidRPr="004260CF">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 </w:instrText>
        </w:r>
        <w:r w:rsidR="00C33CAE">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EN.CITE.DATA </w:instrText>
        </w:r>
        <w:r w:rsidR="00C33CAE">
          <w:fldChar w:fldCharType="end"/>
        </w:r>
        <w:r w:rsidR="00C33CAE" w:rsidRPr="004260CF">
          <w:fldChar w:fldCharType="separate"/>
        </w:r>
        <w:r w:rsidR="00C33CAE">
          <w:rPr>
            <w:noProof/>
          </w:rPr>
          <w:t>Jackson et al., 2011</w:t>
        </w:r>
        <w:r w:rsidR="00C33CAE" w:rsidRPr="004260CF">
          <w:fldChar w:fldCharType="end"/>
        </w:r>
      </w:hyperlink>
      <w:r w:rsidRPr="004260CF">
        <w:t xml:space="preserve">, </w:t>
      </w:r>
      <w:hyperlink w:anchor="_ENREF_10" w:tooltip="Fuller, 2009 #48" w:history="1">
        <w:r w:rsidR="00C33CAE" w:rsidRPr="004260CF">
          <w:fldChar w:fldCharType="begin"/>
        </w:r>
        <w:r w:rsidR="00C33CAE">
          <w:instrText xml:space="preserve"> ADDIN EN.CITE &lt;EndNote&gt;&lt;Cite&gt;&lt;Author&gt;Fuller&lt;/Author&gt;&lt;Year&gt;2009&lt;/Year&gt;&lt;RecNum&gt;48&lt;/RecNum&gt;&lt;DisplayText&gt;Fuller et al., 2009&lt;/DisplayText&gt;&lt;record&gt;&lt;rec-number&gt;48&lt;/rec-number&gt;&lt;foreign-keys&gt;&lt;key app="EN" db-id="92tftt5v2arxd6e9wzr50w2w0rz0epx099ft" timestamp="1378362726"&gt;48&lt;/key&gt;&lt;/foreign-keys&gt;&lt;ref-type name="Journal Article"&gt;17&lt;/ref-type&gt;&lt;contributors&gt;&lt;authors&gt;&lt;author&gt;Fuller, R. L.&lt;/author&gt;&lt;author&gt;McCullough, E. C.&lt;/author&gt;&lt;author&gt;Bao, M. Z.&lt;/author&gt;&lt;author&gt;Averill, R. F.&lt;/author&gt;&lt;/authors&gt;&lt;/contributors&gt;&lt;auth-address&gt;3M Health Information Systems, Silver Spring, Maryland 20904, USA. rlfuller@mmm.com&lt;/auth-address&gt;&lt;titles&gt;&lt;title&gt;Estimating the costs of potentially preventable hospital acquired complications&lt;/title&gt;&lt;secondary-title&gt;Health Care Financ Rev&lt;/secondary-title&gt;&lt;alt-title&gt;Health care financing review&lt;/alt-title&gt;&lt;/titles&gt;&lt;alt-periodical&gt;&lt;full-title&gt;Health Care Financing Review&lt;/full-title&gt;&lt;/alt-periodical&gt;&lt;pages&gt;17-32&lt;/pages&gt;&lt;volume&gt;30&lt;/volume&gt;&lt;number&gt;4&lt;/number&gt;&lt;edition&gt;2009/09/02&lt;/edition&gt;&lt;keywords&gt;&lt;keyword&gt;Costs and Cost Analysis&lt;/keyword&gt;&lt;keyword&gt;Cross Infection/*economics&lt;/keyword&gt;&lt;keyword&gt;Economics, Hospital&lt;/keyword&gt;&lt;keyword&gt;*Health Care Costs&lt;/keyword&gt;&lt;keyword&gt;Humans&lt;/keyword&gt;&lt;keyword&gt;Linear Models&lt;/keyword&gt;&lt;keyword&gt;Medical Errors/*economics&lt;/keyword&gt;&lt;keyword&gt;Postoperative Complications/*economics&lt;/keyword&gt;&lt;keyword&gt;United States&lt;/keyword&gt;&lt;/keywords&gt;&lt;dates&gt;&lt;year&gt;2009&lt;/year&gt;&lt;pub-dates&gt;&lt;date&gt;Summer&lt;/date&gt;&lt;/pub-dates&gt;&lt;/dates&gt;&lt;isbn&gt;0195-8631 (Print)&amp;#xD;0195-8631 (Linking)&lt;/isbn&gt;&lt;accession-num&gt;19719030&lt;/accession-num&gt;&lt;urls&gt;&lt;related-urls&gt;&lt;url&gt;http://www.ncbi.nlm.nih.gov/pubmed/19719030&lt;/url&gt;&lt;/related-urls&gt;&lt;/urls&gt;&lt;language&gt;eng&lt;/language&gt;&lt;/record&gt;&lt;/Cite&gt;&lt;/EndNote&gt;</w:instrText>
        </w:r>
        <w:r w:rsidR="00C33CAE" w:rsidRPr="004260CF">
          <w:fldChar w:fldCharType="separate"/>
        </w:r>
        <w:r w:rsidR="00C33CAE">
          <w:rPr>
            <w:noProof/>
          </w:rPr>
          <w:t>Fuller et al., 2009</w:t>
        </w:r>
        <w:r w:rsidR="00C33CAE" w:rsidRPr="004260CF">
          <w:fldChar w:fldCharType="end"/>
        </w:r>
      </w:hyperlink>
      <w:r w:rsidRPr="004260CF">
        <w:t xml:space="preserve">, </w:t>
      </w:r>
      <w:hyperlink w:anchor="_ENREF_33" w:tooltip="Zhan, 2003 #96" w:history="1">
        <w:r w:rsidR="00C33CAE" w:rsidRPr="004260CF">
          <w:fldChar w:fldCharType="begin">
            <w:fldData xml:space="preserve">PEVuZE5vdGU+PENpdGU+PEF1dGhvcj5aaGFuPC9BdXRob3I+PFllYXI+MjAwMzwvWWVhcj48UmVj
TnVtPjk2PC9SZWNOdW0+PERpc3BsYXlUZXh0PlpoYW4gJmFtcDsgTWlsbGVyLCAyMDAzPC9EaXNw
bGF5VGV4dD48cmVjb3JkPjxyZWMtbnVtYmVyPjk2PC9yZWMtbnVtYmVyPjxmb3JlaWduLWtleXM+
PGtleSBhcHA9IkVOIiBkYi1pZD0iOTJ0ZnR0NXYyYXJ4ZDZlOXd6cjUwdzJ3MHJ6MGVweDA5OWZ0
IiB0aW1lc3RhbXA9IjEzNzg1MjgzNjciPjk2PC9rZXk+PC9mb3JlaWduLWtleXM+PHJlZi10eXBl
IG5hbWU9IkpvdXJuYWwgQXJ0aWNsZSI+MTc8L3JlZi10eXBlPjxjb250cmlidXRvcnM+PGF1dGhv
cnM+PGF1dGhvcj5aaGFuLCBDPC9hdXRob3I+PGF1dGhvcj5NaWxsZXIsIE0uIFI8L2F1dGhvcj48
L2F1dGhvcnM+PC9jb250cmlidXRvcnM+PGF1dGgtYWRkcmVzcz5DZW50ZXIgZm9yIFF1YWxpdHkg
SW1wcm92ZW1lbnQgYW5kIFBhdGllbnQgU2FmZXR5LCBBZ2VuY3kgZm9yIEhlYWx0aGNhcmUgUmVz
ZWFyY2ggYW5kIFF1YWxpdHksIERlcGFydG1lbnQgb2YgSGVhbHRoIGFuZCBIdW1hbiBTZXJ2aWNl
cywgUm9ja3ZpbGxlLCBNZCAyMDg1MCwgVVNBLiBjemhhbkBhaHJxLmdvdjwvYXV0aC1hZGRyZXNz
Pjx0aXRsZXM+PHRpdGxlPkV4Y2VzcyBsZW5ndGggb2Ygc3RheSwgY2hhcmdlcywgYW5kIG1vcnRh
bGl0eSBhdHRyaWJ1dGFibGUgdG8gbWVkaWNhbCBpbmp1cmllcyBkdXJpbmcgaG9zcGl0YWxpemF0
aW9uPC90aXRsZT48c2Vjb25kYXJ5LXRpdGxlPkpBTUE8L3NlY29uZGFyeS10aXRsZT48YWx0LXRp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ZXJpY2FuIE1lZGljYWwgQXNzb2NpYXRpb248L2FiYnItMT48L2FsdC1wZXJpb2RpY2FsPjxwYWdl
cz4xODY4LTc0PC9wYWdlcz48dm9sdW1lPjI5MDwvdm9sdW1lPjxudW1iZXI+MTQ8L251bWJlcj48
ZWRpdGlvbj4yMDAzLzEwLzA5PC9lZGl0aW9uPjxrZXl3b3Jkcz48a2V5d29yZD5EaWFnbm9zaXMt
UmVsYXRlZCBHcm91cHM8L2tleXdvcmQ+PGtleXdvcmQ+SGVhbHRoIFNlcnZpY2VzIFJlc2VhcmNo
PC9rZXl3b3JkPjxrZXl3b3JkPkhvc3BpdGFsIENoYXJnZXMvKnN0YXRpc3RpY3MgJmFtcDsgbnVt
ZXJpY2FsIGRhdGE8L2tleXdvcmQ+PGtleXdvcmQ+Kkhvc3BpdGFsIE1vcnRhbGl0eTwva2V5d29y
ZD48a2V5d29yZD5IdW1hbnM8L2tleXdvcmQ+PGtleXdvcmQ+SW50ZXJuYXRpb25hbCBDbGFzc2lm
aWNhdGlvbiBvZiBEaXNlYXNlczwva2V5d29yZD48a2V5d29yZD5MZW5ndGggb2YgU3RheS9lY29u
b21pY3MvKnN0YXRpc3RpY3MgJmFtcDsgbnVtZXJpY2FsIGRhdGE8L2tleXdvcmQ+PGtleXdvcmQ+
TWVkaWNhbCBFcnJvcnMvZWNvbm9taWNzLypzdGF0aXN0aWNzICZhbXA7IG51bWVyaWNhbCBkYXRh
PC9rZXl3b3JkPjxrZXl3b3JkPk91dGNvbWUgQXNzZXNzbWVudCAoSGVhbHRoIENhcmUpPC9rZXl3
b3JkPjxrZXl3b3JkPlBvc3RvcGVyYXRpdmUgQ29tcGxpY2F0aW9ucy9lY29ub21pY3MvZXBpZGVt
aW9sb2d5PC9rZXl3b3JkPjxrZXl3b3JkPlF1YWxpdHkgSW5kaWNhdG9ycywgSGVhbHRoIENhcmU8
L2tleXdvcmQ+PGtleXdvcmQ+UXVhbGl0eSBvZiBIZWFsdGggQ2FyZS8qc3RhdGlzdGljcyAmYW1w
OyBudW1lcmljYWwgZGF0YTwva2V5d29yZD48a2V5d29yZD5Vbml0ZWQgU3RhdGVzL2VwaWRlbWlv
bG9neTwva2V5d29yZD48a2V5d29yZD5Vbml0ZWQgU3RhdGVzIEFnZW5jeSBmb3IgSGVhbHRoY2Fy
ZSBSZXNlYXJjaCBhbmQgUXVhbGl0eTwva2V5d29yZD48L2tleXdvcmRzPjxkYXRlcz48eWVhcj4y
MDAzPC95ZWFyPjxwdWItZGF0ZXM+PGRhdGU+T2N0IDg8L2RhdGU+PC9wdWItZGF0ZXM+PC9kYXRl
cz48aXNibj4xNTM4LTM1OTggKEVsZWN0cm9uaWMpJiN4RDswMDk4LTc0ODQgKExpbmtpbmcpPC9p
c2JuPjxhY2Nlc3Npb24tbnVtPjE0NTMyMzE1PC9hY2Nlc3Npb24tbnVtPjx3b3JrLXR5cGU+RXZh
bHVhdGlvbiBTdHVkaWVzPC93b3JrLXR5cGU+PHVybHM+PHJlbGF0ZWQtdXJscz48dXJsPmh0dHA6
Ly93d3cubmNiaS5ubG0ubmloLmdvdi9wdWJtZWQvMTQ1MzIzMTU8L3VybD48L3JlbGF0ZWQtdXJs
cz48L3VybHM+PGVsZWN0cm9uaWMtcmVzb3VyY2UtbnVtPjEwLjEwMDEvamFtYS4yOTAuMTQuMTg2
ODwvZWxlY3Ryb25pYy1yZXNvdXJjZS1udW0+PGxhbmd1YWdlPmVuZzwvbGFuZ3VhZ2U+PC9yZWNv
cmQ+PC9DaXRlPjwvRW5kTm90ZT4A
</w:fldData>
          </w:fldChar>
        </w:r>
        <w:r w:rsidR="00C33CAE">
          <w:instrText xml:space="preserve"> ADDIN EN.CITE </w:instrText>
        </w:r>
        <w:r w:rsidR="00C33CAE">
          <w:fldChar w:fldCharType="begin">
            <w:fldData xml:space="preserve">PEVuZE5vdGU+PENpdGU+PEF1dGhvcj5aaGFuPC9BdXRob3I+PFllYXI+MjAwMzwvWWVhcj48UmVj
TnVtPjk2PC9SZWNOdW0+PERpc3BsYXlUZXh0PlpoYW4gJmFtcDsgTWlsbGVyLCAyMDAzPC9EaXNw
bGF5VGV4dD48cmVjb3JkPjxyZWMtbnVtYmVyPjk2PC9yZWMtbnVtYmVyPjxmb3JlaWduLWtleXM+
PGtleSBhcHA9IkVOIiBkYi1pZD0iOTJ0ZnR0NXYyYXJ4ZDZlOXd6cjUwdzJ3MHJ6MGVweDA5OWZ0
IiB0aW1lc3RhbXA9IjEzNzg1MjgzNjciPjk2PC9rZXk+PC9mb3JlaWduLWtleXM+PHJlZi10eXBl
IG5hbWU9IkpvdXJuYWwgQXJ0aWNsZSI+MTc8L3JlZi10eXBlPjxjb250cmlidXRvcnM+PGF1dGhv
cnM+PGF1dGhvcj5aaGFuLCBDPC9hdXRob3I+PGF1dGhvcj5NaWxsZXIsIE0uIFI8L2F1dGhvcj48
L2F1dGhvcnM+PC9jb250cmlidXRvcnM+PGF1dGgtYWRkcmVzcz5DZW50ZXIgZm9yIFF1YWxpdHkg
SW1wcm92ZW1lbnQgYW5kIFBhdGllbnQgU2FmZXR5LCBBZ2VuY3kgZm9yIEhlYWx0aGNhcmUgUmVz
ZWFyY2ggYW5kIFF1YWxpdHksIERlcGFydG1lbnQgb2YgSGVhbHRoIGFuZCBIdW1hbiBTZXJ2aWNl
cywgUm9ja3ZpbGxlLCBNZCAyMDg1MCwgVVNBLiBjemhhbkBhaHJxLmdvdjwvYXV0aC1hZGRyZXNz
Pjx0aXRsZXM+PHRpdGxlPkV4Y2VzcyBsZW5ndGggb2Ygc3RheSwgY2hhcmdlcywgYW5kIG1vcnRh
bGl0eSBhdHRyaWJ1dGFibGUgdG8gbWVkaWNhbCBpbmp1cmllcyBkdXJpbmcgaG9zcGl0YWxpemF0
aW9uPC90aXRsZT48c2Vjb25kYXJ5LXRpdGxlPkpBTUE8L3NlY29uZGFyeS10aXRsZT48YWx0LXRp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ZXJpY2FuIE1lZGljYWwgQXNzb2NpYXRpb248L2FiYnItMT48L2FsdC1wZXJpb2RpY2FsPjxwYWdl
cz4xODY4LTc0PC9wYWdlcz48dm9sdW1lPjI5MDwvdm9sdW1lPjxudW1iZXI+MTQ8L251bWJlcj48
ZWRpdGlvbj4yMDAzLzEwLzA5PC9lZGl0aW9uPjxrZXl3b3Jkcz48a2V5d29yZD5EaWFnbm9zaXMt
UmVsYXRlZCBHcm91cHM8L2tleXdvcmQ+PGtleXdvcmQ+SGVhbHRoIFNlcnZpY2VzIFJlc2VhcmNo
PC9rZXl3b3JkPjxrZXl3b3JkPkhvc3BpdGFsIENoYXJnZXMvKnN0YXRpc3RpY3MgJmFtcDsgbnVt
ZXJpY2FsIGRhdGE8L2tleXdvcmQ+PGtleXdvcmQ+Kkhvc3BpdGFsIE1vcnRhbGl0eTwva2V5d29y
ZD48a2V5d29yZD5IdW1hbnM8L2tleXdvcmQ+PGtleXdvcmQ+SW50ZXJuYXRpb25hbCBDbGFzc2lm
aWNhdGlvbiBvZiBEaXNlYXNlczwva2V5d29yZD48a2V5d29yZD5MZW5ndGggb2YgU3RheS9lY29u
b21pY3MvKnN0YXRpc3RpY3MgJmFtcDsgbnVtZXJpY2FsIGRhdGE8L2tleXdvcmQ+PGtleXdvcmQ+
TWVkaWNhbCBFcnJvcnMvZWNvbm9taWNzLypzdGF0aXN0aWNzICZhbXA7IG51bWVyaWNhbCBkYXRh
PC9rZXl3b3JkPjxrZXl3b3JkPk91dGNvbWUgQXNzZXNzbWVudCAoSGVhbHRoIENhcmUpPC9rZXl3
b3JkPjxrZXl3b3JkPlBvc3RvcGVyYXRpdmUgQ29tcGxpY2F0aW9ucy9lY29ub21pY3MvZXBpZGVt
aW9sb2d5PC9rZXl3b3JkPjxrZXl3b3JkPlF1YWxpdHkgSW5kaWNhdG9ycywgSGVhbHRoIENhcmU8
L2tleXdvcmQ+PGtleXdvcmQ+UXVhbGl0eSBvZiBIZWFsdGggQ2FyZS8qc3RhdGlzdGljcyAmYW1w
OyBudW1lcmljYWwgZGF0YTwva2V5d29yZD48a2V5d29yZD5Vbml0ZWQgU3RhdGVzL2VwaWRlbWlv
bG9neTwva2V5d29yZD48a2V5d29yZD5Vbml0ZWQgU3RhdGVzIEFnZW5jeSBmb3IgSGVhbHRoY2Fy
ZSBSZXNlYXJjaCBhbmQgUXVhbGl0eTwva2V5d29yZD48L2tleXdvcmRzPjxkYXRlcz48eWVhcj4y
MDAzPC95ZWFyPjxwdWItZGF0ZXM+PGRhdGU+T2N0IDg8L2RhdGU+PC9wdWItZGF0ZXM+PC9kYXRl
cz48aXNibj4xNTM4LTM1OTggKEVsZWN0cm9uaWMpJiN4RDswMDk4LTc0ODQgKExpbmtpbmcpPC9p
c2JuPjxhY2Nlc3Npb24tbnVtPjE0NTMyMzE1PC9hY2Nlc3Npb24tbnVtPjx3b3JrLXR5cGU+RXZh
bHVhdGlvbiBTdHVkaWVzPC93b3JrLXR5cGU+PHVybHM+PHJlbGF0ZWQtdXJscz48dXJsPmh0dHA6
Ly93d3cubmNiaS5ubG0ubmloLmdvdi9wdWJtZWQvMTQ1MzIzMTU8L3VybD48L3JlbGF0ZWQtdXJs
cz48L3VybHM+PGVsZWN0cm9uaWMtcmVzb3VyY2UtbnVtPjEwLjEwMDEvamFtYS4yOTAuMTQuMTg2
ODwvZWxlY3Ryb25pYy1yZXNvdXJjZS1udW0+PGxhbmd1YWdlPmVuZzwvbGFuZ3VhZ2U+PC9yZWNv
cmQ+PC9DaXRlPjwvRW5kTm90ZT4A
</w:fldData>
          </w:fldChar>
        </w:r>
        <w:r w:rsidR="00C33CAE">
          <w:instrText xml:space="preserve"> ADDIN EN.CITE.DATA </w:instrText>
        </w:r>
        <w:r w:rsidR="00C33CAE">
          <w:fldChar w:fldCharType="end"/>
        </w:r>
        <w:r w:rsidR="00C33CAE" w:rsidRPr="004260CF">
          <w:fldChar w:fldCharType="separate"/>
        </w:r>
        <w:r w:rsidR="00C33CAE">
          <w:rPr>
            <w:noProof/>
          </w:rPr>
          <w:t>Zhan &amp; Miller, 2003</w:t>
        </w:r>
        <w:r w:rsidR="00C33CAE" w:rsidRPr="004260CF">
          <w:fldChar w:fldCharType="end"/>
        </w:r>
      </w:hyperlink>
      <w:r w:rsidRPr="004260CF">
        <w:t>) is that procedures are not related to diagnoses that were flagged as hospital-acquired (except in the case of tracheostomy and ventilation). Although it may be possible to link individual procedures to specific diagnoses, this would require considerable investment in conceptualising and researching the issue, and in developing relevant data standards (including education in applying these).</w:t>
      </w:r>
    </w:p>
    <w:p w:rsidR="007718C7" w:rsidRDefault="00F50FB9" w:rsidP="00ED19E4">
      <w:r>
        <w:fldChar w:fldCharType="begin"/>
      </w:r>
      <w:r>
        <w:instrText xml:space="preserve"> REF _Ref367304292 \h  \* MERGEFORMAT </w:instrText>
      </w:r>
      <w:r>
        <w:fldChar w:fldCharType="separate"/>
      </w:r>
      <w:r w:rsidR="00363A39" w:rsidRPr="00363A39">
        <w:t>Table 12</w:t>
      </w:r>
      <w:r>
        <w:fldChar w:fldCharType="end"/>
      </w:r>
      <w:r w:rsidR="007718C7" w:rsidRPr="00ED19E4">
        <w:t xml:space="preserve"> highlights the twenty ADRGs in which there was the greatest proportion of episodes that either changed ADRG or the level within an ADRG. </w:t>
      </w:r>
    </w:p>
    <w:p w:rsidR="007718C7" w:rsidRDefault="007718C7" w:rsidP="00ED19E4">
      <w:r w:rsidRPr="00ED19E4">
        <w:lastRenderedPageBreak/>
        <w:t xml:space="preserve">The </w:t>
      </w:r>
      <w:r>
        <w:t>t</w:t>
      </w:r>
      <w:r w:rsidRPr="00ED19E4">
        <w:t>racheostomy/</w:t>
      </w:r>
      <w:r>
        <w:t>ventilation AR-</w:t>
      </w:r>
      <w:r w:rsidRPr="00ED19E4">
        <w:t>DRGs account for the vast majority of changes in ADRGs.</w:t>
      </w:r>
      <w:r>
        <w:t xml:space="preserve"> (Note that the tracheostomy and ventilation procedures may or may not have been necessitated by a hospital-acquired diagnosis. See </w:t>
      </w:r>
      <w:r>
        <w:fldChar w:fldCharType="begin"/>
      </w:r>
      <w:r>
        <w:instrText xml:space="preserve"> REF _Ref371086190 \r \h </w:instrText>
      </w:r>
      <w:r>
        <w:fldChar w:fldCharType="separate"/>
      </w:r>
      <w:r w:rsidR="00363A39">
        <w:t>c</w:t>
      </w:r>
      <w:r>
        <w:fldChar w:fldCharType="end"/>
      </w:r>
      <w:r>
        <w:t xml:space="preserve">, page </w:t>
      </w:r>
      <w:r>
        <w:fldChar w:fldCharType="begin"/>
      </w:r>
      <w:r>
        <w:instrText xml:space="preserve"> PAGEREF _Ref371086190 \h </w:instrText>
      </w:r>
      <w:r>
        <w:fldChar w:fldCharType="separate"/>
      </w:r>
      <w:r w:rsidR="00363A39">
        <w:rPr>
          <w:noProof/>
        </w:rPr>
        <w:t>33</w:t>
      </w:r>
      <w:r>
        <w:fldChar w:fldCharType="end"/>
      </w:r>
      <w:r>
        <w:t xml:space="preserve"> above.) </w:t>
      </w:r>
      <w:r w:rsidRPr="00ED19E4">
        <w:t>In terms of episode numbers, the vaginal delivery AR-DRGs account for the largest shifts between levels within an ADRG.  Otherwise, ADRGs with significant changes are mainly surgical/procedural.</w:t>
      </w:r>
      <w:r>
        <w:t xml:space="preserve"> </w:t>
      </w:r>
    </w:p>
    <w:tbl>
      <w:tblPr>
        <w:tblW w:w="9747" w:type="dxa"/>
        <w:jc w:val="center"/>
        <w:tblLook w:val="00A0" w:firstRow="1" w:lastRow="0" w:firstColumn="1" w:lastColumn="0" w:noHBand="0" w:noVBand="0"/>
      </w:tblPr>
      <w:tblGrid>
        <w:gridCol w:w="9747"/>
      </w:tblGrid>
      <w:tr w:rsidR="007718C7" w:rsidRPr="00864829" w:rsidTr="00E2124E">
        <w:trPr>
          <w:jc w:val="center"/>
        </w:trPr>
        <w:tc>
          <w:tcPr>
            <w:tcW w:w="9747" w:type="dxa"/>
          </w:tcPr>
          <w:p w:rsidR="007718C7" w:rsidRPr="00917904" w:rsidRDefault="007718C7" w:rsidP="007847F7">
            <w:pPr>
              <w:spacing w:after="0" w:line="240" w:lineRule="auto"/>
              <w:contextualSpacing/>
              <w:jc w:val="center"/>
              <w:rPr>
                <w:b/>
                <w:sz w:val="18"/>
                <w:szCs w:val="18"/>
                <w:lang w:val="en-US"/>
              </w:rPr>
            </w:pPr>
            <w:r>
              <w:br w:type="page"/>
            </w:r>
            <w:bookmarkStart w:id="49" w:name="_Ref367304292"/>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12</w:t>
            </w:r>
            <w:r w:rsidRPr="00917904">
              <w:rPr>
                <w:b/>
                <w:sz w:val="18"/>
                <w:szCs w:val="18"/>
                <w:lang w:val="en-US"/>
              </w:rPr>
              <w:fldChar w:fldCharType="end"/>
            </w:r>
            <w:bookmarkEnd w:id="49"/>
            <w:r w:rsidRPr="00917904">
              <w:rPr>
                <w:b/>
                <w:sz w:val="18"/>
                <w:szCs w:val="18"/>
                <w:lang w:val="en-US"/>
              </w:rPr>
              <w:t xml:space="preserve"> – ADRGs where there was a significant change in AR-DRG following regrouping </w:t>
            </w:r>
          </w:p>
          <w:p w:rsidR="007718C7" w:rsidRPr="00864829" w:rsidRDefault="007718C7" w:rsidP="007847F7">
            <w:pPr>
              <w:spacing w:after="0" w:line="240" w:lineRule="auto"/>
              <w:contextualSpacing/>
              <w:jc w:val="center"/>
              <w:rPr>
                <w:rFonts w:ascii="Calibri" w:hAnsi="Calibri"/>
                <w:b/>
                <w:sz w:val="18"/>
                <w:szCs w:val="18"/>
                <w:lang w:val="en-US"/>
              </w:rPr>
            </w:pPr>
            <w:r w:rsidRPr="00917904">
              <w:rPr>
                <w:b/>
                <w:sz w:val="18"/>
                <w:szCs w:val="18"/>
                <w:lang w:val="en-US"/>
              </w:rPr>
              <w:t>excluding condition onset diagnoses, NHCDC, 2011-12</w:t>
            </w:r>
          </w:p>
        </w:tc>
      </w:tr>
      <w:tr w:rsidR="007718C7" w:rsidRPr="00864829" w:rsidTr="001C616D">
        <w:trPr>
          <w:jc w:val="center"/>
        </w:trPr>
        <w:tc>
          <w:tcPr>
            <w:tcW w:w="9747" w:type="dxa"/>
          </w:tcPr>
          <w:p w:rsidR="007718C7" w:rsidRPr="00864829" w:rsidRDefault="009B164C" w:rsidP="00E2124E">
            <w:pPr>
              <w:spacing w:after="0" w:line="240" w:lineRule="auto"/>
              <w:jc w:val="center"/>
              <w:rPr>
                <w:rFonts w:ascii="Calibri" w:hAnsi="Calibri"/>
                <w:szCs w:val="20"/>
                <w:lang w:val="en-US"/>
              </w:rPr>
            </w:pPr>
            <w:r>
              <w:rPr>
                <w:noProof/>
                <w:lang w:eastAsia="en-AU"/>
              </w:rPr>
              <w:drawing>
                <wp:inline distT="0" distB="0" distL="0" distR="0" wp14:anchorId="72A8DAE1" wp14:editId="52E1D1D0">
                  <wp:extent cx="5667375" cy="4839335"/>
                  <wp:effectExtent l="0" t="0" r="9525" b="0"/>
                  <wp:docPr id="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4839335"/>
                          </a:xfrm>
                          <a:prstGeom prst="rect">
                            <a:avLst/>
                          </a:prstGeom>
                          <a:noFill/>
                          <a:ln>
                            <a:noFill/>
                          </a:ln>
                        </pic:spPr>
                      </pic:pic>
                    </a:graphicData>
                  </a:graphic>
                </wp:inline>
              </w:drawing>
            </w:r>
          </w:p>
        </w:tc>
      </w:tr>
    </w:tbl>
    <w:p w:rsidR="007718C7" w:rsidRDefault="007718C7" w:rsidP="00EA3FD8">
      <w:pPr>
        <w:spacing w:after="0"/>
      </w:pPr>
    </w:p>
    <w:p w:rsidR="007718C7" w:rsidRDefault="007718C7" w:rsidP="005C40F8">
      <w:pPr>
        <w:sectPr w:rsidR="007718C7" w:rsidSect="00915342">
          <w:headerReference w:type="first" r:id="rId46"/>
          <w:pgSz w:w="11906" w:h="16838"/>
          <w:pgMar w:top="1440" w:right="1440" w:bottom="1440" w:left="1440" w:header="708" w:footer="708" w:gutter="0"/>
          <w:cols w:space="708"/>
          <w:titlePg/>
          <w:docGrid w:linePitch="360"/>
        </w:sectPr>
      </w:pPr>
      <w:r w:rsidRPr="00EA6562">
        <w:t xml:space="preserve">In short, there are several limitations of examining the effect of </w:t>
      </w:r>
      <w:r>
        <w:t>hospital-acquired</w:t>
      </w:r>
      <w:r w:rsidRPr="00EA6562">
        <w:t xml:space="preserve"> conditions on case complexity and AR-DRG grouping. The classification system is not particularly sensitive to factoring in </w:t>
      </w:r>
      <w:r>
        <w:t>additional</w:t>
      </w:r>
      <w:r w:rsidRPr="00EA6562">
        <w:t xml:space="preserve"> diagnoses (whether they are pre-existing or </w:t>
      </w:r>
      <w:r>
        <w:t>hospital-acquired</w:t>
      </w:r>
      <w:r w:rsidRPr="00EA6562">
        <w:t xml:space="preserve">). In addition, only the removal of </w:t>
      </w:r>
      <w:r>
        <w:t xml:space="preserve">hospital-acquired </w:t>
      </w:r>
      <w:r w:rsidRPr="00EA6562">
        <w:t>conditions is possible. Procedures th</w:t>
      </w:r>
      <w:r>
        <w:t>at are the result of hospital-</w:t>
      </w:r>
      <w:r w:rsidRPr="00EA6562">
        <w:t>acquired</w:t>
      </w:r>
      <w:r>
        <w:t xml:space="preserve"> conditions</w:t>
      </w:r>
      <w:r w:rsidRPr="00EA6562">
        <w:t xml:space="preserve"> </w:t>
      </w:r>
      <w:r>
        <w:t>are not specifically identified, and these may be driving AR-DRG assignment</w:t>
      </w:r>
      <w:r w:rsidRPr="00EA6562">
        <w:t>.</w:t>
      </w:r>
    </w:p>
    <w:p w:rsidR="007718C7" w:rsidRDefault="007718C7" w:rsidP="002002B2">
      <w:pPr>
        <w:pStyle w:val="Heading1"/>
        <w:numPr>
          <w:ilvl w:val="0"/>
          <w:numId w:val="6"/>
        </w:numPr>
        <w:ind w:left="0" w:hanging="851"/>
        <w:rPr>
          <w:b w:val="0"/>
          <w:sz w:val="92"/>
          <w:szCs w:val="28"/>
        </w:rPr>
      </w:pPr>
      <w:bookmarkStart w:id="50" w:name="_Toc374114592"/>
      <w:r>
        <w:rPr>
          <w:b w:val="0"/>
          <w:sz w:val="92"/>
          <w:szCs w:val="28"/>
        </w:rPr>
        <w:lastRenderedPageBreak/>
        <w:t>I</w:t>
      </w:r>
      <w:r w:rsidRPr="00E5676C">
        <w:rPr>
          <w:b w:val="0"/>
          <w:sz w:val="92"/>
          <w:szCs w:val="28"/>
        </w:rPr>
        <w:t>mpact on cost and length of stay</w:t>
      </w:r>
      <w:bookmarkEnd w:id="50"/>
    </w:p>
    <w:p w:rsidR="007718C7" w:rsidRPr="004F48A9" w:rsidRDefault="007718C7" w:rsidP="00A7281A">
      <w:pPr>
        <w:jc w:val="both"/>
      </w:pPr>
      <w:r>
        <w:t>This Chapter</w:t>
      </w:r>
      <w:r w:rsidRPr="004F48A9">
        <w:t xml:space="preserve"> shows the results of the impact of the presence of COF diagnoses on cost and length of sta</w:t>
      </w:r>
      <w:r>
        <w:t>y (within the selected AR-DRGs).</w:t>
      </w:r>
    </w:p>
    <w:p w:rsidR="007718C7" w:rsidRDefault="007718C7" w:rsidP="00673CEF">
      <w:pPr>
        <w:pStyle w:val="Stageheading"/>
      </w:pPr>
      <w:bookmarkStart w:id="51" w:name="_Toc374114593"/>
      <w:r>
        <w:t>Methods</w:t>
      </w:r>
      <w:bookmarkEnd w:id="51"/>
    </w:p>
    <w:p w:rsidR="007718C7" w:rsidRDefault="007718C7" w:rsidP="00673CEF">
      <w:r>
        <w:t>Appendix 4 provides a review of some of the methodological issues in estimating the impact of hospital-acquired conditions on cost and length of stay.  This review has a number of implications for the current study with respect to:</w:t>
      </w:r>
    </w:p>
    <w:p w:rsidR="007718C7" w:rsidRPr="002F611A" w:rsidRDefault="007718C7" w:rsidP="00673CEF">
      <w:pPr>
        <w:pStyle w:val="ListParagraph"/>
        <w:numPr>
          <w:ilvl w:val="0"/>
          <w:numId w:val="26"/>
        </w:numPr>
        <w:ind w:left="714" w:hanging="357"/>
        <w:contextualSpacing w:val="0"/>
      </w:pPr>
      <w:r w:rsidRPr="002F611A">
        <w:t>The choice of outcome variables.</w:t>
      </w:r>
    </w:p>
    <w:p w:rsidR="007718C7" w:rsidRPr="002F611A" w:rsidRDefault="007718C7" w:rsidP="00673CEF">
      <w:pPr>
        <w:pStyle w:val="ListParagraph"/>
        <w:numPr>
          <w:ilvl w:val="0"/>
          <w:numId w:val="26"/>
        </w:numPr>
        <w:ind w:left="714" w:hanging="357"/>
        <w:contextualSpacing w:val="0"/>
      </w:pPr>
      <w:r w:rsidRPr="002F611A">
        <w:t>The choice of variables appropriate to incorporate into the model to control for other factors which may independently influence cost and length of stay (to address selection bias).</w:t>
      </w:r>
    </w:p>
    <w:p w:rsidR="007718C7" w:rsidRPr="002F611A" w:rsidRDefault="007718C7" w:rsidP="00673CEF">
      <w:pPr>
        <w:pStyle w:val="ListParagraph"/>
        <w:numPr>
          <w:ilvl w:val="0"/>
          <w:numId w:val="26"/>
        </w:numPr>
        <w:ind w:left="714" w:hanging="357"/>
        <w:contextualSpacing w:val="0"/>
      </w:pPr>
      <w:r w:rsidRPr="002F611A">
        <w:t>Methods for addressing endogeneity bias, in particular the potential that it is the length of stay (which is closely correlated with cost) that increases the probability that a hospital-acquired condition will occur.</w:t>
      </w:r>
    </w:p>
    <w:p w:rsidR="007718C7" w:rsidRPr="002F611A" w:rsidRDefault="007718C7" w:rsidP="00673CEF">
      <w:pPr>
        <w:pStyle w:val="ListParagraph"/>
        <w:numPr>
          <w:ilvl w:val="0"/>
          <w:numId w:val="26"/>
        </w:numPr>
        <w:ind w:left="714" w:hanging="357"/>
        <w:contextualSpacing w:val="0"/>
      </w:pPr>
      <w:r w:rsidRPr="002F611A">
        <w:t>Approaches to test for the potential impact of differences in the quality of coding on the results.</w:t>
      </w:r>
    </w:p>
    <w:p w:rsidR="007718C7" w:rsidRPr="003B5BA5" w:rsidRDefault="007718C7" w:rsidP="00C4502A">
      <w:pPr>
        <w:pStyle w:val="ListParagraph"/>
        <w:ind w:left="0"/>
        <w:contextualSpacing w:val="0"/>
      </w:pPr>
      <w:r w:rsidRPr="003B5BA5">
        <w:t xml:space="preserve">Within the scope of this study only the first of these two issues could be adequately addressed. Within the literature there only a few studies that attempt to explicitly address endogeneity bias, but most do not explicitly tackle this issue.  The studies that have addressed endogeneity bias are those focussed on a particular hospital-acquired condition, rather than the broad range of all hospital-acquired conditions. While an attempt was made to implement relevant methods for this project, these were not able to yield reasonable results within the timeframe and scope of the project.  As there was insufficient time to test alternative model specifications, the project has focussed on applying an approach that addresses the potential for selection biases. </w:t>
      </w:r>
    </w:p>
    <w:p w:rsidR="007718C7" w:rsidRPr="003B5BA5" w:rsidRDefault="007718C7" w:rsidP="00673CEF">
      <w:pPr>
        <w:pStyle w:val="ListParagraph"/>
        <w:ind w:left="0"/>
      </w:pPr>
      <w:r w:rsidRPr="003B5BA5">
        <w:t>In addition, there was insufficient time available to test the impact of differences in the quality of coding, although methods were developed to tackle this issue.</w:t>
      </w:r>
    </w:p>
    <w:p w:rsidR="007718C7" w:rsidRDefault="007718C7" w:rsidP="00673CEF">
      <w:r>
        <w:t xml:space="preserve">A set of models were estimated using the general approach adopted by </w:t>
      </w:r>
      <w:r w:rsidRPr="00431175">
        <w:t xml:space="preserve">Jackson et al. </w:t>
      </w:r>
      <w:r>
        <w:t xml:space="preserve"> (</w:t>
      </w:r>
      <w:hyperlink w:anchor="_ENREF_18" w:tooltip="Jackson, 2013, under review #106" w:history="1">
        <w:r w:rsidR="00C33CAE">
          <w:fldChar w:fldCharType="begin"/>
        </w:r>
        <w:r w:rsidR="00C33CAE">
          <w:instrText xml:space="preserve"> ADDIN EN.CITE &lt;EndNote&gt;&lt;Cite ExcludeAuth="1"&gt;&lt;Author&gt;Jackson&lt;/Author&gt;&lt;Year&gt;2013, under review&lt;/Year&gt;&lt;RecNum&gt;106&lt;/RecNum&gt;&lt;DisplayText&gt;2013, under review&lt;/DisplayText&gt;&lt;record&gt;&lt;rec-number&gt;106&lt;/rec-number&gt;&lt;foreign-keys&gt;&lt;key app="EN" db-id="92tftt5v2arxd6e9wzr50w2w0rz0epx099ft" timestamp="1378951286"&gt;106&lt;/key&gt;&lt;/foreign-keys&gt;&lt;ref-type name="Journal Article"&gt;17&lt;/ref-type&gt;&lt;contributors&gt;&lt;authors&gt;&lt;author&gt;Jackson, T&lt;/author&gt;&lt;author&gt;Fong, A&lt;/author&gt;&lt;author&gt;Liu, M&lt;/author&gt;&lt;author&gt;Murray, K&lt;/author&gt;&lt;author&gt;QWalz, L&lt;/author&gt;&lt;author&gt;Houston, C&lt;/author&gt;&lt;author&gt;Dean, S&lt;/author&gt;&lt;/authors&gt;&lt;/contributors&gt;&lt;titles&gt;&lt;title&gt;Incremental costs of hospital-acquired complications in Alberta, Canada&lt;/title&gt;&lt;/titles&gt;&lt;dates&gt;&lt;year&gt;2013, under review&lt;/year&gt;&lt;/dates&gt;&lt;urls&gt;&lt;/urls&gt;&lt;/record&gt;&lt;/Cite&gt;&lt;/EndNote&gt;</w:instrText>
        </w:r>
        <w:r w:rsidR="00C33CAE">
          <w:fldChar w:fldCharType="separate"/>
        </w:r>
        <w:r w:rsidR="00C33CAE">
          <w:rPr>
            <w:noProof/>
          </w:rPr>
          <w:t>2013, under review</w:t>
        </w:r>
        <w:r w:rsidR="00C33CAE">
          <w:fldChar w:fldCharType="end"/>
        </w:r>
      </w:hyperlink>
      <w:r>
        <w:t>), but with some enhanced approaches to various issues</w:t>
      </w:r>
      <w:r w:rsidR="006B0001">
        <w:t>, i</w:t>
      </w:r>
      <w:r>
        <w:t>ncluding:</w:t>
      </w:r>
    </w:p>
    <w:p w:rsidR="007718C7" w:rsidRPr="004260CF" w:rsidRDefault="007718C7" w:rsidP="00673CEF">
      <w:pPr>
        <w:pStyle w:val="ListParagraph"/>
        <w:numPr>
          <w:ilvl w:val="0"/>
          <w:numId w:val="21"/>
        </w:numPr>
        <w:ind w:left="714" w:hanging="357"/>
        <w:contextualSpacing w:val="0"/>
      </w:pPr>
      <w:r w:rsidRPr="004260CF">
        <w:t>The models were estimated separately for each ADRG (AR-DRG version 6.0x) assigned after the removal of COF diagnoses.  This means that hospital-acquired conditions did not influence ADRG assignment.</w:t>
      </w:r>
    </w:p>
    <w:p w:rsidR="007718C7" w:rsidRPr="004260CF" w:rsidRDefault="007718C7" w:rsidP="00673CEF">
      <w:pPr>
        <w:pStyle w:val="ListParagraph"/>
        <w:numPr>
          <w:ilvl w:val="0"/>
          <w:numId w:val="21"/>
        </w:numPr>
        <w:ind w:left="714" w:hanging="357"/>
        <w:contextualSpacing w:val="0"/>
      </w:pPr>
      <w:r w:rsidRPr="004260CF">
        <w:lastRenderedPageBreak/>
        <w:t xml:space="preserve">To control for within-ADRG heterogeneity, the Patient Clinical Complexity Level (PCCL) (also assigned after the removal of COF diagnoses) was introduced as a control variable within the model along with a range of other controls (see discussion below).  </w:t>
      </w:r>
    </w:p>
    <w:p w:rsidR="007718C7" w:rsidRPr="004260CF" w:rsidRDefault="007718C7" w:rsidP="00673CEF">
      <w:pPr>
        <w:pStyle w:val="ListParagraph"/>
        <w:numPr>
          <w:ilvl w:val="0"/>
          <w:numId w:val="21"/>
        </w:numPr>
        <w:ind w:left="714" w:hanging="357"/>
        <w:contextualSpacing w:val="0"/>
      </w:pPr>
      <w:r w:rsidRPr="004260CF">
        <w:t>The hospital from which each observation was drawn was introduced as a repeated measures variable.</w:t>
      </w:r>
    </w:p>
    <w:p w:rsidR="007718C7" w:rsidRDefault="007718C7" w:rsidP="00673CEF">
      <w:r>
        <w:t>The models estimated took the following forms:</w:t>
      </w:r>
    </w:p>
    <w:p w:rsidR="007718C7" w:rsidRPr="004B69F3" w:rsidRDefault="007718C7" w:rsidP="00673CEF">
      <w:pPr>
        <w:rPr>
          <w:b/>
        </w:rPr>
      </w:pPr>
      <w:r w:rsidRPr="00673CEF">
        <w:fldChar w:fldCharType="begin"/>
      </w:r>
      <w:r w:rsidRPr="00673CEF">
        <w:instrText xml:space="preserve"> QUOTE </w:instrText>
      </w:r>
      <w:r w:rsidR="002A25A4">
        <w:rPr>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4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2DE0&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892DE0&quot; wsp:rsidP=&quot;00892DE0&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1&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sSub&gt;&lt;m:sSubPr&gt;&lt;m:ctrlPr&gt;&lt;w:r///Pr&gt;&lt;x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1&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F&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lt;/m:t&gt;&lt;/m:r&gt;&lt;m:nary&gt;&lt;m:naryPr&gt;&lt;m:chr m:val=&quot;a?‘&quot;/&gt;&lt;m:limLoc m:val=&quot;undOvr&quot;/&gt;&lt;m:supHide m:val=&quot;1&quot;/&gt;&lt;m:ctrlPr&gt;&lt;w:rPr&gt;&lt;w:rFonts w:ascii=&quot;Cambria Math&quot; w:h-ansi=&quot;Cambria Math&quot;/&gt;&lt;wx:font wx:val=&quot;Cambria Math&quot;/&gt;&lt;w:i/&gt;&lt;/w:rPr&gt;&lt;/m:ctrlPr&gt;&lt;/m:naryPr&gt;&lt;m:sub&gt;&lt;mm::rt&gt;&lt;w:rm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673CEF">
        <w:instrText xml:space="preserve"> </w:instrText>
      </w:r>
      <w:r w:rsidRPr="00673CEF">
        <w:fldChar w:fldCharType="separate"/>
      </w:r>
      <w:r w:rsidR="002A25A4">
        <w:rPr>
          <w:position w:val="-8"/>
        </w:rPr>
        <w:pict>
          <v:shape id="_x0000_i1026" type="#_x0000_t75" style="width:246.4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2DE0&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892DE0&quot; wsp:rsidP=&quot;00892DE0&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1&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sSub&gt;&lt;m:sSubPr&gt;&lt;m:ctrlPr&gt;&lt;w:r///Pr&gt;&lt;x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1&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F&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lt;/m:t&gt;&lt;/m:r&gt;&lt;m:nary&gt;&lt;m:naryPr&gt;&lt;m:chr m:val=&quot;a?‘&quot;/&gt;&lt;m:limLoc m:val=&quot;undOvr&quot;/&gt;&lt;m:supHide m:val=&quot;1&quot;/&gt;&lt;m:ctrlPr&gt;&lt;w:rPr&gt;&lt;w:rFonts w:ascii=&quot;Cambria Math&quot; w:h-ansi=&quot;Cambria Math&quot;/&gt;&lt;wx:font wx:val=&quot;Cambria Math&quot;/&gt;&lt;w:i/&gt;&lt;/w:rPr&gt;&lt;/m:ctrlPr&gt;&lt;/m:naryPr&gt;&lt;m:sub&gt;&lt;mm::rt&gt;&lt;w:rm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673CEF">
        <w:fldChar w:fldCharType="end"/>
      </w:r>
      <w:r>
        <w:tab/>
      </w:r>
      <w:r>
        <w:tab/>
      </w:r>
      <w:r>
        <w:tab/>
      </w:r>
      <w:r>
        <w:tab/>
      </w:r>
      <w:r>
        <w:tab/>
      </w:r>
      <w:r>
        <w:tab/>
        <w:t>(1)</w:t>
      </w:r>
      <w:r w:rsidRPr="00801610">
        <w:rPr>
          <w:b/>
        </w:rPr>
        <w:t xml:space="preserve"> </w:t>
      </w:r>
    </w:p>
    <w:p w:rsidR="007718C7" w:rsidRDefault="007718C7" w:rsidP="00673CEF">
      <w:pPr>
        <w:rPr>
          <w:b/>
        </w:rPr>
      </w:pPr>
      <w:r w:rsidRPr="00673CEF">
        <w:fldChar w:fldCharType="begin"/>
      </w:r>
      <w:r w:rsidRPr="00673CEF">
        <w:instrText xml:space="preserve"> QUOTE </w:instrText>
      </w:r>
      <w:r w:rsidR="002A25A4">
        <w:rPr>
          <w:position w:val="-11"/>
        </w:rPr>
        <w:pict>
          <v:shape id="_x0000_i1027" type="#_x0000_t75" style="width:287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209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122095&quot; wsp:rsidP=&quot;00122095&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2&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wx&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ml=t&quot;1&lt;&quot;/&gt;&lt;m:&lt;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673CEF">
        <w:instrText xml:space="preserve"> </w:instrText>
      </w:r>
      <w:r w:rsidRPr="00673CEF">
        <w:fldChar w:fldCharType="separate"/>
      </w:r>
      <w:r w:rsidR="002A25A4">
        <w:rPr>
          <w:position w:val="-11"/>
        </w:rPr>
        <w:pict>
          <v:shape id="_x0000_i1028" type="#_x0000_t75" style="width:287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209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122095&quot; wsp:rsidP=&quot;00122095&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2&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wx&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ml=t&quot;1&lt;&quot;/&gt;&lt;m:&lt;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673CEF">
        <w:fldChar w:fldCharType="end"/>
      </w:r>
      <w:r>
        <w:tab/>
      </w:r>
      <w:r>
        <w:tab/>
      </w:r>
      <w:r>
        <w:tab/>
      </w:r>
      <w:r>
        <w:tab/>
      </w:r>
      <w:r>
        <w:tab/>
        <w:t>(2)</w:t>
      </w:r>
      <w:r w:rsidRPr="00801610">
        <w:rPr>
          <w:b/>
        </w:rPr>
        <w:t xml:space="preserve"> </w:t>
      </w:r>
    </w:p>
    <w:p w:rsidR="007718C7" w:rsidRDefault="007718C7" w:rsidP="00673CEF">
      <w:pPr>
        <w:rPr>
          <w:b/>
        </w:rPr>
      </w:pPr>
      <w:r w:rsidRPr="00673CEF">
        <w:fldChar w:fldCharType="begin"/>
      </w:r>
      <w:r w:rsidRPr="00673CEF">
        <w:instrText xml:space="preserve"> QUOTE </w:instrText>
      </w:r>
      <w:r w:rsidR="002A25A4">
        <w:rPr>
          <w:position w:val="-11"/>
        </w:rPr>
        <w:pict>
          <v:shape id="_x0000_i1029" type="#_x0000_t75" style="width:282.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A06E3&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2A06E3&quot; wsp:rsidP=&quot;002A06E3&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3&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wx&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ml=t&quot;1&lt;&quot;/&gt;&lt;m:&lt;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673CEF">
        <w:instrText xml:space="preserve"> </w:instrText>
      </w:r>
      <w:r w:rsidRPr="00673CEF">
        <w:fldChar w:fldCharType="separate"/>
      </w:r>
      <w:r w:rsidR="002A25A4">
        <w:rPr>
          <w:position w:val="-11"/>
        </w:rPr>
        <w:pict>
          <v:shape id="_x0000_i1030" type="#_x0000_t75" style="width:282.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A06E3&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2A06E3&quot; wsp:rsidP=&quot;002A06E3&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3&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wx&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ml=t&quot;1&lt;&quot;/&gt;&lt;m:&lt;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673CEF">
        <w:fldChar w:fldCharType="end"/>
      </w:r>
      <w:r>
        <w:tab/>
      </w:r>
      <w:r>
        <w:tab/>
      </w:r>
      <w:r>
        <w:tab/>
      </w:r>
      <w:r>
        <w:tab/>
      </w:r>
      <w:r>
        <w:tab/>
        <w:t>(3)</w:t>
      </w:r>
      <w:r w:rsidRPr="00801610">
        <w:rPr>
          <w:b/>
        </w:rPr>
        <w:t xml:space="preserve"> </w:t>
      </w:r>
    </w:p>
    <w:p w:rsidR="007718C7" w:rsidRPr="004B69F3" w:rsidRDefault="007718C7" w:rsidP="00673CEF">
      <w:pPr>
        <w:rPr>
          <w:b/>
        </w:rPr>
      </w:pPr>
      <w:r w:rsidRPr="00673CEF">
        <w:fldChar w:fldCharType="begin"/>
      </w:r>
      <w:r w:rsidRPr="00673CEF">
        <w:instrText xml:space="preserve"> QUOTE </w:instrText>
      </w:r>
      <w:r w:rsidR="002A25A4">
        <w:rPr>
          <w:position w:val="-11"/>
        </w:rPr>
        <w:pict>
          <v:shape id="_x0000_i1031" type="#_x0000_t75" style="width:277.8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592&quot;/&gt;&lt;wsp:rsid wsp:val=&quot;00FD5F4C&quot;/&gt;&lt;wsp:rsid wsp:val=&quot;00FE737B&quot;/&gt;&lt;wsp:rsid wsp:val=&quot;00FF2B0B&quot;/&gt;&lt;wsp:rsid wsp:val=&quot;00FF32AB&quot;/&gt;&lt;wsp:rsid wsp:val=&quot;00FF4709&quot;/&gt;&lt;/wsp:rsids&gt;&lt;/w:docPr&gt;&lt;w:body&gt;&lt;wx:sect&gt;&lt;w:p wsp:rsidR=&quot;00000000&quot; wsp:rsidRDefault=&quot;00FD5592&quot; wsp:rsidP=&quot;00FD5592&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4&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wx&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quot;&g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673CEF">
        <w:instrText xml:space="preserve"> </w:instrText>
      </w:r>
      <w:r w:rsidRPr="00673CEF">
        <w:fldChar w:fldCharType="separate"/>
      </w:r>
      <w:r w:rsidR="002A25A4">
        <w:rPr>
          <w:position w:val="-11"/>
        </w:rPr>
        <w:pict>
          <v:shape id="_x0000_i1032" type="#_x0000_t75" style="width:277.8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592&quot;/&gt;&lt;wsp:rsid wsp:val=&quot;00FD5F4C&quot;/&gt;&lt;wsp:rsid wsp:val=&quot;00FE737B&quot;/&gt;&lt;wsp:rsid wsp:val=&quot;00FF2B0B&quot;/&gt;&lt;wsp:rsid wsp:val=&quot;00FF32AB&quot;/&gt;&lt;wsp:rsid wsp:val=&quot;00FF4709&quot;/&gt;&lt;/wsp:rsids&gt;&lt;/w:docPr&gt;&lt;w:body&gt;&lt;wx:sect&gt;&lt;w:p wsp:rsidR=&quot;00000000&quot; wsp:rsidRDefault=&quot;00FD5592&quot; wsp:rsidP=&quot;00FD5592&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4&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wx&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quot;&g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673CEF">
        <w:fldChar w:fldCharType="end"/>
      </w:r>
      <w:r>
        <w:tab/>
      </w:r>
      <w:r>
        <w:tab/>
      </w:r>
      <w:r>
        <w:tab/>
      </w:r>
      <w:r>
        <w:tab/>
      </w:r>
      <w:r>
        <w:tab/>
        <w:t>(4)</w:t>
      </w:r>
      <w:r w:rsidRPr="00801610">
        <w:rPr>
          <w:b/>
        </w:rPr>
        <w:t xml:space="preserve"> </w:t>
      </w:r>
    </w:p>
    <w:p w:rsidR="007718C7" w:rsidRPr="004B69F3" w:rsidRDefault="007718C7" w:rsidP="00673CEF">
      <w:pPr>
        <w:rPr>
          <w:b/>
        </w:rPr>
      </w:pPr>
      <w:r w:rsidRPr="00673CEF">
        <w:fldChar w:fldCharType="begin"/>
      </w:r>
      <w:r w:rsidRPr="00673CEF">
        <w:instrText xml:space="preserve"> QUOTE </w:instrText>
      </w:r>
      <w:r w:rsidR="002A25A4">
        <w:rPr>
          <w:position w:val="-8"/>
        </w:rPr>
        <w:pict>
          <v:shape id="_x0000_i1033" type="#_x0000_t75" style="width:243.4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2924&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8A2924&quot; wsp:rsidP=&quot;008A2924&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B1&lt;/m:t&gt;&lt;/m:r&gt;&lt;m:r&gt;&lt;w:rPr&gt;&lt;w:rFonts w:ascii=&quot;Cambria Math&quot; w:h-ansi=&quot;Cambria Math&quot;/&gt;&lt;wx:font wx:val=&quot;Cambria Math&quot;/&gt;&lt;w:i/&gt;&lt;/w:rPr&gt;&lt;m:t&gt;:    LOS&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sSub&gt;&lt;m:sSubPr&gt;&lt;m:ctrlPr&gt;&lt;w:rP&gt;&gt;&gt;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F&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lt;/m:t&gt;&lt;/m:r&gt;&lt;m:nary&gt;&lt;m:naryPr&gt;&lt;m:chr m:val=&quot;a?‘&quot;/&gt;&lt;m:limLoc m:val=&quot;undOvr&quot;/&gt;&lt;m:supHide m:val=&quot;1&quot;/&gt;&lt;m:ctrlPr&gt;&lt;w:rPr&gt;&lt;w:rFonts w:ascii=&quot;Cambria Math&quot; w:h-ansi=&quot;Cambria Math&quot;/&gt;&lt;wx:font wx:val=&quot;Cambria Math&quot;/&gt;&lt;w:i/&gt;&lt;/w:rPr&gt;&lt;/m:ctrlPr&gt;&lt;/m:naryPr&gt;&lt;m:sub&gt;&lt;m::rt&gt;&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673CEF">
        <w:instrText xml:space="preserve"> </w:instrText>
      </w:r>
      <w:r w:rsidRPr="00673CEF">
        <w:fldChar w:fldCharType="separate"/>
      </w:r>
      <w:r w:rsidR="002A25A4">
        <w:rPr>
          <w:position w:val="-8"/>
        </w:rPr>
        <w:pict>
          <v:shape id="_x0000_i1034" type="#_x0000_t75" style="width:243.4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2924&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8A2924&quot; wsp:rsidP=&quot;008A2924&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B1&lt;/m:t&gt;&lt;/m:r&gt;&lt;m:r&gt;&lt;w:rPr&gt;&lt;w:rFonts w:ascii=&quot;Cambria Math&quot; w:h-ansi=&quot;Cambria Math&quot;/&gt;&lt;wx:font wx:val=&quot;Cambria Math&quot;/&gt;&lt;w:i/&gt;&lt;/w:rPr&gt;&lt;m:t&gt;:    LOS&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sSub&gt;&lt;m:sSubPr&gt;&lt;m:ctrlPr&gt;&lt;w:rP&gt;&gt;&gt;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F&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lt;/m:t&gt;&lt;/m:r&gt;&lt;m:nary&gt;&lt;m:naryPr&gt;&lt;m:chr m:val=&quot;a?‘&quot;/&gt;&lt;m:limLoc m:val=&quot;undOvr&quot;/&gt;&lt;m:supHide m:val=&quot;1&quot;/&gt;&lt;m:ctrlPr&gt;&lt;w:rPr&gt;&lt;w:rFonts w:ascii=&quot;Cambria Math&quot; w:h-ansi=&quot;Cambria Math&quot;/&gt;&lt;wx:font wx:val=&quot;Cambria Math&quot;/&gt;&lt;w:i/&gt;&lt;/w:rPr&gt;&lt;/m:ctrlPr&gt;&lt;/m:naryPr&gt;&lt;m:sub&gt;&lt;m::rt&gt;&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673CEF">
        <w:fldChar w:fldCharType="end"/>
      </w:r>
      <w:r>
        <w:tab/>
      </w:r>
      <w:r>
        <w:tab/>
      </w:r>
      <w:r>
        <w:tab/>
      </w:r>
      <w:r>
        <w:tab/>
      </w:r>
      <w:r>
        <w:tab/>
      </w:r>
      <w:r>
        <w:tab/>
        <w:t>(5)</w:t>
      </w:r>
      <w:r w:rsidRPr="00801610">
        <w:rPr>
          <w:b/>
        </w:rPr>
        <w:t xml:space="preserve"> </w:t>
      </w:r>
    </w:p>
    <w:p w:rsidR="007718C7" w:rsidRDefault="007718C7" w:rsidP="00673CEF">
      <w:pPr>
        <w:rPr>
          <w:b/>
        </w:rPr>
      </w:pPr>
      <w:r w:rsidRPr="00673CEF">
        <w:fldChar w:fldCharType="begin"/>
      </w:r>
      <w:r w:rsidRPr="00673CEF">
        <w:instrText xml:space="preserve"> QUOTE </w:instrText>
      </w:r>
      <w:r w:rsidR="002A25A4">
        <w:rPr>
          <w:position w:val="-11"/>
        </w:rPr>
        <w:pict>
          <v:shape id="_x0000_i1035" type="#_x0000_t75" style="width:283.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3D00&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4A3D00&quot; wsp:rsidP=&quot;004A3D00&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B2&lt;/m:t&gt;&lt;/m:r&gt;&lt;m:r&gt;&lt;w:rPr&gt;&lt;w:rFonts w:ascii=&quot;Cambria Math&quot; w:h-ansi=&quot;Cambria Math&quot;/&gt;&lt;wx:font wx:val=&quot;Cambria Math&quot;/&gt;&lt;w:i/&gt;&lt;/w:rPr&gt;&lt;m:t&gt;:    LOS&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gt;&gt;&gt;?‘&quot;x:/&gt;&lt;m:limLoc m:val=&quot;undOvr&quot;/&gt;&lt;m:supHide m:val=&quot;1&quot;/&gt;&lt;m:ctrlPr&gt;&lt;w:rPr&gt;&lt;w:rFonts w:ascii=&quot;Cambria Math&quot; w:h-ansi=&quot;Cambria Math&quot;/&gt;&lt;wx:font wx:val=&quot;Cambria Math&quot;/&gt;&lt;w:i/&gt;&lt;/w:rPr&gt;&lt;/m:ctrlPr&gt;&lt;/m:naryPr&gt;&lt;m:sub&gt;&lt;m:r&gt;&lt;w:rPr&gt;&lt;w:rFonts w:ascii=&quot;Cambria Math&quot; w:&gt;h&gt;-&gt;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quot;&g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673CEF">
        <w:instrText xml:space="preserve"> </w:instrText>
      </w:r>
      <w:r w:rsidRPr="00673CEF">
        <w:fldChar w:fldCharType="separate"/>
      </w:r>
      <w:r w:rsidR="002A25A4">
        <w:rPr>
          <w:position w:val="-11"/>
        </w:rPr>
        <w:pict>
          <v:shape id="_x0000_i1036" type="#_x0000_t75" style="width:283.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3D00&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4A3D00&quot; wsp:rsidP=&quot;004A3D00&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B2&lt;/m:t&gt;&lt;/m:r&gt;&lt;m:r&gt;&lt;w:rPr&gt;&lt;w:rFonts w:ascii=&quot;Cambria Math&quot; w:h-ansi=&quot;Cambria Math&quot;/&gt;&lt;wx:font wx:val=&quot;Cambria Math&quot;/&gt;&lt;w:i/&gt;&lt;/w:rPr&gt;&lt;m:t&gt;:    LOS&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gt;&gt;&gt;?‘&quot;x:/&gt;&lt;m:limLoc m:val=&quot;undOvr&quot;/&gt;&lt;m:supHide m:val=&quot;1&quot;/&gt;&lt;m:ctrlPr&gt;&lt;w:rPr&gt;&lt;w:rFonts w:ascii=&quot;Cambria Math&quot; w:h-ansi=&quot;Cambria Math&quot;/&gt;&lt;wx:font wx:val=&quot;Cambria Math&quot;/&gt;&lt;w:i/&gt;&lt;/w:rPr&gt;&lt;/m:ctrlPr&gt;&lt;/m:naryPr&gt;&lt;m:sub&gt;&lt;m:r&gt;&lt;w:rPr&gt;&lt;w:rFonts w:ascii=&quot;Cambria Math&quot; w:&gt;h&gt;-&gt;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quot;&g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673CEF">
        <w:fldChar w:fldCharType="end"/>
      </w:r>
      <w:r>
        <w:tab/>
      </w:r>
      <w:r>
        <w:tab/>
      </w:r>
      <w:r>
        <w:tab/>
      </w:r>
      <w:r>
        <w:tab/>
      </w:r>
      <w:r>
        <w:tab/>
        <w:t>(6)</w:t>
      </w:r>
      <w:r w:rsidRPr="00801610">
        <w:rPr>
          <w:b/>
        </w:rPr>
        <w:t xml:space="preserve"> </w:t>
      </w:r>
    </w:p>
    <w:p w:rsidR="007718C7" w:rsidRPr="004B69F3" w:rsidRDefault="007718C7" w:rsidP="00673CEF">
      <w:pPr>
        <w:rPr>
          <w:b/>
        </w:rPr>
      </w:pPr>
      <w:r w:rsidRPr="00673CEF">
        <w:fldChar w:fldCharType="begin"/>
      </w:r>
      <w:r w:rsidRPr="00673CEF">
        <w:instrText xml:space="preserve"> QUOTE </w:instrText>
      </w:r>
      <w:r w:rsidR="002A25A4">
        <w:rPr>
          <w:position w:val="-11"/>
        </w:rPr>
        <w:pict>
          <v:shape id="_x0000_i1037" type="#_x0000_t75" style="width:280.9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A0C6E&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BA0C6E&quot; wsp:rsidP=&quot;00BA0C6E&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B3&lt;/m:t&gt;&lt;/m:r&gt;&lt;m:r&gt;&lt;w:rPr&gt;&lt;w:rFonts w:ascii=&quot;Cambria Math&quot; w:h-ansi=&quot;Cambria Math&quot;/&gt;&lt;wx:font wx:val=&quot;Cambria Math&quot;/&gt;&lt;w:i/&gt;&lt;/w:rPr&gt;&lt;m:t&gt;:    LOS&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gt;&gt;&gt;?‘&quot;x:/&gt;&lt;m:limLoc m:val=&quot;undOvr&quot;/&gt;&lt;m:supHide m:val=&quot;1&quot;/&gt;&lt;m:ctrlPr&gt;&lt;w:rPr&gt;&lt;w:rFonts w:ascii=&quot;Cambria Math&quot; w:h-ansi=&quot;Cambria Math&quot;/&gt;&lt;wx:font wx:val=&quot;Cambria Math&quot;/&gt;&lt;w:i/&gt;&lt;/w:rPr&gt;&lt;/m:ctrlPr&gt;&lt;/m:naryPr&gt;&lt;m:sub&gt;&lt;m:r&gt;&lt;w:rPr&gt;&lt;w:rFonts w:ascii=&quot;Cambria Math&quot; w:&gt;h&gt;-&gt;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quot;&g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673CEF">
        <w:instrText xml:space="preserve"> </w:instrText>
      </w:r>
      <w:r w:rsidRPr="00673CEF">
        <w:fldChar w:fldCharType="separate"/>
      </w:r>
      <w:r w:rsidR="002A25A4">
        <w:rPr>
          <w:position w:val="-11"/>
        </w:rPr>
        <w:pict>
          <v:shape id="_x0000_i1038" type="#_x0000_t75" style="width:280.9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A0C6E&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BA0C6E&quot; wsp:rsidP=&quot;00BA0C6E&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B3&lt;/m:t&gt;&lt;/m:r&gt;&lt;m:r&gt;&lt;w:rPr&gt;&lt;w:rFonts w:ascii=&quot;Cambria Math&quot; w:h-ansi=&quot;Cambria Math&quot;/&gt;&lt;wx:font wx:val=&quot;Cambria Math&quot;/&gt;&lt;w:i/&gt;&lt;/w:rPr&gt;&lt;m:t&gt;:    LOS&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gt;&gt;&gt;?‘&quot;x:/&gt;&lt;m:limLoc m:val=&quot;undOvr&quot;/&gt;&lt;m:supHide m:val=&quot;1&quot;/&gt;&lt;m:ctrlPr&gt;&lt;w:rPr&gt;&lt;w:rFonts w:ascii=&quot;Cambria Math&quot; w:h-ansi=&quot;Cambria Math&quot;/&gt;&lt;wx:font wx:val=&quot;Cambria Math&quot;/&gt;&lt;w:i/&gt;&lt;/w:rPr&gt;&lt;/m:ctrlPr&gt;&lt;/m:naryPr&gt;&lt;m:sub&gt;&lt;m:r&gt;&lt;w:rPr&gt;&lt;w:rFonts w:ascii=&quot;Cambria Math&quot; w:&gt;h&gt;-&gt;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quot;&g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673CEF">
        <w:fldChar w:fldCharType="end"/>
      </w:r>
      <w:r>
        <w:tab/>
      </w:r>
      <w:r>
        <w:tab/>
      </w:r>
      <w:r>
        <w:tab/>
      </w:r>
      <w:r>
        <w:tab/>
      </w:r>
      <w:r>
        <w:tab/>
        <w:t>(7)</w:t>
      </w:r>
    </w:p>
    <w:p w:rsidR="007718C7" w:rsidRPr="004B69F3" w:rsidRDefault="007718C7" w:rsidP="00673CEF">
      <w:pPr>
        <w:rPr>
          <w:b/>
        </w:rPr>
      </w:pPr>
      <w:r w:rsidRPr="00673CEF">
        <w:fldChar w:fldCharType="begin"/>
      </w:r>
      <w:r w:rsidRPr="00673CEF">
        <w:instrText xml:space="preserve"> QUOTE </w:instrText>
      </w:r>
      <w:r w:rsidR="002A25A4">
        <w:rPr>
          <w:position w:val="-11"/>
        </w:rPr>
        <w:pict>
          <v:shape id="_x0000_i1039" type="#_x0000_t75" style="width:274.8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331&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7F7331&quot; wsp:rsidP=&quot;007F7331&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B4&lt;/m:t&gt;&lt;/m:r&gt;&lt;m:r&gt;&lt;w:rPr&gt;&lt;w:rFonts w:ascii=&quot;Cambria Math&quot; w:h-ansi=&quot;Cambria Math&quot;/&gt;&lt;wx:font wx:val=&quot;Cambria Math&quot;/&gt;&lt;w:i/&gt;&lt;/w:rPr&gt;&lt;m:t&gt;:    LOS&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gt;&gt;&gt;?‘&quot;x:/&gt;&lt;m:limLoc m:val=&quot;undOvr&quot;/&gt;&lt;m:supHide m:val=&quot;1&quot;/&gt;&lt;m:ctrlPr&gt;&lt;w:rPr&gt;&lt;w:rFonts w:ascii=&quot;Cambria Math&quot; w:h-ansi=&quot;Cambria Math&quot;/&gt;&lt;wx:font wx:val=&quot;Cambria Math&quot;/&gt;&lt;w:i/&gt;&lt;/w:rPr&gt;&lt;/m:ctrlPr&gt;&lt;/m:naryPr&gt;&lt;m:sub&gt;&lt;m:r&gt;&lt;w:rPr&gt;&lt;w:rFonts w:ascii=&quot;Cambria Math&quot; w:&gt;h&gt;-&gt;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t&quot;1&lt;&quot;/m&gt;&lt;m:ctm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673CEF">
        <w:instrText xml:space="preserve"> </w:instrText>
      </w:r>
      <w:r w:rsidRPr="00673CEF">
        <w:fldChar w:fldCharType="separate"/>
      </w:r>
      <w:r w:rsidR="002A25A4">
        <w:rPr>
          <w:position w:val="-11"/>
        </w:rPr>
        <w:pict>
          <v:shape id="_x0000_i1040" type="#_x0000_t75" style="width:274.8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331&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7F7331&quot; wsp:rsidP=&quot;007F7331&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B4&lt;/m:t&gt;&lt;/m:r&gt;&lt;m:r&gt;&lt;w:rPr&gt;&lt;w:rFonts w:ascii=&quot;Cambria Math&quot; w:h-ansi=&quot;Cambria Math&quot;/&gt;&lt;wx:font wx:val=&quot;Cambria Math&quot;/&gt;&lt;w:i/&gt;&lt;/w:rPr&gt;&lt;m:t&gt;:    LOS&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gt;&gt;&gt;?‘&quot;x:/&gt;&lt;m:limLoc m:val=&quot;undOvr&quot;/&gt;&lt;m:supHide m:val=&quot;1&quot;/&gt;&lt;m:ctrlPr&gt;&lt;w:rPr&gt;&lt;w:rFonts w:ascii=&quot;Cambria Math&quot; w:h-ansi=&quot;Cambria Math&quot;/&gt;&lt;wx:font wx:val=&quot;Cambria Math&quot;/&gt;&lt;w:i/&gt;&lt;/w:rPr&gt;&lt;/m:ctrlPr&gt;&lt;/m:naryPr&gt;&lt;m:sub&gt;&lt;m:r&gt;&lt;w:rPr&gt;&lt;w:rFonts w:ascii=&quot;Cambria Math&quot; w:&gt;h&gt;-&gt;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t&quot;1&lt;&quot;/m&gt;&lt;m:ctm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673CEF">
        <w:fldChar w:fldCharType="end"/>
      </w:r>
      <w:r>
        <w:tab/>
      </w:r>
      <w:r>
        <w:tab/>
      </w:r>
      <w:r>
        <w:tab/>
      </w:r>
      <w:r>
        <w:tab/>
      </w:r>
      <w:r>
        <w:tab/>
        <w:t>(8)</w:t>
      </w:r>
      <w:r w:rsidRPr="00801610">
        <w:rPr>
          <w:b/>
        </w:rPr>
        <w:t xml:space="preserve"> </w:t>
      </w:r>
    </w:p>
    <w:p w:rsidR="007718C7" w:rsidRDefault="007718C7" w:rsidP="00673CEF">
      <w:r>
        <w:t>Where:</w:t>
      </w:r>
    </w:p>
    <w:p w:rsidR="007718C7" w:rsidRDefault="00840816" w:rsidP="00673CEF">
      <w:pPr>
        <w:ind w:left="720"/>
      </w:pPr>
      <m:oMath>
        <m:sSub>
          <m:sSubPr>
            <m:ctrlPr>
              <w:rPr>
                <w:rFonts w:ascii="Cambria Math" w:hAnsi="Cambria Math"/>
                <w:i/>
              </w:rPr>
            </m:ctrlPr>
          </m:sSubPr>
          <m:e>
            <m:r>
              <w:rPr>
                <w:rFonts w:ascii="Cambria Math" w:hAnsi="Cambria Math"/>
              </w:rPr>
              <m:t>Cost</m:t>
            </m:r>
          </m:e>
          <m:sub>
            <m:r>
              <w:rPr>
                <w:rFonts w:ascii="Cambria Math" w:hAnsi="Cambria Math"/>
              </w:rPr>
              <m:t>i</m:t>
            </m:r>
          </m:sub>
        </m:sSub>
      </m:oMath>
      <w:r w:rsidR="007718C7">
        <w:t xml:space="preserve"> is the patient level cost for episode i.</w:t>
      </w:r>
    </w:p>
    <w:p w:rsidR="007718C7" w:rsidRDefault="00840816" w:rsidP="00673CEF">
      <w:pPr>
        <w:ind w:left="720"/>
      </w:pPr>
      <m:oMath>
        <m:sSub>
          <m:sSubPr>
            <m:ctrlPr>
              <w:rPr>
                <w:rFonts w:ascii="Cambria Math" w:hAnsi="Cambria Math"/>
                <w:i/>
              </w:rPr>
            </m:ctrlPr>
          </m:sSubPr>
          <m:e>
            <m:r>
              <w:rPr>
                <w:rFonts w:ascii="Cambria Math" w:hAnsi="Cambria Math"/>
              </w:rPr>
              <m:t>LOS</m:t>
            </m:r>
          </m:e>
          <m:sub>
            <m:r>
              <w:rPr>
                <w:rFonts w:ascii="Cambria Math" w:hAnsi="Cambria Math"/>
              </w:rPr>
              <m:t>i</m:t>
            </m:r>
          </m:sub>
        </m:sSub>
      </m:oMath>
      <w:r w:rsidR="007718C7">
        <w:t xml:space="preserve"> is the length of stay for episode i.</w:t>
      </w:r>
    </w:p>
    <w:p w:rsidR="007718C7" w:rsidRDefault="007718C7" w:rsidP="00673CEF">
      <w:pPr>
        <w:ind w:left="720"/>
      </w:pPr>
      <w:r w:rsidRPr="00673CEF">
        <w:fldChar w:fldCharType="begin"/>
      </w:r>
      <w:r w:rsidRPr="00673CEF">
        <w:instrText xml:space="preserve"> QUOTE </w:instrText>
      </w:r>
      <w:r w:rsidR="002A25A4">
        <w:rPr>
          <w:position w:val="-8"/>
        </w:rPr>
        <w:pict>
          <v:shape id="_x0000_i1041" type="#_x0000_t75" style="width:6.1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0270&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CD0270&quot; wsp:rsidP=&quot;00CD0270&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m:footer=&quot;720&quot; w:gutter=&quot;0&quot;/&gt;&lt;w:cols w:space=&quot;720&quot;/&gt;&lt;/w:sectPr&gt;&lt;/wx:sect&gt;&lt;/w:body&gt;&lt;/w:wordDocument&gt;">
            <v:imagedata r:id="rId55" o:title="" chromakey="white"/>
          </v:shape>
        </w:pict>
      </w:r>
      <w:r w:rsidRPr="00673CEF">
        <w:instrText xml:space="preserve"> </w:instrText>
      </w:r>
      <w:r w:rsidRPr="00673CEF">
        <w:fldChar w:fldCharType="separate"/>
      </w:r>
      <w:r w:rsidR="002A25A4">
        <w:rPr>
          <w:position w:val="-8"/>
        </w:rPr>
        <w:pict>
          <v:shape id="_x0000_i1042" type="#_x0000_t75" style="width:6.1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0270&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CD0270&quot; wsp:rsidP=&quot;00CD0270&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m:footer=&quot;720&quot; w:gutter=&quot;0&quot;/&gt;&lt;w:cols w:space=&quot;720&quot;/&gt;&lt;/w:sectPr&gt;&lt;/wx:sect&gt;&lt;/w:body&gt;&lt;/w:wordDocument&gt;">
            <v:imagedata r:id="rId55" o:title="" chromakey="white"/>
          </v:shape>
        </w:pict>
      </w:r>
      <w:r w:rsidRPr="00673CEF">
        <w:fldChar w:fldCharType="end"/>
      </w:r>
      <w:r>
        <w:t xml:space="preserve"> is an intercept.</w:t>
      </w:r>
    </w:p>
    <w:p w:rsidR="007718C7" w:rsidRPr="00801610" w:rsidRDefault="00840816" w:rsidP="00673CEF">
      <w:pPr>
        <w:ind w:left="720"/>
      </w:pPr>
      <m:oMath>
        <m:sSub>
          <m:sSubPr>
            <m:ctrlPr>
              <w:rPr>
                <w:rFonts w:ascii="Cambria Math" w:hAnsi="Cambria Math"/>
                <w:i/>
              </w:rPr>
            </m:ctrlPr>
          </m:sSubPr>
          <m:e>
            <m:r>
              <w:rPr>
                <w:rFonts w:ascii="Cambria Math" w:hAnsi="Cambria Math"/>
              </w:rPr>
              <m:t>COF</m:t>
            </m:r>
          </m:e>
          <m:sub>
            <m:r>
              <w:rPr>
                <w:rFonts w:ascii="Cambria Math" w:hAnsi="Cambria Math"/>
              </w:rPr>
              <m:t>i</m:t>
            </m:r>
          </m:sub>
        </m:sSub>
      </m:oMath>
      <w:r w:rsidR="007718C7">
        <w:t xml:space="preserve"> is a dummy variable indicating the presence of at least one COF diagnosis for episode i.</w:t>
      </w:r>
    </w:p>
    <w:p w:rsidR="007718C7" w:rsidRDefault="00840816" w:rsidP="00673CEF">
      <w:pPr>
        <w:ind w:left="720"/>
      </w:pPr>
      <m:oMath>
        <m:sSub>
          <m:sSubPr>
            <m:ctrlPr>
              <w:rPr>
                <w:rFonts w:ascii="Cambria Math" w:hAnsi="Cambria Math"/>
                <w:i/>
              </w:rPr>
            </m:ctrlPr>
          </m:sSubPr>
          <m:e>
            <m:r>
              <w:rPr>
                <w:rFonts w:ascii="Cambria Math" w:hAnsi="Cambria Math"/>
              </w:rPr>
              <m:t>MCHADx</m:t>
            </m:r>
          </m:e>
          <m:sub>
            <m:r>
              <w:rPr>
                <w:rFonts w:ascii="Cambria Math" w:hAnsi="Cambria Math"/>
              </w:rPr>
              <m:t>j</m:t>
            </m:r>
          </m:sub>
        </m:sSub>
      </m:oMath>
      <w:r w:rsidR="007718C7">
        <w:t xml:space="preserve"> is a vector of dummy variables reflecting the presence of major CHADx groups.</w:t>
      </w:r>
    </w:p>
    <w:p w:rsidR="007718C7" w:rsidRDefault="009B164C" w:rsidP="00673CEF">
      <w:pPr>
        <w:ind w:left="720"/>
      </w:pPr>
      <m:oMath>
        <m:r>
          <w:rPr>
            <w:rFonts w:ascii="Cambria Math" w:hAnsi="Cambria Math"/>
          </w:rPr>
          <m:t>S</m:t>
        </m:r>
        <m:sSub>
          <m:sSubPr>
            <m:ctrlPr>
              <w:rPr>
                <w:rFonts w:ascii="Cambria Math" w:hAnsi="Cambria Math"/>
                <w:i/>
              </w:rPr>
            </m:ctrlPr>
          </m:sSubPr>
          <m:e>
            <m:r>
              <w:rPr>
                <w:rFonts w:ascii="Cambria Math" w:hAnsi="Cambria Math"/>
              </w:rPr>
              <m:t>MCHADx</m:t>
            </m:r>
          </m:e>
          <m:sub>
            <m:r>
              <w:rPr>
                <w:rFonts w:ascii="Cambria Math" w:hAnsi="Cambria Math"/>
              </w:rPr>
              <m:t>j</m:t>
            </m:r>
          </m:sub>
        </m:sSub>
      </m:oMath>
      <w:r w:rsidR="007718C7">
        <w:t xml:space="preserve"> is a vector of dummy variables reflecting the presence of 33 selected CHADx groups.</w:t>
      </w:r>
    </w:p>
    <w:p w:rsidR="007718C7" w:rsidRDefault="00840816" w:rsidP="00673CEF">
      <w:pPr>
        <w:ind w:left="720"/>
      </w:pPr>
      <m:oMath>
        <m:sSub>
          <m:sSubPr>
            <m:ctrlPr>
              <w:rPr>
                <w:rFonts w:ascii="Cambria Math" w:hAnsi="Cambria Math"/>
                <w:i/>
              </w:rPr>
            </m:ctrlPr>
          </m:sSubPr>
          <m:e>
            <m:r>
              <w:rPr>
                <w:rFonts w:ascii="Cambria Math" w:hAnsi="Cambria Math"/>
              </w:rPr>
              <m:t>CHADx</m:t>
            </m:r>
          </m:e>
          <m:sub>
            <m:r>
              <w:rPr>
                <w:rFonts w:ascii="Cambria Math" w:hAnsi="Cambria Math"/>
              </w:rPr>
              <m:t>j</m:t>
            </m:r>
          </m:sub>
        </m:sSub>
      </m:oMath>
      <w:r w:rsidR="007718C7">
        <w:t xml:space="preserve"> is a vector of dummy variables reflecting the presence of CHADx classes. There are 145 individual CHADx classes, although the 27 classes in CHADx Groups 11 to 13 were not relevant to the current study, and were grouped together. </w:t>
      </w:r>
    </w:p>
    <w:p w:rsidR="007718C7" w:rsidRDefault="00840816" w:rsidP="00673CEF">
      <w:pPr>
        <w:ind w:left="720"/>
      </w:pPr>
      <m:oMath>
        <m:sSub>
          <m:sSubPr>
            <m:ctrlPr>
              <w:rPr>
                <w:rFonts w:ascii="Cambria Math" w:hAnsi="Cambria Math"/>
                <w:i/>
              </w:rPr>
            </m:ctrlPr>
          </m:sSubPr>
          <m:e>
            <m:r>
              <w:rPr>
                <w:rFonts w:ascii="Cambria Math" w:hAnsi="Cambria Math"/>
              </w:rPr>
              <m:t>I2</m:t>
            </m:r>
          </m:e>
          <m:sub>
            <m:r>
              <w:rPr>
                <w:rFonts w:ascii="Cambria Math" w:hAnsi="Cambria Math"/>
              </w:rPr>
              <m:t>1</m:t>
            </m:r>
          </m:sub>
        </m:sSub>
      </m:oMath>
      <w:r w:rsidR="007718C7">
        <w:t xml:space="preserve"> is the coefficient for </w:t>
      </w:r>
      <m:oMath>
        <m:sSub>
          <m:sSubPr>
            <m:ctrlPr>
              <w:rPr>
                <w:rFonts w:ascii="Cambria Math" w:hAnsi="Cambria Math"/>
                <w:i/>
              </w:rPr>
            </m:ctrlPr>
          </m:sSubPr>
          <m:e>
            <m:r>
              <w:rPr>
                <w:rFonts w:ascii="Cambria Math" w:hAnsi="Cambria Math"/>
              </w:rPr>
              <m:t>COF</m:t>
            </m:r>
          </m:e>
          <m:sub>
            <m:r>
              <w:rPr>
                <w:rFonts w:ascii="Cambria Math" w:hAnsi="Cambria Math"/>
              </w:rPr>
              <m:t>i</m:t>
            </m:r>
          </m:sub>
        </m:sSub>
      </m:oMath>
      <w:r w:rsidR="007718C7">
        <w:t xml:space="preserve"> and represents the marginal impact of the presence of at least one COF diagnosis on cost or length of stay.</w:t>
      </w:r>
    </w:p>
    <w:p w:rsidR="007718C7" w:rsidRPr="00801610" w:rsidRDefault="00840816" w:rsidP="00673CEF">
      <w:pPr>
        <w:ind w:left="720"/>
      </w:pPr>
      <m:oMath>
        <m:sSub>
          <m:sSubPr>
            <m:ctrlPr>
              <w:rPr>
                <w:rFonts w:ascii="Cambria Math" w:hAnsi="Cambria Math"/>
                <w:i/>
              </w:rPr>
            </m:ctrlPr>
          </m:sSubPr>
          <m:e>
            <m:r>
              <w:rPr>
                <w:rFonts w:ascii="Cambria Math" w:hAnsi="Cambria Math"/>
              </w:rPr>
              <m:t>I2</m:t>
            </m:r>
          </m:e>
          <m:sub>
            <m:r>
              <w:rPr>
                <w:rFonts w:ascii="Cambria Math" w:hAnsi="Cambria Math"/>
              </w:rPr>
              <m:t>j</m:t>
            </m:r>
          </m:sub>
        </m:sSub>
      </m:oMath>
      <w:r w:rsidR="007718C7">
        <w:t xml:space="preserve"> is a vector coefficients related to each group within </w:t>
      </w:r>
      <m:oMath>
        <m:sSub>
          <m:sSubPr>
            <m:ctrlPr>
              <w:rPr>
                <w:rFonts w:ascii="Cambria Math" w:hAnsi="Cambria Math"/>
                <w:i/>
              </w:rPr>
            </m:ctrlPr>
          </m:sSubPr>
          <m:e>
            <m:r>
              <w:rPr>
                <w:rFonts w:ascii="Cambria Math" w:hAnsi="Cambria Math"/>
              </w:rPr>
              <m:t>MCHADx and CHADx</m:t>
            </m:r>
          </m:e>
          <m:sub>
            <m:r>
              <w:rPr>
                <w:rFonts w:ascii="Cambria Math" w:hAnsi="Cambria Math"/>
              </w:rPr>
              <m:t>j</m:t>
            </m:r>
          </m:sub>
        </m:sSub>
        <m:r>
          <w:rPr>
            <w:rFonts w:ascii="Cambria Math" w:hAnsi="Cambria Math"/>
          </w:rPr>
          <m:t xml:space="preserve"> </m:t>
        </m:r>
      </m:oMath>
      <w:r w:rsidR="007718C7">
        <w:t>and represents the marginal impact of the presence of at least one COF diagnosis within the group/class on cost or length of stay.</w:t>
      </w:r>
    </w:p>
    <w:p w:rsidR="007718C7" w:rsidRDefault="007718C7" w:rsidP="00673CEF">
      <w:r>
        <w:lastRenderedPageBreak/>
        <w:t>In addition, to estimate for major CHADx groups and each CHADx class, costs were estimated for a subset of CHADx groups (models A3 and B3).</w:t>
      </w:r>
    </w:p>
    <w:p w:rsidR="007718C7" w:rsidRDefault="007718C7" w:rsidP="00673CEF">
      <w:r>
        <w:t xml:space="preserve">Each model was estimated first with all episodes, including same day episodes (with a dummy variable flagging the episode was same day), and secondly removing same day episodes. The results presented below focus on the models related to overnight episodes (i.e. those with at least an overnight stay in hospital). </w:t>
      </w:r>
    </w:p>
    <w:p w:rsidR="007718C7" w:rsidRDefault="007718C7" w:rsidP="00673CEF">
      <w:r>
        <w:t xml:space="preserve">Each of the models was first estimated using Ordinary Least Square (OLS). However, given the issues related to the skewed nature of cost and length of stay data, the models were also estimated using a generalised linear model (GLM) with a gamma distribution using a log link function.  This approach has </w:t>
      </w:r>
      <w:r w:rsidRPr="00E7505B">
        <w:t>been recommended and applied with respect to skewed cost and length of stay data.  With this functional form, the dependent variable (</w:t>
      </w:r>
      <m:oMath>
        <m:sSub>
          <m:sSubPr>
            <m:ctrlPr>
              <w:rPr>
                <w:rFonts w:ascii="Cambria Math" w:hAnsi="Cambria Math"/>
                <w:i/>
              </w:rPr>
            </m:ctrlPr>
          </m:sSubPr>
          <m:e>
            <m:r>
              <w:rPr>
                <w:rFonts w:ascii="Cambria Math" w:hAnsi="Cambria Math"/>
              </w:rPr>
              <m:t>C</m:t>
            </m:r>
            <m:r>
              <w:rPr>
                <w:rFonts w:ascii="Cambria Math" w:hAnsi="Cambria Math"/>
              </w:rPr>
              <m:t>ost</m:t>
            </m:r>
          </m:e>
          <m:sub>
            <m:r>
              <w:rPr>
                <w:rFonts w:ascii="Cambria Math" w:hAnsi="Cambria Math"/>
              </w:rPr>
              <m:t>i</m:t>
            </m:r>
          </m:sub>
        </m:sSub>
      </m:oMath>
      <w:r w:rsidRPr="00E7505B">
        <w:t xml:space="preserve"> or </w:t>
      </w:r>
      <m:oMath>
        <m:sSub>
          <m:sSubPr>
            <m:ctrlPr>
              <w:rPr>
                <w:rFonts w:ascii="Cambria Math" w:hAnsi="Cambria Math"/>
                <w:i/>
              </w:rPr>
            </m:ctrlPr>
          </m:sSubPr>
          <m:e>
            <m:r>
              <w:rPr>
                <w:rFonts w:ascii="Cambria Math" w:hAnsi="Cambria Math"/>
              </w:rPr>
              <m:t>LOS</m:t>
            </m:r>
          </m:e>
          <m:sub>
            <m:r>
              <w:rPr>
                <w:rFonts w:ascii="Cambria Math" w:hAnsi="Cambria Math"/>
              </w:rPr>
              <m:t>i</m:t>
            </m:r>
          </m:sub>
        </m:sSub>
      </m:oMath>
      <w:r w:rsidRPr="00E7505B">
        <w:t xml:space="preserve">) </w:t>
      </w:r>
      <w:r>
        <w:t>is</w:t>
      </w:r>
      <w:r w:rsidRPr="00E7505B">
        <w:t xml:space="preserve"> related to the independent variables through a link function, in this case a log link function.  The following equation illustrates how in this functional form cost is related to the independent variables for the equivalent of Model A2:</w:t>
      </w:r>
    </w:p>
    <w:p w:rsidR="007718C7" w:rsidRDefault="007718C7" w:rsidP="00673CEF">
      <w:pPr>
        <w:rPr>
          <w:b/>
        </w:rPr>
      </w:pPr>
      <w:r w:rsidRPr="00673CEF">
        <w:fldChar w:fldCharType="begin"/>
      </w:r>
      <w:r w:rsidRPr="00673CEF">
        <w:instrText xml:space="preserve"> QUOTE </w:instrText>
      </w:r>
      <w:r w:rsidR="002A25A4">
        <w:rPr>
          <w:position w:val="-11"/>
        </w:rPr>
        <w:pict>
          <v:shape id="_x0000_i1043" type="#_x0000_t75" style="width:302.2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3FAE&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413FAE&quot; wsp:rsidP=&quot;00413FAE&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2&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lt;/m:t&gt;&lt;/m:r&gt;&lt;m:r&gt;&lt;m:rPr&gt;&lt;m:sty m:val=&quot;p&quot;/&gt;&lt;/m:rPr&gt;&lt;w:rPr&gt;&lt;w:rFonts w:ascii=&quot;Cambria Math&quot; w:h-ansi=&quot;Cambria Math&quot;/&gt;&lt;wx:font wx:val=&quot;Cambria Math&quot;/&gt;&lt;/w:rPr&gt;&lt;m:t&gt;expa·&lt;/m:t&gt;&lt;/m:r&gt;&lt;m:r&gt;&lt;w:rPr&gt;&lt;w:rFonts w:ascii=&quot;Cambria Math&quot; w:h-ansi=&quot;Cambria Math&quot;/&gt;&lt;wx:font wx:val=&quot;Cambria Math&quot;/&gt;&lt;w:i/&gt;&lt;/w:rPr&gt;&lt;m:t&gt;(a?·+r&gt;r&gt;r&gt; &lt;/m:r:t&gt;&lt;/m:r&gt;&lt;m:nary&gt;&lt;m:naryPr&gt;&lt;m:chr m:val=&quot;a?‘&quot;/&gt;&lt;m:limLoc m:val=&quot;undOvr&quot;/&gt;&lt;m:supHide m:val=&quot;1&quot;/&gt;&lt;m:ctrlPr&gt;&lt;w:rPr&gt;&lt;w:rFonts w:ascii=&quot;Cambria Math&quot; w:h-ansi=&quot;Cambria Math&quot;/&gt;&lt;wx:font wx:val=&quot;Cambria Math&quot;/&gt;&lt;w:i/&gt;&lt;/w:rPr&gt;&lt;/m:ctrlPr&gt;&lt;/m:naryPr&gt;&lt;m:sub&gt;&gt;&lt;&gt;m:&gt;r&gt;&lt;w:r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e&quot;/a&gt;&lt;m:limbLoc m:val=&quot;undOvr&quot;/&gt;&lt;m:supHide m:val=&quot;1&quot;/&gt;&lt;m:ctrlPr&gt;&lt;w:rPr&gt;&lt;w:rFonts w:ascii=&quot;Cambria Math&quot; w:h-ansi=&quot;Cambria Math&quot;/&gt;&lt;wx:font wx:val=&quot;Cambria Math&quot;/&gt;&lt;w:i/&gt;&lt;/w:rPr&gt;&lt;/m:ctrlPr&gt;&lt;/m:naryPr&gt;&lt;m:sub&gt;&lt;m:r&gt;&lt;w:rPr&gt;&lt;w:rFonts w:ascii=&quot;Cambria Math&quot; w:&quot;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r&gt;&lt;w:rPr&gt;&lt;w:rFonts w:ascii=&quot;Cambria Math&quot; w:h-ansi=&quot;Cambria Math&quot;/&gt;&lt;wx:font wx:val=&quot;Cambria Math&quot;/&gt;&lt;w:i/&gt;&lt;/w:rPr&gt;&lt;m:t&gt;)&lt;/m:t&gt;&lt;/m:r&gt;&lt;/m:e&gt;&lt;/m:nary&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673CEF">
        <w:instrText xml:space="preserve"> </w:instrText>
      </w:r>
      <w:r w:rsidRPr="00673CEF">
        <w:fldChar w:fldCharType="separate"/>
      </w:r>
      <w:r w:rsidR="002A25A4">
        <w:rPr>
          <w:position w:val="-11"/>
        </w:rPr>
        <w:pict>
          <v:shape id="_x0000_i1044" type="#_x0000_t75" style="width:302.2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3FAE&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413FAE&quot; wsp:rsidP=&quot;00413FAE&quot;&gt;&lt;m:oMathPara&gt;&lt;m:oMath&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MODEL A2&lt;/m:t&gt;&lt;/m:r&gt;&lt;m:r&gt;&lt;w:rPr&gt;&lt;w:rFonts w:ascii=&quot;Cambria Math&quot; w:h-ansi=&quot;Cambria Math&quot;/&gt;&lt;wx:font wx:val=&quot;Cambria Math&quot;/&gt;&lt;w:i/&gt;&lt;/w:rPr&gt;&lt;m:t&gt;:    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lt;/m:t&gt;&lt;/m:r&gt;&lt;m:r&gt;&lt;m:rPr&gt;&lt;m:sty m:val=&quot;p&quot;/&gt;&lt;/m:rPr&gt;&lt;w:rPr&gt;&lt;w:rFonts w:ascii=&quot;Cambria Math&quot; w:h-ansi=&quot;Cambria Math&quot;/&gt;&lt;wx:font wx:val=&quot;Cambria Math&quot;/&gt;&lt;/w:rPr&gt;&lt;m:t&gt;expa·&lt;/m:t&gt;&lt;/m:r&gt;&lt;m:r&gt;&lt;w:rPr&gt;&lt;w:rFonts w:ascii=&quot;Cambria Math&quot; w:h-ansi=&quot;Cambria Math&quot;/&gt;&lt;wx:font wx:val=&quot;Cambria Math&quot;/&gt;&lt;w:i/&gt;&lt;/w:rPr&gt;&lt;m:t&gt;(a?·+r&gt;r&gt;r&gt; &lt;/m:r:t&gt;&lt;/m:r&gt;&lt;m:nary&gt;&lt;m:naryPr&gt;&lt;m:chr m:val=&quot;a?‘&quot;/&gt;&lt;m:limLoc m:val=&quot;undOvr&quot;/&gt;&lt;m:supHide m:val=&quot;1&quot;/&gt;&lt;m:ctrlPr&gt;&lt;w:rPr&gt;&lt;w:rFonts w:ascii=&quot;Cambria Math&quot; w:h-ansi=&quot;Cambria Math&quot;/&gt;&lt;wx:font wx:val=&quot;Cambria Math&quot;/&gt;&lt;w:i/&gt;&lt;/w:rPr&gt;&lt;/m:ctrlPr&gt;&lt;/m:naryPr&gt;&lt;m:sub&gt;&gt;&lt;&gt;m:&gt;r&gt;&lt;w:r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CHADx&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e&quot;/a&gt;&lt;m:limbLoc m:val=&quot;undOvr&quot;/&gt;&lt;m:supHide m:val=&quot;1&quot;/&gt;&lt;m:ctrlPr&gt;&lt;w:rPr&gt;&lt;w:rFonts w:ascii=&quot;Cambria Math&quot; w:h-ansi=&quot;Cambria Math&quot;/&gt;&lt;wx:font wx:val=&quot;Cambria Math&quot;/&gt;&lt;w:i/&gt;&lt;/w:rPr&gt;&lt;/m:ctrlPr&gt;&lt;/m:naryPr&gt;&lt;m:sub&gt;&lt;m:r&gt;&lt;w:rPr&gt;&lt;w:rFonts w:ascii=&quot;Cambria Math&quot; w:&quot;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r&gt;&lt;w:rPr&gt;&lt;w:rFonts w:ascii=&quot;Cambria Math&quot; w:h-ansi=&quot;Cambria Math&quot;/&gt;&lt;wx:font wx:val=&quot;Cambria Math&quot;/&gt;&lt;w:i/&gt;&lt;/w:rPr&gt;&lt;m:t&gt;)&lt;/m:t&gt;&lt;/m:r&gt;&lt;/m:e&gt;&lt;/m:nary&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673CEF">
        <w:fldChar w:fldCharType="end"/>
      </w:r>
      <w:r>
        <w:tab/>
      </w:r>
      <w:r>
        <w:tab/>
      </w:r>
      <w:r>
        <w:tab/>
      </w:r>
      <w:r>
        <w:tab/>
        <w:t>(9)</w:t>
      </w:r>
      <w:r w:rsidRPr="00801610">
        <w:rPr>
          <w:b/>
        </w:rPr>
        <w:t xml:space="preserve"> </w:t>
      </w:r>
    </w:p>
    <w:p w:rsidR="007718C7" w:rsidRDefault="007718C7" w:rsidP="00673CEF">
      <w:r>
        <w:t xml:space="preserve">This means that the parameter estimates (the  </w:t>
      </w:r>
      <m:oMath>
        <m:sSub>
          <m:sSubPr>
            <m:ctrlPr>
              <w:rPr>
                <w:rFonts w:ascii="Cambria Math" w:hAnsi="Cambria Math"/>
                <w:i/>
              </w:rPr>
            </m:ctrlPr>
          </m:sSubPr>
          <m:e>
            <m:r>
              <w:rPr>
                <w:rFonts w:ascii="Cambria Math" w:hAnsi="Cambria Math"/>
              </w:rPr>
              <m:t>I2</m:t>
            </m:r>
          </m:e>
          <m:sub>
            <m:r>
              <w:rPr>
                <w:rFonts w:ascii="Cambria Math" w:hAnsi="Cambria Math"/>
              </w:rPr>
              <m:t xml:space="preserve">j </m:t>
            </m:r>
          </m:sub>
        </m:sSub>
      </m:oMath>
      <w:r>
        <w:t xml:space="preserve">‘s), cannot be directly interpreted as cost or length of stay effects.  The predicted impact of a particular hospital-acquired condition will vary, according to the presence of other explanatory variables, including other hospital-acquired conditions. To estimate the incremental effects on cost and length of stay, the estimated parameters from the model were used to compare the predicted cost/length of stay for the uncomplicated case (i.e.  </w:t>
      </w:r>
      <w:r w:rsidRPr="00673CEF">
        <w:fldChar w:fldCharType="begin"/>
      </w:r>
      <w:r w:rsidRPr="00673CEF">
        <w:instrText xml:space="preserve"> QUOTE </w:instrText>
      </w:r>
      <w:r w:rsidR="002A25A4">
        <w:rPr>
          <w:position w:val="-8"/>
        </w:rPr>
        <w:pict>
          <v:shape id="_x0000_i1045" type="#_x0000_t75" style="width:117.65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466&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917466&quot; wsp:rsidP=&quot;00917466&quot;&gt;&lt;m:oMathPara&gt;&lt;m:oMath&gt;&lt;m:r&gt;&lt;m:rPr&gt;&lt;m:sty m:val=&quot;p&quot;/&gt;&lt;/m:rPr&gt;&lt;w:rPr&gt;&lt;w:rFonts w:ascii=&quot;Cambria Math&quot; w:h-ansi=&quot;Cambria Math&quot;/&gt;&lt;wx:font wx:val=&quot;Cambria Math&quot;/&gt;&lt;/w:rPr&gt;&lt;m:t&gt;expa·&lt;/m:t&gt;&lt;/m:r&gt;&lt;m:r&gt;&lt;w:rPr&gt;&lt;w:rFonts w:ascii=&quot;Cambria Math&quot; w:h-ansi=&quot;Cambria Math&quot;/&gt;&lt;wx:font wx:val=&quot;Cambria Math&quot;/&gt;&lt;w:i/&gt;&lt;/w:rPr&gt;&lt;m:t&gt;(a?·+ &lt;/m:t&gt;&lt;/m:r&gt;&lt;m:tststsnary:a&gt;&lt;m:naryPr&gt;&lt;m:chr m:val=&quot;a?‘&quot;/&gt;&lt;m:limLoc m:val=&quot;undOvr&quot;/&gt;&lt;m:supHide m:val=&quot;1&quot;/&gt;&lt;m:ctrlPr&gt;&lt;w:rPr&gt;&lt;w:rFonts w:ascii=&quot;Cambria Math&quot; w:h-ansi=&quot;Cambria Math&quot;/&gt;&lt;wx:font wx:val=&quot;Cambria Math&quot;/&gt;&lt;w:i/&gt;&lt;/w:rPr&gt;&lt;/m:ctrlPr&gt;&lt;/m:naryPr&gt;&lt;m:sub&gt;&lt;m:r&gt;&lt;w:rPr&gt;&lt;w:srFsonsts w:a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r&gt;&lt;w:rPr&gt;&lt;w:rFonts w:ascii=&quot;Cambria Math&quot; w:h-ansi=&quot;Cambria Math&quot;/&gt;&lt;wx:font wx:val=&quot;Cambria Math&quot;/&gt;&lt;w:i/&gt;&lt;/w:rPr&gt;&lt;m:t&gt;)&lt;/m:t&gt;&lt;/m:r&gt;&lt;/m:e&gt;&lt;/m:nary&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673CEF">
        <w:instrText xml:space="preserve"> </w:instrText>
      </w:r>
      <w:r w:rsidRPr="00673CEF">
        <w:fldChar w:fldCharType="separate"/>
      </w:r>
      <w:r w:rsidR="002A25A4">
        <w:rPr>
          <w:position w:val="-8"/>
        </w:rPr>
        <w:pict>
          <v:shape id="_x0000_i1046" type="#_x0000_t75" style="width:117.65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466&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917466&quot; wsp:rsidP=&quot;00917466&quot;&gt;&lt;m:oMathPara&gt;&lt;m:oMath&gt;&lt;m:r&gt;&lt;m:rPr&gt;&lt;m:sty m:val=&quot;p&quot;/&gt;&lt;/m:rPr&gt;&lt;w:rPr&gt;&lt;w:rFonts w:ascii=&quot;Cambria Math&quot; w:h-ansi=&quot;Cambria Math&quot;/&gt;&lt;wx:font wx:val=&quot;Cambria Math&quot;/&gt;&lt;/w:rPr&gt;&lt;m:t&gt;expa·&lt;/m:t&gt;&lt;/m:r&gt;&lt;m:r&gt;&lt;w:rPr&gt;&lt;w:rFonts w:ascii=&quot;Cambria Math&quot; w:h-ansi=&quot;Cambria Math&quot;/&gt;&lt;wx:font wx:val=&quot;Cambria Math&quot;/&gt;&lt;w:i/&gt;&lt;/w:rPr&gt;&lt;m:t&gt;(a?·+ &lt;/m:t&gt;&lt;/m:r&gt;&lt;m:tststsnary:a&gt;&lt;m:naryPr&gt;&lt;m:chr m:val=&quot;a?‘&quot;/&gt;&lt;m:limLoc m:val=&quot;undOvr&quot;/&gt;&lt;m:supHide m:val=&quot;1&quot;/&gt;&lt;m:ctrlPr&gt;&lt;w:rPr&gt;&lt;w:rFonts w:ascii=&quot;Cambria Math&quot; w:h-ansi=&quot;Cambria Math&quot;/&gt;&lt;wx:font wx:val=&quot;Cambria Math&quot;/&gt;&lt;w:i/&gt;&lt;/w:rPr&gt;&lt;/m:ctrlPr&gt;&lt;/m:naryPr&gt;&lt;m:sub&gt;&lt;m:r&gt;&lt;w:rPr&gt;&lt;w:srFsonsts w:a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r&gt;&lt;w:rPr&gt;&lt;w:rFonts w:ascii=&quot;Cambria Math&quot; w:h-ansi=&quot;Cambria Math&quot;/&gt;&lt;wx:font wx:val=&quot;Cambria Math&quot;/&gt;&lt;w:i/&gt;&lt;/w:rPr&gt;&lt;m:t&gt;)&lt;/m:t&gt;&lt;/m:r&gt;&lt;/m:e&gt;&lt;/m:nary&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673CEF">
        <w:fldChar w:fldCharType="end"/>
      </w:r>
      <w:r>
        <w:t xml:space="preserve">with the predicted cost and length of stay with the presence of a particular COF diagnoses (i.e. </w:t>
      </w:r>
      <w:r w:rsidRPr="00673CEF">
        <w:fldChar w:fldCharType="begin"/>
      </w:r>
      <w:r w:rsidRPr="00673CEF">
        <w:instrText xml:space="preserve"> QUOTE </w:instrText>
      </w:r>
      <w:r w:rsidR="002A25A4">
        <w:rPr>
          <w:position w:val="-8"/>
        </w:rPr>
        <w:pict>
          <v:shape id="_x0000_i1047" type="#_x0000_t75" style="width:174.4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6CF0&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4A6CF0&quot; wsp:rsidP=&quot;004A6CF0&quot;&gt;&lt;m:oMathPara&gt;&lt;m:oMath&gt;&lt;m:r&gt;&lt;m:rPr&gt;&lt;m:sty m:val=&quot;p&quot;/&gt;&lt;/m:rPr&gt;&lt;w:rPr&gt;&lt;w:rFonts w:ascii=&quot;Cambria Math&quot; w:h-ansi=&quot;Cambria Math&quot;/&gt;&lt;wx:font wx:val=&quot;Cambria Math&quot;/&gt;&lt;/w:rPr&gt;&lt;m:t&gt;expa·&lt;/m:t&gt;&lt;/m:r&gt;&lt;m:r&gt;&lt;w:rPr&gt;&lt;w:rFonts w:ascii=&quot;Cambria Math&quot; w:h-ansi=&quot;Cambria Math&quot;/&gt;&lt;wx:font wx:val=&quot;Cambria Math&quot;/&gt;&lt;w:i/&gt;&lt;/w:rPr&gt;&lt;m:t&gt;(a?·+I2xMCHADx+&lt;/m:t&gt;tststs&lt;/m::ar&gt;&lt;m:nary&gt;&lt;m:naryPr&gt;&lt;m:chr m:val=&quot;a?‘&quot;/&gt;&lt;m:limLoc m:val=&quot;undOvr&quot;/&gt;&lt;m:supHide m:val=&quot;1&quot;/&gt;&lt;m:ctrlPr&gt;&lt;w:rPr&gt;&lt;w:rFonts w:ascii=&quot;Cambria Math&quot; w:h-ansi=&quot;Cambria Math&quot;/&gt;&lt;wx:font wx:val=&quot;Cambria Math&quot;/&gt;&lt;w:i/&gt;&lt;/w:rPr&gt;&lt;/m:ctrlPr&gt;&lt;/m:naryPr&gt;&lt;m:sub&gt;&lt;m:r&gt;&lt;sw:srPsr&gt;&lt;w:ra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r&gt;&lt;w:rPr&gt;&lt;w:rFonts w:ascii=&quot;Cambria Math&quot; w:h-ansi=&quot;Cambria Math&quot;/&gt;&lt;wx:font wx:val=&quot;Cambria Math&quot;/&gt;&lt;w:i/&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673CEF">
        <w:instrText xml:space="preserve"> </w:instrText>
      </w:r>
      <w:r w:rsidRPr="00673CEF">
        <w:fldChar w:fldCharType="separate"/>
      </w:r>
      <w:r w:rsidR="002A25A4">
        <w:rPr>
          <w:position w:val="-8"/>
        </w:rPr>
        <w:pict>
          <v:shape id="_x0000_i1048" type="#_x0000_t75" style="width:174.4pt;height:14.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item&amp;gt;119&amp;lt;/item&amp;gt;&amp;lt;item&amp;gt;127&amp;lt;/item&amp;gt;&amp;lt;item&amp;gt;131&amp;lt;/item&amp;gt;&amp;lt;/record-ids&amp;gt;&amp;lt;/item&amp;gt;&amp;lt;/Libraries&amp;gt;&quot;/&gt;&lt;/w:docVars&gt;&lt;wsp:rsids&gt;&lt;wsp:rsidRoot wsp:val=&quot;00542C4B&quot;/&gt;&lt;wsp:rsid wsp:val=&quot;00001883&quot;/&gt;&lt;wsp:rsid wsp:val=&quot;000044F6&quot;/&gt;&lt;wsp:rsid wsp:val=&quot;00006A8A&quot;/&gt;&lt;wsp:rsid wsp:val=&quot;00007931&quot;/&gt;&lt;wsp:rsid wsp:val=&quot;0001466F&quot;/&gt;&lt;wsp:rsid wsp:val=&quot;00015620&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36945&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1084&quot;/&gt;&lt;wsp:rsid wsp:val=&quot;000734BD&quot;/&gt;&lt;wsp:rsid wsp:val=&quot;00073A01&quot;/&gt;&lt;wsp:rsid wsp:val=&quot;000757C8&quot;/&gt;&lt;wsp:rsid wsp:val=&quot;0008501D&quot;/&gt;&lt;wsp:rsid wsp:val=&quot;000902B8&quot;/&gt;&lt;wsp:rsid wsp:val=&quot;000A5F32&quot;/&gt;&lt;wsp:rsid wsp:val=&quot;000A7589&quot;/&gt;&lt;wsp:rsid wsp:val=&quot;000B3E47&quot;/&gt;&lt;wsp:rsid wsp:val=&quot;000C4220&quot;/&gt;&lt;wsp:rsid wsp:val=&quot;000D218D&quot;/&gt;&lt;wsp:rsid wsp:val=&quot;000D2F2C&quot;/&gt;&lt;wsp:rsid wsp:val=&quot;000D405F&quot;/&gt;&lt;wsp:rsid wsp:val=&quot;000D497D&quot;/&gt;&lt;wsp:rsid wsp:val=&quot;000E0A38&quot;/&gt;&lt;wsp:rsid wsp:val=&quot;000E2FFC&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6848&quot;/&gt;&lt;wsp:rsid wsp:val=&quot;00107FBB&quot;/&gt;&lt;wsp:rsid wsp:val=&quot;001101C3&quot;/&gt;&lt;wsp:rsid wsp:val=&quot;00111F88&quot;/&gt;&lt;wsp:rsid wsp:val=&quot;00112416&quot;/&gt;&lt;wsp:rsid wsp:val=&quot;00114140&quot;/&gt;&lt;wsp:rsid wsp:val=&quot;00116DD5&quot;/&gt;&lt;wsp:rsid wsp:val=&quot;00124FE1&quot;/&gt;&lt;wsp:rsid wsp:val=&quot;00133365&quot;/&gt;&lt;wsp:rsid wsp:val=&quot;00142E42&quot;/&gt;&lt;wsp:rsid wsp:val=&quot;0014329F&quot;/&gt;&lt;wsp:rsid wsp:val=&quot;0016134A&quot;/&gt;&lt;wsp:rsid wsp:val=&quot;0016214D&quot;/&gt;&lt;wsp:rsid wsp:val=&quot;0016570A&quot;/&gt;&lt;wsp:rsid wsp:val=&quot;00166E8F&quot;/&gt;&lt;wsp:rsid wsp:val=&quot;00172993&quot;/&gt;&lt;wsp:rsid wsp:val=&quot;00172DE8&quot;/&gt;&lt;wsp:rsid wsp:val=&quot;00173FD4&quot;/&gt;&lt;wsp:rsid wsp:val=&quot;001765FA&quot;/&gt;&lt;wsp:rsid wsp:val=&quot;00176FC1&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36BA&quot;/&gt;&lt;wsp:rsid wsp:val=&quot;001A4F6A&quot;/&gt;&lt;wsp:rsid wsp:val=&quot;001A6B66&quot;/&gt;&lt;wsp:rsid wsp:val=&quot;001B0AD6&quot;/&gt;&lt;wsp:rsid wsp:val=&quot;001B4D8C&quot;/&gt;&lt;wsp:rsid wsp:val=&quot;001B66AC&quot;/&gt;&lt;wsp:rsid wsp:val=&quot;001B78D5&quot;/&gt;&lt;wsp:rsid wsp:val=&quot;001C3093&quot;/&gt;&lt;wsp:rsid wsp:val=&quot;001C7922&quot;/&gt;&lt;wsp:rsid wsp:val=&quot;001D4FD3&quot;/&gt;&lt;wsp:rsid wsp:val=&quot;001D7647&quot;/&gt;&lt;wsp:rsid wsp:val=&quot;001E1937&quot;/&gt;&lt;wsp:rsid wsp:val=&quot;001E5251&quot;/&gt;&lt;wsp:rsid wsp:val=&quot;001E5956&quot;/&gt;&lt;wsp:rsid wsp:val=&quot;001F03A2&quot;/&gt;&lt;wsp:rsid wsp:val=&quot;001F0888&quot;/&gt;&lt;wsp:rsid wsp:val=&quot;001F150A&quot;/&gt;&lt;wsp:rsid wsp:val=&quot;001F2744&quot;/&gt;&lt;wsp:rsid wsp:val=&quot;001F68F5&quot;/&gt;&lt;wsp:rsid wsp:val=&quot;002002B2&quot;/&gt;&lt;wsp:rsid wsp:val=&quot;0020272A&quot;/&gt;&lt;wsp:rsid wsp:val=&quot;002047F0&quot;/&gt;&lt;wsp:rsid wsp:val=&quot;002059C3&quot;/&gt;&lt;wsp:rsid wsp:val=&quot;00206125&quot;/&gt;&lt;wsp:rsid wsp:val=&quot;00207757&quot;/&gt;&lt;wsp:rsid wsp:val=&quot;00210997&quot;/&gt;&lt;wsp:rsid wsp:val=&quot;002139F4&quot;/&gt;&lt;wsp:rsid wsp:val=&quot;00223C66&quot;/&gt;&lt;wsp:rsid wsp:val=&quot;002313F3&quot;/&gt;&lt;wsp:rsid wsp:val=&quot;002314DE&quot;/&gt;&lt;wsp:rsid wsp:val=&quot;00235F6C&quot;/&gt;&lt;wsp:rsid wsp:val=&quot;00237CC0&quot;/&gt;&lt;wsp:rsid wsp:val=&quot;00251DB5&quot;/&gt;&lt;wsp:rsid wsp:val=&quot;0027433B&quot;/&gt;&lt;wsp:rsid wsp:val=&quot;00276C63&quot;/&gt;&lt;wsp:rsid wsp:val=&quot;00283C65&quot;/&gt;&lt;wsp:rsid wsp:val=&quot;00285ED6&quot;/&gt;&lt;wsp:rsid wsp:val=&quot;002915D5&quot;/&gt;&lt;wsp:rsid wsp:val=&quot;00293CE9&quot;/&gt;&lt;wsp:rsid wsp:val=&quot;00294745&quot;/&gt;&lt;wsp:rsid wsp:val=&quot;002B122F&quot;/&gt;&lt;wsp:rsid wsp:val=&quot;002B304E&quot;/&gt;&lt;wsp:rsid wsp:val=&quot;002B3AAC&quot;/&gt;&lt;wsp:rsid wsp:val=&quot;002B7005&quot;/&gt;&lt;wsp:rsid wsp:val=&quot;002C1473&quot;/&gt;&lt;wsp:rsid wsp:val=&quot;002D04B7&quot;/&gt;&lt;wsp:rsid wsp:val=&quot;002D7098&quot;/&gt;&lt;wsp:rsid wsp:val=&quot;002D7158&quot;/&gt;&lt;wsp:rsid wsp:val=&quot;002E3332&quot;/&gt;&lt;wsp:rsid wsp:val=&quot;002E50A2&quot;/&gt;&lt;wsp:rsid wsp:val=&quot;002E6CC6&quot;/&gt;&lt;wsp:rsid wsp:val=&quot;002F3A25&quot;/&gt;&lt;wsp:rsid wsp:val=&quot;00300A5E&quot;/&gt;&lt;wsp:rsid wsp:val=&quot;00302D69&quot;/&gt;&lt;wsp:rsid wsp:val=&quot;00306EB8&quot;/&gt;&lt;wsp:rsid wsp:val=&quot;0032047B&quot;/&gt;&lt;wsp:rsid wsp:val=&quot;003313FE&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1835&quot;/&gt;&lt;wsp:rsid wsp:val=&quot;00366386&quot;/&gt;&lt;wsp:rsid wsp:val=&quot;00367AB1&quot;/&gt;&lt;wsp:rsid wsp:val=&quot;0037417A&quot;/&gt;&lt;wsp:rsid wsp:val=&quot;00376DB9&quot;/&gt;&lt;wsp:rsid wsp:val=&quot;00377038&quot;/&gt;&lt;wsp:rsid wsp:val=&quot;0037796F&quot;/&gt;&lt;wsp:rsid wsp:val=&quot;00381228&quot;/&gt;&lt;wsp:rsid wsp:val=&quot;00386D43&quot;/&gt;&lt;wsp:rsid wsp:val=&quot;003871F2&quot;/&gt;&lt;wsp:rsid wsp:val=&quot;0039278B&quot;/&gt;&lt;wsp:rsid wsp:val=&quot;00393C1A&quot;/&gt;&lt;wsp:rsid wsp:val=&quot;003968A2&quot;/&gt;&lt;wsp:rsid wsp:val=&quot;003A34B5&quot;/&gt;&lt;wsp:rsid wsp:val=&quot;003A7969&quot;/&gt;&lt;wsp:rsid wsp:val=&quot;003A7D23&quot;/&gt;&lt;wsp:rsid wsp:val=&quot;003B5E8B&quot;/&gt;&lt;wsp:rsid wsp:val=&quot;003B6A98&quot;/&gt;&lt;wsp:rsid wsp:val=&quot;003B6E75&quot;/&gt;&lt;wsp:rsid wsp:val=&quot;003B74F6&quot;/&gt;&lt;wsp:rsid wsp:val=&quot;003C23C6&quot;/&gt;&lt;wsp:rsid wsp:val=&quot;003C253A&quot;/&gt;&lt;wsp:rsid wsp:val=&quot;003C4D96&quot;/&gt;&lt;wsp:rsid wsp:val=&quot;003D5AB5&quot;/&gt;&lt;wsp:rsid wsp:val=&quot;003D63AE&quot;/&gt;&lt;wsp:rsid wsp:val=&quot;003E06FA&quot;/&gt;&lt;wsp:rsid wsp:val=&quot;003E768A&quot;/&gt;&lt;wsp:rsid wsp:val=&quot;003F105B&quot;/&gt;&lt;wsp:rsid wsp:val=&quot;003F138A&quot;/&gt;&lt;wsp:rsid wsp:val=&quot;003F3F11&quot;/&gt;&lt;wsp:rsid wsp:val=&quot;003F45FB&quot;/&gt;&lt;wsp:rsid wsp:val=&quot;003F4ECE&quot;/&gt;&lt;wsp:rsid wsp:val=&quot;004000BE&quot;/&gt;&lt;wsp:rsid wsp:val=&quot;004047B6&quot;/&gt;&lt;wsp:rsid wsp:val=&quot;0040506F&quot;/&gt;&lt;wsp:rsid wsp:val=&quot;00415B75&quot;/&gt;&lt;wsp:rsid wsp:val=&quot;00417343&quot;/&gt;&lt;wsp:rsid wsp:val=&quot;004222F6&quot;/&gt;&lt;wsp:rsid wsp:val=&quot;004232E0&quot;/&gt;&lt;wsp:rsid wsp:val=&quot;00426B48&quot;/&gt;&lt;wsp:rsid wsp:val=&quot;004273BC&quot;/&gt;&lt;wsp:rsid wsp:val=&quot;00431175&quot;/&gt;&lt;wsp:rsid wsp:val=&quot;004312E7&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674AD&quot;/&gt;&lt;wsp:rsid wsp:val=&quot;0047391A&quot;/&gt;&lt;wsp:rsid wsp:val=&quot;00480718&quot;/&gt;&lt;wsp:rsid wsp:val=&quot;00481800&quot;/&gt;&lt;wsp:rsid wsp:val=&quot;00484358&quot;/&gt;&lt;wsp:rsid wsp:val=&quot;00492C63&quot;/&gt;&lt;wsp:rsid wsp:val=&quot;00493FA0&quot;/&gt;&lt;wsp:rsid wsp:val=&quot;004A04FA&quot;/&gt;&lt;wsp:rsid wsp:val=&quot;004A0C9B&quot;/&gt;&lt;wsp:rsid wsp:val=&quot;004A4C90&quot;/&gt;&lt;wsp:rsid wsp:val=&quot;004A5687&quot;/&gt;&lt;wsp:rsid wsp:val=&quot;004A6CF0&quot;/&gt;&lt;wsp:rsid wsp:val=&quot;004A7D1C&quot;/&gt;&lt;wsp:rsid wsp:val=&quot;004B3ABD&quot;/&gt;&lt;wsp:rsid wsp:val=&quot;004B58EF&quot;/&gt;&lt;wsp:rsid wsp:val=&quot;004B69F3&quot;/&gt;&lt;wsp:rsid wsp:val=&quot;004C114F&quot;/&gt;&lt;wsp:rsid wsp:val=&quot;004C266E&quot;/&gt;&lt;wsp:rsid wsp:val=&quot;004C54EF&quot;/&gt;&lt;wsp:rsid wsp:val=&quot;004C6D74&quot;/&gt;&lt;wsp:rsid wsp:val=&quot;004C6E39&quot;/&gt;&lt;wsp:rsid wsp:val=&quot;004D0A2A&quot;/&gt;&lt;wsp:rsid wsp:val=&quot;004D519D&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48A9&quot;/&gt;&lt;wsp:rsid wsp:val=&quot;004F5673&quot;/&gt;&lt;wsp:rsid wsp:val=&quot;004F5A90&quot;/&gt;&lt;wsp:rsid wsp:val=&quot;004F5D35&quot;/&gt;&lt;wsp:rsid wsp:val=&quot;004F7473&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33ED4&quot;/&gt;&lt;wsp:rsid wsp:val=&quot;00535883&quot;/&gt;&lt;wsp:rsid wsp:val=&quot;0053667B&quot;/&gt;&lt;wsp:rsid wsp:val=&quot;00542C4B&quot;/&gt;&lt;wsp:rsid wsp:val=&quot;00545AC6&quot;/&gt;&lt;wsp:rsid wsp:val=&quot;0054785B&quot;/&gt;&lt;wsp:rsid wsp:val=&quot;005515D5&quot;/&gt;&lt;wsp:rsid wsp:val=&quot;00551754&quot;/&gt;&lt;wsp:rsid wsp:val=&quot;005517EA&quot;/&gt;&lt;wsp:rsid wsp:val=&quot;00551D9A&quot;/&gt;&lt;wsp:rsid wsp:val=&quot;00552913&quot;/&gt;&lt;wsp:rsid wsp:val=&quot;00556630&quot;/&gt;&lt;wsp:rsid wsp:val=&quot;0056386C&quot;/&gt;&lt;wsp:rsid wsp:val=&quot;005669AF&quot;/&gt;&lt;wsp:rsid wsp:val=&quot;00572EB0&quot;/&gt;&lt;wsp:rsid wsp:val=&quot;00573BB8&quot;/&gt;&lt;wsp:rsid wsp:val=&quot;005747C5&quot;/&gt;&lt;wsp:rsid wsp:val=&quot;00577329&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D8&quot;/&gt;&lt;wsp:rsid wsp:val=&quot;005C40F8&quot;/&gt;&lt;wsp:rsid wsp:val=&quot;005C5C62&quot;/&gt;&lt;wsp:rsid wsp:val=&quot;005C69CC&quot;/&gt;&lt;wsp:rsid wsp:val=&quot;005D44E2&quot;/&gt;&lt;wsp:rsid wsp:val=&quot;005D4EE3&quot;/&gt;&lt;wsp:rsid wsp:val=&quot;005D5CA6&quot;/&gt;&lt;wsp:rsid wsp:val=&quot;005D693B&quot;/&gt;&lt;wsp:rsid wsp:val=&quot;005E59B4&quot;/&gt;&lt;wsp:rsid wsp:val=&quot;005F12C7&quot;/&gt;&lt;wsp:rsid wsp:val=&quot;005F63D9&quot;/&gt;&lt;wsp:rsid wsp:val=&quot;00600CBB&quot;/&gt;&lt;wsp:rsid wsp:val=&quot;00601948&quot;/&gt;&lt;wsp:rsid wsp:val=&quot;00602785&quot;/&gt;&lt;wsp:rsid wsp:val=&quot;00602A2F&quot;/&gt;&lt;wsp:rsid wsp:val=&quot;0060342F&quot;/&gt;&lt;wsp:rsid wsp:val=&quot;006066CD&quot;/&gt;&lt;wsp:rsid wsp:val=&quot;00607C0D&quot;/&gt;&lt;wsp:rsid wsp:val=&quot;00611284&quot;/&gt;&lt;wsp:rsid wsp:val=&quot;00615BC2&quot;/&gt;&lt;wsp:rsid wsp:val=&quot;00617540&quot;/&gt;&lt;wsp:rsid wsp:val=&quot;00620E73&quot;/&gt;&lt;wsp:rsid wsp:val=&quot;00631973&quot;/&gt;&lt;wsp:rsid wsp:val=&quot;00641EF2&quot;/&gt;&lt;wsp:rsid wsp:val=&quot;006434EE&quot;/&gt;&lt;wsp:rsid wsp:val=&quot;00654198&quot;/&gt;&lt;wsp:rsid wsp:val=&quot;00655E1A&quot;/&gt;&lt;wsp:rsid wsp:val=&quot;00655F18&quot;/&gt;&lt;wsp:rsid wsp:val=&quot;00660329&quot;/&gt;&lt;wsp:rsid wsp:val=&quot;006611F8&quot;/&gt;&lt;wsp:rsid wsp:val=&quot;00661F8C&quot;/&gt;&lt;wsp:rsid wsp:val=&quot;00663593&quot;/&gt;&lt;wsp:rsid wsp:val=&quot;00670EAA&quot;/&gt;&lt;wsp:rsid wsp:val=&quot;00671605&quot;/&gt;&lt;wsp:rsid wsp:val=&quot;00673887&quot;/&gt;&lt;wsp:rsid wsp:val=&quot;00673CEF&quot;/&gt;&lt;wsp:rsid wsp:val=&quot;00684921&quot;/&gt;&lt;wsp:rsid wsp:val=&quot;00685199&quot;/&gt;&lt;wsp:rsid wsp:val=&quot;00685826&quot;/&gt;&lt;wsp:rsid wsp:val=&quot;00686E4D&quot;/&gt;&lt;wsp:rsid wsp:val=&quot;00690510&quot;/&gt;&lt;wsp:rsid wsp:val=&quot;006919DD&quot;/&gt;&lt;wsp:rsid wsp:val=&quot;006951ED&quot;/&gt;&lt;wsp:rsid wsp:val=&quot;00695934&quot;/&gt;&lt;wsp:rsid wsp:val=&quot;00696541&quot;/&gt;&lt;wsp:rsid wsp:val=&quot;006972A5&quot;/&gt;&lt;wsp:rsid wsp:val=&quot;00697C7E&quot;/&gt;&lt;wsp:rsid wsp:val=&quot;00697F23&quot;/&gt;&lt;wsp:rsid wsp:val=&quot;006A1606&quot;/&gt;&lt;wsp:rsid wsp:val=&quot;006A2B3A&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D38BA&quot;/&gt;&lt;wsp:rsid wsp:val=&quot;006E2308&quot;/&gt;&lt;wsp:rsid wsp:val=&quot;006E2A56&quot;/&gt;&lt;wsp:rsid wsp:val=&quot;006F0CAA&quot;/&gt;&lt;wsp:rsid wsp:val=&quot;006F0DDD&quot;/&gt;&lt;wsp:rsid wsp:val=&quot;006F19CE&quot;/&gt;&lt;wsp:rsid wsp:val=&quot;006F1FAE&quot;/&gt;&lt;wsp:rsid wsp:val=&quot;006F3E4E&quot;/&gt;&lt;wsp:rsid wsp:val=&quot;006F4275&quot;/&gt;&lt;wsp:rsid wsp:val=&quot;006F6A2F&quot;/&gt;&lt;wsp:rsid wsp:val=&quot;006F6C74&quot;/&gt;&lt;wsp:rsid wsp:val=&quot;006F71D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237C&quot;/&gt;&lt;wsp:rsid wsp:val=&quot;00735AC3&quot;/&gt;&lt;wsp:rsid wsp:val=&quot;007421AC&quot;/&gt;&lt;wsp:rsid wsp:val=&quot;007436AB&quot;/&gt;&lt;wsp:rsid wsp:val=&quot;00743962&quot;/&gt;&lt;wsp:rsid wsp:val=&quot;00743C46&quot;/&gt;&lt;wsp:rsid wsp:val=&quot;0074457D&quot;/&gt;&lt;wsp:rsid wsp:val=&quot;0074655C&quot;/&gt;&lt;wsp:rsid wsp:val=&quot;00752389&quot;/&gt;&lt;wsp:rsid wsp:val=&quot;00756598&quot;/&gt;&lt;wsp:rsid wsp:val=&quot;007612AC&quot;/&gt;&lt;wsp:rsid wsp:val=&quot;00772640&quot;/&gt;&lt;wsp:rsid wsp:val=&quot;0077376A&quot;/&gt;&lt;wsp:rsid wsp:val=&quot;00774799&quot;/&gt;&lt;wsp:rsid wsp:val=&quot;00775B8D&quot;/&gt;&lt;wsp:rsid wsp:val=&quot;007764ED&quot;/&gt;&lt;wsp:rsid wsp:val=&quot;00780CCC&quot;/&gt;&lt;wsp:rsid wsp:val=&quot;007847F7&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B1B77&quot;/&gt;&lt;wsp:rsid wsp:val=&quot;007C1A83&quot;/&gt;&lt;wsp:rsid wsp:val=&quot;007C2096&quot;/&gt;&lt;wsp:rsid wsp:val=&quot;007C6256&quot;/&gt;&lt;wsp:rsid wsp:val=&quot;007C7E99&quot;/&gt;&lt;wsp:rsid wsp:val=&quot;007D661A&quot;/&gt;&lt;wsp:rsid wsp:val=&quot;007E07F7&quot;/&gt;&lt;wsp:rsid wsp:val=&quot;007E2FC8&quot;/&gt;&lt;wsp:rsid wsp:val=&quot;007E4B32&quot;/&gt;&lt;wsp:rsid wsp:val=&quot;007E4E1B&quot;/&gt;&lt;wsp:rsid wsp:val=&quot;007E6BAF&quot;/&gt;&lt;wsp:rsid wsp:val=&quot;007F140E&quot;/&gt;&lt;wsp:rsid wsp:val=&quot;007F35A2&quot;/&gt;&lt;wsp:rsid wsp:val=&quot;007F4444&quot;/&gt;&lt;wsp:rsid wsp:val=&quot;007F53CB&quot;/&gt;&lt;wsp:rsid wsp:val=&quot;007F6520&quot;/&gt;&lt;wsp:rsid wsp:val=&quot;007F776F&quot;/&gt;&lt;wsp:rsid wsp:val=&quot;007F790A&quot;/&gt;&lt;wsp:rsid wsp:val=&quot;00801610&quot;/&gt;&lt;wsp:rsid wsp:val=&quot;00804460&quot;/&gt;&lt;wsp:rsid wsp:val=&quot;00806468&quot;/&gt;&lt;wsp:rsid wsp:val=&quot;0081105E&quot;/&gt;&lt;wsp:rsid wsp:val=&quot;008125A6&quot;/&gt;&lt;wsp:rsid wsp:val=&quot;00824D95&quot;/&gt;&lt;wsp:rsid wsp:val=&quot;0083092D&quot;/&gt;&lt;wsp:rsid wsp:val=&quot;00831E02&quot;/&gt;&lt;wsp:rsid wsp:val=&quot;00834D77&quot;/&gt;&lt;wsp:rsid wsp:val=&quot;0084375F&quot;/&gt;&lt;wsp:rsid wsp:val=&quot;0084615C&quot;/&gt;&lt;wsp:rsid wsp:val=&quot;00850280&quot;/&gt;&lt;wsp:rsid wsp:val=&quot;008511D5&quot;/&gt;&lt;wsp:rsid wsp:val=&quot;00853342&quot;/&gt;&lt;wsp:rsid wsp:val=&quot;008547FD&quot;/&gt;&lt;wsp:rsid wsp:val=&quot;0085545D&quot;/&gt;&lt;wsp:rsid wsp:val=&quot;00855D95&quot;/&gt;&lt;wsp:rsid wsp:val=&quot;0085630C&quot;/&gt;&lt;wsp:rsid wsp:val=&quot;008570D3&quot;/&gt;&lt;wsp:rsid wsp:val=&quot;008573B2&quot;/&gt;&lt;wsp:rsid wsp:val=&quot;00861215&quot;/&gt;&lt;wsp:rsid wsp:val=&quot;00861972&quot;/&gt;&lt;wsp:rsid wsp:val=&quot;00862859&quot;/&gt;&lt;wsp:rsid wsp:val=&quot;00864829&quot;/&gt;&lt;wsp:rsid wsp:val=&quot;0086760B&quot;/&gt;&lt;wsp:rsid wsp:val=&quot;0087051E&quot;/&gt;&lt;wsp:rsid wsp:val=&quot;00881A5A&quot;/&gt;&lt;wsp:rsid wsp:val=&quot;00884ABD&quot;/&gt;&lt;wsp:rsid wsp:val=&quot;00886ABA&quot;/&gt;&lt;wsp:rsid wsp:val=&quot;00887AFF&quot;/&gt;&lt;wsp:rsid wsp:val=&quot;00890891&quot;/&gt;&lt;wsp:rsid wsp:val=&quot;00895DF8&quot;/&gt;&lt;wsp:rsid wsp:val=&quot;008A0E6E&quot;/&gt;&lt;wsp:rsid wsp:val=&quot;008A10F3&quot;/&gt;&lt;wsp:rsid wsp:val=&quot;008A13F5&quot;/&gt;&lt;wsp:rsid wsp:val=&quot;008A489D&quot;/&gt;&lt;wsp:rsid wsp:val=&quot;008A4CEF&quot;/&gt;&lt;wsp:rsid wsp:val=&quot;008A6A1D&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3D7C&quot;/&gt;&lt;wsp:rsid wsp:val=&quot;008C4704&quot;/&gt;&lt;wsp:rsid wsp:val=&quot;008D01A8&quot;/&gt;&lt;wsp:rsid wsp:val=&quot;008D1138&quot;/&gt;&lt;wsp:rsid wsp:val=&quot;008D1B93&quot;/&gt;&lt;wsp:rsid wsp:val=&quot;008D3BBD&quot;/&gt;&lt;wsp:rsid wsp:val=&quot;008E05F7&quot;/&gt;&lt;wsp:rsid wsp:val=&quot;008E147B&quot;/&gt;&lt;wsp:rsid wsp:val=&quot;008E2D65&quot;/&gt;&lt;wsp:rsid wsp:val=&quot;008E351E&quot;/&gt;&lt;wsp:rsid wsp:val=&quot;008E56D8&quot;/&gt;&lt;wsp:rsid wsp:val=&quot;008E624E&quot;/&gt;&lt;wsp:rsid wsp:val=&quot;008F037D&quot;/&gt;&lt;wsp:rsid wsp:val=&quot;008F5BEC&quot;/&gt;&lt;wsp:rsid wsp:val=&quot;008F5F27&quot;/&gt;&lt;wsp:rsid wsp:val=&quot;00903584&quot;/&gt;&lt;wsp:rsid wsp:val=&quot;00904D82&quot;/&gt;&lt;wsp:rsid wsp:val=&quot;00907432&quot;/&gt;&lt;wsp:rsid wsp:val=&quot;00910ED8&quot;/&gt;&lt;wsp:rsid wsp:val=&quot;00911330&quot;/&gt;&lt;wsp:rsid wsp:val=&quot;00915342&quot;/&gt;&lt;wsp:rsid wsp:val=&quot;00917904&quot;/&gt;&lt;wsp:rsid wsp:val=&quot;009208EB&quot;/&gt;&lt;wsp:rsid wsp:val=&quot;00921189&quot;/&gt;&lt;wsp:rsid wsp:val=&quot;00921668&quot;/&gt;&lt;wsp:rsid wsp:val=&quot;009236A9&quot;/&gt;&lt;wsp:rsid wsp:val=&quot;009244D5&quot;/&gt;&lt;wsp:rsid wsp:val=&quot;00924955&quot;/&gt;&lt;wsp:rsid wsp:val=&quot;00926775&quot;/&gt;&lt;wsp:rsid wsp:val=&quot;009328CE&quot;/&gt;&lt;wsp:rsid wsp:val=&quot;00935D4E&quot;/&gt;&lt;wsp:rsid wsp:val=&quot;00936FE3&quot;/&gt;&lt;wsp:rsid wsp:val=&quot;0094200D&quot;/&gt;&lt;wsp:rsid wsp:val=&quot;00943410&quot;/&gt;&lt;wsp:rsid wsp:val=&quot;00944768&quot;/&gt;&lt;wsp:rsid wsp:val=&quot;00946D18&quot;/&gt;&lt;wsp:rsid wsp:val=&quot;00952213&quot;/&gt;&lt;wsp:rsid wsp:val=&quot;009548D7&quot;/&gt;&lt;wsp:rsid wsp:val=&quot;009551C7&quot;/&gt;&lt;wsp:rsid wsp:val=&quot;00957146&quot;/&gt;&lt;wsp:rsid wsp:val=&quot;00963368&quot;/&gt;&lt;wsp:rsid wsp:val=&quot;009639F3&quot;/&gt;&lt;wsp:rsid wsp:val=&quot;0096762B&quot;/&gt;&lt;wsp:rsid wsp:val=&quot;00974A05&quot;/&gt;&lt;wsp:rsid wsp:val=&quot;00976ACB&quot;/&gt;&lt;wsp:rsid wsp:val=&quot;00976D56&quot;/&gt;&lt;wsp:rsid wsp:val=&quot;009905FC&quot;/&gt;&lt;wsp:rsid wsp:val=&quot;00993CD4&quot;/&gt;&lt;wsp:rsid wsp:val=&quot;00994CE7&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C46D4&quot;/&gt;&lt;wsp:rsid wsp:val=&quot;009C7734&quot;/&gt;&lt;wsp:rsid wsp:val=&quot;009D3FBD&quot;/&gt;&lt;wsp:rsid wsp:val=&quot;009E2AA4&quot;/&gt;&lt;wsp:rsid wsp:val=&quot;009E36B7&quot;/&gt;&lt;wsp:rsid wsp:val=&quot;009E7570&quot;/&gt;&lt;wsp:rsid wsp:val=&quot;009F3795&quot;/&gt;&lt;wsp:rsid wsp:val=&quot;009F47A7&quot;/&gt;&lt;wsp:rsid wsp:val=&quot;00A047F6&quot;/&gt;&lt;wsp:rsid wsp:val=&quot;00A04F1D&quot;/&gt;&lt;wsp:rsid wsp:val=&quot;00A059AC&quot;/&gt;&lt;wsp:rsid wsp:val=&quot;00A06899&quot;/&gt;&lt;wsp:rsid wsp:val=&quot;00A07082&quot;/&gt;&lt;wsp:rsid wsp:val=&quot;00A10197&quot;/&gt;&lt;wsp:rsid wsp:val=&quot;00A14428&quot;/&gt;&lt;wsp:rsid wsp:val=&quot;00A203F3&quot;/&gt;&lt;wsp:rsid wsp:val=&quot;00A222CA&quot;/&gt;&lt;wsp:rsid wsp:val=&quot;00A27D48&quot;/&gt;&lt;wsp:rsid wsp:val=&quot;00A32CAD&quot;/&gt;&lt;wsp:rsid wsp:val=&quot;00A3655A&quot;/&gt;&lt;wsp:rsid wsp:val=&quot;00A36AFE&quot;/&gt;&lt;wsp:rsid wsp:val=&quot;00A4332C&quot;/&gt;&lt;wsp:rsid wsp:val=&quot;00A435C8&quot;/&gt;&lt;wsp:rsid wsp:val=&quot;00A4468D&quot;/&gt;&lt;wsp:rsid wsp:val=&quot;00A45B5F&quot;/&gt;&lt;wsp:rsid wsp:val=&quot;00A51729&quot;/&gt;&lt;wsp:rsid wsp:val=&quot;00A54BAB&quot;/&gt;&lt;wsp:rsid wsp:val=&quot;00A62413&quot;/&gt;&lt;wsp:rsid wsp:val=&quot;00A65A97&quot;/&gt;&lt;wsp:rsid wsp:val=&quot;00A67B65&quot;/&gt;&lt;wsp:rsid wsp:val=&quot;00A70AF8&quot;/&gt;&lt;wsp:rsid wsp:val=&quot;00A719B6&quot;/&gt;&lt;wsp:rsid wsp:val=&quot;00A72712&quot;/&gt;&lt;wsp:rsid wsp:val=&quot;00A72922&quot;/&gt;&lt;wsp:rsid wsp:val=&quot;00A75DDD&quot;/&gt;&lt;wsp:rsid wsp:val=&quot;00A84654&quot;/&gt;&lt;wsp:rsid wsp:val=&quot;00A86E9C&quot;/&gt;&lt;wsp:rsid wsp:val=&quot;00A93387&quot;/&gt;&lt;wsp:rsid wsp:val=&quot;00A93B6C&quot;/&gt;&lt;wsp:rsid wsp:val=&quot;00A94DE6&quot;/&gt;&lt;wsp:rsid wsp:val=&quot;00A96894&quot;/&gt;&lt;wsp:rsid wsp:val=&quot;00A97602&quot;/&gt;&lt;wsp:rsid wsp:val=&quot;00AA0CA1&quot;/&gt;&lt;wsp:rsid wsp:val=&quot;00AA177A&quot;/&gt;&lt;wsp:rsid wsp:val=&quot;00AA4C89&quot;/&gt;&lt;wsp:rsid wsp:val=&quot;00AC0181&quot;/&gt;&lt;wsp:rsid wsp:val=&quot;00AC40B7&quot;/&gt;&lt;wsp:rsid wsp:val=&quot;00AC4255&quot;/&gt;&lt;wsp:rsid wsp:val=&quot;00AD00B7&quot;/&gt;&lt;wsp:rsid wsp:val=&quot;00AE02A4&quot;/&gt;&lt;wsp:rsid wsp:val=&quot;00AE09F5&quot;/&gt;&lt;wsp:rsid wsp:val=&quot;00AE65C6&quot;/&gt;&lt;wsp:rsid wsp:val=&quot;00AF1C31&quot;/&gt;&lt;wsp:rsid wsp:val=&quot;00AF2B41&quot;/&gt;&lt;wsp:rsid wsp:val=&quot;00AF311C&quot;/&gt;&lt;wsp:rsid wsp:val=&quot;00AF5626&quot;/&gt;&lt;wsp:rsid wsp:val=&quot;00AF7E79&quot;/&gt;&lt;wsp:rsid wsp:val=&quot;00B0203D&quot;/&gt;&lt;wsp:rsid wsp:val=&quot;00B052A3&quot;/&gt;&lt;wsp:rsid wsp:val=&quot;00B0797C&quot;/&gt;&lt;wsp:rsid wsp:val=&quot;00B1014F&quot;/&gt;&lt;wsp:rsid wsp:val=&quot;00B10AE6&quot;/&gt;&lt;wsp:rsid wsp:val=&quot;00B11D48&quot;/&gt;&lt;wsp:rsid wsp:val=&quot;00B16072&quot;/&gt;&lt;wsp:rsid wsp:val=&quot;00B20BFB&quot;/&gt;&lt;wsp:rsid wsp:val=&quot;00B2172B&quot;/&gt;&lt;wsp:rsid wsp:val=&quot;00B22EF8&quot;/&gt;&lt;wsp:rsid wsp:val=&quot;00B22F38&quot;/&gt;&lt;wsp:rsid wsp:val=&quot;00B24815&quot;/&gt;&lt;wsp:rsid wsp:val=&quot;00B25903&quot;/&gt;&lt;wsp:rsid wsp:val=&quot;00B27E49&quot;/&gt;&lt;wsp:rsid wsp:val=&quot;00B36326&quot;/&gt;&lt;wsp:rsid wsp:val=&quot;00B36646&quot;/&gt;&lt;wsp:rsid wsp:val=&quot;00B41831&quot;/&gt;&lt;wsp:rsid wsp:val=&quot;00B50AD1&quot;/&gt;&lt;wsp:rsid wsp:val=&quot;00B51CF7&quot;/&gt;&lt;wsp:rsid wsp:val=&quot;00B51F28&quot;/&gt;&lt;wsp:rsid wsp:val=&quot;00B6043C&quot;/&gt;&lt;wsp:rsid wsp:val=&quot;00B61085&quot;/&gt;&lt;wsp:rsid wsp:val=&quot;00B61A04&quot;/&gt;&lt;wsp:rsid wsp:val=&quot;00B66262&quot;/&gt;&lt;wsp:rsid wsp:val=&quot;00B6747A&quot;/&gt;&lt;wsp:rsid wsp:val=&quot;00B75BD7&quot;/&gt;&lt;wsp:rsid wsp:val=&quot;00B83F64&quot;/&gt;&lt;wsp:rsid wsp:val=&quot;00B846C0&quot;/&gt;&lt;wsp:rsid wsp:val=&quot;00B912D2&quot;/&gt;&lt;wsp:rsid wsp:val=&quot;00B940DE&quot;/&gt;&lt;wsp:rsid wsp:val=&quot;00B95A9B&quot;/&gt;&lt;wsp:rsid wsp:val=&quot;00BB098C&quot;/&gt;&lt;wsp:rsid wsp:val=&quot;00BB1BC5&quot;/&gt;&lt;wsp:rsid wsp:val=&quot;00BC2487&quot;/&gt;&lt;wsp:rsid wsp:val=&quot;00BC3180&quot;/&gt;&lt;wsp:rsid wsp:val=&quot;00BC3E73&quot;/&gt;&lt;wsp:rsid wsp:val=&quot;00BD4506&quot;/&gt;&lt;wsp:rsid wsp:val=&quot;00BD5337&quot;/&gt;&lt;wsp:rsid wsp:val=&quot;00BD6487&quot;/&gt;&lt;wsp:rsid wsp:val=&quot;00BD68BB&quot;/&gt;&lt;wsp:rsid wsp:val=&quot;00BD7384&quot;/&gt;&lt;wsp:rsid wsp:val=&quot;00BE2F24&quot;/&gt;&lt;wsp:rsid wsp:val=&quot;00BE34EC&quot;/&gt;&lt;wsp:rsid wsp:val=&quot;00BE63B4&quot;/&gt;&lt;wsp:rsid wsp:val=&quot;00BE7275&quot;/&gt;&lt;wsp:rsid wsp:val=&quot;00BE78B6&quot;/&gt;&lt;wsp:rsid wsp:val=&quot;00BF1022&quot;/&gt;&lt;wsp:rsid wsp:val=&quot;00BF6B41&quot;/&gt;&lt;wsp:rsid wsp:val=&quot;00BF7DD0&quot;/&gt;&lt;wsp:rsid wsp:val=&quot;00C00223&quot;/&gt;&lt;wsp:rsid wsp:val=&quot;00C015E8&quot;/&gt;&lt;wsp:rsid wsp:val=&quot;00C02536&quot;/&gt;&lt;wsp:rsid wsp:val=&quot;00C04510&quot;/&gt;&lt;wsp:rsid wsp:val=&quot;00C0614A&quot;/&gt;&lt;wsp:rsid wsp:val=&quot;00C06BDC&quot;/&gt;&lt;wsp:rsid wsp:val=&quot;00C10BBC&quot;/&gt;&lt;wsp:rsid wsp:val=&quot;00C143FF&quot;/&gt;&lt;wsp:rsid wsp:val=&quot;00C20318&quot;/&gt;&lt;wsp:rsid wsp:val=&quot;00C24297&quot;/&gt;&lt;wsp:rsid wsp:val=&quot;00C307AC&quot;/&gt;&lt;wsp:rsid wsp:val=&quot;00C347A5&quot;/&gt;&lt;wsp:rsid wsp:val=&quot;00C3500D&quot;/&gt;&lt;wsp:rsid wsp:val=&quot;00C43C54&quot;/&gt;&lt;wsp:rsid wsp:val=&quot;00C450E6&quot;/&gt;&lt;wsp:rsid wsp:val=&quot;00C46B9E&quot;/&gt;&lt;wsp:rsid wsp:val=&quot;00C4727E&quot;/&gt;&lt;wsp:rsid wsp:val=&quot;00C504A5&quot;/&gt;&lt;wsp:rsid wsp:val=&quot;00C52848&quot;/&gt;&lt;wsp:rsid wsp:val=&quot;00C52897&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5C81&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39&quot;/&gt;&lt;wsp:rsid wsp:val=&quot;00CF7FB2&quot;/&gt;&lt;wsp:rsid wsp:val=&quot;00D128F2&quot;/&gt;&lt;wsp:rsid wsp:val=&quot;00D1390A&quot;/&gt;&lt;wsp:rsid wsp:val=&quot;00D16007&quot;/&gt;&lt;wsp:rsid wsp:val=&quot;00D16A01&quot;/&gt;&lt;wsp:rsid wsp:val=&quot;00D207EA&quot;/&gt;&lt;wsp:rsid wsp:val=&quot;00D22A61&quot;/&gt;&lt;wsp:rsid wsp:val=&quot;00D25A14&quot;/&gt;&lt;wsp:rsid wsp:val=&quot;00D2612B&quot;/&gt;&lt;wsp:rsid wsp:val=&quot;00D261E7&quot;/&gt;&lt;wsp:rsid wsp:val=&quot;00D27D84&quot;/&gt;&lt;wsp:rsid wsp:val=&quot;00D3006B&quot;/&gt;&lt;wsp:rsid wsp:val=&quot;00D3240A&quot;/&gt;&lt;wsp:rsid wsp:val=&quot;00D404D8&quot;/&gt;&lt;wsp:rsid wsp:val=&quot;00D5101D&quot;/&gt;&lt;wsp:rsid wsp:val=&quot;00D55F07&quot;/&gt;&lt;wsp:rsid wsp:val=&quot;00D5721B&quot;/&gt;&lt;wsp:rsid wsp:val=&quot;00D622A7&quot;/&gt;&lt;wsp:rsid wsp:val=&quot;00D626F4&quot;/&gt;&lt;wsp:rsid wsp:val=&quot;00D65643&quot;/&gt;&lt;wsp:rsid wsp:val=&quot;00D70752&quot;/&gt;&lt;wsp:rsid wsp:val=&quot;00D7742E&quot;/&gt;&lt;wsp:rsid wsp:val=&quot;00D801C2&quot;/&gt;&lt;wsp:rsid wsp:val=&quot;00D82F3F&quot;/&gt;&lt;wsp:rsid wsp:val=&quot;00D852EB&quot;/&gt;&lt;wsp:rsid wsp:val=&quot;00D9238E&quot;/&gt;&lt;wsp:rsid wsp:val=&quot;00D94529&quot;/&gt;&lt;wsp:rsid wsp:val=&quot;00D95CEC&quot;/&gt;&lt;wsp:rsid wsp:val=&quot;00DA0C8B&quot;/&gt;&lt;wsp:rsid wsp:val=&quot;00DA483F&quot;/&gt;&lt;wsp:rsid wsp:val=&quot;00DA4DF3&quot;/&gt;&lt;wsp:rsid wsp:val=&quot;00DA6F9F&quot;/&gt;&lt;wsp:rsid wsp:val=&quot;00DC01B5&quot;/&gt;&lt;wsp:rsid wsp:val=&quot;00DC0EBF&quot;/&gt;&lt;wsp:rsid wsp:val=&quot;00DC39C3&quot;/&gt;&lt;wsp:rsid wsp:val=&quot;00DD3675&quot;/&gt;&lt;wsp:rsid wsp:val=&quot;00DD4F2B&quot;/&gt;&lt;wsp:rsid wsp:val=&quot;00DD6518&quot;/&gt;&lt;wsp:rsid wsp:val=&quot;00DD65E0&quot;/&gt;&lt;wsp:rsid wsp:val=&quot;00DD7B16&quot;/&gt;&lt;wsp:rsid wsp:val=&quot;00DE3C05&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24E&quot;/&gt;&lt;wsp:rsid wsp:val=&quot;00E21509&quot;/&gt;&lt;wsp:rsid wsp:val=&quot;00E252B3&quot;/&gt;&lt;wsp:rsid wsp:val=&quot;00E27F02&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64C7&quot;/&gt;&lt;wsp:rsid wsp:val=&quot;00E66D29&quot;/&gt;&lt;wsp:rsid wsp:val=&quot;00E67366&quot;/&gt;&lt;wsp:rsid wsp:val=&quot;00E76DC9&quot;/&gt;&lt;wsp:rsid wsp:val=&quot;00E81ED5&quot;/&gt;&lt;wsp:rsid wsp:val=&quot;00E833A2&quot;/&gt;&lt;wsp:rsid wsp:val=&quot;00E835B0&quot;/&gt;&lt;wsp:rsid wsp:val=&quot;00E83D50&quot;/&gt;&lt;wsp:rsid wsp:val=&quot;00E91801&quot;/&gt;&lt;wsp:rsid wsp:val=&quot;00E947F5&quot;/&gt;&lt;wsp:rsid wsp:val=&quot;00E96C3E&quot;/&gt;&lt;wsp:rsid wsp:val=&quot;00E97A3A&quot;/&gt;&lt;wsp:rsid wsp:val=&quot;00EA271C&quot;/&gt;&lt;wsp:rsid wsp:val=&quot;00EA2C70&quot;/&gt;&lt;wsp:rsid wsp:val=&quot;00EA3FD8&quot;/&gt;&lt;wsp:rsid wsp:val=&quot;00EA5E9A&quot;/&gt;&lt;wsp:rsid wsp:val=&quot;00EA6562&quot;/&gt;&lt;wsp:rsid wsp:val=&quot;00EB2AAB&quot;/&gt;&lt;wsp:rsid wsp:val=&quot;00EB66F1&quot;/&gt;&lt;wsp:rsid wsp:val=&quot;00EB7F29&quot;/&gt;&lt;wsp:rsid wsp:val=&quot;00EC6C03&quot;/&gt;&lt;wsp:rsid wsp:val=&quot;00EC794A&quot;/&gt;&lt;wsp:rsid wsp:val=&quot;00ED186E&quot;/&gt;&lt;wsp:rsid wsp:val=&quot;00ED19E4&quot;/&gt;&lt;wsp:rsid wsp:val=&quot;00ED2AE9&quot;/&gt;&lt;wsp:rsid wsp:val=&quot;00EE0D42&quot;/&gt;&lt;wsp:rsid wsp:val=&quot;00EE25C0&quot;/&gt;&lt;wsp:rsid wsp:val=&quot;00EE287B&quot;/&gt;&lt;wsp:rsid wsp:val=&quot;00EE28ED&quot;/&gt;&lt;wsp:rsid wsp:val=&quot;00EE31AA&quot;/&gt;&lt;wsp:rsid wsp:val=&quot;00EE4C6A&quot;/&gt;&lt;wsp:rsid wsp:val=&quot;00EE5291&quot;/&gt;&lt;wsp:rsid wsp:val=&quot;00EE58B5&quot;/&gt;&lt;wsp:rsid wsp:val=&quot;00EE5AFA&quot;/&gt;&lt;wsp:rsid wsp:val=&quot;00EE6D28&quot;/&gt;&lt;wsp:rsid wsp:val=&quot;00F021B1&quot;/&gt;&lt;wsp:rsid wsp:val=&quot;00F05F29&quot;/&gt;&lt;wsp:rsid wsp:val=&quot;00F05FFD&quot;/&gt;&lt;wsp:rsid wsp:val=&quot;00F1002B&quot;/&gt;&lt;wsp:rsid wsp:val=&quot;00F1033A&quot;/&gt;&lt;wsp:rsid wsp:val=&quot;00F11DFB&quot;/&gt;&lt;wsp:rsid wsp:val=&quot;00F13191&quot;/&gt;&lt;wsp:rsid wsp:val=&quot;00F23BEB&quot;/&gt;&lt;wsp:rsid wsp:val=&quot;00F27C32&quot;/&gt;&lt;wsp:rsid wsp:val=&quot;00F30EAF&quot;/&gt;&lt;wsp:rsid wsp:val=&quot;00F344E1&quot;/&gt;&lt;wsp:rsid wsp:val=&quot;00F3582C&quot;/&gt;&lt;wsp:rsid wsp:val=&quot;00F436BD&quot;/&gt;&lt;wsp:rsid wsp:val=&quot;00F448C8&quot;/&gt;&lt;wsp:rsid wsp:val=&quot;00F5001E&quot;/&gt;&lt;wsp:rsid wsp:val=&quot;00F566F5&quot;/&gt;&lt;wsp:rsid wsp:val=&quot;00F64A2F&quot;/&gt;&lt;wsp:rsid wsp:val=&quot;00F72523&quot;/&gt;&lt;wsp:rsid wsp:val=&quot;00F74644&quot;/&gt;&lt;wsp:rsid wsp:val=&quot;00F74E9A&quot;/&gt;&lt;wsp:rsid wsp:val=&quot;00F76E44&quot;/&gt;&lt;wsp:rsid wsp:val=&quot;00F803F4&quot;/&gt;&lt;wsp:rsid wsp:val=&quot;00F81645&quot;/&gt;&lt;wsp:rsid wsp:val=&quot;00F83C99&quot;/&gt;&lt;wsp:rsid wsp:val=&quot;00F9128A&quot;/&gt;&lt;wsp:rsid wsp:val=&quot;00F91CA8&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x:sect&gt;&lt;w:p wsp:rsidR=&quot;00000000&quot; wsp:rsidRDefault=&quot;004A6CF0&quot; wsp:rsidP=&quot;004A6CF0&quot;&gt;&lt;m:oMathPara&gt;&lt;m:oMath&gt;&lt;m:r&gt;&lt;m:rPr&gt;&lt;m:sty m:val=&quot;p&quot;/&gt;&lt;/m:rPr&gt;&lt;w:rPr&gt;&lt;w:rFonts w:ascii=&quot;Cambria Math&quot; w:h-ansi=&quot;Cambria Math&quot;/&gt;&lt;wx:font wx:val=&quot;Cambria Math&quot;/&gt;&lt;/w:rPr&gt;&lt;m:t&gt;expa·&lt;/m:t&gt;&lt;/m:r&gt;&lt;m:r&gt;&lt;w:rPr&gt;&lt;w:rFonts w:ascii=&quot;Cambria Math&quot; w:h-ansi=&quot;Cambria Math&quot;/&gt;&lt;wx:font wx:val=&quot;Cambria Math&quot;/&gt;&lt;w:i/&gt;&lt;/w:rPr&gt;&lt;m:t&gt;(a?·+I2xMCHADx+&lt;/m:t&gt;tststs&lt;/m::ar&gt;&lt;m:nary&gt;&lt;m:naryPr&gt;&lt;m:chr m:val=&quot;a?‘&quot;/&gt;&lt;m:limLoc m:val=&quot;undOvr&quot;/&gt;&lt;m:supHide m:val=&quot;1&quot;/&gt;&lt;m:ctrlPr&gt;&lt;w:rPr&gt;&lt;w:rFonts w:ascii=&quot;Cambria Math&quot; w:h-ansi=&quot;Cambria Math&quot;/&gt;&lt;wx:font wx:val=&quot;Cambria Math&quot;/&gt;&lt;w:i/&gt;&lt;/w:rPr&gt;&lt;/m:ctrlPr&gt;&lt;/m:naryPr&gt;&lt;m:sub&gt;&lt;m:r&gt;&lt;sw:srPsr&gt;&lt;w:ra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ki&lt;/m:t&gt;&lt;/m:r&gt;&lt;/m:sub&gt;&lt;/m:sSub&gt;&lt;m:r&gt;&lt;w:rPr&gt;&lt;w:rFonts w:ascii=&quot;Cambria Math&quot; w:h-ansi=&quot;Cambria Math&quot;/&gt;&lt;wx:font wx:val=&quot;Cambria Math&quot;/&gt;&lt;w:i/&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673CEF">
        <w:fldChar w:fldCharType="end"/>
      </w:r>
      <w:r>
        <w:t xml:space="preserve">).  This difference was calculated for each episode in the sample and then mean and median effects calculated across the sample.  </w:t>
      </w:r>
    </w:p>
    <w:p w:rsidR="007718C7" w:rsidRDefault="007718C7" w:rsidP="00673CEF">
      <w:r>
        <w:t>Some extreme values were identified influence</w:t>
      </w:r>
      <w:r w:rsidR="006B0001">
        <w:t>d</w:t>
      </w:r>
      <w:r>
        <w:t xml:space="preserve"> by extreme costs for some episodes. For example one episode with a cost in excess of $700,000 was identified with a COF diagnosis related to pulmonary embolism.  Given the potential for some of the extreme results to impact estimates, median estimates appear to be a better representation of the results.</w:t>
      </w:r>
    </w:p>
    <w:p w:rsidR="007718C7" w:rsidRDefault="007718C7" w:rsidP="00673CEF">
      <w:r>
        <w:t xml:space="preserve">To control for hospital level effects, we included the hospital identifier as a repeated measures variable in both the OLS and GLM models. This approach removes the impact of variations in efficiency across hospitals (or jurisdictions) from the estimates of the effects of the presence of COFs. </w:t>
      </w:r>
    </w:p>
    <w:p w:rsidR="007718C7" w:rsidRPr="00FA5216" w:rsidRDefault="007718C7" w:rsidP="00FA5216">
      <w:pPr>
        <w:pStyle w:val="Stageheading"/>
      </w:pPr>
      <w:bookmarkStart w:id="52" w:name="_Toc374114594"/>
      <w:r w:rsidRPr="00FA5216">
        <w:rPr>
          <w:iCs w:val="0"/>
        </w:rPr>
        <w:t>Control variables</w:t>
      </w:r>
      <w:bookmarkEnd w:id="52"/>
    </w:p>
    <w:p w:rsidR="007718C7" w:rsidRDefault="007718C7" w:rsidP="00673CEF">
      <w:r>
        <w:t>Each of the models controlled for a range of factors that potentially impact the comparability between patients who are recorded with hospital-acquired diagnoses, and those without. These were introduced into the models either as control variables, or as repeated measures variables.</w:t>
      </w:r>
    </w:p>
    <w:p w:rsidR="007718C7" w:rsidRDefault="007718C7" w:rsidP="00673CEF">
      <w:r>
        <w:rPr>
          <w:b/>
        </w:rPr>
        <w:t xml:space="preserve">Adjacent </w:t>
      </w:r>
      <w:r w:rsidRPr="00C60D1F">
        <w:rPr>
          <w:b/>
        </w:rPr>
        <w:t>DRG</w:t>
      </w:r>
      <w:r>
        <w:rPr>
          <w:b/>
        </w:rPr>
        <w:t xml:space="preserve"> (ADRG)</w:t>
      </w:r>
      <w:r w:rsidRPr="00C60D1F">
        <w:rPr>
          <w:b/>
        </w:rPr>
        <w:t>:</w:t>
      </w:r>
      <w:r>
        <w:t xml:space="preserve"> As discussed above, models were separately estimated for each ADRG.   In this case this was the ADRG based on the AR-DRG version 6.0x assigned to the episodes, not taking into account condition onset diagnoses.  We excluded from the grouping algorithm both COF diagnosis prior to and after data </w:t>
      </w:r>
      <w:r w:rsidR="002F611A">
        <w:t>cleaning</w:t>
      </w:r>
      <w:r>
        <w:t xml:space="preserve">. The reason for </w:t>
      </w:r>
      <w:r>
        <w:lastRenderedPageBreak/>
        <w:t xml:space="preserve">taking this approach is that the presence of COF diagnoses is the variable of interest, therefore modelling should not control for these factors.  We considered modelling separately for each AR-DRG 6.0x, but decided instead to model at the ADRG level and introduce the PCCL assigned to the episode (which was assigned also not taking into account condition onset diagnoses). We believed this approach would more accurately control for differences in severity within the ADRG. </w:t>
      </w:r>
    </w:p>
    <w:p w:rsidR="007718C7" w:rsidRDefault="007718C7" w:rsidP="00673CEF">
      <w:r>
        <w:t xml:space="preserve">The advantage in modelling each ADRG separately, is that certain COFs will have a more significant effect for some DRGs and may not be relevant for other DRGs.  </w:t>
      </w:r>
    </w:p>
    <w:p w:rsidR="007718C7" w:rsidRDefault="007718C7" w:rsidP="00673CEF">
      <w:r>
        <w:rPr>
          <w:b/>
        </w:rPr>
        <w:t>Patient Clinical Complexity Level</w:t>
      </w:r>
      <w:r w:rsidRPr="0099528A">
        <w:rPr>
          <w:b/>
        </w:rPr>
        <w:t xml:space="preserve"> (PCCL)</w:t>
      </w:r>
      <w:r>
        <w:rPr>
          <w:b/>
        </w:rPr>
        <w:t>:</w:t>
      </w:r>
      <w:r>
        <w:t xml:space="preserve">  PCCL is assigned to each episode and is the outcome of the impact of severity scores given to individual diagnoses.  It is represented as a score on a scale of 0-4.  The PCCL is used to assign episodes with an ADRG to an AR-DRG. However, not all the information within the PCCL is always utilised in the assignment.  We decided to include the PCCL (assigned when COF diagnoses are not taken into account) as a control variable, rather than model AR-DRGs separately.  PCCL can be thought of as a measure of complexity. The level was introduced as a ‘class’ variable with parameters estimated for each level separately.</w:t>
      </w:r>
    </w:p>
    <w:p w:rsidR="007718C7" w:rsidRDefault="007718C7" w:rsidP="00673CEF">
      <w:r>
        <w:rPr>
          <w:b/>
        </w:rPr>
        <w:t>Patient a</w:t>
      </w:r>
      <w:r w:rsidRPr="0099528A">
        <w:rPr>
          <w:b/>
        </w:rPr>
        <w:t>ge</w:t>
      </w:r>
      <w:r>
        <w:rPr>
          <w:b/>
        </w:rPr>
        <w:t>:</w:t>
      </w:r>
      <w:r w:rsidRPr="0099528A">
        <w:rPr>
          <w:b/>
        </w:rPr>
        <w:t xml:space="preserve"> </w:t>
      </w:r>
      <w:r>
        <w:t xml:space="preserve"> In preliminary analysis we found that within AR-DRGs, age has an important impact on both length of stay and the likelihood of a COF diagnosis.  Age is introduced into the model as a set of dummy variables for the following age groups: 0-14 years, 15-44 years, 70-84 years, 85+ years with the base case being episodes where the patient is aged 45-69 years.</w:t>
      </w:r>
    </w:p>
    <w:p w:rsidR="007718C7" w:rsidRDefault="007718C7" w:rsidP="00673CEF">
      <w:r w:rsidRPr="0099528A">
        <w:rPr>
          <w:b/>
        </w:rPr>
        <w:t>Emergency admission status</w:t>
      </w:r>
      <w:r>
        <w:rPr>
          <w:b/>
        </w:rPr>
        <w:t>:</w:t>
      </w:r>
      <w:r w:rsidRPr="0099528A">
        <w:rPr>
          <w:b/>
        </w:rPr>
        <w:t xml:space="preserve">  </w:t>
      </w:r>
      <w:r w:rsidRPr="002E3332">
        <w:t>In preliminary analysis we found that there were significant differences between emergency and elective episodes</w:t>
      </w:r>
      <w:r>
        <w:t xml:space="preserve"> in terms of presence of COF diagnoses and length of stay</w:t>
      </w:r>
      <w:r w:rsidRPr="002E3332">
        <w:t>.</w:t>
      </w:r>
      <w:r>
        <w:t xml:space="preserve"> Therefore, this was introduced as a dummy variable.</w:t>
      </w:r>
    </w:p>
    <w:p w:rsidR="007718C7" w:rsidRDefault="007718C7" w:rsidP="00673CEF">
      <w:r>
        <w:rPr>
          <w:b/>
        </w:rPr>
        <w:t>Episodes with a discharge status of death:</w:t>
      </w:r>
      <w:r w:rsidRPr="0099528A">
        <w:rPr>
          <w:b/>
        </w:rPr>
        <w:t xml:space="preserve">  </w:t>
      </w:r>
      <w:r w:rsidRPr="00D1390A">
        <w:t>A dummy variable was introduced for these episodes.</w:t>
      </w:r>
      <w:r>
        <w:t xml:space="preserve">  Episodes ending in death often have shorter lengths of stay and lower costs, but may be impacted by hospital-acquired conditions.</w:t>
      </w:r>
    </w:p>
    <w:p w:rsidR="007718C7" w:rsidRDefault="007718C7" w:rsidP="00673CEF">
      <w:r w:rsidRPr="009F47A7">
        <w:rPr>
          <w:b/>
        </w:rPr>
        <w:t>Episodes transferred within less than 2 days</w:t>
      </w:r>
      <w:r>
        <w:rPr>
          <w:b/>
        </w:rPr>
        <w:t xml:space="preserve"> (excluding same day episodes): </w:t>
      </w:r>
      <w:r w:rsidRPr="00D1390A">
        <w:t>A dummy variable was introduced for these episodes.</w:t>
      </w:r>
      <w:r>
        <w:t xml:space="preserve">  These episodes have shorter lengths of stay and lower costs, </w:t>
      </w:r>
      <w:r w:rsidRPr="009F47A7">
        <w:t xml:space="preserve">but </w:t>
      </w:r>
      <w:r>
        <w:t>are often found within ADRG where typically lengths of stay are much longer and costs are higher</w:t>
      </w:r>
      <w:r w:rsidRPr="009F47A7">
        <w:t>.</w:t>
      </w:r>
      <w:r>
        <w:t xml:space="preserve">  In many instances, these patients have been transferred to a referral hospital as a result of the seriousness of their condition.</w:t>
      </w:r>
    </w:p>
    <w:p w:rsidR="007718C7" w:rsidRDefault="007718C7" w:rsidP="00673CEF">
      <w:r w:rsidRPr="0037417A">
        <w:rPr>
          <w:b/>
        </w:rPr>
        <w:t>Same day episodes</w:t>
      </w:r>
      <w:r>
        <w:t>:</w:t>
      </w:r>
      <w:r w:rsidRPr="00B912D2">
        <w:t xml:space="preserve"> A dummy variable was introduced for these episodes.  As discussed above, each model was also estimated excluding same day episodes</w:t>
      </w:r>
      <w:r>
        <w:t>.  The presence of COF for same day episodes was much lower. It was found that the models estimated with same day episodes resulted in very similar parameter estimates to those estimated excluding same day episodes.  Consequently in the results presented below we have present</w:t>
      </w:r>
      <w:r w:rsidR="006B0001">
        <w:t>ed</w:t>
      </w:r>
      <w:r>
        <w:t xml:space="preserve"> results for the models excluding same day episodes. </w:t>
      </w:r>
    </w:p>
    <w:p w:rsidR="007718C7" w:rsidRDefault="007718C7" w:rsidP="00673CEF">
      <w:pPr>
        <w:pStyle w:val="Stageheading"/>
      </w:pPr>
      <w:r>
        <w:br w:type="page"/>
      </w:r>
      <w:bookmarkStart w:id="53" w:name="_Toc374114595"/>
      <w:r w:rsidRPr="00FA5216">
        <w:rPr>
          <w:iCs w:val="0"/>
        </w:rPr>
        <w:lastRenderedPageBreak/>
        <w:t>Sample characteristics</w:t>
      </w:r>
      <w:bookmarkEnd w:id="53"/>
    </w:p>
    <w:p w:rsidR="007718C7" w:rsidRDefault="007718C7" w:rsidP="00673CEF">
      <w:r>
        <w:t>E</w:t>
      </w:r>
      <w:r w:rsidRPr="0050311C">
        <w:t>ach model was estimate</w:t>
      </w:r>
      <w:r>
        <w:t>d</w:t>
      </w:r>
      <w:r w:rsidRPr="0050311C">
        <w:t xml:space="preserve"> using the </w:t>
      </w:r>
      <w:r w:rsidRPr="00430473">
        <w:t>406,</w:t>
      </w:r>
      <w:r w:rsidR="00430473" w:rsidRPr="00430473">
        <w:t>401</w:t>
      </w:r>
      <w:r w:rsidRPr="0050311C">
        <w:t xml:space="preserve"> episodes</w:t>
      </w:r>
      <w:r w:rsidR="003B5BA5">
        <w:t xml:space="preserve"> </w:t>
      </w:r>
      <w:r w:rsidRPr="0050311C">
        <w:t>meeting the criteria discussed above</w:t>
      </w:r>
      <w:r>
        <w:t>, of which 342,230 were related to overnight stays</w:t>
      </w:r>
      <w:r w:rsidRPr="0050311C">
        <w:t>.</w:t>
      </w:r>
      <w:r>
        <w:t xml:space="preserve">  </w:t>
      </w:r>
      <w:r w:rsidR="00F50FB9">
        <w:fldChar w:fldCharType="begin"/>
      </w:r>
      <w:r w:rsidR="00F50FB9">
        <w:instrText xml:space="preserve"> REF _Ref367307268 \h  \* MERGEFORMAT </w:instrText>
      </w:r>
      <w:r w:rsidR="00F50FB9">
        <w:fldChar w:fldCharType="separate"/>
      </w:r>
      <w:r w:rsidR="00363A39" w:rsidRPr="00363A39">
        <w:t>Table 13</w:t>
      </w:r>
      <w:r w:rsidR="00F50FB9">
        <w:fldChar w:fldCharType="end"/>
      </w:r>
      <w:r>
        <w:t xml:space="preserve"> describes some of the key characteristics of the sample with respect to the various control variables discussed.  A large proportion (74.4%) had an admission status of ‘emergency’.  Around 16% were same day admissions, 3.2% involved a transfer with a length of stay of less than 2 days, and 2.3% ended with the patient dying during the episode.  </w:t>
      </w:r>
    </w:p>
    <w:p w:rsidR="007718C7" w:rsidRDefault="007718C7" w:rsidP="00673CEF">
      <w:r>
        <w:t xml:space="preserve">The ADRGs for the sample have been previously described in </w:t>
      </w:r>
      <w:r w:rsidR="00F50FB9">
        <w:fldChar w:fldCharType="begin"/>
      </w:r>
      <w:r w:rsidR="00F50FB9">
        <w:instrText xml:space="preserve"> REF _Ref367320878 \h  \* MERGEFORMAT </w:instrText>
      </w:r>
      <w:r w:rsidR="00F50FB9">
        <w:fldChar w:fldCharType="separate"/>
      </w:r>
      <w:r w:rsidR="00363A39" w:rsidRPr="00363A39">
        <w:t>Table 10</w:t>
      </w:r>
      <w:r w:rsidR="00F50FB9">
        <w:fldChar w:fldCharType="end"/>
      </w:r>
      <w:r>
        <w:t xml:space="preserve">. Overall, 16.8% of the sample had at least one COF diagnosis reported (after applying the data </w:t>
      </w:r>
      <w:r w:rsidR="002F611A">
        <w:t>cleaning</w:t>
      </w:r>
      <w:r>
        <w:t xml:space="preserve"> algorithm).  However, there are significant variations between ADRGs in the proportion of episodes with COF diagnoses.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9242"/>
      </w:tblGrid>
      <w:tr w:rsidR="007718C7" w:rsidRPr="00917904" w:rsidTr="00C4502A">
        <w:tc>
          <w:tcPr>
            <w:tcW w:w="9242" w:type="dxa"/>
            <w:tcBorders>
              <w:top w:val="nil"/>
              <w:left w:val="nil"/>
              <w:bottom w:val="nil"/>
              <w:right w:val="nil"/>
            </w:tcBorders>
          </w:tcPr>
          <w:p w:rsidR="007718C7" w:rsidRPr="00917904" w:rsidRDefault="007718C7" w:rsidP="00C4502A">
            <w:pPr>
              <w:spacing w:after="0" w:line="240" w:lineRule="auto"/>
              <w:contextualSpacing/>
              <w:jc w:val="center"/>
              <w:rPr>
                <w:b/>
                <w:sz w:val="18"/>
                <w:szCs w:val="18"/>
                <w:lang w:val="en-US"/>
              </w:rPr>
            </w:pPr>
            <w:bookmarkStart w:id="54" w:name="_Ref367307268"/>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13</w:t>
            </w:r>
            <w:r w:rsidRPr="00917904">
              <w:rPr>
                <w:b/>
                <w:sz w:val="18"/>
                <w:szCs w:val="18"/>
                <w:lang w:val="en-US"/>
              </w:rPr>
              <w:fldChar w:fldCharType="end"/>
            </w:r>
            <w:bookmarkEnd w:id="54"/>
            <w:r w:rsidRPr="00917904">
              <w:rPr>
                <w:b/>
                <w:sz w:val="18"/>
                <w:szCs w:val="18"/>
                <w:lang w:val="en-US"/>
              </w:rPr>
              <w:t xml:space="preserve"> – Characteristics of the NHCDC sample, based on selected hospitals and AR-DRGs of interest</w:t>
            </w:r>
          </w:p>
        </w:tc>
      </w:tr>
      <w:tr w:rsidR="007718C7" w:rsidRPr="00864829" w:rsidTr="00C4502A">
        <w:tc>
          <w:tcPr>
            <w:tcW w:w="9242" w:type="dxa"/>
            <w:tcBorders>
              <w:top w:val="nil"/>
              <w:left w:val="nil"/>
              <w:bottom w:val="nil"/>
              <w:right w:val="nil"/>
            </w:tcBorders>
          </w:tcPr>
          <w:p w:rsidR="007718C7" w:rsidRPr="00864829" w:rsidRDefault="00430473" w:rsidP="00C4502A">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3C3AFDF1" wp14:editId="3E2CD72D">
                  <wp:extent cx="4029075" cy="401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29075" cy="4010025"/>
                          </a:xfrm>
                          <a:prstGeom prst="rect">
                            <a:avLst/>
                          </a:prstGeom>
                          <a:noFill/>
                          <a:ln>
                            <a:noFill/>
                          </a:ln>
                        </pic:spPr>
                      </pic:pic>
                    </a:graphicData>
                  </a:graphic>
                </wp:inline>
              </w:drawing>
            </w:r>
          </w:p>
        </w:tc>
      </w:tr>
      <w:tr w:rsidR="007718C7" w:rsidRPr="00864829" w:rsidTr="00C4502A">
        <w:tc>
          <w:tcPr>
            <w:tcW w:w="9242" w:type="dxa"/>
            <w:tcBorders>
              <w:top w:val="nil"/>
              <w:left w:val="nil"/>
              <w:bottom w:val="nil"/>
              <w:right w:val="nil"/>
            </w:tcBorders>
          </w:tcPr>
          <w:p w:rsidR="007718C7" w:rsidRPr="00917904" w:rsidRDefault="007718C7" w:rsidP="00C4502A">
            <w:pPr>
              <w:spacing w:after="0" w:line="240" w:lineRule="auto"/>
              <w:jc w:val="center"/>
              <w:rPr>
                <w:i/>
                <w:sz w:val="16"/>
                <w:szCs w:val="16"/>
                <w:lang w:val="en-US"/>
              </w:rPr>
            </w:pPr>
            <w:r w:rsidRPr="00917904">
              <w:rPr>
                <w:i/>
                <w:sz w:val="16"/>
                <w:szCs w:val="16"/>
                <w:lang w:val="en-US"/>
              </w:rPr>
              <w:t>Source: NHCDC 2011-12, subset of selected hospitals and AR-DRGs</w:t>
            </w:r>
            <w:r>
              <w:rPr>
                <w:i/>
                <w:sz w:val="16"/>
                <w:szCs w:val="16"/>
                <w:lang w:val="en-US"/>
              </w:rPr>
              <w:t>.</w:t>
            </w:r>
          </w:p>
          <w:p w:rsidR="007718C7" w:rsidRPr="00864829" w:rsidRDefault="007718C7" w:rsidP="001C7210">
            <w:pPr>
              <w:spacing w:after="0" w:line="240" w:lineRule="auto"/>
              <w:jc w:val="center"/>
              <w:rPr>
                <w:rFonts w:ascii="Calibri" w:hAnsi="Calibri"/>
                <w:szCs w:val="20"/>
                <w:lang w:val="en-US"/>
              </w:rPr>
            </w:pPr>
            <w:r>
              <w:rPr>
                <w:i/>
                <w:sz w:val="16"/>
                <w:szCs w:val="16"/>
                <w:lang w:val="en-US"/>
              </w:rPr>
              <w:t xml:space="preserve">Note: </w:t>
            </w:r>
            <w:r w:rsidR="00115905">
              <w:rPr>
                <w:i/>
                <w:sz w:val="16"/>
                <w:szCs w:val="16"/>
                <w:lang w:val="en-US"/>
              </w:rPr>
              <w:t xml:space="preserve">* </w:t>
            </w:r>
            <w:r w:rsidRPr="00917904">
              <w:rPr>
                <w:i/>
                <w:sz w:val="16"/>
                <w:szCs w:val="16"/>
                <w:lang w:val="en-US"/>
              </w:rPr>
              <w:t xml:space="preserve">Refers to any </w:t>
            </w:r>
            <w:r>
              <w:rPr>
                <w:i/>
                <w:sz w:val="16"/>
                <w:szCs w:val="16"/>
                <w:lang w:val="en-US"/>
              </w:rPr>
              <w:t>COF</w:t>
            </w:r>
            <w:r w:rsidRPr="00917904">
              <w:rPr>
                <w:i/>
                <w:sz w:val="16"/>
                <w:szCs w:val="16"/>
                <w:lang w:val="en-US"/>
              </w:rPr>
              <w:t xml:space="preserve"> diagnosis after data </w:t>
            </w:r>
            <w:r w:rsidR="002F611A">
              <w:rPr>
                <w:i/>
                <w:sz w:val="16"/>
                <w:szCs w:val="16"/>
                <w:lang w:val="en-US"/>
              </w:rPr>
              <w:t>cleaning</w:t>
            </w:r>
            <w:r w:rsidRPr="00917904">
              <w:rPr>
                <w:i/>
                <w:sz w:val="16"/>
                <w:szCs w:val="16"/>
                <w:lang w:val="en-US"/>
              </w:rPr>
              <w:t xml:space="preserve"> algorithm ha</w:t>
            </w:r>
            <w:r>
              <w:rPr>
                <w:i/>
                <w:sz w:val="16"/>
                <w:szCs w:val="16"/>
                <w:lang w:val="en-US"/>
              </w:rPr>
              <w:t>s</w:t>
            </w:r>
            <w:r w:rsidRPr="00917904">
              <w:rPr>
                <w:i/>
                <w:sz w:val="16"/>
                <w:szCs w:val="16"/>
                <w:lang w:val="en-US"/>
              </w:rPr>
              <w:t xml:space="preserve"> been applied</w:t>
            </w:r>
            <w:r>
              <w:rPr>
                <w:i/>
                <w:sz w:val="16"/>
                <w:szCs w:val="16"/>
                <w:lang w:val="en-US"/>
              </w:rPr>
              <w:t>.</w:t>
            </w:r>
          </w:p>
        </w:tc>
      </w:tr>
    </w:tbl>
    <w:p w:rsidR="007718C7" w:rsidRDefault="007718C7" w:rsidP="00673CEF">
      <w:pPr>
        <w:spacing w:after="0"/>
      </w:pPr>
    </w:p>
    <w:p w:rsidR="007718C7" w:rsidRDefault="00F50FB9" w:rsidP="00DB542A">
      <w:r>
        <w:fldChar w:fldCharType="begin"/>
      </w:r>
      <w:r>
        <w:instrText xml:space="preserve"> REF _Ref367307741 \h  \* MERGEFORMAT </w:instrText>
      </w:r>
      <w:r>
        <w:fldChar w:fldCharType="separate"/>
      </w:r>
      <w:r w:rsidR="00363A39" w:rsidRPr="00363A39">
        <w:t>Table 14</w:t>
      </w:r>
      <w:r>
        <w:fldChar w:fldCharType="end"/>
      </w:r>
      <w:r w:rsidR="007718C7">
        <w:t xml:space="preserve"> shows the number of episodes with specific major CHADx groups being identified.  Overall, 16.8% of the sample had at least one COF diagnosis.  Around 4.9% of the sample had a cardiovascular complication reported, 3.9% had metabolic complications, and 3.7% had post procedural complications. </w:t>
      </w:r>
    </w:p>
    <w:p w:rsidR="007718C7" w:rsidRDefault="007718C7">
      <w:pPr>
        <w:spacing w:after="0" w:line="240" w:lineRule="auto"/>
      </w:pPr>
      <w:r>
        <w:br w:type="page"/>
      </w:r>
    </w:p>
    <w:tbl>
      <w:tblPr>
        <w:tblW w:w="90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9016"/>
      </w:tblGrid>
      <w:tr w:rsidR="007718C7" w:rsidRPr="00864829" w:rsidTr="00861783">
        <w:trPr>
          <w:jc w:val="center"/>
        </w:trPr>
        <w:tc>
          <w:tcPr>
            <w:tcW w:w="9016" w:type="dxa"/>
            <w:tcBorders>
              <w:top w:val="nil"/>
              <w:left w:val="nil"/>
              <w:bottom w:val="nil"/>
              <w:right w:val="nil"/>
            </w:tcBorders>
          </w:tcPr>
          <w:p w:rsidR="007718C7" w:rsidRDefault="007718C7" w:rsidP="0003016A">
            <w:pPr>
              <w:spacing w:after="0" w:line="240" w:lineRule="auto"/>
              <w:contextualSpacing/>
              <w:jc w:val="center"/>
              <w:rPr>
                <w:b/>
                <w:sz w:val="18"/>
                <w:szCs w:val="18"/>
                <w:lang w:val="en-US"/>
              </w:rPr>
            </w:pPr>
            <w:bookmarkStart w:id="55" w:name="_Ref367307741"/>
            <w:r w:rsidRPr="00917904">
              <w:rPr>
                <w:b/>
                <w:sz w:val="18"/>
                <w:szCs w:val="18"/>
                <w:lang w:val="en-US"/>
              </w:rPr>
              <w:lastRenderedPageBreak/>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14</w:t>
            </w:r>
            <w:r w:rsidRPr="00917904">
              <w:rPr>
                <w:b/>
                <w:sz w:val="18"/>
                <w:szCs w:val="18"/>
                <w:lang w:val="en-US"/>
              </w:rPr>
              <w:fldChar w:fldCharType="end"/>
            </w:r>
            <w:bookmarkEnd w:id="55"/>
            <w:r w:rsidRPr="00917904">
              <w:rPr>
                <w:b/>
                <w:sz w:val="18"/>
                <w:szCs w:val="18"/>
                <w:lang w:val="en-US"/>
              </w:rPr>
              <w:t xml:space="preserve"> – Number of episodes in which a major CHADx group </w:t>
            </w:r>
            <w:r>
              <w:rPr>
                <w:b/>
                <w:sz w:val="18"/>
                <w:szCs w:val="18"/>
                <w:lang w:val="en-US"/>
              </w:rPr>
              <w:t xml:space="preserve">was </w:t>
            </w:r>
            <w:r w:rsidRPr="00917904">
              <w:rPr>
                <w:b/>
                <w:sz w:val="18"/>
                <w:szCs w:val="18"/>
                <w:lang w:val="en-US"/>
              </w:rPr>
              <w:t xml:space="preserve">present, based </w:t>
            </w:r>
          </w:p>
          <w:p w:rsidR="007718C7" w:rsidRPr="00917904" w:rsidRDefault="007718C7" w:rsidP="0003016A">
            <w:pPr>
              <w:spacing w:after="0" w:line="240" w:lineRule="auto"/>
              <w:contextualSpacing/>
              <w:jc w:val="center"/>
              <w:rPr>
                <w:b/>
                <w:sz w:val="18"/>
                <w:szCs w:val="18"/>
                <w:lang w:val="en-US"/>
              </w:rPr>
            </w:pPr>
            <w:r w:rsidRPr="00917904">
              <w:rPr>
                <w:b/>
                <w:sz w:val="18"/>
                <w:szCs w:val="18"/>
                <w:lang w:val="en-US"/>
              </w:rPr>
              <w:t>on selected hospitals and selected AR-DRGs</w:t>
            </w:r>
          </w:p>
        </w:tc>
      </w:tr>
      <w:tr w:rsidR="007718C7" w:rsidRPr="00864829" w:rsidTr="00861783">
        <w:trPr>
          <w:jc w:val="center"/>
        </w:trPr>
        <w:tc>
          <w:tcPr>
            <w:tcW w:w="9016" w:type="dxa"/>
            <w:tcBorders>
              <w:top w:val="nil"/>
              <w:left w:val="nil"/>
              <w:bottom w:val="nil"/>
              <w:right w:val="nil"/>
            </w:tcBorders>
          </w:tcPr>
          <w:p w:rsidR="007718C7" w:rsidRPr="00864829" w:rsidRDefault="00430473" w:rsidP="00C4502A">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59479DE8" wp14:editId="2B81AED7">
                  <wp:extent cx="4029075" cy="3819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9075" cy="3819525"/>
                          </a:xfrm>
                          <a:prstGeom prst="rect">
                            <a:avLst/>
                          </a:prstGeom>
                          <a:noFill/>
                          <a:ln>
                            <a:noFill/>
                          </a:ln>
                        </pic:spPr>
                      </pic:pic>
                    </a:graphicData>
                  </a:graphic>
                </wp:inline>
              </w:drawing>
            </w:r>
          </w:p>
        </w:tc>
      </w:tr>
      <w:tr w:rsidR="007718C7" w:rsidRPr="00864829" w:rsidTr="00861783">
        <w:trPr>
          <w:jc w:val="center"/>
        </w:trPr>
        <w:tc>
          <w:tcPr>
            <w:tcW w:w="9016" w:type="dxa"/>
            <w:tcBorders>
              <w:top w:val="nil"/>
              <w:left w:val="nil"/>
              <w:bottom w:val="nil"/>
              <w:right w:val="nil"/>
            </w:tcBorders>
          </w:tcPr>
          <w:p w:rsidR="007718C7" w:rsidRPr="00917904" w:rsidRDefault="007718C7" w:rsidP="00C4502A">
            <w:pPr>
              <w:spacing w:after="0" w:line="240" w:lineRule="auto"/>
              <w:jc w:val="center"/>
              <w:rPr>
                <w:i/>
                <w:sz w:val="16"/>
                <w:szCs w:val="16"/>
                <w:lang w:val="en-US"/>
              </w:rPr>
            </w:pPr>
            <w:r w:rsidRPr="00917904">
              <w:rPr>
                <w:i/>
                <w:sz w:val="16"/>
                <w:szCs w:val="16"/>
                <w:lang w:val="en-US"/>
              </w:rPr>
              <w:t>Source: NHCDC 2011-12, subset of selected hospitals and AR-DRGs</w:t>
            </w:r>
            <w:r>
              <w:rPr>
                <w:i/>
                <w:sz w:val="16"/>
                <w:szCs w:val="16"/>
                <w:lang w:val="en-US"/>
              </w:rPr>
              <w:t>.</w:t>
            </w:r>
          </w:p>
          <w:p w:rsidR="007718C7" w:rsidRPr="00864829" w:rsidRDefault="007718C7" w:rsidP="00C4502A">
            <w:pPr>
              <w:spacing w:line="240" w:lineRule="auto"/>
              <w:jc w:val="center"/>
              <w:rPr>
                <w:rFonts w:ascii="Calibri" w:hAnsi="Calibri"/>
                <w:szCs w:val="20"/>
                <w:lang w:val="en-US"/>
              </w:rPr>
            </w:pPr>
            <w:r>
              <w:rPr>
                <w:i/>
                <w:sz w:val="16"/>
                <w:szCs w:val="16"/>
                <w:lang w:val="en-US"/>
              </w:rPr>
              <w:t xml:space="preserve">Note: </w:t>
            </w:r>
            <w:r w:rsidRPr="00917904">
              <w:rPr>
                <w:i/>
                <w:sz w:val="16"/>
                <w:szCs w:val="16"/>
                <w:lang w:val="en-US"/>
              </w:rPr>
              <w:t xml:space="preserve"> Refers to any </w:t>
            </w:r>
            <w:r>
              <w:rPr>
                <w:i/>
                <w:sz w:val="16"/>
                <w:szCs w:val="16"/>
                <w:lang w:val="en-US"/>
              </w:rPr>
              <w:t>COF</w:t>
            </w:r>
            <w:r w:rsidRPr="00917904">
              <w:rPr>
                <w:i/>
                <w:sz w:val="16"/>
                <w:szCs w:val="16"/>
                <w:lang w:val="en-US"/>
              </w:rPr>
              <w:t xml:space="preserve"> diagnosis after data </w:t>
            </w:r>
            <w:r w:rsidR="002F611A">
              <w:rPr>
                <w:i/>
                <w:sz w:val="16"/>
                <w:szCs w:val="16"/>
                <w:lang w:val="en-US"/>
              </w:rPr>
              <w:t>cleaning</w:t>
            </w:r>
            <w:r w:rsidRPr="00917904">
              <w:rPr>
                <w:i/>
                <w:sz w:val="16"/>
                <w:szCs w:val="16"/>
                <w:lang w:val="en-US"/>
              </w:rPr>
              <w:t xml:space="preserve"> algorithms have been applied</w:t>
            </w:r>
            <w:r>
              <w:rPr>
                <w:i/>
                <w:sz w:val="16"/>
                <w:szCs w:val="16"/>
                <w:lang w:val="en-US"/>
              </w:rPr>
              <w:t>.</w:t>
            </w:r>
          </w:p>
        </w:tc>
      </w:tr>
    </w:tbl>
    <w:p w:rsidR="007718C7" w:rsidRDefault="007718C7">
      <w:pPr>
        <w:spacing w:after="0" w:line="240" w:lineRule="auto"/>
      </w:pPr>
      <w:bookmarkStart w:id="56" w:name="_Ref367307813"/>
      <w:r>
        <w:br w:type="page"/>
      </w:r>
    </w:p>
    <w:p w:rsidR="007718C7" w:rsidRDefault="00F50FB9" w:rsidP="00F6781B">
      <w:r>
        <w:lastRenderedPageBreak/>
        <w:fldChar w:fldCharType="begin"/>
      </w:r>
      <w:r>
        <w:instrText xml:space="preserve"> REF _Ref369117607 \h  \* MERGEFORMAT </w:instrText>
      </w:r>
      <w:r>
        <w:fldChar w:fldCharType="separate"/>
      </w:r>
      <w:r w:rsidR="00363A39" w:rsidRPr="00363A39">
        <w:t>Table 15</w:t>
      </w:r>
      <w:r>
        <w:fldChar w:fldCharType="end"/>
      </w:r>
      <w:r w:rsidR="007718C7">
        <w:t xml:space="preserve"> shows the most common of the CHADx classes within the sample. </w:t>
      </w:r>
    </w:p>
    <w:tbl>
      <w:tblPr>
        <w:tblW w:w="935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9351"/>
      </w:tblGrid>
      <w:tr w:rsidR="007718C7" w:rsidRPr="00864829" w:rsidTr="001C7210">
        <w:trPr>
          <w:trHeight w:val="6409"/>
          <w:jc w:val="center"/>
        </w:trPr>
        <w:tc>
          <w:tcPr>
            <w:tcW w:w="9351" w:type="dxa"/>
            <w:tcBorders>
              <w:top w:val="nil"/>
              <w:left w:val="nil"/>
              <w:bottom w:val="nil"/>
              <w:right w:val="nil"/>
            </w:tcBorders>
          </w:tcPr>
          <w:p w:rsidR="007718C7" w:rsidRPr="00917904" w:rsidRDefault="007718C7" w:rsidP="00C4502A">
            <w:pPr>
              <w:spacing w:after="0" w:line="240" w:lineRule="auto"/>
              <w:contextualSpacing/>
              <w:jc w:val="center"/>
              <w:rPr>
                <w:b/>
                <w:sz w:val="18"/>
                <w:szCs w:val="18"/>
                <w:lang w:val="en-US"/>
              </w:rPr>
            </w:pPr>
            <w:bookmarkStart w:id="57" w:name="_Ref369117607"/>
            <w:bookmarkEnd w:id="56"/>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15</w:t>
            </w:r>
            <w:r w:rsidRPr="00917904">
              <w:rPr>
                <w:b/>
                <w:sz w:val="18"/>
                <w:szCs w:val="18"/>
                <w:lang w:val="en-US"/>
              </w:rPr>
              <w:fldChar w:fldCharType="end"/>
            </w:r>
            <w:bookmarkEnd w:id="57"/>
            <w:r w:rsidRPr="00917904">
              <w:rPr>
                <w:b/>
                <w:sz w:val="18"/>
                <w:szCs w:val="18"/>
                <w:lang w:val="en-US"/>
              </w:rPr>
              <w:t xml:space="preserve"> – Top </w:t>
            </w:r>
            <w:r>
              <w:rPr>
                <w:b/>
                <w:sz w:val="18"/>
                <w:szCs w:val="18"/>
                <w:lang w:val="en-US"/>
              </w:rPr>
              <w:t xml:space="preserve">20 </w:t>
            </w:r>
            <w:r w:rsidRPr="00917904">
              <w:rPr>
                <w:b/>
                <w:sz w:val="18"/>
                <w:szCs w:val="18"/>
                <w:lang w:val="en-US"/>
              </w:rPr>
              <w:t xml:space="preserve">CHADx </w:t>
            </w:r>
            <w:r>
              <w:rPr>
                <w:b/>
                <w:sz w:val="18"/>
                <w:szCs w:val="18"/>
                <w:lang w:val="en-US"/>
              </w:rPr>
              <w:t>c</w:t>
            </w:r>
            <w:r w:rsidRPr="00917904">
              <w:rPr>
                <w:b/>
                <w:sz w:val="18"/>
                <w:szCs w:val="18"/>
                <w:lang w:val="en-US"/>
              </w:rPr>
              <w:t>lass</w:t>
            </w:r>
            <w:r>
              <w:rPr>
                <w:b/>
                <w:sz w:val="18"/>
                <w:szCs w:val="18"/>
                <w:lang w:val="en-US"/>
              </w:rPr>
              <w:t>es</w:t>
            </w:r>
            <w:r w:rsidRPr="00917904">
              <w:rPr>
                <w:b/>
                <w:sz w:val="18"/>
                <w:szCs w:val="18"/>
                <w:lang w:val="en-US"/>
              </w:rPr>
              <w:t xml:space="preserve"> by number </w:t>
            </w:r>
            <w:r>
              <w:rPr>
                <w:b/>
                <w:sz w:val="18"/>
                <w:szCs w:val="18"/>
                <w:lang w:val="en-US"/>
              </w:rPr>
              <w:t>of episodes in which COF diagnoses were</w:t>
            </w:r>
            <w:r w:rsidRPr="00917904">
              <w:rPr>
                <w:b/>
                <w:sz w:val="18"/>
                <w:szCs w:val="18"/>
                <w:lang w:val="en-US"/>
              </w:rPr>
              <w:t xml:space="preserve"> present, </w:t>
            </w:r>
          </w:p>
          <w:p w:rsidR="007718C7" w:rsidRPr="00864829" w:rsidRDefault="007718C7" w:rsidP="00C4502A">
            <w:pPr>
              <w:spacing w:after="0" w:line="240" w:lineRule="auto"/>
              <w:contextualSpacing/>
              <w:jc w:val="center"/>
              <w:rPr>
                <w:rFonts w:ascii="Calibri" w:hAnsi="Calibri"/>
                <w:b/>
                <w:sz w:val="18"/>
                <w:szCs w:val="18"/>
                <w:lang w:val="en-US"/>
              </w:rPr>
            </w:pPr>
            <w:r w:rsidRPr="00917904">
              <w:rPr>
                <w:b/>
                <w:sz w:val="18"/>
                <w:szCs w:val="18"/>
                <w:lang w:val="en-US"/>
              </w:rPr>
              <w:t xml:space="preserve">based on selected hospitals and selected AR-DRGs  </w:t>
            </w:r>
          </w:p>
          <w:p w:rsidR="007718C7" w:rsidRPr="00864829" w:rsidRDefault="009B164C" w:rsidP="00C4502A">
            <w:pPr>
              <w:spacing w:after="0" w:line="240" w:lineRule="auto"/>
              <w:jc w:val="center"/>
              <w:rPr>
                <w:rFonts w:ascii="Calibri" w:hAnsi="Calibri"/>
                <w:b/>
                <w:sz w:val="18"/>
                <w:szCs w:val="18"/>
                <w:lang w:val="en-US"/>
              </w:rPr>
            </w:pPr>
            <w:r>
              <w:rPr>
                <w:rFonts w:ascii="Calibri" w:hAnsi="Calibri"/>
                <w:noProof/>
                <w:szCs w:val="20"/>
                <w:lang w:eastAsia="en-AU"/>
              </w:rPr>
              <w:drawing>
                <wp:inline distT="0" distB="0" distL="0" distR="0" wp14:anchorId="291D349D" wp14:editId="607841F3">
                  <wp:extent cx="4882515" cy="3778250"/>
                  <wp:effectExtent l="0" t="0" r="0" b="0"/>
                  <wp:docPr id="7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2515" cy="3778250"/>
                          </a:xfrm>
                          <a:prstGeom prst="rect">
                            <a:avLst/>
                          </a:prstGeom>
                          <a:noFill/>
                          <a:ln>
                            <a:noFill/>
                          </a:ln>
                        </pic:spPr>
                      </pic:pic>
                    </a:graphicData>
                  </a:graphic>
                </wp:inline>
              </w:drawing>
            </w:r>
          </w:p>
        </w:tc>
      </w:tr>
      <w:tr w:rsidR="007718C7" w:rsidRPr="00864829" w:rsidTr="00C4502A">
        <w:trPr>
          <w:jc w:val="center"/>
        </w:trPr>
        <w:tc>
          <w:tcPr>
            <w:tcW w:w="9351" w:type="dxa"/>
            <w:tcBorders>
              <w:top w:val="nil"/>
              <w:left w:val="nil"/>
              <w:bottom w:val="nil"/>
              <w:right w:val="nil"/>
            </w:tcBorders>
          </w:tcPr>
          <w:p w:rsidR="007718C7" w:rsidRPr="00917904" w:rsidRDefault="007718C7" w:rsidP="006B7468">
            <w:pPr>
              <w:spacing w:after="0" w:line="240" w:lineRule="auto"/>
              <w:jc w:val="center"/>
              <w:rPr>
                <w:i/>
                <w:sz w:val="16"/>
                <w:szCs w:val="16"/>
                <w:lang w:val="en-US"/>
              </w:rPr>
            </w:pPr>
            <w:r w:rsidRPr="00917904">
              <w:rPr>
                <w:i/>
                <w:sz w:val="16"/>
                <w:szCs w:val="16"/>
                <w:lang w:val="en-US"/>
              </w:rPr>
              <w:t>Source: NHCDC 2011-12, subset of selected hospitals and AR-DRGs</w:t>
            </w:r>
            <w:r>
              <w:rPr>
                <w:i/>
                <w:sz w:val="16"/>
                <w:szCs w:val="16"/>
                <w:lang w:val="en-US"/>
              </w:rPr>
              <w:t>.</w:t>
            </w:r>
          </w:p>
          <w:p w:rsidR="007718C7" w:rsidRPr="00864829" w:rsidRDefault="007718C7" w:rsidP="00637D48">
            <w:pPr>
              <w:spacing w:line="240" w:lineRule="auto"/>
              <w:jc w:val="center"/>
              <w:rPr>
                <w:rFonts w:ascii="Calibri" w:hAnsi="Calibri"/>
                <w:szCs w:val="20"/>
                <w:lang w:val="en-US"/>
              </w:rPr>
            </w:pPr>
            <w:r>
              <w:rPr>
                <w:i/>
                <w:sz w:val="16"/>
                <w:szCs w:val="16"/>
                <w:lang w:val="en-US"/>
              </w:rPr>
              <w:t xml:space="preserve">Note: </w:t>
            </w:r>
            <w:r w:rsidRPr="00917904">
              <w:rPr>
                <w:i/>
                <w:sz w:val="16"/>
                <w:szCs w:val="16"/>
                <w:lang w:val="en-US"/>
              </w:rPr>
              <w:t xml:space="preserve"> Refers to any </w:t>
            </w:r>
            <w:r>
              <w:rPr>
                <w:i/>
                <w:sz w:val="16"/>
                <w:szCs w:val="16"/>
                <w:lang w:val="en-US"/>
              </w:rPr>
              <w:t>COF</w:t>
            </w:r>
            <w:r w:rsidRPr="00917904">
              <w:rPr>
                <w:i/>
                <w:sz w:val="16"/>
                <w:szCs w:val="16"/>
                <w:lang w:val="en-US"/>
              </w:rPr>
              <w:t xml:space="preserve"> diagnosis after data </w:t>
            </w:r>
            <w:r w:rsidR="002F611A">
              <w:rPr>
                <w:i/>
                <w:sz w:val="16"/>
                <w:szCs w:val="16"/>
                <w:lang w:val="en-US"/>
              </w:rPr>
              <w:t>cleaning</w:t>
            </w:r>
            <w:r w:rsidRPr="00917904">
              <w:rPr>
                <w:i/>
                <w:sz w:val="16"/>
                <w:szCs w:val="16"/>
                <w:lang w:val="en-US"/>
              </w:rPr>
              <w:t xml:space="preserve"> algorithms have been applied</w:t>
            </w:r>
            <w:r>
              <w:rPr>
                <w:i/>
                <w:sz w:val="16"/>
                <w:szCs w:val="16"/>
                <w:lang w:val="en-US"/>
              </w:rPr>
              <w:t>.</w:t>
            </w:r>
          </w:p>
        </w:tc>
      </w:tr>
    </w:tbl>
    <w:p w:rsidR="007718C7" w:rsidRPr="001F2744" w:rsidRDefault="007718C7" w:rsidP="00673CEF">
      <w:pPr>
        <w:sectPr w:rsidR="007718C7" w:rsidRPr="001F2744" w:rsidSect="00915342">
          <w:headerReference w:type="first" r:id="rId62"/>
          <w:pgSz w:w="11906" w:h="16838"/>
          <w:pgMar w:top="1440" w:right="1440" w:bottom="1440" w:left="1440" w:header="708" w:footer="708" w:gutter="0"/>
          <w:cols w:space="708"/>
          <w:titlePg/>
          <w:docGrid w:linePitch="360"/>
        </w:sectPr>
      </w:pPr>
      <w:r>
        <w:t xml:space="preserve">The proportion of episodes with particular major CHADx groups or CHADx classes varies significantly across the ADRGs, as is illustrated in </w:t>
      </w:r>
      <w:r w:rsidR="00F50FB9">
        <w:fldChar w:fldCharType="begin"/>
      </w:r>
      <w:r w:rsidR="00F50FB9">
        <w:instrText xml:space="preserve"> REF _Ref367308030 \h  \* MERGEFORMAT </w:instrText>
      </w:r>
      <w:r w:rsidR="00F50FB9">
        <w:fldChar w:fldCharType="separate"/>
      </w:r>
      <w:r w:rsidR="00363A39" w:rsidRPr="00363A39">
        <w:t>Table 16</w:t>
      </w:r>
      <w:r w:rsidR="00F50FB9">
        <w:fldChar w:fldCharType="end"/>
      </w:r>
      <w:r>
        <w:t>.  As might be expected, post procedural complications are more common for the surgical/procedural ADRGs. However, other complications are also more common for the surgical/procedural ADRGs, including cardiovascular, respiratory, gastrointestinal, genitourinary and haematological.</w:t>
      </w: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74"/>
      </w:tblGrid>
      <w:tr w:rsidR="007718C7" w:rsidRPr="00864829" w:rsidTr="00673CEF">
        <w:trPr>
          <w:jc w:val="center"/>
        </w:trPr>
        <w:tc>
          <w:tcPr>
            <w:tcW w:w="14520" w:type="dxa"/>
            <w:tcBorders>
              <w:top w:val="nil"/>
              <w:left w:val="nil"/>
              <w:bottom w:val="nil"/>
              <w:right w:val="nil"/>
            </w:tcBorders>
          </w:tcPr>
          <w:p w:rsidR="007718C7" w:rsidRPr="00917904" w:rsidRDefault="007718C7" w:rsidP="00C4502A">
            <w:pPr>
              <w:spacing w:after="0" w:line="240" w:lineRule="auto"/>
              <w:contextualSpacing/>
              <w:jc w:val="center"/>
              <w:rPr>
                <w:b/>
                <w:sz w:val="18"/>
                <w:szCs w:val="18"/>
                <w:lang w:val="en-US"/>
              </w:rPr>
            </w:pPr>
            <w:bookmarkStart w:id="58" w:name="_Ref367308030"/>
            <w:r w:rsidRPr="00917904">
              <w:rPr>
                <w:b/>
                <w:sz w:val="18"/>
                <w:szCs w:val="18"/>
                <w:lang w:val="en-US"/>
              </w:rPr>
              <w:lastRenderedPageBreak/>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16</w:t>
            </w:r>
            <w:r w:rsidRPr="00917904">
              <w:rPr>
                <w:b/>
                <w:sz w:val="18"/>
                <w:szCs w:val="18"/>
                <w:lang w:val="en-US"/>
              </w:rPr>
              <w:fldChar w:fldCharType="end"/>
            </w:r>
            <w:bookmarkEnd w:id="58"/>
            <w:r w:rsidRPr="00917904">
              <w:rPr>
                <w:b/>
                <w:sz w:val="18"/>
                <w:szCs w:val="18"/>
                <w:lang w:val="en-US"/>
              </w:rPr>
              <w:t xml:space="preserve"> – Proportion of episodes in which Major CHADx groups are reported, by ADRG, based on selected hospitals and selected AR-DRGs</w:t>
            </w:r>
          </w:p>
        </w:tc>
      </w:tr>
      <w:tr w:rsidR="007718C7" w:rsidRPr="00864829" w:rsidTr="00673CEF">
        <w:trPr>
          <w:jc w:val="center"/>
        </w:trPr>
        <w:tc>
          <w:tcPr>
            <w:tcW w:w="14520" w:type="dxa"/>
            <w:tcBorders>
              <w:top w:val="nil"/>
              <w:left w:val="nil"/>
              <w:bottom w:val="nil"/>
              <w:right w:val="nil"/>
            </w:tcBorders>
          </w:tcPr>
          <w:p w:rsidR="007718C7" w:rsidRPr="00917904" w:rsidRDefault="009B164C" w:rsidP="00C4502A">
            <w:pPr>
              <w:spacing w:after="0" w:line="240" w:lineRule="auto"/>
              <w:jc w:val="center"/>
              <w:rPr>
                <w:szCs w:val="20"/>
                <w:lang w:val="en-US"/>
              </w:rPr>
            </w:pPr>
            <w:r>
              <w:rPr>
                <w:noProof/>
                <w:szCs w:val="20"/>
                <w:lang w:eastAsia="en-AU"/>
              </w:rPr>
              <w:drawing>
                <wp:inline distT="0" distB="0" distL="0" distR="0" wp14:anchorId="0086FC18" wp14:editId="5581DF03">
                  <wp:extent cx="8634730" cy="4589145"/>
                  <wp:effectExtent l="0" t="0" r="0" b="1905"/>
                  <wp:docPr id="7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34730" cy="4589145"/>
                          </a:xfrm>
                          <a:prstGeom prst="rect">
                            <a:avLst/>
                          </a:prstGeom>
                          <a:noFill/>
                          <a:ln>
                            <a:noFill/>
                          </a:ln>
                        </pic:spPr>
                      </pic:pic>
                    </a:graphicData>
                  </a:graphic>
                </wp:inline>
              </w:drawing>
            </w:r>
          </w:p>
        </w:tc>
      </w:tr>
      <w:tr w:rsidR="007718C7" w:rsidRPr="00864829" w:rsidTr="00673CEF">
        <w:trPr>
          <w:jc w:val="center"/>
        </w:trPr>
        <w:tc>
          <w:tcPr>
            <w:tcW w:w="14520" w:type="dxa"/>
            <w:tcBorders>
              <w:top w:val="nil"/>
              <w:left w:val="nil"/>
              <w:bottom w:val="nil"/>
              <w:right w:val="nil"/>
            </w:tcBorders>
          </w:tcPr>
          <w:p w:rsidR="007718C7" w:rsidRPr="00917904" w:rsidRDefault="007718C7" w:rsidP="00C4502A">
            <w:pPr>
              <w:spacing w:after="0" w:line="240" w:lineRule="auto"/>
              <w:jc w:val="center"/>
              <w:rPr>
                <w:i/>
                <w:sz w:val="16"/>
                <w:szCs w:val="16"/>
                <w:lang w:val="en-US"/>
              </w:rPr>
            </w:pPr>
            <w:r w:rsidRPr="00917904">
              <w:rPr>
                <w:i/>
                <w:sz w:val="16"/>
                <w:szCs w:val="16"/>
                <w:lang w:val="en-US"/>
              </w:rPr>
              <w:t>Source: NHCDC 2011-12, subset of selected hospitals and AR-DRGs</w:t>
            </w:r>
            <w:r>
              <w:rPr>
                <w:i/>
                <w:sz w:val="16"/>
                <w:szCs w:val="16"/>
                <w:lang w:val="en-US"/>
              </w:rPr>
              <w:t>.</w:t>
            </w:r>
          </w:p>
          <w:p w:rsidR="007718C7" w:rsidRPr="00917904" w:rsidRDefault="007718C7" w:rsidP="00C4502A">
            <w:pPr>
              <w:spacing w:after="0" w:line="240" w:lineRule="auto"/>
              <w:jc w:val="center"/>
              <w:rPr>
                <w:szCs w:val="20"/>
                <w:lang w:val="en-US"/>
              </w:rPr>
            </w:pPr>
            <w:r>
              <w:rPr>
                <w:i/>
                <w:sz w:val="16"/>
                <w:szCs w:val="16"/>
                <w:lang w:val="en-US"/>
              </w:rPr>
              <w:t xml:space="preserve">Note: </w:t>
            </w:r>
            <w:r w:rsidRPr="00917904">
              <w:rPr>
                <w:i/>
                <w:sz w:val="16"/>
                <w:szCs w:val="16"/>
                <w:lang w:val="en-US"/>
              </w:rPr>
              <w:t xml:space="preserve">Refers to any </w:t>
            </w:r>
            <w:r>
              <w:rPr>
                <w:i/>
                <w:sz w:val="16"/>
                <w:szCs w:val="16"/>
                <w:lang w:val="en-US"/>
              </w:rPr>
              <w:t>COF</w:t>
            </w:r>
            <w:r w:rsidRPr="00917904">
              <w:rPr>
                <w:i/>
                <w:sz w:val="16"/>
                <w:szCs w:val="16"/>
                <w:lang w:val="en-US"/>
              </w:rPr>
              <w:t xml:space="preserve"> diagnosis after data </w:t>
            </w:r>
            <w:r w:rsidR="002F611A">
              <w:rPr>
                <w:i/>
                <w:sz w:val="16"/>
                <w:szCs w:val="16"/>
                <w:lang w:val="en-US"/>
              </w:rPr>
              <w:t>cleaning</w:t>
            </w:r>
            <w:r w:rsidRPr="00917904">
              <w:rPr>
                <w:i/>
                <w:sz w:val="16"/>
                <w:szCs w:val="16"/>
                <w:lang w:val="en-US"/>
              </w:rPr>
              <w:t xml:space="preserve"> algorithms have been applied</w:t>
            </w:r>
            <w:r>
              <w:rPr>
                <w:i/>
                <w:sz w:val="16"/>
                <w:szCs w:val="16"/>
                <w:lang w:val="en-US"/>
              </w:rPr>
              <w:t>.</w:t>
            </w:r>
          </w:p>
        </w:tc>
      </w:tr>
    </w:tbl>
    <w:p w:rsidR="007718C7" w:rsidRDefault="007718C7" w:rsidP="00673CEF">
      <w:pPr>
        <w:sectPr w:rsidR="007718C7" w:rsidSect="00A97602">
          <w:footerReference w:type="default" r:id="rId64"/>
          <w:headerReference w:type="first" r:id="rId65"/>
          <w:footerReference w:type="first" r:id="rId66"/>
          <w:pgSz w:w="16838" w:h="11906" w:orient="landscape"/>
          <w:pgMar w:top="1440" w:right="1440" w:bottom="1440" w:left="1440" w:header="708" w:footer="708" w:gutter="0"/>
          <w:cols w:space="708"/>
          <w:titlePg/>
          <w:docGrid w:linePitch="360"/>
        </w:sectPr>
      </w:pPr>
    </w:p>
    <w:p w:rsidR="007718C7" w:rsidRPr="00FA5216" w:rsidRDefault="007718C7" w:rsidP="00673CEF">
      <w:pPr>
        <w:pStyle w:val="Stageheading"/>
        <w:rPr>
          <w:iCs w:val="0"/>
        </w:rPr>
      </w:pPr>
      <w:bookmarkStart w:id="59" w:name="_Toc374114596"/>
      <w:r>
        <w:rPr>
          <w:iCs w:val="0"/>
        </w:rPr>
        <w:lastRenderedPageBreak/>
        <w:t>Results</w:t>
      </w:r>
      <w:bookmarkEnd w:id="59"/>
    </w:p>
    <w:p w:rsidR="007718C7" w:rsidRDefault="007718C7" w:rsidP="00673CEF">
      <w:r>
        <w:t>The tables below present estimates of incremental effects of hospital-acquired conditions on cost and length of stay, based on the GLM models.  As the modelled cost and length of stay effects will vary between episodes based on a range of characteristics, both the mean and median of the predicted effects have been presented.  For comparison we have also presented the results of the OLS models.</w:t>
      </w:r>
    </w:p>
    <w:p w:rsidR="007718C7" w:rsidRDefault="007718C7" w:rsidP="00673CEF">
      <w:r>
        <w:t xml:space="preserve">Detailed estimates are presented in Appendix 3, as shown in </w:t>
      </w:r>
      <w:r w:rsidR="00F50FB9">
        <w:fldChar w:fldCharType="begin"/>
      </w:r>
      <w:r w:rsidR="00F50FB9">
        <w:instrText xml:space="preserve"> REF _Ref371092742 \h  \* MERGEFORMAT </w:instrText>
      </w:r>
      <w:r w:rsidR="00F50FB9">
        <w:fldChar w:fldCharType="separate"/>
      </w:r>
      <w:r w:rsidR="00363A39" w:rsidRPr="00363A39">
        <w:t>Table 17</w:t>
      </w:r>
      <w:r w:rsidR="00F50FB9">
        <w:fldChar w:fldCharType="end"/>
      </w:r>
      <w:r>
        <w:t>.</w:t>
      </w:r>
    </w:p>
    <w:p w:rsidR="007718C7" w:rsidRDefault="007718C7" w:rsidP="002347BB">
      <w:pPr>
        <w:spacing w:after="0"/>
        <w:jc w:val="center"/>
      </w:pPr>
      <w:bookmarkStart w:id="60" w:name="_Ref371092742"/>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17</w:t>
      </w:r>
      <w:r w:rsidRPr="00917904">
        <w:rPr>
          <w:b/>
          <w:sz w:val="18"/>
          <w:szCs w:val="18"/>
          <w:lang w:val="en-US"/>
        </w:rPr>
        <w:fldChar w:fldCharType="end"/>
      </w:r>
      <w:bookmarkEnd w:id="60"/>
      <w:r w:rsidRPr="00917904">
        <w:rPr>
          <w:b/>
          <w:sz w:val="18"/>
          <w:szCs w:val="18"/>
          <w:lang w:val="en-US"/>
        </w:rPr>
        <w:t xml:space="preserve"> –</w:t>
      </w:r>
      <w:r>
        <w:rPr>
          <w:b/>
          <w:sz w:val="18"/>
          <w:szCs w:val="18"/>
          <w:lang w:val="en-US"/>
        </w:rPr>
        <w:t xml:space="preserve"> Models estimated and results </w:t>
      </w:r>
    </w:p>
    <w:tbl>
      <w:tblPr>
        <w:tblW w:w="925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1036"/>
        <w:gridCol w:w="3260"/>
        <w:gridCol w:w="1404"/>
        <w:gridCol w:w="1706"/>
        <w:gridCol w:w="1851"/>
      </w:tblGrid>
      <w:tr w:rsidR="007718C7" w:rsidRPr="00FA5216" w:rsidTr="00F220A3">
        <w:trPr>
          <w:jc w:val="center"/>
        </w:trPr>
        <w:tc>
          <w:tcPr>
            <w:tcW w:w="1036" w:type="dxa"/>
            <w:shd w:val="clear" w:color="auto" w:fill="365F91"/>
            <w:vAlign w:val="center"/>
          </w:tcPr>
          <w:p w:rsidR="007718C7" w:rsidRPr="000F1C72" w:rsidRDefault="007718C7" w:rsidP="00F220A3">
            <w:pPr>
              <w:spacing w:after="0" w:line="240" w:lineRule="auto"/>
              <w:jc w:val="center"/>
              <w:rPr>
                <w:rFonts w:cs="Calibri"/>
                <w:b/>
                <w:color w:val="FFFFFF"/>
                <w:sz w:val="16"/>
                <w:szCs w:val="16"/>
              </w:rPr>
            </w:pPr>
            <w:r w:rsidRPr="000F1C72">
              <w:rPr>
                <w:rFonts w:cs="Calibri"/>
                <w:b/>
                <w:color w:val="FFFFFF"/>
                <w:sz w:val="16"/>
                <w:szCs w:val="16"/>
              </w:rPr>
              <w:t>Model</w:t>
            </w:r>
          </w:p>
        </w:tc>
        <w:tc>
          <w:tcPr>
            <w:tcW w:w="3260" w:type="dxa"/>
            <w:shd w:val="clear" w:color="auto" w:fill="365F91"/>
            <w:vAlign w:val="center"/>
          </w:tcPr>
          <w:p w:rsidR="007718C7" w:rsidRPr="000F1C72" w:rsidRDefault="007718C7" w:rsidP="00F220A3">
            <w:pPr>
              <w:spacing w:after="0" w:line="240" w:lineRule="auto"/>
              <w:jc w:val="center"/>
              <w:rPr>
                <w:rFonts w:cs="Calibri"/>
                <w:b/>
                <w:color w:val="FFFFFF"/>
                <w:sz w:val="16"/>
                <w:szCs w:val="16"/>
              </w:rPr>
            </w:pPr>
            <w:r w:rsidRPr="000F1C72">
              <w:rPr>
                <w:rFonts w:cs="Calibri"/>
                <w:b/>
                <w:color w:val="FFFFFF"/>
                <w:sz w:val="16"/>
                <w:szCs w:val="16"/>
              </w:rPr>
              <w:t xml:space="preserve">Hospital acquired conditions </w:t>
            </w:r>
          </w:p>
          <w:p w:rsidR="007718C7" w:rsidRPr="000F1C72" w:rsidRDefault="007718C7" w:rsidP="00F220A3">
            <w:pPr>
              <w:spacing w:after="0" w:line="240" w:lineRule="auto"/>
              <w:jc w:val="center"/>
              <w:rPr>
                <w:rFonts w:cs="Calibri"/>
                <w:b/>
                <w:color w:val="FFFFFF"/>
                <w:sz w:val="16"/>
                <w:szCs w:val="16"/>
              </w:rPr>
            </w:pPr>
            <w:r w:rsidRPr="000F1C72">
              <w:rPr>
                <w:rFonts w:cs="Calibri"/>
                <w:b/>
                <w:color w:val="FFFFFF"/>
                <w:sz w:val="16"/>
                <w:szCs w:val="16"/>
              </w:rPr>
              <w:t>modelled as:</w:t>
            </w:r>
          </w:p>
        </w:tc>
        <w:tc>
          <w:tcPr>
            <w:tcW w:w="1404" w:type="dxa"/>
            <w:shd w:val="clear" w:color="auto" w:fill="365F91"/>
            <w:vAlign w:val="center"/>
          </w:tcPr>
          <w:p w:rsidR="007718C7" w:rsidRPr="000F1C72" w:rsidRDefault="007718C7" w:rsidP="00F220A3">
            <w:pPr>
              <w:spacing w:after="0" w:line="240" w:lineRule="auto"/>
              <w:jc w:val="center"/>
              <w:rPr>
                <w:rFonts w:cs="Calibri"/>
                <w:b/>
                <w:color w:val="FFFFFF"/>
                <w:sz w:val="16"/>
                <w:szCs w:val="16"/>
              </w:rPr>
            </w:pPr>
            <w:r w:rsidRPr="000F1C72">
              <w:rPr>
                <w:rFonts w:cs="Calibri"/>
                <w:b/>
                <w:color w:val="FFFFFF"/>
                <w:sz w:val="16"/>
                <w:szCs w:val="16"/>
              </w:rPr>
              <w:t xml:space="preserve">Impact of </w:t>
            </w:r>
          </w:p>
          <w:p w:rsidR="007718C7" w:rsidRPr="000F1C72" w:rsidRDefault="007718C7" w:rsidP="00F220A3">
            <w:pPr>
              <w:spacing w:after="0" w:line="240" w:lineRule="auto"/>
              <w:jc w:val="center"/>
              <w:rPr>
                <w:rFonts w:cs="Calibri"/>
                <w:b/>
                <w:color w:val="FFFFFF"/>
                <w:sz w:val="16"/>
                <w:szCs w:val="16"/>
              </w:rPr>
            </w:pPr>
            <w:r w:rsidRPr="000F1C72">
              <w:rPr>
                <w:rFonts w:cs="Calibri"/>
                <w:b/>
                <w:color w:val="FFFFFF"/>
                <w:sz w:val="16"/>
                <w:szCs w:val="16"/>
              </w:rPr>
              <w:t>COF on:</w:t>
            </w:r>
          </w:p>
        </w:tc>
        <w:tc>
          <w:tcPr>
            <w:tcW w:w="1706" w:type="dxa"/>
            <w:shd w:val="clear" w:color="auto" w:fill="365F91"/>
            <w:vAlign w:val="center"/>
          </w:tcPr>
          <w:p w:rsidR="007718C7" w:rsidRPr="000F1C72" w:rsidRDefault="007718C7" w:rsidP="00F220A3">
            <w:pPr>
              <w:spacing w:after="0" w:line="240" w:lineRule="auto"/>
              <w:jc w:val="center"/>
              <w:rPr>
                <w:rFonts w:cs="Calibri"/>
                <w:b/>
                <w:color w:val="FFFFFF"/>
                <w:sz w:val="16"/>
                <w:szCs w:val="16"/>
              </w:rPr>
            </w:pPr>
            <w:r w:rsidRPr="000F1C72">
              <w:rPr>
                <w:rFonts w:cs="Calibri"/>
                <w:b/>
                <w:color w:val="FFFFFF"/>
                <w:sz w:val="16"/>
                <w:szCs w:val="16"/>
              </w:rPr>
              <w:t>Estimates of mean incremental impact</w:t>
            </w:r>
          </w:p>
        </w:tc>
        <w:tc>
          <w:tcPr>
            <w:tcW w:w="1851" w:type="dxa"/>
            <w:shd w:val="clear" w:color="auto" w:fill="365F91"/>
            <w:vAlign w:val="center"/>
          </w:tcPr>
          <w:p w:rsidR="007718C7" w:rsidRPr="000F1C72" w:rsidRDefault="007718C7" w:rsidP="00F220A3">
            <w:pPr>
              <w:spacing w:after="0" w:line="240" w:lineRule="auto"/>
              <w:jc w:val="center"/>
              <w:rPr>
                <w:rFonts w:cs="Calibri"/>
                <w:b/>
                <w:color w:val="FFFFFF"/>
                <w:sz w:val="16"/>
                <w:szCs w:val="16"/>
              </w:rPr>
            </w:pPr>
            <w:r w:rsidRPr="000F1C72">
              <w:rPr>
                <w:rFonts w:cs="Calibri"/>
                <w:b/>
                <w:color w:val="FFFFFF"/>
                <w:sz w:val="16"/>
                <w:szCs w:val="16"/>
              </w:rPr>
              <w:t>Estimates of median incremental impact</w:t>
            </w:r>
          </w:p>
        </w:tc>
      </w:tr>
      <w:tr w:rsidR="007718C7" w:rsidTr="00F220A3">
        <w:trPr>
          <w:jc w:val="center"/>
        </w:trPr>
        <w:tc>
          <w:tcPr>
            <w:tcW w:w="1036" w:type="dxa"/>
          </w:tcPr>
          <w:p w:rsidR="007718C7" w:rsidRPr="000F1C72" w:rsidRDefault="007718C7" w:rsidP="00F220A3">
            <w:pPr>
              <w:spacing w:after="0"/>
              <w:jc w:val="center"/>
              <w:rPr>
                <w:rFonts w:cs="Calibri"/>
                <w:sz w:val="16"/>
                <w:szCs w:val="16"/>
              </w:rPr>
            </w:pPr>
            <w:r w:rsidRPr="000F1C72">
              <w:rPr>
                <w:rFonts w:cs="Calibri"/>
                <w:sz w:val="16"/>
                <w:szCs w:val="16"/>
              </w:rPr>
              <w:t>Model A1</w:t>
            </w:r>
          </w:p>
        </w:tc>
        <w:tc>
          <w:tcPr>
            <w:tcW w:w="3260" w:type="dxa"/>
          </w:tcPr>
          <w:p w:rsidR="007718C7" w:rsidRPr="000F1C72" w:rsidRDefault="007718C7" w:rsidP="00F220A3">
            <w:pPr>
              <w:spacing w:after="0"/>
              <w:rPr>
                <w:rFonts w:cs="Calibri"/>
                <w:sz w:val="16"/>
                <w:szCs w:val="16"/>
              </w:rPr>
            </w:pPr>
            <w:r w:rsidRPr="000F1C72">
              <w:rPr>
                <w:rFonts w:cs="Calibri"/>
                <w:sz w:val="16"/>
                <w:szCs w:val="16"/>
              </w:rPr>
              <w:t>Presence of any COF diagnosis</w:t>
            </w:r>
          </w:p>
        </w:tc>
        <w:tc>
          <w:tcPr>
            <w:tcW w:w="1404" w:type="dxa"/>
          </w:tcPr>
          <w:p w:rsidR="007718C7" w:rsidRPr="000F1C72" w:rsidRDefault="007718C7" w:rsidP="00F220A3">
            <w:pPr>
              <w:spacing w:after="0"/>
              <w:rPr>
                <w:rFonts w:cs="Calibri"/>
                <w:sz w:val="16"/>
                <w:szCs w:val="16"/>
              </w:rPr>
            </w:pPr>
            <w:r w:rsidRPr="000F1C72">
              <w:rPr>
                <w:rFonts w:cs="Calibri"/>
                <w:sz w:val="16"/>
                <w:szCs w:val="16"/>
              </w:rPr>
              <w:t>Cost</w:t>
            </w:r>
          </w:p>
        </w:tc>
        <w:tc>
          <w:tcPr>
            <w:tcW w:w="1706"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_Ref366568182 \h  \* MERGEFORMAT </w:instrText>
            </w:r>
            <w:r w:rsidRPr="000F1C72">
              <w:rPr>
                <w:sz w:val="16"/>
                <w:szCs w:val="16"/>
              </w:rPr>
            </w:r>
            <w:r w:rsidRPr="000F1C72">
              <w:rPr>
                <w:sz w:val="16"/>
                <w:szCs w:val="16"/>
              </w:rPr>
              <w:fldChar w:fldCharType="separate"/>
            </w:r>
            <w:r w:rsidR="00363A39" w:rsidRPr="00363A39">
              <w:rPr>
                <w:rFonts w:cs="Calibri"/>
                <w:sz w:val="16"/>
                <w:szCs w:val="16"/>
                <w:lang w:val="en-US"/>
              </w:rPr>
              <w:t>Table 38</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_Ref369099412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68</w:t>
            </w:r>
            <w:r w:rsidR="007718C7" w:rsidRPr="000F1C72">
              <w:rPr>
                <w:rFonts w:cs="Calibri"/>
                <w:sz w:val="16"/>
                <w:szCs w:val="16"/>
              </w:rPr>
              <w:fldChar w:fldCharType="end"/>
            </w:r>
          </w:p>
        </w:tc>
        <w:tc>
          <w:tcPr>
            <w:tcW w:w="1851"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_Ref368755658 \h  \* MERGEFORMAT </w:instrText>
            </w:r>
            <w:r w:rsidRPr="000F1C72">
              <w:rPr>
                <w:sz w:val="16"/>
                <w:szCs w:val="16"/>
              </w:rPr>
            </w:r>
            <w:r w:rsidRPr="000F1C72">
              <w:rPr>
                <w:sz w:val="16"/>
                <w:szCs w:val="16"/>
              </w:rPr>
              <w:fldChar w:fldCharType="separate"/>
            </w:r>
            <w:r w:rsidR="00363A39" w:rsidRPr="00363A39">
              <w:rPr>
                <w:rFonts w:cs="Calibri"/>
                <w:sz w:val="16"/>
                <w:szCs w:val="16"/>
                <w:lang w:val="en-US"/>
              </w:rPr>
              <w:br w:type="page"/>
              <w:t>Table</w:t>
            </w:r>
            <w:r w:rsidR="00363A39" w:rsidRPr="00363A39">
              <w:rPr>
                <w:rFonts w:cs="Calibri"/>
                <w:noProof/>
                <w:sz w:val="16"/>
                <w:szCs w:val="16"/>
                <w:lang w:val="en-US"/>
              </w:rPr>
              <w:t xml:space="preserve"> 41</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_Ref369105531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75</w:t>
            </w:r>
            <w:r w:rsidR="007718C7" w:rsidRPr="000F1C72">
              <w:rPr>
                <w:rFonts w:cs="Calibri"/>
                <w:sz w:val="16"/>
                <w:szCs w:val="16"/>
              </w:rPr>
              <w:fldChar w:fldCharType="end"/>
            </w:r>
          </w:p>
        </w:tc>
      </w:tr>
      <w:tr w:rsidR="007718C7" w:rsidTr="00F220A3">
        <w:trPr>
          <w:jc w:val="center"/>
        </w:trPr>
        <w:tc>
          <w:tcPr>
            <w:tcW w:w="1036" w:type="dxa"/>
          </w:tcPr>
          <w:p w:rsidR="007718C7" w:rsidRPr="000F1C72" w:rsidRDefault="007718C7" w:rsidP="00F220A3">
            <w:pPr>
              <w:spacing w:after="0"/>
              <w:jc w:val="center"/>
              <w:rPr>
                <w:rFonts w:cs="Calibri"/>
                <w:sz w:val="16"/>
                <w:szCs w:val="16"/>
              </w:rPr>
            </w:pPr>
            <w:r w:rsidRPr="000F1C72">
              <w:rPr>
                <w:rFonts w:cs="Calibri"/>
                <w:sz w:val="16"/>
                <w:szCs w:val="16"/>
              </w:rPr>
              <w:t>Model A2</w:t>
            </w:r>
          </w:p>
        </w:tc>
        <w:tc>
          <w:tcPr>
            <w:tcW w:w="3260" w:type="dxa"/>
          </w:tcPr>
          <w:p w:rsidR="007718C7" w:rsidRPr="000F1C72" w:rsidRDefault="007718C7" w:rsidP="00F220A3">
            <w:pPr>
              <w:spacing w:after="0"/>
              <w:rPr>
                <w:rFonts w:cs="Calibri"/>
                <w:sz w:val="16"/>
                <w:szCs w:val="16"/>
              </w:rPr>
            </w:pPr>
            <w:r w:rsidRPr="000F1C72">
              <w:rPr>
                <w:rFonts w:cs="Calibri"/>
                <w:sz w:val="16"/>
                <w:szCs w:val="16"/>
              </w:rPr>
              <w:t>Major CHADx groups</w:t>
            </w:r>
          </w:p>
        </w:tc>
        <w:tc>
          <w:tcPr>
            <w:tcW w:w="1404" w:type="dxa"/>
          </w:tcPr>
          <w:p w:rsidR="007718C7" w:rsidRPr="000F1C72" w:rsidRDefault="007718C7" w:rsidP="00F220A3">
            <w:pPr>
              <w:spacing w:after="0"/>
              <w:rPr>
                <w:rFonts w:cs="Calibri"/>
                <w:sz w:val="16"/>
                <w:szCs w:val="16"/>
              </w:rPr>
            </w:pPr>
            <w:r w:rsidRPr="000F1C72">
              <w:rPr>
                <w:rFonts w:cs="Calibri"/>
                <w:sz w:val="16"/>
                <w:szCs w:val="16"/>
              </w:rPr>
              <w:t>Cost</w:t>
            </w:r>
          </w:p>
        </w:tc>
        <w:tc>
          <w:tcPr>
            <w:tcW w:w="1706" w:type="dxa"/>
          </w:tcPr>
          <w:p w:rsidR="007718C7" w:rsidRPr="000F1C72" w:rsidRDefault="00F50FB9" w:rsidP="00F220A3">
            <w:pPr>
              <w:spacing w:after="0"/>
              <w:rPr>
                <w:rFonts w:cs="Calibri"/>
                <w:sz w:val="16"/>
                <w:szCs w:val="16"/>
                <w:lang w:val="en-US"/>
              </w:rPr>
            </w:pPr>
            <w:r w:rsidRPr="000F1C72">
              <w:rPr>
                <w:sz w:val="16"/>
                <w:szCs w:val="16"/>
              </w:rPr>
              <w:fldChar w:fldCharType="begin"/>
            </w:r>
            <w:r w:rsidRPr="000F1C72">
              <w:rPr>
                <w:sz w:val="16"/>
                <w:szCs w:val="16"/>
              </w:rPr>
              <w:instrText xml:space="preserve"> REF _Ref366568182 \h  \* MERGEFORMAT </w:instrText>
            </w:r>
            <w:r w:rsidRPr="000F1C72">
              <w:rPr>
                <w:sz w:val="16"/>
                <w:szCs w:val="16"/>
              </w:rPr>
            </w:r>
            <w:r w:rsidRPr="000F1C72">
              <w:rPr>
                <w:sz w:val="16"/>
                <w:szCs w:val="16"/>
              </w:rPr>
              <w:fldChar w:fldCharType="separate"/>
            </w:r>
            <w:r w:rsidR="00363A39" w:rsidRPr="00363A39">
              <w:rPr>
                <w:rFonts w:cs="Calibri"/>
                <w:sz w:val="16"/>
                <w:szCs w:val="16"/>
                <w:lang w:val="en-US"/>
              </w:rPr>
              <w:t>Table 38</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_Ref369099412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68</w:t>
            </w:r>
            <w:r w:rsidR="007718C7" w:rsidRPr="000F1C72">
              <w:rPr>
                <w:rFonts w:cs="Calibri"/>
                <w:sz w:val="16"/>
                <w:szCs w:val="16"/>
              </w:rPr>
              <w:fldChar w:fldCharType="end"/>
            </w:r>
          </w:p>
        </w:tc>
        <w:tc>
          <w:tcPr>
            <w:tcW w:w="1851"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_Ref368755658 \h  \* MERGEFORMAT </w:instrText>
            </w:r>
            <w:r w:rsidRPr="000F1C72">
              <w:rPr>
                <w:sz w:val="16"/>
                <w:szCs w:val="16"/>
              </w:rPr>
            </w:r>
            <w:r w:rsidRPr="000F1C72">
              <w:rPr>
                <w:sz w:val="16"/>
                <w:szCs w:val="16"/>
              </w:rPr>
              <w:fldChar w:fldCharType="separate"/>
            </w:r>
            <w:r w:rsidR="00363A39" w:rsidRPr="00363A39">
              <w:rPr>
                <w:rFonts w:cs="Calibri"/>
                <w:sz w:val="16"/>
                <w:szCs w:val="16"/>
                <w:lang w:val="en-US"/>
              </w:rPr>
              <w:br w:type="page"/>
              <w:t>Table</w:t>
            </w:r>
            <w:r w:rsidR="00363A39" w:rsidRPr="00363A39">
              <w:rPr>
                <w:rFonts w:cs="Calibri"/>
                <w:noProof/>
                <w:sz w:val="16"/>
                <w:szCs w:val="16"/>
                <w:lang w:val="en-US"/>
              </w:rPr>
              <w:t xml:space="preserve"> 41</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_Ref369105531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75</w:t>
            </w:r>
            <w:r w:rsidR="007718C7" w:rsidRPr="000F1C72">
              <w:rPr>
                <w:rFonts w:cs="Calibri"/>
                <w:sz w:val="16"/>
                <w:szCs w:val="16"/>
              </w:rPr>
              <w:fldChar w:fldCharType="end"/>
            </w:r>
          </w:p>
        </w:tc>
      </w:tr>
      <w:tr w:rsidR="007718C7" w:rsidTr="00F220A3">
        <w:trPr>
          <w:jc w:val="center"/>
        </w:trPr>
        <w:tc>
          <w:tcPr>
            <w:tcW w:w="1036" w:type="dxa"/>
          </w:tcPr>
          <w:p w:rsidR="007718C7" w:rsidRPr="000F1C72" w:rsidRDefault="007718C7" w:rsidP="00F220A3">
            <w:pPr>
              <w:spacing w:after="0"/>
              <w:jc w:val="center"/>
              <w:rPr>
                <w:rFonts w:cs="Calibri"/>
                <w:sz w:val="16"/>
                <w:szCs w:val="16"/>
              </w:rPr>
            </w:pPr>
            <w:r w:rsidRPr="000F1C72">
              <w:rPr>
                <w:rFonts w:cs="Calibri"/>
                <w:sz w:val="16"/>
                <w:szCs w:val="16"/>
              </w:rPr>
              <w:t>Model A3</w:t>
            </w:r>
          </w:p>
        </w:tc>
        <w:tc>
          <w:tcPr>
            <w:tcW w:w="3260" w:type="dxa"/>
          </w:tcPr>
          <w:p w:rsidR="007718C7" w:rsidRPr="000F1C72" w:rsidRDefault="007718C7" w:rsidP="00F220A3">
            <w:pPr>
              <w:spacing w:after="0"/>
              <w:rPr>
                <w:rFonts w:cs="Calibri"/>
                <w:sz w:val="16"/>
                <w:szCs w:val="16"/>
              </w:rPr>
            </w:pPr>
            <w:r w:rsidRPr="000F1C72">
              <w:rPr>
                <w:rFonts w:cs="Calibri"/>
                <w:sz w:val="16"/>
                <w:szCs w:val="16"/>
              </w:rPr>
              <w:t>Selected hospital acquired conditions</w:t>
            </w:r>
          </w:p>
        </w:tc>
        <w:tc>
          <w:tcPr>
            <w:tcW w:w="1404" w:type="dxa"/>
          </w:tcPr>
          <w:p w:rsidR="007718C7" w:rsidRPr="000F1C72" w:rsidRDefault="007718C7" w:rsidP="00F220A3">
            <w:pPr>
              <w:spacing w:after="0"/>
              <w:rPr>
                <w:rFonts w:cs="Calibri"/>
                <w:sz w:val="16"/>
                <w:szCs w:val="16"/>
              </w:rPr>
            </w:pPr>
            <w:r w:rsidRPr="000F1C72">
              <w:rPr>
                <w:rFonts w:cs="Calibri"/>
                <w:sz w:val="16"/>
                <w:szCs w:val="16"/>
              </w:rPr>
              <w:t>Cost</w:t>
            </w:r>
          </w:p>
        </w:tc>
        <w:tc>
          <w:tcPr>
            <w:tcW w:w="1706" w:type="dxa"/>
          </w:tcPr>
          <w:p w:rsidR="007718C7" w:rsidRPr="000F1C72" w:rsidRDefault="00F50FB9" w:rsidP="00F220A3">
            <w:pPr>
              <w:spacing w:after="0"/>
              <w:rPr>
                <w:rFonts w:cs="Calibri"/>
                <w:sz w:val="16"/>
                <w:szCs w:val="16"/>
                <w:lang w:val="en-US"/>
              </w:rPr>
            </w:pPr>
            <w:r w:rsidRPr="000F1C72">
              <w:rPr>
                <w:sz w:val="16"/>
                <w:szCs w:val="16"/>
              </w:rPr>
              <w:fldChar w:fldCharType="begin"/>
            </w:r>
            <w:r w:rsidRPr="000F1C72">
              <w:rPr>
                <w:sz w:val="16"/>
                <w:szCs w:val="16"/>
              </w:rPr>
              <w:instrText xml:space="preserve"> REF _Ref367311317 \h  \* MERGEFORMAT </w:instrText>
            </w:r>
            <w:r w:rsidRPr="000F1C72">
              <w:rPr>
                <w:sz w:val="16"/>
                <w:szCs w:val="16"/>
              </w:rPr>
            </w:r>
            <w:r w:rsidRPr="000F1C72">
              <w:rPr>
                <w:sz w:val="16"/>
                <w:szCs w:val="16"/>
              </w:rPr>
              <w:fldChar w:fldCharType="separate"/>
            </w:r>
            <w:r w:rsidR="00363A39" w:rsidRPr="00363A39">
              <w:rPr>
                <w:rFonts w:cs="Calibri"/>
                <w:sz w:val="16"/>
                <w:szCs w:val="16"/>
                <w:lang w:val="en-US"/>
              </w:rPr>
              <w:t>Table 39</w:t>
            </w:r>
            <w:r w:rsidRPr="000F1C72">
              <w:rPr>
                <w:sz w:val="16"/>
                <w:szCs w:val="16"/>
              </w:rPr>
              <w:fldChar w:fldCharType="end"/>
            </w:r>
            <w:r w:rsidR="007718C7" w:rsidRPr="000F1C72">
              <w:rPr>
                <w:rFonts w:cs="Calibri"/>
                <w:sz w:val="16"/>
                <w:szCs w:val="16"/>
                <w:lang w:val="en-US"/>
              </w:rPr>
              <w:t xml:space="preserve">, </w:t>
            </w:r>
            <w:r w:rsidR="007718C7" w:rsidRPr="000F1C72">
              <w:rPr>
                <w:rFonts w:cs="Calibri"/>
                <w:sz w:val="16"/>
                <w:szCs w:val="16"/>
              </w:rPr>
              <w:t xml:space="preserve">page </w:t>
            </w:r>
            <w:r w:rsidR="007718C7" w:rsidRPr="000F1C72">
              <w:rPr>
                <w:rFonts w:cs="Calibri"/>
                <w:sz w:val="16"/>
                <w:szCs w:val="16"/>
              </w:rPr>
              <w:fldChar w:fldCharType="begin"/>
            </w:r>
            <w:r w:rsidR="007718C7" w:rsidRPr="000F1C72">
              <w:rPr>
                <w:rFonts w:cs="Calibri"/>
                <w:sz w:val="16"/>
                <w:szCs w:val="16"/>
              </w:rPr>
              <w:instrText xml:space="preserve"> PAGEREF _Ref367314378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70</w:t>
            </w:r>
            <w:r w:rsidR="007718C7" w:rsidRPr="000F1C72">
              <w:rPr>
                <w:rFonts w:cs="Calibri"/>
                <w:sz w:val="16"/>
                <w:szCs w:val="16"/>
              </w:rPr>
              <w:fldChar w:fldCharType="end"/>
            </w:r>
          </w:p>
        </w:tc>
        <w:tc>
          <w:tcPr>
            <w:tcW w:w="1851"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_Ref368755695 \h  \* MERGEFORMAT </w:instrText>
            </w:r>
            <w:r w:rsidRPr="000F1C72">
              <w:rPr>
                <w:sz w:val="16"/>
                <w:szCs w:val="16"/>
              </w:rPr>
            </w:r>
            <w:r w:rsidRPr="000F1C72">
              <w:rPr>
                <w:sz w:val="16"/>
                <w:szCs w:val="16"/>
              </w:rPr>
              <w:fldChar w:fldCharType="separate"/>
            </w:r>
            <w:r w:rsidR="00363A39" w:rsidRPr="00363A39">
              <w:rPr>
                <w:rFonts w:cs="Calibri"/>
                <w:sz w:val="16"/>
                <w:szCs w:val="16"/>
                <w:lang w:val="en-US"/>
              </w:rPr>
              <w:t xml:space="preserve">Table </w:t>
            </w:r>
            <w:r w:rsidR="00363A39" w:rsidRPr="00363A39">
              <w:rPr>
                <w:rFonts w:cs="Calibri"/>
                <w:noProof/>
                <w:sz w:val="16"/>
                <w:szCs w:val="16"/>
                <w:lang w:val="en-US"/>
              </w:rPr>
              <w:t>42</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_Ref369105526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77</w:t>
            </w:r>
            <w:r w:rsidR="007718C7" w:rsidRPr="000F1C72">
              <w:rPr>
                <w:rFonts w:cs="Calibri"/>
                <w:sz w:val="16"/>
                <w:szCs w:val="16"/>
              </w:rPr>
              <w:fldChar w:fldCharType="end"/>
            </w:r>
          </w:p>
        </w:tc>
      </w:tr>
      <w:tr w:rsidR="007718C7" w:rsidTr="00F220A3">
        <w:trPr>
          <w:trHeight w:val="187"/>
          <w:jc w:val="center"/>
        </w:trPr>
        <w:tc>
          <w:tcPr>
            <w:tcW w:w="1036" w:type="dxa"/>
          </w:tcPr>
          <w:p w:rsidR="007718C7" w:rsidRPr="000F1C72" w:rsidRDefault="007718C7" w:rsidP="00F220A3">
            <w:pPr>
              <w:spacing w:after="0"/>
              <w:jc w:val="center"/>
              <w:rPr>
                <w:rFonts w:cs="Calibri"/>
                <w:sz w:val="16"/>
                <w:szCs w:val="16"/>
              </w:rPr>
            </w:pPr>
            <w:r w:rsidRPr="000F1C72">
              <w:rPr>
                <w:rFonts w:cs="Calibri"/>
                <w:sz w:val="16"/>
                <w:szCs w:val="16"/>
              </w:rPr>
              <w:t>Model A4</w:t>
            </w:r>
          </w:p>
        </w:tc>
        <w:tc>
          <w:tcPr>
            <w:tcW w:w="3260" w:type="dxa"/>
          </w:tcPr>
          <w:p w:rsidR="007718C7" w:rsidRPr="000F1C72" w:rsidRDefault="007718C7" w:rsidP="00F220A3">
            <w:pPr>
              <w:spacing w:after="0"/>
              <w:rPr>
                <w:rFonts w:cs="Calibri"/>
                <w:sz w:val="16"/>
                <w:szCs w:val="16"/>
              </w:rPr>
            </w:pPr>
            <w:r w:rsidRPr="000F1C72">
              <w:rPr>
                <w:rFonts w:cs="Calibri"/>
                <w:sz w:val="16"/>
                <w:szCs w:val="16"/>
              </w:rPr>
              <w:t>All CHADx classes</w:t>
            </w:r>
          </w:p>
        </w:tc>
        <w:tc>
          <w:tcPr>
            <w:tcW w:w="1404" w:type="dxa"/>
          </w:tcPr>
          <w:p w:rsidR="007718C7" w:rsidRPr="000F1C72" w:rsidRDefault="007718C7" w:rsidP="00F220A3">
            <w:pPr>
              <w:spacing w:after="0"/>
              <w:rPr>
                <w:rFonts w:cs="Calibri"/>
                <w:sz w:val="16"/>
                <w:szCs w:val="16"/>
              </w:rPr>
            </w:pPr>
            <w:r w:rsidRPr="000F1C72">
              <w:rPr>
                <w:rFonts w:cs="Calibri"/>
                <w:sz w:val="16"/>
                <w:szCs w:val="16"/>
              </w:rPr>
              <w:t>Cost</w:t>
            </w:r>
          </w:p>
        </w:tc>
        <w:tc>
          <w:tcPr>
            <w:tcW w:w="1706"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_Ref368755108 \h  \* MERGEFORMAT </w:instrText>
            </w:r>
            <w:r w:rsidRPr="000F1C72">
              <w:rPr>
                <w:sz w:val="16"/>
                <w:szCs w:val="16"/>
              </w:rPr>
            </w:r>
            <w:r w:rsidRPr="000F1C72">
              <w:rPr>
                <w:sz w:val="16"/>
                <w:szCs w:val="16"/>
              </w:rPr>
              <w:fldChar w:fldCharType="separate"/>
            </w:r>
            <w:r w:rsidR="00363A39" w:rsidRPr="00363A39">
              <w:rPr>
                <w:rFonts w:cs="Calibri"/>
                <w:sz w:val="16"/>
                <w:szCs w:val="16"/>
                <w:lang w:val="en-US"/>
              </w:rPr>
              <w:t xml:space="preserve">Table </w:t>
            </w:r>
            <w:r w:rsidR="00363A39" w:rsidRPr="00363A39">
              <w:rPr>
                <w:rFonts w:cs="Calibri"/>
                <w:noProof/>
                <w:sz w:val="16"/>
                <w:szCs w:val="16"/>
                <w:lang w:val="en-US"/>
              </w:rPr>
              <w:t>40</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_Ref369105450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72</w:t>
            </w:r>
            <w:r w:rsidR="007718C7" w:rsidRPr="000F1C72">
              <w:rPr>
                <w:rFonts w:cs="Calibri"/>
                <w:sz w:val="16"/>
                <w:szCs w:val="16"/>
              </w:rPr>
              <w:fldChar w:fldCharType="end"/>
            </w:r>
          </w:p>
        </w:tc>
        <w:tc>
          <w:tcPr>
            <w:tcW w:w="1851" w:type="dxa"/>
          </w:tcPr>
          <w:p w:rsidR="007718C7" w:rsidRPr="000F1C72" w:rsidRDefault="007718C7" w:rsidP="00F220A3">
            <w:pPr>
              <w:spacing w:after="0"/>
              <w:rPr>
                <w:rFonts w:cs="Calibri"/>
                <w:sz w:val="16"/>
                <w:szCs w:val="16"/>
              </w:rPr>
            </w:pPr>
            <w:r w:rsidRPr="000F1C72">
              <w:rPr>
                <w:rFonts w:cs="Calibri"/>
                <w:sz w:val="16"/>
                <w:szCs w:val="16"/>
              </w:rPr>
              <w:t>Not presented</w:t>
            </w:r>
          </w:p>
        </w:tc>
      </w:tr>
      <w:tr w:rsidR="007718C7" w:rsidTr="00F220A3">
        <w:trPr>
          <w:jc w:val="center"/>
        </w:trPr>
        <w:tc>
          <w:tcPr>
            <w:tcW w:w="1036" w:type="dxa"/>
          </w:tcPr>
          <w:p w:rsidR="007718C7" w:rsidRPr="000F1C72" w:rsidRDefault="007718C7" w:rsidP="00F220A3">
            <w:pPr>
              <w:spacing w:after="0"/>
              <w:jc w:val="center"/>
              <w:rPr>
                <w:rFonts w:cs="Calibri"/>
                <w:sz w:val="16"/>
                <w:szCs w:val="16"/>
              </w:rPr>
            </w:pPr>
            <w:r w:rsidRPr="000F1C72">
              <w:rPr>
                <w:rFonts w:cs="Calibri"/>
                <w:sz w:val="16"/>
                <w:szCs w:val="16"/>
              </w:rPr>
              <w:t>Model B1</w:t>
            </w:r>
          </w:p>
        </w:tc>
        <w:tc>
          <w:tcPr>
            <w:tcW w:w="3260" w:type="dxa"/>
          </w:tcPr>
          <w:p w:rsidR="007718C7" w:rsidRPr="000F1C72" w:rsidRDefault="007718C7" w:rsidP="00F220A3">
            <w:pPr>
              <w:spacing w:after="0"/>
              <w:rPr>
                <w:rFonts w:cs="Calibri"/>
                <w:sz w:val="16"/>
                <w:szCs w:val="16"/>
              </w:rPr>
            </w:pPr>
            <w:r w:rsidRPr="000F1C72">
              <w:rPr>
                <w:rFonts w:cs="Calibri"/>
                <w:sz w:val="16"/>
                <w:szCs w:val="16"/>
              </w:rPr>
              <w:t>Presence of any COF diagnosis</w:t>
            </w:r>
          </w:p>
        </w:tc>
        <w:tc>
          <w:tcPr>
            <w:tcW w:w="1404" w:type="dxa"/>
          </w:tcPr>
          <w:p w:rsidR="007718C7" w:rsidRPr="000F1C72" w:rsidRDefault="007718C7" w:rsidP="00F220A3">
            <w:pPr>
              <w:spacing w:after="0"/>
              <w:rPr>
                <w:rFonts w:cs="Calibri"/>
                <w:sz w:val="16"/>
                <w:szCs w:val="16"/>
              </w:rPr>
            </w:pPr>
            <w:r w:rsidRPr="000F1C72">
              <w:rPr>
                <w:rFonts w:cs="Calibri"/>
                <w:sz w:val="16"/>
                <w:szCs w:val="16"/>
              </w:rPr>
              <w:t>Length of stay</w:t>
            </w:r>
          </w:p>
        </w:tc>
        <w:tc>
          <w:tcPr>
            <w:tcW w:w="1706"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_Ref367311461 \h  \* MERGEFORMAT </w:instrText>
            </w:r>
            <w:r w:rsidRPr="000F1C72">
              <w:rPr>
                <w:sz w:val="16"/>
                <w:szCs w:val="16"/>
              </w:rPr>
            </w:r>
            <w:r w:rsidRPr="000F1C72">
              <w:rPr>
                <w:sz w:val="16"/>
                <w:szCs w:val="16"/>
              </w:rPr>
              <w:fldChar w:fldCharType="separate"/>
            </w:r>
            <w:r w:rsidR="00363A39" w:rsidRPr="00363A39">
              <w:rPr>
                <w:rFonts w:cs="Calibri"/>
                <w:sz w:val="16"/>
                <w:szCs w:val="16"/>
                <w:lang w:val="en-US"/>
              </w:rPr>
              <w:t xml:space="preserve">Table </w:t>
            </w:r>
            <w:r w:rsidR="00363A39" w:rsidRPr="00363A39">
              <w:rPr>
                <w:rFonts w:cs="Calibri"/>
                <w:noProof/>
                <w:sz w:val="16"/>
                <w:szCs w:val="16"/>
                <w:lang w:val="en-US"/>
              </w:rPr>
              <w:t>43</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_Ref369105469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79</w:t>
            </w:r>
            <w:r w:rsidR="007718C7" w:rsidRPr="000F1C72">
              <w:rPr>
                <w:rFonts w:cs="Calibri"/>
                <w:sz w:val="16"/>
                <w:szCs w:val="16"/>
              </w:rPr>
              <w:fldChar w:fldCharType="end"/>
            </w:r>
          </w:p>
        </w:tc>
        <w:tc>
          <w:tcPr>
            <w:tcW w:w="1851"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_Ref369100373 \h  \* MERGEFORMAT </w:instrText>
            </w:r>
            <w:r w:rsidRPr="000F1C72">
              <w:rPr>
                <w:sz w:val="16"/>
                <w:szCs w:val="16"/>
              </w:rPr>
            </w:r>
            <w:r w:rsidRPr="000F1C72">
              <w:rPr>
                <w:sz w:val="16"/>
                <w:szCs w:val="16"/>
              </w:rPr>
              <w:fldChar w:fldCharType="separate"/>
            </w:r>
            <w:r w:rsidR="00363A39" w:rsidRPr="00363A39">
              <w:rPr>
                <w:rFonts w:cs="Calibri"/>
                <w:sz w:val="16"/>
                <w:szCs w:val="16"/>
                <w:lang w:val="en-US"/>
              </w:rPr>
              <w:t xml:space="preserve">Table </w:t>
            </w:r>
            <w:r w:rsidR="00363A39" w:rsidRPr="00363A39">
              <w:rPr>
                <w:rFonts w:cs="Calibri"/>
                <w:noProof/>
                <w:sz w:val="16"/>
                <w:szCs w:val="16"/>
                <w:lang w:val="en-US"/>
              </w:rPr>
              <w:t>44</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_Ref369105503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81</w:t>
            </w:r>
            <w:r w:rsidR="007718C7" w:rsidRPr="000F1C72">
              <w:rPr>
                <w:rFonts w:cs="Calibri"/>
                <w:sz w:val="16"/>
                <w:szCs w:val="16"/>
              </w:rPr>
              <w:fldChar w:fldCharType="end"/>
            </w:r>
          </w:p>
        </w:tc>
      </w:tr>
      <w:tr w:rsidR="007718C7" w:rsidTr="00F220A3">
        <w:trPr>
          <w:jc w:val="center"/>
        </w:trPr>
        <w:tc>
          <w:tcPr>
            <w:tcW w:w="1036" w:type="dxa"/>
          </w:tcPr>
          <w:p w:rsidR="007718C7" w:rsidRPr="000F1C72" w:rsidRDefault="007718C7" w:rsidP="00F220A3">
            <w:pPr>
              <w:spacing w:after="0"/>
              <w:jc w:val="center"/>
              <w:rPr>
                <w:rFonts w:cs="Calibri"/>
                <w:sz w:val="16"/>
                <w:szCs w:val="16"/>
              </w:rPr>
            </w:pPr>
            <w:r w:rsidRPr="000F1C72">
              <w:rPr>
                <w:rFonts w:cs="Calibri"/>
                <w:sz w:val="16"/>
                <w:szCs w:val="16"/>
              </w:rPr>
              <w:t>Model B2</w:t>
            </w:r>
          </w:p>
        </w:tc>
        <w:tc>
          <w:tcPr>
            <w:tcW w:w="3260" w:type="dxa"/>
          </w:tcPr>
          <w:p w:rsidR="007718C7" w:rsidRPr="000F1C72" w:rsidRDefault="007718C7" w:rsidP="00F220A3">
            <w:pPr>
              <w:spacing w:after="0"/>
              <w:rPr>
                <w:rFonts w:cs="Calibri"/>
                <w:sz w:val="16"/>
                <w:szCs w:val="16"/>
              </w:rPr>
            </w:pPr>
            <w:r w:rsidRPr="000F1C72">
              <w:rPr>
                <w:rFonts w:cs="Calibri"/>
                <w:sz w:val="16"/>
                <w:szCs w:val="16"/>
              </w:rPr>
              <w:t>Major CHADx groups</w:t>
            </w:r>
          </w:p>
        </w:tc>
        <w:tc>
          <w:tcPr>
            <w:tcW w:w="1404" w:type="dxa"/>
          </w:tcPr>
          <w:p w:rsidR="007718C7" w:rsidRPr="000F1C72" w:rsidRDefault="007718C7" w:rsidP="00F220A3">
            <w:pPr>
              <w:spacing w:after="0"/>
              <w:rPr>
                <w:rFonts w:cs="Calibri"/>
                <w:sz w:val="16"/>
                <w:szCs w:val="16"/>
              </w:rPr>
            </w:pPr>
            <w:r w:rsidRPr="000F1C72">
              <w:rPr>
                <w:rFonts w:cs="Calibri"/>
                <w:sz w:val="16"/>
                <w:szCs w:val="16"/>
              </w:rPr>
              <w:t>Length of stay</w:t>
            </w:r>
          </w:p>
        </w:tc>
        <w:tc>
          <w:tcPr>
            <w:tcW w:w="1706"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_Ref367311461 \h  \* MERGEFORMAT </w:instrText>
            </w:r>
            <w:r w:rsidRPr="000F1C72">
              <w:rPr>
                <w:sz w:val="16"/>
                <w:szCs w:val="16"/>
              </w:rPr>
            </w:r>
            <w:r w:rsidRPr="000F1C72">
              <w:rPr>
                <w:sz w:val="16"/>
                <w:szCs w:val="16"/>
              </w:rPr>
              <w:fldChar w:fldCharType="separate"/>
            </w:r>
            <w:r w:rsidR="00363A39" w:rsidRPr="00363A39">
              <w:rPr>
                <w:rFonts w:cs="Calibri"/>
                <w:sz w:val="16"/>
                <w:szCs w:val="16"/>
                <w:lang w:val="en-US"/>
              </w:rPr>
              <w:t xml:space="preserve">Table </w:t>
            </w:r>
            <w:r w:rsidR="00363A39" w:rsidRPr="00363A39">
              <w:rPr>
                <w:rFonts w:cs="Calibri"/>
                <w:noProof/>
                <w:sz w:val="16"/>
                <w:szCs w:val="16"/>
                <w:lang w:val="en-US"/>
              </w:rPr>
              <w:t>43</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_Ref369105469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79</w:t>
            </w:r>
            <w:r w:rsidR="007718C7" w:rsidRPr="000F1C72">
              <w:rPr>
                <w:rFonts w:cs="Calibri"/>
                <w:sz w:val="16"/>
                <w:szCs w:val="16"/>
              </w:rPr>
              <w:fldChar w:fldCharType="end"/>
            </w:r>
          </w:p>
        </w:tc>
        <w:tc>
          <w:tcPr>
            <w:tcW w:w="1851"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_Ref369100373 \h  \* MERGEFORMAT </w:instrText>
            </w:r>
            <w:r w:rsidRPr="000F1C72">
              <w:rPr>
                <w:sz w:val="16"/>
                <w:szCs w:val="16"/>
              </w:rPr>
            </w:r>
            <w:r w:rsidRPr="000F1C72">
              <w:rPr>
                <w:sz w:val="16"/>
                <w:szCs w:val="16"/>
              </w:rPr>
              <w:fldChar w:fldCharType="separate"/>
            </w:r>
            <w:r w:rsidR="00363A39" w:rsidRPr="00363A39">
              <w:rPr>
                <w:rFonts w:cs="Calibri"/>
                <w:sz w:val="16"/>
                <w:szCs w:val="16"/>
                <w:lang w:val="en-US"/>
              </w:rPr>
              <w:t xml:space="preserve">Table </w:t>
            </w:r>
            <w:r w:rsidR="00363A39" w:rsidRPr="00363A39">
              <w:rPr>
                <w:rFonts w:cs="Calibri"/>
                <w:noProof/>
                <w:sz w:val="16"/>
                <w:szCs w:val="16"/>
                <w:lang w:val="en-US"/>
              </w:rPr>
              <w:t>44</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_Ref369105503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81</w:t>
            </w:r>
            <w:r w:rsidR="007718C7" w:rsidRPr="000F1C72">
              <w:rPr>
                <w:rFonts w:cs="Calibri"/>
                <w:sz w:val="16"/>
                <w:szCs w:val="16"/>
              </w:rPr>
              <w:fldChar w:fldCharType="end"/>
            </w:r>
          </w:p>
        </w:tc>
      </w:tr>
      <w:tr w:rsidR="007718C7" w:rsidTr="00F220A3">
        <w:trPr>
          <w:jc w:val="center"/>
        </w:trPr>
        <w:tc>
          <w:tcPr>
            <w:tcW w:w="1036" w:type="dxa"/>
          </w:tcPr>
          <w:p w:rsidR="007718C7" w:rsidRPr="000F1C72" w:rsidRDefault="007718C7" w:rsidP="00F220A3">
            <w:pPr>
              <w:spacing w:after="0"/>
              <w:jc w:val="center"/>
              <w:rPr>
                <w:rFonts w:cs="Calibri"/>
                <w:sz w:val="16"/>
                <w:szCs w:val="16"/>
              </w:rPr>
            </w:pPr>
            <w:r w:rsidRPr="000F1C72">
              <w:rPr>
                <w:rFonts w:cs="Calibri"/>
                <w:sz w:val="16"/>
                <w:szCs w:val="16"/>
              </w:rPr>
              <w:t>Model B3</w:t>
            </w:r>
          </w:p>
        </w:tc>
        <w:tc>
          <w:tcPr>
            <w:tcW w:w="3260" w:type="dxa"/>
          </w:tcPr>
          <w:p w:rsidR="007718C7" w:rsidRPr="000F1C72" w:rsidRDefault="007718C7" w:rsidP="00F220A3">
            <w:pPr>
              <w:spacing w:after="0"/>
              <w:rPr>
                <w:rFonts w:cs="Calibri"/>
                <w:sz w:val="16"/>
                <w:szCs w:val="16"/>
              </w:rPr>
            </w:pPr>
            <w:r w:rsidRPr="000F1C72">
              <w:rPr>
                <w:rFonts w:cs="Calibri"/>
                <w:sz w:val="16"/>
                <w:szCs w:val="16"/>
              </w:rPr>
              <w:t>Selected hospital acquired conditions</w:t>
            </w:r>
          </w:p>
        </w:tc>
        <w:tc>
          <w:tcPr>
            <w:tcW w:w="1404" w:type="dxa"/>
          </w:tcPr>
          <w:p w:rsidR="007718C7" w:rsidRPr="000F1C72" w:rsidRDefault="007718C7" w:rsidP="00F220A3">
            <w:pPr>
              <w:spacing w:after="0"/>
              <w:rPr>
                <w:rFonts w:cs="Calibri"/>
                <w:sz w:val="16"/>
                <w:szCs w:val="16"/>
              </w:rPr>
            </w:pPr>
            <w:r w:rsidRPr="000F1C72">
              <w:rPr>
                <w:rFonts w:cs="Calibri"/>
                <w:sz w:val="16"/>
                <w:szCs w:val="16"/>
              </w:rPr>
              <w:t>Length of stay</w:t>
            </w:r>
          </w:p>
        </w:tc>
        <w:tc>
          <w:tcPr>
            <w:tcW w:w="1706" w:type="dxa"/>
          </w:tcPr>
          <w:p w:rsidR="007718C7" w:rsidRPr="000F1C72" w:rsidRDefault="007718C7" w:rsidP="00F220A3">
            <w:pPr>
              <w:spacing w:after="0"/>
              <w:rPr>
                <w:rFonts w:cs="Calibri"/>
                <w:sz w:val="16"/>
                <w:szCs w:val="16"/>
              </w:rPr>
            </w:pPr>
            <w:r w:rsidRPr="000F1C72">
              <w:rPr>
                <w:rFonts w:cs="Calibri"/>
                <w:sz w:val="16"/>
                <w:szCs w:val="16"/>
              </w:rPr>
              <w:t>Not presented</w:t>
            </w:r>
          </w:p>
        </w:tc>
        <w:tc>
          <w:tcPr>
            <w:tcW w:w="1851" w:type="dxa"/>
          </w:tcPr>
          <w:p w:rsidR="007718C7" w:rsidRPr="000F1C72" w:rsidRDefault="007718C7" w:rsidP="00F220A3">
            <w:pPr>
              <w:spacing w:after="0"/>
              <w:rPr>
                <w:rFonts w:cs="Calibri"/>
                <w:sz w:val="16"/>
                <w:szCs w:val="16"/>
              </w:rPr>
            </w:pPr>
            <w:r w:rsidRPr="000F1C72">
              <w:rPr>
                <w:rFonts w:cs="Calibri"/>
                <w:sz w:val="16"/>
                <w:szCs w:val="16"/>
              </w:rPr>
              <w:t>Not presented</w:t>
            </w:r>
          </w:p>
        </w:tc>
      </w:tr>
      <w:tr w:rsidR="007718C7" w:rsidTr="00F220A3">
        <w:trPr>
          <w:jc w:val="center"/>
        </w:trPr>
        <w:tc>
          <w:tcPr>
            <w:tcW w:w="1036" w:type="dxa"/>
          </w:tcPr>
          <w:p w:rsidR="007718C7" w:rsidRPr="000F1C72" w:rsidRDefault="007718C7" w:rsidP="00F220A3">
            <w:pPr>
              <w:spacing w:after="0"/>
              <w:jc w:val="center"/>
              <w:rPr>
                <w:rFonts w:cs="Calibri"/>
                <w:sz w:val="16"/>
                <w:szCs w:val="16"/>
              </w:rPr>
            </w:pPr>
            <w:r w:rsidRPr="000F1C72">
              <w:rPr>
                <w:rFonts w:cs="Calibri"/>
                <w:sz w:val="16"/>
                <w:szCs w:val="16"/>
              </w:rPr>
              <w:t>Model B4</w:t>
            </w:r>
          </w:p>
        </w:tc>
        <w:tc>
          <w:tcPr>
            <w:tcW w:w="3260" w:type="dxa"/>
          </w:tcPr>
          <w:p w:rsidR="007718C7" w:rsidRPr="000F1C72" w:rsidRDefault="007718C7" w:rsidP="00F220A3">
            <w:pPr>
              <w:spacing w:after="0"/>
              <w:rPr>
                <w:rFonts w:cs="Calibri"/>
                <w:sz w:val="16"/>
                <w:szCs w:val="16"/>
              </w:rPr>
            </w:pPr>
            <w:r w:rsidRPr="000F1C72">
              <w:rPr>
                <w:rFonts w:cs="Calibri"/>
                <w:sz w:val="16"/>
                <w:szCs w:val="16"/>
              </w:rPr>
              <w:t>All CHADx classes</w:t>
            </w:r>
          </w:p>
        </w:tc>
        <w:tc>
          <w:tcPr>
            <w:tcW w:w="1404" w:type="dxa"/>
          </w:tcPr>
          <w:p w:rsidR="007718C7" w:rsidRPr="000F1C72" w:rsidRDefault="007718C7" w:rsidP="00F220A3">
            <w:pPr>
              <w:spacing w:after="0"/>
              <w:rPr>
                <w:rFonts w:cs="Calibri"/>
                <w:sz w:val="16"/>
                <w:szCs w:val="16"/>
              </w:rPr>
            </w:pPr>
            <w:r w:rsidRPr="000F1C72">
              <w:rPr>
                <w:rFonts w:cs="Calibri"/>
                <w:sz w:val="16"/>
                <w:szCs w:val="16"/>
              </w:rPr>
              <w:t>Length of stay</w:t>
            </w:r>
          </w:p>
        </w:tc>
        <w:tc>
          <w:tcPr>
            <w:tcW w:w="1706" w:type="dxa"/>
          </w:tcPr>
          <w:p w:rsidR="007718C7" w:rsidRPr="000F1C72" w:rsidRDefault="00F50FB9" w:rsidP="00F220A3">
            <w:pPr>
              <w:spacing w:after="0"/>
              <w:rPr>
                <w:rFonts w:cs="Calibri"/>
                <w:sz w:val="16"/>
                <w:szCs w:val="16"/>
              </w:rPr>
            </w:pPr>
            <w:r w:rsidRPr="000F1C72">
              <w:rPr>
                <w:sz w:val="16"/>
                <w:szCs w:val="16"/>
              </w:rPr>
              <w:fldChar w:fldCharType="begin"/>
            </w:r>
            <w:r w:rsidRPr="000F1C72">
              <w:rPr>
                <w:sz w:val="16"/>
                <w:szCs w:val="16"/>
              </w:rPr>
              <w:instrText xml:space="preserve"> REF _Ref368755108 \h  \* MERGEFORMAT </w:instrText>
            </w:r>
            <w:r w:rsidRPr="000F1C72">
              <w:rPr>
                <w:sz w:val="16"/>
                <w:szCs w:val="16"/>
              </w:rPr>
            </w:r>
            <w:r w:rsidRPr="000F1C72">
              <w:rPr>
                <w:sz w:val="16"/>
                <w:szCs w:val="16"/>
              </w:rPr>
              <w:fldChar w:fldCharType="separate"/>
            </w:r>
            <w:r w:rsidR="00363A39" w:rsidRPr="00363A39">
              <w:rPr>
                <w:rFonts w:cs="Calibri"/>
                <w:sz w:val="16"/>
                <w:szCs w:val="16"/>
                <w:lang w:val="en-US"/>
              </w:rPr>
              <w:t xml:space="preserve">Table </w:t>
            </w:r>
            <w:r w:rsidR="00363A39" w:rsidRPr="00363A39">
              <w:rPr>
                <w:rFonts w:cs="Calibri"/>
                <w:noProof/>
                <w:sz w:val="16"/>
                <w:szCs w:val="16"/>
                <w:lang w:val="en-US"/>
              </w:rPr>
              <w:t>40</w:t>
            </w:r>
            <w:r w:rsidRPr="000F1C72">
              <w:rPr>
                <w:sz w:val="16"/>
                <w:szCs w:val="16"/>
              </w:rPr>
              <w:fldChar w:fldCharType="end"/>
            </w:r>
            <w:r w:rsidR="007718C7" w:rsidRPr="000F1C72">
              <w:rPr>
                <w:rFonts w:cs="Calibri"/>
                <w:sz w:val="16"/>
                <w:szCs w:val="16"/>
              </w:rPr>
              <w:t xml:space="preserve">, page </w:t>
            </w:r>
            <w:r w:rsidR="007718C7" w:rsidRPr="000F1C72">
              <w:rPr>
                <w:rFonts w:cs="Calibri"/>
                <w:sz w:val="16"/>
                <w:szCs w:val="16"/>
              </w:rPr>
              <w:fldChar w:fldCharType="begin"/>
            </w:r>
            <w:r w:rsidR="007718C7" w:rsidRPr="000F1C72">
              <w:rPr>
                <w:rFonts w:cs="Calibri"/>
                <w:sz w:val="16"/>
                <w:szCs w:val="16"/>
              </w:rPr>
              <w:instrText xml:space="preserve"> PAGEREF _Ref369105450 \h </w:instrText>
            </w:r>
            <w:r w:rsidR="007718C7" w:rsidRPr="000F1C72">
              <w:rPr>
                <w:rFonts w:cs="Calibri"/>
                <w:sz w:val="16"/>
                <w:szCs w:val="16"/>
              </w:rPr>
            </w:r>
            <w:r w:rsidR="007718C7" w:rsidRPr="000F1C72">
              <w:rPr>
                <w:rFonts w:cs="Calibri"/>
                <w:sz w:val="16"/>
                <w:szCs w:val="16"/>
              </w:rPr>
              <w:fldChar w:fldCharType="separate"/>
            </w:r>
            <w:r w:rsidR="00363A39">
              <w:rPr>
                <w:rFonts w:cs="Calibri"/>
                <w:noProof/>
                <w:sz w:val="16"/>
                <w:szCs w:val="16"/>
              </w:rPr>
              <w:t>72</w:t>
            </w:r>
            <w:r w:rsidR="007718C7" w:rsidRPr="000F1C72">
              <w:rPr>
                <w:rFonts w:cs="Calibri"/>
                <w:sz w:val="16"/>
                <w:szCs w:val="16"/>
              </w:rPr>
              <w:fldChar w:fldCharType="end"/>
            </w:r>
          </w:p>
        </w:tc>
        <w:tc>
          <w:tcPr>
            <w:tcW w:w="1851" w:type="dxa"/>
          </w:tcPr>
          <w:p w:rsidR="007718C7" w:rsidRPr="000F1C72" w:rsidRDefault="007718C7" w:rsidP="00F220A3">
            <w:pPr>
              <w:spacing w:after="0"/>
              <w:rPr>
                <w:rFonts w:cs="Calibri"/>
                <w:sz w:val="16"/>
                <w:szCs w:val="16"/>
              </w:rPr>
            </w:pPr>
            <w:r w:rsidRPr="000F1C72">
              <w:rPr>
                <w:rFonts w:cs="Calibri"/>
                <w:sz w:val="16"/>
                <w:szCs w:val="16"/>
              </w:rPr>
              <w:t>Not presented</w:t>
            </w:r>
          </w:p>
        </w:tc>
      </w:tr>
    </w:tbl>
    <w:p w:rsidR="007718C7" w:rsidRDefault="007718C7" w:rsidP="002E221B">
      <w:pPr>
        <w:spacing w:after="0"/>
      </w:pPr>
    </w:p>
    <w:p w:rsidR="007718C7" w:rsidRDefault="007718C7" w:rsidP="00673CEF">
      <w:r>
        <w:t xml:space="preserve">Only the results of models estimated for overnight episodes are shown. Results for models including same day episodes were very similar in most instances.   </w:t>
      </w:r>
    </w:p>
    <w:p w:rsidR="007718C7" w:rsidRDefault="007718C7" w:rsidP="006606EA">
      <w:r>
        <w:t xml:space="preserve">Across the sample, the mean cost for all episodes was $9,513 and the mean cost for overnight episodes was $11,061.  </w:t>
      </w:r>
      <w:r w:rsidR="00F50FB9">
        <w:fldChar w:fldCharType="begin"/>
      </w:r>
      <w:r w:rsidR="00F50FB9">
        <w:instrText xml:space="preserve"> REF _Ref369019208 \h  \* MERGEFORMAT </w:instrText>
      </w:r>
      <w:r w:rsidR="00F50FB9">
        <w:fldChar w:fldCharType="separate"/>
      </w:r>
      <w:r w:rsidR="00363A39" w:rsidRPr="00363A39">
        <w:t>Table 18</w:t>
      </w:r>
      <w:r w:rsidR="00F50FB9">
        <w:fldChar w:fldCharType="end"/>
      </w:r>
      <w:r>
        <w:t xml:space="preserve"> summarises the estimates of the cost of hospital-acquired conditions for Models A1 and A2.  </w:t>
      </w:r>
      <w:r w:rsidR="00331203">
        <w:t xml:space="preserve">The distribution of modelled incremental costs is described in </w:t>
      </w:r>
      <w:r w:rsidR="00331203">
        <w:fldChar w:fldCharType="begin"/>
      </w:r>
      <w:r w:rsidR="00331203">
        <w:instrText xml:space="preserve"> REF _Ref375302601 \h  \* MERGEFORMAT </w:instrText>
      </w:r>
      <w:r w:rsidR="00331203">
        <w:fldChar w:fldCharType="separate"/>
      </w:r>
      <w:r w:rsidR="00363A39" w:rsidRPr="00363A39">
        <w:t>Figure 6</w:t>
      </w:r>
      <w:r w:rsidR="00331203">
        <w:fldChar w:fldCharType="end"/>
      </w:r>
      <w:r w:rsidR="00331203">
        <w:t xml:space="preserve">. </w:t>
      </w:r>
      <w:r>
        <w:t xml:space="preserve">Some more detail on these models is provided in </w:t>
      </w:r>
      <w:r w:rsidR="00F50FB9">
        <w:fldChar w:fldCharType="begin"/>
      </w:r>
      <w:r w:rsidR="00F50FB9">
        <w:instrText xml:space="preserve"> REF _Ref369106278 \h  \* MERGEFORMAT </w:instrText>
      </w:r>
      <w:r w:rsidR="00F50FB9">
        <w:fldChar w:fldCharType="separate"/>
      </w:r>
      <w:r w:rsidR="00363A39" w:rsidRPr="00363A39">
        <w:t>Table 19</w:t>
      </w:r>
      <w:r w:rsidR="00F50FB9">
        <w:fldChar w:fldCharType="end"/>
      </w:r>
      <w:r>
        <w:t>, together with an illustration of the estimated impacts for selected ADRGs.</w:t>
      </w:r>
    </w:p>
    <w:p w:rsidR="007718C7" w:rsidRDefault="007718C7" w:rsidP="006606EA">
      <w:r>
        <w:t>For model A1, the mean estimated cost for the uncomplicated care was $9,268 (</w:t>
      </w:r>
      <w:r w:rsidR="00F50FB9">
        <w:fldChar w:fldCharType="begin"/>
      </w:r>
      <w:r w:rsidR="00F50FB9">
        <w:instrText xml:space="preserve"> REF _Ref369106278 \h  \* MERGEFORMAT </w:instrText>
      </w:r>
      <w:r w:rsidR="00F50FB9">
        <w:fldChar w:fldCharType="separate"/>
      </w:r>
      <w:r w:rsidR="00363A39" w:rsidRPr="00363A39">
        <w:t>Table 19</w:t>
      </w:r>
      <w:r w:rsidR="00F50FB9">
        <w:fldChar w:fldCharType="end"/>
      </w:r>
      <w:r>
        <w:t>). The mean estimated impact of the presence of any COF diagnosis was $9,244 for the GLM model and $8,586 for the OLS model (</w:t>
      </w:r>
      <w:r w:rsidR="00F50FB9">
        <w:fldChar w:fldCharType="begin"/>
      </w:r>
      <w:r w:rsidR="00F50FB9">
        <w:instrText xml:space="preserve"> REF _Ref369019208 \h  \* MERGEFORMAT </w:instrText>
      </w:r>
      <w:r w:rsidR="00F50FB9">
        <w:fldChar w:fldCharType="separate"/>
      </w:r>
      <w:r w:rsidR="00363A39" w:rsidRPr="00363A39">
        <w:t>Table 18</w:t>
      </w:r>
      <w:r w:rsidR="00F50FB9">
        <w:fldChar w:fldCharType="end"/>
      </w:r>
      <w:r>
        <w:t>).  These estimates are relatively similar, but for other models, where a greater degree of specificity in the measurement of COF diagnoses was introduced, the OLS based estimates were typically greater than the GLM results.</w:t>
      </w:r>
    </w:p>
    <w:p w:rsidR="007718C7" w:rsidRDefault="007718C7" w:rsidP="006606EA">
      <w:r>
        <w:t>The median GLM based estimate was $6,710 for each episode with at least one hospital-acquired condition (</w:t>
      </w:r>
      <w:r w:rsidR="00F50FB9">
        <w:fldChar w:fldCharType="begin"/>
      </w:r>
      <w:r w:rsidR="00F50FB9">
        <w:instrText xml:space="preserve"> REF _Ref369019208 \h  \* MERGEFORMAT </w:instrText>
      </w:r>
      <w:r w:rsidR="00F50FB9">
        <w:fldChar w:fldCharType="separate"/>
      </w:r>
      <w:r w:rsidR="00363A39" w:rsidRPr="00363A39">
        <w:t>Table 18</w:t>
      </w:r>
      <w:r w:rsidR="00F50FB9">
        <w:fldChar w:fldCharType="end"/>
      </w:r>
      <w:r>
        <w:t xml:space="preserve">).  The difference between the mean and median emphasises the skewed distribution of the estimates of impact, which was observed for all the models.  This distribution is typically influenced by a relatively smaller number of very high cost cases.  </w:t>
      </w:r>
    </w:p>
    <w:p w:rsidR="007718C7" w:rsidRDefault="007718C7" w:rsidP="006606EA">
      <w:r>
        <w:t xml:space="preserve">Model A2 results include estimates at the major CHADx group level.  Mean GLM estimated costs for these conditions vary from between $2,000 and $3,000 (e.g. </w:t>
      </w:r>
      <w:r w:rsidRPr="00B5378E">
        <w:t>17 Other Complications</w:t>
      </w:r>
      <w:r>
        <w:t xml:space="preserve">, </w:t>
      </w:r>
      <w:r w:rsidRPr="00B5378E">
        <w:t>15 Metabolic Disorders</w:t>
      </w:r>
      <w:r>
        <w:t xml:space="preserve"> and </w:t>
      </w:r>
      <w:r w:rsidRPr="00B5378E">
        <w:t>14 Haematological Disorders</w:t>
      </w:r>
      <w:r>
        <w:t xml:space="preserve">) up to over $6,000 (e.g. </w:t>
      </w:r>
      <w:r w:rsidRPr="00B5378E">
        <w:t>01 Post-procedural complications</w:t>
      </w:r>
      <w:r>
        <w:t xml:space="preserve">, </w:t>
      </w:r>
      <w:r w:rsidRPr="00B5378E">
        <w:t>04 Specific infections</w:t>
      </w:r>
      <w:r>
        <w:t xml:space="preserve">, </w:t>
      </w:r>
      <w:r w:rsidRPr="00B5378E">
        <w:t>16 Nervous System Complications</w:t>
      </w:r>
      <w:r>
        <w:t xml:space="preserve">). The largest incremental costs are estimated for the specific infections which add an estimated $7,615 per episode. </w:t>
      </w:r>
    </w:p>
    <w:p w:rsidR="007718C7" w:rsidRDefault="007718C7" w:rsidP="00673CEF">
      <w:r>
        <w:t xml:space="preserve">  </w:t>
      </w:r>
    </w:p>
    <w:p w:rsidR="007718C7" w:rsidRDefault="007718C7">
      <w:pPr>
        <w:spacing w:after="0" w:line="240" w:lineRule="auto"/>
      </w:pPr>
      <w:r>
        <w:br w:type="page"/>
      </w:r>
    </w:p>
    <w:p w:rsidR="007718C7" w:rsidRPr="00C3118A" w:rsidRDefault="007718C7" w:rsidP="00673CEF">
      <w:pPr>
        <w:contextualSpacing/>
        <w:jc w:val="center"/>
        <w:rPr>
          <w:b/>
          <w:sz w:val="18"/>
          <w:szCs w:val="18"/>
        </w:rPr>
      </w:pPr>
      <w:bookmarkStart w:id="61" w:name="_Ref369019208"/>
      <w:bookmarkStart w:id="62" w:name="_Ref369105765"/>
      <w:r w:rsidRPr="00C3118A">
        <w:rPr>
          <w:b/>
          <w:sz w:val="18"/>
          <w:szCs w:val="18"/>
        </w:rPr>
        <w:lastRenderedPageBreak/>
        <w:t xml:space="preserve">Table </w:t>
      </w:r>
      <w:r w:rsidRPr="00C3118A">
        <w:rPr>
          <w:b/>
          <w:sz w:val="18"/>
          <w:szCs w:val="18"/>
        </w:rPr>
        <w:fldChar w:fldCharType="begin"/>
      </w:r>
      <w:r w:rsidRPr="00C3118A">
        <w:rPr>
          <w:b/>
          <w:sz w:val="18"/>
          <w:szCs w:val="18"/>
        </w:rPr>
        <w:instrText xml:space="preserve"> SEQ Table \* ARABIC </w:instrText>
      </w:r>
      <w:r w:rsidRPr="00C3118A">
        <w:rPr>
          <w:b/>
          <w:sz w:val="18"/>
          <w:szCs w:val="18"/>
        </w:rPr>
        <w:fldChar w:fldCharType="separate"/>
      </w:r>
      <w:r w:rsidR="00363A39">
        <w:rPr>
          <w:b/>
          <w:noProof/>
          <w:sz w:val="18"/>
          <w:szCs w:val="18"/>
        </w:rPr>
        <w:t>18</w:t>
      </w:r>
      <w:r w:rsidRPr="00C3118A">
        <w:rPr>
          <w:b/>
          <w:sz w:val="18"/>
          <w:szCs w:val="18"/>
        </w:rPr>
        <w:fldChar w:fldCharType="end"/>
      </w:r>
      <w:bookmarkEnd w:id="61"/>
      <w:r w:rsidRPr="00C3118A">
        <w:rPr>
          <w:b/>
          <w:sz w:val="18"/>
          <w:szCs w:val="18"/>
        </w:rPr>
        <w:t xml:space="preserve"> – Estimates of the </w:t>
      </w:r>
      <w:r w:rsidR="00261D99">
        <w:rPr>
          <w:b/>
          <w:sz w:val="18"/>
          <w:szCs w:val="18"/>
        </w:rPr>
        <w:t>incremental cost of presence of hospital acquired conditions</w:t>
      </w:r>
      <w:r w:rsidRPr="00C3118A">
        <w:rPr>
          <w:b/>
          <w:sz w:val="18"/>
          <w:szCs w:val="18"/>
        </w:rPr>
        <w:t xml:space="preserve">– Comparison </w:t>
      </w:r>
      <w:r w:rsidR="00261D99">
        <w:rPr>
          <w:b/>
          <w:sz w:val="18"/>
          <w:szCs w:val="18"/>
        </w:rPr>
        <w:t>Ordinary Least Squares and Generalised Linear Model (</w:t>
      </w:r>
      <w:r w:rsidRPr="00C3118A">
        <w:rPr>
          <w:b/>
          <w:sz w:val="18"/>
          <w:szCs w:val="18"/>
        </w:rPr>
        <w:t>mean and median</w:t>
      </w:r>
      <w:r w:rsidR="00261D99">
        <w:rPr>
          <w:b/>
          <w:sz w:val="18"/>
          <w:szCs w:val="18"/>
        </w:rPr>
        <w:t>)</w:t>
      </w:r>
      <w:r w:rsidRPr="00C3118A">
        <w:rPr>
          <w:b/>
          <w:sz w:val="18"/>
          <w:szCs w:val="18"/>
        </w:rPr>
        <w:t xml:space="preserve"> estimates</w:t>
      </w:r>
      <w:bookmarkEnd w:id="62"/>
    </w:p>
    <w:p w:rsidR="007718C7" w:rsidRDefault="007718C7" w:rsidP="00673CEF">
      <w:pPr>
        <w:contextualSpacing/>
        <w:jc w:val="center"/>
        <w:rPr>
          <w:b/>
          <w:sz w:val="18"/>
          <w:szCs w:val="18"/>
        </w:rPr>
      </w:pPr>
      <w:r w:rsidRPr="00C3118A">
        <w:rPr>
          <w:b/>
          <w:sz w:val="18"/>
          <w:szCs w:val="18"/>
        </w:rPr>
        <w:t>Models A1 and A2 - Overnight episodes</w:t>
      </w:r>
    </w:p>
    <w:p w:rsidR="007718C7" w:rsidRDefault="009B164C" w:rsidP="00673CEF">
      <w:pPr>
        <w:jc w:val="center"/>
      </w:pPr>
      <w:r>
        <w:rPr>
          <w:noProof/>
          <w:lang w:eastAsia="en-AU"/>
        </w:rPr>
        <w:drawing>
          <wp:inline distT="0" distB="0" distL="0" distR="0" wp14:anchorId="0054DC2A" wp14:editId="528EE0EB">
            <wp:extent cx="5520690" cy="5029200"/>
            <wp:effectExtent l="0" t="0" r="3810" b="0"/>
            <wp:docPr id="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0690" cy="5029200"/>
                    </a:xfrm>
                    <a:prstGeom prst="rect">
                      <a:avLst/>
                    </a:prstGeom>
                    <a:noFill/>
                    <a:ln>
                      <a:noFill/>
                    </a:ln>
                  </pic:spPr>
                </pic:pic>
              </a:graphicData>
            </a:graphic>
          </wp:inline>
        </w:drawing>
      </w:r>
    </w:p>
    <w:p w:rsidR="00261D99" w:rsidRDefault="00261D99">
      <w:pPr>
        <w:spacing w:after="0" w:line="240" w:lineRule="auto"/>
      </w:pPr>
    </w:p>
    <w:p w:rsidR="00261D99" w:rsidRDefault="00261D99" w:rsidP="00261D99">
      <w:pPr>
        <w:spacing w:after="0" w:line="240" w:lineRule="auto"/>
        <w:jc w:val="center"/>
      </w:pPr>
      <w:r>
        <w:rPr>
          <w:rFonts w:ascii="Arial" w:hAnsi="Arial" w:cs="Arial"/>
          <w:noProof/>
          <w:color w:val="000000"/>
          <w:szCs w:val="20"/>
          <w:lang w:eastAsia="en-AU"/>
        </w:rPr>
        <w:lastRenderedPageBreak/>
        <w:drawing>
          <wp:inline distT="0" distB="0" distL="0" distR="0" wp14:anchorId="4E5770E9" wp14:editId="0B938532">
            <wp:extent cx="5839200" cy="5108400"/>
            <wp:effectExtent l="0" t="0" r="0" b="0"/>
            <wp:docPr id="44" name="Picture 44"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GPlot Proced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9200" cy="5108400"/>
                    </a:xfrm>
                    <a:prstGeom prst="rect">
                      <a:avLst/>
                    </a:prstGeom>
                    <a:noFill/>
                    <a:ln>
                      <a:noFill/>
                    </a:ln>
                  </pic:spPr>
                </pic:pic>
              </a:graphicData>
            </a:graphic>
          </wp:inline>
        </w:drawing>
      </w:r>
    </w:p>
    <w:p w:rsidR="00261D99" w:rsidRDefault="00261D99" w:rsidP="00261D99">
      <w:pPr>
        <w:pStyle w:val="ListParagraph"/>
        <w:jc w:val="center"/>
        <w:rPr>
          <w:b/>
          <w:sz w:val="18"/>
          <w:szCs w:val="18"/>
        </w:rPr>
      </w:pPr>
      <w:bookmarkStart w:id="63" w:name="_Ref375302601"/>
      <w:bookmarkStart w:id="64" w:name="_Ref375302590"/>
      <w:r w:rsidRPr="00A72712">
        <w:rPr>
          <w:b/>
          <w:sz w:val="18"/>
          <w:szCs w:val="18"/>
        </w:rPr>
        <w:t xml:space="preserve">Figure </w:t>
      </w:r>
      <w:r w:rsidRPr="00A72712">
        <w:rPr>
          <w:b/>
          <w:sz w:val="18"/>
          <w:szCs w:val="18"/>
        </w:rPr>
        <w:fldChar w:fldCharType="begin"/>
      </w:r>
      <w:r w:rsidRPr="00A72712">
        <w:rPr>
          <w:b/>
          <w:sz w:val="18"/>
          <w:szCs w:val="18"/>
        </w:rPr>
        <w:instrText xml:space="preserve"> SEQ Figure \* ARABIC </w:instrText>
      </w:r>
      <w:r w:rsidRPr="00A72712">
        <w:rPr>
          <w:b/>
          <w:sz w:val="18"/>
          <w:szCs w:val="18"/>
        </w:rPr>
        <w:fldChar w:fldCharType="separate"/>
      </w:r>
      <w:r w:rsidR="00363A39">
        <w:rPr>
          <w:b/>
          <w:noProof/>
          <w:sz w:val="18"/>
          <w:szCs w:val="18"/>
        </w:rPr>
        <w:t>6</w:t>
      </w:r>
      <w:r w:rsidRPr="00A72712">
        <w:rPr>
          <w:b/>
          <w:sz w:val="18"/>
          <w:szCs w:val="18"/>
        </w:rPr>
        <w:fldChar w:fldCharType="end"/>
      </w:r>
      <w:bookmarkEnd w:id="63"/>
      <w:r w:rsidRPr="00A72712">
        <w:rPr>
          <w:b/>
          <w:sz w:val="18"/>
          <w:szCs w:val="18"/>
        </w:rPr>
        <w:t xml:space="preserve"> – </w:t>
      </w:r>
      <w:r w:rsidRPr="00261D99">
        <w:rPr>
          <w:b/>
          <w:sz w:val="18"/>
          <w:szCs w:val="18"/>
        </w:rPr>
        <w:t>Estimates of the incremental cost of presence of hospital acquired conditions</w:t>
      </w:r>
      <w:r>
        <w:rPr>
          <w:b/>
          <w:sz w:val="18"/>
          <w:szCs w:val="18"/>
        </w:rPr>
        <w:t xml:space="preserve"> </w:t>
      </w:r>
      <w:r w:rsidRPr="00261D99">
        <w:rPr>
          <w:b/>
          <w:sz w:val="18"/>
          <w:szCs w:val="18"/>
        </w:rPr>
        <w:t xml:space="preserve">– </w:t>
      </w:r>
      <w:r>
        <w:rPr>
          <w:b/>
          <w:sz w:val="18"/>
          <w:szCs w:val="18"/>
        </w:rPr>
        <w:t>Distribution of predicted incremental costs derived from the GLM approach</w:t>
      </w:r>
      <w:bookmarkEnd w:id="64"/>
    </w:p>
    <w:p w:rsidR="00261D99" w:rsidRDefault="00261D99" w:rsidP="00261D99">
      <w:pPr>
        <w:pStyle w:val="ListParagraph"/>
        <w:jc w:val="center"/>
        <w:rPr>
          <w:b/>
          <w:sz w:val="18"/>
          <w:szCs w:val="18"/>
        </w:rPr>
      </w:pPr>
      <w:r w:rsidRPr="00261D99">
        <w:rPr>
          <w:b/>
          <w:sz w:val="18"/>
          <w:szCs w:val="18"/>
        </w:rPr>
        <w:t>Models A1 and A2 - Overnight episodes</w:t>
      </w:r>
    </w:p>
    <w:p w:rsidR="00261D99" w:rsidRPr="00261D99" w:rsidRDefault="00261D99" w:rsidP="00261D99">
      <w:pPr>
        <w:pStyle w:val="ListParagraph"/>
        <w:jc w:val="center"/>
        <w:rPr>
          <w:i/>
          <w:sz w:val="18"/>
          <w:szCs w:val="18"/>
        </w:rPr>
      </w:pPr>
      <w:r w:rsidRPr="00261D99">
        <w:rPr>
          <w:i/>
          <w:sz w:val="18"/>
          <w:szCs w:val="18"/>
        </w:rPr>
        <w:t xml:space="preserve">Notes:  </w:t>
      </w:r>
      <w:r w:rsidR="00331203">
        <w:rPr>
          <w:i/>
          <w:sz w:val="18"/>
          <w:szCs w:val="18"/>
        </w:rPr>
        <w:t>In this chart, t</w:t>
      </w:r>
      <w:r w:rsidRPr="00261D99">
        <w:rPr>
          <w:i/>
          <w:sz w:val="18"/>
          <w:szCs w:val="18"/>
        </w:rPr>
        <w:t xml:space="preserve">he </w:t>
      </w:r>
      <w:r w:rsidR="00331203">
        <w:rPr>
          <w:i/>
          <w:sz w:val="18"/>
          <w:szCs w:val="18"/>
        </w:rPr>
        <w:t>b</w:t>
      </w:r>
      <w:r w:rsidRPr="00261D99">
        <w:rPr>
          <w:i/>
          <w:sz w:val="18"/>
          <w:szCs w:val="18"/>
        </w:rPr>
        <w:t xml:space="preserve">ox </w:t>
      </w:r>
      <w:r w:rsidR="00331203">
        <w:rPr>
          <w:i/>
          <w:sz w:val="18"/>
          <w:szCs w:val="18"/>
        </w:rPr>
        <w:t xml:space="preserve">(rectangle) </w:t>
      </w:r>
      <w:r w:rsidRPr="00261D99">
        <w:rPr>
          <w:i/>
          <w:sz w:val="18"/>
          <w:szCs w:val="18"/>
        </w:rPr>
        <w:t xml:space="preserve">represents the interquartile range of predicted costs, with the line through the middle of the box representing the median value.   The diamond shape represents the mean predicted value. </w:t>
      </w:r>
      <w:r>
        <w:rPr>
          <w:i/>
          <w:sz w:val="18"/>
          <w:szCs w:val="18"/>
        </w:rPr>
        <w:t>The ‘leaf’ components represent the values of 1.5 time</w:t>
      </w:r>
      <w:r w:rsidR="00331203">
        <w:rPr>
          <w:i/>
          <w:sz w:val="18"/>
          <w:szCs w:val="18"/>
        </w:rPr>
        <w:t>s</w:t>
      </w:r>
      <w:r>
        <w:rPr>
          <w:i/>
          <w:sz w:val="18"/>
          <w:szCs w:val="18"/>
        </w:rPr>
        <w:t xml:space="preserve"> interquartile range below </w:t>
      </w:r>
      <w:r w:rsidR="00331203">
        <w:rPr>
          <w:i/>
          <w:sz w:val="18"/>
          <w:szCs w:val="18"/>
        </w:rPr>
        <w:t xml:space="preserve">the 1 quartile or </w:t>
      </w:r>
      <w:r>
        <w:rPr>
          <w:i/>
          <w:sz w:val="18"/>
          <w:szCs w:val="18"/>
        </w:rPr>
        <w:t xml:space="preserve">above the </w:t>
      </w:r>
      <w:r w:rsidR="00331203">
        <w:rPr>
          <w:i/>
          <w:sz w:val="18"/>
          <w:szCs w:val="18"/>
        </w:rPr>
        <w:t>3</w:t>
      </w:r>
      <w:r w:rsidR="00331203" w:rsidRPr="00331203">
        <w:rPr>
          <w:i/>
          <w:sz w:val="18"/>
          <w:szCs w:val="18"/>
          <w:vertAlign w:val="superscript"/>
        </w:rPr>
        <w:t>rd</w:t>
      </w:r>
      <w:r w:rsidR="00331203">
        <w:rPr>
          <w:i/>
          <w:sz w:val="18"/>
          <w:szCs w:val="18"/>
        </w:rPr>
        <w:t xml:space="preserve"> quartile</w:t>
      </w:r>
      <w:r>
        <w:rPr>
          <w:i/>
          <w:sz w:val="18"/>
          <w:szCs w:val="18"/>
        </w:rPr>
        <w:t>.  Dot point</w:t>
      </w:r>
      <w:r w:rsidR="00331203">
        <w:rPr>
          <w:i/>
          <w:sz w:val="18"/>
          <w:szCs w:val="18"/>
        </w:rPr>
        <w:t>s</w:t>
      </w:r>
      <w:r>
        <w:rPr>
          <w:i/>
          <w:sz w:val="18"/>
          <w:szCs w:val="18"/>
        </w:rPr>
        <w:t xml:space="preserve"> represent outliers</w:t>
      </w:r>
      <w:r w:rsidR="00331203">
        <w:rPr>
          <w:i/>
          <w:sz w:val="18"/>
          <w:szCs w:val="18"/>
        </w:rPr>
        <w:t xml:space="preserve"> outside these ranges</w:t>
      </w:r>
      <w:r>
        <w:rPr>
          <w:i/>
          <w:sz w:val="18"/>
          <w:szCs w:val="18"/>
        </w:rPr>
        <w:t xml:space="preserve">. </w:t>
      </w:r>
    </w:p>
    <w:p w:rsidR="00322757" w:rsidRDefault="00322757">
      <w:pPr>
        <w:spacing w:after="0" w:line="240" w:lineRule="auto"/>
      </w:pPr>
    </w:p>
    <w:p w:rsidR="007718C7" w:rsidRDefault="007718C7" w:rsidP="00637D48">
      <w:r>
        <w:t>The impact of the presence of hospital-acquired conditions varies across ADRGs (</w:t>
      </w:r>
      <w:r w:rsidR="00F50FB9">
        <w:fldChar w:fldCharType="begin"/>
      </w:r>
      <w:r w:rsidR="00F50FB9">
        <w:instrText xml:space="preserve"> REF _Ref369106278 \h  \* MERGEFORMAT </w:instrText>
      </w:r>
      <w:r w:rsidR="00F50FB9">
        <w:fldChar w:fldCharType="separate"/>
      </w:r>
      <w:r w:rsidR="00363A39" w:rsidRPr="00363A39">
        <w:t>Table 19</w:t>
      </w:r>
      <w:r w:rsidR="00F50FB9">
        <w:fldChar w:fldCharType="end"/>
      </w:r>
      <w:r>
        <w:t xml:space="preserve"> and </w:t>
      </w:r>
      <w:r w:rsidR="00F50FB9">
        <w:fldChar w:fldCharType="begin"/>
      </w:r>
      <w:r w:rsidR="00F50FB9">
        <w:instrText xml:space="preserve"> REF _Ref369109486 \h  \* MERGEFORMAT </w:instrText>
      </w:r>
      <w:r w:rsidR="00F50FB9">
        <w:fldChar w:fldCharType="separate"/>
      </w:r>
      <w:r w:rsidR="00363A39" w:rsidRPr="00363A39">
        <w:t>Table 20</w:t>
      </w:r>
      <w:r w:rsidR="00F50FB9">
        <w:fldChar w:fldCharType="end"/>
      </w:r>
      <w:r>
        <w:t>). For example, the GLM mean incremental cost of the presence of any COF diagnosis for episodes in the l</w:t>
      </w:r>
      <w:r w:rsidRPr="008A4CEF">
        <w:t xml:space="preserve">aparoscopic </w:t>
      </w:r>
      <w:r>
        <w:t>c</w:t>
      </w:r>
      <w:r w:rsidRPr="008A4CEF">
        <w:t>holecystectomy</w:t>
      </w:r>
      <w:r>
        <w:t xml:space="preserve"> ADRG was $3,195, but for the cranial procedures ADRG it was $26,450.</w:t>
      </w:r>
    </w:p>
    <w:p w:rsidR="007718C7" w:rsidRPr="00190002" w:rsidRDefault="007718C7" w:rsidP="002E221B">
      <w:pPr>
        <w:spacing w:after="0" w:line="240" w:lineRule="auto"/>
        <w:jc w:val="center"/>
        <w:rPr>
          <w:b/>
          <w:sz w:val="18"/>
          <w:szCs w:val="18"/>
        </w:rPr>
      </w:pPr>
      <w:r>
        <w:rPr>
          <w:b/>
          <w:sz w:val="18"/>
          <w:szCs w:val="18"/>
        </w:rPr>
        <w:br w:type="page"/>
      </w:r>
      <w:bookmarkStart w:id="65" w:name="_Ref369106278"/>
      <w:r w:rsidRPr="00190002">
        <w:rPr>
          <w:b/>
          <w:sz w:val="18"/>
          <w:szCs w:val="18"/>
        </w:rPr>
        <w:lastRenderedPageBreak/>
        <w:t xml:space="preserve">Table </w:t>
      </w:r>
      <w:r w:rsidRPr="00190002">
        <w:rPr>
          <w:b/>
          <w:sz w:val="18"/>
          <w:szCs w:val="18"/>
        </w:rPr>
        <w:fldChar w:fldCharType="begin"/>
      </w:r>
      <w:r w:rsidRPr="00190002">
        <w:rPr>
          <w:b/>
          <w:sz w:val="18"/>
          <w:szCs w:val="18"/>
        </w:rPr>
        <w:instrText xml:space="preserve"> SEQ Table \* ARABIC </w:instrText>
      </w:r>
      <w:r w:rsidRPr="00190002">
        <w:rPr>
          <w:b/>
          <w:sz w:val="18"/>
          <w:szCs w:val="18"/>
        </w:rPr>
        <w:fldChar w:fldCharType="separate"/>
      </w:r>
      <w:r w:rsidR="00363A39">
        <w:rPr>
          <w:b/>
          <w:noProof/>
          <w:sz w:val="18"/>
          <w:szCs w:val="18"/>
        </w:rPr>
        <w:t>19</w:t>
      </w:r>
      <w:r w:rsidRPr="00190002">
        <w:rPr>
          <w:b/>
          <w:sz w:val="18"/>
          <w:szCs w:val="18"/>
        </w:rPr>
        <w:fldChar w:fldCharType="end"/>
      </w:r>
      <w:bookmarkEnd w:id="65"/>
      <w:r w:rsidRPr="00190002">
        <w:rPr>
          <w:b/>
          <w:sz w:val="18"/>
          <w:szCs w:val="18"/>
        </w:rPr>
        <w:t xml:space="preserve"> – Estimates of the GLM based mean incremental cost</w:t>
      </w:r>
    </w:p>
    <w:p w:rsidR="007718C7" w:rsidRDefault="007718C7" w:rsidP="009B3948">
      <w:pPr>
        <w:contextualSpacing/>
        <w:jc w:val="center"/>
        <w:rPr>
          <w:b/>
          <w:sz w:val="18"/>
          <w:szCs w:val="18"/>
        </w:rPr>
      </w:pPr>
      <w:r w:rsidRPr="00190002">
        <w:rPr>
          <w:b/>
          <w:sz w:val="18"/>
          <w:szCs w:val="18"/>
        </w:rPr>
        <w:t>Models A1 and A2 - selected ADRGs – Overnight episodes</w:t>
      </w:r>
    </w:p>
    <w:p w:rsidR="007718C7" w:rsidRDefault="009B164C" w:rsidP="0003016A">
      <w:pPr>
        <w:contextualSpacing/>
        <w:jc w:val="center"/>
      </w:pPr>
      <w:r>
        <w:rPr>
          <w:noProof/>
          <w:lang w:eastAsia="en-AU"/>
        </w:rPr>
        <w:drawing>
          <wp:inline distT="0" distB="0" distL="0" distR="0" wp14:anchorId="29ABD351" wp14:editId="3FD6A53D">
            <wp:extent cx="5702300" cy="5123815"/>
            <wp:effectExtent l="0" t="0" r="0" b="635"/>
            <wp:docPr id="7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2300" cy="5123815"/>
                    </a:xfrm>
                    <a:prstGeom prst="rect">
                      <a:avLst/>
                    </a:prstGeom>
                    <a:noFill/>
                    <a:ln>
                      <a:noFill/>
                    </a:ln>
                  </pic:spPr>
                </pic:pic>
              </a:graphicData>
            </a:graphic>
          </wp:inline>
        </w:drawing>
      </w:r>
    </w:p>
    <w:p w:rsidR="007718C7" w:rsidRPr="00917904" w:rsidRDefault="007718C7" w:rsidP="00CD6A38">
      <w:pPr>
        <w:jc w:val="center"/>
        <w:rPr>
          <w:i/>
          <w:sz w:val="16"/>
          <w:szCs w:val="16"/>
        </w:rPr>
      </w:pPr>
      <w:r w:rsidRPr="00917904">
        <w:rPr>
          <w:i/>
          <w:sz w:val="16"/>
          <w:szCs w:val="16"/>
        </w:rPr>
        <w:t>Note:  Shaded values represent estimates based on a parameter which was not statistically significant</w:t>
      </w:r>
      <w:r>
        <w:rPr>
          <w:i/>
          <w:sz w:val="16"/>
          <w:szCs w:val="16"/>
        </w:rPr>
        <w:t>.</w:t>
      </w:r>
    </w:p>
    <w:p w:rsidR="007718C7" w:rsidRPr="00190002" w:rsidRDefault="007718C7" w:rsidP="00292BFB">
      <w:pPr>
        <w:spacing w:after="0"/>
        <w:jc w:val="center"/>
        <w:rPr>
          <w:b/>
          <w:sz w:val="18"/>
          <w:szCs w:val="18"/>
          <w:lang w:val="en-US"/>
        </w:rPr>
      </w:pPr>
      <w:r>
        <w:br w:type="page"/>
      </w:r>
      <w:bookmarkStart w:id="66" w:name="_Ref369109486"/>
      <w:r w:rsidRPr="00190002">
        <w:rPr>
          <w:b/>
          <w:sz w:val="18"/>
          <w:szCs w:val="18"/>
          <w:lang w:val="en-US"/>
        </w:rPr>
        <w:lastRenderedPageBreak/>
        <w:t xml:space="preserve">Table </w:t>
      </w:r>
      <w:r w:rsidRPr="00190002">
        <w:rPr>
          <w:b/>
          <w:sz w:val="18"/>
          <w:szCs w:val="18"/>
          <w:lang w:val="en-US"/>
        </w:rPr>
        <w:fldChar w:fldCharType="begin"/>
      </w:r>
      <w:r w:rsidRPr="00190002">
        <w:rPr>
          <w:b/>
          <w:sz w:val="18"/>
          <w:szCs w:val="18"/>
          <w:lang w:val="en-US"/>
        </w:rPr>
        <w:instrText xml:space="preserve"> SEQ Table \* ARABIC </w:instrText>
      </w:r>
      <w:r w:rsidRPr="00190002">
        <w:rPr>
          <w:b/>
          <w:sz w:val="18"/>
          <w:szCs w:val="18"/>
          <w:lang w:val="en-US"/>
        </w:rPr>
        <w:fldChar w:fldCharType="separate"/>
      </w:r>
      <w:r w:rsidR="00363A39">
        <w:rPr>
          <w:b/>
          <w:noProof/>
          <w:sz w:val="18"/>
          <w:szCs w:val="18"/>
          <w:lang w:val="en-US"/>
        </w:rPr>
        <w:t>20</w:t>
      </w:r>
      <w:r w:rsidRPr="00190002">
        <w:rPr>
          <w:b/>
          <w:sz w:val="18"/>
          <w:szCs w:val="18"/>
          <w:lang w:val="en-US"/>
        </w:rPr>
        <w:fldChar w:fldCharType="end"/>
      </w:r>
      <w:bookmarkEnd w:id="66"/>
      <w:r w:rsidRPr="00190002">
        <w:rPr>
          <w:b/>
          <w:sz w:val="18"/>
          <w:szCs w:val="18"/>
          <w:lang w:val="en-US"/>
        </w:rPr>
        <w:t xml:space="preserve"> – Estimates of the GLM based mean incremental cost, length of stay and ADRG</w:t>
      </w:r>
    </w:p>
    <w:p w:rsidR="007718C7" w:rsidRDefault="007718C7" w:rsidP="00292BFB">
      <w:pPr>
        <w:contextualSpacing/>
        <w:jc w:val="center"/>
      </w:pPr>
      <w:r w:rsidRPr="00190002">
        <w:rPr>
          <w:b/>
          <w:sz w:val="18"/>
          <w:szCs w:val="18"/>
          <w:lang w:val="en-US"/>
        </w:rPr>
        <w:t>Model A1 – Overnight episodes</w:t>
      </w:r>
    </w:p>
    <w:p w:rsidR="007718C7" w:rsidRDefault="009B164C" w:rsidP="00673CEF">
      <w:bookmarkStart w:id="67" w:name="_Ref367315118"/>
      <w:r>
        <w:rPr>
          <w:noProof/>
          <w:lang w:eastAsia="en-AU"/>
        </w:rPr>
        <w:drawing>
          <wp:inline distT="0" distB="0" distL="0" distR="0" wp14:anchorId="288DF4B2" wp14:editId="68F11AD7">
            <wp:extent cx="5667375" cy="4287520"/>
            <wp:effectExtent l="0" t="0" r="9525" b="0"/>
            <wp:docPr id="7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4287520"/>
                    </a:xfrm>
                    <a:prstGeom prst="rect">
                      <a:avLst/>
                    </a:prstGeom>
                    <a:noFill/>
                    <a:ln>
                      <a:noFill/>
                    </a:ln>
                  </pic:spPr>
                </pic:pic>
              </a:graphicData>
            </a:graphic>
          </wp:inline>
        </w:drawing>
      </w:r>
    </w:p>
    <w:p w:rsidR="007718C7" w:rsidRDefault="007718C7">
      <w:pPr>
        <w:spacing w:after="0" w:line="240" w:lineRule="auto"/>
      </w:pPr>
      <w:r>
        <w:br w:type="page"/>
      </w:r>
    </w:p>
    <w:p w:rsidR="007718C7" w:rsidRDefault="00F50FB9" w:rsidP="00673CEF">
      <w:r>
        <w:lastRenderedPageBreak/>
        <w:fldChar w:fldCharType="begin"/>
      </w:r>
      <w:r>
        <w:instrText xml:space="preserve"> REF _Ref369162859 \h  \* MERGEFORMAT </w:instrText>
      </w:r>
      <w:r>
        <w:fldChar w:fldCharType="separate"/>
      </w:r>
      <w:r w:rsidR="00363A39" w:rsidRPr="00363A39">
        <w:rPr>
          <w:sz w:val="18"/>
          <w:szCs w:val="18"/>
        </w:rPr>
        <w:t xml:space="preserve">Table </w:t>
      </w:r>
      <w:r w:rsidR="00363A39" w:rsidRPr="00363A39">
        <w:rPr>
          <w:noProof/>
          <w:sz w:val="18"/>
          <w:szCs w:val="18"/>
        </w:rPr>
        <w:t>21</w:t>
      </w:r>
      <w:r>
        <w:fldChar w:fldCharType="end"/>
      </w:r>
      <w:r w:rsidR="007718C7" w:rsidRPr="003C035F">
        <w:t xml:space="preserve"> prese</w:t>
      </w:r>
      <w:r w:rsidR="007718C7">
        <w:t>nts GLM based mean and median estimates at a more detailed level.  Because of low numbers, many of the parameters within the models were not statistical significant at this level.  In some instances the estimated incremental cost is negative</w:t>
      </w:r>
      <w:r w:rsidR="007718C7" w:rsidRPr="00CB1A5E">
        <w:t>.  Th</w:t>
      </w:r>
      <w:r w:rsidR="007718C7">
        <w:t xml:space="preserve">is </w:t>
      </w:r>
      <w:r w:rsidR="007718C7" w:rsidRPr="00CB1A5E">
        <w:t xml:space="preserve">may reflect interactions with mortality related to the specific </w:t>
      </w:r>
      <w:r w:rsidR="007718C7">
        <w:t>hospital-acquired</w:t>
      </w:r>
      <w:r w:rsidR="007718C7" w:rsidRPr="00CB1A5E">
        <w:t xml:space="preserve"> condition</w:t>
      </w:r>
      <w:r w:rsidR="007718C7">
        <w:t xml:space="preserve">.  The Table reveals a range of specific hospital-acquired conditions with high incremental costs, including wound infection, pulmonary embolism, pressure ulcers, and </w:t>
      </w:r>
      <w:r w:rsidR="007718C7">
        <w:rPr>
          <w:i/>
        </w:rPr>
        <w:t>C</w:t>
      </w:r>
      <w:r w:rsidR="007718C7" w:rsidRPr="00FB637A">
        <w:rPr>
          <w:i/>
        </w:rPr>
        <w:t>lostridium difficile</w:t>
      </w:r>
      <w:r w:rsidR="007718C7">
        <w:t>. The estimates for urinary tract infection are also high, although the median estimates are much lower.</w:t>
      </w:r>
    </w:p>
    <w:tbl>
      <w:tblPr>
        <w:tblW w:w="0" w:type="auto"/>
        <w:tblLook w:val="00A0" w:firstRow="1" w:lastRow="0" w:firstColumn="1" w:lastColumn="0" w:noHBand="0" w:noVBand="0"/>
      </w:tblPr>
      <w:tblGrid>
        <w:gridCol w:w="9242"/>
      </w:tblGrid>
      <w:tr w:rsidR="007718C7" w:rsidTr="00F220A3">
        <w:trPr>
          <w:cantSplit/>
          <w:trHeight w:val="10820"/>
        </w:trPr>
        <w:tc>
          <w:tcPr>
            <w:tcW w:w="9242" w:type="dxa"/>
          </w:tcPr>
          <w:p w:rsidR="007718C7" w:rsidRPr="000F1C72" w:rsidRDefault="007718C7" w:rsidP="00F220A3">
            <w:pPr>
              <w:spacing w:after="0" w:line="240" w:lineRule="auto"/>
              <w:jc w:val="center"/>
              <w:rPr>
                <w:b/>
                <w:sz w:val="18"/>
                <w:szCs w:val="18"/>
              </w:rPr>
            </w:pPr>
            <w:r w:rsidRPr="00F220A3">
              <w:rPr>
                <w:rFonts w:ascii="Calibri" w:hAnsi="Calibri"/>
              </w:rPr>
              <w:br w:type="page"/>
            </w:r>
            <w:bookmarkStart w:id="68" w:name="_Ref369162859"/>
            <w:bookmarkStart w:id="69" w:name="_Ref367321257"/>
            <w:r w:rsidRPr="000F1C72">
              <w:rPr>
                <w:b/>
                <w:sz w:val="18"/>
                <w:szCs w:val="18"/>
              </w:rPr>
              <w:t xml:space="preserve">Table </w:t>
            </w:r>
            <w:r w:rsidRPr="000F1C72">
              <w:rPr>
                <w:b/>
                <w:sz w:val="18"/>
                <w:szCs w:val="18"/>
              </w:rPr>
              <w:fldChar w:fldCharType="begin"/>
            </w:r>
            <w:r w:rsidRPr="000F1C72">
              <w:rPr>
                <w:b/>
                <w:sz w:val="18"/>
                <w:szCs w:val="18"/>
              </w:rPr>
              <w:instrText xml:space="preserve"> SEQ Table \* ARABIC </w:instrText>
            </w:r>
            <w:r w:rsidRPr="000F1C72">
              <w:rPr>
                <w:b/>
                <w:sz w:val="18"/>
                <w:szCs w:val="18"/>
              </w:rPr>
              <w:fldChar w:fldCharType="separate"/>
            </w:r>
            <w:r w:rsidR="00363A39">
              <w:rPr>
                <w:b/>
                <w:noProof/>
                <w:sz w:val="18"/>
                <w:szCs w:val="18"/>
              </w:rPr>
              <w:t>21</w:t>
            </w:r>
            <w:r w:rsidRPr="000F1C72">
              <w:rPr>
                <w:b/>
                <w:sz w:val="18"/>
                <w:szCs w:val="18"/>
              </w:rPr>
              <w:fldChar w:fldCharType="end"/>
            </w:r>
            <w:bookmarkEnd w:id="68"/>
            <w:r w:rsidRPr="000F1C72">
              <w:rPr>
                <w:b/>
                <w:sz w:val="18"/>
                <w:szCs w:val="18"/>
              </w:rPr>
              <w:t xml:space="preserve"> – Estimates of the GLM based mean and median incremental cost </w:t>
            </w:r>
          </w:p>
          <w:p w:rsidR="007718C7" w:rsidRPr="000F1C72" w:rsidRDefault="007718C7" w:rsidP="00F220A3">
            <w:pPr>
              <w:spacing w:after="0" w:line="240" w:lineRule="auto"/>
              <w:jc w:val="center"/>
              <w:rPr>
                <w:b/>
                <w:sz w:val="18"/>
                <w:szCs w:val="18"/>
              </w:rPr>
            </w:pPr>
            <w:r w:rsidRPr="000F1C72">
              <w:rPr>
                <w:b/>
                <w:sz w:val="18"/>
                <w:szCs w:val="18"/>
              </w:rPr>
              <w:t>Model A3 - selected ADRGs – Overnight episodes</w:t>
            </w:r>
          </w:p>
          <w:p w:rsidR="007718C7" w:rsidRPr="00F220A3" w:rsidRDefault="009B164C" w:rsidP="00F220A3">
            <w:pPr>
              <w:spacing w:after="0" w:line="240" w:lineRule="auto"/>
              <w:jc w:val="center"/>
              <w:rPr>
                <w:rFonts w:ascii="Calibri" w:hAnsi="Calibri"/>
                <w:b/>
                <w:sz w:val="18"/>
                <w:szCs w:val="18"/>
              </w:rPr>
            </w:pPr>
            <w:r>
              <w:rPr>
                <w:rFonts w:ascii="Calibri" w:hAnsi="Calibri"/>
                <w:noProof/>
                <w:lang w:eastAsia="en-AU"/>
              </w:rPr>
              <w:drawing>
                <wp:inline distT="0" distB="0" distL="0" distR="0" wp14:anchorId="049FA391" wp14:editId="7B52B602">
                  <wp:extent cx="4848225" cy="6461125"/>
                  <wp:effectExtent l="0" t="0" r="9525" b="0"/>
                  <wp:docPr id="7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8225" cy="6461125"/>
                          </a:xfrm>
                          <a:prstGeom prst="rect">
                            <a:avLst/>
                          </a:prstGeom>
                          <a:noFill/>
                          <a:ln>
                            <a:noFill/>
                          </a:ln>
                        </pic:spPr>
                      </pic:pic>
                    </a:graphicData>
                  </a:graphic>
                </wp:inline>
              </w:drawing>
            </w:r>
          </w:p>
        </w:tc>
      </w:tr>
      <w:bookmarkEnd w:id="67"/>
      <w:bookmarkEnd w:id="69"/>
    </w:tbl>
    <w:p w:rsidR="007718C7" w:rsidRDefault="007718C7" w:rsidP="001A1DB4">
      <w:pPr>
        <w:ind w:left="-567"/>
        <w:contextualSpacing/>
        <w:jc w:val="center"/>
      </w:pPr>
    </w:p>
    <w:p w:rsidR="007718C7" w:rsidRDefault="00F50FB9" w:rsidP="00673CEF">
      <w:r>
        <w:lastRenderedPageBreak/>
        <w:fldChar w:fldCharType="begin"/>
      </w:r>
      <w:r>
        <w:instrText xml:space="preserve"> REF _Ref367317304 \h  \* MERGEFORMAT </w:instrText>
      </w:r>
      <w:r>
        <w:fldChar w:fldCharType="separate"/>
      </w:r>
      <w:r w:rsidR="00363A39" w:rsidRPr="00363A39">
        <w:t xml:space="preserve">Table </w:t>
      </w:r>
      <w:r w:rsidR="00363A39" w:rsidRPr="00363A39">
        <w:rPr>
          <w:noProof/>
        </w:rPr>
        <w:t>22</w:t>
      </w:r>
      <w:r>
        <w:fldChar w:fldCharType="end"/>
      </w:r>
      <w:r w:rsidR="007718C7">
        <w:t xml:space="preserve"> presents the estimates of the incremental effect of hospital-acquired condition on overnight lengths of stay for Models B1 and B2.  Overall the presence of a hospital-acquired condition is estimated to add 5.3 days to a hospital stay, within the sample of AR-DRGs analysed.</w:t>
      </w:r>
    </w:p>
    <w:tbl>
      <w:tblPr>
        <w:tblW w:w="10206" w:type="dxa"/>
        <w:tblInd w:w="-459" w:type="dxa"/>
        <w:tblLook w:val="00A0" w:firstRow="1" w:lastRow="0" w:firstColumn="1" w:lastColumn="0" w:noHBand="0" w:noVBand="0"/>
      </w:tblPr>
      <w:tblGrid>
        <w:gridCol w:w="10206"/>
      </w:tblGrid>
      <w:tr w:rsidR="007718C7" w:rsidRPr="00864829" w:rsidTr="00CD6A38">
        <w:trPr>
          <w:trHeight w:val="8451"/>
        </w:trPr>
        <w:tc>
          <w:tcPr>
            <w:tcW w:w="10206" w:type="dxa"/>
          </w:tcPr>
          <w:p w:rsidR="007718C7" w:rsidRDefault="007718C7" w:rsidP="00EC25B0">
            <w:pPr>
              <w:spacing w:after="0" w:line="240" w:lineRule="auto"/>
              <w:contextualSpacing/>
              <w:jc w:val="center"/>
              <w:rPr>
                <w:b/>
                <w:sz w:val="18"/>
                <w:szCs w:val="18"/>
                <w:lang w:val="en-US"/>
              </w:rPr>
            </w:pPr>
            <w:r>
              <w:br w:type="page"/>
            </w:r>
            <w:bookmarkStart w:id="70" w:name="_Ref367317304"/>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22</w:t>
            </w:r>
            <w:r w:rsidRPr="00917904">
              <w:rPr>
                <w:b/>
                <w:sz w:val="18"/>
                <w:szCs w:val="18"/>
                <w:lang w:val="en-US"/>
              </w:rPr>
              <w:fldChar w:fldCharType="end"/>
            </w:r>
            <w:bookmarkEnd w:id="70"/>
            <w:r w:rsidRPr="00917904">
              <w:rPr>
                <w:b/>
                <w:sz w:val="18"/>
                <w:szCs w:val="18"/>
                <w:lang w:val="en-US"/>
              </w:rPr>
              <w:t xml:space="preserve"> – Estimates of the GLM based mean incremental length of stay </w:t>
            </w:r>
          </w:p>
          <w:p w:rsidR="007718C7" w:rsidRPr="00864829" w:rsidRDefault="007718C7" w:rsidP="00EC25B0">
            <w:pPr>
              <w:spacing w:after="0" w:line="240" w:lineRule="auto"/>
              <w:contextualSpacing/>
              <w:jc w:val="center"/>
              <w:rPr>
                <w:rFonts w:ascii="Calibri" w:hAnsi="Calibri"/>
                <w:b/>
                <w:sz w:val="18"/>
                <w:szCs w:val="18"/>
                <w:lang w:val="en-US"/>
              </w:rPr>
            </w:pPr>
            <w:r w:rsidRPr="00917904">
              <w:rPr>
                <w:b/>
                <w:sz w:val="18"/>
                <w:szCs w:val="18"/>
                <w:lang w:val="en-US"/>
              </w:rPr>
              <w:t xml:space="preserve">Models A1 and A2 </w:t>
            </w:r>
            <w:r>
              <w:rPr>
                <w:b/>
                <w:sz w:val="18"/>
                <w:szCs w:val="18"/>
                <w:lang w:val="en-US"/>
              </w:rPr>
              <w:t xml:space="preserve"> - s</w:t>
            </w:r>
            <w:r w:rsidRPr="00917904">
              <w:rPr>
                <w:b/>
                <w:sz w:val="18"/>
                <w:szCs w:val="18"/>
                <w:lang w:val="en-US"/>
              </w:rPr>
              <w:t>elected ADRGs – Overnight episodes</w:t>
            </w:r>
          </w:p>
          <w:p w:rsidR="007718C7" w:rsidRDefault="009B164C" w:rsidP="001F0702">
            <w:pPr>
              <w:spacing w:after="0" w:line="240" w:lineRule="auto"/>
              <w:jc w:val="center"/>
              <w:rPr>
                <w:rFonts w:ascii="Calibri" w:hAnsi="Calibri"/>
                <w:b/>
                <w:sz w:val="18"/>
                <w:szCs w:val="18"/>
                <w:lang w:val="en-US"/>
              </w:rPr>
            </w:pPr>
            <w:r>
              <w:rPr>
                <w:noProof/>
                <w:lang w:eastAsia="en-AU"/>
              </w:rPr>
              <w:drawing>
                <wp:inline distT="0" distB="0" distL="0" distR="0" wp14:anchorId="2F1D5DBE" wp14:editId="14A214F9">
                  <wp:extent cx="5684520" cy="5003165"/>
                  <wp:effectExtent l="0" t="0" r="0" b="6985"/>
                  <wp:docPr id="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4520" cy="5003165"/>
                          </a:xfrm>
                          <a:prstGeom prst="rect">
                            <a:avLst/>
                          </a:prstGeom>
                          <a:noFill/>
                          <a:ln>
                            <a:noFill/>
                          </a:ln>
                        </pic:spPr>
                      </pic:pic>
                    </a:graphicData>
                  </a:graphic>
                </wp:inline>
              </w:drawing>
            </w:r>
          </w:p>
          <w:p w:rsidR="007718C7" w:rsidRPr="00CD6A38" w:rsidRDefault="007718C7" w:rsidP="0003016A">
            <w:pPr>
              <w:spacing w:after="0"/>
              <w:jc w:val="center"/>
              <w:rPr>
                <w:i/>
                <w:sz w:val="16"/>
                <w:szCs w:val="16"/>
              </w:rPr>
            </w:pPr>
            <w:r w:rsidRPr="00917904">
              <w:rPr>
                <w:i/>
                <w:sz w:val="16"/>
                <w:szCs w:val="16"/>
              </w:rPr>
              <w:t>Note:  Shaded values represent estimates based on a parameter which was not statistically significant</w:t>
            </w:r>
            <w:r>
              <w:rPr>
                <w:i/>
                <w:sz w:val="16"/>
                <w:szCs w:val="16"/>
              </w:rPr>
              <w:t>.</w:t>
            </w:r>
          </w:p>
        </w:tc>
      </w:tr>
      <w:tr w:rsidR="007718C7" w:rsidRPr="00864829" w:rsidTr="00EC25B0">
        <w:tc>
          <w:tcPr>
            <w:tcW w:w="10206" w:type="dxa"/>
          </w:tcPr>
          <w:p w:rsidR="007718C7" w:rsidRPr="00BB70F1" w:rsidRDefault="007718C7" w:rsidP="001F0702">
            <w:pPr>
              <w:spacing w:after="0" w:line="240" w:lineRule="auto"/>
              <w:rPr>
                <w:noProof/>
                <w:lang w:eastAsia="en-AU"/>
              </w:rPr>
            </w:pPr>
          </w:p>
        </w:tc>
      </w:tr>
    </w:tbl>
    <w:p w:rsidR="007718C7" w:rsidRDefault="007718C7" w:rsidP="001F0702">
      <w:r>
        <w:t xml:space="preserve">Incremental cost and length of stay impacts of specific conditions were also estimated (Models A4 and B4, see Appendix 3, </w:t>
      </w:r>
      <w:r w:rsidR="00F50FB9">
        <w:fldChar w:fldCharType="begin"/>
      </w:r>
      <w:r w:rsidR="00F50FB9">
        <w:instrText xml:space="preserve"> REF _Ref368755108 \h  \* MERGEFORMAT </w:instrText>
      </w:r>
      <w:r w:rsidR="00F50FB9">
        <w:fldChar w:fldCharType="separate"/>
      </w:r>
      <w:r w:rsidR="00363A39" w:rsidRPr="00363A39">
        <w:t>Table 40</w:t>
      </w:r>
      <w:r w:rsidR="00F50FB9">
        <w:fldChar w:fldCharType="end"/>
      </w:r>
      <w:r>
        <w:t>).  These estimates revealed a number of conditions with a very high cost impact per episode.  For some of these conditions (s</w:t>
      </w:r>
      <w:r w:rsidRPr="004D44A8">
        <w:t xml:space="preserve">epsis, </w:t>
      </w:r>
      <w:r>
        <w:t>g</w:t>
      </w:r>
      <w:r w:rsidRPr="004D44A8">
        <w:t xml:space="preserve">as </w:t>
      </w:r>
      <w:r>
        <w:t>e</w:t>
      </w:r>
      <w:r w:rsidRPr="004D44A8">
        <w:t xml:space="preserve">mbolism and </w:t>
      </w:r>
      <w:r>
        <w:t>c</w:t>
      </w:r>
      <w:r w:rsidRPr="004D44A8">
        <w:t xml:space="preserve">omplications of </w:t>
      </w:r>
      <w:r>
        <w:t>t</w:t>
      </w:r>
      <w:r w:rsidRPr="004D44A8">
        <w:t>ransplants</w:t>
      </w:r>
      <w:r>
        <w:t xml:space="preserve">), the number of occurrences in the sample was very low (estimates were suppressed for these conditions).  </w:t>
      </w:r>
      <w:r w:rsidR="00F50FB9">
        <w:fldChar w:fldCharType="begin"/>
      </w:r>
      <w:r w:rsidR="00F50FB9">
        <w:instrText xml:space="preserve"> REF _Ref369159185 \h  \* MERGEFORMAT </w:instrText>
      </w:r>
      <w:r w:rsidR="00F50FB9">
        <w:fldChar w:fldCharType="separate"/>
      </w:r>
      <w:r w:rsidR="00363A39" w:rsidRPr="00363A39">
        <w:rPr>
          <w:rFonts w:cs="Arial"/>
          <w:color w:val="000000"/>
          <w:sz w:val="18"/>
          <w:szCs w:val="18"/>
        </w:rPr>
        <w:t xml:space="preserve">Table </w:t>
      </w:r>
      <w:r w:rsidR="00363A39" w:rsidRPr="00363A39">
        <w:rPr>
          <w:rFonts w:cs="Arial"/>
          <w:noProof/>
          <w:color w:val="000000"/>
          <w:sz w:val="18"/>
          <w:szCs w:val="18"/>
        </w:rPr>
        <w:t>23</w:t>
      </w:r>
      <w:r w:rsidR="00F50FB9">
        <w:fldChar w:fldCharType="end"/>
      </w:r>
      <w:r>
        <w:t xml:space="preserve"> shows the estimated impact of other conditions with a high cost per episode impact.  These ranged from between $9,208 for m</w:t>
      </w:r>
      <w:r w:rsidRPr="004D44A8">
        <w:t>ethicillin resistant agent</w:t>
      </w:r>
      <w:r>
        <w:t xml:space="preserve"> to $15,032 for injury due to assault.  The numbers of episodes with these conditions was between 17 and 967.  As a consequence, the total cost impact of these conditions was not always very high relative to other conditions.</w:t>
      </w:r>
    </w:p>
    <w:p w:rsidR="007718C7" w:rsidRDefault="007718C7" w:rsidP="001F0702">
      <w:r>
        <w:t xml:space="preserve">In contrast there were a number of other conditions which had relatively lower cost per episode impacts, but because there were larger numbers of the episodes, the total cost impact was very high.  These are also </w:t>
      </w:r>
      <w:r w:rsidRPr="003C035F">
        <w:t xml:space="preserve">shown in </w:t>
      </w:r>
      <w:r w:rsidR="00F50FB9">
        <w:fldChar w:fldCharType="begin"/>
      </w:r>
      <w:r w:rsidR="00F50FB9">
        <w:instrText xml:space="preserve"> REF _Ref369159185 \h  \* MERGEFORMAT </w:instrText>
      </w:r>
      <w:r w:rsidR="00F50FB9">
        <w:fldChar w:fldCharType="separate"/>
      </w:r>
      <w:r w:rsidR="00363A39" w:rsidRPr="00363A39">
        <w:rPr>
          <w:rFonts w:cs="Arial"/>
          <w:color w:val="000000"/>
          <w:sz w:val="18"/>
          <w:szCs w:val="18"/>
        </w:rPr>
        <w:t xml:space="preserve">Table </w:t>
      </w:r>
      <w:r w:rsidR="00363A39" w:rsidRPr="00363A39">
        <w:rPr>
          <w:rFonts w:cs="Arial"/>
          <w:noProof/>
          <w:color w:val="000000"/>
          <w:sz w:val="18"/>
          <w:szCs w:val="18"/>
        </w:rPr>
        <w:t>23</w:t>
      </w:r>
      <w:r w:rsidR="00F50FB9">
        <w:fldChar w:fldCharType="end"/>
      </w:r>
      <w:r w:rsidRPr="003C035F">
        <w:t>.  Total</w:t>
      </w:r>
      <w:r>
        <w:t xml:space="preserve"> cost impacts of these </w:t>
      </w:r>
      <w:r>
        <w:lastRenderedPageBreak/>
        <w:t>conditions ranged from $10.9 million for pressure ulcers (1,866 episodes) to $27.4 million for</w:t>
      </w:r>
      <w:r w:rsidRPr="003F446D">
        <w:t xml:space="preserve"> </w:t>
      </w:r>
      <w:r>
        <w:t>e</w:t>
      </w:r>
      <w:r w:rsidRPr="003F446D">
        <w:t>lectrolyte disorders w</w:t>
      </w:r>
      <w:r>
        <w:t xml:space="preserve">ithout </w:t>
      </w:r>
      <w:r w:rsidRPr="003F446D">
        <w:t xml:space="preserve">dehydration </w:t>
      </w:r>
      <w:r>
        <w:t xml:space="preserve">(9,808 episodes).  This perspective suggests that in setting priority for safety initiatives, it may be beneficial to consider conditions that have a relatively low cost impact on the individual episode of care, but may be very common. This view was supported in the literature (e.g. see </w:t>
      </w:r>
      <w:hyperlink w:anchor="_ENREF_21" w:tooltip="Jackson, 2011 #8" w:history="1">
        <w:r w:rsidR="00C33CAE">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 </w:instrText>
        </w:r>
        <w:r w:rsidR="00C33CAE">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EN.CITE.DATA </w:instrText>
        </w:r>
        <w:r w:rsidR="00C33CAE">
          <w:fldChar w:fldCharType="end"/>
        </w:r>
        <w:r w:rsidR="00C33CAE">
          <w:fldChar w:fldCharType="separate"/>
        </w:r>
        <w:r w:rsidR="00C33CAE">
          <w:rPr>
            <w:noProof/>
          </w:rPr>
          <w:t>Jackson et al., 2011</w:t>
        </w:r>
        <w:r w:rsidR="00C33CAE">
          <w:fldChar w:fldCharType="end"/>
        </w:r>
      </w:hyperlink>
      <w:r>
        <w:t>).</w:t>
      </w:r>
    </w:p>
    <w:tbl>
      <w:tblPr>
        <w:tblW w:w="0" w:type="auto"/>
        <w:tblLook w:val="00A0" w:firstRow="1" w:lastRow="0" w:firstColumn="1" w:lastColumn="0" w:noHBand="0" w:noVBand="0"/>
      </w:tblPr>
      <w:tblGrid>
        <w:gridCol w:w="9242"/>
      </w:tblGrid>
      <w:tr w:rsidR="007718C7" w:rsidTr="00F220A3">
        <w:tc>
          <w:tcPr>
            <w:tcW w:w="9242" w:type="dxa"/>
          </w:tcPr>
          <w:p w:rsidR="007718C7" w:rsidRPr="00F220A3" w:rsidRDefault="007718C7" w:rsidP="00F220A3">
            <w:pPr>
              <w:spacing w:after="0"/>
              <w:jc w:val="center"/>
              <w:rPr>
                <w:rFonts w:ascii="Calibri" w:hAnsi="Calibri"/>
              </w:rPr>
            </w:pPr>
            <w:bookmarkStart w:id="71" w:name="_Ref369159185"/>
            <w:r w:rsidRPr="00F220A3">
              <w:rPr>
                <w:rFonts w:ascii="Calibri" w:hAnsi="Calibri" w:cs="Arial"/>
                <w:b/>
                <w:color w:val="000000"/>
                <w:sz w:val="18"/>
                <w:szCs w:val="18"/>
              </w:rPr>
              <w:t xml:space="preserve">Table </w:t>
            </w:r>
            <w:r w:rsidRPr="00F220A3">
              <w:rPr>
                <w:rFonts w:ascii="Calibri" w:hAnsi="Calibri" w:cs="Arial"/>
                <w:b/>
                <w:color w:val="000000"/>
                <w:sz w:val="18"/>
                <w:szCs w:val="18"/>
              </w:rPr>
              <w:fldChar w:fldCharType="begin"/>
            </w:r>
            <w:r w:rsidRPr="00F220A3">
              <w:rPr>
                <w:rFonts w:ascii="Calibri" w:hAnsi="Calibri" w:cs="Arial"/>
                <w:b/>
                <w:color w:val="000000"/>
                <w:sz w:val="18"/>
                <w:szCs w:val="18"/>
              </w:rPr>
              <w:instrText xml:space="preserve"> SEQ Table \* ARABIC </w:instrText>
            </w:r>
            <w:r w:rsidRPr="00F220A3">
              <w:rPr>
                <w:rFonts w:ascii="Calibri" w:hAnsi="Calibri" w:cs="Arial"/>
                <w:b/>
                <w:color w:val="000000"/>
                <w:sz w:val="18"/>
                <w:szCs w:val="18"/>
              </w:rPr>
              <w:fldChar w:fldCharType="separate"/>
            </w:r>
            <w:r w:rsidR="00363A39">
              <w:rPr>
                <w:rFonts w:ascii="Calibri" w:hAnsi="Calibri" w:cs="Arial"/>
                <w:b/>
                <w:noProof/>
                <w:color w:val="000000"/>
                <w:sz w:val="18"/>
                <w:szCs w:val="18"/>
              </w:rPr>
              <w:t>23</w:t>
            </w:r>
            <w:r w:rsidRPr="00F220A3">
              <w:rPr>
                <w:rFonts w:ascii="Calibri" w:hAnsi="Calibri" w:cs="Arial"/>
                <w:b/>
                <w:color w:val="000000"/>
                <w:sz w:val="18"/>
                <w:szCs w:val="18"/>
              </w:rPr>
              <w:fldChar w:fldCharType="end"/>
            </w:r>
            <w:bookmarkEnd w:id="71"/>
            <w:r w:rsidRPr="00F220A3">
              <w:rPr>
                <w:rFonts w:ascii="Calibri" w:hAnsi="Calibri" w:cs="Arial"/>
                <w:b/>
                <w:color w:val="000000"/>
                <w:sz w:val="18"/>
                <w:szCs w:val="18"/>
              </w:rPr>
              <w:t xml:space="preserve"> – Estimates of incremental impact of selected COF diagnoses on cost and length of stay,  plus total cost impact of condition, selected ADRGs, NHCDC, 2011-12</w:t>
            </w:r>
          </w:p>
        </w:tc>
      </w:tr>
      <w:tr w:rsidR="007718C7" w:rsidTr="00F220A3">
        <w:tc>
          <w:tcPr>
            <w:tcW w:w="9242" w:type="dxa"/>
          </w:tcPr>
          <w:p w:rsidR="007718C7" w:rsidRPr="00F220A3" w:rsidRDefault="009B164C" w:rsidP="00F220A3">
            <w:pPr>
              <w:spacing w:after="0"/>
              <w:rPr>
                <w:rFonts w:ascii="Calibri" w:hAnsi="Calibri"/>
              </w:rPr>
            </w:pPr>
            <w:r>
              <w:rPr>
                <w:rFonts w:ascii="Calibri" w:hAnsi="Calibri"/>
                <w:noProof/>
                <w:lang w:eastAsia="en-AU"/>
              </w:rPr>
              <w:drawing>
                <wp:inline distT="0" distB="0" distL="0" distR="0" wp14:anchorId="290B4ADB" wp14:editId="31438874">
                  <wp:extent cx="5719445" cy="3398520"/>
                  <wp:effectExtent l="0" t="0" r="0" b="0"/>
                  <wp:docPr id="7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9445" cy="3398520"/>
                          </a:xfrm>
                          <a:prstGeom prst="rect">
                            <a:avLst/>
                          </a:prstGeom>
                          <a:noFill/>
                          <a:ln>
                            <a:noFill/>
                          </a:ln>
                        </pic:spPr>
                      </pic:pic>
                    </a:graphicData>
                  </a:graphic>
                </wp:inline>
              </w:drawing>
            </w:r>
          </w:p>
        </w:tc>
      </w:tr>
    </w:tbl>
    <w:p w:rsidR="007718C7" w:rsidRDefault="007718C7" w:rsidP="00292BFB">
      <w:pPr>
        <w:pStyle w:val="Stageheading"/>
        <w:rPr>
          <w:iCs w:val="0"/>
        </w:rPr>
      </w:pPr>
      <w:bookmarkStart w:id="72" w:name="_Toc374114597"/>
      <w:r>
        <w:rPr>
          <w:iCs w:val="0"/>
        </w:rPr>
        <w:t>Sector wide estimates</w:t>
      </w:r>
      <w:bookmarkEnd w:id="72"/>
    </w:p>
    <w:p w:rsidR="007718C7" w:rsidRPr="00C64E4C" w:rsidRDefault="007718C7" w:rsidP="00637D48">
      <w:pPr>
        <w:pStyle w:val="CommentText"/>
        <w:rPr>
          <w:rFonts w:ascii="Century Gothic" w:hAnsi="Century Gothic"/>
        </w:rPr>
      </w:pPr>
      <w:r w:rsidRPr="00C64E4C">
        <w:rPr>
          <w:rFonts w:ascii="Century Gothic" w:hAnsi="Century Gothic"/>
        </w:rPr>
        <w:t xml:space="preserve">An estimate was made of the total incremental </w:t>
      </w:r>
      <w:r w:rsidRPr="009B164C">
        <w:rPr>
          <w:rFonts w:ascii="Century Gothic" w:hAnsi="Century Gothic"/>
          <w:szCs w:val="22"/>
          <w:lang w:val="en-AU" w:eastAsia="ja-JP"/>
        </w:rPr>
        <w:t>impact of the presence of hospital-acquired conditions, both within the NHCDC sample and scaling this to reflect all acute episodes allocated to the selected ADRGs</w:t>
      </w:r>
      <w:r w:rsidR="00057B1F">
        <w:rPr>
          <w:rFonts w:ascii="Century Gothic" w:hAnsi="Century Gothic"/>
          <w:szCs w:val="22"/>
          <w:lang w:val="en-AU" w:eastAsia="ja-JP"/>
        </w:rPr>
        <w:t xml:space="preserve"> </w:t>
      </w:r>
      <w:r w:rsidR="00057B1F" w:rsidRPr="001D523E">
        <w:rPr>
          <w:rFonts w:ascii="Century Gothic" w:hAnsi="Century Gothic"/>
          <w:szCs w:val="22"/>
          <w:lang w:val="en-AU" w:eastAsia="ja-JP"/>
        </w:rPr>
        <w:t xml:space="preserve">in public </w:t>
      </w:r>
      <w:r w:rsidR="001D523E" w:rsidRPr="001D523E">
        <w:rPr>
          <w:rFonts w:ascii="Century Gothic" w:hAnsi="Century Gothic"/>
          <w:szCs w:val="22"/>
          <w:lang w:val="en-AU" w:eastAsia="ja-JP"/>
        </w:rPr>
        <w:t xml:space="preserve">and private </w:t>
      </w:r>
      <w:r w:rsidR="00057B1F" w:rsidRPr="001D523E">
        <w:rPr>
          <w:rFonts w:ascii="Century Gothic" w:hAnsi="Century Gothic"/>
          <w:szCs w:val="22"/>
          <w:lang w:val="en-AU" w:eastAsia="ja-JP"/>
        </w:rPr>
        <w:t>hospitals</w:t>
      </w:r>
      <w:r w:rsidRPr="009B164C">
        <w:rPr>
          <w:rFonts w:ascii="Century Gothic" w:hAnsi="Century Gothic"/>
          <w:szCs w:val="22"/>
          <w:lang w:val="en-AU" w:eastAsia="ja-JP"/>
        </w:rPr>
        <w:t>.  The results are presented in</w:t>
      </w:r>
      <w:r w:rsidR="009B164C" w:rsidRPr="009B164C">
        <w:rPr>
          <w:rFonts w:ascii="Century Gothic" w:hAnsi="Century Gothic"/>
          <w:szCs w:val="22"/>
          <w:lang w:val="en-AU" w:eastAsia="ja-JP"/>
        </w:rPr>
        <w:t xml:space="preserve"> </w:t>
      </w:r>
      <w:r w:rsidR="009B164C" w:rsidRPr="009B164C">
        <w:rPr>
          <w:rFonts w:ascii="Century Gothic" w:hAnsi="Century Gothic"/>
          <w:szCs w:val="22"/>
          <w:lang w:val="en-AU" w:eastAsia="ja-JP"/>
        </w:rPr>
        <w:fldChar w:fldCharType="begin"/>
      </w:r>
      <w:r w:rsidR="009B164C" w:rsidRPr="009B164C">
        <w:rPr>
          <w:rFonts w:ascii="Century Gothic" w:hAnsi="Century Gothic"/>
          <w:szCs w:val="22"/>
          <w:lang w:val="en-AU" w:eastAsia="ja-JP"/>
        </w:rPr>
        <w:instrText xml:space="preserve"> REF _Ref369110955 \h </w:instrText>
      </w:r>
      <w:r w:rsidR="009B164C">
        <w:rPr>
          <w:rFonts w:ascii="Century Gothic" w:hAnsi="Century Gothic"/>
          <w:szCs w:val="22"/>
          <w:lang w:val="en-AU" w:eastAsia="ja-JP"/>
        </w:rPr>
        <w:instrText xml:space="preserve"> \* MERGEFORMAT </w:instrText>
      </w:r>
      <w:r w:rsidR="009B164C" w:rsidRPr="009B164C">
        <w:rPr>
          <w:rFonts w:ascii="Century Gothic" w:hAnsi="Century Gothic"/>
          <w:szCs w:val="22"/>
          <w:lang w:val="en-AU" w:eastAsia="ja-JP"/>
        </w:rPr>
      </w:r>
      <w:r w:rsidR="009B164C" w:rsidRPr="009B164C">
        <w:rPr>
          <w:rFonts w:ascii="Century Gothic" w:hAnsi="Century Gothic"/>
          <w:szCs w:val="22"/>
          <w:lang w:val="en-AU" w:eastAsia="ja-JP"/>
        </w:rPr>
        <w:fldChar w:fldCharType="separate"/>
      </w:r>
      <w:r w:rsidR="00363A39" w:rsidRPr="00363A39">
        <w:rPr>
          <w:rFonts w:ascii="Century Gothic" w:hAnsi="Century Gothic"/>
          <w:szCs w:val="22"/>
          <w:lang w:val="en-AU" w:eastAsia="ja-JP"/>
        </w:rPr>
        <w:t>Table 24</w:t>
      </w:r>
      <w:r w:rsidR="009B164C" w:rsidRPr="009B164C">
        <w:rPr>
          <w:rFonts w:ascii="Century Gothic" w:hAnsi="Century Gothic"/>
          <w:szCs w:val="22"/>
          <w:lang w:val="en-AU" w:eastAsia="ja-JP"/>
        </w:rPr>
        <w:fldChar w:fldCharType="end"/>
      </w:r>
      <w:r w:rsidRPr="009B164C">
        <w:rPr>
          <w:rFonts w:ascii="Century Gothic" w:hAnsi="Century Gothic"/>
          <w:szCs w:val="22"/>
          <w:lang w:val="en-AU" w:eastAsia="ja-JP"/>
        </w:rPr>
        <w:t>.  The</w:t>
      </w:r>
      <w:r w:rsidRPr="00C64E4C">
        <w:rPr>
          <w:rFonts w:ascii="Century Gothic" w:hAnsi="Century Gothic"/>
        </w:rPr>
        <w:t xml:space="preserve"> Table also presents the total estimated costs associated with the sample ($3.87 billion for all episodes and $3.79 billion for overnight episodes) and the estimated costs </w:t>
      </w:r>
      <w:r w:rsidR="00C72246">
        <w:rPr>
          <w:rFonts w:ascii="Century Gothic" w:hAnsi="Century Gothic"/>
        </w:rPr>
        <w:t xml:space="preserve">across all hospital </w:t>
      </w:r>
      <w:r w:rsidRPr="00C64E4C">
        <w:rPr>
          <w:rFonts w:ascii="Century Gothic" w:hAnsi="Century Gothic"/>
        </w:rPr>
        <w:t xml:space="preserve">($5.6 billion for all episodes and $5.47 billion for overnight episodes) reflecting all acute episodes allocated to the selected ADRGs.  The Table also shows the estimated incremental cost for the sample and </w:t>
      </w:r>
      <w:r w:rsidR="00C72246">
        <w:rPr>
          <w:rFonts w:ascii="Century Gothic" w:hAnsi="Century Gothic"/>
        </w:rPr>
        <w:t xml:space="preserve">all hospitals </w:t>
      </w:r>
      <w:r w:rsidRPr="00C64E4C">
        <w:rPr>
          <w:rFonts w:ascii="Century Gothic" w:hAnsi="Century Gothic"/>
        </w:rPr>
        <w:t>(i.e. all acute episodes assigned to th</w:t>
      </w:r>
      <w:r w:rsidR="00C72246">
        <w:rPr>
          <w:rFonts w:ascii="Century Gothic" w:hAnsi="Century Gothic"/>
        </w:rPr>
        <w:t xml:space="preserve">e selected AR-DRGs occurring across all </w:t>
      </w:r>
      <w:r w:rsidRPr="00C64E4C">
        <w:rPr>
          <w:rFonts w:ascii="Century Gothic" w:hAnsi="Century Gothic"/>
        </w:rPr>
        <w:t xml:space="preserve">public </w:t>
      </w:r>
      <w:r w:rsidR="00C72246">
        <w:rPr>
          <w:rFonts w:ascii="Century Gothic" w:hAnsi="Century Gothic"/>
        </w:rPr>
        <w:t xml:space="preserve">and private </w:t>
      </w:r>
      <w:r w:rsidRPr="00C64E4C">
        <w:rPr>
          <w:rFonts w:ascii="Century Gothic" w:hAnsi="Century Gothic"/>
        </w:rPr>
        <w:t>hospitals</w:t>
      </w:r>
      <w:r w:rsidR="00C72246">
        <w:rPr>
          <w:rFonts w:ascii="Century Gothic" w:hAnsi="Century Gothic"/>
        </w:rPr>
        <w:t xml:space="preserve"> in Australia</w:t>
      </w:r>
      <w:r w:rsidRPr="00C64E4C">
        <w:rPr>
          <w:rFonts w:ascii="Century Gothic" w:hAnsi="Century Gothic"/>
        </w:rPr>
        <w:t xml:space="preserve">). </w:t>
      </w:r>
      <w:r w:rsidR="00C72246">
        <w:rPr>
          <w:rFonts w:ascii="Century Gothic" w:hAnsi="Century Gothic"/>
        </w:rPr>
        <w:t xml:space="preserve"> (</w:t>
      </w:r>
      <w:r w:rsidR="00C72246">
        <w:rPr>
          <w:rFonts w:ascii="Century Gothic" w:hAnsi="Century Gothic"/>
        </w:rPr>
        <w:fldChar w:fldCharType="begin"/>
      </w:r>
      <w:r w:rsidR="00C72246">
        <w:rPr>
          <w:rFonts w:ascii="Century Gothic" w:hAnsi="Century Gothic"/>
        </w:rPr>
        <w:instrText xml:space="preserve"> REF _Ref367320279 \h  \* MERGEFORMAT </w:instrText>
      </w:r>
      <w:r w:rsidR="00C72246">
        <w:rPr>
          <w:rFonts w:ascii="Century Gothic" w:hAnsi="Century Gothic"/>
        </w:rPr>
      </w:r>
      <w:r w:rsidR="00C72246">
        <w:rPr>
          <w:rFonts w:ascii="Century Gothic" w:hAnsi="Century Gothic"/>
        </w:rPr>
        <w:fldChar w:fldCharType="separate"/>
      </w:r>
      <w:r w:rsidR="00363A39" w:rsidRPr="00363A39">
        <w:rPr>
          <w:rFonts w:ascii="Century Gothic" w:hAnsi="Century Gothic"/>
        </w:rPr>
        <w:t>Table 37</w:t>
      </w:r>
      <w:r w:rsidR="00C72246">
        <w:rPr>
          <w:rFonts w:ascii="Century Gothic" w:hAnsi="Century Gothic"/>
        </w:rPr>
        <w:fldChar w:fldCharType="end"/>
      </w:r>
      <w:r w:rsidR="00C72246">
        <w:rPr>
          <w:rFonts w:ascii="Century Gothic" w:hAnsi="Century Gothic"/>
        </w:rPr>
        <w:t xml:space="preserve"> in Appendix 2 shows the sample as a proportion of total episodes for the selected ADRGs and the weights used to derive the estimates for all hospitals</w:t>
      </w:r>
      <w:r w:rsidR="001B5067">
        <w:rPr>
          <w:rFonts w:ascii="Century Gothic" w:hAnsi="Century Gothic"/>
        </w:rPr>
        <w:t>.)</w:t>
      </w:r>
    </w:p>
    <w:p w:rsidR="007718C7" w:rsidRDefault="007718C7" w:rsidP="00B40507">
      <w:r>
        <w:t>The incremental costs for the full set of episodes is very close to the estimates for models developed only for overnight episodes.</w:t>
      </w:r>
    </w:p>
    <w:p w:rsidR="007718C7" w:rsidRDefault="007718C7" w:rsidP="00B40507">
      <w:r>
        <w:t>One important feature to note is that the model specification, and potentially its interpretation, has an important impact on the estimated incremental costs.  In particular, Model A1, which is based on estimating the impact of the presence of any hospital-acquired condition, results in a higher estimate of incremental costs, compared with models designed to estimate the impact of groups of hospital-acquired conditions (Models A2-A4).</w:t>
      </w:r>
    </w:p>
    <w:p w:rsidR="007718C7" w:rsidRDefault="007718C7" w:rsidP="00B40507">
      <w:r>
        <w:lastRenderedPageBreak/>
        <w:t>Overall, the models suggest that hospital-acquired conditions potentially explained between 12.0% and 16.5% of total costs within the sample and 11.6% and 15.9% of costs</w:t>
      </w:r>
      <w:r w:rsidR="00C72246">
        <w:t xml:space="preserve"> across all Australian hospitals, for the selected ADRGs</w:t>
      </w:r>
      <w:r>
        <w:t>.  The estimates range from $453 million to $625 million in the sample, and $634 million and $</w:t>
      </w:r>
      <w:r w:rsidR="00C64E4C">
        <w:t>8</w:t>
      </w:r>
      <w:r>
        <w:t>6</w:t>
      </w:r>
      <w:r w:rsidR="00C64E4C">
        <w:t>9</w:t>
      </w:r>
      <w:r>
        <w:t xml:space="preserve"> million </w:t>
      </w:r>
      <w:r w:rsidR="00C72246">
        <w:t>for all hospitals</w:t>
      </w:r>
      <w:r>
        <w:t>.</w:t>
      </w:r>
    </w:p>
    <w:p w:rsidR="007718C7" w:rsidRPr="00FA5216" w:rsidRDefault="007718C7" w:rsidP="00B40507">
      <w:pPr>
        <w:spacing w:after="0" w:line="240" w:lineRule="auto"/>
        <w:contextualSpacing/>
        <w:jc w:val="center"/>
      </w:pPr>
      <w:bookmarkStart w:id="73" w:name="_Ref369110955"/>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24</w:t>
      </w:r>
      <w:r w:rsidRPr="00917904">
        <w:rPr>
          <w:b/>
          <w:sz w:val="18"/>
          <w:szCs w:val="18"/>
          <w:lang w:val="en-US"/>
        </w:rPr>
        <w:fldChar w:fldCharType="end"/>
      </w:r>
      <w:bookmarkEnd w:id="73"/>
      <w:r w:rsidRPr="00917904">
        <w:rPr>
          <w:b/>
          <w:sz w:val="18"/>
          <w:szCs w:val="18"/>
          <w:lang w:val="en-US"/>
        </w:rPr>
        <w:t xml:space="preserve"> – Estimates of </w:t>
      </w:r>
      <w:r>
        <w:rPr>
          <w:b/>
          <w:sz w:val="18"/>
          <w:szCs w:val="18"/>
          <w:lang w:val="en-US"/>
        </w:rPr>
        <w:t>impact across all acute episodes allocated to the relevant ADRGs</w:t>
      </w:r>
    </w:p>
    <w:p w:rsidR="007718C7" w:rsidRDefault="00C72246" w:rsidP="00B40507">
      <w:pPr>
        <w:jc w:val="center"/>
      </w:pPr>
      <w:r w:rsidRPr="00C72246">
        <w:rPr>
          <w:noProof/>
          <w:lang w:eastAsia="en-AU"/>
        </w:rPr>
        <w:drawing>
          <wp:inline distT="0" distB="0" distL="0" distR="0" wp14:anchorId="06D69C44" wp14:editId="7235932C">
            <wp:extent cx="5142857" cy="2371429"/>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42857" cy="2371429"/>
                    </a:xfrm>
                    <a:prstGeom prst="rect">
                      <a:avLst/>
                    </a:prstGeom>
                  </pic:spPr>
                </pic:pic>
              </a:graphicData>
            </a:graphic>
          </wp:inline>
        </w:drawing>
      </w:r>
    </w:p>
    <w:p w:rsidR="007718C7" w:rsidRDefault="007718C7" w:rsidP="00065043"/>
    <w:p w:rsidR="007718C7" w:rsidRDefault="007718C7" w:rsidP="00065043"/>
    <w:p w:rsidR="007718C7" w:rsidRPr="00065043" w:rsidRDefault="007718C7" w:rsidP="00065043">
      <w:r>
        <w:t xml:space="preserve">  </w:t>
      </w:r>
    </w:p>
    <w:p w:rsidR="007718C7" w:rsidRDefault="007718C7" w:rsidP="00352793"/>
    <w:p w:rsidR="007718C7" w:rsidRDefault="007718C7" w:rsidP="00EA6562">
      <w:pPr>
        <w:sectPr w:rsidR="007718C7" w:rsidSect="00915342">
          <w:footerReference w:type="default" r:id="rId74"/>
          <w:headerReference w:type="first" r:id="rId75"/>
          <w:footerReference w:type="first" r:id="rId76"/>
          <w:pgSz w:w="11906" w:h="16838"/>
          <w:pgMar w:top="1440" w:right="1440" w:bottom="1440" w:left="1440" w:header="708" w:footer="708" w:gutter="0"/>
          <w:cols w:space="708"/>
          <w:titlePg/>
          <w:docGrid w:linePitch="360"/>
        </w:sectPr>
      </w:pPr>
    </w:p>
    <w:p w:rsidR="007718C7" w:rsidRPr="00E21509" w:rsidRDefault="007718C7" w:rsidP="00E21509">
      <w:pPr>
        <w:pStyle w:val="Appendix"/>
        <w:spacing w:before="400"/>
        <w:rPr>
          <w:sz w:val="60"/>
          <w:szCs w:val="60"/>
        </w:rPr>
      </w:pPr>
      <w:bookmarkStart w:id="74" w:name="_Toc374114598"/>
      <w:r w:rsidRPr="00E21509">
        <w:rPr>
          <w:sz w:val="60"/>
          <w:szCs w:val="60"/>
        </w:rPr>
        <w:lastRenderedPageBreak/>
        <w:t>Appendi</w:t>
      </w:r>
      <w:r>
        <w:rPr>
          <w:sz w:val="60"/>
          <w:szCs w:val="60"/>
        </w:rPr>
        <w:t>x 1: Descriptive statistics</w:t>
      </w:r>
      <w:bookmarkEnd w:id="74"/>
    </w:p>
    <w:tbl>
      <w:tblPr>
        <w:tblW w:w="9747" w:type="dxa"/>
        <w:tblLook w:val="00A0" w:firstRow="1" w:lastRow="0" w:firstColumn="1" w:lastColumn="0" w:noHBand="0" w:noVBand="0"/>
      </w:tblPr>
      <w:tblGrid>
        <w:gridCol w:w="9747"/>
      </w:tblGrid>
      <w:tr w:rsidR="007718C7" w:rsidRPr="00864829" w:rsidTr="00864829">
        <w:tc>
          <w:tcPr>
            <w:tcW w:w="9747" w:type="dxa"/>
          </w:tcPr>
          <w:p w:rsidR="007718C7" w:rsidRPr="00917904" w:rsidRDefault="007718C7" w:rsidP="00917904">
            <w:pPr>
              <w:spacing w:after="0"/>
              <w:contextualSpacing/>
              <w:jc w:val="center"/>
              <w:rPr>
                <w:rFonts w:cs="Arial"/>
                <w:b/>
                <w:color w:val="000000"/>
                <w:szCs w:val="20"/>
                <w:lang w:val="en-US"/>
              </w:rPr>
            </w:pPr>
            <w:bookmarkStart w:id="75" w:name="_Ref363985598"/>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25</w:t>
            </w:r>
            <w:r w:rsidRPr="00917904">
              <w:rPr>
                <w:b/>
                <w:sz w:val="18"/>
                <w:szCs w:val="18"/>
                <w:lang w:val="en-US"/>
              </w:rPr>
              <w:fldChar w:fldCharType="end"/>
            </w:r>
            <w:bookmarkEnd w:id="75"/>
            <w:r w:rsidRPr="00917904">
              <w:rPr>
                <w:b/>
                <w:sz w:val="18"/>
                <w:szCs w:val="18"/>
                <w:lang w:val="en-US"/>
              </w:rPr>
              <w:t xml:space="preserve"> – Reporting of COF by sector, APC NMDS, 2009-10 t</w:t>
            </w:r>
            <w:r>
              <w:rPr>
                <w:b/>
                <w:sz w:val="18"/>
                <w:szCs w:val="18"/>
                <w:lang w:val="en-US"/>
              </w:rPr>
              <w:t>o</w:t>
            </w:r>
            <w:r w:rsidRPr="00917904">
              <w:rPr>
                <w:b/>
                <w:sz w:val="18"/>
                <w:szCs w:val="18"/>
                <w:lang w:val="en-US"/>
              </w:rPr>
              <w:t xml:space="preserve"> 2011-12</w:t>
            </w:r>
          </w:p>
        </w:tc>
      </w:tr>
      <w:tr w:rsidR="007718C7" w:rsidRPr="00864829" w:rsidTr="00864829">
        <w:tc>
          <w:tcPr>
            <w:tcW w:w="9747" w:type="dxa"/>
          </w:tcPr>
          <w:p w:rsidR="007718C7" w:rsidRPr="00864829" w:rsidRDefault="009B164C" w:rsidP="00864829">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0C5C0137" wp14:editId="40A7429E">
                  <wp:extent cx="5891530" cy="948690"/>
                  <wp:effectExtent l="0" t="0" r="0" b="3810"/>
                  <wp:docPr id="8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91530" cy="948690"/>
                          </a:xfrm>
                          <a:prstGeom prst="rect">
                            <a:avLst/>
                          </a:prstGeom>
                          <a:noFill/>
                          <a:ln>
                            <a:noFill/>
                          </a:ln>
                        </pic:spPr>
                      </pic:pic>
                    </a:graphicData>
                  </a:graphic>
                </wp:inline>
              </w:drawing>
            </w:r>
          </w:p>
        </w:tc>
      </w:tr>
    </w:tbl>
    <w:p w:rsidR="007718C7" w:rsidRDefault="007718C7" w:rsidP="00500E27">
      <w:pPr>
        <w:jc w:val="center"/>
        <w:rPr>
          <w:i/>
          <w:sz w:val="18"/>
          <w:szCs w:val="18"/>
        </w:rPr>
      </w:pPr>
      <w:r w:rsidRPr="00D70752">
        <w:rPr>
          <w:i/>
          <w:sz w:val="18"/>
          <w:szCs w:val="18"/>
        </w:rPr>
        <w:t>Note: Private hospitals are grouped in data reported for several states and territories.  Therefore</w:t>
      </w:r>
      <w:r>
        <w:rPr>
          <w:i/>
          <w:sz w:val="18"/>
          <w:szCs w:val="18"/>
        </w:rPr>
        <w:t>,</w:t>
      </w:r>
      <w:r w:rsidRPr="00D70752">
        <w:rPr>
          <w:i/>
          <w:sz w:val="18"/>
          <w:szCs w:val="18"/>
        </w:rPr>
        <w:t xml:space="preserve"> the ‘number of hospitals’ cannot be </w:t>
      </w:r>
      <w:r>
        <w:rPr>
          <w:i/>
          <w:sz w:val="18"/>
          <w:szCs w:val="18"/>
        </w:rPr>
        <w:t xml:space="preserve">derived from </w:t>
      </w:r>
      <w:r w:rsidRPr="00D70752">
        <w:rPr>
          <w:i/>
          <w:sz w:val="18"/>
          <w:szCs w:val="18"/>
        </w:rPr>
        <w:t xml:space="preserve">the APC data for private hospitals. </w:t>
      </w:r>
      <w:r>
        <w:rPr>
          <w:i/>
          <w:sz w:val="18"/>
          <w:szCs w:val="18"/>
        </w:rPr>
        <w:t xml:space="preserve">In this Table the number reflects the number of ‘entity codes’ reported in the NMDS. </w:t>
      </w:r>
      <w:r w:rsidRPr="00D70752">
        <w:rPr>
          <w:i/>
          <w:sz w:val="18"/>
          <w:szCs w:val="18"/>
        </w:rPr>
        <w:t>Private hospital data was not available in the dataset for 2011-12 for NSW, SA,WA, Tas. NT, ACT.</w:t>
      </w:r>
      <w:r>
        <w:rPr>
          <w:i/>
          <w:sz w:val="18"/>
          <w:szCs w:val="18"/>
        </w:rPr>
        <w:t xml:space="preserve">  </w:t>
      </w:r>
    </w:p>
    <w:tbl>
      <w:tblPr>
        <w:tblW w:w="9747" w:type="dxa"/>
        <w:tblLook w:val="00A0" w:firstRow="1" w:lastRow="0" w:firstColumn="1" w:lastColumn="0" w:noHBand="0" w:noVBand="0"/>
      </w:tblPr>
      <w:tblGrid>
        <w:gridCol w:w="9747"/>
      </w:tblGrid>
      <w:tr w:rsidR="007718C7" w:rsidRPr="00864829" w:rsidTr="00864829">
        <w:tc>
          <w:tcPr>
            <w:tcW w:w="9747" w:type="dxa"/>
          </w:tcPr>
          <w:p w:rsidR="007718C7" w:rsidRPr="00864829" w:rsidRDefault="007718C7" w:rsidP="00917904">
            <w:pPr>
              <w:spacing w:after="0"/>
              <w:contextualSpacing/>
              <w:jc w:val="center"/>
              <w:rPr>
                <w:rFonts w:ascii="Calibri" w:hAnsi="Calibri" w:cs="Arial"/>
                <w:b/>
                <w:color w:val="000000"/>
                <w:szCs w:val="20"/>
                <w:lang w:val="en-US"/>
              </w:rPr>
            </w:pPr>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26</w:t>
            </w:r>
            <w:r w:rsidRPr="00917904">
              <w:rPr>
                <w:b/>
                <w:sz w:val="18"/>
                <w:szCs w:val="18"/>
                <w:lang w:val="en-US"/>
              </w:rPr>
              <w:fldChar w:fldCharType="end"/>
            </w:r>
            <w:r w:rsidRPr="00917904">
              <w:rPr>
                <w:b/>
                <w:sz w:val="18"/>
                <w:szCs w:val="18"/>
                <w:lang w:val="en-US"/>
              </w:rPr>
              <w:t xml:space="preserve"> – Reporting of COF for private hospitals by state/territory, APC NMDS, 2009-10 t</w:t>
            </w:r>
            <w:r>
              <w:rPr>
                <w:b/>
                <w:sz w:val="18"/>
                <w:szCs w:val="18"/>
                <w:lang w:val="en-US"/>
              </w:rPr>
              <w:t>o</w:t>
            </w:r>
            <w:r w:rsidRPr="00917904">
              <w:rPr>
                <w:b/>
                <w:sz w:val="18"/>
                <w:szCs w:val="18"/>
                <w:lang w:val="en-US"/>
              </w:rPr>
              <w:t xml:space="preserve"> 2011-12</w:t>
            </w:r>
          </w:p>
        </w:tc>
      </w:tr>
      <w:tr w:rsidR="007718C7" w:rsidRPr="00864829" w:rsidTr="00864829">
        <w:tc>
          <w:tcPr>
            <w:tcW w:w="9747" w:type="dxa"/>
          </w:tcPr>
          <w:p w:rsidR="007718C7" w:rsidRPr="00864829" w:rsidRDefault="009B164C" w:rsidP="00864829">
            <w:pPr>
              <w:spacing w:after="0" w:line="240" w:lineRule="auto"/>
              <w:jc w:val="center"/>
              <w:rPr>
                <w:rFonts w:ascii="Calibri" w:hAnsi="Calibri" w:cs="Arial"/>
                <w:b/>
                <w:color w:val="000000"/>
                <w:szCs w:val="20"/>
                <w:lang w:val="en-US"/>
              </w:rPr>
            </w:pPr>
            <w:r>
              <w:rPr>
                <w:rFonts w:ascii="Calibri" w:hAnsi="Calibri"/>
                <w:noProof/>
                <w:szCs w:val="20"/>
                <w:lang w:eastAsia="en-AU"/>
              </w:rPr>
              <w:drawing>
                <wp:inline distT="0" distB="0" distL="0" distR="0" wp14:anchorId="6BB3849B" wp14:editId="60F32D03">
                  <wp:extent cx="5891530" cy="1837690"/>
                  <wp:effectExtent l="0" t="0" r="0" b="0"/>
                  <wp:docPr id="8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91530" cy="1837690"/>
                          </a:xfrm>
                          <a:prstGeom prst="rect">
                            <a:avLst/>
                          </a:prstGeom>
                          <a:noFill/>
                          <a:ln>
                            <a:noFill/>
                          </a:ln>
                        </pic:spPr>
                      </pic:pic>
                    </a:graphicData>
                  </a:graphic>
                </wp:inline>
              </w:drawing>
            </w:r>
          </w:p>
        </w:tc>
      </w:tr>
    </w:tbl>
    <w:p w:rsidR="007718C7" w:rsidRDefault="007718C7" w:rsidP="00500E27">
      <w:pPr>
        <w:jc w:val="center"/>
        <w:rPr>
          <w:i/>
          <w:sz w:val="18"/>
          <w:szCs w:val="18"/>
        </w:rPr>
      </w:pPr>
      <w:r w:rsidRPr="00D70752">
        <w:rPr>
          <w:i/>
          <w:sz w:val="18"/>
          <w:szCs w:val="18"/>
        </w:rPr>
        <w:t xml:space="preserve">Note: </w:t>
      </w:r>
      <w:r>
        <w:rPr>
          <w:i/>
          <w:sz w:val="18"/>
          <w:szCs w:val="18"/>
        </w:rPr>
        <w:t xml:space="preserve">Small cells have been supressed in this Table. </w:t>
      </w:r>
      <w:r w:rsidRPr="00D70752">
        <w:rPr>
          <w:i/>
          <w:sz w:val="18"/>
          <w:szCs w:val="18"/>
        </w:rPr>
        <w:t>Private hospitals are grouped in data reported for several states and territories.  Therefore</w:t>
      </w:r>
      <w:r>
        <w:rPr>
          <w:i/>
          <w:sz w:val="18"/>
          <w:szCs w:val="18"/>
        </w:rPr>
        <w:t>,</w:t>
      </w:r>
      <w:r w:rsidRPr="00D70752">
        <w:rPr>
          <w:i/>
          <w:sz w:val="18"/>
          <w:szCs w:val="18"/>
        </w:rPr>
        <w:t xml:space="preserve"> the ‘number of hospitals’ cannot be </w:t>
      </w:r>
      <w:r>
        <w:rPr>
          <w:i/>
          <w:sz w:val="18"/>
          <w:szCs w:val="18"/>
        </w:rPr>
        <w:t xml:space="preserve">derived from </w:t>
      </w:r>
      <w:r w:rsidRPr="00D70752">
        <w:rPr>
          <w:i/>
          <w:sz w:val="18"/>
          <w:szCs w:val="18"/>
        </w:rPr>
        <w:t xml:space="preserve">the APC data for private hospitals. </w:t>
      </w:r>
      <w:r>
        <w:rPr>
          <w:i/>
          <w:sz w:val="18"/>
          <w:szCs w:val="18"/>
        </w:rPr>
        <w:t xml:space="preserve">In this table the number reflects the number of ‘entity codes’ reported in the NMDS. </w:t>
      </w:r>
      <w:r w:rsidRPr="00D70752">
        <w:rPr>
          <w:i/>
          <w:sz w:val="18"/>
          <w:szCs w:val="18"/>
        </w:rPr>
        <w:t>Private hospital data was not available in the dataset for 2011-12 for NSW, SA,WA, Tas. NT, ACT.</w:t>
      </w:r>
      <w:r>
        <w:rPr>
          <w:i/>
          <w:sz w:val="18"/>
          <w:szCs w:val="18"/>
        </w:rPr>
        <w:t xml:space="preserve">  In all subsequent tables below, private hospitals have been excluded from analysis.</w:t>
      </w:r>
    </w:p>
    <w:tbl>
      <w:tblPr>
        <w:tblW w:w="9747" w:type="dxa"/>
        <w:tblLook w:val="00A0" w:firstRow="1" w:lastRow="0" w:firstColumn="1" w:lastColumn="0" w:noHBand="0" w:noVBand="0"/>
      </w:tblPr>
      <w:tblGrid>
        <w:gridCol w:w="9747"/>
      </w:tblGrid>
      <w:tr w:rsidR="007718C7" w:rsidRPr="00864829" w:rsidTr="00864829">
        <w:tc>
          <w:tcPr>
            <w:tcW w:w="9747" w:type="dxa"/>
          </w:tcPr>
          <w:p w:rsidR="007718C7" w:rsidRPr="00864829" w:rsidRDefault="007718C7" w:rsidP="00917904">
            <w:pPr>
              <w:spacing w:after="0"/>
              <w:contextualSpacing/>
              <w:jc w:val="center"/>
              <w:rPr>
                <w:rFonts w:ascii="Calibri" w:hAnsi="Calibri" w:cs="Arial"/>
                <w:b/>
                <w:color w:val="000000"/>
                <w:szCs w:val="20"/>
                <w:lang w:val="en-US"/>
              </w:rPr>
            </w:pPr>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27</w:t>
            </w:r>
            <w:r w:rsidRPr="00917904">
              <w:rPr>
                <w:b/>
                <w:sz w:val="18"/>
                <w:szCs w:val="18"/>
                <w:lang w:val="en-US"/>
              </w:rPr>
              <w:fldChar w:fldCharType="end"/>
            </w:r>
            <w:r w:rsidRPr="00917904">
              <w:rPr>
                <w:b/>
                <w:sz w:val="18"/>
                <w:szCs w:val="18"/>
                <w:lang w:val="en-US"/>
              </w:rPr>
              <w:t xml:space="preserve"> – Reporting of COF for public hospitals by state/territory,  APC NMDS, 2009-10 to 2011-12</w:t>
            </w:r>
          </w:p>
        </w:tc>
      </w:tr>
      <w:tr w:rsidR="007718C7" w:rsidRPr="00864829" w:rsidTr="00864829">
        <w:tc>
          <w:tcPr>
            <w:tcW w:w="9747" w:type="dxa"/>
          </w:tcPr>
          <w:p w:rsidR="007718C7" w:rsidRPr="00864829" w:rsidRDefault="009B164C" w:rsidP="00864829">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6C12ABEC" wp14:editId="235A62CA">
                  <wp:extent cx="5891530" cy="1915160"/>
                  <wp:effectExtent l="0" t="0" r="0" b="8890"/>
                  <wp:docPr id="8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91530" cy="1915160"/>
                          </a:xfrm>
                          <a:prstGeom prst="rect">
                            <a:avLst/>
                          </a:prstGeom>
                          <a:noFill/>
                          <a:ln>
                            <a:noFill/>
                          </a:ln>
                        </pic:spPr>
                      </pic:pic>
                    </a:graphicData>
                  </a:graphic>
                </wp:inline>
              </w:drawing>
            </w:r>
          </w:p>
        </w:tc>
      </w:tr>
    </w:tbl>
    <w:p w:rsidR="007718C7" w:rsidRDefault="007718C7" w:rsidP="00D626F4"/>
    <w:p w:rsidR="007718C7" w:rsidRDefault="007718C7" w:rsidP="00D626F4"/>
    <w:p w:rsidR="007718C7" w:rsidRDefault="007718C7" w:rsidP="00D626F4"/>
    <w:p w:rsidR="007718C7" w:rsidRDefault="007718C7"/>
    <w:p w:rsidR="007718C7" w:rsidRPr="00D626F4" w:rsidRDefault="007718C7" w:rsidP="00500E27">
      <w:pPr>
        <w:spacing w:after="0"/>
      </w:pPr>
    </w:p>
    <w:tbl>
      <w:tblPr>
        <w:tblW w:w="9747" w:type="dxa"/>
        <w:tblLook w:val="00A0" w:firstRow="1" w:lastRow="0" w:firstColumn="1" w:lastColumn="0" w:noHBand="0" w:noVBand="0"/>
      </w:tblPr>
      <w:tblGrid>
        <w:gridCol w:w="9747"/>
      </w:tblGrid>
      <w:tr w:rsidR="007718C7" w:rsidRPr="00864829" w:rsidTr="00864829">
        <w:tc>
          <w:tcPr>
            <w:tcW w:w="9747" w:type="dxa"/>
          </w:tcPr>
          <w:p w:rsidR="007718C7" w:rsidRPr="00917904" w:rsidRDefault="007718C7" w:rsidP="00917904">
            <w:pPr>
              <w:spacing w:after="0"/>
              <w:contextualSpacing/>
              <w:jc w:val="center"/>
              <w:rPr>
                <w:b/>
                <w:sz w:val="18"/>
                <w:szCs w:val="18"/>
                <w:lang w:val="en-US"/>
              </w:rPr>
            </w:pPr>
            <w:r w:rsidRPr="00917904">
              <w:rPr>
                <w:b/>
                <w:sz w:val="18"/>
                <w:szCs w:val="18"/>
                <w:lang w:val="en-US"/>
              </w:rPr>
              <w:t xml:space="preserve">Table </w:t>
            </w:r>
            <w:r w:rsidRPr="00917904">
              <w:rPr>
                <w:b/>
                <w:sz w:val="18"/>
                <w:szCs w:val="18"/>
                <w:lang w:val="en-US"/>
              </w:rPr>
              <w:fldChar w:fldCharType="begin"/>
            </w:r>
            <w:r w:rsidRPr="00917904">
              <w:rPr>
                <w:b/>
                <w:sz w:val="18"/>
                <w:szCs w:val="18"/>
                <w:lang w:val="en-US"/>
              </w:rPr>
              <w:instrText xml:space="preserve"> SEQ Table \* ARABIC </w:instrText>
            </w:r>
            <w:r w:rsidRPr="00917904">
              <w:rPr>
                <w:b/>
                <w:sz w:val="18"/>
                <w:szCs w:val="18"/>
                <w:lang w:val="en-US"/>
              </w:rPr>
              <w:fldChar w:fldCharType="separate"/>
            </w:r>
            <w:r w:rsidR="00363A39">
              <w:rPr>
                <w:b/>
                <w:noProof/>
                <w:sz w:val="18"/>
                <w:szCs w:val="18"/>
                <w:lang w:val="en-US"/>
              </w:rPr>
              <w:t>28</w:t>
            </w:r>
            <w:r w:rsidRPr="00917904">
              <w:rPr>
                <w:b/>
                <w:sz w:val="18"/>
                <w:szCs w:val="18"/>
                <w:lang w:val="en-US"/>
              </w:rPr>
              <w:fldChar w:fldCharType="end"/>
            </w:r>
            <w:r w:rsidRPr="00917904">
              <w:rPr>
                <w:b/>
                <w:sz w:val="18"/>
                <w:szCs w:val="18"/>
                <w:lang w:val="en-US"/>
              </w:rPr>
              <w:t xml:space="preserve"> – Reporting of COF by public hospitals by AIHW hospital peer group, </w:t>
            </w:r>
          </w:p>
          <w:p w:rsidR="007718C7" w:rsidRPr="00864829" w:rsidRDefault="007718C7" w:rsidP="00EE5291">
            <w:pPr>
              <w:spacing w:after="0"/>
              <w:contextualSpacing/>
              <w:jc w:val="center"/>
              <w:rPr>
                <w:rFonts w:ascii="Calibri" w:hAnsi="Calibri" w:cs="Arial"/>
                <w:b/>
                <w:color w:val="000000"/>
                <w:szCs w:val="20"/>
                <w:lang w:val="en-US"/>
              </w:rPr>
            </w:pPr>
            <w:r w:rsidRPr="00917904">
              <w:rPr>
                <w:b/>
                <w:sz w:val="18"/>
                <w:szCs w:val="18"/>
                <w:lang w:val="en-US"/>
              </w:rPr>
              <w:t>public hospitals, APC NMDS, 2009-10 t</w:t>
            </w:r>
            <w:r>
              <w:rPr>
                <w:b/>
                <w:sz w:val="18"/>
                <w:szCs w:val="18"/>
                <w:lang w:val="en-US"/>
              </w:rPr>
              <w:t>o</w:t>
            </w:r>
            <w:r w:rsidRPr="00917904">
              <w:rPr>
                <w:b/>
                <w:sz w:val="18"/>
                <w:szCs w:val="18"/>
                <w:lang w:val="en-US"/>
              </w:rPr>
              <w:t xml:space="preserve"> 2011-12</w:t>
            </w:r>
          </w:p>
        </w:tc>
      </w:tr>
      <w:tr w:rsidR="007718C7" w:rsidRPr="00864829" w:rsidTr="00864829">
        <w:tc>
          <w:tcPr>
            <w:tcW w:w="9747" w:type="dxa"/>
          </w:tcPr>
          <w:p w:rsidR="007718C7" w:rsidRPr="00864829" w:rsidRDefault="009B164C" w:rsidP="00864829">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5D8CA1FE" wp14:editId="772F7978">
                  <wp:extent cx="4408170" cy="2993390"/>
                  <wp:effectExtent l="0" t="0" r="0" b="0"/>
                  <wp:docPr id="8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08170" cy="2993390"/>
                          </a:xfrm>
                          <a:prstGeom prst="rect">
                            <a:avLst/>
                          </a:prstGeom>
                          <a:noFill/>
                          <a:ln>
                            <a:noFill/>
                          </a:ln>
                        </pic:spPr>
                      </pic:pic>
                    </a:graphicData>
                  </a:graphic>
                </wp:inline>
              </w:drawing>
            </w:r>
          </w:p>
        </w:tc>
      </w:tr>
    </w:tbl>
    <w:p w:rsidR="007718C7" w:rsidRDefault="007718C7" w:rsidP="00500E27">
      <w:pPr>
        <w:spacing w:after="0"/>
      </w:pPr>
    </w:p>
    <w:p w:rsidR="007718C7" w:rsidRPr="00D626F4" w:rsidRDefault="007718C7" w:rsidP="00107FBB">
      <w:pPr>
        <w:spacing w:after="0"/>
      </w:pPr>
    </w:p>
    <w:tbl>
      <w:tblPr>
        <w:tblW w:w="9747" w:type="dxa"/>
        <w:tblLook w:val="00A0" w:firstRow="1" w:lastRow="0" w:firstColumn="1" w:lastColumn="0" w:noHBand="0" w:noVBand="0"/>
      </w:tblPr>
      <w:tblGrid>
        <w:gridCol w:w="9747"/>
      </w:tblGrid>
      <w:tr w:rsidR="007718C7" w:rsidRPr="00864829" w:rsidTr="00864829">
        <w:tc>
          <w:tcPr>
            <w:tcW w:w="9747" w:type="dxa"/>
          </w:tcPr>
          <w:p w:rsidR="007718C7" w:rsidRPr="00864829" w:rsidRDefault="007718C7" w:rsidP="000F1C72">
            <w:pPr>
              <w:spacing w:after="0"/>
              <w:contextualSpacing/>
              <w:jc w:val="center"/>
              <w:rPr>
                <w:rFonts w:ascii="Calibri" w:hAnsi="Calibri" w:cs="Arial"/>
                <w:b/>
                <w:color w:val="000000"/>
                <w:szCs w:val="20"/>
                <w:lang w:val="en-US"/>
              </w:rPr>
            </w:pPr>
            <w:r w:rsidRPr="00EE5291">
              <w:rPr>
                <w:b/>
                <w:sz w:val="18"/>
                <w:szCs w:val="18"/>
                <w:lang w:val="en-US"/>
              </w:rPr>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29</w:t>
            </w:r>
            <w:r w:rsidRPr="00EE5291">
              <w:rPr>
                <w:b/>
                <w:sz w:val="18"/>
                <w:szCs w:val="18"/>
                <w:lang w:val="en-US"/>
              </w:rPr>
              <w:fldChar w:fldCharType="end"/>
            </w:r>
            <w:r w:rsidRPr="00EE5291">
              <w:rPr>
                <w:b/>
                <w:sz w:val="18"/>
                <w:szCs w:val="18"/>
                <w:lang w:val="en-US"/>
              </w:rPr>
              <w:t xml:space="preserve"> – Number of hospitals, total episodes and proportion of episodes with COF diagnosis reported at least once by AIHW hospital peer group, public hospitals reporting COF, APC NMDS, 2009-10 t</w:t>
            </w:r>
            <w:r>
              <w:rPr>
                <w:b/>
                <w:sz w:val="18"/>
                <w:szCs w:val="18"/>
                <w:lang w:val="en-US"/>
              </w:rPr>
              <w:t>o</w:t>
            </w:r>
            <w:r w:rsidRPr="00EE5291">
              <w:rPr>
                <w:b/>
                <w:sz w:val="18"/>
                <w:szCs w:val="18"/>
                <w:lang w:val="en-US"/>
              </w:rPr>
              <w:t xml:space="preserve"> 2011-12</w:t>
            </w:r>
          </w:p>
        </w:tc>
      </w:tr>
      <w:tr w:rsidR="007718C7" w:rsidRPr="00864829" w:rsidTr="00864829">
        <w:tc>
          <w:tcPr>
            <w:tcW w:w="9747" w:type="dxa"/>
          </w:tcPr>
          <w:p w:rsidR="007718C7" w:rsidRPr="00864829" w:rsidRDefault="009B164C" w:rsidP="00864829">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7353D585" wp14:editId="723342EE">
                  <wp:extent cx="5874385" cy="3191510"/>
                  <wp:effectExtent l="0" t="0" r="0" b="8890"/>
                  <wp:docPr id="8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74385" cy="3191510"/>
                          </a:xfrm>
                          <a:prstGeom prst="rect">
                            <a:avLst/>
                          </a:prstGeom>
                          <a:noFill/>
                          <a:ln>
                            <a:noFill/>
                          </a:ln>
                        </pic:spPr>
                      </pic:pic>
                    </a:graphicData>
                  </a:graphic>
                </wp:inline>
              </w:drawing>
            </w:r>
          </w:p>
        </w:tc>
      </w:tr>
    </w:tbl>
    <w:p w:rsidR="007718C7" w:rsidRDefault="007718C7" w:rsidP="00107FBB">
      <w:pPr>
        <w:spacing w:after="0"/>
      </w:pPr>
    </w:p>
    <w:p w:rsidR="007718C7" w:rsidRDefault="007718C7" w:rsidP="00500E27">
      <w:r>
        <w:br w:type="page"/>
      </w:r>
    </w:p>
    <w:tbl>
      <w:tblPr>
        <w:tblW w:w="9747" w:type="dxa"/>
        <w:tblLook w:val="00A0" w:firstRow="1" w:lastRow="0" w:firstColumn="1" w:lastColumn="0" w:noHBand="0" w:noVBand="0"/>
      </w:tblPr>
      <w:tblGrid>
        <w:gridCol w:w="9747"/>
      </w:tblGrid>
      <w:tr w:rsidR="007718C7" w:rsidRPr="00864829" w:rsidTr="00864829">
        <w:tc>
          <w:tcPr>
            <w:tcW w:w="9747" w:type="dxa"/>
          </w:tcPr>
          <w:p w:rsidR="007718C7" w:rsidRPr="00EE5291" w:rsidRDefault="007718C7" w:rsidP="00EE5291">
            <w:pPr>
              <w:spacing w:after="0"/>
              <w:contextualSpacing/>
              <w:jc w:val="center"/>
              <w:rPr>
                <w:b/>
                <w:sz w:val="18"/>
                <w:szCs w:val="18"/>
                <w:lang w:val="en-US"/>
              </w:rPr>
            </w:pPr>
            <w:r w:rsidRPr="00EE5291">
              <w:rPr>
                <w:b/>
                <w:sz w:val="18"/>
                <w:szCs w:val="18"/>
                <w:lang w:val="en-US"/>
              </w:rPr>
              <w:lastRenderedPageBreak/>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30</w:t>
            </w:r>
            <w:r w:rsidRPr="00EE5291">
              <w:rPr>
                <w:b/>
                <w:sz w:val="18"/>
                <w:szCs w:val="18"/>
                <w:lang w:val="en-US"/>
              </w:rPr>
              <w:fldChar w:fldCharType="end"/>
            </w:r>
            <w:r w:rsidRPr="00EE5291">
              <w:rPr>
                <w:b/>
                <w:sz w:val="18"/>
                <w:szCs w:val="18"/>
                <w:lang w:val="en-US"/>
              </w:rPr>
              <w:t xml:space="preserve"> – Total episodes and proportion of episodes with COF diagnosis reported at least once by care type, </w:t>
            </w:r>
          </w:p>
          <w:p w:rsidR="007718C7" w:rsidRPr="00864829" w:rsidRDefault="007718C7" w:rsidP="00EE5291">
            <w:pPr>
              <w:spacing w:after="0"/>
              <w:contextualSpacing/>
              <w:jc w:val="center"/>
              <w:rPr>
                <w:rFonts w:ascii="Calibri" w:hAnsi="Calibri" w:cs="Arial"/>
                <w:b/>
                <w:color w:val="000000"/>
                <w:szCs w:val="20"/>
                <w:lang w:val="en-US"/>
              </w:rPr>
            </w:pPr>
            <w:r w:rsidRPr="00EE5291">
              <w:rPr>
                <w:b/>
                <w:sz w:val="18"/>
                <w:szCs w:val="18"/>
                <w:lang w:val="en-US"/>
              </w:rPr>
              <w:t>public hospitals reporting COF, APC NMDS, 2009-10 t</w:t>
            </w:r>
            <w:r>
              <w:rPr>
                <w:b/>
                <w:sz w:val="18"/>
                <w:szCs w:val="18"/>
                <w:lang w:val="en-US"/>
              </w:rPr>
              <w:t>o</w:t>
            </w:r>
            <w:r w:rsidRPr="00EE5291">
              <w:rPr>
                <w:b/>
                <w:sz w:val="18"/>
                <w:szCs w:val="18"/>
                <w:lang w:val="en-US"/>
              </w:rPr>
              <w:t xml:space="preserve"> 2011-12</w:t>
            </w:r>
          </w:p>
        </w:tc>
      </w:tr>
      <w:tr w:rsidR="007718C7" w:rsidRPr="00864829" w:rsidTr="00864829">
        <w:tc>
          <w:tcPr>
            <w:tcW w:w="9747" w:type="dxa"/>
          </w:tcPr>
          <w:p w:rsidR="007718C7" w:rsidRPr="00864829" w:rsidRDefault="009B164C" w:rsidP="00864829">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339B88CA" wp14:editId="70DB8F9C">
                  <wp:extent cx="4408170" cy="2026920"/>
                  <wp:effectExtent l="0" t="0" r="0" b="0"/>
                  <wp:docPr id="8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08170" cy="2026920"/>
                          </a:xfrm>
                          <a:prstGeom prst="rect">
                            <a:avLst/>
                          </a:prstGeom>
                          <a:noFill/>
                          <a:ln>
                            <a:noFill/>
                          </a:ln>
                        </pic:spPr>
                      </pic:pic>
                    </a:graphicData>
                  </a:graphic>
                </wp:inline>
              </w:drawing>
            </w:r>
          </w:p>
        </w:tc>
      </w:tr>
    </w:tbl>
    <w:p w:rsidR="007718C7" w:rsidRDefault="007718C7" w:rsidP="005669AF">
      <w:pPr>
        <w:spacing w:after="0"/>
      </w:pPr>
    </w:p>
    <w:p w:rsidR="007718C7" w:rsidRDefault="007718C7" w:rsidP="00774799">
      <w:pPr>
        <w:spacing w:after="0"/>
      </w:pPr>
    </w:p>
    <w:tbl>
      <w:tblPr>
        <w:tblW w:w="9747" w:type="dxa"/>
        <w:tblLook w:val="00A0" w:firstRow="1" w:lastRow="0" w:firstColumn="1" w:lastColumn="0" w:noHBand="0" w:noVBand="0"/>
      </w:tblPr>
      <w:tblGrid>
        <w:gridCol w:w="9747"/>
      </w:tblGrid>
      <w:tr w:rsidR="007718C7" w:rsidRPr="00864829" w:rsidTr="00864829">
        <w:tc>
          <w:tcPr>
            <w:tcW w:w="9747" w:type="dxa"/>
          </w:tcPr>
          <w:p w:rsidR="007718C7" w:rsidRPr="00EE5291" w:rsidRDefault="007718C7" w:rsidP="00EE5291">
            <w:pPr>
              <w:spacing w:after="0"/>
              <w:contextualSpacing/>
              <w:jc w:val="center"/>
              <w:rPr>
                <w:b/>
                <w:sz w:val="18"/>
                <w:szCs w:val="18"/>
                <w:lang w:val="en-US"/>
              </w:rPr>
            </w:pPr>
            <w:r w:rsidRPr="00EE5291">
              <w:rPr>
                <w:b/>
                <w:sz w:val="18"/>
                <w:szCs w:val="18"/>
                <w:lang w:val="en-US"/>
              </w:rPr>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31</w:t>
            </w:r>
            <w:r w:rsidRPr="00EE5291">
              <w:rPr>
                <w:b/>
                <w:sz w:val="18"/>
                <w:szCs w:val="18"/>
                <w:lang w:val="en-US"/>
              </w:rPr>
              <w:fldChar w:fldCharType="end"/>
            </w:r>
            <w:r w:rsidRPr="00EE5291">
              <w:rPr>
                <w:b/>
                <w:sz w:val="18"/>
                <w:szCs w:val="18"/>
                <w:lang w:val="en-US"/>
              </w:rPr>
              <w:t xml:space="preserve"> – Proportion of newborn episodes reported with qualified days, </w:t>
            </w:r>
          </w:p>
          <w:p w:rsidR="007718C7" w:rsidRPr="00864829" w:rsidRDefault="007718C7" w:rsidP="00EE5291">
            <w:pPr>
              <w:spacing w:after="0"/>
              <w:contextualSpacing/>
              <w:jc w:val="center"/>
              <w:rPr>
                <w:rFonts w:ascii="Calibri" w:hAnsi="Calibri" w:cs="Arial"/>
                <w:b/>
                <w:color w:val="000000"/>
                <w:szCs w:val="20"/>
                <w:lang w:val="en-US"/>
              </w:rPr>
            </w:pPr>
            <w:r w:rsidRPr="00EE5291">
              <w:rPr>
                <w:b/>
                <w:sz w:val="18"/>
                <w:szCs w:val="18"/>
                <w:lang w:val="en-US"/>
              </w:rPr>
              <w:t>public hospitals reporting COF, APC NMDS, 2009-10 t</w:t>
            </w:r>
            <w:r>
              <w:rPr>
                <w:b/>
                <w:sz w:val="18"/>
                <w:szCs w:val="18"/>
                <w:lang w:val="en-US"/>
              </w:rPr>
              <w:t>o</w:t>
            </w:r>
            <w:r w:rsidRPr="00EE5291">
              <w:rPr>
                <w:b/>
                <w:sz w:val="18"/>
                <w:szCs w:val="18"/>
                <w:lang w:val="en-US"/>
              </w:rPr>
              <w:t xml:space="preserve"> 2011-12</w:t>
            </w:r>
          </w:p>
        </w:tc>
      </w:tr>
      <w:tr w:rsidR="007718C7" w:rsidRPr="00864829" w:rsidTr="00864829">
        <w:tc>
          <w:tcPr>
            <w:tcW w:w="9747" w:type="dxa"/>
          </w:tcPr>
          <w:p w:rsidR="007718C7" w:rsidRPr="00864829" w:rsidRDefault="009B164C" w:rsidP="00864829">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322158E5" wp14:editId="445C2162">
                  <wp:extent cx="3044825" cy="2087880"/>
                  <wp:effectExtent l="0" t="0" r="3175" b="7620"/>
                  <wp:docPr id="8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4825" cy="2087880"/>
                          </a:xfrm>
                          <a:prstGeom prst="rect">
                            <a:avLst/>
                          </a:prstGeom>
                          <a:noFill/>
                          <a:ln>
                            <a:noFill/>
                          </a:ln>
                        </pic:spPr>
                      </pic:pic>
                    </a:graphicData>
                  </a:graphic>
                </wp:inline>
              </w:drawing>
            </w:r>
          </w:p>
        </w:tc>
      </w:tr>
    </w:tbl>
    <w:p w:rsidR="007718C7" w:rsidRDefault="007718C7" w:rsidP="00774799">
      <w:pPr>
        <w:spacing w:after="0"/>
      </w:pPr>
    </w:p>
    <w:p w:rsidR="007718C7" w:rsidRDefault="007718C7" w:rsidP="005669AF">
      <w:pPr>
        <w:spacing w:after="0"/>
      </w:pPr>
    </w:p>
    <w:tbl>
      <w:tblPr>
        <w:tblW w:w="9747" w:type="dxa"/>
        <w:tblLook w:val="00A0" w:firstRow="1" w:lastRow="0" w:firstColumn="1" w:lastColumn="0" w:noHBand="0" w:noVBand="0"/>
      </w:tblPr>
      <w:tblGrid>
        <w:gridCol w:w="9747"/>
      </w:tblGrid>
      <w:tr w:rsidR="007718C7" w:rsidRPr="00864829" w:rsidTr="00864829">
        <w:tc>
          <w:tcPr>
            <w:tcW w:w="9747" w:type="dxa"/>
          </w:tcPr>
          <w:p w:rsidR="007718C7" w:rsidRPr="00EE5291" w:rsidRDefault="007718C7" w:rsidP="00EE5291">
            <w:pPr>
              <w:spacing w:after="0"/>
              <w:contextualSpacing/>
              <w:jc w:val="center"/>
              <w:rPr>
                <w:b/>
                <w:sz w:val="18"/>
                <w:szCs w:val="18"/>
                <w:lang w:val="en-US"/>
              </w:rPr>
            </w:pPr>
            <w:r w:rsidRPr="00EE5291">
              <w:rPr>
                <w:b/>
                <w:sz w:val="18"/>
                <w:szCs w:val="18"/>
                <w:lang w:val="en-US"/>
              </w:rPr>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32</w:t>
            </w:r>
            <w:r w:rsidRPr="00EE5291">
              <w:rPr>
                <w:b/>
                <w:sz w:val="18"/>
                <w:szCs w:val="18"/>
                <w:lang w:val="en-US"/>
              </w:rPr>
              <w:fldChar w:fldCharType="end"/>
            </w:r>
            <w:r w:rsidRPr="00EE5291">
              <w:rPr>
                <w:b/>
                <w:sz w:val="18"/>
                <w:szCs w:val="18"/>
                <w:lang w:val="en-US"/>
              </w:rPr>
              <w:t xml:space="preserve"> – Unqualified baby episodes with at least one COF diagnosis report, </w:t>
            </w:r>
          </w:p>
          <w:p w:rsidR="007718C7" w:rsidRPr="00864829" w:rsidRDefault="007718C7" w:rsidP="00EE5291">
            <w:pPr>
              <w:spacing w:after="0"/>
              <w:contextualSpacing/>
              <w:jc w:val="center"/>
              <w:rPr>
                <w:rFonts w:ascii="Calibri" w:hAnsi="Calibri" w:cs="Arial"/>
                <w:b/>
                <w:color w:val="000000"/>
                <w:szCs w:val="20"/>
                <w:lang w:val="en-US"/>
              </w:rPr>
            </w:pPr>
            <w:r w:rsidRPr="00EE5291">
              <w:rPr>
                <w:b/>
                <w:sz w:val="18"/>
                <w:szCs w:val="18"/>
                <w:lang w:val="en-US"/>
              </w:rPr>
              <w:t>public hospitals reporting COF, APC NMDS, 2009-10 t</w:t>
            </w:r>
            <w:r>
              <w:rPr>
                <w:b/>
                <w:sz w:val="18"/>
                <w:szCs w:val="18"/>
                <w:lang w:val="en-US"/>
              </w:rPr>
              <w:t>o</w:t>
            </w:r>
            <w:r w:rsidRPr="00EE5291">
              <w:rPr>
                <w:b/>
                <w:sz w:val="18"/>
                <w:szCs w:val="18"/>
                <w:lang w:val="en-US"/>
              </w:rPr>
              <w:t xml:space="preserve"> 2011-12</w:t>
            </w:r>
          </w:p>
        </w:tc>
      </w:tr>
      <w:tr w:rsidR="007718C7" w:rsidRPr="00864829" w:rsidTr="00864829">
        <w:tc>
          <w:tcPr>
            <w:tcW w:w="9747" w:type="dxa"/>
          </w:tcPr>
          <w:p w:rsidR="007718C7" w:rsidRPr="00864829" w:rsidRDefault="009B164C" w:rsidP="00864829">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1D797E6D" wp14:editId="58F3DC8F">
                  <wp:extent cx="4408170" cy="2026920"/>
                  <wp:effectExtent l="0" t="0" r="0" b="0"/>
                  <wp:docPr id="8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08170" cy="2026920"/>
                          </a:xfrm>
                          <a:prstGeom prst="rect">
                            <a:avLst/>
                          </a:prstGeom>
                          <a:noFill/>
                          <a:ln>
                            <a:noFill/>
                          </a:ln>
                        </pic:spPr>
                      </pic:pic>
                    </a:graphicData>
                  </a:graphic>
                </wp:inline>
              </w:drawing>
            </w:r>
          </w:p>
        </w:tc>
      </w:tr>
    </w:tbl>
    <w:p w:rsidR="007718C7" w:rsidRDefault="007718C7" w:rsidP="00774799">
      <w:pPr>
        <w:spacing w:after="0"/>
      </w:pPr>
    </w:p>
    <w:p w:rsidR="007718C7" w:rsidRDefault="007718C7" w:rsidP="00774799">
      <w:pPr>
        <w:spacing w:after="0"/>
      </w:pPr>
    </w:p>
    <w:p w:rsidR="000F1C72" w:rsidRDefault="000F1C72">
      <w:pPr>
        <w:spacing w:after="0" w:line="240" w:lineRule="auto"/>
      </w:pPr>
      <w:r>
        <w:br w:type="page"/>
      </w:r>
    </w:p>
    <w:p w:rsidR="007718C7" w:rsidRPr="00EE5291" w:rsidRDefault="007718C7" w:rsidP="00EE5291">
      <w:pPr>
        <w:spacing w:after="0"/>
        <w:contextualSpacing/>
        <w:jc w:val="center"/>
        <w:rPr>
          <w:b/>
          <w:sz w:val="18"/>
          <w:szCs w:val="18"/>
          <w:lang w:val="en-US"/>
        </w:rPr>
      </w:pPr>
    </w:p>
    <w:tbl>
      <w:tblPr>
        <w:tblW w:w="8363" w:type="dxa"/>
        <w:jc w:val="center"/>
        <w:tblLook w:val="00A0" w:firstRow="1" w:lastRow="0" w:firstColumn="1" w:lastColumn="0" w:noHBand="0" w:noVBand="0"/>
      </w:tblPr>
      <w:tblGrid>
        <w:gridCol w:w="8363"/>
      </w:tblGrid>
      <w:tr w:rsidR="007718C7" w:rsidRPr="00EE5291" w:rsidTr="00864829">
        <w:trPr>
          <w:jc w:val="center"/>
        </w:trPr>
        <w:tc>
          <w:tcPr>
            <w:tcW w:w="8363" w:type="dxa"/>
          </w:tcPr>
          <w:p w:rsidR="007718C7" w:rsidRPr="00EE5291" w:rsidRDefault="007718C7" w:rsidP="000F1C72">
            <w:pPr>
              <w:spacing w:after="0"/>
              <w:contextualSpacing/>
              <w:jc w:val="center"/>
              <w:rPr>
                <w:b/>
                <w:sz w:val="18"/>
                <w:szCs w:val="18"/>
                <w:lang w:val="en-US"/>
              </w:rPr>
            </w:pPr>
            <w:r w:rsidRPr="00EE5291">
              <w:rPr>
                <w:b/>
                <w:sz w:val="18"/>
                <w:szCs w:val="18"/>
                <w:lang w:val="en-US"/>
              </w:rPr>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33</w:t>
            </w:r>
            <w:r w:rsidRPr="00EE5291">
              <w:rPr>
                <w:b/>
                <w:sz w:val="18"/>
                <w:szCs w:val="18"/>
                <w:lang w:val="en-US"/>
              </w:rPr>
              <w:fldChar w:fldCharType="end"/>
            </w:r>
            <w:r w:rsidRPr="00EE5291">
              <w:rPr>
                <w:b/>
                <w:sz w:val="18"/>
                <w:szCs w:val="18"/>
                <w:lang w:val="en-US"/>
              </w:rPr>
              <w:t xml:space="preserve"> – Total episodes and proportion of episodes with COF diagnosis reported at least once by day only/overnight status and admission status, public hospitals reporting COF, APC NMDS, 2009-10 t</w:t>
            </w:r>
            <w:r>
              <w:rPr>
                <w:b/>
                <w:sz w:val="18"/>
                <w:szCs w:val="18"/>
                <w:lang w:val="en-US"/>
              </w:rPr>
              <w:t>o</w:t>
            </w:r>
            <w:r w:rsidRPr="00EE5291">
              <w:rPr>
                <w:b/>
                <w:sz w:val="18"/>
                <w:szCs w:val="18"/>
                <w:lang w:val="en-US"/>
              </w:rPr>
              <w:t xml:space="preserve"> 2011-12</w:t>
            </w:r>
          </w:p>
        </w:tc>
      </w:tr>
      <w:tr w:rsidR="007718C7" w:rsidRPr="00864829" w:rsidTr="00864829">
        <w:trPr>
          <w:jc w:val="center"/>
        </w:trPr>
        <w:tc>
          <w:tcPr>
            <w:tcW w:w="8363" w:type="dxa"/>
          </w:tcPr>
          <w:p w:rsidR="007718C7" w:rsidRPr="00864829" w:rsidRDefault="009B164C" w:rsidP="00864829">
            <w:pPr>
              <w:spacing w:after="0" w:line="240" w:lineRule="auto"/>
              <w:jc w:val="center"/>
              <w:rPr>
                <w:rFonts w:ascii="Calibri" w:hAnsi="Calibri"/>
                <w:szCs w:val="20"/>
                <w:lang w:val="en-US"/>
              </w:rPr>
            </w:pPr>
            <w:r>
              <w:rPr>
                <w:rFonts w:ascii="Calibri" w:hAnsi="Calibri"/>
                <w:noProof/>
                <w:szCs w:val="20"/>
                <w:lang w:eastAsia="en-AU"/>
              </w:rPr>
              <w:drawing>
                <wp:inline distT="0" distB="0" distL="0" distR="0" wp14:anchorId="1E61464C" wp14:editId="14D29E1D">
                  <wp:extent cx="4408170" cy="2432685"/>
                  <wp:effectExtent l="0" t="0" r="0" b="5715"/>
                  <wp:docPr id="8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08170" cy="2432685"/>
                          </a:xfrm>
                          <a:prstGeom prst="rect">
                            <a:avLst/>
                          </a:prstGeom>
                          <a:noFill/>
                          <a:ln>
                            <a:noFill/>
                          </a:ln>
                        </pic:spPr>
                      </pic:pic>
                    </a:graphicData>
                  </a:graphic>
                </wp:inline>
              </w:drawing>
            </w:r>
          </w:p>
        </w:tc>
      </w:tr>
    </w:tbl>
    <w:p w:rsidR="007718C7" w:rsidRDefault="007718C7" w:rsidP="005669AF">
      <w:pPr>
        <w:spacing w:after="0"/>
      </w:pPr>
    </w:p>
    <w:tbl>
      <w:tblPr>
        <w:tblW w:w="9747" w:type="dxa"/>
        <w:tblLook w:val="00A0" w:firstRow="1" w:lastRow="0" w:firstColumn="1" w:lastColumn="0" w:noHBand="0" w:noVBand="0"/>
      </w:tblPr>
      <w:tblGrid>
        <w:gridCol w:w="9747"/>
      </w:tblGrid>
      <w:tr w:rsidR="007718C7" w:rsidRPr="00864829" w:rsidTr="00864829">
        <w:tc>
          <w:tcPr>
            <w:tcW w:w="9747" w:type="dxa"/>
          </w:tcPr>
          <w:p w:rsidR="007718C7" w:rsidRPr="00864829" w:rsidRDefault="007718C7" w:rsidP="00EE5291">
            <w:pPr>
              <w:spacing w:after="0"/>
              <w:contextualSpacing/>
              <w:jc w:val="center"/>
              <w:rPr>
                <w:rFonts w:ascii="Calibri" w:hAnsi="Calibri" w:cs="Arial"/>
                <w:b/>
                <w:color w:val="000000"/>
                <w:szCs w:val="20"/>
                <w:lang w:val="en-US"/>
              </w:rPr>
            </w:pPr>
            <w:r w:rsidRPr="00EE5291">
              <w:rPr>
                <w:b/>
                <w:sz w:val="18"/>
                <w:szCs w:val="18"/>
                <w:lang w:val="en-US"/>
              </w:rPr>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34</w:t>
            </w:r>
            <w:r w:rsidRPr="00EE5291">
              <w:rPr>
                <w:b/>
                <w:sz w:val="18"/>
                <w:szCs w:val="18"/>
                <w:lang w:val="en-US"/>
              </w:rPr>
              <w:fldChar w:fldCharType="end"/>
            </w:r>
            <w:r w:rsidRPr="00EE5291">
              <w:rPr>
                <w:b/>
                <w:sz w:val="18"/>
                <w:szCs w:val="18"/>
                <w:lang w:val="en-US"/>
              </w:rPr>
              <w:t xml:space="preserve"> – Reporting of COF with all proposed exclusion applied, NHCDC 2009-10 to 2011-12</w:t>
            </w:r>
          </w:p>
        </w:tc>
      </w:tr>
    </w:tbl>
    <w:p w:rsidR="007718C7" w:rsidRDefault="009B164C" w:rsidP="001F68F5">
      <w:pPr>
        <w:jc w:val="center"/>
      </w:pPr>
      <w:r>
        <w:rPr>
          <w:noProof/>
          <w:lang w:eastAsia="en-AU"/>
        </w:rPr>
        <w:drawing>
          <wp:inline distT="0" distB="0" distL="0" distR="0" wp14:anchorId="6F088377" wp14:editId="34A870A1">
            <wp:extent cx="5607050" cy="2139315"/>
            <wp:effectExtent l="0" t="0" r="0" b="0"/>
            <wp:docPr id="8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07050" cy="2139315"/>
                    </a:xfrm>
                    <a:prstGeom prst="rect">
                      <a:avLst/>
                    </a:prstGeom>
                    <a:noFill/>
                    <a:ln>
                      <a:noFill/>
                    </a:ln>
                  </pic:spPr>
                </pic:pic>
              </a:graphicData>
            </a:graphic>
          </wp:inline>
        </w:drawing>
      </w:r>
    </w:p>
    <w:p w:rsidR="007718C7" w:rsidRDefault="007718C7"/>
    <w:p w:rsidR="007718C7" w:rsidRDefault="007718C7">
      <w:r>
        <w:br w:type="page"/>
      </w:r>
    </w:p>
    <w:p w:rsidR="007718C7" w:rsidRPr="00EE5291" w:rsidRDefault="007718C7" w:rsidP="00EE5291">
      <w:pPr>
        <w:spacing w:after="0"/>
        <w:contextualSpacing/>
        <w:jc w:val="center"/>
        <w:rPr>
          <w:b/>
          <w:sz w:val="18"/>
          <w:szCs w:val="18"/>
          <w:lang w:val="en-US"/>
        </w:rPr>
      </w:pPr>
      <w:bookmarkStart w:id="76" w:name="_Ref368139988"/>
      <w:r w:rsidRPr="00EE5291">
        <w:rPr>
          <w:b/>
          <w:sz w:val="18"/>
          <w:szCs w:val="18"/>
          <w:lang w:val="en-US"/>
        </w:rPr>
        <w:lastRenderedPageBreak/>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35</w:t>
      </w:r>
      <w:r w:rsidRPr="00EE5291">
        <w:rPr>
          <w:b/>
          <w:sz w:val="18"/>
          <w:szCs w:val="18"/>
          <w:lang w:val="en-US"/>
        </w:rPr>
        <w:fldChar w:fldCharType="end"/>
      </w:r>
      <w:bookmarkEnd w:id="76"/>
      <w:r w:rsidRPr="00EE5291">
        <w:rPr>
          <w:b/>
          <w:sz w:val="18"/>
          <w:szCs w:val="18"/>
          <w:lang w:val="en-US"/>
        </w:rPr>
        <w:t xml:space="preserve"> – CHADx codes, after application of data </w:t>
      </w:r>
      <w:r w:rsidR="002F611A">
        <w:rPr>
          <w:b/>
          <w:sz w:val="18"/>
          <w:szCs w:val="18"/>
          <w:lang w:val="en-US"/>
        </w:rPr>
        <w:t>cleaning</w:t>
      </w:r>
      <w:r w:rsidRPr="00EE5291">
        <w:rPr>
          <w:b/>
          <w:sz w:val="18"/>
          <w:szCs w:val="18"/>
          <w:lang w:val="en-US"/>
        </w:rPr>
        <w:t xml:space="preserve"> algorithms, by CHADx Class,</w:t>
      </w:r>
    </w:p>
    <w:p w:rsidR="007718C7" w:rsidRPr="00EE5291" w:rsidRDefault="007718C7" w:rsidP="00C9170D">
      <w:pPr>
        <w:spacing w:after="0"/>
        <w:contextualSpacing/>
        <w:jc w:val="center"/>
        <w:rPr>
          <w:b/>
          <w:sz w:val="18"/>
          <w:szCs w:val="18"/>
          <w:lang w:val="en-US"/>
        </w:rPr>
      </w:pPr>
      <w:r w:rsidRPr="00EE5291">
        <w:rPr>
          <w:b/>
          <w:sz w:val="18"/>
          <w:szCs w:val="18"/>
          <w:lang w:val="en-US"/>
        </w:rPr>
        <w:t>APC within initial exclusions applied, 2011-12</w:t>
      </w:r>
    </w:p>
    <w:tbl>
      <w:tblPr>
        <w:tblW w:w="949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7230"/>
        <w:gridCol w:w="1417"/>
        <w:gridCol w:w="851"/>
      </w:tblGrid>
      <w:tr w:rsidR="007718C7" w:rsidRPr="000F1C72" w:rsidTr="00EE5291">
        <w:trPr>
          <w:trHeight w:val="300"/>
          <w:tblHeader/>
        </w:trPr>
        <w:tc>
          <w:tcPr>
            <w:tcW w:w="7230" w:type="dxa"/>
            <w:vMerge w:val="restart"/>
            <w:shd w:val="clear" w:color="auto" w:fill="003D79"/>
            <w:vAlign w:val="center"/>
          </w:tcPr>
          <w:p w:rsidR="007718C7" w:rsidRPr="000F1C72" w:rsidRDefault="007718C7" w:rsidP="00C57823">
            <w:pPr>
              <w:spacing w:after="0" w:line="240" w:lineRule="auto"/>
              <w:jc w:val="center"/>
              <w:rPr>
                <w:rFonts w:cs="Calibri"/>
                <w:b/>
                <w:color w:val="FFFFFF"/>
                <w:sz w:val="18"/>
                <w:szCs w:val="18"/>
                <w:lang w:eastAsia="en-AU"/>
              </w:rPr>
            </w:pPr>
            <w:r w:rsidRPr="000F1C72">
              <w:rPr>
                <w:rFonts w:cs="Calibri"/>
                <w:b/>
                <w:color w:val="FFFFFF"/>
                <w:sz w:val="18"/>
                <w:szCs w:val="18"/>
                <w:lang w:eastAsia="en-AU"/>
              </w:rPr>
              <w:t>CHADx classes</w:t>
            </w:r>
          </w:p>
        </w:tc>
        <w:tc>
          <w:tcPr>
            <w:tcW w:w="1417" w:type="dxa"/>
            <w:vMerge w:val="restart"/>
            <w:shd w:val="clear" w:color="auto" w:fill="003D79"/>
            <w:vAlign w:val="center"/>
          </w:tcPr>
          <w:p w:rsidR="007718C7" w:rsidRPr="000F1C72" w:rsidRDefault="007718C7" w:rsidP="00C9170D">
            <w:pPr>
              <w:spacing w:after="0" w:line="240" w:lineRule="auto"/>
              <w:jc w:val="center"/>
              <w:rPr>
                <w:rFonts w:cs="Calibri"/>
                <w:b/>
                <w:color w:val="FFFFFF"/>
                <w:sz w:val="18"/>
                <w:szCs w:val="18"/>
                <w:lang w:eastAsia="en-AU"/>
              </w:rPr>
            </w:pPr>
            <w:r w:rsidRPr="000F1C72">
              <w:rPr>
                <w:rFonts w:cs="Calibri"/>
                <w:b/>
                <w:color w:val="FFFFFF"/>
                <w:sz w:val="18"/>
                <w:szCs w:val="18"/>
                <w:lang w:eastAsia="en-AU"/>
              </w:rPr>
              <w:t xml:space="preserve">CHADx codes after data </w:t>
            </w:r>
            <w:r w:rsidR="002F611A" w:rsidRPr="000F1C72">
              <w:rPr>
                <w:rFonts w:cs="Calibri"/>
                <w:b/>
                <w:color w:val="FFFFFF"/>
                <w:sz w:val="18"/>
                <w:szCs w:val="18"/>
                <w:lang w:eastAsia="en-AU"/>
              </w:rPr>
              <w:t>cleaning</w:t>
            </w:r>
          </w:p>
        </w:tc>
        <w:tc>
          <w:tcPr>
            <w:tcW w:w="851" w:type="dxa"/>
            <w:vMerge w:val="restart"/>
            <w:shd w:val="clear" w:color="auto" w:fill="003D79"/>
            <w:vAlign w:val="center"/>
          </w:tcPr>
          <w:p w:rsidR="007718C7" w:rsidRPr="000F1C72" w:rsidRDefault="007718C7" w:rsidP="00C9170D">
            <w:pPr>
              <w:spacing w:after="0" w:line="240" w:lineRule="auto"/>
              <w:jc w:val="center"/>
              <w:rPr>
                <w:rFonts w:cs="Calibri"/>
                <w:b/>
                <w:color w:val="FFFFFF"/>
                <w:sz w:val="18"/>
                <w:szCs w:val="18"/>
                <w:lang w:eastAsia="en-AU"/>
              </w:rPr>
            </w:pPr>
            <w:r w:rsidRPr="000F1C72">
              <w:rPr>
                <w:rFonts w:cs="Calibri"/>
                <w:b/>
                <w:color w:val="FFFFFF"/>
                <w:sz w:val="18"/>
                <w:szCs w:val="18"/>
                <w:lang w:eastAsia="en-AU"/>
              </w:rPr>
              <w:t>% of all CHADx codes</w:t>
            </w:r>
          </w:p>
        </w:tc>
      </w:tr>
      <w:tr w:rsidR="007718C7" w:rsidRPr="000F1C72" w:rsidTr="00EE5291">
        <w:trPr>
          <w:trHeight w:val="530"/>
          <w:tblHeader/>
        </w:trPr>
        <w:tc>
          <w:tcPr>
            <w:tcW w:w="7230" w:type="dxa"/>
            <w:vMerge/>
            <w:shd w:val="clear" w:color="auto" w:fill="003D79"/>
            <w:vAlign w:val="center"/>
          </w:tcPr>
          <w:p w:rsidR="007718C7" w:rsidRPr="000F1C72" w:rsidRDefault="007718C7" w:rsidP="00C57823">
            <w:pPr>
              <w:spacing w:after="0" w:line="240" w:lineRule="auto"/>
              <w:rPr>
                <w:rFonts w:cs="Calibri"/>
                <w:color w:val="FFFFFF"/>
                <w:sz w:val="18"/>
                <w:szCs w:val="18"/>
                <w:lang w:eastAsia="en-AU"/>
              </w:rPr>
            </w:pPr>
          </w:p>
        </w:tc>
        <w:tc>
          <w:tcPr>
            <w:tcW w:w="1417" w:type="dxa"/>
            <w:vMerge/>
            <w:shd w:val="clear" w:color="auto" w:fill="003D79"/>
            <w:vAlign w:val="center"/>
          </w:tcPr>
          <w:p w:rsidR="007718C7" w:rsidRPr="000F1C72" w:rsidRDefault="007718C7" w:rsidP="00C9170D">
            <w:pPr>
              <w:spacing w:after="0" w:line="240" w:lineRule="auto"/>
              <w:jc w:val="right"/>
              <w:rPr>
                <w:rFonts w:cs="Calibri"/>
                <w:color w:val="FFFFFF"/>
                <w:sz w:val="18"/>
                <w:szCs w:val="18"/>
                <w:lang w:eastAsia="en-AU"/>
              </w:rPr>
            </w:pPr>
          </w:p>
        </w:tc>
        <w:tc>
          <w:tcPr>
            <w:tcW w:w="851" w:type="dxa"/>
            <w:vMerge/>
            <w:shd w:val="clear" w:color="auto" w:fill="003D79"/>
            <w:vAlign w:val="center"/>
          </w:tcPr>
          <w:p w:rsidR="007718C7" w:rsidRPr="000F1C72" w:rsidRDefault="007718C7" w:rsidP="00C9170D">
            <w:pPr>
              <w:spacing w:after="0" w:line="240" w:lineRule="auto"/>
              <w:jc w:val="right"/>
              <w:rPr>
                <w:rFonts w:cs="Calibri"/>
                <w:color w:val="FFFFFF"/>
                <w:sz w:val="18"/>
                <w:szCs w:val="18"/>
                <w:lang w:eastAsia="en-AU"/>
              </w:rPr>
            </w:pP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1.01  Complications of Infusion /Transfusion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2,215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1.02  Gas Embolism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1.03  Failed or Difficult Intubation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903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1.04  Other haemorrhage &amp; haematoma complicating a procedure (not elsewhere classified)</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10,982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1.05  Accidental puncture/lac during procedure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5,705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0.7%</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1.06  Foreign body or substance left following procedure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1.07  Other complications of surgical and Medical NEC (including shock)</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5,234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0.6%</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1.08  Disruption of wound</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2,720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1.09  Wound infection (excluding sepsis)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4,511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1.10  Complications of cardiac and vascular implants (excluding sepsis)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11,169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1.11  Complications of genitourinary implants (excluding Septicaemia)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2,838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1.12  Complications of orthopaedic implants (excluding Septicaemia)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1,202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1.13  Complications of other implants (excluding Septicaemia)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4,082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1.14  Complications of Transplants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563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1.15  Complications of reattachment and amputations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181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1.16  Post-procedural disorders: Endocrine &amp; Metabolic</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126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1.17  Post-procedural disorders: Nervous system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1,048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1.18  Post-procedural disorders: Eye &amp; Ear</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228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1.19  Post-procedural disorders: Circulatory system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4,831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0.6%</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  Post-procedural disorders: Respiratory system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4,263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1.21  Post-procedural disorders: Digestive system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5,304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0.6%</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1.22  Post-procedural disorders: Musculoskeletal system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240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1.23  Post-procedural disorders: Genitourinary system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2,354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2.01  Skin adverse effects due to systemic antibiotics, anti-infectives and other antiparasitics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2,113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2.02  Other adverse effects due to Systemic antibiotics, anti-infectives and other antiparasitics.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3,620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2.03  Nausea and vomiting due to antineoplastic drugs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231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2.04  Other adverse effects due to antineoplastic drugs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1,473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2.05  Coagulation defect due to drugs affecting blood constituents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503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2.06  Other adverse effects due to drugs affecting blood constituents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3,748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2.07  Nausea and vomiting due to opioids and related analgesics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1,024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2.08  Alterations to mental state due to opioids and related analgesics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2,009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2.09  Other adverse effects due to opioids and related analgesics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3,220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2.10  Adverse effects due to anaesthesia (Incl. misadventure)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898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2.11  Hypotension due to anaesthesia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575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2.12  Alterations to mental state due to anaesthesia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404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2.13  Other adverse effects due to drugs affecting the cardiovascular system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1,454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2.14  Hypotension due to drugs affecting the cardiovascular system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1,196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2.15  Adverse effects due to insulin &amp; oral hypoglycaemics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140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2.16  Adverse effects due to other drugs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8,046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lastRenderedPageBreak/>
              <w:t>2.17  Anaphylactic shock due to correct drug properly administered</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455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2.18  Accidental overdose of drug or wrong drug given or taken in error</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729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3.01  Falls with fractured  femur</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286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3.02  Falls with intracranial injury</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295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3.03  All other falls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8,453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3.04  Injury due to assault</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204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3.05  Other patient accidents (exc poisoning)</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4,169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4.01  Sepsis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4.02  Mycoses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6,226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0.7%</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4.03  Methicillin resistant agent</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607</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4.04  Other drug resistant infections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1,677</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4.05  Other infectious agents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1,933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5.01  AMI</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4,482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5.02  Pulmonary Embolism (PE)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1,218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5.03  Cardiac arrythmias, conduction disturbances &amp; abnormal heart beat</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33,074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3.8%</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5.04  Ventricular Fibrillation/ Cardiac arrest</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2,788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5.05  Heart Failure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4,800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5.06  Hypotension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35,738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5.07  Cerebro-vascular Disease &amp; TIA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2,406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5.08  Venous thrombosis/embolism (not progressing to PE)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2,326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5.09  Unstable and other angina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930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5.10  Cardiogenic and Other Shock</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1,109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5.11  Other Circulatory System Complications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2,060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6.01  ARDS, respiratory failure and pulmonary collapse (includes atelectasis)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11,379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6.02  Aspiration pneumonia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2,187</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6.03  Acute lower respiratory infections (incl influenza &amp; pneumonia)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12,043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6.04  Pulmonary oedema, pneumothorax &amp; pleural effusion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5,553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0.6%</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6.05  Haemorrhage from respiratory passages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2,926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6.06  Asphyxia &amp; respiratory arrest</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1,898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6.07  Breathing difficulties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4,791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6.08  Other Hospital-acquired Respiratory Disorders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4,232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7.01  Gastro enteritis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10,863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7.02  Paralytic Ileus &amp; Intestinal Obstruction (w/o hernia)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3,385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 xml:space="preserve">7.03  Enterocolitis dt </w:t>
            </w:r>
            <w:r w:rsidRPr="000F1C72">
              <w:rPr>
                <w:rFonts w:cs="Calibri"/>
                <w:i/>
                <w:color w:val="000000"/>
                <w:sz w:val="18"/>
                <w:szCs w:val="18"/>
                <w:lang w:eastAsia="en-AU"/>
              </w:rPr>
              <w:t>Clostridium difficile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1,739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7.04  Constipation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18,219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7.05  Nausea and Vomiting</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18,348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7.06  GI Bleeding not classified to a disease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4,173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7.07  Other Digestive System Disorders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6,810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0.8%</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8.01  Pressure Ulcers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7,962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8.02  Cellullitis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2,225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8.03  Dermatitis, Rash and Other skin effects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16,328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8.04  Other Skin Disorders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2,603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lastRenderedPageBreak/>
              <w:t>9.01  Acute &amp; Unspecified Renal Failure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11,477</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9.02  Urinary tract infection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13,233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9.03  Urinary Retention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11,485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9.04  Other Complications and Symptoms of the Urinary System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11,873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9.05  Other complications of male &amp; female genitals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1,800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10.01 Depressive episode &amp; symptoms involving emotional state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5,702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0.7%</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10.02 Panic and other anxiety disorders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2,466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10.03 Adjustment &amp; Other Psych Disorders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984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10.04 Alterations to mental state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16,867</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10.05 Mental &amp; behavioural disorders due to psychoactive substance use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1,850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10.06 Patient self-harm (includes intentional and undetermined intent overdose)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985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11.01 Complication of Abortion, Ectopic and Molar pregnancies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887</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12.01 Foetal heart rate abnomalies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20,225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12.02 Foetal meconium and other distress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8,514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12.03 Complications of umbilical cord</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8,928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12.04 Unsuccessful Interventions During  Labour</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5,161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0.6%</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12.05 Complications of Maternal Anaesthetic during pregnancy and puerperium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1,114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12.06 First degree and unspecified perineal laceration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14,186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1.6%</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12.07 Second degree perineal laceration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39,144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12.08 Third degree and Fourth degree perineal laceration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4,724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12.09 Maternal Haemorrhage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25,241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12.10 Other Obstetric Trauma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17,304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12.11 Other complications intrapartum &amp; postpartum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15,198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1.7%</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12.12 Retained Placenta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841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12.13 Maternal Infection (excluding wound infection)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3,005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12.14 Breast Disorders associated with childbirth</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16,950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12.15 Other Disorders Predominately related to pregnancy</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2,215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0.3%</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13.01 Prenatal injuries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1,234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13.02 Intracranial Haemorrhage, Hypoxia and Other Brain Injuries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3,165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13.03 Other Birth Trauma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809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13.04 Respiratory Distress of Newborn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8,113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13.05 Aspiration &amp; Other Respiratory Disorders of Newborn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6,032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0.7%</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13.06 Circulatory Disorders of Newborn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4,448</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13.07 Perinatal infections (exc septicaemia)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3,225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13.08 Haemorrhage and Blood Disorders of Newborn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365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13.09 Jaundice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8,692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13.10 GI and Feeding Disorders of Newborn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10,684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13.11 Other Neonatal Complications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17,772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2.0%</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14.01 Post Haemorrhagic Anaemia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6,592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0.8%</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14.02 Other Hospital-acquired Anaemia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16,712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14.03 Coagulation defects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2,036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lastRenderedPageBreak/>
              <w:t>14.04 Agranulocytosis, Thrombocytopenia and other blood disorders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6,196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0.7%</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15.01 Dehydration / volume depletion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14,177</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1.6%</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15.02 Electrolyte disorders w/o dehydration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42,096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4.8%</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15.03 Hospital-acquired Nutrition Deficiencies (incl nutritional anaemia)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7,110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0.8%</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15.04 Hypoglycaemia and Hyperglycaemia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1,666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15.05  Disorders of mineral metabolism</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13,303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15.06 SIADH, Hyperthyroidism &amp; Other metabolic disorders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645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0.1%</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16.01 Hospital-acquired Paralysis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1,319</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16.02 Dystonia, Tremors and Gait disorders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2,146</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16.03 Other Nervous System Complications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3,740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17.01 Major Symptoms (includes instantaneous death)</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3,574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17.02 Headache &amp; Migraine</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7,684</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17.03 Oedema &amp; Ascites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3,301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17.04 Chest Pain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11,957</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17.05 Abdominal Pain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4,127</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0.5%</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17.06 Fever (not classified to condition)</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10,862</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17.07 Convulsions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1,941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0.2%</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17.08 Dizziness, Fainting &amp; Blackout</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7,161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0.8%</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17.09 Complications of the Eye and Ear</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3,571</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17.10 Musculoskeletal Complications (not associated with falls)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7,945</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0.9%</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17.11 Dysphagia</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3,720</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0.4%</w:t>
            </w:r>
          </w:p>
        </w:tc>
      </w:tr>
      <w:tr w:rsidR="007718C7" w:rsidRPr="000F1C72" w:rsidTr="00C9170D">
        <w:trPr>
          <w:trHeight w:val="300"/>
        </w:trPr>
        <w:tc>
          <w:tcPr>
            <w:tcW w:w="7230" w:type="dxa"/>
          </w:tcPr>
          <w:p w:rsidR="007718C7" w:rsidRPr="000F1C72" w:rsidRDefault="007718C7" w:rsidP="00C57823">
            <w:pPr>
              <w:spacing w:after="0" w:line="240" w:lineRule="auto"/>
              <w:rPr>
                <w:rFonts w:cs="Calibri"/>
                <w:color w:val="000000"/>
                <w:sz w:val="18"/>
                <w:szCs w:val="18"/>
                <w:lang w:eastAsia="en-AU"/>
              </w:rPr>
            </w:pPr>
            <w:r w:rsidRPr="000F1C72">
              <w:rPr>
                <w:rFonts w:cs="Calibri"/>
                <w:color w:val="000000"/>
                <w:sz w:val="18"/>
                <w:szCs w:val="18"/>
                <w:lang w:eastAsia="en-AU"/>
              </w:rPr>
              <w:t>17.12 Other Symptoms</w:t>
            </w:r>
          </w:p>
        </w:tc>
        <w:tc>
          <w:tcPr>
            <w:tcW w:w="1417"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10,843</w:t>
            </w:r>
          </w:p>
        </w:tc>
        <w:tc>
          <w:tcPr>
            <w:tcW w:w="851" w:type="dxa"/>
          </w:tcPr>
          <w:p w:rsidR="007718C7" w:rsidRPr="000F1C72" w:rsidRDefault="007718C7" w:rsidP="00C9170D">
            <w:pPr>
              <w:spacing w:after="0" w:line="240" w:lineRule="auto"/>
              <w:jc w:val="right"/>
              <w:rPr>
                <w:rFonts w:cs="Calibri"/>
                <w:color w:val="000000"/>
                <w:sz w:val="18"/>
                <w:szCs w:val="18"/>
                <w:lang w:eastAsia="en-AU"/>
              </w:rPr>
            </w:pPr>
            <w:r w:rsidRPr="000F1C72">
              <w:rPr>
                <w:rFonts w:cs="Calibri"/>
                <w:color w:val="000000"/>
                <w:sz w:val="18"/>
                <w:szCs w:val="18"/>
                <w:lang w:eastAsia="en-AU"/>
              </w:rPr>
              <w:t>1.2%</w:t>
            </w:r>
          </w:p>
        </w:tc>
      </w:tr>
      <w:tr w:rsidR="007718C7" w:rsidRPr="000F1C72" w:rsidTr="00C9170D">
        <w:trPr>
          <w:trHeight w:val="285"/>
        </w:trPr>
        <w:tc>
          <w:tcPr>
            <w:tcW w:w="7230" w:type="dxa"/>
          </w:tcPr>
          <w:p w:rsidR="007718C7" w:rsidRPr="000F1C72" w:rsidRDefault="007718C7" w:rsidP="00C57823">
            <w:pPr>
              <w:spacing w:after="0" w:line="240" w:lineRule="auto"/>
              <w:rPr>
                <w:rFonts w:cs="Calibri"/>
                <w:b/>
                <w:bCs/>
                <w:color w:val="000000"/>
                <w:sz w:val="18"/>
                <w:szCs w:val="18"/>
                <w:lang w:eastAsia="en-AU"/>
              </w:rPr>
            </w:pPr>
            <w:r w:rsidRPr="000F1C72">
              <w:rPr>
                <w:rFonts w:cs="Calibri"/>
                <w:b/>
                <w:bCs/>
                <w:color w:val="000000"/>
                <w:sz w:val="18"/>
                <w:szCs w:val="18"/>
                <w:lang w:eastAsia="en-AU"/>
              </w:rPr>
              <w:t>Total</w:t>
            </w:r>
          </w:p>
        </w:tc>
        <w:tc>
          <w:tcPr>
            <w:tcW w:w="1417" w:type="dxa"/>
          </w:tcPr>
          <w:p w:rsidR="007718C7" w:rsidRPr="000F1C72" w:rsidRDefault="007718C7" w:rsidP="00C9170D">
            <w:pPr>
              <w:spacing w:after="0" w:line="240" w:lineRule="auto"/>
              <w:jc w:val="right"/>
              <w:rPr>
                <w:rFonts w:cs="Calibri"/>
                <w:b/>
                <w:bCs/>
                <w:color w:val="000000"/>
                <w:sz w:val="18"/>
                <w:szCs w:val="18"/>
                <w:lang w:eastAsia="en-AU"/>
              </w:rPr>
            </w:pPr>
            <w:r w:rsidRPr="000F1C72">
              <w:rPr>
                <w:rFonts w:cs="Calibri"/>
                <w:b/>
                <w:bCs/>
                <w:color w:val="000000"/>
                <w:sz w:val="18"/>
                <w:szCs w:val="18"/>
                <w:lang w:eastAsia="en-AU"/>
              </w:rPr>
              <w:t>876,438</w:t>
            </w:r>
          </w:p>
        </w:tc>
        <w:tc>
          <w:tcPr>
            <w:tcW w:w="851" w:type="dxa"/>
          </w:tcPr>
          <w:p w:rsidR="007718C7" w:rsidRPr="000F1C72" w:rsidRDefault="007718C7" w:rsidP="00C9170D">
            <w:pPr>
              <w:spacing w:after="0" w:line="240" w:lineRule="auto"/>
              <w:jc w:val="right"/>
              <w:rPr>
                <w:rFonts w:cs="Calibri"/>
                <w:b/>
                <w:bCs/>
                <w:color w:val="000000"/>
                <w:sz w:val="18"/>
                <w:szCs w:val="18"/>
                <w:lang w:eastAsia="en-AU"/>
              </w:rPr>
            </w:pPr>
            <w:r w:rsidRPr="000F1C72">
              <w:rPr>
                <w:rFonts w:cs="Calibri"/>
                <w:b/>
                <w:bCs/>
                <w:color w:val="000000"/>
                <w:sz w:val="18"/>
                <w:szCs w:val="18"/>
                <w:lang w:eastAsia="en-AU"/>
              </w:rPr>
              <w:t>100.0%</w:t>
            </w:r>
          </w:p>
        </w:tc>
      </w:tr>
    </w:tbl>
    <w:p w:rsidR="007718C7" w:rsidRDefault="007718C7" w:rsidP="00C57823">
      <w:pPr>
        <w:jc w:val="center"/>
        <w:rPr>
          <w:b/>
          <w:sz w:val="18"/>
          <w:szCs w:val="18"/>
        </w:rPr>
      </w:pPr>
    </w:p>
    <w:p w:rsidR="007718C7" w:rsidRDefault="007718C7" w:rsidP="00E835B0">
      <w:pPr>
        <w:pStyle w:val="Appendix"/>
        <w:spacing w:before="400"/>
        <w:rPr>
          <w:sz w:val="60"/>
          <w:szCs w:val="60"/>
        </w:rPr>
        <w:sectPr w:rsidR="007718C7" w:rsidSect="00915342">
          <w:headerReference w:type="first" r:id="rId87"/>
          <w:pgSz w:w="11906" w:h="16838"/>
          <w:pgMar w:top="1440" w:right="1440" w:bottom="1440" w:left="1440" w:header="708" w:footer="708" w:gutter="0"/>
          <w:cols w:space="708"/>
          <w:titlePg/>
          <w:docGrid w:linePitch="360"/>
        </w:sectPr>
      </w:pPr>
    </w:p>
    <w:p w:rsidR="007718C7" w:rsidRDefault="007718C7" w:rsidP="00E835B0">
      <w:pPr>
        <w:pStyle w:val="Appendix"/>
        <w:spacing w:before="400"/>
        <w:sectPr w:rsidR="007718C7" w:rsidSect="00915342">
          <w:pgSz w:w="11906" w:h="16838"/>
          <w:pgMar w:top="1440" w:right="1440" w:bottom="1440" w:left="1440" w:header="708" w:footer="708" w:gutter="0"/>
          <w:cols w:space="708"/>
          <w:titlePg/>
          <w:docGrid w:linePitch="360"/>
        </w:sectPr>
      </w:pPr>
      <w:bookmarkStart w:id="77" w:name="_Toc374114599"/>
      <w:r w:rsidRPr="00D3006B">
        <w:rPr>
          <w:sz w:val="60"/>
          <w:szCs w:val="60"/>
        </w:rPr>
        <w:lastRenderedPageBreak/>
        <w:t xml:space="preserve">Appendix 2: NHCDC sample </w:t>
      </w:r>
      <w:r>
        <w:rPr>
          <w:sz w:val="60"/>
          <w:szCs w:val="60"/>
        </w:rPr>
        <w:t>characteristics</w:t>
      </w:r>
      <w:bookmarkEnd w:id="77"/>
    </w:p>
    <w:p w:rsidR="007718C7" w:rsidRDefault="007718C7" w:rsidP="00430473">
      <w:pPr>
        <w:spacing w:after="0"/>
        <w:contextualSpacing/>
        <w:jc w:val="center"/>
      </w:pPr>
      <w:bookmarkStart w:id="78" w:name="_Ref367320191"/>
      <w:r w:rsidRPr="00EE5291">
        <w:rPr>
          <w:b/>
          <w:sz w:val="18"/>
          <w:szCs w:val="18"/>
          <w:lang w:val="en-US"/>
        </w:rPr>
        <w:lastRenderedPageBreak/>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36</w:t>
      </w:r>
      <w:r w:rsidRPr="00EE5291">
        <w:rPr>
          <w:b/>
          <w:sz w:val="18"/>
          <w:szCs w:val="18"/>
          <w:lang w:val="en-US"/>
        </w:rPr>
        <w:fldChar w:fldCharType="end"/>
      </w:r>
      <w:bookmarkEnd w:id="78"/>
      <w:r w:rsidRPr="00EE5291">
        <w:rPr>
          <w:b/>
          <w:sz w:val="18"/>
          <w:szCs w:val="18"/>
          <w:lang w:val="en-US"/>
        </w:rPr>
        <w:t xml:space="preserve"> – Characteristics of NHCDC Sample - Part 1</w:t>
      </w:r>
      <w:r w:rsidR="00430473" w:rsidRPr="00430473">
        <w:rPr>
          <w:noProof/>
          <w:lang w:eastAsia="en-AU"/>
        </w:rPr>
        <w:drawing>
          <wp:inline distT="0" distB="0" distL="0" distR="0" wp14:anchorId="77049130" wp14:editId="0542C3BF">
            <wp:extent cx="7077600" cy="5302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7077600" cy="5302800"/>
                    </a:xfrm>
                    <a:prstGeom prst="rect">
                      <a:avLst/>
                    </a:prstGeom>
                  </pic:spPr>
                </pic:pic>
              </a:graphicData>
            </a:graphic>
          </wp:inline>
        </w:drawing>
      </w:r>
    </w:p>
    <w:p w:rsidR="007718C7" w:rsidRDefault="007718C7" w:rsidP="00430473">
      <w:pPr>
        <w:spacing w:after="0"/>
        <w:jc w:val="center"/>
      </w:pPr>
      <w:r>
        <w:rPr>
          <w:b/>
          <w:sz w:val="18"/>
          <w:szCs w:val="18"/>
        </w:rPr>
        <w:br w:type="page"/>
      </w:r>
      <w:r w:rsidR="00F50FB9">
        <w:lastRenderedPageBreak/>
        <w:fldChar w:fldCharType="begin"/>
      </w:r>
      <w:r w:rsidR="00F50FB9">
        <w:instrText xml:space="preserve"> REF _Ref367320191 \h  \* MERGEFORMAT </w:instrText>
      </w:r>
      <w:r w:rsidR="00F50FB9">
        <w:fldChar w:fldCharType="separate"/>
      </w:r>
      <w:r w:rsidR="00363A39" w:rsidRPr="00EE5291">
        <w:rPr>
          <w:b/>
          <w:sz w:val="18"/>
          <w:szCs w:val="18"/>
          <w:lang w:val="en-US"/>
        </w:rPr>
        <w:t xml:space="preserve">Table </w:t>
      </w:r>
      <w:r w:rsidR="00363A39">
        <w:rPr>
          <w:b/>
          <w:sz w:val="18"/>
          <w:szCs w:val="18"/>
          <w:lang w:val="en-US"/>
        </w:rPr>
        <w:t>36</w:t>
      </w:r>
      <w:r w:rsidR="00F50FB9">
        <w:fldChar w:fldCharType="end"/>
      </w:r>
      <w:r w:rsidRPr="00EE5291">
        <w:rPr>
          <w:b/>
          <w:sz w:val="18"/>
          <w:szCs w:val="18"/>
          <w:lang w:val="en-US"/>
        </w:rPr>
        <w:t xml:space="preserve"> Characteristics of NHCDC Sample - Part 2</w:t>
      </w:r>
      <w:r w:rsidR="00430473" w:rsidRPr="00430473">
        <w:rPr>
          <w:noProof/>
          <w:lang w:eastAsia="en-AU"/>
        </w:rPr>
        <w:drawing>
          <wp:inline distT="0" distB="0" distL="0" distR="0" wp14:anchorId="6D5C19AD" wp14:editId="0151F0E5">
            <wp:extent cx="8409600" cy="489240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8409600" cy="4892400"/>
                    </a:xfrm>
                    <a:prstGeom prst="rect">
                      <a:avLst/>
                    </a:prstGeom>
                  </pic:spPr>
                </pic:pic>
              </a:graphicData>
            </a:graphic>
          </wp:inline>
        </w:drawing>
      </w:r>
    </w:p>
    <w:p w:rsidR="007718C7" w:rsidRDefault="007718C7" w:rsidP="00E835B0">
      <w:pPr>
        <w:spacing w:after="0"/>
        <w:jc w:val="center"/>
        <w:rPr>
          <w:b/>
          <w:sz w:val="18"/>
          <w:szCs w:val="18"/>
        </w:rPr>
      </w:pPr>
      <w:r>
        <w:br w:type="page"/>
      </w:r>
      <w:bookmarkStart w:id="79" w:name="_Ref367320279"/>
      <w:r w:rsidRPr="00445F55">
        <w:rPr>
          <w:b/>
          <w:sz w:val="18"/>
          <w:szCs w:val="18"/>
        </w:rPr>
        <w:lastRenderedPageBreak/>
        <w:t>T</w:t>
      </w:r>
      <w:r w:rsidRPr="00EE5291">
        <w:rPr>
          <w:b/>
          <w:sz w:val="18"/>
          <w:szCs w:val="18"/>
          <w:lang w:val="en-US"/>
        </w:rPr>
        <w:t xml:space="preserve">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37</w:t>
      </w:r>
      <w:r w:rsidRPr="00EE5291">
        <w:rPr>
          <w:b/>
          <w:sz w:val="18"/>
          <w:szCs w:val="18"/>
          <w:lang w:val="en-US"/>
        </w:rPr>
        <w:fldChar w:fldCharType="end"/>
      </w:r>
      <w:bookmarkEnd w:id="79"/>
      <w:r w:rsidRPr="00EE5291">
        <w:rPr>
          <w:b/>
          <w:sz w:val="18"/>
          <w:szCs w:val="18"/>
          <w:lang w:val="en-US"/>
        </w:rPr>
        <w:t xml:space="preserve"> – NHCDC Sample – Episodes with Major CHADx Groups - Part 1</w:t>
      </w:r>
    </w:p>
    <w:p w:rsidR="007718C7" w:rsidRDefault="00430473" w:rsidP="00E835B0">
      <w:pPr>
        <w:jc w:val="center"/>
      </w:pPr>
      <w:r w:rsidRPr="00430473">
        <w:rPr>
          <w:noProof/>
          <w:lang w:eastAsia="en-AU"/>
        </w:rPr>
        <w:drawing>
          <wp:inline distT="0" distB="0" distL="0" distR="0" wp14:anchorId="3F933C03" wp14:editId="0E720920">
            <wp:extent cx="6908400" cy="5522400"/>
            <wp:effectExtent l="0" t="0" r="698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908400" cy="5522400"/>
                    </a:xfrm>
                    <a:prstGeom prst="rect">
                      <a:avLst/>
                    </a:prstGeom>
                  </pic:spPr>
                </pic:pic>
              </a:graphicData>
            </a:graphic>
          </wp:inline>
        </w:drawing>
      </w:r>
    </w:p>
    <w:p w:rsidR="007718C7" w:rsidRDefault="00F50FB9" w:rsidP="00E835B0">
      <w:pPr>
        <w:contextualSpacing/>
        <w:jc w:val="center"/>
      </w:pPr>
      <w:r>
        <w:lastRenderedPageBreak/>
        <w:fldChar w:fldCharType="begin"/>
      </w:r>
      <w:r>
        <w:instrText xml:space="preserve"> REF _Ref367320279 \h  \* MERGEFORMAT </w:instrText>
      </w:r>
      <w:r>
        <w:fldChar w:fldCharType="separate"/>
      </w:r>
      <w:r w:rsidR="00363A39" w:rsidRPr="00363A39">
        <w:rPr>
          <w:b/>
          <w:sz w:val="18"/>
          <w:szCs w:val="18"/>
          <w:lang w:val="en-US"/>
        </w:rPr>
        <w:t>T</w:t>
      </w:r>
      <w:r w:rsidR="00363A39" w:rsidRPr="00EE5291">
        <w:rPr>
          <w:b/>
          <w:sz w:val="18"/>
          <w:szCs w:val="18"/>
          <w:lang w:val="en-US"/>
        </w:rPr>
        <w:t xml:space="preserve">able </w:t>
      </w:r>
      <w:r w:rsidR="00363A39">
        <w:rPr>
          <w:b/>
          <w:sz w:val="18"/>
          <w:szCs w:val="18"/>
          <w:lang w:val="en-US"/>
        </w:rPr>
        <w:t>37</w:t>
      </w:r>
      <w:r>
        <w:fldChar w:fldCharType="end"/>
      </w:r>
      <w:r w:rsidR="007718C7" w:rsidRPr="00EE5291">
        <w:rPr>
          <w:b/>
          <w:sz w:val="18"/>
          <w:szCs w:val="18"/>
          <w:lang w:val="en-US"/>
        </w:rPr>
        <w:t xml:space="preserve"> – NHCDC Sample – Episodes with Major CHADx Groups - Part 2</w:t>
      </w:r>
      <w:r w:rsidR="00430473" w:rsidRPr="00430473">
        <w:rPr>
          <w:noProof/>
          <w:lang w:eastAsia="en-AU"/>
        </w:rPr>
        <w:drawing>
          <wp:inline distT="0" distB="0" distL="0" distR="0" wp14:anchorId="47D4BAE2" wp14:editId="47125B06">
            <wp:extent cx="8409600" cy="52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8409600" cy="5220000"/>
                    </a:xfrm>
                    <a:prstGeom prst="rect">
                      <a:avLst/>
                    </a:prstGeom>
                  </pic:spPr>
                </pic:pic>
              </a:graphicData>
            </a:graphic>
          </wp:inline>
        </w:drawing>
      </w:r>
    </w:p>
    <w:p w:rsidR="001D523E" w:rsidRDefault="001D523E">
      <w:pPr>
        <w:spacing w:after="0" w:line="240" w:lineRule="auto"/>
      </w:pPr>
      <w:r>
        <w:br w:type="page"/>
      </w:r>
    </w:p>
    <w:p w:rsidR="001D523E" w:rsidRPr="00EE5291" w:rsidRDefault="001D523E" w:rsidP="001D523E">
      <w:pPr>
        <w:contextualSpacing/>
        <w:jc w:val="center"/>
        <w:rPr>
          <w:b/>
          <w:sz w:val="18"/>
          <w:szCs w:val="18"/>
          <w:lang w:val="en-US"/>
        </w:rPr>
      </w:pPr>
      <w:r>
        <w:lastRenderedPageBreak/>
        <w:fldChar w:fldCharType="begin"/>
      </w:r>
      <w:r>
        <w:instrText xml:space="preserve"> REF _Ref367320279 \h  \* MERGEFORMAT </w:instrText>
      </w:r>
      <w:r>
        <w:fldChar w:fldCharType="separate"/>
      </w:r>
      <w:r w:rsidR="00363A39" w:rsidRPr="00363A39">
        <w:rPr>
          <w:b/>
          <w:sz w:val="18"/>
          <w:szCs w:val="18"/>
          <w:lang w:val="en-US"/>
        </w:rPr>
        <w:t>T</w:t>
      </w:r>
      <w:r w:rsidR="00363A39" w:rsidRPr="00EE5291">
        <w:rPr>
          <w:b/>
          <w:sz w:val="18"/>
          <w:szCs w:val="18"/>
          <w:lang w:val="en-US"/>
        </w:rPr>
        <w:t xml:space="preserve">able </w:t>
      </w:r>
      <w:r w:rsidR="00363A39">
        <w:rPr>
          <w:b/>
          <w:sz w:val="18"/>
          <w:szCs w:val="18"/>
          <w:lang w:val="en-US"/>
        </w:rPr>
        <w:t>37</w:t>
      </w:r>
      <w:r>
        <w:fldChar w:fldCharType="end"/>
      </w:r>
      <w:r w:rsidRPr="00EE5291">
        <w:rPr>
          <w:b/>
          <w:sz w:val="18"/>
          <w:szCs w:val="18"/>
          <w:lang w:val="en-US"/>
        </w:rPr>
        <w:t xml:space="preserve"> – NHCDC Sample </w:t>
      </w:r>
      <w:r>
        <w:rPr>
          <w:b/>
          <w:sz w:val="18"/>
          <w:szCs w:val="18"/>
          <w:lang w:val="en-US"/>
        </w:rPr>
        <w:t>and a proportion of APC episodes by the original Adjacent DRG, 2011-12</w:t>
      </w:r>
    </w:p>
    <w:p w:rsidR="001D523E" w:rsidRDefault="001D523E" w:rsidP="00E835B0">
      <w:pPr>
        <w:jc w:val="center"/>
      </w:pPr>
      <w:r w:rsidRPr="001D523E">
        <w:rPr>
          <w:noProof/>
          <w:lang w:eastAsia="en-AU"/>
        </w:rPr>
        <w:drawing>
          <wp:inline distT="0" distB="0" distL="0" distR="0" wp14:anchorId="263AD6BD" wp14:editId="3A4CD72B">
            <wp:extent cx="7513200" cy="478080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513200" cy="4780800"/>
                    </a:xfrm>
                    <a:prstGeom prst="rect">
                      <a:avLst/>
                    </a:prstGeom>
                  </pic:spPr>
                </pic:pic>
              </a:graphicData>
            </a:graphic>
          </wp:inline>
        </w:drawing>
      </w:r>
    </w:p>
    <w:p w:rsidR="007718C7" w:rsidRPr="001D523E" w:rsidRDefault="001D523E" w:rsidP="001D523E">
      <w:pPr>
        <w:spacing w:after="0"/>
        <w:contextualSpacing/>
        <w:jc w:val="center"/>
        <w:rPr>
          <w:i/>
          <w:sz w:val="18"/>
          <w:szCs w:val="18"/>
        </w:rPr>
      </w:pPr>
      <w:r w:rsidRPr="001D523E">
        <w:rPr>
          <w:i/>
          <w:sz w:val="18"/>
          <w:szCs w:val="18"/>
        </w:rPr>
        <w:t>Notes:  APC sample includes all hospitals (public and private).   Only episodes with a care type of acute were included.</w:t>
      </w:r>
    </w:p>
    <w:p w:rsidR="001D523E" w:rsidRPr="001D523E" w:rsidRDefault="001D523E" w:rsidP="00035059">
      <w:pPr>
        <w:pStyle w:val="ListParagraph"/>
        <w:numPr>
          <w:ilvl w:val="0"/>
          <w:numId w:val="39"/>
        </w:numPr>
        <w:spacing w:after="0"/>
        <w:jc w:val="center"/>
        <w:rPr>
          <w:szCs w:val="22"/>
        </w:rPr>
        <w:sectPr w:rsidR="001D523E" w:rsidRPr="001D523E" w:rsidSect="00750FDF">
          <w:headerReference w:type="default" r:id="rId93"/>
          <w:footerReference w:type="default" r:id="rId94"/>
          <w:headerReference w:type="first" r:id="rId95"/>
          <w:footerReference w:type="first" r:id="rId96"/>
          <w:pgSz w:w="16838" w:h="11906" w:orient="landscape"/>
          <w:pgMar w:top="1440" w:right="1440" w:bottom="1440" w:left="1440" w:header="708" w:footer="708" w:gutter="0"/>
          <w:cols w:space="708"/>
          <w:titlePg/>
          <w:docGrid w:linePitch="360"/>
        </w:sectPr>
      </w:pPr>
      <w:r w:rsidRPr="001D523E">
        <w:rPr>
          <w:i/>
          <w:sz w:val="18"/>
          <w:szCs w:val="18"/>
        </w:rPr>
        <w:t>A number of episodes with an original ADRG of A06, were allocated to other ADRGs within the selected set when regrouped.</w:t>
      </w:r>
      <w:r>
        <w:t xml:space="preserve"> </w:t>
      </w:r>
    </w:p>
    <w:p w:rsidR="007718C7" w:rsidRDefault="007718C7" w:rsidP="00FA5216">
      <w:pPr>
        <w:pStyle w:val="Appendix"/>
        <w:spacing w:before="400"/>
        <w:sectPr w:rsidR="007718C7" w:rsidSect="0003016A">
          <w:headerReference w:type="first" r:id="rId97"/>
          <w:footerReference w:type="first" r:id="rId98"/>
          <w:pgSz w:w="11906" w:h="16838"/>
          <w:pgMar w:top="1440" w:right="1440" w:bottom="1440" w:left="1440" w:header="708" w:footer="708" w:gutter="0"/>
          <w:cols w:space="708"/>
          <w:titlePg/>
          <w:docGrid w:linePitch="360"/>
        </w:sectPr>
      </w:pPr>
      <w:bookmarkStart w:id="80" w:name="_Toc374114600"/>
      <w:r w:rsidRPr="00D3006B">
        <w:rPr>
          <w:sz w:val="60"/>
          <w:szCs w:val="60"/>
        </w:rPr>
        <w:lastRenderedPageBreak/>
        <w:t xml:space="preserve">Appendix </w:t>
      </w:r>
      <w:r>
        <w:rPr>
          <w:sz w:val="60"/>
          <w:szCs w:val="60"/>
        </w:rPr>
        <w:t>3</w:t>
      </w:r>
      <w:r w:rsidRPr="00D3006B">
        <w:rPr>
          <w:sz w:val="60"/>
          <w:szCs w:val="60"/>
        </w:rPr>
        <w:t xml:space="preserve">: </w:t>
      </w:r>
      <w:r>
        <w:rPr>
          <w:sz w:val="60"/>
          <w:szCs w:val="60"/>
        </w:rPr>
        <w:t>Detailed results</w:t>
      </w:r>
      <w:bookmarkEnd w:id="80"/>
    </w:p>
    <w:tbl>
      <w:tblPr>
        <w:tblW w:w="14154" w:type="dxa"/>
        <w:jc w:val="center"/>
        <w:tblLook w:val="00A0" w:firstRow="1" w:lastRow="0" w:firstColumn="1" w:lastColumn="0" w:noHBand="0" w:noVBand="0"/>
      </w:tblPr>
      <w:tblGrid>
        <w:gridCol w:w="14154"/>
      </w:tblGrid>
      <w:tr w:rsidR="007718C7" w:rsidRPr="00864829" w:rsidTr="00864829">
        <w:trPr>
          <w:trHeight w:val="213"/>
          <w:jc w:val="center"/>
        </w:trPr>
        <w:tc>
          <w:tcPr>
            <w:tcW w:w="14154" w:type="dxa"/>
          </w:tcPr>
          <w:p w:rsidR="007718C7" w:rsidRPr="00EE5291" w:rsidRDefault="007718C7" w:rsidP="00EE5291">
            <w:pPr>
              <w:spacing w:after="0"/>
              <w:contextualSpacing/>
              <w:jc w:val="center"/>
              <w:rPr>
                <w:b/>
                <w:sz w:val="18"/>
                <w:szCs w:val="18"/>
                <w:lang w:val="en-US"/>
              </w:rPr>
            </w:pPr>
            <w:bookmarkStart w:id="81" w:name="_Ref366568182"/>
            <w:bookmarkStart w:id="82" w:name="_Ref369099412"/>
            <w:r w:rsidRPr="00EE5291">
              <w:rPr>
                <w:b/>
                <w:sz w:val="18"/>
                <w:szCs w:val="18"/>
                <w:lang w:val="en-US"/>
              </w:rPr>
              <w:lastRenderedPageBreak/>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38</w:t>
            </w:r>
            <w:r w:rsidRPr="00EE5291">
              <w:rPr>
                <w:b/>
                <w:sz w:val="18"/>
                <w:szCs w:val="18"/>
                <w:lang w:val="en-US"/>
              </w:rPr>
              <w:fldChar w:fldCharType="end"/>
            </w:r>
            <w:bookmarkEnd w:id="81"/>
            <w:r w:rsidRPr="00EE5291">
              <w:rPr>
                <w:b/>
                <w:sz w:val="18"/>
                <w:szCs w:val="18"/>
                <w:lang w:val="en-US"/>
              </w:rPr>
              <w:t xml:space="preserve"> – </w:t>
            </w:r>
            <w:r>
              <w:rPr>
                <w:b/>
                <w:sz w:val="18"/>
                <w:szCs w:val="18"/>
                <w:lang w:val="en-US"/>
              </w:rPr>
              <w:t xml:space="preserve">Mean </w:t>
            </w:r>
            <w:r w:rsidRPr="00EE5291">
              <w:rPr>
                <w:b/>
                <w:sz w:val="18"/>
                <w:szCs w:val="18"/>
                <w:lang w:val="en-US"/>
              </w:rPr>
              <w:t>Estimates of the i</w:t>
            </w:r>
            <w:r>
              <w:rPr>
                <w:b/>
                <w:sz w:val="18"/>
                <w:szCs w:val="18"/>
                <w:lang w:val="en-US"/>
              </w:rPr>
              <w:t>ncremental cost Model A1 and A2</w:t>
            </w:r>
            <w:r w:rsidRPr="00EE5291">
              <w:rPr>
                <w:b/>
                <w:sz w:val="18"/>
                <w:szCs w:val="18"/>
                <w:lang w:val="en-US"/>
              </w:rPr>
              <w:t xml:space="preserve"> - Part 1</w:t>
            </w:r>
            <w:bookmarkEnd w:id="82"/>
          </w:p>
          <w:p w:rsidR="007718C7" w:rsidRPr="00001883" w:rsidRDefault="007718C7" w:rsidP="00001883">
            <w:pPr>
              <w:spacing w:after="0" w:line="240" w:lineRule="auto"/>
              <w:contextualSpacing/>
              <w:jc w:val="center"/>
              <w:rPr>
                <w:rFonts w:ascii="Calibri" w:hAnsi="Calibri"/>
                <w:i/>
                <w:sz w:val="18"/>
                <w:szCs w:val="18"/>
                <w:lang w:val="en-US"/>
              </w:rPr>
            </w:pPr>
            <w:r w:rsidRPr="00001883">
              <w:rPr>
                <w:rFonts w:ascii="Calibri" w:hAnsi="Calibri"/>
                <w:i/>
                <w:sz w:val="18"/>
                <w:szCs w:val="18"/>
                <w:lang w:val="en-US"/>
              </w:rPr>
              <w:t>Note:  Shaded values represent estimates based on a parameter which was not statistically significant</w:t>
            </w:r>
          </w:p>
        </w:tc>
      </w:tr>
    </w:tbl>
    <w:p w:rsidR="007718C7" w:rsidRDefault="009B164C" w:rsidP="00001883">
      <w:pPr>
        <w:jc w:val="center"/>
      </w:pPr>
      <w:r>
        <w:rPr>
          <w:noProof/>
          <w:lang w:eastAsia="en-AU"/>
        </w:rPr>
        <w:drawing>
          <wp:inline distT="0" distB="0" distL="0" distR="0" wp14:anchorId="30E7638A" wp14:editId="37E27395">
            <wp:extent cx="8807450" cy="4865370"/>
            <wp:effectExtent l="0" t="0" r="0" b="0"/>
            <wp:docPr id="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07450" cy="4865370"/>
                    </a:xfrm>
                    <a:prstGeom prst="rect">
                      <a:avLst/>
                    </a:prstGeom>
                    <a:noFill/>
                    <a:ln>
                      <a:noFill/>
                    </a:ln>
                  </pic:spPr>
                </pic:pic>
              </a:graphicData>
            </a:graphic>
          </wp:inline>
        </w:drawing>
      </w:r>
      <w:r w:rsidR="007718C7">
        <w:br w:type="page"/>
      </w:r>
    </w:p>
    <w:tbl>
      <w:tblPr>
        <w:tblW w:w="14154" w:type="dxa"/>
        <w:jc w:val="center"/>
        <w:tblLook w:val="00A0" w:firstRow="1" w:lastRow="0" w:firstColumn="1" w:lastColumn="0" w:noHBand="0" w:noVBand="0"/>
      </w:tblPr>
      <w:tblGrid>
        <w:gridCol w:w="14154"/>
      </w:tblGrid>
      <w:tr w:rsidR="007718C7" w:rsidRPr="00864829" w:rsidTr="00864829">
        <w:trPr>
          <w:trHeight w:val="213"/>
          <w:jc w:val="center"/>
        </w:trPr>
        <w:tc>
          <w:tcPr>
            <w:tcW w:w="14154" w:type="dxa"/>
          </w:tcPr>
          <w:p w:rsidR="007718C7" w:rsidRPr="00EE5291" w:rsidRDefault="00F50FB9" w:rsidP="00EE5291">
            <w:pPr>
              <w:spacing w:after="0"/>
              <w:contextualSpacing/>
              <w:jc w:val="center"/>
              <w:rPr>
                <w:b/>
                <w:sz w:val="18"/>
                <w:szCs w:val="18"/>
                <w:lang w:val="en-US"/>
              </w:rPr>
            </w:pPr>
            <w:r>
              <w:lastRenderedPageBreak/>
              <w:fldChar w:fldCharType="begin"/>
            </w:r>
            <w:r>
              <w:instrText xml:space="preserve"> REF _Ref366568182 \h  \* MERGEFORMAT </w:instrText>
            </w:r>
            <w:r>
              <w:fldChar w:fldCharType="separate"/>
            </w:r>
            <w:r w:rsidR="00363A39" w:rsidRPr="00EE5291">
              <w:rPr>
                <w:b/>
                <w:sz w:val="18"/>
                <w:szCs w:val="18"/>
                <w:lang w:val="en-US"/>
              </w:rPr>
              <w:t xml:space="preserve">Table </w:t>
            </w:r>
            <w:r w:rsidR="00363A39">
              <w:rPr>
                <w:b/>
                <w:sz w:val="18"/>
                <w:szCs w:val="18"/>
                <w:lang w:val="en-US"/>
              </w:rPr>
              <w:t>38</w:t>
            </w:r>
            <w:r>
              <w:fldChar w:fldCharType="end"/>
            </w:r>
            <w:r w:rsidR="007718C7" w:rsidRPr="00EE5291">
              <w:rPr>
                <w:b/>
                <w:sz w:val="18"/>
                <w:szCs w:val="18"/>
                <w:lang w:val="en-US"/>
              </w:rPr>
              <w:t xml:space="preserve"> – </w:t>
            </w:r>
            <w:r w:rsidR="007718C7">
              <w:rPr>
                <w:b/>
                <w:sz w:val="18"/>
                <w:szCs w:val="18"/>
                <w:lang w:val="en-US"/>
              </w:rPr>
              <w:t>Mean</w:t>
            </w:r>
            <w:r w:rsidR="007718C7" w:rsidRPr="00EE5291">
              <w:rPr>
                <w:b/>
                <w:sz w:val="18"/>
                <w:szCs w:val="18"/>
                <w:lang w:val="en-US"/>
              </w:rPr>
              <w:t xml:space="preserve"> Estimates of the in</w:t>
            </w:r>
            <w:r w:rsidR="007718C7">
              <w:rPr>
                <w:b/>
                <w:sz w:val="18"/>
                <w:szCs w:val="18"/>
                <w:lang w:val="en-US"/>
              </w:rPr>
              <w:t xml:space="preserve">cremental cost Model A1 and A2 </w:t>
            </w:r>
            <w:r w:rsidR="007718C7" w:rsidRPr="00EE5291">
              <w:rPr>
                <w:b/>
                <w:sz w:val="18"/>
                <w:szCs w:val="18"/>
                <w:lang w:val="en-US"/>
              </w:rPr>
              <w:t>- Part 2</w:t>
            </w:r>
          </w:p>
          <w:p w:rsidR="007718C7" w:rsidRPr="00001883" w:rsidRDefault="007718C7" w:rsidP="00001883">
            <w:pPr>
              <w:spacing w:after="0" w:line="240" w:lineRule="auto"/>
              <w:contextualSpacing/>
              <w:jc w:val="center"/>
              <w:rPr>
                <w:rFonts w:ascii="Calibri" w:hAnsi="Calibri"/>
                <w:i/>
                <w:sz w:val="18"/>
                <w:szCs w:val="18"/>
                <w:lang w:val="en-US"/>
              </w:rPr>
            </w:pPr>
            <w:r w:rsidRPr="00001883">
              <w:rPr>
                <w:rFonts w:ascii="Calibri" w:hAnsi="Calibri"/>
                <w:i/>
                <w:sz w:val="18"/>
                <w:szCs w:val="18"/>
                <w:lang w:val="en-US"/>
              </w:rPr>
              <w:t>Note:  Shaded values represent estimates based on a parameter which was not statistically significant</w:t>
            </w:r>
          </w:p>
        </w:tc>
      </w:tr>
    </w:tbl>
    <w:p w:rsidR="007718C7" w:rsidRDefault="009B164C" w:rsidP="00001883">
      <w:pPr>
        <w:jc w:val="center"/>
      </w:pPr>
      <w:r>
        <w:rPr>
          <w:noProof/>
          <w:lang w:eastAsia="en-AU"/>
        </w:rPr>
        <w:drawing>
          <wp:inline distT="0" distB="0" distL="0" distR="0" wp14:anchorId="0578FBCA" wp14:editId="0D603400">
            <wp:extent cx="8799195" cy="5046345"/>
            <wp:effectExtent l="0" t="0" r="1905" b="1905"/>
            <wp:docPr id="9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799195" cy="5046345"/>
                    </a:xfrm>
                    <a:prstGeom prst="rect">
                      <a:avLst/>
                    </a:prstGeom>
                    <a:noFill/>
                    <a:ln>
                      <a:noFill/>
                    </a:ln>
                  </pic:spPr>
                </pic:pic>
              </a:graphicData>
            </a:graphic>
          </wp:inline>
        </w:drawing>
      </w:r>
    </w:p>
    <w:p w:rsidR="007718C7" w:rsidRPr="000162E2" w:rsidRDefault="007718C7" w:rsidP="00001883">
      <w:pPr>
        <w:jc w:val="center"/>
      </w:pPr>
    </w:p>
    <w:tbl>
      <w:tblPr>
        <w:tblW w:w="14154" w:type="dxa"/>
        <w:jc w:val="center"/>
        <w:tblLook w:val="00A0" w:firstRow="1" w:lastRow="0" w:firstColumn="1" w:lastColumn="0" w:noHBand="0" w:noVBand="0"/>
      </w:tblPr>
      <w:tblGrid>
        <w:gridCol w:w="14154"/>
      </w:tblGrid>
      <w:tr w:rsidR="007718C7" w:rsidRPr="00864829" w:rsidTr="00864829">
        <w:trPr>
          <w:trHeight w:val="213"/>
          <w:jc w:val="center"/>
        </w:trPr>
        <w:tc>
          <w:tcPr>
            <w:tcW w:w="14154" w:type="dxa"/>
          </w:tcPr>
          <w:p w:rsidR="007718C7" w:rsidRPr="00864829" w:rsidRDefault="007718C7" w:rsidP="00EE5291">
            <w:pPr>
              <w:spacing w:after="0"/>
              <w:contextualSpacing/>
              <w:jc w:val="center"/>
              <w:rPr>
                <w:rFonts w:ascii="Calibri" w:hAnsi="Calibri"/>
                <w:b/>
                <w:sz w:val="18"/>
                <w:szCs w:val="18"/>
                <w:lang w:val="en-US"/>
              </w:rPr>
            </w:pPr>
            <w:r>
              <w:lastRenderedPageBreak/>
              <w:br w:type="page"/>
            </w:r>
            <w:bookmarkStart w:id="83" w:name="_Ref367311317"/>
            <w:bookmarkStart w:id="84" w:name="_Ref367314378"/>
            <w:r w:rsidRPr="00EE5291">
              <w:rPr>
                <w:b/>
                <w:sz w:val="18"/>
                <w:szCs w:val="18"/>
                <w:lang w:val="en-US"/>
              </w:rPr>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39</w:t>
            </w:r>
            <w:r w:rsidRPr="00EE5291">
              <w:rPr>
                <w:b/>
                <w:sz w:val="18"/>
                <w:szCs w:val="18"/>
                <w:lang w:val="en-US"/>
              </w:rPr>
              <w:fldChar w:fldCharType="end"/>
            </w:r>
            <w:bookmarkEnd w:id="83"/>
            <w:r w:rsidRPr="00EE5291">
              <w:rPr>
                <w:b/>
                <w:sz w:val="18"/>
                <w:szCs w:val="18"/>
                <w:lang w:val="en-US"/>
              </w:rPr>
              <w:t xml:space="preserve"> – </w:t>
            </w:r>
            <w:r>
              <w:rPr>
                <w:b/>
                <w:sz w:val="18"/>
                <w:szCs w:val="18"/>
                <w:lang w:val="en-US"/>
              </w:rPr>
              <w:t>Mean</w:t>
            </w:r>
            <w:r w:rsidRPr="00EE5291">
              <w:rPr>
                <w:b/>
                <w:sz w:val="18"/>
                <w:szCs w:val="18"/>
                <w:lang w:val="en-US"/>
              </w:rPr>
              <w:t xml:space="preserve"> Estimates of</w:t>
            </w:r>
            <w:r>
              <w:rPr>
                <w:b/>
                <w:sz w:val="18"/>
                <w:szCs w:val="18"/>
                <w:lang w:val="en-US"/>
              </w:rPr>
              <w:t xml:space="preserve"> the incremental cost Model A3 </w:t>
            </w:r>
            <w:r w:rsidRPr="00EE5291">
              <w:rPr>
                <w:b/>
                <w:sz w:val="18"/>
                <w:szCs w:val="18"/>
                <w:lang w:val="en-US"/>
              </w:rPr>
              <w:t>- Part 1</w:t>
            </w:r>
            <w:bookmarkEnd w:id="84"/>
          </w:p>
          <w:p w:rsidR="007718C7" w:rsidRPr="00001883" w:rsidRDefault="007718C7" w:rsidP="00001883">
            <w:pPr>
              <w:spacing w:after="0" w:line="240" w:lineRule="auto"/>
              <w:contextualSpacing/>
              <w:jc w:val="center"/>
              <w:rPr>
                <w:rFonts w:ascii="Calibri" w:hAnsi="Calibri"/>
                <w:i/>
                <w:sz w:val="18"/>
                <w:szCs w:val="18"/>
                <w:lang w:val="en-US"/>
              </w:rPr>
            </w:pPr>
            <w:r w:rsidRPr="00001883">
              <w:rPr>
                <w:rFonts w:ascii="Calibri" w:hAnsi="Calibri"/>
                <w:i/>
                <w:sz w:val="18"/>
                <w:szCs w:val="18"/>
                <w:lang w:val="en-US"/>
              </w:rPr>
              <w:t>Note:  Shaded values represent estimates based on a parameter which was not statistically significant</w:t>
            </w:r>
          </w:p>
        </w:tc>
      </w:tr>
    </w:tbl>
    <w:p w:rsidR="007718C7" w:rsidRDefault="009B164C" w:rsidP="00001883">
      <w:pPr>
        <w:jc w:val="center"/>
      </w:pPr>
      <w:r>
        <w:rPr>
          <w:noProof/>
          <w:lang w:eastAsia="en-AU"/>
        </w:rPr>
        <w:drawing>
          <wp:inline distT="0" distB="0" distL="0" distR="0" wp14:anchorId="3EB79FA5" wp14:editId="257446E6">
            <wp:extent cx="8134985" cy="5365750"/>
            <wp:effectExtent l="0" t="0" r="0" b="6350"/>
            <wp:docPr id="9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34985" cy="5365750"/>
                    </a:xfrm>
                    <a:prstGeom prst="rect">
                      <a:avLst/>
                    </a:prstGeom>
                    <a:noFill/>
                    <a:ln>
                      <a:noFill/>
                    </a:ln>
                  </pic:spPr>
                </pic:pic>
              </a:graphicData>
            </a:graphic>
          </wp:inline>
        </w:drawing>
      </w:r>
    </w:p>
    <w:p w:rsidR="007718C7" w:rsidRPr="00EE5291" w:rsidRDefault="00F50FB9" w:rsidP="00EE5291">
      <w:pPr>
        <w:spacing w:after="0"/>
        <w:contextualSpacing/>
        <w:jc w:val="center"/>
        <w:rPr>
          <w:b/>
          <w:sz w:val="18"/>
          <w:szCs w:val="18"/>
          <w:lang w:val="en-US"/>
        </w:rPr>
      </w:pPr>
      <w:r>
        <w:lastRenderedPageBreak/>
        <w:fldChar w:fldCharType="begin"/>
      </w:r>
      <w:r>
        <w:instrText xml:space="preserve"> REF _Ref367311317 \h  \* MERGEFORMAT </w:instrText>
      </w:r>
      <w:r>
        <w:fldChar w:fldCharType="separate"/>
      </w:r>
      <w:r w:rsidR="00363A39" w:rsidRPr="00EE5291">
        <w:rPr>
          <w:b/>
          <w:sz w:val="18"/>
          <w:szCs w:val="18"/>
          <w:lang w:val="en-US"/>
        </w:rPr>
        <w:t xml:space="preserve">Table </w:t>
      </w:r>
      <w:r w:rsidR="00363A39">
        <w:rPr>
          <w:b/>
          <w:sz w:val="18"/>
          <w:szCs w:val="18"/>
          <w:lang w:val="en-US"/>
        </w:rPr>
        <w:t>39</w:t>
      </w:r>
      <w:r>
        <w:fldChar w:fldCharType="end"/>
      </w:r>
      <w:r w:rsidR="007718C7" w:rsidRPr="00EE5291">
        <w:rPr>
          <w:b/>
          <w:sz w:val="18"/>
          <w:szCs w:val="18"/>
          <w:lang w:val="en-US"/>
        </w:rPr>
        <w:t xml:space="preserve"> – </w:t>
      </w:r>
      <w:r w:rsidR="007718C7">
        <w:rPr>
          <w:b/>
          <w:sz w:val="18"/>
          <w:szCs w:val="18"/>
          <w:lang w:val="en-US"/>
        </w:rPr>
        <w:t>Mean</w:t>
      </w:r>
      <w:r w:rsidR="007718C7" w:rsidRPr="00EE5291">
        <w:rPr>
          <w:b/>
          <w:sz w:val="18"/>
          <w:szCs w:val="18"/>
          <w:lang w:val="en-US"/>
        </w:rPr>
        <w:t xml:space="preserve"> Estimates of</w:t>
      </w:r>
      <w:r w:rsidR="007718C7">
        <w:rPr>
          <w:b/>
          <w:sz w:val="18"/>
          <w:szCs w:val="18"/>
          <w:lang w:val="en-US"/>
        </w:rPr>
        <w:t xml:space="preserve"> the incremental cost Model A3 </w:t>
      </w:r>
      <w:r w:rsidR="007718C7" w:rsidRPr="00EE5291">
        <w:rPr>
          <w:b/>
          <w:sz w:val="18"/>
          <w:szCs w:val="18"/>
          <w:lang w:val="en-US"/>
        </w:rPr>
        <w:t xml:space="preserve">- Part </w:t>
      </w:r>
      <w:r w:rsidR="007718C7">
        <w:rPr>
          <w:b/>
          <w:sz w:val="18"/>
          <w:szCs w:val="18"/>
          <w:lang w:val="en-US"/>
        </w:rPr>
        <w:t>2</w:t>
      </w:r>
    </w:p>
    <w:p w:rsidR="007718C7" w:rsidRPr="00001883" w:rsidRDefault="007718C7" w:rsidP="00001883">
      <w:pPr>
        <w:spacing w:after="0" w:line="240" w:lineRule="auto"/>
        <w:contextualSpacing/>
        <w:jc w:val="center"/>
        <w:rPr>
          <w:i/>
        </w:rPr>
      </w:pPr>
      <w:r w:rsidRPr="00001883">
        <w:rPr>
          <w:rFonts w:ascii="Calibri" w:hAnsi="Calibri"/>
          <w:i/>
          <w:sz w:val="18"/>
          <w:szCs w:val="18"/>
          <w:lang w:val="en-US"/>
        </w:rPr>
        <w:t>Note:  Shaded values represent estimates based on a parameter which was not statistically significant</w:t>
      </w:r>
    </w:p>
    <w:p w:rsidR="007718C7" w:rsidRDefault="009B164C" w:rsidP="00EE5291">
      <w:pPr>
        <w:spacing w:after="0"/>
        <w:jc w:val="center"/>
      </w:pPr>
      <w:r>
        <w:rPr>
          <w:noProof/>
          <w:lang w:eastAsia="en-AU"/>
        </w:rPr>
        <w:drawing>
          <wp:inline distT="0" distB="0" distL="0" distR="0" wp14:anchorId="78D0A3BE" wp14:editId="7726A715">
            <wp:extent cx="8039735" cy="5529580"/>
            <wp:effectExtent l="0" t="0" r="0" b="0"/>
            <wp:docPr id="9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39735" cy="5529580"/>
                    </a:xfrm>
                    <a:prstGeom prst="rect">
                      <a:avLst/>
                    </a:prstGeom>
                    <a:noFill/>
                    <a:ln>
                      <a:noFill/>
                    </a:ln>
                  </pic:spPr>
                </pic:pic>
              </a:graphicData>
            </a:graphic>
          </wp:inline>
        </w:drawing>
      </w:r>
      <w:r w:rsidR="007718C7" w:rsidRPr="000162E2">
        <w:t xml:space="preserve"> </w:t>
      </w:r>
    </w:p>
    <w:p w:rsidR="007718C7" w:rsidRPr="00D23453" w:rsidRDefault="007718C7" w:rsidP="00D20279">
      <w:pPr>
        <w:spacing w:after="0"/>
        <w:contextualSpacing/>
        <w:jc w:val="center"/>
        <w:rPr>
          <w:b/>
          <w:sz w:val="18"/>
          <w:szCs w:val="18"/>
          <w:lang w:val="en-US"/>
        </w:rPr>
      </w:pPr>
      <w:bookmarkStart w:id="85" w:name="_Ref368755108"/>
      <w:bookmarkStart w:id="86" w:name="_Ref369105450"/>
      <w:r w:rsidRPr="00D23453">
        <w:rPr>
          <w:b/>
          <w:sz w:val="18"/>
          <w:szCs w:val="18"/>
          <w:lang w:val="en-US"/>
        </w:rPr>
        <w:lastRenderedPageBreak/>
        <w:t xml:space="preserve">Table </w:t>
      </w:r>
      <w:r w:rsidRPr="00D23453">
        <w:rPr>
          <w:b/>
          <w:sz w:val="18"/>
          <w:szCs w:val="18"/>
          <w:lang w:val="en-US"/>
        </w:rPr>
        <w:fldChar w:fldCharType="begin"/>
      </w:r>
      <w:r w:rsidRPr="00D23453">
        <w:rPr>
          <w:b/>
          <w:sz w:val="18"/>
          <w:szCs w:val="18"/>
          <w:lang w:val="en-US"/>
        </w:rPr>
        <w:instrText xml:space="preserve"> SEQ Table \* ARABIC </w:instrText>
      </w:r>
      <w:r w:rsidRPr="00D23453">
        <w:rPr>
          <w:b/>
          <w:sz w:val="18"/>
          <w:szCs w:val="18"/>
          <w:lang w:val="en-US"/>
        </w:rPr>
        <w:fldChar w:fldCharType="separate"/>
      </w:r>
      <w:r w:rsidR="00363A39">
        <w:rPr>
          <w:b/>
          <w:noProof/>
          <w:sz w:val="18"/>
          <w:szCs w:val="18"/>
          <w:lang w:val="en-US"/>
        </w:rPr>
        <w:t>40</w:t>
      </w:r>
      <w:r w:rsidRPr="00D23453">
        <w:rPr>
          <w:b/>
          <w:sz w:val="18"/>
          <w:szCs w:val="18"/>
          <w:lang w:val="en-US"/>
        </w:rPr>
        <w:fldChar w:fldCharType="end"/>
      </w:r>
      <w:bookmarkEnd w:id="85"/>
      <w:r w:rsidRPr="00D23453">
        <w:rPr>
          <w:b/>
          <w:sz w:val="18"/>
          <w:szCs w:val="18"/>
          <w:lang w:val="en-US"/>
        </w:rPr>
        <w:t xml:space="preserve"> –Estimates of the incremental cost and length of stay impacts of presence of hospital acquired conditions </w:t>
      </w:r>
    </w:p>
    <w:p w:rsidR="007718C7" w:rsidRPr="00864829" w:rsidRDefault="007718C7" w:rsidP="00D20279">
      <w:pPr>
        <w:spacing w:after="0"/>
        <w:contextualSpacing/>
        <w:jc w:val="center"/>
        <w:rPr>
          <w:rFonts w:ascii="Calibri" w:hAnsi="Calibri"/>
          <w:b/>
          <w:sz w:val="18"/>
          <w:szCs w:val="18"/>
          <w:lang w:val="en-US"/>
        </w:rPr>
      </w:pPr>
      <w:r w:rsidRPr="00D23453">
        <w:rPr>
          <w:b/>
          <w:sz w:val="18"/>
          <w:szCs w:val="18"/>
          <w:lang w:val="en-US"/>
        </w:rPr>
        <w:t>grouped to individual CHADx classes, and overall estimate of cost Model A4</w:t>
      </w:r>
      <w:bookmarkEnd w:id="86"/>
    </w:p>
    <w:p w:rsidR="007718C7" w:rsidRDefault="007718C7" w:rsidP="00D20279">
      <w:pPr>
        <w:spacing w:after="0"/>
        <w:jc w:val="center"/>
      </w:pPr>
      <w:r w:rsidRPr="00001883">
        <w:rPr>
          <w:rFonts w:ascii="Calibri" w:hAnsi="Calibri"/>
          <w:i/>
          <w:sz w:val="18"/>
          <w:szCs w:val="18"/>
          <w:lang w:val="en-US"/>
        </w:rPr>
        <w:t>Note:  Shaded values represent estimates based on a parameter which was not statistically significant</w:t>
      </w:r>
      <w:r>
        <w:t xml:space="preserve"> </w:t>
      </w:r>
    </w:p>
    <w:tbl>
      <w:tblPr>
        <w:tblW w:w="15877" w:type="dxa"/>
        <w:tblInd w:w="-743" w:type="dxa"/>
        <w:tblLayout w:type="fixed"/>
        <w:tblLook w:val="00A0" w:firstRow="1" w:lastRow="0" w:firstColumn="1" w:lastColumn="0" w:noHBand="0" w:noVBand="0"/>
      </w:tblPr>
      <w:tblGrid>
        <w:gridCol w:w="7939"/>
        <w:gridCol w:w="7938"/>
      </w:tblGrid>
      <w:tr w:rsidR="007718C7" w:rsidTr="00F220A3">
        <w:tc>
          <w:tcPr>
            <w:tcW w:w="7939" w:type="dxa"/>
          </w:tcPr>
          <w:p w:rsidR="007718C7" w:rsidRPr="00F220A3" w:rsidRDefault="009B164C" w:rsidP="00F220A3">
            <w:pPr>
              <w:spacing w:after="0"/>
              <w:jc w:val="center"/>
              <w:rPr>
                <w:rFonts w:ascii="Calibri" w:hAnsi="Calibri"/>
              </w:rPr>
            </w:pPr>
            <w:r>
              <w:rPr>
                <w:rFonts w:ascii="Calibri" w:hAnsi="Calibri"/>
                <w:noProof/>
                <w:lang w:eastAsia="en-AU"/>
              </w:rPr>
              <w:drawing>
                <wp:inline distT="0" distB="0" distL="0" distR="0" wp14:anchorId="20E4C299" wp14:editId="030A25B4">
                  <wp:extent cx="4891405" cy="5055235"/>
                  <wp:effectExtent l="0" t="0" r="4445" b="0"/>
                  <wp:docPr id="9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91405" cy="5055235"/>
                          </a:xfrm>
                          <a:prstGeom prst="rect">
                            <a:avLst/>
                          </a:prstGeom>
                          <a:noFill/>
                          <a:ln>
                            <a:noFill/>
                          </a:ln>
                        </pic:spPr>
                      </pic:pic>
                    </a:graphicData>
                  </a:graphic>
                </wp:inline>
              </w:drawing>
            </w:r>
          </w:p>
        </w:tc>
        <w:tc>
          <w:tcPr>
            <w:tcW w:w="7938" w:type="dxa"/>
          </w:tcPr>
          <w:p w:rsidR="007718C7" w:rsidRPr="00F220A3" w:rsidRDefault="009B164C" w:rsidP="00F220A3">
            <w:pPr>
              <w:spacing w:after="0"/>
              <w:jc w:val="center"/>
              <w:rPr>
                <w:rFonts w:ascii="Calibri" w:hAnsi="Calibri"/>
              </w:rPr>
            </w:pPr>
            <w:r>
              <w:rPr>
                <w:rFonts w:ascii="Calibri" w:hAnsi="Calibri"/>
                <w:noProof/>
                <w:lang w:eastAsia="en-AU"/>
              </w:rPr>
              <w:drawing>
                <wp:inline distT="0" distB="0" distL="0" distR="0" wp14:anchorId="37550DC2" wp14:editId="54FD9B20">
                  <wp:extent cx="4891405" cy="5055235"/>
                  <wp:effectExtent l="0" t="0" r="4445" b="0"/>
                  <wp:docPr id="9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91405" cy="5055235"/>
                          </a:xfrm>
                          <a:prstGeom prst="rect">
                            <a:avLst/>
                          </a:prstGeom>
                          <a:noFill/>
                          <a:ln>
                            <a:noFill/>
                          </a:ln>
                        </pic:spPr>
                      </pic:pic>
                    </a:graphicData>
                  </a:graphic>
                </wp:inline>
              </w:drawing>
            </w:r>
          </w:p>
        </w:tc>
      </w:tr>
    </w:tbl>
    <w:p w:rsidR="007718C7" w:rsidRDefault="007718C7" w:rsidP="00D20279">
      <w:pPr>
        <w:spacing w:after="0"/>
        <w:jc w:val="center"/>
      </w:pPr>
      <w:r>
        <w:br w:type="page"/>
      </w:r>
    </w:p>
    <w:tbl>
      <w:tblPr>
        <w:tblW w:w="15744" w:type="dxa"/>
        <w:tblInd w:w="-743" w:type="dxa"/>
        <w:tblLook w:val="00A0" w:firstRow="1" w:lastRow="0" w:firstColumn="1" w:lastColumn="0" w:noHBand="0" w:noVBand="0"/>
      </w:tblPr>
      <w:tblGrid>
        <w:gridCol w:w="7908"/>
        <w:gridCol w:w="7836"/>
      </w:tblGrid>
      <w:tr w:rsidR="007718C7" w:rsidTr="00F220A3">
        <w:tc>
          <w:tcPr>
            <w:tcW w:w="7926" w:type="dxa"/>
          </w:tcPr>
          <w:p w:rsidR="007718C7" w:rsidRPr="00F220A3" w:rsidRDefault="009B164C" w:rsidP="00F220A3">
            <w:pPr>
              <w:spacing w:after="0"/>
              <w:jc w:val="center"/>
              <w:rPr>
                <w:rFonts w:ascii="Calibri" w:hAnsi="Calibri"/>
              </w:rPr>
            </w:pPr>
            <w:r>
              <w:rPr>
                <w:rFonts w:ascii="Calibri" w:hAnsi="Calibri"/>
                <w:noProof/>
                <w:lang w:eastAsia="en-AU"/>
              </w:rPr>
              <w:lastRenderedPageBreak/>
              <w:drawing>
                <wp:inline distT="0" distB="0" distL="0" distR="0" wp14:anchorId="7F00446A" wp14:editId="484D936A">
                  <wp:extent cx="4770120" cy="4925695"/>
                  <wp:effectExtent l="0" t="0" r="0" b="8255"/>
                  <wp:docPr id="10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0120" cy="4925695"/>
                          </a:xfrm>
                          <a:prstGeom prst="rect">
                            <a:avLst/>
                          </a:prstGeom>
                          <a:noFill/>
                          <a:ln>
                            <a:noFill/>
                          </a:ln>
                        </pic:spPr>
                      </pic:pic>
                    </a:graphicData>
                  </a:graphic>
                </wp:inline>
              </w:drawing>
            </w:r>
          </w:p>
        </w:tc>
        <w:tc>
          <w:tcPr>
            <w:tcW w:w="7818" w:type="dxa"/>
          </w:tcPr>
          <w:p w:rsidR="007718C7" w:rsidRPr="00F220A3" w:rsidRDefault="009B164C" w:rsidP="00F220A3">
            <w:pPr>
              <w:spacing w:after="0"/>
              <w:rPr>
                <w:rFonts w:ascii="Calibri" w:hAnsi="Calibri"/>
              </w:rPr>
            </w:pPr>
            <w:r>
              <w:rPr>
                <w:rFonts w:ascii="Calibri" w:hAnsi="Calibri"/>
                <w:noProof/>
                <w:lang w:eastAsia="en-AU"/>
              </w:rPr>
              <w:drawing>
                <wp:inline distT="0" distB="0" distL="0" distR="0" wp14:anchorId="631D1B8D" wp14:editId="6EB6EC74">
                  <wp:extent cx="4831080" cy="4986020"/>
                  <wp:effectExtent l="0" t="0" r="7620" b="5080"/>
                  <wp:docPr id="10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31080" cy="4986020"/>
                          </a:xfrm>
                          <a:prstGeom prst="rect">
                            <a:avLst/>
                          </a:prstGeom>
                          <a:noFill/>
                          <a:ln>
                            <a:noFill/>
                          </a:ln>
                        </pic:spPr>
                      </pic:pic>
                    </a:graphicData>
                  </a:graphic>
                </wp:inline>
              </w:drawing>
            </w:r>
          </w:p>
        </w:tc>
      </w:tr>
    </w:tbl>
    <w:p w:rsidR="007718C7" w:rsidRDefault="007718C7" w:rsidP="00D20279">
      <w:pPr>
        <w:spacing w:after="0"/>
        <w:jc w:val="center"/>
      </w:pPr>
    </w:p>
    <w:p w:rsidR="007718C7" w:rsidRDefault="007718C7" w:rsidP="00D20279">
      <w:pPr>
        <w:spacing w:after="0"/>
        <w:jc w:val="center"/>
      </w:pPr>
      <w:r>
        <w:br w:type="page"/>
      </w:r>
    </w:p>
    <w:tbl>
      <w:tblPr>
        <w:tblW w:w="10086" w:type="dxa"/>
        <w:jc w:val="center"/>
        <w:tblLook w:val="00A0" w:firstRow="1" w:lastRow="0" w:firstColumn="1" w:lastColumn="0" w:noHBand="0" w:noVBand="0"/>
      </w:tblPr>
      <w:tblGrid>
        <w:gridCol w:w="10086"/>
      </w:tblGrid>
      <w:tr w:rsidR="007718C7" w:rsidTr="00F220A3">
        <w:trPr>
          <w:jc w:val="center"/>
        </w:trPr>
        <w:tc>
          <w:tcPr>
            <w:tcW w:w="10086" w:type="dxa"/>
          </w:tcPr>
          <w:p w:rsidR="007718C7" w:rsidRPr="00F220A3" w:rsidRDefault="009B164C" w:rsidP="00F220A3">
            <w:pPr>
              <w:spacing w:after="0"/>
              <w:jc w:val="center"/>
              <w:rPr>
                <w:rFonts w:ascii="Calibri" w:hAnsi="Calibri"/>
              </w:rPr>
            </w:pPr>
            <w:r>
              <w:rPr>
                <w:rFonts w:ascii="Calibri" w:hAnsi="Calibri"/>
                <w:noProof/>
                <w:lang w:eastAsia="en-AU"/>
              </w:rPr>
              <w:lastRenderedPageBreak/>
              <w:drawing>
                <wp:inline distT="0" distB="0" distL="0" distR="0" wp14:anchorId="2D788EC5" wp14:editId="0509D75D">
                  <wp:extent cx="5063490" cy="1828800"/>
                  <wp:effectExtent l="0" t="0" r="3810" b="0"/>
                  <wp:docPr id="10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63490" cy="1828800"/>
                          </a:xfrm>
                          <a:prstGeom prst="rect">
                            <a:avLst/>
                          </a:prstGeom>
                          <a:noFill/>
                          <a:ln>
                            <a:noFill/>
                          </a:ln>
                        </pic:spPr>
                      </pic:pic>
                    </a:graphicData>
                  </a:graphic>
                </wp:inline>
              </w:drawing>
            </w:r>
          </w:p>
        </w:tc>
      </w:tr>
    </w:tbl>
    <w:p w:rsidR="007718C7" w:rsidRDefault="007718C7" w:rsidP="00D20279">
      <w:pPr>
        <w:spacing w:after="0"/>
        <w:jc w:val="center"/>
      </w:pPr>
    </w:p>
    <w:p w:rsidR="007718C7" w:rsidRDefault="007718C7" w:rsidP="00D20279">
      <w:pPr>
        <w:spacing w:after="0"/>
        <w:jc w:val="center"/>
      </w:pPr>
    </w:p>
    <w:p w:rsidR="007718C7" w:rsidRDefault="007718C7" w:rsidP="00D20279">
      <w:pPr>
        <w:spacing w:after="0" w:line="240" w:lineRule="auto"/>
        <w:contextualSpacing/>
        <w:jc w:val="center"/>
        <w:rPr>
          <w:rFonts w:ascii="Calibri" w:hAnsi="Calibri"/>
          <w:b/>
          <w:sz w:val="18"/>
          <w:szCs w:val="18"/>
          <w:lang w:val="en-US"/>
        </w:rPr>
      </w:pPr>
    </w:p>
    <w:p w:rsidR="007718C7" w:rsidRPr="00EE5291" w:rsidRDefault="007718C7" w:rsidP="00D20279">
      <w:pPr>
        <w:spacing w:after="0"/>
        <w:contextualSpacing/>
        <w:jc w:val="center"/>
        <w:rPr>
          <w:b/>
          <w:sz w:val="18"/>
          <w:szCs w:val="18"/>
          <w:lang w:val="en-US"/>
        </w:rPr>
      </w:pPr>
      <w:bookmarkStart w:id="87" w:name="_Ref368755658"/>
      <w:r>
        <w:rPr>
          <w:b/>
          <w:sz w:val="18"/>
          <w:szCs w:val="18"/>
          <w:lang w:val="en-US"/>
        </w:rPr>
        <w:br w:type="page"/>
      </w:r>
      <w:bookmarkStart w:id="88" w:name="_Ref369105531"/>
      <w:r w:rsidRPr="00EE5291">
        <w:rPr>
          <w:b/>
          <w:sz w:val="18"/>
          <w:szCs w:val="18"/>
          <w:lang w:val="en-US"/>
        </w:rPr>
        <w:lastRenderedPageBreak/>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41</w:t>
      </w:r>
      <w:r w:rsidRPr="00EE5291">
        <w:rPr>
          <w:b/>
          <w:sz w:val="18"/>
          <w:szCs w:val="18"/>
          <w:lang w:val="en-US"/>
        </w:rPr>
        <w:fldChar w:fldCharType="end"/>
      </w:r>
      <w:bookmarkEnd w:id="87"/>
      <w:r w:rsidRPr="00EE5291">
        <w:rPr>
          <w:b/>
          <w:sz w:val="18"/>
          <w:szCs w:val="18"/>
          <w:lang w:val="en-US"/>
        </w:rPr>
        <w:t xml:space="preserve"> – </w:t>
      </w:r>
      <w:r>
        <w:rPr>
          <w:b/>
          <w:sz w:val="18"/>
          <w:szCs w:val="18"/>
          <w:lang w:val="en-US"/>
        </w:rPr>
        <w:t xml:space="preserve">Median </w:t>
      </w:r>
      <w:r w:rsidRPr="00EE5291">
        <w:rPr>
          <w:b/>
          <w:sz w:val="18"/>
          <w:szCs w:val="18"/>
          <w:lang w:val="en-US"/>
        </w:rPr>
        <w:t>Estimates of the in</w:t>
      </w:r>
      <w:r>
        <w:rPr>
          <w:b/>
          <w:sz w:val="18"/>
          <w:szCs w:val="18"/>
          <w:lang w:val="en-US"/>
        </w:rPr>
        <w:t xml:space="preserve">cremental cost Model A1 and A2 </w:t>
      </w:r>
      <w:r w:rsidRPr="00EE5291">
        <w:rPr>
          <w:b/>
          <w:sz w:val="18"/>
          <w:szCs w:val="18"/>
          <w:lang w:val="en-US"/>
        </w:rPr>
        <w:t>- Part 1</w:t>
      </w:r>
      <w:bookmarkEnd w:id="88"/>
    </w:p>
    <w:p w:rsidR="007718C7" w:rsidRDefault="007718C7" w:rsidP="00D20279">
      <w:pPr>
        <w:spacing w:after="0" w:line="240" w:lineRule="auto"/>
        <w:contextualSpacing/>
        <w:jc w:val="center"/>
        <w:rPr>
          <w:rFonts w:ascii="Calibri" w:hAnsi="Calibri"/>
          <w:i/>
          <w:sz w:val="18"/>
          <w:szCs w:val="18"/>
          <w:lang w:val="en-US"/>
        </w:rPr>
      </w:pPr>
      <w:r w:rsidRPr="00001883">
        <w:rPr>
          <w:rFonts w:ascii="Calibri" w:hAnsi="Calibri"/>
          <w:i/>
          <w:sz w:val="18"/>
          <w:szCs w:val="18"/>
          <w:lang w:val="en-US"/>
        </w:rPr>
        <w:t>Note:  Shaded values represent estimates based on a parameter which was not statistically significant</w:t>
      </w:r>
    </w:p>
    <w:p w:rsidR="007718C7" w:rsidRDefault="009B164C" w:rsidP="00D20279">
      <w:pPr>
        <w:spacing w:after="0" w:line="240" w:lineRule="auto"/>
        <w:contextualSpacing/>
        <w:jc w:val="center"/>
        <w:rPr>
          <w:rFonts w:ascii="Calibri" w:hAnsi="Calibri"/>
          <w:i/>
          <w:sz w:val="18"/>
          <w:szCs w:val="18"/>
          <w:lang w:val="en-US"/>
        </w:rPr>
      </w:pPr>
      <w:r>
        <w:rPr>
          <w:noProof/>
          <w:lang w:eastAsia="en-AU"/>
        </w:rPr>
        <w:drawing>
          <wp:inline distT="0" distB="0" distL="0" distR="0" wp14:anchorId="6597BC50" wp14:editId="09202561">
            <wp:extent cx="8790305" cy="5391785"/>
            <wp:effectExtent l="0" t="0" r="0" b="0"/>
            <wp:docPr id="10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790305" cy="5391785"/>
                    </a:xfrm>
                    <a:prstGeom prst="rect">
                      <a:avLst/>
                    </a:prstGeom>
                    <a:noFill/>
                    <a:ln>
                      <a:noFill/>
                    </a:ln>
                  </pic:spPr>
                </pic:pic>
              </a:graphicData>
            </a:graphic>
          </wp:inline>
        </w:drawing>
      </w:r>
    </w:p>
    <w:p w:rsidR="007718C7" w:rsidRDefault="007718C7" w:rsidP="00D20279">
      <w:pPr>
        <w:spacing w:after="0"/>
        <w:contextualSpacing/>
        <w:jc w:val="center"/>
        <w:rPr>
          <w:b/>
          <w:sz w:val="18"/>
          <w:szCs w:val="18"/>
          <w:lang w:val="en-US"/>
        </w:rPr>
      </w:pPr>
    </w:p>
    <w:p w:rsidR="007718C7" w:rsidRPr="00EE5291" w:rsidRDefault="007718C7" w:rsidP="00D20279">
      <w:pPr>
        <w:spacing w:after="0"/>
        <w:contextualSpacing/>
        <w:jc w:val="center"/>
        <w:rPr>
          <w:b/>
          <w:sz w:val="18"/>
          <w:szCs w:val="18"/>
          <w:lang w:val="en-US"/>
        </w:rPr>
      </w:pPr>
      <w:r>
        <w:rPr>
          <w:b/>
          <w:sz w:val="18"/>
          <w:szCs w:val="18"/>
          <w:lang w:val="en-US"/>
        </w:rPr>
        <w:fldChar w:fldCharType="begin"/>
      </w:r>
      <w:r>
        <w:rPr>
          <w:b/>
          <w:sz w:val="18"/>
          <w:szCs w:val="18"/>
          <w:lang w:val="en-US"/>
        </w:rPr>
        <w:instrText xml:space="preserve"> REF _Ref368755658 \h </w:instrText>
      </w:r>
      <w:r>
        <w:rPr>
          <w:b/>
          <w:sz w:val="18"/>
          <w:szCs w:val="18"/>
          <w:lang w:val="en-US"/>
        </w:rPr>
      </w:r>
      <w:r>
        <w:rPr>
          <w:b/>
          <w:sz w:val="18"/>
          <w:szCs w:val="18"/>
          <w:lang w:val="en-US"/>
        </w:rPr>
        <w:fldChar w:fldCharType="separate"/>
      </w:r>
      <w:r w:rsidR="00363A39">
        <w:rPr>
          <w:b/>
          <w:sz w:val="18"/>
          <w:szCs w:val="18"/>
          <w:lang w:val="en-US"/>
        </w:rPr>
        <w:br w:type="page"/>
      </w:r>
      <w:r w:rsidR="00363A39" w:rsidRPr="00EE5291">
        <w:rPr>
          <w:b/>
          <w:sz w:val="18"/>
          <w:szCs w:val="18"/>
          <w:lang w:val="en-US"/>
        </w:rPr>
        <w:lastRenderedPageBreak/>
        <w:t xml:space="preserve">Table </w:t>
      </w:r>
      <w:r w:rsidR="00363A39">
        <w:rPr>
          <w:b/>
          <w:noProof/>
          <w:sz w:val="18"/>
          <w:szCs w:val="18"/>
          <w:lang w:val="en-US"/>
        </w:rPr>
        <w:t>41</w:t>
      </w:r>
      <w:r>
        <w:rPr>
          <w:b/>
          <w:sz w:val="18"/>
          <w:szCs w:val="18"/>
          <w:lang w:val="en-US"/>
        </w:rPr>
        <w:fldChar w:fldCharType="end"/>
      </w:r>
      <w:r>
        <w:rPr>
          <w:b/>
          <w:sz w:val="18"/>
          <w:szCs w:val="18"/>
          <w:lang w:val="en-US"/>
        </w:rPr>
        <w:t xml:space="preserve"> </w:t>
      </w:r>
      <w:r w:rsidRPr="00EE5291">
        <w:rPr>
          <w:b/>
          <w:sz w:val="18"/>
          <w:szCs w:val="18"/>
          <w:lang w:val="en-US"/>
        </w:rPr>
        <w:t xml:space="preserve">– </w:t>
      </w:r>
      <w:r>
        <w:rPr>
          <w:b/>
          <w:sz w:val="18"/>
          <w:szCs w:val="18"/>
          <w:lang w:val="en-US"/>
        </w:rPr>
        <w:t xml:space="preserve">Median </w:t>
      </w:r>
      <w:r w:rsidRPr="00EE5291">
        <w:rPr>
          <w:b/>
          <w:sz w:val="18"/>
          <w:szCs w:val="18"/>
          <w:lang w:val="en-US"/>
        </w:rPr>
        <w:t>Estimates of the i</w:t>
      </w:r>
      <w:r>
        <w:rPr>
          <w:b/>
          <w:sz w:val="18"/>
          <w:szCs w:val="18"/>
          <w:lang w:val="en-US"/>
        </w:rPr>
        <w:t>ncremental cost Model A1 and A2</w:t>
      </w:r>
      <w:r w:rsidRPr="00EE5291">
        <w:rPr>
          <w:b/>
          <w:sz w:val="18"/>
          <w:szCs w:val="18"/>
          <w:lang w:val="en-US"/>
        </w:rPr>
        <w:t xml:space="preserve"> - Part 2</w:t>
      </w:r>
    </w:p>
    <w:p w:rsidR="007718C7" w:rsidRDefault="007718C7" w:rsidP="00D20279">
      <w:pPr>
        <w:spacing w:after="0" w:line="240" w:lineRule="auto"/>
        <w:contextualSpacing/>
        <w:jc w:val="center"/>
        <w:rPr>
          <w:rFonts w:ascii="Calibri" w:hAnsi="Calibri"/>
          <w:i/>
          <w:sz w:val="18"/>
          <w:szCs w:val="18"/>
          <w:lang w:val="en-US"/>
        </w:rPr>
      </w:pPr>
      <w:r w:rsidRPr="00001883">
        <w:rPr>
          <w:rFonts w:ascii="Calibri" w:hAnsi="Calibri"/>
          <w:i/>
          <w:sz w:val="18"/>
          <w:szCs w:val="18"/>
          <w:lang w:val="en-US"/>
        </w:rPr>
        <w:t>Note:  Shaded values represent estimates based on a parameter which was not statistically significant</w:t>
      </w:r>
    </w:p>
    <w:p w:rsidR="007718C7" w:rsidRDefault="009B164C" w:rsidP="00D20279">
      <w:pPr>
        <w:spacing w:after="0" w:line="240" w:lineRule="auto"/>
        <w:contextualSpacing/>
        <w:jc w:val="center"/>
        <w:rPr>
          <w:rFonts w:ascii="Calibri" w:hAnsi="Calibri"/>
          <w:i/>
          <w:sz w:val="18"/>
          <w:szCs w:val="18"/>
          <w:lang w:val="en-US"/>
        </w:rPr>
      </w:pPr>
      <w:r>
        <w:rPr>
          <w:noProof/>
          <w:lang w:eastAsia="en-AU"/>
        </w:rPr>
        <w:drawing>
          <wp:inline distT="0" distB="0" distL="0" distR="0" wp14:anchorId="3146A553" wp14:editId="7E4125A2">
            <wp:extent cx="8824595" cy="5391785"/>
            <wp:effectExtent l="0" t="0" r="0" b="0"/>
            <wp:docPr id="10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24595" cy="5391785"/>
                    </a:xfrm>
                    <a:prstGeom prst="rect">
                      <a:avLst/>
                    </a:prstGeom>
                    <a:noFill/>
                    <a:ln>
                      <a:noFill/>
                    </a:ln>
                  </pic:spPr>
                </pic:pic>
              </a:graphicData>
            </a:graphic>
          </wp:inline>
        </w:drawing>
      </w:r>
    </w:p>
    <w:p w:rsidR="007718C7" w:rsidRDefault="007718C7" w:rsidP="00D20279">
      <w:pPr>
        <w:spacing w:after="0" w:line="240" w:lineRule="auto"/>
        <w:contextualSpacing/>
        <w:jc w:val="center"/>
        <w:rPr>
          <w:rFonts w:ascii="Calibri" w:hAnsi="Calibri"/>
          <w:i/>
          <w:sz w:val="18"/>
          <w:szCs w:val="18"/>
          <w:lang w:val="en-US"/>
        </w:rPr>
      </w:pPr>
    </w:p>
    <w:p w:rsidR="007718C7" w:rsidRDefault="007718C7" w:rsidP="00D20279">
      <w:pPr>
        <w:spacing w:after="0" w:line="240" w:lineRule="auto"/>
        <w:contextualSpacing/>
        <w:jc w:val="center"/>
        <w:rPr>
          <w:rFonts w:ascii="Calibri" w:hAnsi="Calibri"/>
          <w:i/>
          <w:sz w:val="18"/>
          <w:szCs w:val="18"/>
          <w:lang w:val="en-US"/>
        </w:rPr>
      </w:pPr>
    </w:p>
    <w:p w:rsidR="007718C7" w:rsidRPr="00864829" w:rsidRDefault="007718C7" w:rsidP="00D20279">
      <w:pPr>
        <w:spacing w:after="0"/>
        <w:contextualSpacing/>
        <w:jc w:val="center"/>
        <w:rPr>
          <w:rFonts w:ascii="Calibri" w:hAnsi="Calibri"/>
          <w:b/>
          <w:sz w:val="18"/>
          <w:szCs w:val="18"/>
          <w:lang w:val="en-US"/>
        </w:rPr>
      </w:pPr>
      <w:bookmarkStart w:id="89" w:name="_Ref368755695"/>
      <w:bookmarkStart w:id="90" w:name="_Ref369105526"/>
      <w:r w:rsidRPr="00EE5291">
        <w:rPr>
          <w:b/>
          <w:sz w:val="18"/>
          <w:szCs w:val="18"/>
          <w:lang w:val="en-US"/>
        </w:rPr>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42</w:t>
      </w:r>
      <w:r w:rsidRPr="00EE5291">
        <w:rPr>
          <w:b/>
          <w:sz w:val="18"/>
          <w:szCs w:val="18"/>
          <w:lang w:val="en-US"/>
        </w:rPr>
        <w:fldChar w:fldCharType="end"/>
      </w:r>
      <w:bookmarkEnd w:id="89"/>
      <w:r w:rsidRPr="00EE5291">
        <w:rPr>
          <w:b/>
          <w:sz w:val="18"/>
          <w:szCs w:val="18"/>
          <w:lang w:val="en-US"/>
        </w:rPr>
        <w:t xml:space="preserve"> – </w:t>
      </w:r>
      <w:r>
        <w:rPr>
          <w:b/>
          <w:sz w:val="18"/>
          <w:szCs w:val="18"/>
          <w:lang w:val="en-US"/>
        </w:rPr>
        <w:t xml:space="preserve">Median </w:t>
      </w:r>
      <w:r w:rsidRPr="00EE5291">
        <w:rPr>
          <w:b/>
          <w:sz w:val="18"/>
          <w:szCs w:val="18"/>
          <w:lang w:val="en-US"/>
        </w:rPr>
        <w:t>Estimates o</w:t>
      </w:r>
      <w:r>
        <w:rPr>
          <w:b/>
          <w:sz w:val="18"/>
          <w:szCs w:val="18"/>
          <w:lang w:val="en-US"/>
        </w:rPr>
        <w:t>f the incremental cost Model A3</w:t>
      </w:r>
      <w:r w:rsidRPr="00EE5291">
        <w:rPr>
          <w:b/>
          <w:sz w:val="18"/>
          <w:szCs w:val="18"/>
          <w:lang w:val="en-US"/>
        </w:rPr>
        <w:t xml:space="preserve"> - Part 1</w:t>
      </w:r>
      <w:bookmarkEnd w:id="90"/>
    </w:p>
    <w:p w:rsidR="007718C7" w:rsidRDefault="007718C7" w:rsidP="00D20279">
      <w:pPr>
        <w:spacing w:after="0" w:line="240" w:lineRule="auto"/>
        <w:contextualSpacing/>
        <w:jc w:val="center"/>
        <w:rPr>
          <w:rFonts w:ascii="Calibri" w:hAnsi="Calibri"/>
          <w:i/>
          <w:sz w:val="18"/>
          <w:szCs w:val="18"/>
          <w:lang w:val="en-US"/>
        </w:rPr>
      </w:pPr>
      <w:r w:rsidRPr="00001883">
        <w:rPr>
          <w:rFonts w:ascii="Calibri" w:hAnsi="Calibri"/>
          <w:i/>
          <w:sz w:val="18"/>
          <w:szCs w:val="18"/>
          <w:lang w:val="en-US"/>
        </w:rPr>
        <w:t>Note:  Shaded values represent estimates based on a parameter which was not statistically significant</w:t>
      </w:r>
    </w:p>
    <w:p w:rsidR="007718C7" w:rsidRDefault="009B164C" w:rsidP="00D20279">
      <w:pPr>
        <w:spacing w:after="0" w:line="240" w:lineRule="auto"/>
        <w:contextualSpacing/>
        <w:jc w:val="center"/>
        <w:rPr>
          <w:rFonts w:ascii="Calibri" w:hAnsi="Calibri"/>
          <w:i/>
          <w:sz w:val="18"/>
          <w:szCs w:val="18"/>
          <w:lang w:val="en-US"/>
        </w:rPr>
      </w:pPr>
      <w:r>
        <w:rPr>
          <w:noProof/>
          <w:lang w:eastAsia="en-AU"/>
        </w:rPr>
        <w:drawing>
          <wp:inline distT="0" distB="0" distL="0" distR="0" wp14:anchorId="244DB8CE" wp14:editId="54B7818A">
            <wp:extent cx="7522210" cy="5305425"/>
            <wp:effectExtent l="0" t="0" r="2540" b="9525"/>
            <wp:docPr id="1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522210" cy="5305425"/>
                    </a:xfrm>
                    <a:prstGeom prst="rect">
                      <a:avLst/>
                    </a:prstGeom>
                    <a:noFill/>
                    <a:ln>
                      <a:noFill/>
                    </a:ln>
                  </pic:spPr>
                </pic:pic>
              </a:graphicData>
            </a:graphic>
          </wp:inline>
        </w:drawing>
      </w:r>
    </w:p>
    <w:p w:rsidR="007718C7" w:rsidRDefault="007718C7" w:rsidP="00D20279">
      <w:pPr>
        <w:spacing w:after="0" w:line="240" w:lineRule="auto"/>
        <w:contextualSpacing/>
        <w:jc w:val="center"/>
        <w:rPr>
          <w:rFonts w:ascii="Calibri" w:hAnsi="Calibri"/>
          <w:i/>
          <w:sz w:val="18"/>
          <w:szCs w:val="18"/>
          <w:lang w:val="en-US"/>
        </w:rPr>
      </w:pPr>
    </w:p>
    <w:p w:rsidR="007718C7" w:rsidRPr="00EE5291" w:rsidRDefault="007718C7" w:rsidP="00D20279">
      <w:pPr>
        <w:spacing w:after="0"/>
        <w:contextualSpacing/>
        <w:jc w:val="center"/>
        <w:rPr>
          <w:b/>
          <w:sz w:val="18"/>
          <w:szCs w:val="18"/>
          <w:lang w:val="en-US"/>
        </w:rPr>
      </w:pPr>
      <w:r>
        <w:rPr>
          <w:b/>
          <w:sz w:val="18"/>
          <w:szCs w:val="18"/>
          <w:lang w:val="en-US"/>
        </w:rPr>
        <w:lastRenderedPageBreak/>
        <w:fldChar w:fldCharType="begin"/>
      </w:r>
      <w:r>
        <w:rPr>
          <w:b/>
          <w:sz w:val="18"/>
          <w:szCs w:val="18"/>
          <w:lang w:val="en-US"/>
        </w:rPr>
        <w:instrText xml:space="preserve"> REF _Ref368755695 \h </w:instrText>
      </w:r>
      <w:r>
        <w:rPr>
          <w:b/>
          <w:sz w:val="18"/>
          <w:szCs w:val="18"/>
          <w:lang w:val="en-US"/>
        </w:rPr>
      </w:r>
      <w:r>
        <w:rPr>
          <w:b/>
          <w:sz w:val="18"/>
          <w:szCs w:val="18"/>
          <w:lang w:val="en-US"/>
        </w:rPr>
        <w:fldChar w:fldCharType="separate"/>
      </w:r>
      <w:r w:rsidR="00363A39" w:rsidRPr="00EE5291">
        <w:rPr>
          <w:b/>
          <w:sz w:val="18"/>
          <w:szCs w:val="18"/>
          <w:lang w:val="en-US"/>
        </w:rPr>
        <w:t xml:space="preserve">Table </w:t>
      </w:r>
      <w:r w:rsidR="00363A39">
        <w:rPr>
          <w:b/>
          <w:noProof/>
          <w:sz w:val="18"/>
          <w:szCs w:val="18"/>
          <w:lang w:val="en-US"/>
        </w:rPr>
        <w:t>42</w:t>
      </w:r>
      <w:r>
        <w:rPr>
          <w:b/>
          <w:sz w:val="18"/>
          <w:szCs w:val="18"/>
          <w:lang w:val="en-US"/>
        </w:rPr>
        <w:fldChar w:fldCharType="end"/>
      </w:r>
      <w:r w:rsidRPr="00EE5291">
        <w:rPr>
          <w:b/>
          <w:sz w:val="18"/>
          <w:szCs w:val="18"/>
          <w:lang w:val="en-US"/>
        </w:rPr>
        <w:t xml:space="preserve"> – </w:t>
      </w:r>
      <w:r>
        <w:rPr>
          <w:b/>
          <w:sz w:val="18"/>
          <w:szCs w:val="18"/>
          <w:lang w:val="en-US"/>
        </w:rPr>
        <w:t xml:space="preserve">Median </w:t>
      </w:r>
      <w:r w:rsidRPr="00EE5291">
        <w:rPr>
          <w:b/>
          <w:sz w:val="18"/>
          <w:szCs w:val="18"/>
          <w:lang w:val="en-US"/>
        </w:rPr>
        <w:t>Estimates of</w:t>
      </w:r>
      <w:r>
        <w:rPr>
          <w:b/>
          <w:sz w:val="18"/>
          <w:szCs w:val="18"/>
          <w:lang w:val="en-US"/>
        </w:rPr>
        <w:t xml:space="preserve"> the incremental cost Model A3 </w:t>
      </w:r>
      <w:r w:rsidRPr="00EE5291">
        <w:rPr>
          <w:b/>
          <w:sz w:val="18"/>
          <w:szCs w:val="18"/>
          <w:lang w:val="en-US"/>
        </w:rPr>
        <w:t xml:space="preserve">- Part </w:t>
      </w:r>
      <w:r>
        <w:rPr>
          <w:b/>
          <w:sz w:val="18"/>
          <w:szCs w:val="18"/>
          <w:lang w:val="en-US"/>
        </w:rPr>
        <w:t>2</w:t>
      </w:r>
    </w:p>
    <w:p w:rsidR="007718C7" w:rsidRDefault="007718C7" w:rsidP="00D20279">
      <w:pPr>
        <w:spacing w:after="0" w:line="240" w:lineRule="auto"/>
        <w:contextualSpacing/>
        <w:jc w:val="center"/>
        <w:rPr>
          <w:rFonts w:ascii="Calibri" w:hAnsi="Calibri"/>
          <w:i/>
          <w:sz w:val="18"/>
          <w:szCs w:val="18"/>
          <w:lang w:val="en-US"/>
        </w:rPr>
      </w:pPr>
      <w:r w:rsidRPr="00001883">
        <w:rPr>
          <w:rFonts w:ascii="Calibri" w:hAnsi="Calibri"/>
          <w:i/>
          <w:sz w:val="18"/>
          <w:szCs w:val="18"/>
          <w:lang w:val="en-US"/>
        </w:rPr>
        <w:t>Note:  Shaded values represent estimates based on a parameter which was not statistically significant</w:t>
      </w:r>
    </w:p>
    <w:p w:rsidR="007718C7" w:rsidRDefault="009B164C" w:rsidP="00D20279">
      <w:pPr>
        <w:spacing w:after="0" w:line="240" w:lineRule="auto"/>
        <w:contextualSpacing/>
        <w:jc w:val="center"/>
        <w:rPr>
          <w:rFonts w:ascii="Calibri" w:hAnsi="Calibri"/>
          <w:i/>
          <w:sz w:val="18"/>
          <w:szCs w:val="18"/>
          <w:lang w:val="en-US"/>
        </w:rPr>
      </w:pPr>
      <w:r>
        <w:rPr>
          <w:noProof/>
          <w:lang w:eastAsia="en-AU"/>
        </w:rPr>
        <w:drawing>
          <wp:inline distT="0" distB="0" distL="0" distR="0" wp14:anchorId="1EF168A5" wp14:editId="2E484FCB">
            <wp:extent cx="7548245" cy="5305425"/>
            <wp:effectExtent l="0" t="0" r="0" b="9525"/>
            <wp:docPr id="10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548245" cy="5305425"/>
                    </a:xfrm>
                    <a:prstGeom prst="rect">
                      <a:avLst/>
                    </a:prstGeom>
                    <a:noFill/>
                    <a:ln>
                      <a:noFill/>
                    </a:ln>
                  </pic:spPr>
                </pic:pic>
              </a:graphicData>
            </a:graphic>
          </wp:inline>
        </w:drawing>
      </w:r>
    </w:p>
    <w:p w:rsidR="007718C7" w:rsidRPr="00EE5291" w:rsidRDefault="007718C7" w:rsidP="00EE5291">
      <w:pPr>
        <w:spacing w:after="0"/>
        <w:jc w:val="center"/>
        <w:rPr>
          <w:b/>
          <w:sz w:val="18"/>
          <w:szCs w:val="18"/>
          <w:lang w:val="en-US"/>
        </w:rPr>
      </w:pPr>
      <w:r>
        <w:br w:type="page"/>
      </w:r>
      <w:bookmarkStart w:id="91" w:name="_Ref367311461"/>
      <w:bookmarkStart w:id="92" w:name="_Ref369105469"/>
      <w:r w:rsidRPr="00EE5291">
        <w:rPr>
          <w:b/>
          <w:sz w:val="18"/>
          <w:szCs w:val="18"/>
          <w:lang w:val="en-US"/>
        </w:rPr>
        <w:lastRenderedPageBreak/>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43</w:t>
      </w:r>
      <w:r w:rsidRPr="00EE5291">
        <w:rPr>
          <w:b/>
          <w:sz w:val="18"/>
          <w:szCs w:val="18"/>
          <w:lang w:val="en-US"/>
        </w:rPr>
        <w:fldChar w:fldCharType="end"/>
      </w:r>
      <w:bookmarkEnd w:id="91"/>
      <w:r w:rsidRPr="00EE5291">
        <w:rPr>
          <w:b/>
          <w:sz w:val="18"/>
          <w:szCs w:val="18"/>
          <w:lang w:val="en-US"/>
        </w:rPr>
        <w:t xml:space="preserve"> – Estimates of the incremental length of stay </w:t>
      </w:r>
      <w:r>
        <w:rPr>
          <w:b/>
          <w:sz w:val="18"/>
          <w:szCs w:val="18"/>
          <w:lang w:val="en-US"/>
        </w:rPr>
        <w:t xml:space="preserve">– GLM Mean results - Model B1 and B2 </w:t>
      </w:r>
      <w:r w:rsidRPr="00EE5291">
        <w:rPr>
          <w:b/>
          <w:sz w:val="18"/>
          <w:szCs w:val="18"/>
          <w:lang w:val="en-US"/>
        </w:rPr>
        <w:t>- Part 1</w:t>
      </w:r>
      <w:bookmarkEnd w:id="92"/>
    </w:p>
    <w:p w:rsidR="007718C7" w:rsidRPr="00001883" w:rsidRDefault="007718C7" w:rsidP="00001883">
      <w:pPr>
        <w:spacing w:after="0" w:line="240" w:lineRule="auto"/>
        <w:contextualSpacing/>
        <w:jc w:val="center"/>
        <w:rPr>
          <w:rFonts w:ascii="Calibri" w:hAnsi="Calibri"/>
          <w:i/>
          <w:sz w:val="18"/>
          <w:szCs w:val="18"/>
          <w:lang w:val="en-US"/>
        </w:rPr>
      </w:pPr>
      <w:r w:rsidRPr="00001883">
        <w:rPr>
          <w:rFonts w:ascii="Calibri" w:hAnsi="Calibri"/>
          <w:i/>
          <w:sz w:val="18"/>
          <w:szCs w:val="18"/>
          <w:lang w:val="en-US"/>
        </w:rPr>
        <w:t>Note:  Shaded values represent estimates based on a parameter which was not statistically significant</w:t>
      </w:r>
    </w:p>
    <w:p w:rsidR="007718C7" w:rsidRPr="00EE5291" w:rsidRDefault="009B164C" w:rsidP="00EE5291">
      <w:pPr>
        <w:spacing w:after="0"/>
        <w:jc w:val="center"/>
        <w:rPr>
          <w:b/>
          <w:sz w:val="18"/>
          <w:szCs w:val="18"/>
          <w:lang w:val="en-US"/>
        </w:rPr>
      </w:pPr>
      <w:r>
        <w:rPr>
          <w:noProof/>
          <w:lang w:eastAsia="en-AU"/>
        </w:rPr>
        <w:drawing>
          <wp:inline distT="0" distB="0" distL="0" distR="0" wp14:anchorId="2729EE06" wp14:editId="0E9D1667">
            <wp:extent cx="8764270" cy="4891405"/>
            <wp:effectExtent l="0" t="0" r="0" b="4445"/>
            <wp:docPr id="10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764270" cy="4891405"/>
                    </a:xfrm>
                    <a:prstGeom prst="rect">
                      <a:avLst/>
                    </a:prstGeom>
                    <a:noFill/>
                    <a:ln>
                      <a:noFill/>
                    </a:ln>
                  </pic:spPr>
                </pic:pic>
              </a:graphicData>
            </a:graphic>
          </wp:inline>
        </w:drawing>
      </w:r>
      <w:r w:rsidR="007718C7">
        <w:rPr>
          <w:rFonts w:ascii="Calibri" w:hAnsi="Calibri"/>
          <w:b/>
          <w:sz w:val="18"/>
          <w:szCs w:val="18"/>
          <w:lang w:val="en-US"/>
        </w:rPr>
        <w:br w:type="page"/>
      </w:r>
      <w:r w:rsidR="00F50FB9">
        <w:lastRenderedPageBreak/>
        <w:fldChar w:fldCharType="begin"/>
      </w:r>
      <w:r w:rsidR="00F50FB9">
        <w:instrText xml:space="preserve"> REF _Ref367311461 \h  \* MERGEFORMAT </w:instrText>
      </w:r>
      <w:r w:rsidR="00F50FB9">
        <w:fldChar w:fldCharType="separate"/>
      </w:r>
      <w:r w:rsidR="00363A39" w:rsidRPr="00EE5291">
        <w:rPr>
          <w:b/>
          <w:sz w:val="18"/>
          <w:szCs w:val="18"/>
          <w:lang w:val="en-US"/>
        </w:rPr>
        <w:t xml:space="preserve">Table </w:t>
      </w:r>
      <w:r w:rsidR="00363A39">
        <w:rPr>
          <w:b/>
          <w:sz w:val="18"/>
          <w:szCs w:val="18"/>
          <w:lang w:val="en-US"/>
        </w:rPr>
        <w:t>43</w:t>
      </w:r>
      <w:r w:rsidR="00F50FB9">
        <w:fldChar w:fldCharType="end"/>
      </w:r>
      <w:r w:rsidR="007718C7" w:rsidRPr="00EE5291">
        <w:rPr>
          <w:b/>
          <w:sz w:val="18"/>
          <w:szCs w:val="18"/>
          <w:lang w:val="en-US"/>
        </w:rPr>
        <w:t xml:space="preserve">– Estimates of the incremental length of stay </w:t>
      </w:r>
      <w:r w:rsidR="007718C7">
        <w:rPr>
          <w:b/>
          <w:sz w:val="18"/>
          <w:szCs w:val="18"/>
          <w:lang w:val="en-US"/>
        </w:rPr>
        <w:t>– GLM Mean results - Model B1 and B2</w:t>
      </w:r>
      <w:r w:rsidR="007718C7" w:rsidRPr="00EE5291">
        <w:rPr>
          <w:b/>
          <w:sz w:val="18"/>
          <w:szCs w:val="18"/>
          <w:lang w:val="en-US"/>
        </w:rPr>
        <w:t xml:space="preserve"> - Part 2</w:t>
      </w:r>
    </w:p>
    <w:p w:rsidR="007718C7" w:rsidRPr="00B0203D" w:rsidRDefault="007718C7" w:rsidP="00001883">
      <w:pPr>
        <w:spacing w:after="0" w:line="240" w:lineRule="auto"/>
        <w:contextualSpacing/>
        <w:jc w:val="center"/>
        <w:rPr>
          <w:rFonts w:ascii="Calibri" w:hAnsi="Calibri"/>
          <w:sz w:val="18"/>
          <w:szCs w:val="18"/>
          <w:lang w:val="en-US"/>
        </w:rPr>
      </w:pPr>
      <w:r w:rsidRPr="00001883">
        <w:rPr>
          <w:rFonts w:ascii="Calibri" w:hAnsi="Calibri"/>
          <w:i/>
          <w:sz w:val="18"/>
          <w:szCs w:val="18"/>
          <w:lang w:val="en-US"/>
        </w:rPr>
        <w:t>Note:  Shaded values represent estimates based on a parameter which was not statistically significant</w:t>
      </w:r>
    </w:p>
    <w:p w:rsidR="007718C7" w:rsidRDefault="009B164C" w:rsidP="00001883">
      <w:pPr>
        <w:spacing w:after="0" w:line="240" w:lineRule="auto"/>
        <w:contextualSpacing/>
        <w:jc w:val="center"/>
        <w:rPr>
          <w:noProof/>
          <w:lang w:val="en-US" w:eastAsia="en-US"/>
        </w:rPr>
      </w:pPr>
      <w:bookmarkStart w:id="93" w:name="_Ref367311517"/>
      <w:r>
        <w:rPr>
          <w:noProof/>
          <w:lang w:eastAsia="en-AU"/>
        </w:rPr>
        <w:drawing>
          <wp:inline distT="0" distB="0" distL="0" distR="0" wp14:anchorId="3B712610" wp14:editId="7ECE19F0">
            <wp:extent cx="8842375" cy="5201920"/>
            <wp:effectExtent l="0" t="0" r="0" b="0"/>
            <wp:docPr id="10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42375" cy="5201920"/>
                    </a:xfrm>
                    <a:prstGeom prst="rect">
                      <a:avLst/>
                    </a:prstGeom>
                    <a:noFill/>
                    <a:ln>
                      <a:noFill/>
                    </a:ln>
                  </pic:spPr>
                </pic:pic>
              </a:graphicData>
            </a:graphic>
          </wp:inline>
        </w:drawing>
      </w:r>
    </w:p>
    <w:p w:rsidR="007718C7" w:rsidRDefault="007718C7" w:rsidP="00001883">
      <w:pPr>
        <w:spacing w:after="0" w:line="240" w:lineRule="auto"/>
        <w:contextualSpacing/>
        <w:jc w:val="center"/>
        <w:rPr>
          <w:noProof/>
          <w:lang w:val="en-US" w:eastAsia="en-US"/>
        </w:rPr>
      </w:pPr>
    </w:p>
    <w:p w:rsidR="007718C7" w:rsidRDefault="007718C7" w:rsidP="002A0F49">
      <w:pPr>
        <w:spacing w:after="0"/>
        <w:contextualSpacing/>
        <w:jc w:val="center"/>
        <w:rPr>
          <w:b/>
          <w:sz w:val="18"/>
          <w:szCs w:val="18"/>
          <w:lang w:val="en-US"/>
        </w:rPr>
      </w:pPr>
      <w:r>
        <w:rPr>
          <w:rFonts w:ascii="Calibri" w:hAnsi="Calibri"/>
          <w:b/>
          <w:sz w:val="18"/>
          <w:szCs w:val="18"/>
          <w:lang w:val="en-US"/>
        </w:rPr>
        <w:br w:type="page"/>
      </w:r>
      <w:bookmarkStart w:id="94" w:name="_Ref369100373"/>
      <w:bookmarkStart w:id="95" w:name="_Ref369105503"/>
      <w:bookmarkEnd w:id="93"/>
      <w:r w:rsidRPr="00EE5291">
        <w:rPr>
          <w:b/>
          <w:sz w:val="18"/>
          <w:szCs w:val="18"/>
          <w:lang w:val="en-US"/>
        </w:rPr>
        <w:lastRenderedPageBreak/>
        <w:t xml:space="preserve">Table </w:t>
      </w:r>
      <w:r w:rsidRPr="00EE5291">
        <w:rPr>
          <w:b/>
          <w:sz w:val="18"/>
          <w:szCs w:val="18"/>
          <w:lang w:val="en-US"/>
        </w:rPr>
        <w:fldChar w:fldCharType="begin"/>
      </w:r>
      <w:r w:rsidRPr="00EE5291">
        <w:rPr>
          <w:b/>
          <w:sz w:val="18"/>
          <w:szCs w:val="18"/>
          <w:lang w:val="en-US"/>
        </w:rPr>
        <w:instrText xml:space="preserve"> SEQ Table \* ARABIC </w:instrText>
      </w:r>
      <w:r w:rsidRPr="00EE5291">
        <w:rPr>
          <w:b/>
          <w:sz w:val="18"/>
          <w:szCs w:val="18"/>
          <w:lang w:val="en-US"/>
        </w:rPr>
        <w:fldChar w:fldCharType="separate"/>
      </w:r>
      <w:r w:rsidR="00363A39">
        <w:rPr>
          <w:b/>
          <w:noProof/>
          <w:sz w:val="18"/>
          <w:szCs w:val="18"/>
          <w:lang w:val="en-US"/>
        </w:rPr>
        <w:t>44</w:t>
      </w:r>
      <w:r w:rsidRPr="00EE5291">
        <w:rPr>
          <w:b/>
          <w:sz w:val="18"/>
          <w:szCs w:val="18"/>
          <w:lang w:val="en-US"/>
        </w:rPr>
        <w:fldChar w:fldCharType="end"/>
      </w:r>
      <w:bookmarkEnd w:id="94"/>
      <w:r w:rsidRPr="00EE5291">
        <w:rPr>
          <w:b/>
          <w:sz w:val="18"/>
          <w:szCs w:val="18"/>
          <w:lang w:val="en-US"/>
        </w:rPr>
        <w:t xml:space="preserve"> – Estimates of the incremental length of stay</w:t>
      </w:r>
      <w:r>
        <w:rPr>
          <w:b/>
          <w:sz w:val="18"/>
          <w:szCs w:val="18"/>
          <w:lang w:val="en-US"/>
        </w:rPr>
        <w:t xml:space="preserve"> – GLM Median results - Model B1 and B2</w:t>
      </w:r>
      <w:r w:rsidRPr="00EE5291">
        <w:rPr>
          <w:b/>
          <w:sz w:val="18"/>
          <w:szCs w:val="18"/>
          <w:lang w:val="en-US"/>
        </w:rPr>
        <w:t xml:space="preserve"> - Part 1</w:t>
      </w:r>
      <w:bookmarkEnd w:id="95"/>
    </w:p>
    <w:p w:rsidR="007718C7" w:rsidRPr="0035515E" w:rsidRDefault="007718C7" w:rsidP="0035515E">
      <w:pPr>
        <w:spacing w:after="0" w:line="240" w:lineRule="auto"/>
        <w:contextualSpacing/>
        <w:jc w:val="center"/>
        <w:rPr>
          <w:rFonts w:ascii="Calibri" w:hAnsi="Calibri"/>
          <w:sz w:val="18"/>
          <w:szCs w:val="18"/>
          <w:lang w:val="en-US"/>
        </w:rPr>
      </w:pPr>
      <w:r w:rsidRPr="00001883">
        <w:rPr>
          <w:rFonts w:ascii="Calibri" w:hAnsi="Calibri"/>
          <w:i/>
          <w:sz w:val="18"/>
          <w:szCs w:val="18"/>
          <w:lang w:val="en-US"/>
        </w:rPr>
        <w:t>Note:  Shaded values represent estimates based on a parameter which was not statistically significant</w:t>
      </w:r>
    </w:p>
    <w:p w:rsidR="007718C7" w:rsidRDefault="009B164C" w:rsidP="00B305D5">
      <w:pPr>
        <w:jc w:val="center"/>
        <w:rPr>
          <w:b/>
          <w:sz w:val="18"/>
          <w:szCs w:val="18"/>
          <w:lang w:val="en-US"/>
        </w:rPr>
      </w:pPr>
      <w:r>
        <w:rPr>
          <w:noProof/>
          <w:lang w:eastAsia="en-AU"/>
        </w:rPr>
        <w:drawing>
          <wp:inline distT="0" distB="0" distL="0" distR="0" wp14:anchorId="43C5FC21" wp14:editId="1D666611">
            <wp:extent cx="8315960" cy="5529580"/>
            <wp:effectExtent l="0" t="0" r="8890" b="0"/>
            <wp:docPr id="10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315960" cy="5529580"/>
                    </a:xfrm>
                    <a:prstGeom prst="rect">
                      <a:avLst/>
                    </a:prstGeom>
                    <a:noFill/>
                    <a:ln>
                      <a:noFill/>
                    </a:ln>
                  </pic:spPr>
                </pic:pic>
              </a:graphicData>
            </a:graphic>
          </wp:inline>
        </w:drawing>
      </w:r>
    </w:p>
    <w:p w:rsidR="007718C7" w:rsidRDefault="007718C7" w:rsidP="00B305D5">
      <w:pPr>
        <w:jc w:val="center"/>
        <w:rPr>
          <w:b/>
          <w:sz w:val="18"/>
          <w:szCs w:val="18"/>
          <w:lang w:val="en-US"/>
        </w:rPr>
      </w:pPr>
    </w:p>
    <w:p w:rsidR="007718C7" w:rsidRDefault="007718C7" w:rsidP="0035515E">
      <w:pPr>
        <w:spacing w:after="0"/>
        <w:contextualSpacing/>
        <w:jc w:val="center"/>
        <w:rPr>
          <w:b/>
          <w:sz w:val="18"/>
          <w:szCs w:val="18"/>
          <w:lang w:val="en-US"/>
        </w:rPr>
      </w:pPr>
      <w:r>
        <w:rPr>
          <w:b/>
          <w:sz w:val="18"/>
          <w:szCs w:val="18"/>
          <w:lang w:val="en-US"/>
        </w:rPr>
        <w:fldChar w:fldCharType="begin"/>
      </w:r>
      <w:r>
        <w:rPr>
          <w:b/>
          <w:sz w:val="18"/>
          <w:szCs w:val="18"/>
          <w:lang w:val="en-US"/>
        </w:rPr>
        <w:instrText xml:space="preserve"> REF _Ref369100373 \h </w:instrText>
      </w:r>
      <w:r>
        <w:rPr>
          <w:b/>
          <w:sz w:val="18"/>
          <w:szCs w:val="18"/>
          <w:lang w:val="en-US"/>
        </w:rPr>
      </w:r>
      <w:r>
        <w:rPr>
          <w:b/>
          <w:sz w:val="18"/>
          <w:szCs w:val="18"/>
          <w:lang w:val="en-US"/>
        </w:rPr>
        <w:fldChar w:fldCharType="separate"/>
      </w:r>
      <w:r w:rsidR="00363A39" w:rsidRPr="00EE5291">
        <w:rPr>
          <w:b/>
          <w:sz w:val="18"/>
          <w:szCs w:val="18"/>
          <w:lang w:val="en-US"/>
        </w:rPr>
        <w:t xml:space="preserve">Table </w:t>
      </w:r>
      <w:r w:rsidR="00363A39">
        <w:rPr>
          <w:b/>
          <w:noProof/>
          <w:sz w:val="18"/>
          <w:szCs w:val="18"/>
          <w:lang w:val="en-US"/>
        </w:rPr>
        <w:t>44</w:t>
      </w:r>
      <w:r>
        <w:rPr>
          <w:b/>
          <w:sz w:val="18"/>
          <w:szCs w:val="18"/>
          <w:lang w:val="en-US"/>
        </w:rPr>
        <w:fldChar w:fldCharType="end"/>
      </w:r>
      <w:r>
        <w:rPr>
          <w:b/>
          <w:sz w:val="18"/>
          <w:szCs w:val="18"/>
          <w:lang w:val="en-US"/>
        </w:rPr>
        <w:t xml:space="preserve"> </w:t>
      </w:r>
      <w:r w:rsidRPr="00EE5291">
        <w:rPr>
          <w:b/>
          <w:sz w:val="18"/>
          <w:szCs w:val="18"/>
          <w:lang w:val="en-US"/>
        </w:rPr>
        <w:t>– Estimates of the incremental length of stay</w:t>
      </w:r>
      <w:r>
        <w:rPr>
          <w:b/>
          <w:sz w:val="18"/>
          <w:szCs w:val="18"/>
          <w:lang w:val="en-US"/>
        </w:rPr>
        <w:t xml:space="preserve"> – GLM Median results - Model B1 and B2 - Part 2</w:t>
      </w:r>
    </w:p>
    <w:p w:rsidR="007718C7" w:rsidRPr="00B0203D" w:rsidRDefault="007718C7" w:rsidP="0035515E">
      <w:pPr>
        <w:spacing w:after="0" w:line="240" w:lineRule="auto"/>
        <w:contextualSpacing/>
        <w:jc w:val="center"/>
        <w:rPr>
          <w:rFonts w:ascii="Calibri" w:hAnsi="Calibri"/>
          <w:sz w:val="18"/>
          <w:szCs w:val="18"/>
          <w:lang w:val="en-US"/>
        </w:rPr>
      </w:pPr>
      <w:r w:rsidRPr="00001883">
        <w:rPr>
          <w:rFonts w:ascii="Calibri" w:hAnsi="Calibri"/>
          <w:i/>
          <w:sz w:val="18"/>
          <w:szCs w:val="18"/>
          <w:lang w:val="en-US"/>
        </w:rPr>
        <w:t>Note:  Shaded values represent estimates based on a parameter which was not statistically significant</w:t>
      </w:r>
    </w:p>
    <w:p w:rsidR="007718C7" w:rsidRDefault="009B164C" w:rsidP="00B305D5">
      <w:pPr>
        <w:jc w:val="center"/>
        <w:sectPr w:rsidR="007718C7" w:rsidSect="00A94DE6">
          <w:headerReference w:type="default" r:id="rId115"/>
          <w:footerReference w:type="default" r:id="rId116"/>
          <w:headerReference w:type="first" r:id="rId117"/>
          <w:footerReference w:type="first" r:id="rId118"/>
          <w:pgSz w:w="16838" w:h="11906" w:orient="landscape"/>
          <w:pgMar w:top="678" w:right="1440" w:bottom="1440" w:left="1440" w:header="708" w:footer="708" w:gutter="0"/>
          <w:cols w:space="708"/>
          <w:titlePg/>
          <w:docGrid w:linePitch="360"/>
        </w:sectPr>
      </w:pPr>
      <w:r>
        <w:rPr>
          <w:noProof/>
          <w:lang w:eastAsia="en-AU"/>
        </w:rPr>
        <w:drawing>
          <wp:inline distT="0" distB="0" distL="0" distR="0" wp14:anchorId="7C66591D" wp14:editId="7D759D8D">
            <wp:extent cx="7461885" cy="5227320"/>
            <wp:effectExtent l="0" t="0" r="5715" b="0"/>
            <wp:docPr id="11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461885" cy="5227320"/>
                    </a:xfrm>
                    <a:prstGeom prst="rect">
                      <a:avLst/>
                    </a:prstGeom>
                    <a:noFill/>
                    <a:ln>
                      <a:noFill/>
                    </a:ln>
                  </pic:spPr>
                </pic:pic>
              </a:graphicData>
            </a:graphic>
          </wp:inline>
        </w:drawing>
      </w:r>
    </w:p>
    <w:p w:rsidR="007718C7" w:rsidRPr="00E5676C" w:rsidRDefault="007718C7" w:rsidP="00B912D2">
      <w:pPr>
        <w:pStyle w:val="Appendix"/>
        <w:spacing w:before="400"/>
        <w:rPr>
          <w:b/>
          <w:szCs w:val="28"/>
        </w:rPr>
      </w:pPr>
      <w:bookmarkStart w:id="96" w:name="_Toc374114601"/>
      <w:r>
        <w:rPr>
          <w:sz w:val="60"/>
          <w:szCs w:val="60"/>
        </w:rPr>
        <w:lastRenderedPageBreak/>
        <w:t>Appendix 4: Methodological issues in estimating the i</w:t>
      </w:r>
      <w:r w:rsidRPr="00B912D2">
        <w:rPr>
          <w:sz w:val="60"/>
          <w:szCs w:val="60"/>
        </w:rPr>
        <w:t xml:space="preserve">mpact on cost and length of stay </w:t>
      </w:r>
      <w:r>
        <w:rPr>
          <w:sz w:val="60"/>
          <w:szCs w:val="60"/>
        </w:rPr>
        <w:t>of hospital-acquired conditions.</w:t>
      </w:r>
      <w:bookmarkEnd w:id="96"/>
    </w:p>
    <w:p w:rsidR="007718C7" w:rsidRPr="00E5676C" w:rsidRDefault="007718C7" w:rsidP="00B912D2">
      <w:pPr>
        <w:pStyle w:val="Stageheading"/>
      </w:pPr>
      <w:bookmarkStart w:id="97" w:name="_Toc374114602"/>
      <w:r w:rsidRPr="00E5676C">
        <w:t>Literature on methods</w:t>
      </w:r>
      <w:bookmarkEnd w:id="97"/>
    </w:p>
    <w:p w:rsidR="007718C7" w:rsidRDefault="007718C7" w:rsidP="00B912D2">
      <w:r>
        <w:t>Many studies have examined the additional length of stay and cost associated with hospital-acquired conditions, and in particular hospital-acquired infections (HAI).  A recent systematic review (</w:t>
      </w:r>
      <w:hyperlink w:anchor="_ENREF_9" w:tooltip="Fukuda, 2011 #82" w:history="1">
        <w:r w:rsidR="00C33CAE">
          <w:fldChar w:fldCharType="begin"/>
        </w:r>
        <w:r w:rsidR="00C33CAE">
          <w:instrText xml:space="preserve"> ADDIN EN.CITE &lt;EndNote&gt;&lt;Cite&gt;&lt;Author&gt;Fukuda&lt;/Author&gt;&lt;Year&gt;2011&lt;/Year&gt;&lt;RecNum&gt;82&lt;/RecNum&gt;&lt;DisplayText&gt;Fukuda, Lee, &amp;amp; Imanaka, 2011b&lt;/DisplayText&gt;&lt;record&gt;&lt;rec-number&gt;82&lt;/rec-number&gt;&lt;foreign-keys&gt;&lt;key app="EN" db-id="92tftt5v2arxd6e9wzr50w2w0rz0epx099ft" timestamp="1378515008"&gt;82&lt;/key&gt;&lt;/foreign-keys&gt;&lt;ref-type name="Journal Article"&gt;17&lt;/ref-type&gt;&lt;contributors&gt;&lt;authors&gt;&lt;author&gt;Fukuda, H.&lt;/author&gt;&lt;author&gt;Lee, J.&lt;/author&gt;&lt;author&gt;Imanaka, Y.&lt;/author&gt;&lt;/authors&gt;&lt;/contributors&gt;&lt;auth-address&gt;Institute for Health Economics and Policy, Tokyo, Japan.&lt;/auth-address&gt;&lt;titles&gt;&lt;title&gt;Variations in analytical methodology for estimating costs of hospital-acquired infections: a systematic review&lt;/title&gt;&lt;secondary-title&gt;J Hosp Infect&lt;/secondary-title&gt;&lt;alt-title&gt;The Journal of hospital infection&lt;/alt-title&gt;&lt;/titles&gt;&lt;periodical&gt;&lt;full-title&gt;J Hosp Infect&lt;/full-title&gt;&lt;abbr-1&gt;The Journal of hospital infection&lt;/abbr-1&gt;&lt;/periodical&gt;&lt;alt-periodical&gt;&lt;full-title&gt;J Hosp Infect&lt;/full-title&gt;&lt;abbr-1&gt;The Journal of hospital infection&lt;/abbr-1&gt;&lt;/alt-periodical&gt;&lt;pages&gt;93-105&lt;/pages&gt;&lt;volume&gt;77&lt;/volume&gt;&lt;number&gt;2&lt;/number&gt;&lt;edition&gt;2010/12/15&lt;/edition&gt;&lt;keywords&gt;&lt;keyword&gt;Costs and Cost Analysis/methods&lt;/keyword&gt;&lt;keyword&gt;Cross Infection/classification/*economics&lt;/keyword&gt;&lt;keyword&gt;Health Care Costs&lt;/keyword&gt;&lt;keyword&gt;Humans&lt;/keyword&gt;&lt;/keywords&gt;&lt;dates&gt;&lt;year&gt;2011&lt;/year&gt;&lt;pub-dates&gt;&lt;date&gt;Feb&lt;/date&gt;&lt;/pub-dates&gt;&lt;/dates&gt;&lt;isbn&gt;1532-2939 (Electronic)&amp;#xD;0195-6701 (Linking)&lt;/isbn&gt;&lt;accession-num&gt;21145131&lt;/accession-num&gt;&lt;urls&gt;&lt;related-urls&gt;&lt;url&gt;http://www.ncbi.nlm.nih.gov/pubmed/21145131&lt;/url&gt;&lt;/related-urls&gt;&lt;/urls&gt;&lt;electronic-resource-num&gt;10.1016/j.jhin.2010.10.006&lt;/electronic-resource-num&gt;&lt;language&gt;eng&lt;/language&gt;&lt;/record&gt;&lt;/Cite&gt;&lt;/EndNote&gt;</w:instrText>
        </w:r>
        <w:r w:rsidR="00C33CAE">
          <w:fldChar w:fldCharType="separate"/>
        </w:r>
        <w:r w:rsidR="00C33CAE">
          <w:rPr>
            <w:noProof/>
          </w:rPr>
          <w:t>Fukuda, Lee, &amp; Imanaka, 2011b</w:t>
        </w:r>
        <w:r w:rsidR="00C33CAE">
          <w:fldChar w:fldCharType="end"/>
        </w:r>
      </w:hyperlink>
      <w:r>
        <w:t>) identified 89 studies published between 1980 and 2006 that presented estimates of the incremental costs of HAIs. The review analysed the methods adopted for producing these estimates, identifying three principal methods:</w:t>
      </w:r>
    </w:p>
    <w:p w:rsidR="007718C7" w:rsidRDefault="007718C7" w:rsidP="002002B2">
      <w:pPr>
        <w:pStyle w:val="ListParagraph"/>
        <w:numPr>
          <w:ilvl w:val="0"/>
          <w:numId w:val="10"/>
        </w:numPr>
        <w:autoSpaceDE w:val="0"/>
        <w:autoSpaceDN w:val="0"/>
        <w:adjustRightInd w:val="0"/>
        <w:ind w:left="714" w:hanging="357"/>
        <w:contextualSpacing w:val="0"/>
      </w:pPr>
      <w:r w:rsidRPr="00E60963">
        <w:rPr>
          <w:b/>
        </w:rPr>
        <w:t>Case reviews</w:t>
      </w:r>
      <w:r w:rsidRPr="009C1EB8">
        <w:t xml:space="preserve"> (7 studies)</w:t>
      </w:r>
      <w:r w:rsidRPr="00E60963">
        <w:t>, where investigators undertake micro level data collection, informed by clinical judgement, to “</w:t>
      </w:r>
      <w:r w:rsidRPr="00E21509">
        <w:rPr>
          <w:i/>
        </w:rPr>
        <w:t>accurately distinguish between resources used in the treatment of the primary diagnosis of patients, and the additional resources used for HAIs</w:t>
      </w:r>
      <w:r>
        <w:t xml:space="preserve"> “(</w:t>
      </w:r>
      <w:hyperlink w:anchor="_ENREF_9" w:tooltip="Fukuda, 2011 #82" w:history="1">
        <w:r w:rsidR="00C33CAE">
          <w:fldChar w:fldCharType="begin"/>
        </w:r>
        <w:r w:rsidR="00C33CAE">
          <w:instrText xml:space="preserve"> ADDIN EN.CITE &lt;EndNote&gt;&lt;Cite&gt;&lt;Author&gt;Fukuda&lt;/Author&gt;&lt;Year&gt;2011&lt;/Year&gt;&lt;RecNum&gt;82&lt;/RecNum&gt;&lt;DisplayText&gt;Fukuda et al., 2011b&lt;/DisplayText&gt;&lt;record&gt;&lt;rec-number&gt;82&lt;/rec-number&gt;&lt;foreign-keys&gt;&lt;key app="EN" db-id="92tftt5v2arxd6e9wzr50w2w0rz0epx099ft" timestamp="1378515008"&gt;82&lt;/key&gt;&lt;/foreign-keys&gt;&lt;ref-type name="Journal Article"&gt;17&lt;/ref-type&gt;&lt;contributors&gt;&lt;authors&gt;&lt;author&gt;Fukuda, H.&lt;/author&gt;&lt;author&gt;Lee, J.&lt;/author&gt;&lt;author&gt;Imanaka, Y.&lt;/author&gt;&lt;/authors&gt;&lt;/contributors&gt;&lt;auth-address&gt;Institute for Health Economics and Policy, Tokyo, Japan.&lt;/auth-address&gt;&lt;titles&gt;&lt;title&gt;Variations in analytical methodology for estimating costs of hospital-acquired infections: a systematic review&lt;/title&gt;&lt;secondary-title&gt;J Hosp Infect&lt;/secondary-title&gt;&lt;alt-title&gt;The Journal of hospital infection&lt;/alt-title&gt;&lt;/titles&gt;&lt;periodical&gt;&lt;full-title&gt;J Hosp Infect&lt;/full-title&gt;&lt;abbr-1&gt;The Journal of hospital infection&lt;/abbr-1&gt;&lt;/periodical&gt;&lt;alt-periodical&gt;&lt;full-title&gt;J Hosp Infect&lt;/full-title&gt;&lt;abbr-1&gt;The Journal of hospital infection&lt;/abbr-1&gt;&lt;/alt-periodical&gt;&lt;pages&gt;93-105&lt;/pages&gt;&lt;volume&gt;77&lt;/volume&gt;&lt;number&gt;2&lt;/number&gt;&lt;edition&gt;2010/12/15&lt;/edition&gt;&lt;keywords&gt;&lt;keyword&gt;Costs and Cost Analysis/methods&lt;/keyword&gt;&lt;keyword&gt;Cross Infection/classification/*economics&lt;/keyword&gt;&lt;keyword&gt;Health Care Costs&lt;/keyword&gt;&lt;keyword&gt;Humans&lt;/keyword&gt;&lt;/keywords&gt;&lt;dates&gt;&lt;year&gt;2011&lt;/year&gt;&lt;pub-dates&gt;&lt;date&gt;Feb&lt;/date&gt;&lt;/pub-dates&gt;&lt;/dates&gt;&lt;isbn&gt;1532-2939 (Electronic)&amp;#xD;0195-6701 (Linking)&lt;/isbn&gt;&lt;accession-num&gt;21145131&lt;/accession-num&gt;&lt;urls&gt;&lt;related-urls&gt;&lt;url&gt;http://www.ncbi.nlm.nih.gov/pubmed/21145131&lt;/url&gt;&lt;/related-urls&gt;&lt;/urls&gt;&lt;electronic-resource-num&gt;10.1016/j.jhin.2010.10.006&lt;/electronic-resource-num&gt;&lt;language&gt;eng&lt;/language&gt;&lt;/record&gt;&lt;/Cite&gt;&lt;/EndNote&gt;</w:instrText>
        </w:r>
        <w:r w:rsidR="00C33CAE">
          <w:fldChar w:fldCharType="separate"/>
        </w:r>
        <w:r w:rsidR="00C33CAE">
          <w:rPr>
            <w:noProof/>
          </w:rPr>
          <w:t>Fukuda et al., 2011b</w:t>
        </w:r>
        <w:r w:rsidR="00C33CAE">
          <w:fldChar w:fldCharType="end"/>
        </w:r>
      </w:hyperlink>
      <w:r>
        <w:t>, p. 93).</w:t>
      </w:r>
    </w:p>
    <w:p w:rsidR="007718C7" w:rsidRDefault="007718C7" w:rsidP="002002B2">
      <w:pPr>
        <w:pStyle w:val="ListParagraph"/>
        <w:numPr>
          <w:ilvl w:val="0"/>
          <w:numId w:val="10"/>
        </w:numPr>
        <w:autoSpaceDE w:val="0"/>
        <w:autoSpaceDN w:val="0"/>
        <w:adjustRightInd w:val="0"/>
        <w:ind w:left="714" w:hanging="357"/>
        <w:contextualSpacing w:val="0"/>
      </w:pPr>
      <w:r>
        <w:rPr>
          <w:b/>
        </w:rPr>
        <w:t xml:space="preserve">Matched comparisons </w:t>
      </w:r>
      <w:r w:rsidRPr="009C1EB8">
        <w:t>(53 studies, plus 3 studies using unmatched comparisons)</w:t>
      </w:r>
      <w:r>
        <w:rPr>
          <w:b/>
        </w:rPr>
        <w:t>,</w:t>
      </w:r>
      <w:r w:rsidRPr="00E60963">
        <w:t xml:space="preserve"> where </w:t>
      </w:r>
      <w:r>
        <w:t xml:space="preserve">each </w:t>
      </w:r>
      <w:r w:rsidRPr="00E60963">
        <w:t xml:space="preserve">case with HAI </w:t>
      </w:r>
      <w:r>
        <w:t xml:space="preserve">is </w:t>
      </w:r>
      <w:r w:rsidRPr="00E60963">
        <w:t xml:space="preserve">compared with </w:t>
      </w:r>
      <w:r>
        <w:t xml:space="preserve">a </w:t>
      </w:r>
      <w:r w:rsidRPr="00E60963">
        <w:t xml:space="preserve">case without HAI, using </w:t>
      </w:r>
      <w:r>
        <w:t>predetermined criteria for matching cases.</w:t>
      </w:r>
    </w:p>
    <w:p w:rsidR="007718C7" w:rsidRDefault="007718C7" w:rsidP="002002B2">
      <w:pPr>
        <w:pStyle w:val="ListParagraph"/>
        <w:numPr>
          <w:ilvl w:val="0"/>
          <w:numId w:val="10"/>
        </w:numPr>
        <w:autoSpaceDE w:val="0"/>
        <w:autoSpaceDN w:val="0"/>
        <w:adjustRightInd w:val="0"/>
        <w:ind w:left="714" w:hanging="357"/>
        <w:contextualSpacing w:val="0"/>
      </w:pPr>
      <w:r>
        <w:rPr>
          <w:b/>
        </w:rPr>
        <w:t xml:space="preserve">Regression analysis </w:t>
      </w:r>
      <w:r w:rsidRPr="009C1EB8">
        <w:t>(23 studies)</w:t>
      </w:r>
      <w:r>
        <w:rPr>
          <w:b/>
        </w:rPr>
        <w:t xml:space="preserve">, </w:t>
      </w:r>
      <w:r w:rsidRPr="00E60963">
        <w:t>where cases (with and without HAIs) are included th</w:t>
      </w:r>
      <w:r>
        <w:t>ese</w:t>
      </w:r>
      <w:r w:rsidRPr="00E60963">
        <w:t xml:space="preserve"> analys</w:t>
      </w:r>
      <w:r>
        <w:t>e</w:t>
      </w:r>
      <w:r w:rsidRPr="00E60963">
        <w:t xml:space="preserve">s, and </w:t>
      </w:r>
      <w:r>
        <w:t>differences controlled for through including a range of additional variables in the model.  More recent approaches using regression models have used two stage methods, including instrumental variables, to address the problem of endogeneity bias (see discussion below).</w:t>
      </w:r>
    </w:p>
    <w:p w:rsidR="007718C7" w:rsidRDefault="007718C7" w:rsidP="00B912D2">
      <w:r>
        <w:t>Studies are potentially subject to various biases that have not always been addressed or recognised by authors.  Most, but not all, recent studies have included methods to address bias.  The particular biases that impact these methods include:</w:t>
      </w:r>
    </w:p>
    <w:p w:rsidR="007718C7" w:rsidRPr="00070AC4" w:rsidRDefault="007718C7" w:rsidP="002002B2">
      <w:pPr>
        <w:pStyle w:val="ListParagraph"/>
        <w:numPr>
          <w:ilvl w:val="0"/>
          <w:numId w:val="11"/>
        </w:numPr>
        <w:ind w:left="714" w:hanging="357"/>
        <w:contextualSpacing w:val="0"/>
        <w:rPr>
          <w:i/>
        </w:rPr>
      </w:pPr>
      <w:r w:rsidRPr="00070AC4">
        <w:rPr>
          <w:i/>
        </w:rPr>
        <w:t xml:space="preserve">Selection bias, </w:t>
      </w:r>
      <w:r w:rsidRPr="00070AC4">
        <w:t>for example</w:t>
      </w:r>
      <w:r>
        <w:t>,</w:t>
      </w:r>
      <w:r w:rsidRPr="00070AC4">
        <w:t xml:space="preserve"> in matched comparison cases this may arise where cases cannot always be accurately matched with equivalent</w:t>
      </w:r>
      <w:r>
        <w:t xml:space="preserve"> controls.  In various studies “</w:t>
      </w:r>
      <w:r w:rsidRPr="00AE02A4">
        <w:rPr>
          <w:i/>
        </w:rPr>
        <w:t>variations in patient attributes make it extremely difficult to find a corresponding uninfected patient for every infected case</w:t>
      </w:r>
      <w:r>
        <w:t>”</w:t>
      </w:r>
      <w:r w:rsidRPr="00070AC4">
        <w:t xml:space="preserve"> (</w:t>
      </w:r>
      <w:hyperlink w:anchor="_ENREF_9" w:tooltip="Fukuda, 2011 #82" w:history="1">
        <w:r w:rsidR="00C33CAE">
          <w:fldChar w:fldCharType="begin"/>
        </w:r>
        <w:r w:rsidR="00C33CAE">
          <w:instrText xml:space="preserve"> ADDIN EN.CITE &lt;EndNote&gt;&lt;Cite&gt;&lt;Author&gt;Fukuda&lt;/Author&gt;&lt;Year&gt;2011&lt;/Year&gt;&lt;RecNum&gt;82&lt;/RecNum&gt;&lt;DisplayText&gt;Fukuda et al., 2011b&lt;/DisplayText&gt;&lt;record&gt;&lt;rec-number&gt;82&lt;/rec-number&gt;&lt;foreign-keys&gt;&lt;key app="EN" db-id="92tftt5v2arxd6e9wzr50w2w0rz0epx099ft" timestamp="1378515008"&gt;82&lt;/key&gt;&lt;/foreign-keys&gt;&lt;ref-type name="Journal Article"&gt;17&lt;/ref-type&gt;&lt;contributors&gt;&lt;authors&gt;&lt;author&gt;Fukuda, H.&lt;/author&gt;&lt;author&gt;Lee, J.&lt;/author&gt;&lt;author&gt;Imanaka, Y.&lt;/author&gt;&lt;/authors&gt;&lt;/contributors&gt;&lt;auth-address&gt;Institute for Health Economics and Policy, Tokyo, Japan.&lt;/auth-address&gt;&lt;titles&gt;&lt;title&gt;Variations in analytical methodology for estimating costs of hospital-acquired infections: a systematic review&lt;/title&gt;&lt;secondary-title&gt;J Hosp Infect&lt;/secondary-title&gt;&lt;alt-title&gt;The Journal of hospital infection&lt;/alt-title&gt;&lt;/titles&gt;&lt;periodical&gt;&lt;full-title&gt;J Hosp Infect&lt;/full-title&gt;&lt;abbr-1&gt;The Journal of hospital infection&lt;/abbr-1&gt;&lt;/periodical&gt;&lt;alt-periodical&gt;&lt;full-title&gt;J Hosp Infect&lt;/full-title&gt;&lt;abbr-1&gt;The Journal of hospital infection&lt;/abbr-1&gt;&lt;/alt-periodical&gt;&lt;pages&gt;93-105&lt;/pages&gt;&lt;volume&gt;77&lt;/volume&gt;&lt;number&gt;2&lt;/number&gt;&lt;edition&gt;2010/12/15&lt;/edition&gt;&lt;keywords&gt;&lt;keyword&gt;Costs and Cost Analysis/methods&lt;/keyword&gt;&lt;keyword&gt;Cross Infection/classification/*economics&lt;/keyword&gt;&lt;keyword&gt;Health Care Costs&lt;/keyword&gt;&lt;keyword&gt;Humans&lt;/keyword&gt;&lt;/keywords&gt;&lt;dates&gt;&lt;year&gt;2011&lt;/year&gt;&lt;pub-dates&gt;&lt;date&gt;Feb&lt;/date&gt;&lt;/pub-dates&gt;&lt;/dates&gt;&lt;isbn&gt;1532-2939 (Electronic)&amp;#xD;0195-6701 (Linking)&lt;/isbn&gt;&lt;accession-num&gt;21145131&lt;/accession-num&gt;&lt;urls&gt;&lt;related-urls&gt;&lt;url&gt;http://www.ncbi.nlm.nih.gov/pubmed/21145131&lt;/url&gt;&lt;/related-urls&gt;&lt;/urls&gt;&lt;electronic-resource-num&gt;10.1016/j.jhin.2010.10.006&lt;/electronic-resource-num&gt;&lt;language&gt;eng&lt;/language&gt;&lt;/record&gt;&lt;/Cite&gt;&lt;/EndNote&gt;</w:instrText>
        </w:r>
        <w:r w:rsidR="00C33CAE">
          <w:fldChar w:fldCharType="separate"/>
        </w:r>
        <w:r w:rsidR="00C33CAE">
          <w:rPr>
            <w:noProof/>
          </w:rPr>
          <w:t>Fukuda et al., 2011b</w:t>
        </w:r>
        <w:r w:rsidR="00C33CAE">
          <w:fldChar w:fldCharType="end"/>
        </w:r>
      </w:hyperlink>
      <w:r w:rsidRPr="00070AC4">
        <w:t>, p</w:t>
      </w:r>
      <w:r>
        <w:t>.</w:t>
      </w:r>
      <w:r w:rsidRPr="00070AC4">
        <w:t xml:space="preserve"> 93).  An additional manifestation of selection bias is that there may be a range of factors that impact the likelihood of a patient hav</w:t>
      </w:r>
      <w:r>
        <w:t>ing</w:t>
      </w:r>
      <w:r w:rsidRPr="00070AC4">
        <w:t xml:space="preserve"> a HAI that are not accounted for in the matching criteria or the relevant regression model.</w:t>
      </w:r>
    </w:p>
    <w:p w:rsidR="007718C7" w:rsidRDefault="007718C7" w:rsidP="002002B2">
      <w:pPr>
        <w:pStyle w:val="ListParagraph"/>
        <w:numPr>
          <w:ilvl w:val="0"/>
          <w:numId w:val="11"/>
        </w:numPr>
        <w:ind w:left="714" w:hanging="357"/>
        <w:contextualSpacing w:val="0"/>
      </w:pPr>
      <w:r w:rsidRPr="00070AC4">
        <w:rPr>
          <w:i/>
        </w:rPr>
        <w:t>Endogeneity bias</w:t>
      </w:r>
      <w:r>
        <w:t xml:space="preserve"> (</w:t>
      </w:r>
      <w:r>
        <w:fldChar w:fldCharType="begin">
          <w:fldData xml:space="preserve">PEVuZE5vdGU+PENpdGU+PEF1dGhvcj5Ib3dhcmQ8L0F1dGhvcj48WWVhcj4yMDAxPC9ZZWFyPjxS
ZWNOdW0+ODM8L1JlY051bT48RGlzcGxheVRleHQ+R3JhdmVzIGV0IGFsLiwgMjAxMDsgSG93YXJk
IGV0IGFsLiwgMjAwMTsgU2NodWxnZW4sIEtyb3BlYywgS2FwcHN0ZWluLCBEYXNjaG5lciwgJmFt
cDsgU2NodW1hY2hlciwgMjAwMDwvRGlzcGxheVRleHQ+PHJlY29yZD48cmVjLW51bWJlcj44Mzwv
cmVjLW51bWJlcj48Zm9yZWlnbi1rZXlzPjxrZXkgYXBwPSJFTiIgZGItaWQ9IjkydGZ0dDV2MmFy
eGQ2ZTl3enI1MHcydzByejBlcHgwOTlmdCIgdGltZXN0YW1wPSIxMzc4NTE3NzM3Ij44Mzwva2V5
PjwvZm9yZWlnbi1rZXlzPjxyZWYtdHlwZSBuYW1lPSJKb3VybmFsIEFydGljbGUiPjE3PC9yZWYt
dHlwZT48Y29udHJpYnV0b3JzPjxhdXRob3JzPjxhdXRob3I+SG93YXJkLCBELjwvYXV0aG9yPjxh
dXRob3I+Q29yZGVsbCwgUi48L2F1dGhvcj48YXV0aG9yPk1jR293YW4sIEouIEUuLCBKci48L2F1
dGhvcj48YXV0aG9yPlBhY2thcmQsIFIuIE0uPC9hdXRob3I+PGF1dGhvcj5TY290dCwgUi4gRC4s
IDJuZDwvYXV0aG9yPjxhdXRob3I+U29sb21vbiwgUy4gTC48L2F1dGhvcj48L2F1dGhvcnM+PC9j
b250cmlidXRvcnM+PGF1dGgtYWRkcmVzcz5Sb2xsaW5zIFNjaG9vbCBvZiBQdWJsaWMgSGVhbHRo
IG9mIEVtb3J5IFVuaXZlcnNpdHksIEF0bGFudGEsIEdBIDMwMzIyLCBVU0EuPC9hdXRoLWFkZHJl
c3M+PHRpdGxlcz48dGl0bGU+TWVhc3VyaW5nIHRoZSBlY29ub21pYyBjb3N0cyBvZiBhbnRpbWlj
cm9iaWFsIHJlc2lzdGFuY2UgaW4gaG9zcGl0YWwgc2V0dGluZ3M6IHN1bW1hcnkgb2YgdGhlIENl
bnRlcnMgZm9yIERpc2Vhc2UgQ29udHJvbCBhbmQgUHJldmVudGlvbi1FbW9yeSBXb3Jrc2hvcDwv
dGl0bGU+PHNlY29uZGFyeS10aXRsZT5DbGluIEluZmVjdCBEaXM8L3NlY29uZGFyeS10aXRsZT48
YWx0LXRpdGxlPkNsaW5pY2FsIGluZmVjdGlvdXMgZGlzZWFzZXMgOiBhbiBvZmZpY2lhbCBwdWJs
aWNhdGlvbiBvZiB0aGUgSW5mZWN0aW91cyBEaXNlYXNlcyBTb2NpZXR5IG9mIEFtZXJpY2E8L2Fs
dC10aXRsZT48L3RpdGxlcz48cGVyaW9kaWNhbD48ZnVsbC10aXRsZT5DbGluIEluZmVjdCBEaXM8
L2Z1bGwtdGl0bGU+PGFiYnItMT5DbGluaWNhbCBpbmZlY3Rpb3VzIGRpc2Vhc2VzIDogYW4gb2Zm
aWNpYWwgcHVibGljYXRpb24gb2YgdGhlIEluZmVjdGlvdXMgRGlzZWFzZXMgU29jaWV0eSBvZiBB
bWVyaWNhPC9hYmJyLTE+PC9wZXJpb2RpY2FsPjxhbHQtcGVyaW9kaWNhbD48ZnVsbC10aXRsZT5D
bGluIEluZmVjdCBEaXM8L2Z1bGwtdGl0bGU+PGFiYnItMT5DbGluaWNhbCBpbmZlY3Rpb3VzIGRp
c2Vhc2VzIDogYW4gb2ZmaWNpYWwgcHVibGljYXRpb24gb2YgdGhlIEluZmVjdGlvdXMgRGlzZWFz
ZXMgU29jaWV0eSBvZiBBbWVyaWNhPC9hYmJyLTE+PC9hbHQtcGVyaW9kaWNhbD48cGFnZXM+MTU3
My04PC9wYWdlcz48dm9sdW1lPjMzPC92b2x1bWU+PG51bWJlcj45PC9udW1iZXI+PGVkaXRpb24+
MjAwMS8wOS8yOTwvZWRpdGlvbj48a2V5d29yZHM+PGtleXdvcmQ+Q2VudGVycyBmb3IgRGlzZWFz
ZSBDb250cm9sIGFuZCBQcmV2ZW50aW9uIChVLlMuKTwva2V5d29yZD48a2V5d29yZD5Db3N0cyBh
bmQgQ29zdCBBbmFseXNpczwva2V5d29yZD48a2V5d29yZD4qRHJ1ZyBSZXNpc3RhbmNlPC9rZXl3
b3JkPjxrZXl3b3JkPkhvc3BpdGFsIENvc3RzLypzdGFuZGFyZHM8L2tleXdvcmQ+PGtleXdvcmQ+
SHVtYW5zPC9rZXl3b3JkPjxrZXl3b3JkPlVuaXRlZCBTdGF0ZXM8L2tleXdvcmQ+PC9rZXl3b3Jk
cz48ZGF0ZXM+PHllYXI+MjAwMTwveWVhcj48cHViLWRhdGVzPjxkYXRlPk5vdiAxPC9kYXRlPjwv
cHViLWRhdGVzPjwvZGF0ZXM+PGlzYm4+MTA1OC00ODM4IChQcmludCkmI3hEOzEwNTgtNDgzOCAo
TGlua2luZyk8L2lzYm4+PGFjY2Vzc2lvbi1udW0+MTE1NzczNzk8L2FjY2Vzc2lvbi1udW0+PHVy
bHM+PHJlbGF0ZWQtdXJscz48dXJsPmh0dHA6Ly93d3cubmNiaS5ubG0ubmloLmdvdi9wdWJtZWQv
MTE1NzczNzk8L3VybD48L3JlbGF0ZWQtdXJscz48L3VybHM+PGVsZWN0cm9uaWMtcmVzb3VyY2Ut
bnVtPjEwLjEwODYvMzIzNzU4PC9lbGVjdHJvbmljLXJlc291cmNlLW51bT48bGFuZ3VhZ2U+ZW5n
PC9sYW5ndWFnZT48L3JlY29yZD48L0NpdGU+PENpdGU+PEF1dGhvcj5TY2h1bGdlbjwvQXV0aG9y
PjxZZWFyPjIwMDA8L1llYXI+PFJlY051bT44ODwvUmVjTnVtPjxyZWNvcmQ+PHJlYy1udW1iZXI+
ODg8L3JlYy1udW1iZXI+PGZvcmVpZ24ta2V5cz48a2V5IGFwcD0iRU4iIGRiLWlkPSI5MnRmdHQ1
djJhcnhkNmU5d3pyNTB3MncwcnowZXB4MDk5ZnQiIHRpbWVzdGFtcD0iMTM3ODUxNzg2NiI+ODg8
L2tleT48L2ZvcmVpZ24ta2V5cz48cmVmLXR5cGUgbmFtZT0iSm91cm5hbCBBcnRpY2xlIj4xNzwv
cmVmLXR5cGU+PGNvbnRyaWJ1dG9ycz48YXV0aG9ycz48YXV0aG9yPlNjaHVsZ2VuLCBHLjwvYXV0
aG9yPjxhdXRob3I+S3JvcGVjLCBBLjwvYXV0aG9yPjxhdXRob3I+S2FwcHN0ZWluLCBJLjwvYXV0
aG9yPjxhdXRob3I+RGFzY2huZXIsIEYuPC9hdXRob3I+PGF1dGhvcj5TY2h1bWFjaGVyLCBNLjwv
YXV0aG9yPjwvYXV0aG9ycz48L2NvbnRyaWJ1dG9ycz48YXV0aC1hZGRyZXNzPkluc3RpdHV0ZSBv
ZiBNZWRpY2FsIEJpb21ldHJ5IGFuZCBNZWRpY2FsIEluZm9ybWF0aWNzLCBBbGJlcnQtTHVkd2ln
cy1Vbml2ZXJzaXR5LCBTdGVmYW4tTWVpZXItU3RyYXNzZSAyNiwgRC03OTEwNCwgRnJlaWJ1cmcs
IEdlcm1hbnkuIGdzQGltYmkudW5pLmZyZWlidXJnLmRlPC9hdXRoLWFkZHJlc3M+PHRpdGxlcz48
dGl0bGU+RXN0aW1hdGlvbiBvZiBleHRyYSBob3NwaXRhbCBzdGF5IGF0dHJpYnV0YWJsZSB0byBu
b3NvY29taWFsIGluZmVjdGlvbnM6IGhldGVyb2dlbmVpdHkgYW5kIHRpbWluZyBvZiBldmVudHM8
L3RpdGxlPjxzZWNvbmRhcnktdGl0bGU+SiBDbGluIEVwaWRlbWlvbDwvc2Vjb25kYXJ5LXRpdGxl
PjxhbHQtdGl0bGU+Sm91cm5hbCBvZiBjbGluaWNhbCBlcGlkZW1pb2xvZ3k8L2FsdC10aXRsZT48
L3RpdGxlcz48cGVyaW9kaWNhbD48ZnVsbC10aXRsZT5KIENsaW4gRXBpZGVtaW9sPC9mdWxsLXRp
dGxlPjxhYmJyLTE+Sm91cm5hbCBvZiBjbGluaWNhbCBlcGlkZW1pb2xvZ3k8L2FiYnItMT48L3Bl
cmlvZGljYWw+PGFsdC1wZXJpb2RpY2FsPjxmdWxsLXRpdGxlPkogQ2xpbiBFcGlkZW1pb2w8L2Z1
bGwtdGl0bGU+PGFiYnItMT5Kb3VybmFsIG9mIGNsaW5pY2FsIGVwaWRlbWlvbG9neTwvYWJici0x
PjwvYWx0LXBlcmlvZGljYWw+PHBhZ2VzPjQwOS0xNzwvcGFnZXM+PHZvbHVtZT41Mzwvdm9sdW1l
PjxudW1iZXI+NDwvbnVtYmVyPjxlZGl0aW9uPjIwMDAvMDQvMjk8L2VkaXRpb24+PGtleXdvcmRz
PjxrZXl3b3JkPkNvaG9ydCBTdHVkaWVzPC9rZXl3b3JkPjxrZXl3b3JkPkNvbmZvdW5kaW5nIEZh
Y3RvcnMgKEVwaWRlbWlvbG9neSk8L2tleXdvcmQ+PGtleXdvcmQ+Q3Jvc3MgSW5mZWN0aW9uLypl
cGlkZW1pb2xvZ3k8L2tleXdvcmQ+PGtleXdvcmQ+RmVtYWxlPC9rZXl3b3JkPjxrZXl3b3JkPkh1
bWFuczwva2V5d29yZD48a2V5d29yZD5MZW5ndGggb2YgU3RheS8qc3RhdGlzdGljcyAmYW1wOyBu
dW1lcmljYWwgZGF0YTwva2V5d29yZD48a2V5d29yZD5NYWxlPC9rZXl3b3JkPjxrZXl3b3JkPk1p
ZGRsZSBBZ2VkPC9rZXl3b3JkPjxrZXl3b3JkPk1vZGVscywgU3RhdGlzdGljYWw8L2tleXdvcmQ+
PGtleXdvcmQ+UHJvc3BlY3RpdmUgU3R1ZGllczwva2V5d29yZD48a2V5d29yZD5TdXJnaWNhbCBX
b3VuZCBJbmZlY3Rpb24vZXBpZGVtaW9sb2d5PC9rZXl3b3JkPjxrZXl3b3JkPlRpbWUgRmFjdG9y
czwva2V5d29yZD48L2tleXdvcmRzPjxkYXRlcz48eWVhcj4yMDAwPC95ZWFyPjxwdWItZGF0ZXM+
PGRhdGU+QXByPC9kYXRlPjwvcHViLWRhdGVzPjwvZGF0ZXM+PGlzYm4+MDg5NS00MzU2IChQcmlu
dCkmI3hEOzA4OTUtNDM1NiAoTGlua2luZyk8L2lzYm4+PGFjY2Vzc2lvbi1udW0+MTA3ODU1NzI8
L2FjY2Vzc2lvbi1udW0+PHVybHM+PHJlbGF0ZWQtdXJscz48dXJsPmh0dHA6Ly93d3cubmNiaS5u
bG0ubmloLmdvdi9wdWJtZWQvMTA3ODU1NzI8L3VybD48L3JlbGF0ZWQtdXJscz48L3VybHM+PGxh
bmd1YWdlPmVuZzwvbGFuZ3VhZ2U+PC9yZWNvcmQ+PC9DaXRlPjxDaXRlPjxBdXRob3I+R3JhdmVz
PC9BdXRob3I+PFllYXI+MjAxMDwvWWVhcj48UmVjTnVtPjcyPC9SZWNOdW0+PHJlY29yZD48cmVj
LW51bWJlcj43MjwvcmVjLW51bWJlcj48Zm9yZWlnbi1rZXlzPjxrZXkgYXBwPSJFTiIgZGItaWQ9
IjkydGZ0dDV2MmFyeGQ2ZTl3enI1MHcydzByejBlcHgwOTlmdCIgdGltZXN0YW1wPSIxMzc4NDIy
OTE3Ij43Mjwva2V5PjwvZm9yZWlnbi1rZXlzPjxyZWYtdHlwZSBuYW1lPSJKb3VybmFsIEFydGlj
bGUiPjE3PC9yZWYtdHlwZT48Y29udHJpYnV0b3JzPjxhdXRob3JzPjxhdXRob3I+R3JhdmVzLCBO
LjwvYXV0aG9yPjxhdXRob3I+SGFyYmFydGgsIFMuPC9hdXRob3I+PGF1dGhvcj5CZXllcnNtYW5u
LCBKLjwvYXV0aG9yPjxhdXRob3I+QmFybmV0dCwgQS48L2F1dGhvcj48YXV0aG9yPkhhbHRvbiwg
Sy48L2F1dGhvcj48YXV0aG9yPkNvb3BlciwgQi48L2F1dGhvcj48L2F1dGhvcnM+PC9jb250cmli
dXRvcnM+PGF1dGgtYWRkcmVzcz5JbnN0aXR1dGUgZm9yIEhlYWx0aCBhbmQgQmlvbWVkaWNhbCBJ
bm5vdmF0aW9uLCBRdWVlbnNsYW5kIFVuaXZlcnNpdHkgb2YgVGVjaG5vbG9neSwgQnJpc2JhbmUs
IFF1ZWVuc2xhbmQsIEF1c3RyYWxpYS4gbi5ncmF2ZXNAcXV0LmVkdS5hdTwvYXV0aC1hZGRyZXNz
Pjx0aXRsZXM+PHRpdGxlPkVzdGltYXRpbmcgdGhlIGNvc3Qgb2YgaGVhbHRoIGNhcmUtYXNzb2Np
YXRlZCBpbmZlY3Rpb25zOiBtaW5kIHlvdXIgcCZhcG9zO3MgYW5kIHEmYXBvcztzPC90aXRsZT48
c2Vjb25kYXJ5LXRpdGxlPkNsaW4gSW5mZWN0IERpczwvc2Vjb25kYXJ5LXRpdGxlPjxhbHQtdGl0
bGU+Q2xpbmljYWwgaW5mZWN0aW91cyBkaXNlYXNlcyA6IGFuIG9mZmljaWFsIHB1YmxpY2F0aW9u
IG9mIHRoZSBJbmZlY3Rpb3VzIERpc2Vhc2VzIFNvY2lldHkgb2YgQW1lcmljYTwvYWx0LXRpdGxl
PjwvdGl0bGVzPjxwZXJpb2RpY2FsPjxmdWxsLXRpdGxlPkNsaW4gSW5mZWN0IERpczwvZnVsbC10
aXRsZT48YWJici0xPkNsaW5pY2FsIGluZmVjdGlvdXMgZGlzZWFzZXMgOiBhbiBvZmZpY2lhbCBw
dWJsaWNhdGlvbiBvZiB0aGUgSW5mZWN0aW91cyBEaXNlYXNlcyBTb2NpZXR5IG9mIEFtZXJpY2E8
L2FiYnItMT48L3BlcmlvZGljYWw+PGFsdC1wZXJpb2RpY2FsPjxmdWxsLXRpdGxlPkNsaW4gSW5m
ZWN0IERpczwvZnVsbC10aXRsZT48YWJici0xPkNsaW5pY2FsIGluZmVjdGlvdXMgZGlzZWFzZXMg
OiBhbiBvZmZpY2lhbCBwdWJsaWNhdGlvbiBvZiB0aGUgSW5mZWN0aW91cyBEaXNlYXNlcyBTb2Np
ZXR5IG9mIEFtZXJpY2E8L2FiYnItMT48L2FsdC1wZXJpb2RpY2FsPjxwYWdlcz4xMDE3LTIxPC9w
YWdlcz48dm9sdW1lPjUwPC92b2x1bWU+PG51bWJlcj43PC9udW1iZXI+PGVkaXRpb24+MjAxMC8w
Mi8yNTwvZWRpdGlvbj48a2V5d29yZHM+PGtleXdvcmQ+Q29zdHMgYW5kIENvc3QgQW5hbHlzaXM8
L2tleXdvcmQ+PGtleXdvcmQ+Q3Jvc3MgSW5mZWN0aW9uLyplY29ub21pY3M8L2tleXdvcmQ+PGtl
eXdvcmQ+KkhlYWx0aCBDYXJlIENvc3RzPC9rZXl3b3JkPjxrZXl3b3JkPkh1bWFuczwva2V5d29y
ZD48a2V5d29yZD4qTW9kZWxzLCBFY29ub21pYzwva2V5d29yZD48L2tleXdvcmRzPjxkYXRlcz48
eWVhcj4yMDEwPC95ZWFyPjxwdWItZGF0ZXM+PGRhdGU+QXByIDE8L2RhdGU+PC9wdWItZGF0ZXM+
PC9kYXRlcz48aXNibj4xNTM3LTY1OTEgKEVsZWN0cm9uaWMpJiN4RDsxMDU4LTQ4MzggKExpbmtp
bmcpPC9pc2JuPjxhY2Nlc3Npb24tbnVtPjIwMTc4NDE5PC9hY2Nlc3Npb24tbnVtPjx3b3JrLXR5
cGU+UmVzZWFyY2ggU3VwcG9ydCwgTm9uLVUuUy4gR292JmFwb3M7dDwvd29yay10eXBlPjx1cmxz
PjxyZWxhdGVkLXVybHM+PHVybD5odHRwOi8vd3d3Lm5jYmkubmxtLm5paC5nb3YvcHVibWVkLzIw
MTc4NDE5PC91cmw+PC9yZWxhdGVkLXVybHM+PC91cmxzPjxlbGVjdHJvbmljLXJlc291cmNlLW51
bT4xMC4xMDg2LzY1MTExMDwvZWxlY3Ryb25pYy1yZXNvdXJjZS1udW0+PGxhbmd1YWdlPmVuZzwv
bGFuZ3VhZ2U+PC9yZWNvcmQ+PC9DaXRlPjwvRW5kTm90ZT5=
</w:fldData>
        </w:fldChar>
      </w:r>
      <w:r w:rsidR="00290091">
        <w:instrText xml:space="preserve"> ADDIN EN.CITE </w:instrText>
      </w:r>
      <w:r w:rsidR="00290091">
        <w:fldChar w:fldCharType="begin">
          <w:fldData xml:space="preserve">PEVuZE5vdGU+PENpdGU+PEF1dGhvcj5Ib3dhcmQ8L0F1dGhvcj48WWVhcj4yMDAxPC9ZZWFyPjxS
ZWNOdW0+ODM8L1JlY051bT48RGlzcGxheVRleHQ+R3JhdmVzIGV0IGFsLiwgMjAxMDsgSG93YXJk
IGV0IGFsLiwgMjAwMTsgU2NodWxnZW4sIEtyb3BlYywgS2FwcHN0ZWluLCBEYXNjaG5lciwgJmFt
cDsgU2NodW1hY2hlciwgMjAwMDwvRGlzcGxheVRleHQ+PHJlY29yZD48cmVjLW51bWJlcj44Mzwv
cmVjLW51bWJlcj48Zm9yZWlnbi1rZXlzPjxrZXkgYXBwPSJFTiIgZGItaWQ9IjkydGZ0dDV2MmFy
eGQ2ZTl3enI1MHcydzByejBlcHgwOTlmdCIgdGltZXN0YW1wPSIxMzc4NTE3NzM3Ij44Mzwva2V5
PjwvZm9yZWlnbi1rZXlzPjxyZWYtdHlwZSBuYW1lPSJKb3VybmFsIEFydGljbGUiPjE3PC9yZWYt
dHlwZT48Y29udHJpYnV0b3JzPjxhdXRob3JzPjxhdXRob3I+SG93YXJkLCBELjwvYXV0aG9yPjxh
dXRob3I+Q29yZGVsbCwgUi48L2F1dGhvcj48YXV0aG9yPk1jR293YW4sIEouIEUuLCBKci48L2F1
dGhvcj48YXV0aG9yPlBhY2thcmQsIFIuIE0uPC9hdXRob3I+PGF1dGhvcj5TY290dCwgUi4gRC4s
IDJuZDwvYXV0aG9yPjxhdXRob3I+U29sb21vbiwgUy4gTC48L2F1dGhvcj48L2F1dGhvcnM+PC9j
b250cmlidXRvcnM+PGF1dGgtYWRkcmVzcz5Sb2xsaW5zIFNjaG9vbCBvZiBQdWJsaWMgSGVhbHRo
IG9mIEVtb3J5IFVuaXZlcnNpdHksIEF0bGFudGEsIEdBIDMwMzIyLCBVU0EuPC9hdXRoLWFkZHJl
c3M+PHRpdGxlcz48dGl0bGU+TWVhc3VyaW5nIHRoZSBlY29ub21pYyBjb3N0cyBvZiBhbnRpbWlj
cm9iaWFsIHJlc2lzdGFuY2UgaW4gaG9zcGl0YWwgc2V0dGluZ3M6IHN1bW1hcnkgb2YgdGhlIENl
bnRlcnMgZm9yIERpc2Vhc2UgQ29udHJvbCBhbmQgUHJldmVudGlvbi1FbW9yeSBXb3Jrc2hvcDwv
dGl0bGU+PHNlY29uZGFyeS10aXRsZT5DbGluIEluZmVjdCBEaXM8L3NlY29uZGFyeS10aXRsZT48
YWx0LXRpdGxlPkNsaW5pY2FsIGluZmVjdGlvdXMgZGlzZWFzZXMgOiBhbiBvZmZpY2lhbCBwdWJs
aWNhdGlvbiBvZiB0aGUgSW5mZWN0aW91cyBEaXNlYXNlcyBTb2NpZXR5IG9mIEFtZXJpY2E8L2Fs
dC10aXRsZT48L3RpdGxlcz48cGVyaW9kaWNhbD48ZnVsbC10aXRsZT5DbGluIEluZmVjdCBEaXM8
L2Z1bGwtdGl0bGU+PGFiYnItMT5DbGluaWNhbCBpbmZlY3Rpb3VzIGRpc2Vhc2VzIDogYW4gb2Zm
aWNpYWwgcHVibGljYXRpb24gb2YgdGhlIEluZmVjdGlvdXMgRGlzZWFzZXMgU29jaWV0eSBvZiBB
bWVyaWNhPC9hYmJyLTE+PC9wZXJpb2RpY2FsPjxhbHQtcGVyaW9kaWNhbD48ZnVsbC10aXRsZT5D
bGluIEluZmVjdCBEaXM8L2Z1bGwtdGl0bGU+PGFiYnItMT5DbGluaWNhbCBpbmZlY3Rpb3VzIGRp
c2Vhc2VzIDogYW4gb2ZmaWNpYWwgcHVibGljYXRpb24gb2YgdGhlIEluZmVjdGlvdXMgRGlzZWFz
ZXMgU29jaWV0eSBvZiBBbWVyaWNhPC9hYmJyLTE+PC9hbHQtcGVyaW9kaWNhbD48cGFnZXM+MTU3
My04PC9wYWdlcz48dm9sdW1lPjMzPC92b2x1bWU+PG51bWJlcj45PC9udW1iZXI+PGVkaXRpb24+
MjAwMS8wOS8yOTwvZWRpdGlvbj48a2V5d29yZHM+PGtleXdvcmQ+Q2VudGVycyBmb3IgRGlzZWFz
ZSBDb250cm9sIGFuZCBQcmV2ZW50aW9uIChVLlMuKTwva2V5d29yZD48a2V5d29yZD5Db3N0cyBh
bmQgQ29zdCBBbmFseXNpczwva2V5d29yZD48a2V5d29yZD4qRHJ1ZyBSZXNpc3RhbmNlPC9rZXl3
b3JkPjxrZXl3b3JkPkhvc3BpdGFsIENvc3RzLypzdGFuZGFyZHM8L2tleXdvcmQ+PGtleXdvcmQ+
SHVtYW5zPC9rZXl3b3JkPjxrZXl3b3JkPlVuaXRlZCBTdGF0ZXM8L2tleXdvcmQ+PC9rZXl3b3Jk
cz48ZGF0ZXM+PHllYXI+MjAwMTwveWVhcj48cHViLWRhdGVzPjxkYXRlPk5vdiAxPC9kYXRlPjwv
cHViLWRhdGVzPjwvZGF0ZXM+PGlzYm4+MTA1OC00ODM4IChQcmludCkmI3hEOzEwNTgtNDgzOCAo
TGlua2luZyk8L2lzYm4+PGFjY2Vzc2lvbi1udW0+MTE1NzczNzk8L2FjY2Vzc2lvbi1udW0+PHVy
bHM+PHJlbGF0ZWQtdXJscz48dXJsPmh0dHA6Ly93d3cubmNiaS5ubG0ubmloLmdvdi9wdWJtZWQv
MTE1NzczNzk8L3VybD48L3JlbGF0ZWQtdXJscz48L3VybHM+PGVsZWN0cm9uaWMtcmVzb3VyY2Ut
bnVtPjEwLjEwODYvMzIzNzU4PC9lbGVjdHJvbmljLXJlc291cmNlLW51bT48bGFuZ3VhZ2U+ZW5n
PC9sYW5ndWFnZT48L3JlY29yZD48L0NpdGU+PENpdGU+PEF1dGhvcj5TY2h1bGdlbjwvQXV0aG9y
PjxZZWFyPjIwMDA8L1llYXI+PFJlY051bT44ODwvUmVjTnVtPjxyZWNvcmQ+PHJlYy1udW1iZXI+
ODg8L3JlYy1udW1iZXI+PGZvcmVpZ24ta2V5cz48a2V5IGFwcD0iRU4iIGRiLWlkPSI5MnRmdHQ1
djJhcnhkNmU5d3pyNTB3MncwcnowZXB4MDk5ZnQiIHRpbWVzdGFtcD0iMTM3ODUxNzg2NiI+ODg8
L2tleT48L2ZvcmVpZ24ta2V5cz48cmVmLXR5cGUgbmFtZT0iSm91cm5hbCBBcnRpY2xlIj4xNzwv
cmVmLXR5cGU+PGNvbnRyaWJ1dG9ycz48YXV0aG9ycz48YXV0aG9yPlNjaHVsZ2VuLCBHLjwvYXV0
aG9yPjxhdXRob3I+S3JvcGVjLCBBLjwvYXV0aG9yPjxhdXRob3I+S2FwcHN0ZWluLCBJLjwvYXV0
aG9yPjxhdXRob3I+RGFzY2huZXIsIEYuPC9hdXRob3I+PGF1dGhvcj5TY2h1bWFjaGVyLCBNLjwv
YXV0aG9yPjwvYXV0aG9ycz48L2NvbnRyaWJ1dG9ycz48YXV0aC1hZGRyZXNzPkluc3RpdHV0ZSBv
ZiBNZWRpY2FsIEJpb21ldHJ5IGFuZCBNZWRpY2FsIEluZm9ybWF0aWNzLCBBbGJlcnQtTHVkd2ln
cy1Vbml2ZXJzaXR5LCBTdGVmYW4tTWVpZXItU3RyYXNzZSAyNiwgRC03OTEwNCwgRnJlaWJ1cmcs
IEdlcm1hbnkuIGdzQGltYmkudW5pLmZyZWlidXJnLmRlPC9hdXRoLWFkZHJlc3M+PHRpdGxlcz48
dGl0bGU+RXN0aW1hdGlvbiBvZiBleHRyYSBob3NwaXRhbCBzdGF5IGF0dHJpYnV0YWJsZSB0byBu
b3NvY29taWFsIGluZmVjdGlvbnM6IGhldGVyb2dlbmVpdHkgYW5kIHRpbWluZyBvZiBldmVudHM8
L3RpdGxlPjxzZWNvbmRhcnktdGl0bGU+SiBDbGluIEVwaWRlbWlvbDwvc2Vjb25kYXJ5LXRpdGxl
PjxhbHQtdGl0bGU+Sm91cm5hbCBvZiBjbGluaWNhbCBlcGlkZW1pb2xvZ3k8L2FsdC10aXRsZT48
L3RpdGxlcz48cGVyaW9kaWNhbD48ZnVsbC10aXRsZT5KIENsaW4gRXBpZGVtaW9sPC9mdWxsLXRp
dGxlPjxhYmJyLTE+Sm91cm5hbCBvZiBjbGluaWNhbCBlcGlkZW1pb2xvZ3k8L2FiYnItMT48L3Bl
cmlvZGljYWw+PGFsdC1wZXJpb2RpY2FsPjxmdWxsLXRpdGxlPkogQ2xpbiBFcGlkZW1pb2w8L2Z1
bGwtdGl0bGU+PGFiYnItMT5Kb3VybmFsIG9mIGNsaW5pY2FsIGVwaWRlbWlvbG9neTwvYWJici0x
PjwvYWx0LXBlcmlvZGljYWw+PHBhZ2VzPjQwOS0xNzwvcGFnZXM+PHZvbHVtZT41Mzwvdm9sdW1l
PjxudW1iZXI+NDwvbnVtYmVyPjxlZGl0aW9uPjIwMDAvMDQvMjk8L2VkaXRpb24+PGtleXdvcmRz
PjxrZXl3b3JkPkNvaG9ydCBTdHVkaWVzPC9rZXl3b3JkPjxrZXl3b3JkPkNvbmZvdW5kaW5nIEZh
Y3RvcnMgKEVwaWRlbWlvbG9neSk8L2tleXdvcmQ+PGtleXdvcmQ+Q3Jvc3MgSW5mZWN0aW9uLypl
cGlkZW1pb2xvZ3k8L2tleXdvcmQ+PGtleXdvcmQ+RmVtYWxlPC9rZXl3b3JkPjxrZXl3b3JkPkh1
bWFuczwva2V5d29yZD48a2V5d29yZD5MZW5ndGggb2YgU3RheS8qc3RhdGlzdGljcyAmYW1wOyBu
dW1lcmljYWwgZGF0YTwva2V5d29yZD48a2V5d29yZD5NYWxlPC9rZXl3b3JkPjxrZXl3b3JkPk1p
ZGRsZSBBZ2VkPC9rZXl3b3JkPjxrZXl3b3JkPk1vZGVscywgU3RhdGlzdGljYWw8L2tleXdvcmQ+
PGtleXdvcmQ+UHJvc3BlY3RpdmUgU3R1ZGllczwva2V5d29yZD48a2V5d29yZD5TdXJnaWNhbCBX
b3VuZCBJbmZlY3Rpb24vZXBpZGVtaW9sb2d5PC9rZXl3b3JkPjxrZXl3b3JkPlRpbWUgRmFjdG9y
czwva2V5d29yZD48L2tleXdvcmRzPjxkYXRlcz48eWVhcj4yMDAwPC95ZWFyPjxwdWItZGF0ZXM+
PGRhdGU+QXByPC9kYXRlPjwvcHViLWRhdGVzPjwvZGF0ZXM+PGlzYm4+MDg5NS00MzU2IChQcmlu
dCkmI3hEOzA4OTUtNDM1NiAoTGlua2luZyk8L2lzYm4+PGFjY2Vzc2lvbi1udW0+MTA3ODU1NzI8
L2FjY2Vzc2lvbi1udW0+PHVybHM+PHJlbGF0ZWQtdXJscz48dXJsPmh0dHA6Ly93d3cubmNiaS5u
bG0ubmloLmdvdi9wdWJtZWQvMTA3ODU1NzI8L3VybD48L3JlbGF0ZWQtdXJscz48L3VybHM+PGxh
bmd1YWdlPmVuZzwvbGFuZ3VhZ2U+PC9yZWNvcmQ+PC9DaXRlPjxDaXRlPjxBdXRob3I+R3JhdmVz
PC9BdXRob3I+PFllYXI+MjAxMDwvWWVhcj48UmVjTnVtPjcyPC9SZWNOdW0+PHJlY29yZD48cmVj
LW51bWJlcj43MjwvcmVjLW51bWJlcj48Zm9yZWlnbi1rZXlzPjxrZXkgYXBwPSJFTiIgZGItaWQ9
IjkydGZ0dDV2MmFyeGQ2ZTl3enI1MHcydzByejBlcHgwOTlmdCIgdGltZXN0YW1wPSIxMzc4NDIy
OTE3Ij43Mjwva2V5PjwvZm9yZWlnbi1rZXlzPjxyZWYtdHlwZSBuYW1lPSJKb3VybmFsIEFydGlj
bGUiPjE3PC9yZWYtdHlwZT48Y29udHJpYnV0b3JzPjxhdXRob3JzPjxhdXRob3I+R3JhdmVzLCBO
LjwvYXV0aG9yPjxhdXRob3I+SGFyYmFydGgsIFMuPC9hdXRob3I+PGF1dGhvcj5CZXllcnNtYW5u
LCBKLjwvYXV0aG9yPjxhdXRob3I+QmFybmV0dCwgQS48L2F1dGhvcj48YXV0aG9yPkhhbHRvbiwg
Sy48L2F1dGhvcj48YXV0aG9yPkNvb3BlciwgQi48L2F1dGhvcj48L2F1dGhvcnM+PC9jb250cmli
dXRvcnM+PGF1dGgtYWRkcmVzcz5JbnN0aXR1dGUgZm9yIEhlYWx0aCBhbmQgQmlvbWVkaWNhbCBJ
bm5vdmF0aW9uLCBRdWVlbnNsYW5kIFVuaXZlcnNpdHkgb2YgVGVjaG5vbG9neSwgQnJpc2JhbmUs
IFF1ZWVuc2xhbmQsIEF1c3RyYWxpYS4gbi5ncmF2ZXNAcXV0LmVkdS5hdTwvYXV0aC1hZGRyZXNz
Pjx0aXRsZXM+PHRpdGxlPkVzdGltYXRpbmcgdGhlIGNvc3Qgb2YgaGVhbHRoIGNhcmUtYXNzb2Np
YXRlZCBpbmZlY3Rpb25zOiBtaW5kIHlvdXIgcCZhcG9zO3MgYW5kIHEmYXBvcztzPC90aXRsZT48
c2Vjb25kYXJ5LXRpdGxlPkNsaW4gSW5mZWN0IERpczwvc2Vjb25kYXJ5LXRpdGxlPjxhbHQtdGl0
bGU+Q2xpbmljYWwgaW5mZWN0aW91cyBkaXNlYXNlcyA6IGFuIG9mZmljaWFsIHB1YmxpY2F0aW9u
IG9mIHRoZSBJbmZlY3Rpb3VzIERpc2Vhc2VzIFNvY2lldHkgb2YgQW1lcmljYTwvYWx0LXRpdGxl
PjwvdGl0bGVzPjxwZXJpb2RpY2FsPjxmdWxsLXRpdGxlPkNsaW4gSW5mZWN0IERpczwvZnVsbC10
aXRsZT48YWJici0xPkNsaW5pY2FsIGluZmVjdGlvdXMgZGlzZWFzZXMgOiBhbiBvZmZpY2lhbCBw
dWJsaWNhdGlvbiBvZiB0aGUgSW5mZWN0aW91cyBEaXNlYXNlcyBTb2NpZXR5IG9mIEFtZXJpY2E8
L2FiYnItMT48L3BlcmlvZGljYWw+PGFsdC1wZXJpb2RpY2FsPjxmdWxsLXRpdGxlPkNsaW4gSW5m
ZWN0IERpczwvZnVsbC10aXRsZT48YWJici0xPkNsaW5pY2FsIGluZmVjdGlvdXMgZGlzZWFzZXMg
OiBhbiBvZmZpY2lhbCBwdWJsaWNhdGlvbiBvZiB0aGUgSW5mZWN0aW91cyBEaXNlYXNlcyBTb2Np
ZXR5IG9mIEFtZXJpY2E8L2FiYnItMT48L2FsdC1wZXJpb2RpY2FsPjxwYWdlcz4xMDE3LTIxPC9w
YWdlcz48dm9sdW1lPjUwPC92b2x1bWU+PG51bWJlcj43PC9udW1iZXI+PGVkaXRpb24+MjAxMC8w
Mi8yNTwvZWRpdGlvbj48a2V5d29yZHM+PGtleXdvcmQ+Q29zdHMgYW5kIENvc3QgQW5hbHlzaXM8
L2tleXdvcmQ+PGtleXdvcmQ+Q3Jvc3MgSW5mZWN0aW9uLyplY29ub21pY3M8L2tleXdvcmQ+PGtl
eXdvcmQ+KkhlYWx0aCBDYXJlIENvc3RzPC9rZXl3b3JkPjxrZXl3b3JkPkh1bWFuczwva2V5d29y
ZD48a2V5d29yZD4qTW9kZWxzLCBFY29ub21pYzwva2V5d29yZD48L2tleXdvcmRzPjxkYXRlcz48
eWVhcj4yMDEwPC95ZWFyPjxwdWItZGF0ZXM+PGRhdGU+QXByIDE8L2RhdGU+PC9wdWItZGF0ZXM+
PC9kYXRlcz48aXNibj4xNTM3LTY1OTEgKEVsZWN0cm9uaWMpJiN4RDsxMDU4LTQ4MzggKExpbmtp
bmcpPC9pc2JuPjxhY2Nlc3Npb24tbnVtPjIwMTc4NDE5PC9hY2Nlc3Npb24tbnVtPjx3b3JrLXR5
cGU+UmVzZWFyY2ggU3VwcG9ydCwgTm9uLVUuUy4gR292JmFwb3M7dDwvd29yay10eXBlPjx1cmxz
PjxyZWxhdGVkLXVybHM+PHVybD5odHRwOi8vd3d3Lm5jYmkubmxtLm5paC5nb3YvcHVibWVkLzIw
MTc4NDE5PC91cmw+PC9yZWxhdGVkLXVybHM+PC91cmxzPjxlbGVjdHJvbmljLXJlc291cmNlLW51
bT4xMC4xMDg2LzY1MTExMDwvZWxlY3Ryb25pYy1yZXNvdXJjZS1udW0+PGxhbmd1YWdlPmVuZzwv
bGFuZ3VhZ2U+PC9yZWNvcmQ+PC9DaXRlPjwvRW5kTm90ZT5=
</w:fldData>
        </w:fldChar>
      </w:r>
      <w:r w:rsidR="00290091">
        <w:instrText xml:space="preserve"> ADDIN EN.CITE.DATA </w:instrText>
      </w:r>
      <w:r w:rsidR="00290091">
        <w:fldChar w:fldCharType="end"/>
      </w:r>
      <w:r>
        <w:fldChar w:fldCharType="separate"/>
      </w:r>
      <w:hyperlink w:anchor="_ENREF_12" w:tooltip="Graves, 2010 #72" w:history="1">
        <w:r w:rsidR="00C33CAE">
          <w:rPr>
            <w:noProof/>
          </w:rPr>
          <w:t>Graves et al., 2010</w:t>
        </w:r>
      </w:hyperlink>
      <w:r w:rsidR="00290091">
        <w:rPr>
          <w:noProof/>
        </w:rPr>
        <w:t xml:space="preserve">; </w:t>
      </w:r>
      <w:hyperlink w:anchor="_ENREF_15" w:tooltip="Howard, 2001 #83" w:history="1">
        <w:r w:rsidR="00C33CAE">
          <w:rPr>
            <w:noProof/>
          </w:rPr>
          <w:t>Howard et al., 2001</w:t>
        </w:r>
      </w:hyperlink>
      <w:r w:rsidR="00290091">
        <w:rPr>
          <w:noProof/>
        </w:rPr>
        <w:t xml:space="preserve">; </w:t>
      </w:r>
      <w:hyperlink w:anchor="_ENREF_28" w:tooltip="Schulgen, 2000 #88" w:history="1">
        <w:r w:rsidR="00C33CAE">
          <w:rPr>
            <w:noProof/>
          </w:rPr>
          <w:t>Schulgen, Kropec, Kappstein, Daschner, &amp; Schumacher, 2000</w:t>
        </w:r>
      </w:hyperlink>
      <w:r>
        <w:fldChar w:fldCharType="end"/>
      </w:r>
      <w:r>
        <w:t>), which arises as “</w:t>
      </w:r>
      <w:r w:rsidRPr="00AE02A4">
        <w:rPr>
          <w:i/>
        </w:rPr>
        <w:t xml:space="preserve">while there is good evidence that a primary channel through which HAI influences total costs is through </w:t>
      </w:r>
      <w:r w:rsidRPr="00AE02A4">
        <w:rPr>
          <w:i/>
        </w:rPr>
        <w:lastRenderedPageBreak/>
        <w:t>increasing the length of hospital stay, increased length of stay is itself a primary cause of increased risk of HAI</w:t>
      </w:r>
      <w:r w:rsidRPr="00F74E9A">
        <w:t xml:space="preserve">” </w:t>
      </w:r>
      <w:r>
        <w:t>(</w:t>
      </w:r>
      <w:hyperlink w:anchor="_ENREF_13" w:tooltip="Graves, 2005 #31" w:history="1">
        <w:r w:rsidR="00C33CAE">
          <w:fldChar w:fldCharType="begin">
            <w:fldData xml:space="preserve">PEVuZE5vdGU+PENpdGU+PEF1dGhvcj5HcmF2ZXM8L0F1dGhvcj48WWVhcj4yMDA1PC9ZZWFyPjxS
ZWNOdW0+MzE8L1JlY051bT48RGlzcGxheVRleHQ+R3JhdmVzLCBXZWluaG9sZCwgJmFtcDsgUm9i
ZXJ0cywgMjAwNTwvRGlzcGxheVRleHQ+PHJlY29yZD48cmVjLW51bWJlcj4zMTwvcmVjLW51bWJl
cj48Zm9yZWlnbi1rZXlzPjxrZXkgYXBwPSJFTiIgZGItaWQ9IjkydGZ0dDV2MmFyeGQ2ZTl3enI1
MHcydzByejBlcHgwOTlmdCIgdGltZXN0YW1wPSIxMzc4MzYxNjgxIj4zMTwva2V5PjwvZm9yZWln
bi1rZXlzPjxyZWYtdHlwZSBuYW1lPSJKb3VybmFsIEFydGljbGUiPjE3PC9yZWYtdHlwZT48Y29u
dHJpYnV0b3JzPjxhdXRob3JzPjxhdXRob3I+R3JhdmVzLCBOLjwvYXV0aG9yPjxhdXRob3I+V2Vp
bmhvbGQsIEQuPC9hdXRob3I+PGF1dGhvcj5Sb2JlcnRzLCBKLiBBLjwvYXV0aG9yPjwvYXV0aG9y
cz48L2NvbnRyaWJ1dG9ycz48YXV0aC1hZGRyZXNzPkNlbnRyZSBmb3IgSGVhbHRoY2FyZSBSZWxh
dGVkIEluZmVjdGlvbiwgU3VydmVpbGxhbmNlIGFuZCBQcmV2ZW50aW9uLCBQcmluY2VzcyBBbGV4
YW5kcmEgSG9zcGl0YWwsIFF1ZWVuc2xhbmQsIEF1c3RyYWxpYS4gbi5ncmF2ZXNAcXV0LmVkdS5h
dTwvYXV0aC1hZGRyZXNzPjx0aXRsZXM+PHRpdGxlPkNvcnJlY3RpbmcgZm9yIGJpYXMgd2hlbiBl
c3RpbWF0aW5nIHRoZSBjb3N0IG9mIGhvc3BpdGFsLWFjcXVpcmVkIGluZmVjdGlvbjogYW4gYW5h
bHlzaXMgb2YgbG93ZXIgcmVzcGlyYXRvcnkgdHJhY3QgaW5mZWN0aW9ucyBpbiBub24tc3VyZ2lj
YWwgcGF0aWVudHM8L3RpdGxlPjxzZWNvbmRhcnktdGl0bGU+SGVhbHRoIEVjb248L3NlY29uZGFy
eS10aXRsZT48YWx0LXRpdGxlPkhlYWx0aCBlY29ub21pY3M8L2FsdC10aXRsZT48L3RpdGxlcz48
cGVyaW9kaWNhbD48ZnVsbC10aXRsZT5IZWFsdGggRWNvbjwvZnVsbC10aXRsZT48YWJici0xPkhl
YWx0aCBlY29ub21pY3M8L2FiYnItMT48L3BlcmlvZGljYWw+PGFsdC1wZXJpb2RpY2FsPjxmdWxs
LXRpdGxlPkhlYWx0aCBFY29uPC9mdWxsLXRpdGxlPjxhYmJyLTE+SGVhbHRoIGVjb25vbWljczwv
YWJici0xPjwvYWx0LXBlcmlvZGljYWw+PHBhZ2VzPjc1NS02MTwvcGFnZXM+PHZvbHVtZT4xNDwv
dm9sdW1lPjxudW1iZXI+NzwvbnVtYmVyPjxlZGl0aW9uPjIwMDUvMDEvMjk8L2VkaXRpb24+PGtl
eXdvcmRzPjxrZXl3b3JkPkJpYXMgKEVwaWRlbWlvbG9neSk8L2tleXdvcmQ+PGtleXdvcmQ+Q29z
dC1CZW5lZml0IEFuYWx5c2lzPC9rZXl3b3JkPjxrZXl3b3JkPkNyb3NzIEluZmVjdGlvbi8qZWNv
bm9taWNzL2VwaWRlbWlvbG9neTwva2V5d29yZD48a2V5d29yZD5GZW1hbGU8L2tleXdvcmQ+PGtl
eXdvcmQ+SGVhbHRoIENhcmUgQ29zdHM8L2tleXdvcmQ+PGtleXdvcmQ+SHVtYW5zPC9rZXl3b3Jk
PjxrZXl3b3JkPklucGF0aWVudHM8L2tleXdvcmQ+PGtleXdvcmQ+TGVuZ3RoIG9mIFN0YXkvZWNv
bm9taWNzL3N0YXRpc3RpY3MgJmFtcDsgbnVtZXJpY2FsIGRhdGE8L2tleXdvcmQ+PGtleXdvcmQ+
TWFsZTwva2V5d29yZD48a2V5d29yZD5Nb2RlbHMsIEVjb25vbWljPC9rZXl3b3JkPjxrZXl3b3Jk
PlJlc3BpcmF0b3J5IFRyYWN0IEluZmVjdGlvbnMvKmVjb25vbWljcy9lcGlkZW1pb2xvZ3k8L2tl
eXdvcmQ+PGtleXdvcmQ+UmlzayBBc3Nlc3NtZW50PC9rZXl3b3JkPjwva2V5d29yZHM+PGRhdGVz
Pjx5ZWFyPjIwMDU8L3llYXI+PHB1Yi1kYXRlcz48ZGF0ZT5KdWw8L2RhdGU+PC9wdWItZGF0ZXM+
PC9kYXRlcz48aXNibj4xMDU3LTkyMzAgKFByaW50KSYjeEQ7MTA1Ny05MjMwIChMaW5raW5nKTwv
aXNibj48YWNjZXNzaW9uLW51bT4xNTY3ODUyMTwvYWNjZXNzaW9uLW51bT48d29yay10eXBlPlJl
c2VhcmNoIFN1cHBvcnQsIE5vbi1VLlMuIEdvdiZhcG9zO3Q8L3dvcmstdHlwZT48dXJscz48cmVs
YXRlZC11cmxzPjx1cmw+aHR0cDovL3d3dy5uY2JpLm5sbS5uaWguZ292L3B1Ym1lZC8xNTY3ODUy
MTwvdXJsPjwvcmVsYXRlZC11cmxzPjwvdXJscz48ZWxlY3Ryb25pYy1yZXNvdXJjZS1udW0+MTAu
MTAwMi9oZWMuOTY3PC9lbGVjdHJvbmljLXJlc291cmNlLW51bT48bGFuZ3VhZ2U+ZW5nPC9sYW5n
dWFnZT48L3JlY29yZD48L0NpdGU+PC9FbmROb3RlPn==
</w:fldData>
          </w:fldChar>
        </w:r>
        <w:r w:rsidR="00C33CAE">
          <w:instrText xml:space="preserve"> ADDIN EN.CITE </w:instrText>
        </w:r>
        <w:r w:rsidR="00C33CAE">
          <w:fldChar w:fldCharType="begin">
            <w:fldData xml:space="preserve">PEVuZE5vdGU+PENpdGU+PEF1dGhvcj5HcmF2ZXM8L0F1dGhvcj48WWVhcj4yMDA1PC9ZZWFyPjxS
ZWNOdW0+MzE8L1JlY051bT48RGlzcGxheVRleHQ+R3JhdmVzLCBXZWluaG9sZCwgJmFtcDsgUm9i
ZXJ0cywgMjAwNTwvRGlzcGxheVRleHQ+PHJlY29yZD48cmVjLW51bWJlcj4zMTwvcmVjLW51bWJl
cj48Zm9yZWlnbi1rZXlzPjxrZXkgYXBwPSJFTiIgZGItaWQ9IjkydGZ0dDV2MmFyeGQ2ZTl3enI1
MHcydzByejBlcHgwOTlmdCIgdGltZXN0YW1wPSIxMzc4MzYxNjgxIj4zMTwva2V5PjwvZm9yZWln
bi1rZXlzPjxyZWYtdHlwZSBuYW1lPSJKb3VybmFsIEFydGljbGUiPjE3PC9yZWYtdHlwZT48Y29u
dHJpYnV0b3JzPjxhdXRob3JzPjxhdXRob3I+R3JhdmVzLCBOLjwvYXV0aG9yPjxhdXRob3I+V2Vp
bmhvbGQsIEQuPC9hdXRob3I+PGF1dGhvcj5Sb2JlcnRzLCBKLiBBLjwvYXV0aG9yPjwvYXV0aG9y
cz48L2NvbnRyaWJ1dG9ycz48YXV0aC1hZGRyZXNzPkNlbnRyZSBmb3IgSGVhbHRoY2FyZSBSZWxh
dGVkIEluZmVjdGlvbiwgU3VydmVpbGxhbmNlIGFuZCBQcmV2ZW50aW9uLCBQcmluY2VzcyBBbGV4
YW5kcmEgSG9zcGl0YWwsIFF1ZWVuc2xhbmQsIEF1c3RyYWxpYS4gbi5ncmF2ZXNAcXV0LmVkdS5h
dTwvYXV0aC1hZGRyZXNzPjx0aXRsZXM+PHRpdGxlPkNvcnJlY3RpbmcgZm9yIGJpYXMgd2hlbiBl
c3RpbWF0aW5nIHRoZSBjb3N0IG9mIGhvc3BpdGFsLWFjcXVpcmVkIGluZmVjdGlvbjogYW4gYW5h
bHlzaXMgb2YgbG93ZXIgcmVzcGlyYXRvcnkgdHJhY3QgaW5mZWN0aW9ucyBpbiBub24tc3VyZ2lj
YWwgcGF0aWVudHM8L3RpdGxlPjxzZWNvbmRhcnktdGl0bGU+SGVhbHRoIEVjb248L3NlY29uZGFy
eS10aXRsZT48YWx0LXRpdGxlPkhlYWx0aCBlY29ub21pY3M8L2FsdC10aXRsZT48L3RpdGxlcz48
cGVyaW9kaWNhbD48ZnVsbC10aXRsZT5IZWFsdGggRWNvbjwvZnVsbC10aXRsZT48YWJici0xPkhl
YWx0aCBlY29ub21pY3M8L2FiYnItMT48L3BlcmlvZGljYWw+PGFsdC1wZXJpb2RpY2FsPjxmdWxs
LXRpdGxlPkhlYWx0aCBFY29uPC9mdWxsLXRpdGxlPjxhYmJyLTE+SGVhbHRoIGVjb25vbWljczwv
YWJici0xPjwvYWx0LXBlcmlvZGljYWw+PHBhZ2VzPjc1NS02MTwvcGFnZXM+PHZvbHVtZT4xNDwv
dm9sdW1lPjxudW1iZXI+NzwvbnVtYmVyPjxlZGl0aW9uPjIwMDUvMDEvMjk8L2VkaXRpb24+PGtl
eXdvcmRzPjxrZXl3b3JkPkJpYXMgKEVwaWRlbWlvbG9neSk8L2tleXdvcmQ+PGtleXdvcmQ+Q29z
dC1CZW5lZml0IEFuYWx5c2lzPC9rZXl3b3JkPjxrZXl3b3JkPkNyb3NzIEluZmVjdGlvbi8qZWNv
bm9taWNzL2VwaWRlbWlvbG9neTwva2V5d29yZD48a2V5d29yZD5GZW1hbGU8L2tleXdvcmQ+PGtl
eXdvcmQ+SGVhbHRoIENhcmUgQ29zdHM8L2tleXdvcmQ+PGtleXdvcmQ+SHVtYW5zPC9rZXl3b3Jk
PjxrZXl3b3JkPklucGF0aWVudHM8L2tleXdvcmQ+PGtleXdvcmQ+TGVuZ3RoIG9mIFN0YXkvZWNv
bm9taWNzL3N0YXRpc3RpY3MgJmFtcDsgbnVtZXJpY2FsIGRhdGE8L2tleXdvcmQ+PGtleXdvcmQ+
TWFsZTwva2V5d29yZD48a2V5d29yZD5Nb2RlbHMsIEVjb25vbWljPC9rZXl3b3JkPjxrZXl3b3Jk
PlJlc3BpcmF0b3J5IFRyYWN0IEluZmVjdGlvbnMvKmVjb25vbWljcy9lcGlkZW1pb2xvZ3k8L2tl
eXdvcmQ+PGtleXdvcmQ+UmlzayBBc3Nlc3NtZW50PC9rZXl3b3JkPjwva2V5d29yZHM+PGRhdGVz
Pjx5ZWFyPjIwMDU8L3llYXI+PHB1Yi1kYXRlcz48ZGF0ZT5KdWw8L2RhdGU+PC9wdWItZGF0ZXM+
PC9kYXRlcz48aXNibj4xMDU3LTkyMzAgKFByaW50KSYjeEQ7MTA1Ny05MjMwIChMaW5raW5nKTwv
aXNibj48YWNjZXNzaW9uLW51bT4xNTY3ODUyMTwvYWNjZXNzaW9uLW51bT48d29yay10eXBlPlJl
c2VhcmNoIFN1cHBvcnQsIE5vbi1VLlMuIEdvdiZhcG9zO3Q8L3dvcmstdHlwZT48dXJscz48cmVs
YXRlZC11cmxzPjx1cmw+aHR0cDovL3d3dy5uY2JpLm5sbS5uaWguZ292L3B1Ym1lZC8xNTY3ODUy
MTwvdXJsPjwvcmVsYXRlZC11cmxzPjwvdXJscz48ZWxlY3Ryb25pYy1yZXNvdXJjZS1udW0+MTAu
MTAwMi9oZWMuOTY3PC9lbGVjdHJvbmljLXJlc291cmNlLW51bT48bGFuZ3VhZ2U+ZW5nPC9sYW5n
dWFnZT48L3JlY29yZD48L0NpdGU+PC9FbmROb3RlPn==
</w:fldData>
          </w:fldChar>
        </w:r>
        <w:r w:rsidR="00C33CAE">
          <w:instrText xml:space="preserve"> ADDIN EN.CITE.DATA </w:instrText>
        </w:r>
        <w:r w:rsidR="00C33CAE">
          <w:fldChar w:fldCharType="end"/>
        </w:r>
        <w:r w:rsidR="00C33CAE">
          <w:fldChar w:fldCharType="separate"/>
        </w:r>
        <w:r w:rsidR="00C33CAE">
          <w:rPr>
            <w:noProof/>
          </w:rPr>
          <w:t>Graves, Weinhold, &amp; Roberts, 2005</w:t>
        </w:r>
        <w:r w:rsidR="00C33CAE">
          <w:fldChar w:fldCharType="end"/>
        </w:r>
      </w:hyperlink>
      <w:r>
        <w:t>,</w:t>
      </w:r>
      <w:r w:rsidRPr="00F74E9A">
        <w:t xml:space="preserve"> p. 754)</w:t>
      </w:r>
      <w:r>
        <w:t xml:space="preserve">.  </w:t>
      </w:r>
    </w:p>
    <w:p w:rsidR="007718C7" w:rsidRDefault="007718C7" w:rsidP="002002B2">
      <w:pPr>
        <w:pStyle w:val="ListParagraph"/>
        <w:numPr>
          <w:ilvl w:val="0"/>
          <w:numId w:val="11"/>
        </w:numPr>
      </w:pPr>
      <w:r w:rsidRPr="00070AC4">
        <w:rPr>
          <w:i/>
        </w:rPr>
        <w:t>Time dependent bias</w:t>
      </w:r>
      <w:r>
        <w:t>, which is a related problem (</w:t>
      </w:r>
      <w:hyperlink w:anchor="_ENREF_30" w:tooltip="van Walraven, 2004 #78" w:history="1">
        <w:r w:rsidR="00C33CAE">
          <w:fldChar w:fldCharType="begin"/>
        </w:r>
        <w:r w:rsidR="00C33CAE">
          <w:instrText xml:space="preserve"> ADDIN EN.CITE &lt;EndNote&gt;&lt;Cite&gt;&lt;Author&gt;van Walraven&lt;/Author&gt;&lt;Year&gt;2004&lt;/Year&gt;&lt;RecNum&gt;78&lt;/RecNum&gt;&lt;DisplayText&gt;van Walraven, Davis, Forster, &amp;amp; Wells, 2004&lt;/DisplayText&gt;&lt;record&gt;&lt;rec-number&gt;78&lt;/rec-number&gt;&lt;foreign-keys&gt;&lt;key app="EN" db-id="92tftt5v2arxd6e9wzr50w2w0rz0epx099ft" timestamp="1378423111"&gt;78&lt;/key&gt;&lt;/foreign-keys&gt;&lt;ref-type name="Journal Article"&gt;17&lt;/ref-type&gt;&lt;contributors&gt;&lt;authors&gt;&lt;author&gt;van Walraven, C.&lt;/author&gt;&lt;author&gt;Davis, D.&lt;/author&gt;&lt;author&gt;Forster, A. J.&lt;/author&gt;&lt;author&gt;Wells, G. A.&lt;/author&gt;&lt;/authors&gt;&lt;/contributors&gt;&lt;auth-address&gt;Department of Medicine, University of Ottawa, Ottawa Hospital, Civic Campus, 1053 Carling Avenue, F-660, Ottawa, ON K1Y 4E9, Canada. carlv@ohri.ca&lt;/auth-address&gt;&lt;titles&gt;&lt;title&gt;Time-dependent bias was common in survival analyses published in leading clinical journals&lt;/title&gt;&lt;secondary-title&gt;J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epidemiology&lt;/abbr-1&gt;&lt;/alt-periodical&gt;&lt;pages&gt;672-82&lt;/pages&gt;&lt;volume&gt;57&lt;/volume&gt;&lt;number&gt;7&lt;/number&gt;&lt;edition&gt;2004/09/11&lt;/edition&gt;&lt;keywords&gt;&lt;keyword&gt;*Bias (Epidemiology)&lt;/keyword&gt;&lt;keyword&gt;*Bibliometrics&lt;/keyword&gt;&lt;keyword&gt;Biomedical Research/methods/standards&lt;/keyword&gt;&lt;keyword&gt;Humans&lt;/keyword&gt;&lt;keyword&gt;Periodicals as Topic/*standards&lt;/keyword&gt;&lt;keyword&gt;Publishing/standards&lt;/keyword&gt;&lt;keyword&gt;*Survival Analysis&lt;/keyword&gt;&lt;keyword&gt;Time Factors&lt;/keyword&gt;&lt;/keywords&gt;&lt;dates&gt;&lt;year&gt;2004&lt;/year&gt;&lt;pub-dates&gt;&lt;date&gt;Jul&lt;/date&gt;&lt;/pub-dates&gt;&lt;/dates&gt;&lt;isbn&gt;0895-4356 (Print)&amp;#xD;0895-4356 (Linking)&lt;/isbn&gt;&lt;accession-num&gt;15358395&lt;/accession-num&gt;&lt;work-type&gt;Review&lt;/work-type&gt;&lt;urls&gt;&lt;related-urls&gt;&lt;url&gt;http://www.ncbi.nlm.nih.gov/pubmed/15358395&lt;/url&gt;&lt;/related-urls&gt;&lt;/urls&gt;&lt;electronic-resource-num&gt;10.1016/j.jclinepi.2003.12.008&lt;/electronic-resource-num&gt;&lt;language&gt;eng&lt;/language&gt;&lt;/record&gt;&lt;/Cite&gt;&lt;/EndNote&gt;</w:instrText>
        </w:r>
        <w:r w:rsidR="00C33CAE">
          <w:fldChar w:fldCharType="separate"/>
        </w:r>
        <w:r w:rsidR="00C33CAE">
          <w:rPr>
            <w:noProof/>
          </w:rPr>
          <w:t>van Walraven, Davis, Forster, &amp; Wells, 2004</w:t>
        </w:r>
        <w:r w:rsidR="00C33CAE">
          <w:fldChar w:fldCharType="end"/>
        </w:r>
      </w:hyperlink>
      <w:r>
        <w:t xml:space="preserve">; </w:t>
      </w:r>
      <w:r>
        <w:fldChar w:fldCharType="begin">
          <w:fldData xml:space="preserve">PEVuZE5vdGU+PENpdGU+PEF1dGhvcj5CYXJuZXR0PC9BdXRob3I+PFllYXI+MjAxMTwvWWVhcj48
UmVjTnVtPjI5PC9SZWNOdW0+PERpc3BsYXlUZXh0PkJhcm5ldHQgZXQgYWwuLCAyMDExOyBHcmF2
ZXMgZXQgYWwuLCAyMDEwPC9EaXNwbGF5VGV4dD48cmVjb3JkPjxyZWMtbnVtYmVyPjI5PC9yZWMt
bnVtYmVyPjxmb3JlaWduLWtleXM+PGtleSBhcHA9IkVOIiBkYi1pZD0iOTJ0ZnR0NXYyYXJ4ZDZl
OXd6cjUwdzJ3MHJ6MGVweDA5OWZ0IiB0aW1lc3RhbXA9IjEzNzgzNjE2ODEiPjI5PC9rZXk+PC9m
b3JlaWduLWtleXM+PHJlZi10eXBlIG5hbWU9IkpvdXJuYWwgQXJ0aWNsZSI+MTc8L3JlZi10eXBl
Pjxjb250cmlidXRvcnM+PGF1dGhvcnM+PGF1dGhvcj5CYXJuZXR0LCBBLiBHLjwvYXV0aG9yPjxh
dXRob3I+QmV5ZXJzbWFubiwgSi48L2F1dGhvcj48YXV0aG9yPkFsbGlnbm9sLCBBLjwvYXV0aG9y
PjxhdXRob3I+Um9zZW50aGFsLCBWLiBELjwvYXV0aG9yPjxhdXRob3I+R3JhdmVzLCBOLjwvYXV0
aG9yPjxhdXRob3I+V29sa2V3aXR6LCBNLjwvYXV0aG9yPjwvYXV0aG9ycz48L2NvbnRyaWJ1dG9y
cz48YXV0aC1hZGRyZXNzPlF1ZWVuc2xhbmQgVW5pdmVyc2l0eSBvZiBUZWNobm9sb2d5LCBCcmlz
YmFuZSwgQXVzdHJhbGlhLiBhLmJhcm5ldHRAcXV0LmVkdS5hdTwvYXV0aC1hZGRyZXNzPjx0aXRs
ZXM+PHRpdGxlPlRoZSB0aW1lLWRlcGVuZGVudCBiaWFzIGFuZCBpdHMgZWZmZWN0IG9uIGV4dHJh
IGxlbmd0aCBvZiBzdGF5IGR1ZSB0byBub3NvY29taWFsIGluZmVjdGlvbjwvdGl0bGU+PHNlY29u
ZGFyeS10aXRsZT5WYWx1ZSBIZWFsdGg8L3NlY29uZGFyeS10aXRsZT48YWx0LXRpdGxlPlZhbHVl
IGluIGhlYWx0aCA6IHRoZSBqb3VybmFsIG9mIHRoZSBJbnRlcm5hdGlvbmFsIFNvY2lldHkgZm9y
IFBoYXJtYWNvZWNvbm9taWNzIGFuZCBPdXRjb21lcyBSZXNlYXJjaDwvYWx0LXRpdGxlPjwvdGl0
bGVzPjxwZXJpb2RpY2FsPjxmdWxsLXRpdGxlPlZhbHVlIEhlYWx0aDwvZnVsbC10aXRsZT48YWJi
ci0xPlZhbHVlIGluIGhlYWx0aCA6IHRoZSBqb3VybmFsIG9mIHRoZSBJbnRlcm5hdGlvbmFsIFNv
Y2lldHkgZm9yIFBoYXJtYWNvZWNvbm9taWNzIGFuZCBPdXRjb21lcyBSZXNlYXJjaDwvYWJici0x
PjwvcGVyaW9kaWNhbD48YWx0LXBlcmlvZGljYWw+PGZ1bGwtdGl0bGU+VmFsdWUgSGVhbHRoPC9m
dWxsLXRpdGxlPjxhYmJyLTE+VmFsdWUgaW4gaGVhbHRoIDogdGhlIGpvdXJuYWwgb2YgdGhlIElu
dGVybmF0aW9uYWwgU29jaWV0eSBmb3IgUGhhcm1hY29lY29ub21pY3MgYW5kIE91dGNvbWVzIFJl
c2VhcmNoPC9hYmJyLTE+PC9hbHQtcGVyaW9kaWNhbD48cGFnZXM+MzgxLTY8L3BhZ2VzPjx2b2x1
bWU+MTQ8L3ZvbHVtZT48bnVtYmVyPjI8L251bWJlcj48ZWRpdGlvbj4yMDExLzAzLzE2PC9lZGl0
aW9uPjxrZXl3b3Jkcz48a2V5d29yZD5BZ2VkPC9rZXl3b3JkPjxrZXl3b3JkPkFyZ2VudGluYTwv
a2V5d29yZD48a2V5d29yZD5CaWFzIChFcGlkZW1pb2xvZ3kpPC9rZXl3b3JkPjxrZXl3b3JkPkNv
bXB1dGVyIFNpbXVsYXRpb248L2tleXdvcmQ+PGtleXdvcmQ+Q3Jvc3MgSW5mZWN0aW9uLyplY29u
b21pY3MvKnRoZXJhcHk8L2tleXdvcmQ+PGtleXdvcmQ+RGVjaXNpb24gTWFraW5nPC9rZXl3b3Jk
PjxrZXl3b3JkPkZlbWFsZTwva2V5d29yZD48a2V5d29yZD5Ib3NwaXRhbCBDb3N0czwva2V5d29y
ZD48a2V5d29yZD5IdW1hbnM8L2tleXdvcmQ+PGtleXdvcmQ+SW5mZWN0aW9uIENvbnRyb2wvKmVj
b25vbWljcy9zdGFuZGFyZHM8L2tleXdvcmQ+PGtleXdvcmQ+SW50ZW5zaXZlIENhcmUgVW5pdHMv
ZWNvbm9taWNzL3N0YXRpc3RpY3MgJmFtcDsgbnVtZXJpY2FsIGRhdGE8L2tleXdvcmQ+PGtleXdv
cmQ+TGVuZ3RoIG9mIFN0YXkvKmVjb25vbWljcy9zdGF0aXN0aWNzICZhbXA7IG51bWVyaWNhbCBk
YXRhPC9rZXl3b3JkPjxrZXl3b3JkPkxpbmVhciBNb2RlbHM8L2tleXdvcmQ+PGtleXdvcmQ+TWFs
ZTwva2V5d29yZD48a2V5d29yZD5NaWRkbGUgQWdlZDwva2V5d29yZD48a2V5d29yZD5QYXRpZW50
IEFkbWlzc2lvbi9lY29ub21pY3Mvc3RhdGlzdGljcyAmYW1wOyBudW1lcmljYWwgZGF0YTwva2V5
d29yZD48a2V5d29yZD5Qcm9wb3J0aW9uYWwgSGF6YXJkcyBNb2RlbHM8L2tleXdvcmQ+PGtleXdv
cmQ+UHJvc3BlY3RpdmUgU3R1ZGllczwva2V5d29yZD48a2V5d29yZD5UaW1lIEZhY3RvcnM8L2tl
eXdvcmQ+PC9rZXl3b3Jkcz48ZGF0ZXM+PHllYXI+MjAxMTwveWVhcj48cHViLWRhdGVzPjxkYXRl
Pk1hci1BcHI8L2RhdGU+PC9wdWItZGF0ZXM+PC9kYXRlcz48aXNibj4xNTI0LTQ3MzMgKEVsZWN0
cm9uaWMpJiN4RDsxMDk4LTMwMTUgKExpbmtpbmcpPC9pc2JuPjxhY2Nlc3Npb24tbnVtPjIxNDAy
MzA1PC9hY2Nlc3Npb24tbnVtPjx3b3JrLXR5cGU+UmVzZWFyY2ggU3VwcG9ydCwgTm9uLVUuUy4g
R292JmFwb3M7dDwvd29yay10eXBlPjx1cmxzPjxyZWxhdGVkLXVybHM+PHVybD5odHRwOi8vd3d3
Lm5jYmkubmxtLm5paC5nb3YvcHVibWVkLzIxNDAyMzA1PC91cmw+PC9yZWxhdGVkLXVybHM+PC91
cmxzPjxlbGVjdHJvbmljLXJlc291cmNlLW51bT4xMC4xMDE2L2ouanZhbC4yMDEwLjA5LjAwODwv
ZWxlY3Ryb25pYy1yZXNvdXJjZS1udW0+PGxhbmd1YWdlPmVuZzwvbGFuZ3VhZ2U+PC9yZWNvcmQ+
PC9DaXRlPjxDaXRlPjxBdXRob3I+R3JhdmVzPC9BdXRob3I+PFllYXI+MjAxMDwvWWVhcj48UmVj
TnVtPjcyPC9SZWNOdW0+PHJlY29yZD48cmVjLW51bWJlcj43MjwvcmVjLW51bWJlcj48Zm9yZWln
bi1rZXlzPjxrZXkgYXBwPSJFTiIgZGItaWQ9IjkydGZ0dDV2MmFyeGQ2ZTl3enI1MHcydzByejBl
cHgwOTlmdCIgdGltZXN0YW1wPSIxMzc4NDIyOTE3Ij43Mjwva2V5PjwvZm9yZWlnbi1rZXlzPjxy
ZWYtdHlwZSBuYW1lPSJKb3VybmFsIEFydGljbGUiPjE3PC9yZWYtdHlwZT48Y29udHJpYnV0b3Jz
PjxhdXRob3JzPjxhdXRob3I+R3JhdmVzLCBOLjwvYXV0aG9yPjxhdXRob3I+SGFyYmFydGgsIFMu
PC9hdXRob3I+PGF1dGhvcj5CZXllcnNtYW5uLCBKLjwvYXV0aG9yPjxhdXRob3I+QmFybmV0dCwg
QS48L2F1dGhvcj48YXV0aG9yPkhhbHRvbiwgSy48L2F1dGhvcj48YXV0aG9yPkNvb3BlciwgQi48
L2F1dGhvcj48L2F1dGhvcnM+PC9jb250cmlidXRvcnM+PGF1dGgtYWRkcmVzcz5JbnN0aXR1dGUg
Zm9yIEhlYWx0aCBhbmQgQmlvbWVkaWNhbCBJbm5vdmF0aW9uLCBRdWVlbnNsYW5kIFVuaXZlcnNp
dHkgb2YgVGVjaG5vbG9neSwgQnJpc2JhbmUsIFF1ZWVuc2xhbmQsIEF1c3RyYWxpYS4gbi5ncmF2
ZXNAcXV0LmVkdS5hdTwvYXV0aC1hZGRyZXNzPjx0aXRsZXM+PHRpdGxlPkVzdGltYXRpbmcgdGhl
IGNvc3Qgb2YgaGVhbHRoIGNhcmUtYXNzb2NpYXRlZCBpbmZlY3Rpb25zOiBtaW5kIHlvdXIgcCZh
cG9zO3MgYW5kIHEmYXBvcztzPC90aXRsZT48c2Vjb25kYXJ5LXRpdGxlPkNsaW4gSW5mZWN0IERp
czwvc2Vjb25kYXJ5LXRpdGxlPjxhbHQtdGl0bGU+Q2xpbmljYWwgaW5mZWN0aW91cyBkaXNlYXNl
cyA6IGFuIG9mZmljaWFsIHB1YmxpY2F0aW9uIG9mIHRoZSBJbmZlY3Rpb3VzIERpc2Vhc2VzIFNv
Y2lldHkgb2YgQW1lcmljYTwvYWx0LXRpdGxlPjwvdGl0bGVzPjxwZXJpb2RpY2FsPjxmdWxsLXRp
dGxlPkNsaW4gSW5mZWN0IERpczwvZnVsbC10aXRsZT48YWJici0xPkNsaW5pY2FsIGluZmVjdGlv
dXMgZGlzZWFzZXMgOiBhbiBvZmZpY2lhbCBwdWJsaWNhdGlvbiBvZiB0aGUgSW5mZWN0aW91cyBE
aXNlYXNlcyBTb2NpZXR5IG9mIEFtZXJpY2E8L2FiYnItMT48L3BlcmlvZGljYWw+PGFsdC1wZXJp
b2RpY2FsPjxmdWxsLXRpdGxlPkNsaW4gSW5mZWN0IERpczwvZnVsbC10aXRsZT48YWJici0xPkNs
aW5pY2FsIGluZmVjdGlvdXMgZGlzZWFzZXMgOiBhbiBvZmZpY2lhbCBwdWJsaWNhdGlvbiBvZiB0
aGUgSW5mZWN0aW91cyBEaXNlYXNlcyBTb2NpZXR5IG9mIEFtZXJpY2E8L2FiYnItMT48L2FsdC1w
ZXJpb2RpY2FsPjxwYWdlcz4xMDE3LTIxPC9wYWdlcz48dm9sdW1lPjUwPC92b2x1bWU+PG51bWJl
cj43PC9udW1iZXI+PGVkaXRpb24+MjAxMC8wMi8yNTwvZWRpdGlvbj48a2V5d29yZHM+PGtleXdv
cmQ+Q29zdHMgYW5kIENvc3QgQW5hbHlzaXM8L2tleXdvcmQ+PGtleXdvcmQ+Q3Jvc3MgSW5mZWN0
aW9uLyplY29ub21pY3M8L2tleXdvcmQ+PGtleXdvcmQ+KkhlYWx0aCBDYXJlIENvc3RzPC9rZXl3
b3JkPjxrZXl3b3JkPkh1bWFuczwva2V5d29yZD48a2V5d29yZD4qTW9kZWxzLCBFY29ub21pYzwv
a2V5d29yZD48L2tleXdvcmRzPjxkYXRlcz48eWVhcj4yMDEwPC95ZWFyPjxwdWItZGF0ZXM+PGRh
dGU+QXByIDE8L2RhdGU+PC9wdWItZGF0ZXM+PC9kYXRlcz48aXNibj4xNTM3LTY1OTEgKEVsZWN0
cm9uaWMpJiN4RDsxMDU4LTQ4MzggKExpbmtpbmcpPC9pc2JuPjxhY2Nlc3Npb24tbnVtPjIwMTc4
NDE5PC9hY2Nlc3Npb24tbnVtPjx3b3JrLXR5cGU+UmVzZWFyY2ggU3VwcG9ydCwgTm9uLVUuUy4g
R292JmFwb3M7dDwvd29yay10eXBlPjx1cmxzPjxyZWxhdGVkLXVybHM+PHVybD5odHRwOi8vd3d3
Lm5jYmkubmxtLm5paC5nb3YvcHVibWVkLzIwMTc4NDE5PC91cmw+PC9yZWxhdGVkLXVybHM+PC91
cmxzPjxlbGVjdHJvbmljLXJlc291cmNlLW51bT4xMC4xMDg2LzY1MTExMDwvZWxlY3Ryb25pYy1y
ZXNvdXJjZS1udW0+PGxhbmd1YWdlPmVuZzwvbGFuZ3VhZ2U+PC9yZWNvcmQ+PC9DaXRlPjwvRW5k
Tm90ZT5=
</w:fldData>
        </w:fldChar>
      </w:r>
      <w:r w:rsidR="00290091">
        <w:instrText xml:space="preserve"> ADDIN EN.CITE </w:instrText>
      </w:r>
      <w:r w:rsidR="00290091">
        <w:fldChar w:fldCharType="begin">
          <w:fldData xml:space="preserve">PEVuZE5vdGU+PENpdGU+PEF1dGhvcj5CYXJuZXR0PC9BdXRob3I+PFllYXI+MjAxMTwvWWVhcj48
UmVjTnVtPjI5PC9SZWNOdW0+PERpc3BsYXlUZXh0PkJhcm5ldHQgZXQgYWwuLCAyMDExOyBHcmF2
ZXMgZXQgYWwuLCAyMDEwPC9EaXNwbGF5VGV4dD48cmVjb3JkPjxyZWMtbnVtYmVyPjI5PC9yZWMt
bnVtYmVyPjxmb3JlaWduLWtleXM+PGtleSBhcHA9IkVOIiBkYi1pZD0iOTJ0ZnR0NXYyYXJ4ZDZl
OXd6cjUwdzJ3MHJ6MGVweDA5OWZ0IiB0aW1lc3RhbXA9IjEzNzgzNjE2ODEiPjI5PC9rZXk+PC9m
b3JlaWduLWtleXM+PHJlZi10eXBlIG5hbWU9IkpvdXJuYWwgQXJ0aWNsZSI+MTc8L3JlZi10eXBl
Pjxjb250cmlidXRvcnM+PGF1dGhvcnM+PGF1dGhvcj5CYXJuZXR0LCBBLiBHLjwvYXV0aG9yPjxh
dXRob3I+QmV5ZXJzbWFubiwgSi48L2F1dGhvcj48YXV0aG9yPkFsbGlnbm9sLCBBLjwvYXV0aG9y
PjxhdXRob3I+Um9zZW50aGFsLCBWLiBELjwvYXV0aG9yPjxhdXRob3I+R3JhdmVzLCBOLjwvYXV0
aG9yPjxhdXRob3I+V29sa2V3aXR6LCBNLjwvYXV0aG9yPjwvYXV0aG9ycz48L2NvbnRyaWJ1dG9y
cz48YXV0aC1hZGRyZXNzPlF1ZWVuc2xhbmQgVW5pdmVyc2l0eSBvZiBUZWNobm9sb2d5LCBCcmlz
YmFuZSwgQXVzdHJhbGlhLiBhLmJhcm5ldHRAcXV0LmVkdS5hdTwvYXV0aC1hZGRyZXNzPjx0aXRs
ZXM+PHRpdGxlPlRoZSB0aW1lLWRlcGVuZGVudCBiaWFzIGFuZCBpdHMgZWZmZWN0IG9uIGV4dHJh
IGxlbmd0aCBvZiBzdGF5IGR1ZSB0byBub3NvY29taWFsIGluZmVjdGlvbjwvdGl0bGU+PHNlY29u
ZGFyeS10aXRsZT5WYWx1ZSBIZWFsdGg8L3NlY29uZGFyeS10aXRsZT48YWx0LXRpdGxlPlZhbHVl
IGluIGhlYWx0aCA6IHRoZSBqb3VybmFsIG9mIHRoZSBJbnRlcm5hdGlvbmFsIFNvY2lldHkgZm9y
IFBoYXJtYWNvZWNvbm9taWNzIGFuZCBPdXRjb21lcyBSZXNlYXJjaDwvYWx0LXRpdGxlPjwvdGl0
bGVzPjxwZXJpb2RpY2FsPjxmdWxsLXRpdGxlPlZhbHVlIEhlYWx0aDwvZnVsbC10aXRsZT48YWJi
ci0xPlZhbHVlIGluIGhlYWx0aCA6IHRoZSBqb3VybmFsIG9mIHRoZSBJbnRlcm5hdGlvbmFsIFNv
Y2lldHkgZm9yIFBoYXJtYWNvZWNvbm9taWNzIGFuZCBPdXRjb21lcyBSZXNlYXJjaDwvYWJici0x
PjwvcGVyaW9kaWNhbD48YWx0LXBlcmlvZGljYWw+PGZ1bGwtdGl0bGU+VmFsdWUgSGVhbHRoPC9m
dWxsLXRpdGxlPjxhYmJyLTE+VmFsdWUgaW4gaGVhbHRoIDogdGhlIGpvdXJuYWwgb2YgdGhlIElu
dGVybmF0aW9uYWwgU29jaWV0eSBmb3IgUGhhcm1hY29lY29ub21pY3MgYW5kIE91dGNvbWVzIFJl
c2VhcmNoPC9hYmJyLTE+PC9hbHQtcGVyaW9kaWNhbD48cGFnZXM+MzgxLTY8L3BhZ2VzPjx2b2x1
bWU+MTQ8L3ZvbHVtZT48bnVtYmVyPjI8L251bWJlcj48ZWRpdGlvbj4yMDExLzAzLzE2PC9lZGl0
aW9uPjxrZXl3b3Jkcz48a2V5d29yZD5BZ2VkPC9rZXl3b3JkPjxrZXl3b3JkPkFyZ2VudGluYTwv
a2V5d29yZD48a2V5d29yZD5CaWFzIChFcGlkZW1pb2xvZ3kpPC9rZXl3b3JkPjxrZXl3b3JkPkNv
bXB1dGVyIFNpbXVsYXRpb248L2tleXdvcmQ+PGtleXdvcmQ+Q3Jvc3MgSW5mZWN0aW9uLyplY29u
b21pY3MvKnRoZXJhcHk8L2tleXdvcmQ+PGtleXdvcmQ+RGVjaXNpb24gTWFraW5nPC9rZXl3b3Jk
PjxrZXl3b3JkPkZlbWFsZTwva2V5d29yZD48a2V5d29yZD5Ib3NwaXRhbCBDb3N0czwva2V5d29y
ZD48a2V5d29yZD5IdW1hbnM8L2tleXdvcmQ+PGtleXdvcmQ+SW5mZWN0aW9uIENvbnRyb2wvKmVj
b25vbWljcy9zdGFuZGFyZHM8L2tleXdvcmQ+PGtleXdvcmQ+SW50ZW5zaXZlIENhcmUgVW5pdHMv
ZWNvbm9taWNzL3N0YXRpc3RpY3MgJmFtcDsgbnVtZXJpY2FsIGRhdGE8L2tleXdvcmQ+PGtleXdv
cmQ+TGVuZ3RoIG9mIFN0YXkvKmVjb25vbWljcy9zdGF0aXN0aWNzICZhbXA7IG51bWVyaWNhbCBk
YXRhPC9rZXl3b3JkPjxrZXl3b3JkPkxpbmVhciBNb2RlbHM8L2tleXdvcmQ+PGtleXdvcmQ+TWFs
ZTwva2V5d29yZD48a2V5d29yZD5NaWRkbGUgQWdlZDwva2V5d29yZD48a2V5d29yZD5QYXRpZW50
IEFkbWlzc2lvbi9lY29ub21pY3Mvc3RhdGlzdGljcyAmYW1wOyBudW1lcmljYWwgZGF0YTwva2V5
d29yZD48a2V5d29yZD5Qcm9wb3J0aW9uYWwgSGF6YXJkcyBNb2RlbHM8L2tleXdvcmQ+PGtleXdv
cmQ+UHJvc3BlY3RpdmUgU3R1ZGllczwva2V5d29yZD48a2V5d29yZD5UaW1lIEZhY3RvcnM8L2tl
eXdvcmQ+PC9rZXl3b3Jkcz48ZGF0ZXM+PHllYXI+MjAxMTwveWVhcj48cHViLWRhdGVzPjxkYXRl
Pk1hci1BcHI8L2RhdGU+PC9wdWItZGF0ZXM+PC9kYXRlcz48aXNibj4xNTI0LTQ3MzMgKEVsZWN0
cm9uaWMpJiN4RDsxMDk4LTMwMTUgKExpbmtpbmcpPC9pc2JuPjxhY2Nlc3Npb24tbnVtPjIxNDAy
MzA1PC9hY2Nlc3Npb24tbnVtPjx3b3JrLXR5cGU+UmVzZWFyY2ggU3VwcG9ydCwgTm9uLVUuUy4g
R292JmFwb3M7dDwvd29yay10eXBlPjx1cmxzPjxyZWxhdGVkLXVybHM+PHVybD5odHRwOi8vd3d3
Lm5jYmkubmxtLm5paC5nb3YvcHVibWVkLzIxNDAyMzA1PC91cmw+PC9yZWxhdGVkLXVybHM+PC91
cmxzPjxlbGVjdHJvbmljLXJlc291cmNlLW51bT4xMC4xMDE2L2ouanZhbC4yMDEwLjA5LjAwODwv
ZWxlY3Ryb25pYy1yZXNvdXJjZS1udW0+PGxhbmd1YWdlPmVuZzwvbGFuZ3VhZ2U+PC9yZWNvcmQ+
PC9DaXRlPjxDaXRlPjxBdXRob3I+R3JhdmVzPC9BdXRob3I+PFllYXI+MjAxMDwvWWVhcj48UmVj
TnVtPjcyPC9SZWNOdW0+PHJlY29yZD48cmVjLW51bWJlcj43MjwvcmVjLW51bWJlcj48Zm9yZWln
bi1rZXlzPjxrZXkgYXBwPSJFTiIgZGItaWQ9IjkydGZ0dDV2MmFyeGQ2ZTl3enI1MHcydzByejBl
cHgwOTlmdCIgdGltZXN0YW1wPSIxMzc4NDIyOTE3Ij43Mjwva2V5PjwvZm9yZWlnbi1rZXlzPjxy
ZWYtdHlwZSBuYW1lPSJKb3VybmFsIEFydGljbGUiPjE3PC9yZWYtdHlwZT48Y29udHJpYnV0b3Jz
PjxhdXRob3JzPjxhdXRob3I+R3JhdmVzLCBOLjwvYXV0aG9yPjxhdXRob3I+SGFyYmFydGgsIFMu
PC9hdXRob3I+PGF1dGhvcj5CZXllcnNtYW5uLCBKLjwvYXV0aG9yPjxhdXRob3I+QmFybmV0dCwg
QS48L2F1dGhvcj48YXV0aG9yPkhhbHRvbiwgSy48L2F1dGhvcj48YXV0aG9yPkNvb3BlciwgQi48
L2F1dGhvcj48L2F1dGhvcnM+PC9jb250cmlidXRvcnM+PGF1dGgtYWRkcmVzcz5JbnN0aXR1dGUg
Zm9yIEhlYWx0aCBhbmQgQmlvbWVkaWNhbCBJbm5vdmF0aW9uLCBRdWVlbnNsYW5kIFVuaXZlcnNp
dHkgb2YgVGVjaG5vbG9neSwgQnJpc2JhbmUsIFF1ZWVuc2xhbmQsIEF1c3RyYWxpYS4gbi5ncmF2
ZXNAcXV0LmVkdS5hdTwvYXV0aC1hZGRyZXNzPjx0aXRsZXM+PHRpdGxlPkVzdGltYXRpbmcgdGhl
IGNvc3Qgb2YgaGVhbHRoIGNhcmUtYXNzb2NpYXRlZCBpbmZlY3Rpb25zOiBtaW5kIHlvdXIgcCZh
cG9zO3MgYW5kIHEmYXBvcztzPC90aXRsZT48c2Vjb25kYXJ5LXRpdGxlPkNsaW4gSW5mZWN0IERp
czwvc2Vjb25kYXJ5LXRpdGxlPjxhbHQtdGl0bGU+Q2xpbmljYWwgaW5mZWN0aW91cyBkaXNlYXNl
cyA6IGFuIG9mZmljaWFsIHB1YmxpY2F0aW9uIG9mIHRoZSBJbmZlY3Rpb3VzIERpc2Vhc2VzIFNv
Y2lldHkgb2YgQW1lcmljYTwvYWx0LXRpdGxlPjwvdGl0bGVzPjxwZXJpb2RpY2FsPjxmdWxsLXRp
dGxlPkNsaW4gSW5mZWN0IERpczwvZnVsbC10aXRsZT48YWJici0xPkNsaW5pY2FsIGluZmVjdGlv
dXMgZGlzZWFzZXMgOiBhbiBvZmZpY2lhbCBwdWJsaWNhdGlvbiBvZiB0aGUgSW5mZWN0aW91cyBE
aXNlYXNlcyBTb2NpZXR5IG9mIEFtZXJpY2E8L2FiYnItMT48L3BlcmlvZGljYWw+PGFsdC1wZXJp
b2RpY2FsPjxmdWxsLXRpdGxlPkNsaW4gSW5mZWN0IERpczwvZnVsbC10aXRsZT48YWJici0xPkNs
aW5pY2FsIGluZmVjdGlvdXMgZGlzZWFzZXMgOiBhbiBvZmZpY2lhbCBwdWJsaWNhdGlvbiBvZiB0
aGUgSW5mZWN0aW91cyBEaXNlYXNlcyBTb2NpZXR5IG9mIEFtZXJpY2E8L2FiYnItMT48L2FsdC1w
ZXJpb2RpY2FsPjxwYWdlcz4xMDE3LTIxPC9wYWdlcz48dm9sdW1lPjUwPC92b2x1bWU+PG51bWJl
cj43PC9udW1iZXI+PGVkaXRpb24+MjAxMC8wMi8yNTwvZWRpdGlvbj48a2V5d29yZHM+PGtleXdv
cmQ+Q29zdHMgYW5kIENvc3QgQW5hbHlzaXM8L2tleXdvcmQ+PGtleXdvcmQ+Q3Jvc3MgSW5mZWN0
aW9uLyplY29ub21pY3M8L2tleXdvcmQ+PGtleXdvcmQ+KkhlYWx0aCBDYXJlIENvc3RzPC9rZXl3
b3JkPjxrZXl3b3JkPkh1bWFuczwva2V5d29yZD48a2V5d29yZD4qTW9kZWxzLCBFY29ub21pYzwv
a2V5d29yZD48L2tleXdvcmRzPjxkYXRlcz48eWVhcj4yMDEwPC95ZWFyPjxwdWItZGF0ZXM+PGRh
dGU+QXByIDE8L2RhdGU+PC9wdWItZGF0ZXM+PC9kYXRlcz48aXNibj4xNTM3LTY1OTEgKEVsZWN0
cm9uaWMpJiN4RDsxMDU4LTQ4MzggKExpbmtpbmcpPC9pc2JuPjxhY2Nlc3Npb24tbnVtPjIwMTc4
NDE5PC9hY2Nlc3Npb24tbnVtPjx3b3JrLXR5cGU+UmVzZWFyY2ggU3VwcG9ydCwgTm9uLVUuUy4g
R292JmFwb3M7dDwvd29yay10eXBlPjx1cmxzPjxyZWxhdGVkLXVybHM+PHVybD5odHRwOi8vd3d3
Lm5jYmkubmxtLm5paC5nb3YvcHVibWVkLzIwMTc4NDE5PC91cmw+PC9yZWxhdGVkLXVybHM+PC91
cmxzPjxlbGVjdHJvbmljLXJlc291cmNlLW51bT4xMC4xMDg2LzY1MTExMDwvZWxlY3Ryb25pYy1y
ZXNvdXJjZS1udW0+PGxhbmd1YWdlPmVuZzwvbGFuZ3VhZ2U+PC9yZWNvcmQ+PC9DaXRlPjwvRW5k
Tm90ZT5=
</w:fldData>
        </w:fldChar>
      </w:r>
      <w:r w:rsidR="00290091">
        <w:instrText xml:space="preserve"> ADDIN EN.CITE.DATA </w:instrText>
      </w:r>
      <w:r w:rsidR="00290091">
        <w:fldChar w:fldCharType="end"/>
      </w:r>
      <w:r>
        <w:fldChar w:fldCharType="separate"/>
      </w:r>
      <w:hyperlink w:anchor="_ENREF_4" w:tooltip="Barnett, 2011 #29" w:history="1">
        <w:r w:rsidR="00C33CAE">
          <w:rPr>
            <w:noProof/>
          </w:rPr>
          <w:t>Barnett et al., 2011</w:t>
        </w:r>
      </w:hyperlink>
      <w:r w:rsidR="00290091">
        <w:rPr>
          <w:noProof/>
        </w:rPr>
        <w:t xml:space="preserve">; </w:t>
      </w:r>
      <w:hyperlink w:anchor="_ENREF_12" w:tooltip="Graves, 2010 #72" w:history="1">
        <w:r w:rsidR="00C33CAE">
          <w:rPr>
            <w:noProof/>
          </w:rPr>
          <w:t>Graves et al., 2010</w:t>
        </w:r>
      </w:hyperlink>
      <w:r>
        <w:fldChar w:fldCharType="end"/>
      </w:r>
      <w:r>
        <w:t>) which “</w:t>
      </w:r>
      <w:r w:rsidRPr="00AE02A4">
        <w:rPr>
          <w:i/>
        </w:rPr>
        <w:t>occurs when the risk sets dependent on time are not correctly addressed in the statistical analysis</w:t>
      </w:r>
      <w:r w:rsidRPr="00F74E9A">
        <w:t xml:space="preserve">” </w:t>
      </w:r>
      <w:r>
        <w:t xml:space="preserve"> (</w:t>
      </w:r>
      <w:hyperlink w:anchor="_ENREF_4" w:tooltip="Barnett, 2011 #29" w:history="1">
        <w:r w:rsidR="00C33CAE">
          <w:fldChar w:fldCharType="begin">
            <w:fldData xml:space="preserve">PEVuZE5vdGU+PENpdGU+PEF1dGhvcj5CYXJuZXR0PC9BdXRob3I+PFllYXI+MjAxMTwvWWVhcj48
UmVjTnVtPjI5PC9SZWNOdW0+PERpc3BsYXlUZXh0PkJhcm5ldHQgZXQgYWwuLCAyMDExPC9EaXNw
bGF5VGV4dD48cmVjb3JkPjxyZWMtbnVtYmVyPjI5PC9yZWMtbnVtYmVyPjxmb3JlaWduLWtleXM+
PGtleSBhcHA9IkVOIiBkYi1pZD0iOTJ0ZnR0NXYyYXJ4ZDZlOXd6cjUwdzJ3MHJ6MGVweDA5OWZ0
IiB0aW1lc3RhbXA9IjEzNzgzNjE2ODEiPjI5PC9rZXk+PC9mb3JlaWduLWtleXM+PHJlZi10eXBl
IG5hbWU9IkpvdXJuYWwgQXJ0aWNsZSI+MTc8L3JlZi10eXBlPjxjb250cmlidXRvcnM+PGF1dGhv
cnM+PGF1dGhvcj5CYXJuZXR0LCBBLiBHLjwvYXV0aG9yPjxhdXRob3I+QmV5ZXJzbWFubiwgSi48
L2F1dGhvcj48YXV0aG9yPkFsbGlnbm9sLCBBLjwvYXV0aG9yPjxhdXRob3I+Um9zZW50aGFsLCBW
LiBELjwvYXV0aG9yPjxhdXRob3I+R3JhdmVzLCBOLjwvYXV0aG9yPjxhdXRob3I+V29sa2V3aXR6
LCBNLjwvYXV0aG9yPjwvYXV0aG9ycz48L2NvbnRyaWJ1dG9ycz48YXV0aC1hZGRyZXNzPlF1ZWVu
c2xhbmQgVW5pdmVyc2l0eSBvZiBUZWNobm9sb2d5LCBCcmlzYmFuZSwgQXVzdHJhbGlhLiBhLmJh
cm5ldHRAcXV0LmVkdS5hdTwvYXV0aC1hZGRyZXNzPjx0aXRsZXM+PHRpdGxlPlRoZSB0aW1lLWRl
cGVuZGVudCBiaWFzIGFuZCBpdHMgZWZmZWN0IG9uIGV4dHJhIGxlbmd0aCBvZiBzdGF5IGR1ZSB0
byBub3NvY29taWFsIGluZmVjdGlvbjwvdGl0bGU+PHNlY29uZGFyeS10aXRsZT5WYWx1ZSBIZWFs
dGg8L3NlY29uZGFyeS10aXRsZT48YWx0LXRpdGxlPlZhbHVlIGluIGhlYWx0aCA6IHRoZSBqb3Vy
bmFsIG9mIHRoZSBJbnRlcm5hdGlvbmFsIFNvY2lldHkgZm9yIFBoYXJtYWNvZWNvbm9taWNzIGFu
ZCBPdXRjb21lcyBSZXNlYXJjaDwvYWx0LXRpdGxlPjwvdGl0bGVzPjxwZXJpb2RpY2FsPjxmdWxs
LXRpdGxlPlZhbHVlIEhlYWx0aDwvZnVsbC10aXRsZT48YWJici0xPlZhbHVlIGluIGhlYWx0aCA6
IHRoZSBqb3VybmFsIG9mIHRoZSBJbnRlcm5hdGlvbmFsIFNvY2lldHkgZm9yIFBoYXJtYWNvZWNv
bm9taWNzIGFuZCBPdXRjb21lcyBSZXNlYXJjaDwvYWJici0xPjwvcGVyaW9kaWNhbD48YWx0LXBl
cmlvZGljYWw+PGZ1bGwtdGl0bGU+VmFsdWUgSGVhbHRoPC9mdWxsLXRpdGxlPjxhYmJyLTE+VmFs
dWUgaW4gaGVhbHRoIDogdGhlIGpvdXJuYWwgb2YgdGhlIEludGVybmF0aW9uYWwgU29jaWV0eSBm
b3IgUGhhcm1hY29lY29ub21pY3MgYW5kIE91dGNvbWVzIFJlc2VhcmNoPC9hYmJyLTE+PC9hbHQt
cGVyaW9kaWNhbD48cGFnZXM+MzgxLTY8L3BhZ2VzPjx2b2x1bWU+MTQ8L3ZvbHVtZT48bnVtYmVy
PjI8L251bWJlcj48ZWRpdGlvbj4yMDExLzAzLzE2PC9lZGl0aW9uPjxrZXl3b3Jkcz48a2V5d29y
ZD5BZ2VkPC9rZXl3b3JkPjxrZXl3b3JkPkFyZ2VudGluYTwva2V5d29yZD48a2V5d29yZD5CaWFz
IChFcGlkZW1pb2xvZ3kpPC9rZXl3b3JkPjxrZXl3b3JkPkNvbXB1dGVyIFNpbXVsYXRpb248L2tl
eXdvcmQ+PGtleXdvcmQ+Q3Jvc3MgSW5mZWN0aW9uLyplY29ub21pY3MvKnRoZXJhcHk8L2tleXdv
cmQ+PGtleXdvcmQ+RGVjaXNpb24gTWFraW5nPC9rZXl3b3JkPjxrZXl3b3JkPkZlbWFsZTwva2V5
d29yZD48a2V5d29yZD5Ib3NwaXRhbCBDb3N0czwva2V5d29yZD48a2V5d29yZD5IdW1hbnM8L2tl
eXdvcmQ+PGtleXdvcmQ+SW5mZWN0aW9uIENvbnRyb2wvKmVjb25vbWljcy9zdGFuZGFyZHM8L2tl
eXdvcmQ+PGtleXdvcmQ+SW50ZW5zaXZlIENhcmUgVW5pdHMvZWNvbm9taWNzL3N0YXRpc3RpY3Mg
JmFtcDsgbnVtZXJpY2FsIGRhdGE8L2tleXdvcmQ+PGtleXdvcmQ+TGVuZ3RoIG9mIFN0YXkvKmVj
b25vbWljcy9zdGF0aXN0aWNzICZhbXA7IG51bWVyaWNhbCBkYXRhPC9rZXl3b3JkPjxrZXl3b3Jk
PkxpbmVhciBNb2RlbHM8L2tleXdvcmQ+PGtleXdvcmQ+TWFsZTwva2V5d29yZD48a2V5d29yZD5N
aWRkbGUgQWdlZDwva2V5d29yZD48a2V5d29yZD5QYXRpZW50IEFkbWlzc2lvbi9lY29ub21pY3Mv
c3RhdGlzdGljcyAmYW1wOyBudW1lcmljYWwgZGF0YTwva2V5d29yZD48a2V5d29yZD5Qcm9wb3J0
aW9uYWwgSGF6YXJkcyBNb2RlbHM8L2tleXdvcmQ+PGtleXdvcmQ+UHJvc3BlY3RpdmUgU3R1ZGll
czwva2V5d29yZD48a2V5d29yZD5UaW1lIEZhY3RvcnM8L2tleXdvcmQ+PC9rZXl3b3Jkcz48ZGF0
ZXM+PHllYXI+MjAxMTwveWVhcj48cHViLWRhdGVzPjxkYXRlPk1hci1BcHI8L2RhdGU+PC9wdWIt
ZGF0ZXM+PC9kYXRlcz48aXNibj4xNTI0LTQ3MzMgKEVsZWN0cm9uaWMpJiN4RDsxMDk4LTMwMTUg
KExpbmtpbmcpPC9pc2JuPjxhY2Nlc3Npb24tbnVtPjIxNDAyMzA1PC9hY2Nlc3Npb24tbnVtPjx3
b3JrLXR5cGU+UmVzZWFyY2ggU3VwcG9ydCwgTm9uLVUuUy4gR292JmFwb3M7dDwvd29yay10eXBl
Pjx1cmxzPjxyZWxhdGVkLXVybHM+PHVybD5odHRwOi8vd3d3Lm5jYmkubmxtLm5paC5nb3YvcHVi
bWVkLzIxNDAyMzA1PC91cmw+PC9yZWxhdGVkLXVybHM+PC91cmxzPjxlbGVjdHJvbmljLXJlc291
cmNlLW51bT4xMC4xMDE2L2ouanZhbC4yMDEwLjA5LjAwODwvZWxlY3Ryb25pYy1yZXNvdXJjZS1u
dW0+PGxhbmd1YWdlPmVuZzwvbGFuZ3VhZ2U+PC9yZWNvcmQ+PC9DaXRlPjwvRW5kTm90ZT4A
</w:fldData>
          </w:fldChar>
        </w:r>
        <w:r w:rsidR="00C33CAE">
          <w:instrText xml:space="preserve"> ADDIN EN.CITE </w:instrText>
        </w:r>
        <w:r w:rsidR="00C33CAE">
          <w:fldChar w:fldCharType="begin">
            <w:fldData xml:space="preserve">PEVuZE5vdGU+PENpdGU+PEF1dGhvcj5CYXJuZXR0PC9BdXRob3I+PFllYXI+MjAxMTwvWWVhcj48
UmVjTnVtPjI5PC9SZWNOdW0+PERpc3BsYXlUZXh0PkJhcm5ldHQgZXQgYWwuLCAyMDExPC9EaXNw
bGF5VGV4dD48cmVjb3JkPjxyZWMtbnVtYmVyPjI5PC9yZWMtbnVtYmVyPjxmb3JlaWduLWtleXM+
PGtleSBhcHA9IkVOIiBkYi1pZD0iOTJ0ZnR0NXYyYXJ4ZDZlOXd6cjUwdzJ3MHJ6MGVweDA5OWZ0
IiB0aW1lc3RhbXA9IjEzNzgzNjE2ODEiPjI5PC9rZXk+PC9mb3JlaWduLWtleXM+PHJlZi10eXBl
IG5hbWU9IkpvdXJuYWwgQXJ0aWNsZSI+MTc8L3JlZi10eXBlPjxjb250cmlidXRvcnM+PGF1dGhv
cnM+PGF1dGhvcj5CYXJuZXR0LCBBLiBHLjwvYXV0aG9yPjxhdXRob3I+QmV5ZXJzbWFubiwgSi48
L2F1dGhvcj48YXV0aG9yPkFsbGlnbm9sLCBBLjwvYXV0aG9yPjxhdXRob3I+Um9zZW50aGFsLCBW
LiBELjwvYXV0aG9yPjxhdXRob3I+R3JhdmVzLCBOLjwvYXV0aG9yPjxhdXRob3I+V29sa2V3aXR6
LCBNLjwvYXV0aG9yPjwvYXV0aG9ycz48L2NvbnRyaWJ1dG9ycz48YXV0aC1hZGRyZXNzPlF1ZWVu
c2xhbmQgVW5pdmVyc2l0eSBvZiBUZWNobm9sb2d5LCBCcmlzYmFuZSwgQXVzdHJhbGlhLiBhLmJh
cm5ldHRAcXV0LmVkdS5hdTwvYXV0aC1hZGRyZXNzPjx0aXRsZXM+PHRpdGxlPlRoZSB0aW1lLWRl
cGVuZGVudCBiaWFzIGFuZCBpdHMgZWZmZWN0IG9uIGV4dHJhIGxlbmd0aCBvZiBzdGF5IGR1ZSB0
byBub3NvY29taWFsIGluZmVjdGlvbjwvdGl0bGU+PHNlY29uZGFyeS10aXRsZT5WYWx1ZSBIZWFs
dGg8L3NlY29uZGFyeS10aXRsZT48YWx0LXRpdGxlPlZhbHVlIGluIGhlYWx0aCA6IHRoZSBqb3Vy
bmFsIG9mIHRoZSBJbnRlcm5hdGlvbmFsIFNvY2lldHkgZm9yIFBoYXJtYWNvZWNvbm9taWNzIGFu
ZCBPdXRjb21lcyBSZXNlYXJjaDwvYWx0LXRpdGxlPjwvdGl0bGVzPjxwZXJpb2RpY2FsPjxmdWxs
LXRpdGxlPlZhbHVlIEhlYWx0aDwvZnVsbC10aXRsZT48YWJici0xPlZhbHVlIGluIGhlYWx0aCA6
IHRoZSBqb3VybmFsIG9mIHRoZSBJbnRlcm5hdGlvbmFsIFNvY2lldHkgZm9yIFBoYXJtYWNvZWNv
bm9taWNzIGFuZCBPdXRjb21lcyBSZXNlYXJjaDwvYWJici0xPjwvcGVyaW9kaWNhbD48YWx0LXBl
cmlvZGljYWw+PGZ1bGwtdGl0bGU+VmFsdWUgSGVhbHRoPC9mdWxsLXRpdGxlPjxhYmJyLTE+VmFs
dWUgaW4gaGVhbHRoIDogdGhlIGpvdXJuYWwgb2YgdGhlIEludGVybmF0aW9uYWwgU29jaWV0eSBm
b3IgUGhhcm1hY29lY29ub21pY3MgYW5kIE91dGNvbWVzIFJlc2VhcmNoPC9hYmJyLTE+PC9hbHQt
cGVyaW9kaWNhbD48cGFnZXM+MzgxLTY8L3BhZ2VzPjx2b2x1bWU+MTQ8L3ZvbHVtZT48bnVtYmVy
PjI8L251bWJlcj48ZWRpdGlvbj4yMDExLzAzLzE2PC9lZGl0aW9uPjxrZXl3b3Jkcz48a2V5d29y
ZD5BZ2VkPC9rZXl3b3JkPjxrZXl3b3JkPkFyZ2VudGluYTwva2V5d29yZD48a2V5d29yZD5CaWFz
IChFcGlkZW1pb2xvZ3kpPC9rZXl3b3JkPjxrZXl3b3JkPkNvbXB1dGVyIFNpbXVsYXRpb248L2tl
eXdvcmQ+PGtleXdvcmQ+Q3Jvc3MgSW5mZWN0aW9uLyplY29ub21pY3MvKnRoZXJhcHk8L2tleXdv
cmQ+PGtleXdvcmQ+RGVjaXNpb24gTWFraW5nPC9rZXl3b3JkPjxrZXl3b3JkPkZlbWFsZTwva2V5
d29yZD48a2V5d29yZD5Ib3NwaXRhbCBDb3N0czwva2V5d29yZD48a2V5d29yZD5IdW1hbnM8L2tl
eXdvcmQ+PGtleXdvcmQ+SW5mZWN0aW9uIENvbnRyb2wvKmVjb25vbWljcy9zdGFuZGFyZHM8L2tl
eXdvcmQ+PGtleXdvcmQ+SW50ZW5zaXZlIENhcmUgVW5pdHMvZWNvbm9taWNzL3N0YXRpc3RpY3Mg
JmFtcDsgbnVtZXJpY2FsIGRhdGE8L2tleXdvcmQ+PGtleXdvcmQ+TGVuZ3RoIG9mIFN0YXkvKmVj
b25vbWljcy9zdGF0aXN0aWNzICZhbXA7IG51bWVyaWNhbCBkYXRhPC9rZXl3b3JkPjxrZXl3b3Jk
PkxpbmVhciBNb2RlbHM8L2tleXdvcmQ+PGtleXdvcmQ+TWFsZTwva2V5d29yZD48a2V5d29yZD5N
aWRkbGUgQWdlZDwva2V5d29yZD48a2V5d29yZD5QYXRpZW50IEFkbWlzc2lvbi9lY29ub21pY3Mv
c3RhdGlzdGljcyAmYW1wOyBudW1lcmljYWwgZGF0YTwva2V5d29yZD48a2V5d29yZD5Qcm9wb3J0
aW9uYWwgSGF6YXJkcyBNb2RlbHM8L2tleXdvcmQ+PGtleXdvcmQ+UHJvc3BlY3RpdmUgU3R1ZGll
czwva2V5d29yZD48a2V5d29yZD5UaW1lIEZhY3RvcnM8L2tleXdvcmQ+PC9rZXl3b3Jkcz48ZGF0
ZXM+PHllYXI+MjAxMTwveWVhcj48cHViLWRhdGVzPjxkYXRlPk1hci1BcHI8L2RhdGU+PC9wdWIt
ZGF0ZXM+PC9kYXRlcz48aXNibj4xNTI0LTQ3MzMgKEVsZWN0cm9uaWMpJiN4RDsxMDk4LTMwMTUg
KExpbmtpbmcpPC9pc2JuPjxhY2Nlc3Npb24tbnVtPjIxNDAyMzA1PC9hY2Nlc3Npb24tbnVtPjx3
b3JrLXR5cGU+UmVzZWFyY2ggU3VwcG9ydCwgTm9uLVUuUy4gR292JmFwb3M7dDwvd29yay10eXBl
Pjx1cmxzPjxyZWxhdGVkLXVybHM+PHVybD5odHRwOi8vd3d3Lm5jYmkubmxtLm5paC5nb3YvcHVi
bWVkLzIxNDAyMzA1PC91cmw+PC9yZWxhdGVkLXVybHM+PC91cmxzPjxlbGVjdHJvbmljLXJlc291
cmNlLW51bT4xMC4xMDE2L2ouanZhbC4yMDEwLjA5LjAwODwvZWxlY3Ryb25pYy1yZXNvdXJjZS1u
dW0+PGxhbmd1YWdlPmVuZzwvbGFuZ3VhZ2U+PC9yZWNvcmQ+PC9DaXRlPjwvRW5kTm90ZT4A
</w:fldData>
          </w:fldChar>
        </w:r>
        <w:r w:rsidR="00C33CAE">
          <w:instrText xml:space="preserve"> ADDIN EN.CITE.DATA </w:instrText>
        </w:r>
        <w:r w:rsidR="00C33CAE">
          <w:fldChar w:fldCharType="end"/>
        </w:r>
        <w:r w:rsidR="00C33CAE">
          <w:fldChar w:fldCharType="separate"/>
        </w:r>
        <w:r w:rsidR="00C33CAE">
          <w:rPr>
            <w:noProof/>
          </w:rPr>
          <w:t>Barnett et al., 2011</w:t>
        </w:r>
        <w:r w:rsidR="00C33CAE">
          <w:fldChar w:fldCharType="end"/>
        </w:r>
      </w:hyperlink>
      <w:r>
        <w:t>, p. 382).</w:t>
      </w:r>
    </w:p>
    <w:p w:rsidR="007718C7" w:rsidRDefault="007718C7" w:rsidP="00B912D2">
      <w:r w:rsidRPr="009C1EB8">
        <w:t>Fukuda et al. (</w:t>
      </w:r>
      <w:hyperlink w:anchor="_ENREF_9" w:tooltip="Fukuda, 2011 #82" w:history="1">
        <w:r w:rsidR="00C33CAE">
          <w:fldChar w:fldCharType="begin"/>
        </w:r>
        <w:r w:rsidR="00C33CAE">
          <w:instrText xml:space="preserve"> ADDIN EN.CITE &lt;EndNote&gt;&lt;Cite ExcludeAuth="1"&gt;&lt;Author&gt;Fukuda&lt;/Author&gt;&lt;Year&gt;2011&lt;/Year&gt;&lt;RecNum&gt;82&lt;/RecNum&gt;&lt;DisplayText&gt;2011b&lt;/DisplayText&gt;&lt;record&gt;&lt;rec-number&gt;82&lt;/rec-number&gt;&lt;foreign-keys&gt;&lt;key app="EN" db-id="92tftt5v2arxd6e9wzr50w2w0rz0epx099ft" timestamp="1378515008"&gt;82&lt;/key&gt;&lt;/foreign-keys&gt;&lt;ref-type name="Journal Article"&gt;17&lt;/ref-type&gt;&lt;contributors&gt;&lt;authors&gt;&lt;author&gt;Fukuda, H.&lt;/author&gt;&lt;author&gt;Lee, J.&lt;/author&gt;&lt;author&gt;Imanaka, Y.&lt;/author&gt;&lt;/authors&gt;&lt;/contributors&gt;&lt;auth-address&gt;Institute for Health Economics and Policy, Tokyo, Japan.&lt;/auth-address&gt;&lt;titles&gt;&lt;title&gt;Variations in analytical methodology for estimating costs of hospital-acquired infections: a systematic review&lt;/title&gt;&lt;secondary-title&gt;J Hosp Infect&lt;/secondary-title&gt;&lt;alt-title&gt;The Journal of hospital infection&lt;/alt-title&gt;&lt;/titles&gt;&lt;periodical&gt;&lt;full-title&gt;J Hosp Infect&lt;/full-title&gt;&lt;abbr-1&gt;The Journal of hospital infection&lt;/abbr-1&gt;&lt;/periodical&gt;&lt;alt-periodical&gt;&lt;full-title&gt;J Hosp Infect&lt;/full-title&gt;&lt;abbr-1&gt;The Journal of hospital infection&lt;/abbr-1&gt;&lt;/alt-periodical&gt;&lt;pages&gt;93-105&lt;/pages&gt;&lt;volume&gt;77&lt;/volume&gt;&lt;number&gt;2&lt;/number&gt;&lt;edition&gt;2010/12/15&lt;/edition&gt;&lt;keywords&gt;&lt;keyword&gt;Costs and Cost Analysis/methods&lt;/keyword&gt;&lt;keyword&gt;Cross Infection/classification/*economics&lt;/keyword&gt;&lt;keyword&gt;Health Care Costs&lt;/keyword&gt;&lt;keyword&gt;Humans&lt;/keyword&gt;&lt;/keywords&gt;&lt;dates&gt;&lt;year&gt;2011&lt;/year&gt;&lt;pub-dates&gt;&lt;date&gt;Feb&lt;/date&gt;&lt;/pub-dates&gt;&lt;/dates&gt;&lt;isbn&gt;1532-2939 (Electronic)&amp;#xD;0195-6701 (Linking)&lt;/isbn&gt;&lt;accession-num&gt;21145131&lt;/accession-num&gt;&lt;urls&gt;&lt;related-urls&gt;&lt;url&gt;http://www.ncbi.nlm.nih.gov/pubmed/21145131&lt;/url&gt;&lt;/related-urls&gt;&lt;/urls&gt;&lt;electronic-resource-num&gt;10.1016/j.jhin.2010.10.006&lt;/electronic-resource-num&gt;&lt;language&gt;eng&lt;/language&gt;&lt;/record&gt;&lt;/Cite&gt;&lt;/EndNote&gt;</w:instrText>
        </w:r>
        <w:r w:rsidR="00C33CAE">
          <w:fldChar w:fldCharType="separate"/>
        </w:r>
        <w:r w:rsidR="00C33CAE">
          <w:rPr>
            <w:noProof/>
          </w:rPr>
          <w:t>2011b</w:t>
        </w:r>
        <w:r w:rsidR="00C33CAE">
          <w:fldChar w:fldCharType="end"/>
        </w:r>
      </w:hyperlink>
      <w:r w:rsidRPr="009C1EB8">
        <w:t>) found that “</w:t>
      </w:r>
      <w:r w:rsidRPr="00AE02A4">
        <w:rPr>
          <w:i/>
        </w:rPr>
        <w:t>studies that had used measures to minimise biases and deal with confounding factors were in the minority, and there is a strong possibility that many of the published COHAI estimates are biased to varying extents</w:t>
      </w:r>
      <w:r w:rsidRPr="009C1EB8">
        <w:t xml:space="preserve">” </w:t>
      </w:r>
      <w:r w:rsidRPr="00070AC4">
        <w:t>(</w:t>
      </w:r>
      <w:hyperlink w:anchor="_ENREF_9" w:tooltip="Fukuda, 2011 #82" w:history="1">
        <w:r w:rsidR="00C33CAE">
          <w:fldChar w:fldCharType="begin"/>
        </w:r>
        <w:r w:rsidR="00C33CAE">
          <w:instrText xml:space="preserve"> ADDIN EN.CITE &lt;EndNote&gt;&lt;Cite&gt;&lt;Author&gt;Fukuda&lt;/Author&gt;&lt;Year&gt;2011&lt;/Year&gt;&lt;RecNum&gt;82&lt;/RecNum&gt;&lt;DisplayText&gt;Fukuda et al., 2011b&lt;/DisplayText&gt;&lt;record&gt;&lt;rec-number&gt;82&lt;/rec-number&gt;&lt;foreign-keys&gt;&lt;key app="EN" db-id="92tftt5v2arxd6e9wzr50w2w0rz0epx099ft" timestamp="1378515008"&gt;82&lt;/key&gt;&lt;/foreign-keys&gt;&lt;ref-type name="Journal Article"&gt;17&lt;/ref-type&gt;&lt;contributors&gt;&lt;authors&gt;&lt;author&gt;Fukuda, H.&lt;/author&gt;&lt;author&gt;Lee, J.&lt;/author&gt;&lt;author&gt;Imanaka, Y.&lt;/author&gt;&lt;/authors&gt;&lt;/contributors&gt;&lt;auth-address&gt;Institute for Health Economics and Policy, Tokyo, Japan.&lt;/auth-address&gt;&lt;titles&gt;&lt;title&gt;Variations in analytical methodology for estimating costs of hospital-acquired infections: a systematic review&lt;/title&gt;&lt;secondary-title&gt;J Hosp Infect&lt;/secondary-title&gt;&lt;alt-title&gt;The Journal of hospital infection&lt;/alt-title&gt;&lt;/titles&gt;&lt;periodical&gt;&lt;full-title&gt;J Hosp Infect&lt;/full-title&gt;&lt;abbr-1&gt;The Journal of hospital infection&lt;/abbr-1&gt;&lt;/periodical&gt;&lt;alt-periodical&gt;&lt;full-title&gt;J Hosp Infect&lt;/full-title&gt;&lt;abbr-1&gt;The Journal of hospital infection&lt;/abbr-1&gt;&lt;/alt-periodical&gt;&lt;pages&gt;93-105&lt;/pages&gt;&lt;volume&gt;77&lt;/volume&gt;&lt;number&gt;2&lt;/number&gt;&lt;edition&gt;2010/12/15&lt;/edition&gt;&lt;keywords&gt;&lt;keyword&gt;Costs and Cost Analysis/methods&lt;/keyword&gt;&lt;keyword&gt;Cross Infection/classification/*economics&lt;/keyword&gt;&lt;keyword&gt;Health Care Costs&lt;/keyword&gt;&lt;keyword&gt;Humans&lt;/keyword&gt;&lt;/keywords&gt;&lt;dates&gt;&lt;year&gt;2011&lt;/year&gt;&lt;pub-dates&gt;&lt;date&gt;Feb&lt;/date&gt;&lt;/pub-dates&gt;&lt;/dates&gt;&lt;isbn&gt;1532-2939 (Electronic)&amp;#xD;0195-6701 (Linking)&lt;/isbn&gt;&lt;accession-num&gt;21145131&lt;/accession-num&gt;&lt;urls&gt;&lt;related-urls&gt;&lt;url&gt;http://www.ncbi.nlm.nih.gov/pubmed/21145131&lt;/url&gt;&lt;/related-urls&gt;&lt;/urls&gt;&lt;electronic-resource-num&gt;10.1016/j.jhin.2010.10.006&lt;/electronic-resource-num&gt;&lt;language&gt;eng&lt;/language&gt;&lt;/record&gt;&lt;/Cite&gt;&lt;/EndNote&gt;</w:instrText>
        </w:r>
        <w:r w:rsidR="00C33CAE">
          <w:fldChar w:fldCharType="separate"/>
        </w:r>
        <w:r w:rsidR="00C33CAE">
          <w:rPr>
            <w:noProof/>
          </w:rPr>
          <w:t>Fukuda et al., 2011b</w:t>
        </w:r>
        <w:r w:rsidR="00C33CAE">
          <w:fldChar w:fldCharType="end"/>
        </w:r>
      </w:hyperlink>
      <w:r w:rsidRPr="00070AC4">
        <w:t>, p</w:t>
      </w:r>
      <w:r>
        <w:t>. 95</w:t>
      </w:r>
      <w:r w:rsidRPr="00070AC4">
        <w:t>).</w:t>
      </w:r>
      <w:r>
        <w:t xml:space="preserve"> Regression models (which are of most interest to the current study) are generally better suited to address problems of selection bias, provided sufficient information is incorporated into the model to control for relevant factors that result in differences between patients with and without the presence of hospital-acquired complications, such as severity of the primary condition (</w:t>
      </w:r>
      <w:hyperlink w:anchor="_ENREF_15" w:tooltip="Howard, 2001 #83" w:history="1">
        <w:r w:rsidR="00C33CAE">
          <w:fldChar w:fldCharType="begin">
            <w:fldData xml:space="preserve">PEVuZE5vdGU+PENpdGU+PEF1dGhvcj5Ib3dhcmQ8L0F1dGhvcj48WWVhcj4yMDAxPC9ZZWFyPjxS
ZWNOdW0+ODM8L1JlY051bT48RGlzcGxheVRleHQ+SG93YXJkIGV0IGFsLiwgMjAwMTwvRGlzcGxh
eVRleHQ+PHJlY29yZD48cmVjLW51bWJlcj44MzwvcmVjLW51bWJlcj48Zm9yZWlnbi1rZXlzPjxr
ZXkgYXBwPSJFTiIgZGItaWQ9IjkydGZ0dDV2MmFyeGQ2ZTl3enI1MHcydzByejBlcHgwOTlmdCIg
dGltZXN0YW1wPSIxMzc4NTE3NzM3Ij44Mzwva2V5PjwvZm9yZWlnbi1rZXlzPjxyZWYtdHlwZSBu
YW1lPSJKb3VybmFsIEFydGljbGUiPjE3PC9yZWYtdHlwZT48Y29udHJpYnV0b3JzPjxhdXRob3Jz
PjxhdXRob3I+SG93YXJkLCBELjwvYXV0aG9yPjxhdXRob3I+Q29yZGVsbCwgUi48L2F1dGhvcj48
YXV0aG9yPk1jR293YW4sIEouIEUuLCBKci48L2F1dGhvcj48YXV0aG9yPlBhY2thcmQsIFIuIE0u
PC9hdXRob3I+PGF1dGhvcj5TY290dCwgUi4gRC4sIDJuZDwvYXV0aG9yPjxhdXRob3I+U29sb21v
biwgUy4gTC48L2F1dGhvcj48L2F1dGhvcnM+PC9jb250cmlidXRvcnM+PGF1dGgtYWRkcmVzcz5S
b2xsaW5zIFNjaG9vbCBvZiBQdWJsaWMgSGVhbHRoIG9mIEVtb3J5IFVuaXZlcnNpdHksIEF0bGFu
dGEsIEdBIDMwMzIyLCBVU0EuPC9hdXRoLWFkZHJlc3M+PHRpdGxlcz48dGl0bGU+TWVhc3VyaW5n
IHRoZSBlY29ub21pYyBjb3N0cyBvZiBhbnRpbWljcm9iaWFsIHJlc2lzdGFuY2UgaW4gaG9zcGl0
YWwgc2V0dGluZ3M6IHN1bW1hcnkgb2YgdGhlIENlbnRlcnMgZm9yIERpc2Vhc2UgQ29udHJvbCBh
bmQgUHJldmVudGlvbi1FbW9yeSBXb3Jrc2hvcDwvdGl0bGU+PHNlY29uZGFyeS10aXRsZT5DbGlu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LTE+PC9hbHQtcGVyaW9kaWNhbD48cGFnZXM+MTU3My04PC9wYWdlcz48dm9sdW1lPjMzPC92b2x1
bWU+PG51bWJlcj45PC9udW1iZXI+PGVkaXRpb24+MjAwMS8wOS8yOTwvZWRpdGlvbj48a2V5d29y
ZHM+PGtleXdvcmQ+Q2VudGVycyBmb3IgRGlzZWFzZSBDb250cm9sIGFuZCBQcmV2ZW50aW9uIChV
LlMuKTwva2V5d29yZD48a2V5d29yZD5Db3N0cyBhbmQgQ29zdCBBbmFseXNpczwva2V5d29yZD48
a2V5d29yZD4qRHJ1ZyBSZXNpc3RhbmNlPC9rZXl3b3JkPjxrZXl3b3JkPkhvc3BpdGFsIENvc3Rz
LypzdGFuZGFyZHM8L2tleXdvcmQ+PGtleXdvcmQ+SHVtYW5zPC9rZXl3b3JkPjxrZXl3b3JkPlVu
aXRlZCBTdGF0ZXM8L2tleXdvcmQ+PC9rZXl3b3Jkcz48ZGF0ZXM+PHllYXI+MjAwMTwveWVhcj48
cHViLWRhdGVzPjxkYXRlPk5vdiAxPC9kYXRlPjwvcHViLWRhdGVzPjwvZGF0ZXM+PGlzYm4+MTA1
OC00ODM4IChQcmludCkmI3hEOzEwNTgtNDgzOCAoTGlua2luZyk8L2lzYm4+PGFjY2Vzc2lvbi1u
dW0+MTE1NzczNzk8L2FjY2Vzc2lvbi1udW0+PHVybHM+PHJlbGF0ZWQtdXJscz48dXJsPmh0dHA6
Ly93d3cubmNiaS5ubG0ubmloLmdvdi9wdWJtZWQvMTE1NzczNzk8L3VybD48L3JlbGF0ZWQtdXJs
cz48L3VybHM+PGVsZWN0cm9uaWMtcmVzb3VyY2UtbnVtPjEwLjEwODYvMzIzNzU4PC9lbGVjdHJv
bmljLXJlc291cmNlLW51bT48bGFuZ3VhZ2U+ZW5nPC9sYW5ndWFnZT48L3JlY29yZD48L0NpdGU+
PC9FbmROb3RlPgB=
</w:fldData>
          </w:fldChar>
        </w:r>
        <w:r w:rsidR="00C33CAE">
          <w:instrText xml:space="preserve"> ADDIN EN.CITE </w:instrText>
        </w:r>
        <w:r w:rsidR="00C33CAE">
          <w:fldChar w:fldCharType="begin">
            <w:fldData xml:space="preserve">PEVuZE5vdGU+PENpdGU+PEF1dGhvcj5Ib3dhcmQ8L0F1dGhvcj48WWVhcj4yMDAxPC9ZZWFyPjxS
ZWNOdW0+ODM8L1JlY051bT48RGlzcGxheVRleHQ+SG93YXJkIGV0IGFsLiwgMjAwMTwvRGlzcGxh
eVRleHQ+PHJlY29yZD48cmVjLW51bWJlcj44MzwvcmVjLW51bWJlcj48Zm9yZWlnbi1rZXlzPjxr
ZXkgYXBwPSJFTiIgZGItaWQ9IjkydGZ0dDV2MmFyeGQ2ZTl3enI1MHcydzByejBlcHgwOTlmdCIg
dGltZXN0YW1wPSIxMzc4NTE3NzM3Ij44Mzwva2V5PjwvZm9yZWlnbi1rZXlzPjxyZWYtdHlwZSBu
YW1lPSJKb3VybmFsIEFydGljbGUiPjE3PC9yZWYtdHlwZT48Y29udHJpYnV0b3JzPjxhdXRob3Jz
PjxhdXRob3I+SG93YXJkLCBELjwvYXV0aG9yPjxhdXRob3I+Q29yZGVsbCwgUi48L2F1dGhvcj48
YXV0aG9yPk1jR293YW4sIEouIEUuLCBKci48L2F1dGhvcj48YXV0aG9yPlBhY2thcmQsIFIuIE0u
PC9hdXRob3I+PGF1dGhvcj5TY290dCwgUi4gRC4sIDJuZDwvYXV0aG9yPjxhdXRob3I+U29sb21v
biwgUy4gTC48L2F1dGhvcj48L2F1dGhvcnM+PC9jb250cmlidXRvcnM+PGF1dGgtYWRkcmVzcz5S
b2xsaW5zIFNjaG9vbCBvZiBQdWJsaWMgSGVhbHRoIG9mIEVtb3J5IFVuaXZlcnNpdHksIEF0bGFu
dGEsIEdBIDMwMzIyLCBVU0EuPC9hdXRoLWFkZHJlc3M+PHRpdGxlcz48dGl0bGU+TWVhc3VyaW5n
IHRoZSBlY29ub21pYyBjb3N0cyBvZiBhbnRpbWljcm9iaWFsIHJlc2lzdGFuY2UgaW4gaG9zcGl0
YWwgc2V0dGluZ3M6IHN1bW1hcnkgb2YgdGhlIENlbnRlcnMgZm9yIERpc2Vhc2UgQ29udHJvbCBh
bmQgUHJldmVudGlvbi1FbW9yeSBXb3Jrc2hvcDwvdGl0bGU+PHNlY29uZGFyeS10aXRsZT5DbGlu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LTE+PC9hbHQtcGVyaW9kaWNhbD48cGFnZXM+MTU3My04PC9wYWdlcz48dm9sdW1lPjMzPC92b2x1
bWU+PG51bWJlcj45PC9udW1iZXI+PGVkaXRpb24+MjAwMS8wOS8yOTwvZWRpdGlvbj48a2V5d29y
ZHM+PGtleXdvcmQ+Q2VudGVycyBmb3IgRGlzZWFzZSBDb250cm9sIGFuZCBQcmV2ZW50aW9uIChV
LlMuKTwva2V5d29yZD48a2V5d29yZD5Db3N0cyBhbmQgQ29zdCBBbmFseXNpczwva2V5d29yZD48
a2V5d29yZD4qRHJ1ZyBSZXNpc3RhbmNlPC9rZXl3b3JkPjxrZXl3b3JkPkhvc3BpdGFsIENvc3Rz
LypzdGFuZGFyZHM8L2tleXdvcmQ+PGtleXdvcmQ+SHVtYW5zPC9rZXl3b3JkPjxrZXl3b3JkPlVu
aXRlZCBTdGF0ZXM8L2tleXdvcmQ+PC9rZXl3b3Jkcz48ZGF0ZXM+PHllYXI+MjAwMTwveWVhcj48
cHViLWRhdGVzPjxkYXRlPk5vdiAxPC9kYXRlPjwvcHViLWRhdGVzPjwvZGF0ZXM+PGlzYm4+MTA1
OC00ODM4IChQcmludCkmI3hEOzEwNTgtNDgzOCAoTGlua2luZyk8L2lzYm4+PGFjY2Vzc2lvbi1u
dW0+MTE1NzczNzk8L2FjY2Vzc2lvbi1udW0+PHVybHM+PHJlbGF0ZWQtdXJscz48dXJsPmh0dHA6
Ly93d3cubmNiaS5ubG0ubmloLmdvdi9wdWJtZWQvMTE1NzczNzk8L3VybD48L3JlbGF0ZWQtdXJs
cz48L3VybHM+PGVsZWN0cm9uaWMtcmVzb3VyY2UtbnVtPjEwLjEwODYvMzIzNzU4PC9lbGVjdHJv
bmljLXJlc291cmNlLW51bT48bGFuZ3VhZ2U+ZW5nPC9sYW5ndWFnZT48L3JlY29yZD48L0NpdGU+
PC9FbmROb3RlPgB=
</w:fldData>
          </w:fldChar>
        </w:r>
        <w:r w:rsidR="00C33CAE">
          <w:instrText xml:space="preserve"> ADDIN EN.CITE.DATA </w:instrText>
        </w:r>
        <w:r w:rsidR="00C33CAE">
          <w:fldChar w:fldCharType="end"/>
        </w:r>
        <w:r w:rsidR="00C33CAE">
          <w:fldChar w:fldCharType="separate"/>
        </w:r>
        <w:r w:rsidR="00C33CAE">
          <w:rPr>
            <w:noProof/>
          </w:rPr>
          <w:t>Howard et al., 2001</w:t>
        </w:r>
        <w:r w:rsidR="00C33CAE">
          <w:fldChar w:fldCharType="end"/>
        </w:r>
      </w:hyperlink>
      <w:r>
        <w:t xml:space="preserve">).  These models typically take the form of: </w:t>
      </w:r>
    </w:p>
    <w:p w:rsidR="007718C7" w:rsidRDefault="007718C7" w:rsidP="00B912D2">
      <w:pPr>
        <w:ind w:left="720"/>
      </w:pPr>
      <w:r w:rsidRPr="00864829">
        <w:fldChar w:fldCharType="begin"/>
      </w:r>
      <w:r w:rsidRPr="00864829">
        <w:instrText xml:space="preserve"> QUOTE </w:instrText>
      </w:r>
      <w:r w:rsidR="002A25A4">
        <w:pict>
          <v:shape id="_x0000_i1049" type="#_x0000_t75" style="width:239.3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0B73&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A00B7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sSub&gt;&lt;m:sSubPr&gt;&lt;m:ctrlPr&gt;&lt;w:rPr&gt;&lt;w:rFonts w:ascii=&quot;Cambria Math&quot; w:h-ansi=&quot;Cambria Math&quot;/&gt;&lt;wx:font wx:val=&quot;Cambria Math&quot;/&gt;&lt;w:i/&gt;&lt;/w:rPr&gt;&lt;/m:ctrlPr&gt;&lt;/m:sSubPr&gt;&lt;m:e&gt;&lt;m:r&gt;&lt;w:rPr&gt;&lt;w:rFonts w:ascii=:::&quot;Cambriam Math&quot; w:h-ansi=&quot;Cambria Math&quot;/&gt;&lt;wx:font wx:val=&quot;Cambria Math&quot;/&gt;&lt;w:i/&gt;&lt;/w:rPr&gt;&lt;m:t&gt;I2&lt;/m:t&gt;&lt;/m:r&gt;&lt;/m:e&gt;&lt;m:sub&gt;&lt;m:r&gt;&lt;w:rPr&gt;&lt;w:rFonts w:ascii=&quot;Cambria Math&quot; w:h-ansi=&quot;Cambria Math&quot;/&gt;&lt;wx:font wx:val=&quot;Cambria Math&quot;/&gt;&lt;w:i/&gt;&lt;/w:rPr&gt;&lt;m:t&gt;1&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A&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Dummy&lt;/m:t&gt;&lt;/m:r&gt;&lt;/m:sub&gt;&lt;/m:sSub&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lt;/m:t&gt;&lt;/m:r&gt;&lt;m:nary&gt;&lt;m:naryPr&gt;&lt;m:chr m:val=&quot;a?‘&quot;/&gt;&lt;m:limLoc m:val=&quot;undOvr&quot;/&gt;&lt;m:supHide m:val=&quot;on&quot;/&gt;&lt;m:ctrlPr&gt;&lt;w:rPr&gt;&lt;w:rFonts w:ascii=&quot;Cambria Math&quot; w:h-ansi=&quot;Cambria Math&quot;/&gt;&lt;wx:font wx:val=&quot;Cambria Mat&gt;h&lt;&quot;w/&gt;&lt;w:i/&gt;&lt;x/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0" o:title="" chromakey="white"/>
          </v:shape>
        </w:pict>
      </w:r>
      <w:r w:rsidRPr="00864829">
        <w:instrText xml:space="preserve"> </w:instrText>
      </w:r>
      <w:r w:rsidRPr="00864829">
        <w:fldChar w:fldCharType="separate"/>
      </w:r>
      <w:r w:rsidR="002A25A4">
        <w:pict>
          <v:shape id="_x0000_i1050" type="#_x0000_t75" style="width:239.3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0B73&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A00B7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sSub&gt;&lt;m:sSubPr&gt;&lt;m:ctrlPr&gt;&lt;w:rPr&gt;&lt;w:rFonts w:ascii=&quot;Cambria Math&quot; w:h-ansi=&quot;Cambria Math&quot;/&gt;&lt;wx:font wx:val=&quot;Cambria Math&quot;/&gt;&lt;w:i/&gt;&lt;/w:rPr&gt;&lt;/m:ctrlPr&gt;&lt;/m:sSubPr&gt;&lt;m:e&gt;&lt;m:r&gt;&lt;w:rPr&gt;&lt;w:rFonts w:ascii=:::&quot;Cambriam Math&quot; w:h-ansi=&quot;Cambria Math&quot;/&gt;&lt;wx:font wx:val=&quot;Cambria Math&quot;/&gt;&lt;w:i/&gt;&lt;/w:rPr&gt;&lt;m:t&gt;I2&lt;/m:t&gt;&lt;/m:r&gt;&lt;/m:e&gt;&lt;m:sub&gt;&lt;m:r&gt;&lt;w:rPr&gt;&lt;w:rFonts w:ascii=&quot;Cambria Math&quot; w:h-ansi=&quot;Cambria Math&quot;/&gt;&lt;wx:font wx:val=&quot;Cambria Math&quot;/&gt;&lt;w:i/&gt;&lt;/w:rPr&gt;&lt;m:t&gt;1&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A&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Dummy&lt;/m:t&gt;&lt;/m:r&gt;&lt;/m:sub&gt;&lt;/m:sSub&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lt;/m:t&gt;&lt;/m:r&gt;&lt;m:nary&gt;&lt;m:naryPr&gt;&lt;m:chr m:val=&quot;a?‘&quot;/&gt;&lt;m:limLoc m:val=&quot;undOvr&quot;/&gt;&lt;m:supHide m:val=&quot;on&quot;/&gt;&lt;m:ctrlPr&gt;&lt;w:rPr&gt;&lt;w:rFonts w:ascii=&quot;Cambria Math&quot; w:h-ansi=&quot;Cambria Math&quot;/&gt;&lt;wx:font wx:val=&quot;Cambria Mat&gt;h&lt;&quot;w/&gt;&lt;w:i/&gt;&lt;x/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0" o:title="" chromakey="white"/>
          </v:shape>
        </w:pict>
      </w:r>
      <w:r w:rsidRPr="00864829">
        <w:fldChar w:fldCharType="end"/>
      </w:r>
      <w:r>
        <w:tab/>
      </w:r>
      <w:r>
        <w:tab/>
      </w:r>
      <w:r>
        <w:tab/>
      </w:r>
      <w:r>
        <w:tab/>
      </w:r>
      <w:r>
        <w:tab/>
      </w:r>
      <w:r>
        <w:tab/>
        <w:t>(1)</w:t>
      </w:r>
    </w:p>
    <w:p w:rsidR="007718C7" w:rsidRDefault="007718C7" w:rsidP="00B912D2">
      <w:r>
        <w:t xml:space="preserve">Where </w:t>
      </w:r>
      <m:oMath>
        <m:sSub>
          <m:sSubPr>
            <m:ctrlPr>
              <w:rPr>
                <w:rFonts w:ascii="Cambria Math" w:hAnsi="Cambria Math"/>
                <w:i/>
              </w:rPr>
            </m:ctrlPr>
          </m:sSubPr>
          <m:e>
            <m:r>
              <w:rPr>
                <w:rFonts w:ascii="Cambria Math" w:hAnsi="Cambria Math"/>
              </w:rPr>
              <m:t>Cost</m:t>
            </m:r>
          </m:e>
          <m:sub>
            <m:r>
              <w:rPr>
                <w:rFonts w:ascii="Cambria Math" w:hAnsi="Cambria Math"/>
              </w:rPr>
              <m:t>i</m:t>
            </m:r>
          </m:sub>
        </m:sSub>
      </m:oMath>
      <w:r>
        <w:t xml:space="preserve"> is the cost of the episode i, </w:t>
      </w:r>
      <w:r w:rsidRPr="00864829">
        <w:fldChar w:fldCharType="begin"/>
      </w:r>
      <w:r w:rsidRPr="00864829">
        <w:instrText xml:space="preserve"> QUOTE </w:instrText>
      </w:r>
      <w:r w:rsidR="002A25A4">
        <w:pict>
          <v:shape id="_x0000_i1051" type="#_x0000_t75" style="width:12.15pt;height:11.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070B&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E9070B&quot;&gt;&lt;m:oMathPara&gt;&lt;m:oMath&gt;&lt;m:r&gt;&lt;w:rPr&gt;&lt;w:rFonts w:ascii=&quot;Cambria Math&quot; w:h-ansi=&quot;Cambria Math&quot;/&gt;&lt;wx:font wx:val=&quot;Cambria Math&quot;/&gt;&lt;w:i/&gt;&lt;/w:rPr&gt;&lt;m:t&gt;a?·/m:t&gt;&lt;/m:r&gt;&lt;/m:oMath&gt;&lt;/m:oMathPara&gt;&lt;/w:p&gt;&lt;w:sectPr wsp:rsidR=&quot;00000000&quot;&gt;&lt;w:pgSz w:w=&quot;12240&quot; w:h=&quot;15840&quot;/&gt;&lt;w:pgMar w:top=&quot;1440&quot; w:right=&quot;1440&quot; w:bottom=&quot;1440&quot; w:left=&quot;144   0&quot; w:hea:der=&quot;720&quot; w:footer=&quot;720&quot; w:gutter=&quot;0&quot;/&gt;&lt;w:cols w:space=&quot;720&quot;/&gt;&lt;/w:sectPr&gt;&lt;/w:body&gt;&lt;/w:wordDocument&gt;">
            <v:imagedata r:id="rId121" o:title="" chromakey="white"/>
          </v:shape>
        </w:pict>
      </w:r>
      <w:r w:rsidRPr="00864829">
        <w:instrText xml:space="preserve"> </w:instrText>
      </w:r>
      <w:r w:rsidRPr="00864829">
        <w:fldChar w:fldCharType="separate"/>
      </w:r>
      <w:r w:rsidR="002A25A4">
        <w:pict>
          <v:shape id="_x0000_i1052" type="#_x0000_t75" style="width:12.15pt;height:11.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070B&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E9070B&quot;&gt;&lt;m:oMathPara&gt;&lt;m:oMath&gt;&lt;m:r&gt;&lt;w:rPr&gt;&lt;w:rFonts w:ascii=&quot;Cambria Math&quot; w:h-ansi=&quot;Cambria Math&quot;/&gt;&lt;wx:font wx:val=&quot;Cambria Math&quot;/&gt;&lt;w:i/&gt;&lt;/w:rPr&gt;&lt;m:t&gt;a?·/m:t&gt;&lt;/m:r&gt;&lt;/m:oMath&gt;&lt;/m:oMathPara&gt;&lt;/w:p&gt;&lt;w:sectPr wsp:rsidR=&quot;00000000&quot;&gt;&lt;w:pgSz w:w=&quot;12240&quot; w:h=&quot;15840&quot;/&gt;&lt;w:pgMar w:top=&quot;1440&quot; w:right=&quot;1440&quot; w:bottom=&quot;1440&quot; w:left=&quot;144   0&quot; w:hea:der=&quot;720&quot; w:footer=&quot;720&quot; w:gutter=&quot;0&quot;/&gt;&lt;w:cols w:space=&quot;720&quot;/&gt;&lt;/w:sectPr&gt;&lt;/w:body&gt;&lt;/w:wordDocument&gt;">
            <v:imagedata r:id="rId121" o:title="" chromakey="white"/>
          </v:shape>
        </w:pict>
      </w:r>
      <w:r w:rsidRPr="00864829">
        <w:fldChar w:fldCharType="end"/>
      </w:r>
      <w:r>
        <w:t xml:space="preserve"> can be interpreted as the cost of episodes without the relevant HAI present, </w:t>
      </w:r>
      <m:oMath>
        <m:sSub>
          <m:sSubPr>
            <m:ctrlPr>
              <w:rPr>
                <w:rFonts w:ascii="Cambria Math" w:hAnsi="Cambria Math"/>
                <w:i/>
              </w:rPr>
            </m:ctrlPr>
          </m:sSubPr>
          <m:e>
            <m:r>
              <w:rPr>
                <w:rFonts w:ascii="Cambria Math" w:hAnsi="Cambria Math"/>
              </w:rPr>
              <m:t>I2</m:t>
            </m:r>
          </m:e>
          <m:sub>
            <m:r>
              <w:rPr>
                <w:rFonts w:ascii="Cambria Math" w:hAnsi="Cambria Math"/>
              </w:rPr>
              <m:t>1</m:t>
            </m:r>
          </m:sub>
        </m:sSub>
      </m:oMath>
      <w:r>
        <w:t xml:space="preserve"> is the marginal cost for each episodes with the relevant HAI,  </w:t>
      </w:r>
      <m:oMath>
        <m:sSub>
          <m:sSubPr>
            <m:ctrlPr>
              <w:rPr>
                <w:rFonts w:ascii="Cambria Math" w:hAnsi="Cambria Math"/>
                <w:i/>
              </w:rPr>
            </m:ctrlPr>
          </m:sSubPr>
          <m:e>
            <m:r>
              <w:rPr>
                <w:rFonts w:ascii="Cambria Math" w:hAnsi="Cambria Math"/>
              </w:rPr>
              <m:t>HA</m:t>
            </m:r>
            <m:sSub>
              <m:sSubPr>
                <m:ctrlPr>
                  <w:rPr>
                    <w:rFonts w:ascii="Cambria Math" w:hAnsi="Cambria Math"/>
                    <w:i/>
                  </w:rPr>
                </m:ctrlPr>
              </m:sSubPr>
              <m:e>
                <m:r>
                  <w:rPr>
                    <w:rFonts w:ascii="Cambria Math" w:hAnsi="Cambria Math"/>
                  </w:rPr>
                  <m:t>I</m:t>
                </m:r>
              </m:e>
              <m:sub>
                <m:r>
                  <w:rPr>
                    <w:rFonts w:ascii="Cambria Math" w:hAnsi="Cambria Math"/>
                  </w:rPr>
                  <m:t>Dummy</m:t>
                </m:r>
              </m:sub>
            </m:sSub>
          </m:e>
          <m:sub>
            <m:r>
              <w:rPr>
                <w:rFonts w:ascii="Cambria Math" w:hAnsi="Cambria Math"/>
              </w:rPr>
              <m:t>i</m:t>
            </m:r>
          </m:sub>
        </m:sSub>
      </m:oMath>
      <w:r>
        <w:t xml:space="preserve"> is a dummy variable that takes the value 1 when the HAI of interest is present and 0 otherwise, and </w:t>
      </w:r>
      <w:r w:rsidRPr="00864829">
        <w:fldChar w:fldCharType="begin"/>
      </w:r>
      <w:r w:rsidRPr="00864829">
        <w:instrText xml:space="preserve"> QUOTE </w:instrText>
      </w:r>
      <w:r w:rsidR="002A25A4">
        <w:pict>
          <v:shape id="_x0000_i1053" type="#_x0000_t75" style="width:69.95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2BF0&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BE2BF0&quot;&gt;&lt;m:oMathPara&gt;&lt;m:oMath&gt;&lt;m:nary&gt;&lt;m:naryPr&gt;&lt;m:chr m:val=&quot;a?‘&quot;/&gt;   &lt;m:limLo=c m:val=&quot;undOvr&quot;/&gt;&lt;m:supHide m:val=&quot;on&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j&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2" o:title="" chromakey="white"/>
          </v:shape>
        </w:pict>
      </w:r>
      <w:r w:rsidRPr="00864829">
        <w:instrText xml:space="preserve"> </w:instrText>
      </w:r>
      <w:r w:rsidRPr="00864829">
        <w:fldChar w:fldCharType="separate"/>
      </w:r>
      <w:r w:rsidR="002A25A4">
        <w:pict>
          <v:shape id="_x0000_i1054" type="#_x0000_t75" style="width:69.95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2BF0&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BE2BF0&quot;&gt;&lt;m:oMathPara&gt;&lt;m:oMath&gt;&lt;m:nary&gt;&lt;m:naryPr&gt;&lt;m:chr m:val=&quot;a?‘&quot;/&gt;   &lt;m:limLo=c m:val=&quot;undOvr&quot;/&gt;&lt;m:supHide m:val=&quot;on&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ntrol&lt;/m:t&gt;&lt;/m:r&gt;&lt;/m:e&gt;&lt;m:sub&gt;&lt;m:r&gt;&lt;w:rPr&gt;&lt;w:rFonts w:ascii=&quot;Cambria Math&quot; w:h-ansi=&quot;Cambria Math&quot;/&gt;&lt;wx:font wx:val=&quot;Cambria Math&quot;/&gt;&lt;w:i/&gt;&lt;/w:rPr&gt;&lt;m:t&gt;j&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2" o:title="" chromakey="white"/>
          </v:shape>
        </w:pict>
      </w:r>
      <w:r w:rsidRPr="00864829">
        <w:fldChar w:fldCharType="end"/>
      </w:r>
      <w:r>
        <w:t xml:space="preserve"> related to a set of control variables considered important, such as age, sex, primary diagnosis (not associated with the HAI itself).  Models using length of stay, rather than cost, as the dependent variable are also common.  </w:t>
      </w:r>
      <w:r w:rsidRPr="00C82167">
        <w:t xml:space="preserve">Fukuda et al. (2011) </w:t>
      </w:r>
      <w:r>
        <w:t xml:space="preserve">identified around 20 studies using regression models of this nature related to HAI. In some studies the dependent variable is transformed using a logarithmic or gamma distribution, to address issues related to assumptions underpinning the regression model. </w:t>
      </w:r>
    </w:p>
    <w:p w:rsidR="007718C7" w:rsidRDefault="007718C7" w:rsidP="00B912D2">
      <w:r>
        <w:t>In many recent studies, the DRG assigned to the patient episode is used as a control.  One factor that is not always recognised is that the DRG to which an episode is assigned may be impacted by the presence of additional diagnosis codes related to the hospital-acquired conditions of interest.  DRG assignment may also be impacted by the presence of particular procedures that potentially ‘contaminate’ the comparability of episodes within a particular DRG.  In this respect, the pre-MDC assignment algorithms which assign episodes to the tracheostomy and ventilation AR-DRGs could have a potentially large impact through shifting episodes into these DRGs.  An approach to address this (taken in the current study) is to use the AR-DRG assigned ignoring hospital-acquired diagnoses and also the procedures that allocate the episodes to the tracheostomy and ventilation AR-DRGs.</w:t>
      </w:r>
    </w:p>
    <w:p w:rsidR="007718C7" w:rsidRDefault="007718C7" w:rsidP="00B912D2">
      <w:r>
        <w:t>Few studies have recognised or controlled for within-DRG heterogeneity at the principal diagnosis level.  However, this could be a serious confounder, as discussed below.</w:t>
      </w:r>
    </w:p>
    <w:p w:rsidR="007718C7" w:rsidRDefault="007718C7" w:rsidP="00B912D2">
      <w:r>
        <w:t xml:space="preserve">In addition to DRG, various studies have controlled to the presence of particular comorbidities within patients.  Other common factors included as control variables include age, flags for patients who die (or alternatively excluding these cases from analysis), flags for patients who are transferred at the end of the episode, flags for same day episodes (or </w:t>
      </w:r>
      <w:r>
        <w:lastRenderedPageBreak/>
        <w:t xml:space="preserve">alternatively excluding these episodes from analysis.  Adjusting for ‘same day’ episodes is only relevant for countries where these are counted as admitted patient activity (such as Australia).  </w:t>
      </w:r>
    </w:p>
    <w:p w:rsidR="007718C7" w:rsidRDefault="007718C7" w:rsidP="00B912D2">
      <w:r>
        <w:t>Regression models can also be impacted by e</w:t>
      </w:r>
      <w:r w:rsidRPr="009C1EB8">
        <w:t>ndogeneity bias</w:t>
      </w:r>
      <w:r>
        <w:t xml:space="preserve">, unless specific steps are taken to address these issues.  Only a limited number of studies identified by </w:t>
      </w:r>
      <w:r w:rsidRPr="009C1EB8">
        <w:t>Fukuda et al. (</w:t>
      </w:r>
      <w:hyperlink w:anchor="_ENREF_9" w:tooltip="Fukuda, 2011 #82" w:history="1">
        <w:r w:rsidR="00C33CAE">
          <w:fldChar w:fldCharType="begin"/>
        </w:r>
        <w:r w:rsidR="00C33CAE">
          <w:instrText xml:space="preserve"> ADDIN EN.CITE &lt;EndNote&gt;&lt;Cite ExcludeAuth="1"&gt;&lt;Author&gt;Fukuda&lt;/Author&gt;&lt;Year&gt;2011&lt;/Year&gt;&lt;RecNum&gt;82&lt;/RecNum&gt;&lt;DisplayText&gt;2011b&lt;/DisplayText&gt;&lt;record&gt;&lt;rec-number&gt;82&lt;/rec-number&gt;&lt;foreign-keys&gt;&lt;key app="EN" db-id="92tftt5v2arxd6e9wzr50w2w0rz0epx099ft" timestamp="1378515008"&gt;82&lt;/key&gt;&lt;/foreign-keys&gt;&lt;ref-type name="Journal Article"&gt;17&lt;/ref-type&gt;&lt;contributors&gt;&lt;authors&gt;&lt;author&gt;Fukuda, H.&lt;/author&gt;&lt;author&gt;Lee, J.&lt;/author&gt;&lt;author&gt;Imanaka, Y.&lt;/author&gt;&lt;/authors&gt;&lt;/contributors&gt;&lt;auth-address&gt;Institute for Health Economics and Policy, Tokyo, Japan.&lt;/auth-address&gt;&lt;titles&gt;&lt;title&gt;Variations in analytical methodology for estimating costs of hospital-acquired infections: a systematic review&lt;/title&gt;&lt;secondary-title&gt;J Hosp Infect&lt;/secondary-title&gt;&lt;alt-title&gt;The Journal of hospital infection&lt;/alt-title&gt;&lt;/titles&gt;&lt;periodical&gt;&lt;full-title&gt;J Hosp Infect&lt;/full-title&gt;&lt;abbr-1&gt;The Journal of hospital infection&lt;/abbr-1&gt;&lt;/periodical&gt;&lt;alt-periodical&gt;&lt;full-title&gt;J Hosp Infect&lt;/full-title&gt;&lt;abbr-1&gt;The Journal of hospital infection&lt;/abbr-1&gt;&lt;/alt-periodical&gt;&lt;pages&gt;93-105&lt;/pages&gt;&lt;volume&gt;77&lt;/volume&gt;&lt;number&gt;2&lt;/number&gt;&lt;edition&gt;2010/12/15&lt;/edition&gt;&lt;keywords&gt;&lt;keyword&gt;Costs and Cost Analysis/methods&lt;/keyword&gt;&lt;keyword&gt;Cross Infection/classification/*economics&lt;/keyword&gt;&lt;keyword&gt;Health Care Costs&lt;/keyword&gt;&lt;keyword&gt;Humans&lt;/keyword&gt;&lt;/keywords&gt;&lt;dates&gt;&lt;year&gt;2011&lt;/year&gt;&lt;pub-dates&gt;&lt;date&gt;Feb&lt;/date&gt;&lt;/pub-dates&gt;&lt;/dates&gt;&lt;isbn&gt;1532-2939 (Electronic)&amp;#xD;0195-6701 (Linking)&lt;/isbn&gt;&lt;accession-num&gt;21145131&lt;/accession-num&gt;&lt;urls&gt;&lt;related-urls&gt;&lt;url&gt;http://www.ncbi.nlm.nih.gov/pubmed/21145131&lt;/url&gt;&lt;/related-urls&gt;&lt;/urls&gt;&lt;electronic-resource-num&gt;10.1016/j.jhin.2010.10.006&lt;/electronic-resource-num&gt;&lt;language&gt;eng&lt;/language&gt;&lt;/record&gt;&lt;/Cite&gt;&lt;/EndNote&gt;</w:instrText>
        </w:r>
        <w:r w:rsidR="00C33CAE">
          <w:fldChar w:fldCharType="separate"/>
        </w:r>
        <w:r w:rsidR="00C33CAE">
          <w:rPr>
            <w:noProof/>
          </w:rPr>
          <w:t>2011b</w:t>
        </w:r>
        <w:r w:rsidR="00C33CAE">
          <w:fldChar w:fldCharType="end"/>
        </w:r>
      </w:hyperlink>
      <w:r w:rsidRPr="009C1EB8">
        <w:t>)</w:t>
      </w:r>
      <w:r>
        <w:t xml:space="preserve"> incorporated these steps into the methods.  </w:t>
      </w:r>
    </w:p>
    <w:p w:rsidR="007718C7" w:rsidRDefault="007718C7" w:rsidP="00B912D2">
      <w:r w:rsidRPr="0072259F">
        <w:t xml:space="preserve">Hollenbeak et al. </w:t>
      </w:r>
      <w:r>
        <w:t xml:space="preserve"> (</w:t>
      </w:r>
      <w:hyperlink w:anchor="_ENREF_14" w:tooltip="Hollenbeak, 2002 #34" w:history="1">
        <w:r w:rsidR="00C33CAE">
          <w:fldChar w:fldCharType="begin">
            <w:fldData xml:space="preserve">PEVuZE5vdGU+PENpdGUgRXhjbHVkZUF1dGg9IjEiPjxBdXRob3I+SG9sbGVuYmVhazwvQXV0aG9y
PjxZZWFyPjIwMDI8L1llYXI+PFJlY051bT4zNDwvUmVjTnVtPjxEaXNwbGF5VGV4dD4yMDAyPC9E
aXNwbGF5VGV4dD48cmVjb3JkPjxyZWMtbnVtYmVyPjM0PC9yZWMtbnVtYmVyPjxmb3JlaWduLWtl
eXM+PGtleSBhcHA9IkVOIiBkYi1pZD0iOTJ0ZnR0NXYyYXJ4ZDZlOXd6cjUwdzJ3MHJ6MGVweDA5
OWZ0IiB0aW1lc3RhbXA9IjEzNzgzNjIzMTAiPjM0PC9rZXk+PC9mb3JlaWduLWtleXM+PHJlZi10
eXBlIG5hbWU9IkpvdXJuYWwgQXJ0aWNsZSI+MTc8L3JlZi10eXBlPjxjb250cmlidXRvcnM+PGF1
dGhvcnM+PGF1dGhvcj5Ib2xsZW5iZWFrLCBDLiBTLjwvYXV0aG9yPjxhdXRob3I+TXVycGh5LCBE
LjwvYXV0aG9yPjxhdXRob3I+RHVuYWdhbiwgVy4gQy48L2F1dGhvcj48YXV0aG9yPkZyYXNlciwg
Vi4gSi48L2F1dGhvcj48L2F1dGhvcnM+PC9jb250cmlidXRvcnM+PGF1dGgtYWRkcmVzcz5EZXBh
cnRtZW50IG9mIFN1cmdlcnksIFBlbm4gU3RhdGUgQ29sbGVnZSBvZiBNZWRpY2luZSwgSGVyc2hl
eSwgUGVubnN5bHZhbmlhIDE3MDMzLCBVU0EuPC9hdXRoLWFkZHJlc3M+PHRpdGxlcz48dGl0bGU+
Tm9ucmFuZG9tIHNlbGVjdGlvbiBhbmQgdGhlIGF0dHJpYnV0YWJsZSBjb3N0IG9mIHN1cmdpY2Fs
LXNpdGUgaW5mZWN0aW9uczwvdGl0bGU+PHNlY29uZGFyeS10aXRsZT5JbmZlY3QgQ29udHJvbCBI
b3NwIEVwaWRlbWlvbDwvc2Vjb25kYXJ5LXRpdGxlPjxhbHQtdGl0bGU+SW5mZWN0aW9uIGNvbnRy
b2wgYW5kIGhvc3BpdGFsIGVwaWRlbWlvbG9neSA6IHRoZSBvZmZpY2lhbCBqb3VybmFsIG9mIHRo
ZSBTb2NpZXR5IG9mIEhvc3BpdGFsIEVwaWRlbWlvbG9naXN0cyBvZiBBbWVyaWNhPC9hbHQtdGl0
bGU+PC90aXRsZXM+PHBlcmlvZGljYWw+PGZ1bGwtdGl0bGU+SW5mZWN0IENvbnRyb2wgSG9zcCBF
cGlkZW1pb2w8L2Z1bGwtdGl0bGU+PGFiYnItMT5JbmZlY3Rpb24gY29udHJvbCBhbmQgaG9zcGl0
YWwgZXBpZGVtaW9sb2d5IDogdGhlIG9mZmljaWFsIGpvdXJuYWwgb2YgdGhlIFNvY2lldHkgb2Yg
SG9zcGl0YWwgRXBpZGVtaW9sb2dpc3RzIG9mIEFtZXJpY2E8L2FiYnItMT48L3BlcmlvZGljYWw+
PGFsdC1wZXJpb2RpY2FsPjxmdWxsLXRpdGxlPkluZmVjdCBDb250cm9sIEhvc3AgRXBpZGVtaW9s
PC9mdWxsLXRpdGxlPjxhYmJyLTE+SW5mZWN0aW9uIGNvbnRyb2wgYW5kIGhvc3BpdGFsIGVwaWRl
bWlvbG9neSA6IHRoZSBvZmZpY2lhbCBqb3VybmFsIG9mIHRoZSBTb2NpZXR5IG9mIEhvc3BpdGFs
IEVwaWRlbWlvbG9naXN0cyBvZiBBbWVyaWNhPC9hYmJyLTE+PC9hbHQtcGVyaW9kaWNhbD48cGFn
ZXM+MTc3LTgyPC9wYWdlcz48dm9sdW1lPjIzPC92b2x1bWU+PG51bWJlcj40PC9udW1iZXI+PGVk
aXRpb24+MjAwMi8wNS8xMTwvZWRpdGlvbj48a2V5d29yZHM+PGtleXdvcmQ+QWdlZDwva2V5d29y
ZD48a2V5d29yZD5DYXNlLUNvbnRyb2wgU3R1ZGllczwva2V5d29yZD48a2V5d29yZD5Db3JvbmFy
eSBBcnRlcnkgQnlwYXNzLyphZHZlcnNlIGVmZmVjdHMvKmVjb25vbWljczwva2V5d29yZD48a2V5
d29yZD5Dcm9zcyBJbmZlY3Rpb24vKmVjb25vbWljcy9lcGlkZW1pb2xvZ3k8L2tleXdvcmQ+PGtl
eXdvcmQ+RmVtYWxlPC9rZXl3b3JkPjxrZXl3b3JkPkhlYWx0aCBTZXJ2aWNlcyBSZXNlYXJjaDwv
a2V5d29yZD48a2V5d29yZD5Ib3NwaXRhbCBDb3N0cy8qc3RhdGlzdGljcyAmYW1wOyBudW1lcmlj
YWwgZGF0YTwva2V5d29yZD48a2V5d29yZD5IdW1hbnM8L2tleXdvcmQ+PGtleXdvcmQ+TWFsZTwv
a2V5d29yZD48a2V5d29yZD5NaWRkbGUgQWdlZDwva2V5d29yZD48a2V5d29yZD5NaWR3ZXN0ZXJu
IFVuaXRlZCBTdGF0ZXMvZXBpZGVtaW9sb2d5PC9rZXl3b3JkPjxrZXl3b3JkPlByb3NwZWN0aXZl
IFN0dWRpZXM8L2tleXdvcmQ+PGtleXdvcmQ+U2VsZWN0aW9uIEJpYXM8L2tleXdvcmQ+PGtleXdv
cmQ+U3VyZ2ljYWwgV291bmQgSW5mZWN0aW9uLyplY29ub21pY3MvZXBpZGVtaW9sb2d5PC9rZXl3
b3JkPjwva2V5d29yZHM+PGRhdGVzPjx5ZWFyPjIwMDI8L3llYXI+PHB1Yi1kYXRlcz48ZGF0ZT5B
cHI8L2RhdGU+PC9wdWItZGF0ZXM+PC9kYXRlcz48aXNibj4wODk5LTgyM1ggKFByaW50KSYjeEQ7
MDg5OS04MjNYIChMaW5raW5nKTwvaXNibj48YWNjZXNzaW9uLW51bT4xMjAwMjIzMTwvYWNjZXNz
aW9uLW51bT48d29yay10eXBlPlJlc2VhcmNoIFN1cHBvcnQsIE5vbi1VLlMuIEdvdiZhcG9zO3Q8
L3dvcmstdHlwZT48dXJscz48cmVsYXRlZC11cmxzPjx1cmw+aHR0cDovL3d3dy5uY2JpLm5sbS5u
aWguZ292L3B1Ym1lZC8xMjAwMjIzMTwvdXJsPjwvcmVsYXRlZC11cmxzPjwvdXJscz48ZWxlY3Ry
b25pYy1yZXNvdXJjZS1udW0+MTAuMTA4Ni81MDIwMzI8L2VsZWN0cm9uaWMtcmVzb3VyY2UtbnVt
PjxsYW5ndWFnZT5lbmc8L2xhbmd1YWdlPjwvcmVjb3JkPjwvQ2l0ZT48L0VuZE5vdGU+
</w:fldData>
          </w:fldChar>
        </w:r>
        <w:r w:rsidR="00C33CAE">
          <w:instrText xml:space="preserve"> ADDIN EN.CITE </w:instrText>
        </w:r>
        <w:r w:rsidR="00C33CAE">
          <w:fldChar w:fldCharType="begin">
            <w:fldData xml:space="preserve">PEVuZE5vdGU+PENpdGUgRXhjbHVkZUF1dGg9IjEiPjxBdXRob3I+SG9sbGVuYmVhazwvQXV0aG9y
PjxZZWFyPjIwMDI8L1llYXI+PFJlY051bT4zNDwvUmVjTnVtPjxEaXNwbGF5VGV4dD4yMDAyPC9E
aXNwbGF5VGV4dD48cmVjb3JkPjxyZWMtbnVtYmVyPjM0PC9yZWMtbnVtYmVyPjxmb3JlaWduLWtl
eXM+PGtleSBhcHA9IkVOIiBkYi1pZD0iOTJ0ZnR0NXYyYXJ4ZDZlOXd6cjUwdzJ3MHJ6MGVweDA5
OWZ0IiB0aW1lc3RhbXA9IjEzNzgzNjIzMTAiPjM0PC9rZXk+PC9mb3JlaWduLWtleXM+PHJlZi10
eXBlIG5hbWU9IkpvdXJuYWwgQXJ0aWNsZSI+MTc8L3JlZi10eXBlPjxjb250cmlidXRvcnM+PGF1
dGhvcnM+PGF1dGhvcj5Ib2xsZW5iZWFrLCBDLiBTLjwvYXV0aG9yPjxhdXRob3I+TXVycGh5LCBE
LjwvYXV0aG9yPjxhdXRob3I+RHVuYWdhbiwgVy4gQy48L2F1dGhvcj48YXV0aG9yPkZyYXNlciwg
Vi4gSi48L2F1dGhvcj48L2F1dGhvcnM+PC9jb250cmlidXRvcnM+PGF1dGgtYWRkcmVzcz5EZXBh
cnRtZW50IG9mIFN1cmdlcnksIFBlbm4gU3RhdGUgQ29sbGVnZSBvZiBNZWRpY2luZSwgSGVyc2hl
eSwgUGVubnN5bHZhbmlhIDE3MDMzLCBVU0EuPC9hdXRoLWFkZHJlc3M+PHRpdGxlcz48dGl0bGU+
Tm9ucmFuZG9tIHNlbGVjdGlvbiBhbmQgdGhlIGF0dHJpYnV0YWJsZSBjb3N0IG9mIHN1cmdpY2Fs
LXNpdGUgaW5mZWN0aW9uczwvdGl0bGU+PHNlY29uZGFyeS10aXRsZT5JbmZlY3QgQ29udHJvbCBI
b3NwIEVwaWRlbWlvbDwvc2Vjb25kYXJ5LXRpdGxlPjxhbHQtdGl0bGU+SW5mZWN0aW9uIGNvbnRy
b2wgYW5kIGhvc3BpdGFsIGVwaWRlbWlvbG9neSA6IHRoZSBvZmZpY2lhbCBqb3VybmFsIG9mIHRo
ZSBTb2NpZXR5IG9mIEhvc3BpdGFsIEVwaWRlbWlvbG9naXN0cyBvZiBBbWVyaWNhPC9hbHQtdGl0
bGU+PC90aXRsZXM+PHBlcmlvZGljYWw+PGZ1bGwtdGl0bGU+SW5mZWN0IENvbnRyb2wgSG9zcCBF
cGlkZW1pb2w8L2Z1bGwtdGl0bGU+PGFiYnItMT5JbmZlY3Rpb24gY29udHJvbCBhbmQgaG9zcGl0
YWwgZXBpZGVtaW9sb2d5IDogdGhlIG9mZmljaWFsIGpvdXJuYWwgb2YgdGhlIFNvY2lldHkgb2Yg
SG9zcGl0YWwgRXBpZGVtaW9sb2dpc3RzIG9mIEFtZXJpY2E8L2FiYnItMT48L3BlcmlvZGljYWw+
PGFsdC1wZXJpb2RpY2FsPjxmdWxsLXRpdGxlPkluZmVjdCBDb250cm9sIEhvc3AgRXBpZGVtaW9s
PC9mdWxsLXRpdGxlPjxhYmJyLTE+SW5mZWN0aW9uIGNvbnRyb2wgYW5kIGhvc3BpdGFsIGVwaWRl
bWlvbG9neSA6IHRoZSBvZmZpY2lhbCBqb3VybmFsIG9mIHRoZSBTb2NpZXR5IG9mIEhvc3BpdGFs
IEVwaWRlbWlvbG9naXN0cyBvZiBBbWVyaWNhPC9hYmJyLTE+PC9hbHQtcGVyaW9kaWNhbD48cGFn
ZXM+MTc3LTgyPC9wYWdlcz48dm9sdW1lPjIzPC92b2x1bWU+PG51bWJlcj40PC9udW1iZXI+PGVk
aXRpb24+MjAwMi8wNS8xMTwvZWRpdGlvbj48a2V5d29yZHM+PGtleXdvcmQ+QWdlZDwva2V5d29y
ZD48a2V5d29yZD5DYXNlLUNvbnRyb2wgU3R1ZGllczwva2V5d29yZD48a2V5d29yZD5Db3JvbmFy
eSBBcnRlcnkgQnlwYXNzLyphZHZlcnNlIGVmZmVjdHMvKmVjb25vbWljczwva2V5d29yZD48a2V5
d29yZD5Dcm9zcyBJbmZlY3Rpb24vKmVjb25vbWljcy9lcGlkZW1pb2xvZ3k8L2tleXdvcmQ+PGtl
eXdvcmQ+RmVtYWxlPC9rZXl3b3JkPjxrZXl3b3JkPkhlYWx0aCBTZXJ2aWNlcyBSZXNlYXJjaDwv
a2V5d29yZD48a2V5d29yZD5Ib3NwaXRhbCBDb3N0cy8qc3RhdGlzdGljcyAmYW1wOyBudW1lcmlj
YWwgZGF0YTwva2V5d29yZD48a2V5d29yZD5IdW1hbnM8L2tleXdvcmQ+PGtleXdvcmQ+TWFsZTwv
a2V5d29yZD48a2V5d29yZD5NaWRkbGUgQWdlZDwva2V5d29yZD48a2V5d29yZD5NaWR3ZXN0ZXJu
IFVuaXRlZCBTdGF0ZXMvZXBpZGVtaW9sb2d5PC9rZXl3b3JkPjxrZXl3b3JkPlByb3NwZWN0aXZl
IFN0dWRpZXM8L2tleXdvcmQ+PGtleXdvcmQ+U2VsZWN0aW9uIEJpYXM8L2tleXdvcmQ+PGtleXdv
cmQ+U3VyZ2ljYWwgV291bmQgSW5mZWN0aW9uLyplY29ub21pY3MvZXBpZGVtaW9sb2d5PC9rZXl3
b3JkPjwva2V5d29yZHM+PGRhdGVzPjx5ZWFyPjIwMDI8L3llYXI+PHB1Yi1kYXRlcz48ZGF0ZT5B
cHI8L2RhdGU+PC9wdWItZGF0ZXM+PC9kYXRlcz48aXNibj4wODk5LTgyM1ggKFByaW50KSYjeEQ7
MDg5OS04MjNYIChMaW5raW5nKTwvaXNibj48YWNjZXNzaW9uLW51bT4xMjAwMjIzMTwvYWNjZXNz
aW9uLW51bT48d29yay10eXBlPlJlc2VhcmNoIFN1cHBvcnQsIE5vbi1VLlMuIEdvdiZhcG9zO3Q8
L3dvcmstdHlwZT48dXJscz48cmVsYXRlZC11cmxzPjx1cmw+aHR0cDovL3d3dy5uY2JpLm5sbS5u
aWguZ292L3B1Ym1lZC8xMjAwMjIzMTwvdXJsPjwvcmVsYXRlZC11cmxzPjwvdXJscz48ZWxlY3Ry
b25pYy1yZXNvdXJjZS1udW0+MTAuMTA4Ni81MDIwMzI8L2VsZWN0cm9uaWMtcmVzb3VyY2UtbnVt
PjxsYW5ndWFnZT5lbmc8L2xhbmd1YWdlPjwvcmVjb3JkPjwvQ2l0ZT48L0VuZE5vdGU+
</w:fldData>
          </w:fldChar>
        </w:r>
        <w:r w:rsidR="00C33CAE">
          <w:instrText xml:space="preserve"> ADDIN EN.CITE.DATA </w:instrText>
        </w:r>
        <w:r w:rsidR="00C33CAE">
          <w:fldChar w:fldCharType="end"/>
        </w:r>
        <w:r w:rsidR="00C33CAE">
          <w:fldChar w:fldCharType="separate"/>
        </w:r>
        <w:r w:rsidR="00C33CAE">
          <w:rPr>
            <w:noProof/>
          </w:rPr>
          <w:t>2002</w:t>
        </w:r>
        <w:r w:rsidR="00C33CAE">
          <w:fldChar w:fldCharType="end"/>
        </w:r>
      </w:hyperlink>
      <w:r>
        <w:t>) used a two stage method in a study investigating the cost of surgical site infections for patients receiving coronary artery by-pass surgery (CABG).  In the first stage the risk of infection is estimated using a probit regression model. In the second stage the predicted risk is introduced as an explanatory variable in a regression model similar to equation 1 above.  In this particular study, the authors found these methods resulted in a significantly reduced estimate of the cost of SSI in these cases (from $20,103 to $14,211).</w:t>
      </w:r>
    </w:p>
    <w:p w:rsidR="007718C7" w:rsidRDefault="007718C7" w:rsidP="00B912D2">
      <w:r w:rsidRPr="0072259F">
        <w:t xml:space="preserve">Graves et al. </w:t>
      </w:r>
      <w:r>
        <w:t>(</w:t>
      </w:r>
      <w:hyperlink w:anchor="_ENREF_13" w:tooltip="Graves, 2005 #31" w:history="1">
        <w:r w:rsidR="00C33CAE">
          <w:fldChar w:fldCharType="begin">
            <w:fldData xml:space="preserve">PEVuZE5vdGU+PENpdGUgRXhjbHVkZUF1dGg9IjEiPjxBdXRob3I+R3JhdmVzPC9BdXRob3I+PFll
YXI+MjAwNTwvWWVhcj48UmVjTnVtPjMxPC9SZWNOdW0+PERpc3BsYXlUZXh0PjIwMDU8L0Rpc3Bs
YXlUZXh0PjxyZWNvcmQ+PHJlYy1udW1iZXI+MzE8L3JlYy1udW1iZXI+PGZvcmVpZ24ta2V5cz48
a2V5IGFwcD0iRU4iIGRiLWlkPSI5MnRmdHQ1djJhcnhkNmU5d3pyNTB3MncwcnowZXB4MDk5ZnQi
IHRpbWVzdGFtcD0iMTM3ODM2MTY4MSI+MzE8L2tleT48L2ZvcmVpZ24ta2V5cz48cmVmLXR5cGUg
bmFtZT0iSm91cm5hbCBBcnRpY2xlIj4xNzwvcmVmLXR5cGU+PGNvbnRyaWJ1dG9ycz48YXV0aG9y
cz48YXV0aG9yPkdyYXZlcywgTi48L2F1dGhvcj48YXV0aG9yPldlaW5ob2xkLCBELjwvYXV0aG9y
PjxhdXRob3I+Um9iZXJ0cywgSi4gQS48L2F1dGhvcj48L2F1dGhvcnM+PC9jb250cmlidXRvcnM+
PGF1dGgtYWRkcmVzcz5DZW50cmUgZm9yIEhlYWx0aGNhcmUgUmVsYXRlZCBJbmZlY3Rpb24sIFN1
cnZlaWxsYW5jZSBhbmQgUHJldmVudGlvbiwgUHJpbmNlc3MgQWxleGFuZHJhIEhvc3BpdGFsLCBR
dWVlbnNsYW5kLCBBdXN0cmFsaWEuIG4uZ3JhdmVzQHF1dC5lZHUuYXU8L2F1dGgtYWRkcmVzcz48
dGl0bGVzPjx0aXRsZT5Db3JyZWN0aW5nIGZvciBiaWFzIHdoZW4gZXN0aW1hdGluZyB0aGUgY29z
dCBvZiBob3NwaXRhbC1hY3F1aXJlZCBpbmZlY3Rpb246IGFuIGFuYWx5c2lzIG9mIGxvd2VyIHJl
c3BpcmF0b3J5IHRyYWN0IGluZmVjdGlvbnMgaW4gbm9uLXN1cmdpY2FsIHBhdGllbnRzPC90aXRs
ZT48c2Vjb25kYXJ5LXRpdGxlPkhlYWx0aCBFY29uPC9zZWNvbmRhcnktdGl0bGU+PGFsdC10aXRs
ZT5IZWFsdGggZWNvbm9taWNzPC9hbHQtdGl0bGU+PC90aXRsZXM+PHBlcmlvZGljYWw+PGZ1bGwt
dGl0bGU+SGVhbHRoIEVjb248L2Z1bGwtdGl0bGU+PGFiYnItMT5IZWFsdGggZWNvbm9taWNzPC9h
YmJyLTE+PC9wZXJpb2RpY2FsPjxhbHQtcGVyaW9kaWNhbD48ZnVsbC10aXRsZT5IZWFsdGggRWNv
bjwvZnVsbC10aXRsZT48YWJici0xPkhlYWx0aCBlY29ub21pY3M8L2FiYnItMT48L2FsdC1wZXJp
b2RpY2FsPjxwYWdlcz43NTUtNjE8L3BhZ2VzPjx2b2x1bWU+MTQ8L3ZvbHVtZT48bnVtYmVyPjc8
L251bWJlcj48ZWRpdGlvbj4yMDA1LzAxLzI5PC9lZGl0aW9uPjxrZXl3b3Jkcz48a2V5d29yZD5C
aWFzIChFcGlkZW1pb2xvZ3kpPC9rZXl3b3JkPjxrZXl3b3JkPkNvc3QtQmVuZWZpdCBBbmFseXNp
czwva2V5d29yZD48a2V5d29yZD5Dcm9zcyBJbmZlY3Rpb24vKmVjb25vbWljcy9lcGlkZW1pb2xv
Z3k8L2tleXdvcmQ+PGtleXdvcmQ+RmVtYWxlPC9rZXl3b3JkPjxrZXl3b3JkPkhlYWx0aCBDYXJl
IENvc3RzPC9rZXl3b3JkPjxrZXl3b3JkPkh1bWFuczwva2V5d29yZD48a2V5d29yZD5JbnBhdGll
bnRzPC9rZXl3b3JkPjxrZXl3b3JkPkxlbmd0aCBvZiBTdGF5L2Vjb25vbWljcy9zdGF0aXN0aWNz
ICZhbXA7IG51bWVyaWNhbCBkYXRhPC9rZXl3b3JkPjxrZXl3b3JkPk1hbGU8L2tleXdvcmQ+PGtl
eXdvcmQ+TW9kZWxzLCBFY29ub21pYzwva2V5d29yZD48a2V5d29yZD5SZXNwaXJhdG9yeSBUcmFj
dCBJbmZlY3Rpb25zLyplY29ub21pY3MvZXBpZGVtaW9sb2d5PC9rZXl3b3JkPjxrZXl3b3JkPlJp
c2sgQXNzZXNzbWVudDwva2V5d29yZD48L2tleXdvcmRzPjxkYXRlcz48eWVhcj4yMDA1PC95ZWFy
PjxwdWItZGF0ZXM+PGRhdGU+SnVsPC9kYXRlPjwvcHViLWRhdGVzPjwvZGF0ZXM+PGlzYm4+MTA1
Ny05MjMwIChQcmludCkmI3hEOzEwNTctOTIzMCAoTGlua2luZyk8L2lzYm4+PGFjY2Vzc2lvbi1u
dW0+MTU2Nzg1MjE8L2FjY2Vzc2lvbi1udW0+PHdvcmstdHlwZT5SZXNlYXJjaCBTdXBwb3J0LCBO
b24tVS5TLiBHb3YmYXBvczt0PC93b3JrLXR5cGU+PHVybHM+PHJlbGF0ZWQtdXJscz48dXJsPmh0
dHA6Ly93d3cubmNiaS5ubG0ubmloLmdvdi9wdWJtZWQvMTU2Nzg1MjE8L3VybD48L3JlbGF0ZWQt
dXJscz48L3VybHM+PGVsZWN0cm9uaWMtcmVzb3VyY2UtbnVtPjEwLjEwMDIvaGVjLjk2NzwvZWxl
Y3Ryb25pYy1yZXNvdXJjZS1udW0+PGxhbmd1YWdlPmVuZzwvbGFuZ3VhZ2U+PC9yZWNvcmQ+PC9D
aXRlPjwvRW5kTm90ZT4A
</w:fldData>
          </w:fldChar>
        </w:r>
        <w:r w:rsidR="00C33CAE">
          <w:instrText xml:space="preserve"> ADDIN EN.CITE </w:instrText>
        </w:r>
        <w:r w:rsidR="00C33CAE">
          <w:fldChar w:fldCharType="begin">
            <w:fldData xml:space="preserve">PEVuZE5vdGU+PENpdGUgRXhjbHVkZUF1dGg9IjEiPjxBdXRob3I+R3JhdmVzPC9BdXRob3I+PFll
YXI+MjAwNTwvWWVhcj48UmVjTnVtPjMxPC9SZWNOdW0+PERpc3BsYXlUZXh0PjIwMDU8L0Rpc3Bs
YXlUZXh0PjxyZWNvcmQ+PHJlYy1udW1iZXI+MzE8L3JlYy1udW1iZXI+PGZvcmVpZ24ta2V5cz48
a2V5IGFwcD0iRU4iIGRiLWlkPSI5MnRmdHQ1djJhcnhkNmU5d3pyNTB3MncwcnowZXB4MDk5ZnQi
IHRpbWVzdGFtcD0iMTM3ODM2MTY4MSI+MzE8L2tleT48L2ZvcmVpZ24ta2V5cz48cmVmLXR5cGUg
bmFtZT0iSm91cm5hbCBBcnRpY2xlIj4xNzwvcmVmLXR5cGU+PGNvbnRyaWJ1dG9ycz48YXV0aG9y
cz48YXV0aG9yPkdyYXZlcywgTi48L2F1dGhvcj48YXV0aG9yPldlaW5ob2xkLCBELjwvYXV0aG9y
PjxhdXRob3I+Um9iZXJ0cywgSi4gQS48L2F1dGhvcj48L2F1dGhvcnM+PC9jb250cmlidXRvcnM+
PGF1dGgtYWRkcmVzcz5DZW50cmUgZm9yIEhlYWx0aGNhcmUgUmVsYXRlZCBJbmZlY3Rpb24sIFN1
cnZlaWxsYW5jZSBhbmQgUHJldmVudGlvbiwgUHJpbmNlc3MgQWxleGFuZHJhIEhvc3BpdGFsLCBR
dWVlbnNsYW5kLCBBdXN0cmFsaWEuIG4uZ3JhdmVzQHF1dC5lZHUuYXU8L2F1dGgtYWRkcmVzcz48
dGl0bGVzPjx0aXRsZT5Db3JyZWN0aW5nIGZvciBiaWFzIHdoZW4gZXN0aW1hdGluZyB0aGUgY29z
dCBvZiBob3NwaXRhbC1hY3F1aXJlZCBpbmZlY3Rpb246IGFuIGFuYWx5c2lzIG9mIGxvd2VyIHJl
c3BpcmF0b3J5IHRyYWN0IGluZmVjdGlvbnMgaW4gbm9uLXN1cmdpY2FsIHBhdGllbnRzPC90aXRs
ZT48c2Vjb25kYXJ5LXRpdGxlPkhlYWx0aCBFY29uPC9zZWNvbmRhcnktdGl0bGU+PGFsdC10aXRs
ZT5IZWFsdGggZWNvbm9taWNzPC9hbHQtdGl0bGU+PC90aXRsZXM+PHBlcmlvZGljYWw+PGZ1bGwt
dGl0bGU+SGVhbHRoIEVjb248L2Z1bGwtdGl0bGU+PGFiYnItMT5IZWFsdGggZWNvbm9taWNzPC9h
YmJyLTE+PC9wZXJpb2RpY2FsPjxhbHQtcGVyaW9kaWNhbD48ZnVsbC10aXRsZT5IZWFsdGggRWNv
bjwvZnVsbC10aXRsZT48YWJici0xPkhlYWx0aCBlY29ub21pY3M8L2FiYnItMT48L2FsdC1wZXJp
b2RpY2FsPjxwYWdlcz43NTUtNjE8L3BhZ2VzPjx2b2x1bWU+MTQ8L3ZvbHVtZT48bnVtYmVyPjc8
L251bWJlcj48ZWRpdGlvbj4yMDA1LzAxLzI5PC9lZGl0aW9uPjxrZXl3b3Jkcz48a2V5d29yZD5C
aWFzIChFcGlkZW1pb2xvZ3kpPC9rZXl3b3JkPjxrZXl3b3JkPkNvc3QtQmVuZWZpdCBBbmFseXNp
czwva2V5d29yZD48a2V5d29yZD5Dcm9zcyBJbmZlY3Rpb24vKmVjb25vbWljcy9lcGlkZW1pb2xv
Z3k8L2tleXdvcmQ+PGtleXdvcmQ+RmVtYWxlPC9rZXl3b3JkPjxrZXl3b3JkPkhlYWx0aCBDYXJl
IENvc3RzPC9rZXl3b3JkPjxrZXl3b3JkPkh1bWFuczwva2V5d29yZD48a2V5d29yZD5JbnBhdGll
bnRzPC9rZXl3b3JkPjxrZXl3b3JkPkxlbmd0aCBvZiBTdGF5L2Vjb25vbWljcy9zdGF0aXN0aWNz
ICZhbXA7IG51bWVyaWNhbCBkYXRhPC9rZXl3b3JkPjxrZXl3b3JkPk1hbGU8L2tleXdvcmQ+PGtl
eXdvcmQ+TW9kZWxzLCBFY29ub21pYzwva2V5d29yZD48a2V5d29yZD5SZXNwaXJhdG9yeSBUcmFj
dCBJbmZlY3Rpb25zLyplY29ub21pY3MvZXBpZGVtaW9sb2d5PC9rZXl3b3JkPjxrZXl3b3JkPlJp
c2sgQXNzZXNzbWVudDwva2V5d29yZD48L2tleXdvcmRzPjxkYXRlcz48eWVhcj4yMDA1PC95ZWFy
PjxwdWItZGF0ZXM+PGRhdGU+SnVsPC9kYXRlPjwvcHViLWRhdGVzPjwvZGF0ZXM+PGlzYm4+MTA1
Ny05MjMwIChQcmludCkmI3hEOzEwNTctOTIzMCAoTGlua2luZyk8L2lzYm4+PGFjY2Vzc2lvbi1u
dW0+MTU2Nzg1MjE8L2FjY2Vzc2lvbi1udW0+PHdvcmstdHlwZT5SZXNlYXJjaCBTdXBwb3J0LCBO
b24tVS5TLiBHb3YmYXBvczt0PC93b3JrLXR5cGU+PHVybHM+PHJlbGF0ZWQtdXJscz48dXJsPmh0
dHA6Ly93d3cubmNiaS5ubG0ubmloLmdvdi9wdWJtZWQvMTU2Nzg1MjE8L3VybD48L3JlbGF0ZWQt
dXJscz48L3VybHM+PGVsZWN0cm9uaWMtcmVzb3VyY2UtbnVtPjEwLjEwMDIvaGVjLjk2NzwvZWxl
Y3Ryb25pYy1yZXNvdXJjZS1udW0+PGxhbmd1YWdlPmVuZzwvbGFuZ3VhZ2U+PC9yZWNvcmQ+PC9D
aXRlPjwvRW5kTm90ZT4A
</w:fldData>
          </w:fldChar>
        </w:r>
        <w:r w:rsidR="00C33CAE">
          <w:instrText xml:space="preserve"> ADDIN EN.CITE.DATA </w:instrText>
        </w:r>
        <w:r w:rsidR="00C33CAE">
          <w:fldChar w:fldCharType="end"/>
        </w:r>
        <w:r w:rsidR="00C33CAE">
          <w:fldChar w:fldCharType="separate"/>
        </w:r>
        <w:r w:rsidR="00C33CAE">
          <w:rPr>
            <w:noProof/>
          </w:rPr>
          <w:t>2005</w:t>
        </w:r>
        <w:r w:rsidR="00C33CAE">
          <w:fldChar w:fldCharType="end"/>
        </w:r>
      </w:hyperlink>
      <w:r>
        <w:t xml:space="preserve">) used a similar approach, but also used an instrumental variables method. The study re-analysed data from a previous study of the impact of the cost of lower respiratory tract infections (LRTI) in non-surgical patients.  They also adopted a two stage model.  In the first stage the likelihood of a patient having a LRTI was estimated used a probit regression model, using variables that were predictive of an infection but not of length of stay or cost.  (The restriction to these ‘instrumental variables’ is the main methodological difference compared with the </w:t>
      </w:r>
      <w:r w:rsidRPr="0072259F">
        <w:t xml:space="preserve">Hollenbeak </w:t>
      </w:r>
      <w:r>
        <w:t>study.)  The resulting predicted probability of infection was then introduced into a second stage model as a variable in a model similar to equation 1 above.</w:t>
      </w:r>
    </w:p>
    <w:p w:rsidR="007718C7" w:rsidRDefault="007718C7" w:rsidP="00B912D2">
      <w:r>
        <w:t>E</w:t>
      </w:r>
      <w:r w:rsidRPr="009C1EB8">
        <w:t>ndogeneity</w:t>
      </w:r>
      <w:r>
        <w:t xml:space="preserve"> and the related time dependency biases represent serious challenges, which are not easily addressed.</w:t>
      </w:r>
    </w:p>
    <w:p w:rsidR="007718C7" w:rsidRDefault="007718C7" w:rsidP="00B912D2">
      <w:r>
        <w:t xml:space="preserve">Another set of methodological issues relate to the regression estimation methods adopted. Cost and length of stay data typically have very skewed distributions.  While it has been argued that datasets with very large numbers of observations could use Ordinary Least Squares (OLS) models to generate unbiased estimates of effects (e.g. </w:t>
      </w:r>
      <w:hyperlink w:anchor="_ENREF_10" w:tooltip="Fuller, 2009 #48" w:history="1">
        <w:r w:rsidR="00C33CAE">
          <w:fldChar w:fldCharType="begin"/>
        </w:r>
        <w:r w:rsidR="00C33CAE">
          <w:instrText xml:space="preserve"> ADDIN EN.CITE &lt;EndNote&gt;&lt;Cite&gt;&lt;Author&gt;Fuller&lt;/Author&gt;&lt;Year&gt;2009&lt;/Year&gt;&lt;RecNum&gt;48&lt;/RecNum&gt;&lt;DisplayText&gt;Fuller et al., 2009&lt;/DisplayText&gt;&lt;record&gt;&lt;rec-number&gt;48&lt;/rec-number&gt;&lt;foreign-keys&gt;&lt;key app="EN" db-id="92tftt5v2arxd6e9wzr50w2w0rz0epx099ft" timestamp="1378362726"&gt;48&lt;/key&gt;&lt;/foreign-keys&gt;&lt;ref-type name="Journal Article"&gt;17&lt;/ref-type&gt;&lt;contributors&gt;&lt;authors&gt;&lt;author&gt;Fuller, R. L.&lt;/author&gt;&lt;author&gt;McCullough, E. C.&lt;/author&gt;&lt;author&gt;Bao, M. Z.&lt;/author&gt;&lt;author&gt;Averill, R. F.&lt;/author&gt;&lt;/authors&gt;&lt;/contributors&gt;&lt;auth-address&gt;3M Health Information Systems, Silver Spring, Maryland 20904, USA. rlfuller@mmm.com&lt;/auth-address&gt;&lt;titles&gt;&lt;title&gt;Estimating the costs of potentially preventable hospital acquired complications&lt;/title&gt;&lt;secondary-title&gt;Health Care Financ Rev&lt;/secondary-title&gt;&lt;alt-title&gt;Health care financing review&lt;/alt-title&gt;&lt;/titles&gt;&lt;alt-periodical&gt;&lt;full-title&gt;Health Care Financing Review&lt;/full-title&gt;&lt;/alt-periodical&gt;&lt;pages&gt;17-32&lt;/pages&gt;&lt;volume&gt;30&lt;/volume&gt;&lt;number&gt;4&lt;/number&gt;&lt;edition&gt;2009/09/02&lt;/edition&gt;&lt;keywords&gt;&lt;keyword&gt;Costs and Cost Analysis&lt;/keyword&gt;&lt;keyword&gt;Cross Infection/*economics&lt;/keyword&gt;&lt;keyword&gt;Economics, Hospital&lt;/keyword&gt;&lt;keyword&gt;*Health Care Costs&lt;/keyword&gt;&lt;keyword&gt;Humans&lt;/keyword&gt;&lt;keyword&gt;Linear Models&lt;/keyword&gt;&lt;keyword&gt;Medical Errors/*economics&lt;/keyword&gt;&lt;keyword&gt;Postoperative Complications/*economics&lt;/keyword&gt;&lt;keyword&gt;United States&lt;/keyword&gt;&lt;/keywords&gt;&lt;dates&gt;&lt;year&gt;2009&lt;/year&gt;&lt;pub-dates&gt;&lt;date&gt;Summer&lt;/date&gt;&lt;/pub-dates&gt;&lt;/dates&gt;&lt;isbn&gt;0195-8631 (Print)&amp;#xD;0195-8631 (Linking)&lt;/isbn&gt;&lt;accession-num&gt;19719030&lt;/accession-num&gt;&lt;urls&gt;&lt;related-urls&gt;&lt;url&gt;http://www.ncbi.nlm.nih.gov/pubmed/19719030&lt;/url&gt;&lt;/related-urls&gt;&lt;/urls&gt;&lt;language&gt;eng&lt;/language&gt;&lt;/record&gt;&lt;/Cite&gt;&lt;/EndNote&gt;</w:instrText>
        </w:r>
        <w:r w:rsidR="00C33CAE">
          <w:fldChar w:fldCharType="separate"/>
        </w:r>
        <w:r w:rsidR="00C33CAE">
          <w:rPr>
            <w:noProof/>
          </w:rPr>
          <w:t>Fuller et al., 2009</w:t>
        </w:r>
        <w:r w:rsidR="00C33CAE">
          <w:fldChar w:fldCharType="end"/>
        </w:r>
      </w:hyperlink>
      <w:r>
        <w:t xml:space="preserve">), in recent studies Generalised Linear Models (GLM) have been used combined with a transformation of the data and assumptions regarding the distribution of the data (e.g. </w:t>
      </w:r>
      <w:r>
        <w:fldChar w:fldCharType="begin">
          <w:fldData xml:space="preserve">PEVuZE5vdGU+PENpdGU+PEF1dGhvcj5KYWNrc29uPC9BdXRob3I+PFllYXI+MjAxMywgdW5kZXIg
cmV2aWV3PC9ZZWFyPjxSZWNOdW0+MTA2PC9SZWNOdW0+PERpc3BsYXlUZXh0PkphY2tzb24gZXQg
YWwuLCAyMDEzLCB1bmRlciByZXZpZXc7IFpoYW4gJmFtcDsgTWlsbGVyLCAyMDAzPC9EaXNwbGF5
VGV4dD48cmVjb3JkPjxyZWMtbnVtYmVyPjEwNjwvcmVjLW51bWJlcj48Zm9yZWlnbi1rZXlzPjxr
ZXkgYXBwPSJFTiIgZGItaWQ9IjkydGZ0dDV2MmFyeGQ2ZTl3enI1MHcydzByejBlcHgwOTlmdCIg
dGltZXN0YW1wPSIxMzc4OTUxMjg2Ij4xMDY8L2tleT48L2ZvcmVpZ24ta2V5cz48cmVmLXR5cGUg
bmFtZT0iSm91cm5hbCBBcnRpY2xlIj4xNzwvcmVmLXR5cGU+PGNvbnRyaWJ1dG9ycz48YXV0aG9y
cz48YXV0aG9yPkphY2tzb24sIFQ8L2F1dGhvcj48YXV0aG9yPkZvbmcsIEE8L2F1dGhvcj48YXV0
aG9yPkxpdSwgTTwvYXV0aG9yPjxhdXRob3I+TXVycmF5LCBLPC9hdXRob3I+PGF1dGhvcj5RV2Fs
eiwgTDwvYXV0aG9yPjxhdXRob3I+SG91c3RvbiwgQzwvYXV0aG9yPjxhdXRob3I+RGVhbiwgUzwv
YXV0aG9yPjwvYXV0aG9ycz48L2NvbnRyaWJ1dG9ycz48dGl0bGVzPjx0aXRsZT5JbmNyZW1lbnRh
bCBjb3N0cyBvZiBob3NwaXRhbC1hY3F1aXJlZCBjb21wbGljYXRpb25zIGluIEFsYmVydGEsIENh
bmFkYTwvdGl0bGU+PC90aXRsZXM+PGRhdGVzPjx5ZWFyPjIwMTMsIHVuZGVyIHJldmlldzwveWVh
cj48L2RhdGVzPjx1cmxzPjwvdXJscz48L3JlY29yZD48L0NpdGU+PENpdGU+PEF1dGhvcj5aaGFu
PC9BdXRob3I+PFllYXI+MjAwMzwvWWVhcj48UmVjTnVtPjk2PC9SZWNOdW0+PHJlY29yZD48cmVj
LW51bWJlcj45NjwvcmVjLW51bWJlcj48Zm9yZWlnbi1rZXlzPjxrZXkgYXBwPSJFTiIgZGItaWQ9
IjkydGZ0dDV2MmFyeGQ2ZTl3enI1MHcydzByejBlcHgwOTlmdCIgdGltZXN0YW1wPSIxMzc4NTI4
MzY3Ij45Njwva2V5PjwvZm9yZWlnbi1rZXlzPjxyZWYtdHlwZSBuYW1lPSJKb3VybmFsIEFydGlj
bGUiPjE3PC9yZWYtdHlwZT48Y29udHJpYnV0b3JzPjxhdXRob3JzPjxhdXRob3I+WmhhbiwgQzwv
YXV0aG9yPjxhdXRob3I+TWlsbGVyLCBNLiBSPC9hdXRob3I+PC9hdXRob3JzPjwvY29udHJpYnV0
b3JzPjxhdXRoLWFkZHJlc3M+Q2VudGVyIGZvciBRdWFsaXR5IEltcHJvdmVtZW50IGFuZCBQYXRp
ZW50IFNhZmV0eSwgQWdlbmN5IGZvciBIZWFsdGhjYXJlIFJlc2VhcmNoIGFuZCBRdWFsaXR5LCBE
ZXBhcnRtZW50IG9mIEhlYWx0aCBhbmQgSHVtYW4gU2VydmljZXMsIFJvY2t2aWxsZSwgTWQgMjA4
NTAsIFVTQS4gY3poYW5AYWhycS5nb3Y8L2F1dGgtYWRkcmVzcz48dGl0bGVzPjx0aXRsZT5FeGNl
c3MgbGVuZ3RoIG9mIHN0YXksIGNoYXJnZXMsIGFuZCBtb3J0YWxpdHkgYXR0cmlidXRhYmxlIHRv
IG1lZGljYWwgaW5qdXJpZXMgZHVyaW5nIGhvc3BpdGFsaXphdGlvbjwvdGl0bGU+PHNlY29uZGFy
eS10aXRsZT5KQU1BPC9zZWNvbmRhcnktdGl0bGU+PGFsdC10aXRsZT5KQU1BIDogdGhlIGpvdXJu
YWwgb2YgdGhlIEFtZXJpY2FuIE1lZGljYWwgQXNzb2NpYXRpb248L2FsdC10aXRsZT48L3RpdGxl
cz48cGVyaW9kaWNhbD48ZnVsbC10aXRsZT5KQU1BPC9mdWxsLXRpdGxlPjxhYmJyLTE+SkFNQSA6
IHRoZSBqb3VybmFsIG9mIHRoZSBBbWVyaWNhbiBNZWRpY2FsIEFzc29jaWF0aW9uPC9hYmJyLTE+
PC9wZXJpb2RpY2FsPjxhbHQtcGVyaW9kaWNhbD48ZnVsbC10aXRsZT5KQU1BPC9mdWxsLXRpdGxl
PjxhYmJyLTE+SkFNQSA6IHRoZSBqb3VybmFsIG9mIHRoZSBBbWVyaWNhbiBNZWRpY2FsIEFzc29j
aWF0aW9uPC9hYmJyLTE+PC9hbHQtcGVyaW9kaWNhbD48cGFnZXM+MTg2OC03NDwvcGFnZXM+PHZv
bHVtZT4yOTA8L3ZvbHVtZT48bnVtYmVyPjE0PC9udW1iZXI+PGVkaXRpb24+MjAwMy8xMC8wOTwv
ZWRpdGlvbj48a2V5d29yZHM+PGtleXdvcmQ+RGlhZ25vc2lzLVJlbGF0ZWQgR3JvdXBzPC9rZXl3
b3JkPjxrZXl3b3JkPkhlYWx0aCBTZXJ2aWNlcyBSZXNlYXJjaDwva2V5d29yZD48a2V5d29yZD5I
b3NwaXRhbCBDaGFyZ2VzLypzdGF0aXN0aWNzICZhbXA7IG51bWVyaWNhbCBkYXRhPC9rZXl3b3Jk
PjxrZXl3b3JkPipIb3NwaXRhbCBNb3J0YWxpdHk8L2tleXdvcmQ+PGtleXdvcmQ+SHVtYW5zPC9r
ZXl3b3JkPjxrZXl3b3JkPkludGVybmF0aW9uYWwgQ2xhc3NpZmljYXRpb24gb2YgRGlzZWFzZXM8
L2tleXdvcmQ+PGtleXdvcmQ+TGVuZ3RoIG9mIFN0YXkvZWNvbm9taWNzLypzdGF0aXN0aWNzICZh
bXA7IG51bWVyaWNhbCBkYXRhPC9rZXl3b3JkPjxrZXl3b3JkPk1lZGljYWwgRXJyb3JzL2Vjb25v
bWljcy8qc3RhdGlzdGljcyAmYW1wOyBudW1lcmljYWwgZGF0YTwva2V5d29yZD48a2V5d29yZD5P
dXRjb21lIEFzc2Vzc21lbnQgKEhlYWx0aCBDYXJlKTwva2V5d29yZD48a2V5d29yZD5Qb3N0b3Bl
cmF0aXZlIENvbXBsaWNhdGlvbnMvZWNvbm9taWNzL2VwaWRlbWlvbG9neTwva2V5d29yZD48a2V5
d29yZD5RdWFsaXR5IEluZGljYXRvcnMsIEhlYWx0aCBDYXJlPC9rZXl3b3JkPjxrZXl3b3JkPlF1
YWxpdHkgb2YgSGVhbHRoIENhcmUvKnN0YXRpc3RpY3MgJmFtcDsgbnVtZXJpY2FsIGRhdGE8L2tl
eXdvcmQ+PGtleXdvcmQ+VW5pdGVkIFN0YXRlcy9lcGlkZW1pb2xvZ3k8L2tleXdvcmQ+PGtleXdv
cmQ+VW5pdGVkIFN0YXRlcyBBZ2VuY3kgZm9yIEhlYWx0aGNhcmUgUmVzZWFyY2ggYW5kIFF1YWxp
dHk8L2tleXdvcmQ+PC9rZXl3b3Jkcz48ZGF0ZXM+PHllYXI+MjAwMzwveWVhcj48cHViLWRhdGVz
PjxkYXRlPk9jdCA4PC9kYXRlPjwvcHViLWRhdGVzPjwvZGF0ZXM+PGlzYm4+MTUzOC0zNTk4IChF
bGVjdHJvbmljKSYjeEQ7MDA5OC03NDg0IChMaW5raW5nKTwvaXNibj48YWNjZXNzaW9uLW51bT4x
NDUzMjMxNTwvYWNjZXNzaW9uLW51bT48d29yay10eXBlPkV2YWx1YXRpb24gU3R1ZGllczwvd29y
ay10eXBlPjx1cmxzPjxyZWxhdGVkLXVybHM+PHVybD5odHRwOi8vd3d3Lm5jYmkubmxtLm5paC5n
b3YvcHVibWVkLzE0NTMyMzE1PC91cmw+PC9yZWxhdGVkLXVybHM+PC91cmxzPjxlbGVjdHJvbmlj
LXJlc291cmNlLW51bT4xMC4xMDAxL2phbWEuMjkwLjE0LjE4Njg8L2VsZWN0cm9uaWMtcmVzb3Vy
Y2UtbnVtPjxsYW5ndWFnZT5lbmc8L2xhbmd1YWdlPjwvcmVjb3JkPjwvQ2l0ZT48L0VuZE5vdGU+
</w:fldData>
        </w:fldChar>
      </w:r>
      <w:r w:rsidR="00290091">
        <w:instrText xml:space="preserve"> ADDIN EN.CITE </w:instrText>
      </w:r>
      <w:r w:rsidR="00290091">
        <w:fldChar w:fldCharType="begin">
          <w:fldData xml:space="preserve">PEVuZE5vdGU+PENpdGU+PEF1dGhvcj5KYWNrc29uPC9BdXRob3I+PFllYXI+MjAxMywgdW5kZXIg
cmV2aWV3PC9ZZWFyPjxSZWNOdW0+MTA2PC9SZWNOdW0+PERpc3BsYXlUZXh0PkphY2tzb24gZXQg
YWwuLCAyMDEzLCB1bmRlciByZXZpZXc7IFpoYW4gJmFtcDsgTWlsbGVyLCAyMDAzPC9EaXNwbGF5
VGV4dD48cmVjb3JkPjxyZWMtbnVtYmVyPjEwNjwvcmVjLW51bWJlcj48Zm9yZWlnbi1rZXlzPjxr
ZXkgYXBwPSJFTiIgZGItaWQ9IjkydGZ0dDV2MmFyeGQ2ZTl3enI1MHcydzByejBlcHgwOTlmdCIg
dGltZXN0YW1wPSIxMzc4OTUxMjg2Ij4xMDY8L2tleT48L2ZvcmVpZ24ta2V5cz48cmVmLXR5cGUg
bmFtZT0iSm91cm5hbCBBcnRpY2xlIj4xNzwvcmVmLXR5cGU+PGNvbnRyaWJ1dG9ycz48YXV0aG9y
cz48YXV0aG9yPkphY2tzb24sIFQ8L2F1dGhvcj48YXV0aG9yPkZvbmcsIEE8L2F1dGhvcj48YXV0
aG9yPkxpdSwgTTwvYXV0aG9yPjxhdXRob3I+TXVycmF5LCBLPC9hdXRob3I+PGF1dGhvcj5RV2Fs
eiwgTDwvYXV0aG9yPjxhdXRob3I+SG91c3RvbiwgQzwvYXV0aG9yPjxhdXRob3I+RGVhbiwgUzwv
YXV0aG9yPjwvYXV0aG9ycz48L2NvbnRyaWJ1dG9ycz48dGl0bGVzPjx0aXRsZT5JbmNyZW1lbnRh
bCBjb3N0cyBvZiBob3NwaXRhbC1hY3F1aXJlZCBjb21wbGljYXRpb25zIGluIEFsYmVydGEsIENh
bmFkYTwvdGl0bGU+PC90aXRsZXM+PGRhdGVzPjx5ZWFyPjIwMTMsIHVuZGVyIHJldmlldzwveWVh
cj48L2RhdGVzPjx1cmxzPjwvdXJscz48L3JlY29yZD48L0NpdGU+PENpdGU+PEF1dGhvcj5aaGFu
PC9BdXRob3I+PFllYXI+MjAwMzwvWWVhcj48UmVjTnVtPjk2PC9SZWNOdW0+PHJlY29yZD48cmVj
LW51bWJlcj45NjwvcmVjLW51bWJlcj48Zm9yZWlnbi1rZXlzPjxrZXkgYXBwPSJFTiIgZGItaWQ9
IjkydGZ0dDV2MmFyeGQ2ZTl3enI1MHcydzByejBlcHgwOTlmdCIgdGltZXN0YW1wPSIxMzc4NTI4
MzY3Ij45Njwva2V5PjwvZm9yZWlnbi1rZXlzPjxyZWYtdHlwZSBuYW1lPSJKb3VybmFsIEFydGlj
bGUiPjE3PC9yZWYtdHlwZT48Y29udHJpYnV0b3JzPjxhdXRob3JzPjxhdXRob3I+WmhhbiwgQzwv
YXV0aG9yPjxhdXRob3I+TWlsbGVyLCBNLiBSPC9hdXRob3I+PC9hdXRob3JzPjwvY29udHJpYnV0
b3JzPjxhdXRoLWFkZHJlc3M+Q2VudGVyIGZvciBRdWFsaXR5IEltcHJvdmVtZW50IGFuZCBQYXRp
ZW50IFNhZmV0eSwgQWdlbmN5IGZvciBIZWFsdGhjYXJlIFJlc2VhcmNoIGFuZCBRdWFsaXR5LCBE
ZXBhcnRtZW50IG9mIEhlYWx0aCBhbmQgSHVtYW4gU2VydmljZXMsIFJvY2t2aWxsZSwgTWQgMjA4
NTAsIFVTQS4gY3poYW5AYWhycS5nb3Y8L2F1dGgtYWRkcmVzcz48dGl0bGVzPjx0aXRsZT5FeGNl
c3MgbGVuZ3RoIG9mIHN0YXksIGNoYXJnZXMsIGFuZCBtb3J0YWxpdHkgYXR0cmlidXRhYmxlIHRv
IG1lZGljYWwgaW5qdXJpZXMgZHVyaW5nIGhvc3BpdGFsaXphdGlvbjwvdGl0bGU+PHNlY29uZGFy
eS10aXRsZT5KQU1BPC9zZWNvbmRhcnktdGl0bGU+PGFsdC10aXRsZT5KQU1BIDogdGhlIGpvdXJu
YWwgb2YgdGhlIEFtZXJpY2FuIE1lZGljYWwgQXNzb2NpYXRpb248L2FsdC10aXRsZT48L3RpdGxl
cz48cGVyaW9kaWNhbD48ZnVsbC10aXRsZT5KQU1BPC9mdWxsLXRpdGxlPjxhYmJyLTE+SkFNQSA6
IHRoZSBqb3VybmFsIG9mIHRoZSBBbWVyaWNhbiBNZWRpY2FsIEFzc29jaWF0aW9uPC9hYmJyLTE+
PC9wZXJpb2RpY2FsPjxhbHQtcGVyaW9kaWNhbD48ZnVsbC10aXRsZT5KQU1BPC9mdWxsLXRpdGxl
PjxhYmJyLTE+SkFNQSA6IHRoZSBqb3VybmFsIG9mIHRoZSBBbWVyaWNhbiBNZWRpY2FsIEFzc29j
aWF0aW9uPC9hYmJyLTE+PC9hbHQtcGVyaW9kaWNhbD48cGFnZXM+MTg2OC03NDwvcGFnZXM+PHZv
bHVtZT4yOTA8L3ZvbHVtZT48bnVtYmVyPjE0PC9udW1iZXI+PGVkaXRpb24+MjAwMy8xMC8wOTwv
ZWRpdGlvbj48a2V5d29yZHM+PGtleXdvcmQ+RGlhZ25vc2lzLVJlbGF0ZWQgR3JvdXBzPC9rZXl3
b3JkPjxrZXl3b3JkPkhlYWx0aCBTZXJ2aWNlcyBSZXNlYXJjaDwva2V5d29yZD48a2V5d29yZD5I
b3NwaXRhbCBDaGFyZ2VzLypzdGF0aXN0aWNzICZhbXA7IG51bWVyaWNhbCBkYXRhPC9rZXl3b3Jk
PjxrZXl3b3JkPipIb3NwaXRhbCBNb3J0YWxpdHk8L2tleXdvcmQ+PGtleXdvcmQ+SHVtYW5zPC9r
ZXl3b3JkPjxrZXl3b3JkPkludGVybmF0aW9uYWwgQ2xhc3NpZmljYXRpb24gb2YgRGlzZWFzZXM8
L2tleXdvcmQ+PGtleXdvcmQ+TGVuZ3RoIG9mIFN0YXkvZWNvbm9taWNzLypzdGF0aXN0aWNzICZh
bXA7IG51bWVyaWNhbCBkYXRhPC9rZXl3b3JkPjxrZXl3b3JkPk1lZGljYWwgRXJyb3JzL2Vjb25v
bWljcy8qc3RhdGlzdGljcyAmYW1wOyBudW1lcmljYWwgZGF0YTwva2V5d29yZD48a2V5d29yZD5P
dXRjb21lIEFzc2Vzc21lbnQgKEhlYWx0aCBDYXJlKTwva2V5d29yZD48a2V5d29yZD5Qb3N0b3Bl
cmF0aXZlIENvbXBsaWNhdGlvbnMvZWNvbm9taWNzL2VwaWRlbWlvbG9neTwva2V5d29yZD48a2V5
d29yZD5RdWFsaXR5IEluZGljYXRvcnMsIEhlYWx0aCBDYXJlPC9rZXl3b3JkPjxrZXl3b3JkPlF1
YWxpdHkgb2YgSGVhbHRoIENhcmUvKnN0YXRpc3RpY3MgJmFtcDsgbnVtZXJpY2FsIGRhdGE8L2tl
eXdvcmQ+PGtleXdvcmQ+VW5pdGVkIFN0YXRlcy9lcGlkZW1pb2xvZ3k8L2tleXdvcmQ+PGtleXdv
cmQ+VW5pdGVkIFN0YXRlcyBBZ2VuY3kgZm9yIEhlYWx0aGNhcmUgUmVzZWFyY2ggYW5kIFF1YWxp
dHk8L2tleXdvcmQ+PC9rZXl3b3Jkcz48ZGF0ZXM+PHllYXI+MjAwMzwveWVhcj48cHViLWRhdGVz
PjxkYXRlPk9jdCA4PC9kYXRlPjwvcHViLWRhdGVzPjwvZGF0ZXM+PGlzYm4+MTUzOC0zNTk4IChF
bGVjdHJvbmljKSYjeEQ7MDA5OC03NDg0IChMaW5raW5nKTwvaXNibj48YWNjZXNzaW9uLW51bT4x
NDUzMjMxNTwvYWNjZXNzaW9uLW51bT48d29yay10eXBlPkV2YWx1YXRpb24gU3R1ZGllczwvd29y
ay10eXBlPjx1cmxzPjxyZWxhdGVkLXVybHM+PHVybD5odHRwOi8vd3d3Lm5jYmkubmxtLm5paC5n
b3YvcHVibWVkLzE0NTMyMzE1PC91cmw+PC9yZWxhdGVkLXVybHM+PC91cmxzPjxlbGVjdHJvbmlj
LXJlc291cmNlLW51bT4xMC4xMDAxL2phbWEuMjkwLjE0LjE4Njg8L2VsZWN0cm9uaWMtcmVzb3Vy
Y2UtbnVtPjxsYW5ndWFnZT5lbmc8L2xhbmd1YWdlPjwvcmVjb3JkPjwvQ2l0ZT48L0VuZE5vdGU+
</w:fldData>
        </w:fldChar>
      </w:r>
      <w:r w:rsidR="00290091">
        <w:instrText xml:space="preserve"> ADDIN EN.CITE.DATA </w:instrText>
      </w:r>
      <w:r w:rsidR="00290091">
        <w:fldChar w:fldCharType="end"/>
      </w:r>
      <w:r>
        <w:fldChar w:fldCharType="separate"/>
      </w:r>
      <w:hyperlink w:anchor="_ENREF_18" w:tooltip="Jackson, 2013, under review #106" w:history="1">
        <w:r w:rsidR="00C33CAE">
          <w:rPr>
            <w:noProof/>
          </w:rPr>
          <w:t>Jackson et al., 2013, under review</w:t>
        </w:r>
      </w:hyperlink>
      <w:r w:rsidR="00290091">
        <w:rPr>
          <w:noProof/>
        </w:rPr>
        <w:t xml:space="preserve">; </w:t>
      </w:r>
      <w:hyperlink w:anchor="_ENREF_33" w:tooltip="Zhan, 2003 #96" w:history="1">
        <w:r w:rsidR="00C33CAE">
          <w:rPr>
            <w:noProof/>
          </w:rPr>
          <w:t>Zhan &amp; Miller, 2003</w:t>
        </w:r>
      </w:hyperlink>
      <w:r>
        <w:fldChar w:fldCharType="end"/>
      </w:r>
      <w:r>
        <w:t xml:space="preserve">).  </w:t>
      </w:r>
    </w:p>
    <w:p w:rsidR="007718C7" w:rsidRDefault="007718C7" w:rsidP="00B912D2">
      <w:r>
        <w:t>In addition to these methodological issues a range of factors will potentially impact the empirical estimation of the impacts of hospital-acquired conditions.  These include:</w:t>
      </w:r>
    </w:p>
    <w:p w:rsidR="007718C7" w:rsidRDefault="007718C7" w:rsidP="002002B2">
      <w:pPr>
        <w:pStyle w:val="ListParagraph"/>
        <w:numPr>
          <w:ilvl w:val="0"/>
          <w:numId w:val="19"/>
        </w:numPr>
        <w:ind w:left="714" w:hanging="357"/>
        <w:contextualSpacing w:val="0"/>
      </w:pPr>
      <w:r w:rsidRPr="00B75BD7">
        <w:rPr>
          <w:b/>
          <w:i/>
        </w:rPr>
        <w:t>Depth of coding at the hospital level</w:t>
      </w:r>
      <w:r>
        <w:rPr>
          <w:b/>
          <w:i/>
        </w:rPr>
        <w:t>:</w:t>
      </w:r>
      <w:r>
        <w:t xml:space="preserve">  This may be reflected in either the number of additional diagnoses coded or the specificity with which additional diagnoses are coded (e.g. reflected in the relative level of diagnosis codes ending with a ‘9’).  Poorer levels of coding are likely to lead to under-identification of hospital-acquired conditions.  However the impacts on estimates of the incremental cost of these conditions could be in any direction.</w:t>
      </w:r>
    </w:p>
    <w:p w:rsidR="007718C7" w:rsidRDefault="007718C7" w:rsidP="002002B2">
      <w:pPr>
        <w:pStyle w:val="ListParagraph"/>
        <w:numPr>
          <w:ilvl w:val="0"/>
          <w:numId w:val="19"/>
        </w:numPr>
        <w:ind w:left="714" w:hanging="357"/>
        <w:contextualSpacing w:val="0"/>
      </w:pPr>
      <w:r w:rsidRPr="00B75BD7">
        <w:rPr>
          <w:b/>
          <w:i/>
        </w:rPr>
        <w:t>Coding standards</w:t>
      </w:r>
      <w:r>
        <w:rPr>
          <w:b/>
          <w:i/>
        </w:rPr>
        <w:t xml:space="preserve"> and interpretation of these standards</w:t>
      </w:r>
      <w:r>
        <w:t xml:space="preserve">: </w:t>
      </w:r>
      <w:r w:rsidRPr="00CF7F39">
        <w:t>Current Australian standards are that a</w:t>
      </w:r>
      <w:r>
        <w:t>n additional</w:t>
      </w:r>
      <w:r w:rsidRPr="00CF7F39">
        <w:t xml:space="preserve"> diagnosis should only be coded </w:t>
      </w:r>
      <w:r>
        <w:t>in certain circumstances</w:t>
      </w:r>
      <w:r>
        <w:rPr>
          <w:rStyle w:val="FootnoteReference"/>
        </w:rPr>
        <w:footnoteReference w:id="7"/>
      </w:r>
      <w:r>
        <w:t xml:space="preserve">. </w:t>
      </w:r>
      <w:r>
        <w:lastRenderedPageBreak/>
        <w:t>Similar standards exist elsewhere. Additional diagnoses which are present, but do not meet these standards may not be coded. At least one study (</w:t>
      </w:r>
      <w:hyperlink w:anchor="_ENREF_11" w:tooltip="Goldman, 2011 #111" w:history="1">
        <w:r w:rsidR="00C33CAE">
          <w:fldChar w:fldCharType="begin">
            <w:fldData xml:space="preserve">PEVuZE5vdGU+PENpdGU+PEF1dGhvcj5Hb2xkbWFuPC9BdXRob3I+PFllYXI+MjAxMTwvWWVhcj48
UmVjTnVtPjExMTwvUmVjTnVtPjxEaXNwbGF5VGV4dD5Hb2xkbWFuLCBDaHUsIE9zbW9uZCwgJmFt
cDsgQmluZG1hbiwgMjAxMTwvRGlzcGxheVRleHQ+PHJlY29yZD48cmVjLW51bWJlcj4xMTE8L3Jl
Yy1udW1iZXI+PGZvcmVpZ24ta2V5cz48a2V5IGFwcD0iRU4iIGRiLWlkPSI5MnRmdHQ1djJhcnhk
NmU5d3pyNTB3MncwcnowZXB4MDk5ZnQiIHRpbWVzdGFtcD0iMTM3ODk1MjM1MyI+MTExPC9rZXk+
PC9mb3JlaWduLWtleXM+PHJlZi10eXBlIG5hbWU9IkpvdXJuYWwgQXJ0aWNsZSI+MTc8L3JlZi10
eXBlPjxjb250cmlidXRvcnM+PGF1dGhvcnM+PGF1dGhvcj5Hb2xkbWFuLCBMLiBFLjwvYXV0aG9y
PjxhdXRob3I+Q2h1LCBQLiBXLjwvYXV0aG9yPjxhdXRob3I+T3Ntb25kLCBELjwvYXV0aG9yPjxh
dXRob3I+QmluZG1hbiwgQS48L2F1dGhvcj48L2F1dGhvcnM+PC9jb250cmlidXRvcnM+PGF1dGgt
YWRkcmVzcz5EZXBhcnRtZW50IG9mIE1lZGljaW5lLCBVbml2ZXJzaXR5IG9mIENhbGlmb3JuaWEt
U2FuIEZyYW5jaXNjbywgU2FuIEZyYW5jaXNjbywgQ0EgOTQxMTAsIFVTQS4gbGVnb2xkbWFuQG1l
ZHNmZ2gudWNzZi5lZHU8L2F1dGgtYWRkcmVzcz48dGl0bGVzPjx0aXRsZT5UaGUgYWNjdXJhY3kg
b2YgcHJlc2VudC1vbi1hZG1pc3Npb24gcmVwb3J0aW5nIGluIGFkbWluaXN0cmF0aXZlIGRhdGE8
L3RpdGxlPjxzZWNvbmRhcnktdGl0bGU+SGVhbHRoIFNlcnYgUmVzPC9zZWNvbmRhcnktdGl0bGU+
PGFsdC10aXRsZT5IZWFsdGggc2VydmljZXMgcmVzZWFyY2g8L2FsdC10aXRsZT48L3RpdGxlcz48
cGVyaW9kaWNhbD48ZnVsbC10aXRsZT5IZWFsdGggU2VydiBSZXM8L2Z1bGwtdGl0bGU+PGFiYnIt
MT5IZWFsdGggc2VydmljZXMgcmVzZWFyY2g8L2FiYnItMT48L3BlcmlvZGljYWw+PGFsdC1wZXJp
b2RpY2FsPjxmdWxsLXRpdGxlPkhlYWx0aCBTZXJ2IFJlczwvZnVsbC10aXRsZT48YWJici0xPkhl
YWx0aCBzZXJ2aWNlcyByZXNlYXJjaDwvYWJici0xPjwvYWx0LXBlcmlvZGljYWw+PHBhZ2VzPjE5
NDYtNjI8L3BhZ2VzPjx2b2x1bWU+NDY8L3ZvbHVtZT48bnVtYmVyPjZwdDE8L251bWJlcj48ZWRp
dGlvbj4yMDExLzExLzE5PC9lZGl0aW9uPjxrZXl3b3Jkcz48a2V5d29yZD5BZHVsdDwva2V5d29y
ZD48a2V5d29yZD5BZ2VkPC9rZXl3b3JkPjxrZXl3b3JkPkFnZWQsIDgwIGFuZCBvdmVyPC9rZXl3
b3JkPjxrZXl3b3JkPkNhbGlmb3JuaWE8L2tleXdvcmQ+PGtleXdvcmQ+Q29udGludWl0eSBvZiBQ
YXRpZW50IENhcmUvc3RhdGlzdGljcyAmYW1wOyBudW1lcmljYWwgZGF0YTwva2V5d29yZD48a2V5
d29yZD5GZW1hbGU8L2tleXdvcmQ+PGtleXdvcmQ+SG9zcGl0YWwgTW9ydGFsaXR5PC9rZXl3b3Jk
PjxrZXl3b3JkPkh1bWFuczwva2V5d29yZD48a2V5d29yZD5NYWxlPC9rZXl3b3JkPjxrZXl3b3Jk
Pk1lZGljYWwgSGlzdG9yeSBUYWtpbmcvKnN0YXRpc3RpY3MgJmFtcDsgbnVtZXJpY2FsIGRhdGE8
L2tleXdvcmQ+PGtleXdvcmQ+TWlkZGxlIEFnZWQ8L2tleXdvcmQ+PGtleXdvcmQ+KlBhdGllbnQg
QWRtaXNzaW9uPC9rZXl3b3JkPjxrZXl3b3JkPipQYXRpZW50IERpc2NoYXJnZTwva2V5d29yZD48
a2V5d29yZD5SaXNrIEFkanVzdG1lbnQvbWV0aG9kczwva2V5d29yZD48L2tleXdvcmRzPjxkYXRl
cz48eWVhcj4yMDExPC95ZWFyPjxwdWItZGF0ZXM+PGRhdGU+RGVjPC9kYXRlPjwvcHViLWRhdGVz
PjwvZGF0ZXM+PGlzYm4+MTQ3NS02NzczIChFbGVjdHJvbmljKSYjeEQ7MDAxNy05MTI0IChMaW5r
aW5nKTwvaXNibj48YWNjZXNzaW9uLW51bT4yMjA5MjAyMzwvYWNjZXNzaW9uLW51bT48d29yay10
eXBlPlJlc2VhcmNoIFN1cHBvcnQsIE4uSS5ILiwgRXh0cmFtdXJhbCYjeEQ7UmVzZWFyY2ggU3Vw
cG9ydCwgVS5TLiBHb3YmYXBvczt0LCBQLkguUy48L3dvcmstdHlwZT48dXJscz48cmVsYXRlZC11
cmxzPjx1cmw+aHR0cDovL3d3dy5uY2JpLm5sbS5uaWguZ292L3B1Ym1lZC8yMjA5MjAyMzwvdXJs
PjwvcmVsYXRlZC11cmxzPjwvdXJscz48ZWxlY3Ryb25pYy1yZXNvdXJjZS1udW0+MTAuMTExMS9q
LjE0NzUtNjc3My4yMDExLjAxMzAwLng8L2VsZWN0cm9uaWMtcmVzb3VyY2UtbnVtPjxsYW5ndWFn
ZT5lbmc8L2xhbmd1YWdlPjwvcmVjb3JkPjwvQ2l0ZT48L0VuZE5vdGU+
</w:fldData>
          </w:fldChar>
        </w:r>
        <w:r w:rsidR="00C33CAE">
          <w:instrText xml:space="preserve"> ADDIN EN.CITE </w:instrText>
        </w:r>
        <w:r w:rsidR="00C33CAE">
          <w:fldChar w:fldCharType="begin">
            <w:fldData xml:space="preserve">PEVuZE5vdGU+PENpdGU+PEF1dGhvcj5Hb2xkbWFuPC9BdXRob3I+PFllYXI+MjAxMTwvWWVhcj48
UmVjTnVtPjExMTwvUmVjTnVtPjxEaXNwbGF5VGV4dD5Hb2xkbWFuLCBDaHUsIE9zbW9uZCwgJmFt
cDsgQmluZG1hbiwgMjAxMTwvRGlzcGxheVRleHQ+PHJlY29yZD48cmVjLW51bWJlcj4xMTE8L3Jl
Yy1udW1iZXI+PGZvcmVpZ24ta2V5cz48a2V5IGFwcD0iRU4iIGRiLWlkPSI5MnRmdHQ1djJhcnhk
NmU5d3pyNTB3MncwcnowZXB4MDk5ZnQiIHRpbWVzdGFtcD0iMTM3ODk1MjM1MyI+MTExPC9rZXk+
PC9mb3JlaWduLWtleXM+PHJlZi10eXBlIG5hbWU9IkpvdXJuYWwgQXJ0aWNsZSI+MTc8L3JlZi10
eXBlPjxjb250cmlidXRvcnM+PGF1dGhvcnM+PGF1dGhvcj5Hb2xkbWFuLCBMLiBFLjwvYXV0aG9y
PjxhdXRob3I+Q2h1LCBQLiBXLjwvYXV0aG9yPjxhdXRob3I+T3Ntb25kLCBELjwvYXV0aG9yPjxh
dXRob3I+QmluZG1hbiwgQS48L2F1dGhvcj48L2F1dGhvcnM+PC9jb250cmlidXRvcnM+PGF1dGgt
YWRkcmVzcz5EZXBhcnRtZW50IG9mIE1lZGljaW5lLCBVbml2ZXJzaXR5IG9mIENhbGlmb3JuaWEt
U2FuIEZyYW5jaXNjbywgU2FuIEZyYW5jaXNjbywgQ0EgOTQxMTAsIFVTQS4gbGVnb2xkbWFuQG1l
ZHNmZ2gudWNzZi5lZHU8L2F1dGgtYWRkcmVzcz48dGl0bGVzPjx0aXRsZT5UaGUgYWNjdXJhY3kg
b2YgcHJlc2VudC1vbi1hZG1pc3Npb24gcmVwb3J0aW5nIGluIGFkbWluaXN0cmF0aXZlIGRhdGE8
L3RpdGxlPjxzZWNvbmRhcnktdGl0bGU+SGVhbHRoIFNlcnYgUmVzPC9zZWNvbmRhcnktdGl0bGU+
PGFsdC10aXRsZT5IZWFsdGggc2VydmljZXMgcmVzZWFyY2g8L2FsdC10aXRsZT48L3RpdGxlcz48
cGVyaW9kaWNhbD48ZnVsbC10aXRsZT5IZWFsdGggU2VydiBSZXM8L2Z1bGwtdGl0bGU+PGFiYnIt
MT5IZWFsdGggc2VydmljZXMgcmVzZWFyY2g8L2FiYnItMT48L3BlcmlvZGljYWw+PGFsdC1wZXJp
b2RpY2FsPjxmdWxsLXRpdGxlPkhlYWx0aCBTZXJ2IFJlczwvZnVsbC10aXRsZT48YWJici0xPkhl
YWx0aCBzZXJ2aWNlcyByZXNlYXJjaDwvYWJici0xPjwvYWx0LXBlcmlvZGljYWw+PHBhZ2VzPjE5
NDYtNjI8L3BhZ2VzPjx2b2x1bWU+NDY8L3ZvbHVtZT48bnVtYmVyPjZwdDE8L251bWJlcj48ZWRp
dGlvbj4yMDExLzExLzE5PC9lZGl0aW9uPjxrZXl3b3Jkcz48a2V5d29yZD5BZHVsdDwva2V5d29y
ZD48a2V5d29yZD5BZ2VkPC9rZXl3b3JkPjxrZXl3b3JkPkFnZWQsIDgwIGFuZCBvdmVyPC9rZXl3
b3JkPjxrZXl3b3JkPkNhbGlmb3JuaWE8L2tleXdvcmQ+PGtleXdvcmQ+Q29udGludWl0eSBvZiBQ
YXRpZW50IENhcmUvc3RhdGlzdGljcyAmYW1wOyBudW1lcmljYWwgZGF0YTwva2V5d29yZD48a2V5
d29yZD5GZW1hbGU8L2tleXdvcmQ+PGtleXdvcmQ+SG9zcGl0YWwgTW9ydGFsaXR5PC9rZXl3b3Jk
PjxrZXl3b3JkPkh1bWFuczwva2V5d29yZD48a2V5d29yZD5NYWxlPC9rZXl3b3JkPjxrZXl3b3Jk
Pk1lZGljYWwgSGlzdG9yeSBUYWtpbmcvKnN0YXRpc3RpY3MgJmFtcDsgbnVtZXJpY2FsIGRhdGE8
L2tleXdvcmQ+PGtleXdvcmQ+TWlkZGxlIEFnZWQ8L2tleXdvcmQ+PGtleXdvcmQ+KlBhdGllbnQg
QWRtaXNzaW9uPC9rZXl3b3JkPjxrZXl3b3JkPipQYXRpZW50IERpc2NoYXJnZTwva2V5d29yZD48
a2V5d29yZD5SaXNrIEFkanVzdG1lbnQvbWV0aG9kczwva2V5d29yZD48L2tleXdvcmRzPjxkYXRl
cz48eWVhcj4yMDExPC95ZWFyPjxwdWItZGF0ZXM+PGRhdGU+RGVjPC9kYXRlPjwvcHViLWRhdGVz
PjwvZGF0ZXM+PGlzYm4+MTQ3NS02NzczIChFbGVjdHJvbmljKSYjeEQ7MDAxNy05MTI0IChMaW5r
aW5nKTwvaXNibj48YWNjZXNzaW9uLW51bT4yMjA5MjAyMzwvYWNjZXNzaW9uLW51bT48d29yay10
eXBlPlJlc2VhcmNoIFN1cHBvcnQsIE4uSS5ILiwgRXh0cmFtdXJhbCYjeEQ7UmVzZWFyY2ggU3Vw
cG9ydCwgVS5TLiBHb3YmYXBvczt0LCBQLkguUy48L3dvcmstdHlwZT48dXJscz48cmVsYXRlZC11
cmxzPjx1cmw+aHR0cDovL3d3dy5uY2JpLm5sbS5uaWguZ292L3B1Ym1lZC8yMjA5MjAyMzwvdXJs
PjwvcmVsYXRlZC11cmxzPjwvdXJscz48ZWxlY3Ryb25pYy1yZXNvdXJjZS1udW0+MTAuMTExMS9q
LjE0NzUtNjc3My4yMDExLjAxMzAwLng8L2VsZWN0cm9uaWMtcmVzb3VyY2UtbnVtPjxsYW5ndWFn
ZT5lbmc8L2xhbmd1YWdlPjwvcmVjb3JkPjwvQ2l0ZT48L0VuZE5vdGU+
</w:fldData>
          </w:fldChar>
        </w:r>
        <w:r w:rsidR="00C33CAE">
          <w:instrText xml:space="preserve"> ADDIN EN.CITE.DATA </w:instrText>
        </w:r>
        <w:r w:rsidR="00C33CAE">
          <w:fldChar w:fldCharType="end"/>
        </w:r>
        <w:r w:rsidR="00C33CAE">
          <w:fldChar w:fldCharType="separate"/>
        </w:r>
        <w:r w:rsidR="00C33CAE">
          <w:rPr>
            <w:noProof/>
          </w:rPr>
          <w:t>Goldman, Chu, Osmond, &amp; Bindman, 2011</w:t>
        </w:r>
        <w:r w:rsidR="00C33CAE">
          <w:fldChar w:fldCharType="end"/>
        </w:r>
      </w:hyperlink>
      <w:r>
        <w:t xml:space="preserve">), found that areas of disagreement between original coding and re-abstracted data, related to codes where there is ambiguity in where the condition meets this standard. </w:t>
      </w:r>
    </w:p>
    <w:p w:rsidR="007718C7" w:rsidRDefault="007718C7" w:rsidP="002002B2">
      <w:pPr>
        <w:pStyle w:val="ListParagraph"/>
        <w:numPr>
          <w:ilvl w:val="0"/>
          <w:numId w:val="19"/>
        </w:numPr>
        <w:ind w:left="714" w:hanging="357"/>
        <w:contextualSpacing w:val="0"/>
      </w:pPr>
      <w:r>
        <w:rPr>
          <w:b/>
          <w:i/>
        </w:rPr>
        <w:t>Accuracy of coding of COF:</w:t>
      </w:r>
      <w:r>
        <w:t xml:space="preserve"> In many medical records, it may not be clear as to whether a diagnosis was present on admission.  Coding of these indicators has been examined in a number of studies (e.g.  </w:t>
      </w:r>
      <w:hyperlink w:anchor="_ENREF_11" w:tooltip="Goldman, 2011 #111" w:history="1">
        <w:r w:rsidR="00C33CAE">
          <w:fldChar w:fldCharType="begin">
            <w:fldData xml:space="preserve">PEVuZE5vdGU+PENpdGU+PEF1dGhvcj5Hb2xkbWFuPC9BdXRob3I+PFllYXI+MjAxMTwvWWVhcj48
UmVjTnVtPjExMTwvUmVjTnVtPjxEaXNwbGF5VGV4dD5Hb2xkbWFuIGV0IGFsLiwgMjAxMTwvRGlz
cGxheVRleHQ+PHJlY29yZD48cmVjLW51bWJlcj4xMTE8L3JlYy1udW1iZXI+PGZvcmVpZ24ta2V5
cz48a2V5IGFwcD0iRU4iIGRiLWlkPSI5MnRmdHQ1djJhcnhkNmU5d3pyNTB3MncwcnowZXB4MDk5
ZnQiIHRpbWVzdGFtcD0iMTM3ODk1MjM1MyI+MTExPC9rZXk+PC9mb3JlaWduLWtleXM+PHJlZi10
eXBlIG5hbWU9IkpvdXJuYWwgQXJ0aWNsZSI+MTc8L3JlZi10eXBlPjxjb250cmlidXRvcnM+PGF1
dGhvcnM+PGF1dGhvcj5Hb2xkbWFuLCBMLiBFLjwvYXV0aG9yPjxhdXRob3I+Q2h1LCBQLiBXLjwv
YXV0aG9yPjxhdXRob3I+T3Ntb25kLCBELjwvYXV0aG9yPjxhdXRob3I+QmluZG1hbiwgQS48L2F1
dGhvcj48L2F1dGhvcnM+PC9jb250cmlidXRvcnM+PGF1dGgtYWRkcmVzcz5EZXBhcnRtZW50IG9m
IE1lZGljaW5lLCBVbml2ZXJzaXR5IG9mIENhbGlmb3JuaWEtU2FuIEZyYW5jaXNjbywgU2FuIEZy
YW5jaXNjbywgQ0EgOTQxMTAsIFVTQS4gbGVnb2xkbWFuQG1lZHNmZ2gudWNzZi5lZHU8L2F1dGgt
YWRkcmVzcz48dGl0bGVzPjx0aXRsZT5UaGUgYWNjdXJhY3kgb2YgcHJlc2VudC1vbi1hZG1pc3Np
b24gcmVwb3J0aW5nIGluIGFkbWluaXN0cmF0aXZlIGRhdGE8L3RpdGxlPjxzZWNvbmRhcnktdGl0
bGU+SGVhbHRoIFNlcnYgUmVzPC9zZWNvbmRhcnktdGl0bGU+PGFsdC10aXRsZT5IZWFsdGggc2Vy
dmljZXMgcmVzZWFyY2g8L2FsdC10aXRsZT48L3RpdGxlcz48cGVyaW9kaWNhbD48ZnVsbC10aXRs
ZT5IZWFsdGggU2VydiBSZXM8L2Z1bGwtdGl0bGU+PGFiYnItMT5IZWFsdGggc2VydmljZXMgcmVz
ZWFyY2g8L2FiYnItMT48L3BlcmlvZGljYWw+PGFsdC1wZXJpb2RpY2FsPjxmdWxsLXRpdGxlPkhl
YWx0aCBTZXJ2IFJlczwvZnVsbC10aXRsZT48YWJici0xPkhlYWx0aCBzZXJ2aWNlcyByZXNlYXJj
aDwvYWJici0xPjwvYWx0LXBlcmlvZGljYWw+PHBhZ2VzPjE5NDYtNjI8L3BhZ2VzPjx2b2x1bWU+
NDY8L3ZvbHVtZT48bnVtYmVyPjZwdDE8L251bWJlcj48ZWRpdGlvbj4yMDExLzExLzE5PC9lZGl0
aW9uPjxrZXl3b3Jkcz48a2V5d29yZD5BZHVsdDwva2V5d29yZD48a2V5d29yZD5BZ2VkPC9rZXl3
b3JkPjxrZXl3b3JkPkFnZWQsIDgwIGFuZCBvdmVyPC9rZXl3b3JkPjxrZXl3b3JkPkNhbGlmb3Ju
aWE8L2tleXdvcmQ+PGtleXdvcmQ+Q29udGludWl0eSBvZiBQYXRpZW50IENhcmUvc3RhdGlzdGlj
cyAmYW1wOyBudW1lcmljYWwgZGF0YTwva2V5d29yZD48a2V5d29yZD5GZW1hbGU8L2tleXdvcmQ+
PGtleXdvcmQ+SG9zcGl0YWwgTW9ydGFsaXR5PC9rZXl3b3JkPjxrZXl3b3JkPkh1bWFuczwva2V5
d29yZD48a2V5d29yZD5NYWxlPC9rZXl3b3JkPjxrZXl3b3JkPk1lZGljYWwgSGlzdG9yeSBUYWtp
bmcvKnN0YXRpc3RpY3MgJmFtcDsgbnVtZXJpY2FsIGRhdGE8L2tleXdvcmQ+PGtleXdvcmQ+TWlk
ZGxlIEFnZWQ8L2tleXdvcmQ+PGtleXdvcmQ+KlBhdGllbnQgQWRtaXNzaW9uPC9rZXl3b3JkPjxr
ZXl3b3JkPipQYXRpZW50IERpc2NoYXJnZTwva2V5d29yZD48a2V5d29yZD5SaXNrIEFkanVzdG1l
bnQvbWV0aG9kczwva2V5d29yZD48L2tleXdvcmRzPjxkYXRlcz48eWVhcj4yMDExPC95ZWFyPjxw
dWItZGF0ZXM+PGRhdGU+RGVjPC9kYXRlPjwvcHViLWRhdGVzPjwvZGF0ZXM+PGlzYm4+MTQ3NS02
NzczIChFbGVjdHJvbmljKSYjeEQ7MDAxNy05MTI0IChMaW5raW5nKTwvaXNibj48YWNjZXNzaW9u
LW51bT4yMjA5MjAyMzwvYWNjZXNzaW9uLW51bT48d29yay10eXBlPlJlc2VhcmNoIFN1cHBvcnQs
IE4uSS5ILiwgRXh0cmFtdXJhbCYjeEQ7UmVzZWFyY2ggU3VwcG9ydCwgVS5TLiBHb3YmYXBvczt0
LCBQLkguUy48L3dvcmstdHlwZT48dXJscz48cmVsYXRlZC11cmxzPjx1cmw+aHR0cDovL3d3dy5u
Y2JpLm5sbS5uaWguZ292L3B1Ym1lZC8yMjA5MjAyMzwvdXJsPjwvcmVsYXRlZC11cmxzPjwvdXJs
cz48ZWxlY3Ryb25pYy1yZXNvdXJjZS1udW0+MTAuMTExMS9qLjE0NzUtNjc3My4yMDExLjAxMzAw
Lng8L2VsZWN0cm9uaWMtcmVzb3VyY2UtbnVtPjxsYW5ndWFnZT5lbmc8L2xhbmd1YWdlPjwvcmVj
b3JkPjwvQ2l0ZT48L0VuZE5vdGU+AG==
</w:fldData>
          </w:fldChar>
        </w:r>
        <w:r w:rsidR="00C33CAE">
          <w:instrText xml:space="preserve"> ADDIN EN.CITE </w:instrText>
        </w:r>
        <w:r w:rsidR="00C33CAE">
          <w:fldChar w:fldCharType="begin">
            <w:fldData xml:space="preserve">PEVuZE5vdGU+PENpdGU+PEF1dGhvcj5Hb2xkbWFuPC9BdXRob3I+PFllYXI+MjAxMTwvWWVhcj48
UmVjTnVtPjExMTwvUmVjTnVtPjxEaXNwbGF5VGV4dD5Hb2xkbWFuIGV0IGFsLiwgMjAxMTwvRGlz
cGxheVRleHQ+PHJlY29yZD48cmVjLW51bWJlcj4xMTE8L3JlYy1udW1iZXI+PGZvcmVpZ24ta2V5
cz48a2V5IGFwcD0iRU4iIGRiLWlkPSI5MnRmdHQ1djJhcnhkNmU5d3pyNTB3MncwcnowZXB4MDk5
ZnQiIHRpbWVzdGFtcD0iMTM3ODk1MjM1MyI+MTExPC9rZXk+PC9mb3JlaWduLWtleXM+PHJlZi10
eXBlIG5hbWU9IkpvdXJuYWwgQXJ0aWNsZSI+MTc8L3JlZi10eXBlPjxjb250cmlidXRvcnM+PGF1
dGhvcnM+PGF1dGhvcj5Hb2xkbWFuLCBMLiBFLjwvYXV0aG9yPjxhdXRob3I+Q2h1LCBQLiBXLjwv
YXV0aG9yPjxhdXRob3I+T3Ntb25kLCBELjwvYXV0aG9yPjxhdXRob3I+QmluZG1hbiwgQS48L2F1
dGhvcj48L2F1dGhvcnM+PC9jb250cmlidXRvcnM+PGF1dGgtYWRkcmVzcz5EZXBhcnRtZW50IG9m
IE1lZGljaW5lLCBVbml2ZXJzaXR5IG9mIENhbGlmb3JuaWEtU2FuIEZyYW5jaXNjbywgU2FuIEZy
YW5jaXNjbywgQ0EgOTQxMTAsIFVTQS4gbGVnb2xkbWFuQG1lZHNmZ2gudWNzZi5lZHU8L2F1dGgt
YWRkcmVzcz48dGl0bGVzPjx0aXRsZT5UaGUgYWNjdXJhY3kgb2YgcHJlc2VudC1vbi1hZG1pc3Np
b24gcmVwb3J0aW5nIGluIGFkbWluaXN0cmF0aXZlIGRhdGE8L3RpdGxlPjxzZWNvbmRhcnktdGl0
bGU+SGVhbHRoIFNlcnYgUmVzPC9zZWNvbmRhcnktdGl0bGU+PGFsdC10aXRsZT5IZWFsdGggc2Vy
dmljZXMgcmVzZWFyY2g8L2FsdC10aXRsZT48L3RpdGxlcz48cGVyaW9kaWNhbD48ZnVsbC10aXRs
ZT5IZWFsdGggU2VydiBSZXM8L2Z1bGwtdGl0bGU+PGFiYnItMT5IZWFsdGggc2VydmljZXMgcmVz
ZWFyY2g8L2FiYnItMT48L3BlcmlvZGljYWw+PGFsdC1wZXJpb2RpY2FsPjxmdWxsLXRpdGxlPkhl
YWx0aCBTZXJ2IFJlczwvZnVsbC10aXRsZT48YWJici0xPkhlYWx0aCBzZXJ2aWNlcyByZXNlYXJj
aDwvYWJici0xPjwvYWx0LXBlcmlvZGljYWw+PHBhZ2VzPjE5NDYtNjI8L3BhZ2VzPjx2b2x1bWU+
NDY8L3ZvbHVtZT48bnVtYmVyPjZwdDE8L251bWJlcj48ZWRpdGlvbj4yMDExLzExLzE5PC9lZGl0
aW9uPjxrZXl3b3Jkcz48a2V5d29yZD5BZHVsdDwva2V5d29yZD48a2V5d29yZD5BZ2VkPC9rZXl3
b3JkPjxrZXl3b3JkPkFnZWQsIDgwIGFuZCBvdmVyPC9rZXl3b3JkPjxrZXl3b3JkPkNhbGlmb3Ju
aWE8L2tleXdvcmQ+PGtleXdvcmQ+Q29udGludWl0eSBvZiBQYXRpZW50IENhcmUvc3RhdGlzdGlj
cyAmYW1wOyBudW1lcmljYWwgZGF0YTwva2V5d29yZD48a2V5d29yZD5GZW1hbGU8L2tleXdvcmQ+
PGtleXdvcmQ+SG9zcGl0YWwgTW9ydGFsaXR5PC9rZXl3b3JkPjxrZXl3b3JkPkh1bWFuczwva2V5
d29yZD48a2V5d29yZD5NYWxlPC9rZXl3b3JkPjxrZXl3b3JkPk1lZGljYWwgSGlzdG9yeSBUYWtp
bmcvKnN0YXRpc3RpY3MgJmFtcDsgbnVtZXJpY2FsIGRhdGE8L2tleXdvcmQ+PGtleXdvcmQ+TWlk
ZGxlIEFnZWQ8L2tleXdvcmQ+PGtleXdvcmQ+KlBhdGllbnQgQWRtaXNzaW9uPC9rZXl3b3JkPjxr
ZXl3b3JkPipQYXRpZW50IERpc2NoYXJnZTwva2V5d29yZD48a2V5d29yZD5SaXNrIEFkanVzdG1l
bnQvbWV0aG9kczwva2V5d29yZD48L2tleXdvcmRzPjxkYXRlcz48eWVhcj4yMDExPC95ZWFyPjxw
dWItZGF0ZXM+PGRhdGU+RGVjPC9kYXRlPjwvcHViLWRhdGVzPjwvZGF0ZXM+PGlzYm4+MTQ3NS02
NzczIChFbGVjdHJvbmljKSYjeEQ7MDAxNy05MTI0IChMaW5raW5nKTwvaXNibj48YWNjZXNzaW9u
LW51bT4yMjA5MjAyMzwvYWNjZXNzaW9uLW51bT48d29yay10eXBlPlJlc2VhcmNoIFN1cHBvcnQs
IE4uSS5ILiwgRXh0cmFtdXJhbCYjeEQ7UmVzZWFyY2ggU3VwcG9ydCwgVS5TLiBHb3YmYXBvczt0
LCBQLkguUy48L3dvcmstdHlwZT48dXJscz48cmVsYXRlZC11cmxzPjx1cmw+aHR0cDovL3d3dy5u
Y2JpLm5sbS5uaWguZ292L3B1Ym1lZC8yMjA5MjAyMzwvdXJsPjwvcmVsYXRlZC11cmxzPjwvdXJs
cz48ZWxlY3Ryb25pYy1yZXNvdXJjZS1udW0+MTAuMTExMS9qLjE0NzUtNjc3My4yMDExLjAxMzAw
Lng8L2VsZWN0cm9uaWMtcmVzb3VyY2UtbnVtPjxsYW5ndWFnZT5lbmc8L2xhbmd1YWdlPjwvcmVj
b3JkPjwvQ2l0ZT48L0VuZE5vdGU+AG==
</w:fldData>
          </w:fldChar>
        </w:r>
        <w:r w:rsidR="00C33CAE">
          <w:instrText xml:space="preserve"> ADDIN EN.CITE.DATA </w:instrText>
        </w:r>
        <w:r w:rsidR="00C33CAE">
          <w:fldChar w:fldCharType="end"/>
        </w:r>
        <w:r w:rsidR="00C33CAE">
          <w:fldChar w:fldCharType="separate"/>
        </w:r>
        <w:r w:rsidR="00C33CAE">
          <w:rPr>
            <w:noProof/>
          </w:rPr>
          <w:t>Goldman et al., 2011</w:t>
        </w:r>
        <w:r w:rsidR="00C33CAE">
          <w:fldChar w:fldCharType="end"/>
        </w:r>
      </w:hyperlink>
      <w:r>
        <w:t>). These studies highlight that there can be particular additional diagnosis codes where identifying whether the condition was present at admission is difficult, unless this is clearly indicated in the medical record.  For other codes, the likelihood of a code being present on admission is either very high or very low (</w:t>
      </w:r>
      <w:hyperlink w:anchor="_ENREF_19" w:tooltip="Jackson, 2009 #3" w:history="1">
        <w:r w:rsidR="00C33CAE">
          <w:fldChar w:fldCharType="begin">
            <w:fldData xml:space="preserve">PEVuZE5vdGU+PENpdGU+PEF1dGhvcj5KYWNrc29uPC9BdXRob3I+PFllYXI+MjAwOTwvWWVhcj48
UmVjTnVtPjM8L1JlY051bT48RGlzcGxheVRleHQ+SmFja3NvbiwgTWljaGVsLCBSb2JlcnRzLCBT
aGVwaGVhcmQsIGV0IGFsLiwgMjAwOTwvRGlzcGxheVRleHQ+PHJlY29yZD48cmVjLW51bWJlcj4z
PC9yZWMtbnVtYmVyPjxmb3JlaWduLWtleXM+PGtleSBhcHA9IkVOIiBkYi1pZD0iOTJ0ZnR0NXYy
YXJ4ZDZlOXd6cjUwdzJ3MHJ6MGVweDA5OWZ0IiB0aW1lc3RhbXA9IjEzNzE0MzQxMDgiPjM8L2tl
eT48L2ZvcmVpZ24ta2V5cz48cmVmLXR5cGUgbmFtZT0iSm91cm5hbCBBcnRpY2xlIj4xNzwvcmVm
LXR5cGU+PGNvbnRyaWJ1dG9ycz48YXV0aG9ycz48YXV0aG9yPkphY2tzb24sIFQ8L2F1dGhvcj48
YXV0aG9yPk1pY2hlbCwgSi4gTDwvYXV0aG9yPjxhdXRob3I+Um9iZXJ0cywgUjwvYXV0aG9yPjxh
dXRob3I+U2hlcGhlYXJkLCBKPC9hdXRob3I+PGF1dGhvcj5DaGVuZywgRDwvYXV0aG9yPjxhdXRo
b3I+UnVzdCwgSjwvYXV0aG9yPjxhdXRob3I+UGVycnksIEM8L2F1dGhvcj48L2F1dGhvcnM+PC9j
b250cmlidXRvcnM+PGF1dGgtYWRkcmVzcz5BdXN0cmFsaWFuIENlbnRyZSBmb3IgRWNvbm9taWMg
UmVzZWFyY2ggb24gSGVhbHRoLCBTY2hvb2wgb2YgTWVkaWNpbmUsIFVuaXZlcnNpdHkgb2YgUXVl
ZW5zbGFuZCwgQnJpc2JhbmUsIEF1c3RyYWxpYS4gdC5qYWNrc29uQHVxLmVkdS5hdTwvYXV0aC1h
ZGRyZXNzPjx0aXRsZXM+PHRpdGxlPkRldmVsb3BtZW50IG9mIGEgdmFsaWRhdGlvbiBhbGdvcml0
aG0gZm9yICZhcG9zO3ByZXNlbnQgb24gYWRtaXNzaW9uJmFwb3M7IGZsYWdnaW5nPC90aXRsZT48
c2Vjb25kYXJ5LXRpdGxlPkJNQyBNZWQgSW5mb3JtIERlY2lzIE1hazwvc2Vjb25kYXJ5LXRpdGxl
PjxhbHQtdGl0bGU+Qk1DIG1lZGljYWwgaW5mb3JtYXRpY3MgYW5kIGRlY2lzaW9uIG1ha2luZzwv
YWx0LXRpdGxlPjwvdGl0bGVzPjxwZXJpb2RpY2FsPjxmdWxsLXRpdGxlPkJNQyBNZWQgSW5mb3Jt
IERlY2lzIE1hazwvZnVsbC10aXRsZT48YWJici0xPkJNQyBtZWRpY2FsIGluZm9ybWF0aWNzIGFu
ZCBkZWNpc2lvbiBtYWtpbmc8L2FiYnItMT48L3BlcmlvZGljYWw+PGFsdC1wZXJpb2RpY2FsPjxm
dWxsLXRpdGxlPkJNQyBNZWQgSW5mb3JtIERlY2lzIE1hazwvZnVsbC10aXRsZT48YWJici0xPkJN
QyBtZWRpY2FsIGluZm9ybWF0aWNzIGFuZCBkZWNpc2lvbiBtYWtpbmc8L2FiYnItMT48L2FsdC1w
ZXJpb2RpY2FsPjxwYWdlcz40ODwvcGFnZXM+PHZvbHVtZT45PC92b2x1bWU+PGVkaXRpb24+MjAw
OS8xMi8wMzwvZWRpdGlvbj48a2V5d29yZHM+PGtleXdvcmQ+KkFsZ29yaXRobXM8L2tleXdvcmQ+
PGtleXdvcmQ+QXVzdHJhbGlhPC9rZXl3b3JkPjxrZXl3b3JkPkNvbW9yYmlkaXR5PC9rZXl3b3Jk
PjxrZXl3b3JkPkRpYWdub3Npczwva2V5d29yZD48a2V5d29yZD5FcGlzb2RlIG9mIENhcmU8L2tl
eXdvcmQ+PGtleXdvcmQ+RmVtYWxlPC9rZXl3b3JkPjxrZXl3b3JkPkh1bWFuczwva2V5d29yZD48
a2V5d29yZD5JbnRlcm5hdGlvbmFsIENsYXNzaWZpY2F0aW9uIG9mIERpc2Vhc2VzPC9rZXl3b3Jk
PjxrZXl3b3JkPk1hbGU8L2tleXdvcmQ+PGtleXdvcmQ+KlBhdGllbnQgQWRtaXNzaW9uPC9rZXl3
b3JkPjxrZXl3b3JkPlF1YWxpdHkgb2YgSGVhbHRoIENhcmU8L2tleXdvcmQ+PC9rZXl3b3Jkcz48
ZGF0ZXM+PHllYXI+MjAwOTwveWVhcj48L2RhdGVzPjxpc2JuPjE0NzItNjk0NyAoRWxlY3Ryb25p
YykmI3hEOzE0NzItNjk0NyAoTGlua2luZyk8L2lzYm4+PGFjY2Vzc2lvbi1udW0+MTk5NTE0MzA8
L2FjY2Vzc2lvbi1udW0+PHVybHM+PHJlbGF0ZWQtdXJscz48dXJsPmh0dHA6Ly93d3cubmNiaS5u
bG0ubmloLmdvdi9wdWJtZWQvMTk5NTE0MzA8L3VybD48dXJsPmh0dHA6Ly93d3cuYmlvbWVkY2Vu
dHJhbC5jb20vY29udGVudC9wZGYvMTQ3Mi02OTQ3LTktNDgucGRmPC91cmw+PC9yZWxhdGVkLXVy
bHM+PC91cmxzPjxjdXN0b20yPjI3OTMyNDQ8L2N1c3RvbTI+PGVsZWN0cm9uaWMtcmVzb3VyY2Ut
bnVtPjEwLjExODYvMTQ3Mi02OTQ3LTktNDg8L2VsZWN0cm9uaWMtcmVzb3VyY2UtbnVtPjxsYW5n
dWFnZT5lbmc8L2xhbmd1YWdlPjwvcmVjb3JkPjwvQ2l0ZT48L0VuZE5vdGU+
</w:fldData>
          </w:fldChar>
        </w:r>
        <w:r w:rsidR="00C33CAE">
          <w:instrText xml:space="preserve"> ADDIN EN.CITE </w:instrText>
        </w:r>
        <w:r w:rsidR="00C33CAE">
          <w:fldChar w:fldCharType="begin">
            <w:fldData xml:space="preserve">PEVuZE5vdGU+PENpdGU+PEF1dGhvcj5KYWNrc29uPC9BdXRob3I+PFllYXI+MjAwOTwvWWVhcj48
UmVjTnVtPjM8L1JlY051bT48RGlzcGxheVRleHQ+SmFja3NvbiwgTWljaGVsLCBSb2JlcnRzLCBT
aGVwaGVhcmQsIGV0IGFsLiwgMjAwOTwvRGlzcGxheVRleHQ+PHJlY29yZD48cmVjLW51bWJlcj4z
PC9yZWMtbnVtYmVyPjxmb3JlaWduLWtleXM+PGtleSBhcHA9IkVOIiBkYi1pZD0iOTJ0ZnR0NXYy
YXJ4ZDZlOXd6cjUwdzJ3MHJ6MGVweDA5OWZ0IiB0aW1lc3RhbXA9IjEzNzE0MzQxMDgiPjM8L2tl
eT48L2ZvcmVpZ24ta2V5cz48cmVmLXR5cGUgbmFtZT0iSm91cm5hbCBBcnRpY2xlIj4xNzwvcmVm
LXR5cGU+PGNvbnRyaWJ1dG9ycz48YXV0aG9ycz48YXV0aG9yPkphY2tzb24sIFQ8L2F1dGhvcj48
YXV0aG9yPk1pY2hlbCwgSi4gTDwvYXV0aG9yPjxhdXRob3I+Um9iZXJ0cywgUjwvYXV0aG9yPjxh
dXRob3I+U2hlcGhlYXJkLCBKPC9hdXRob3I+PGF1dGhvcj5DaGVuZywgRDwvYXV0aG9yPjxhdXRo
b3I+UnVzdCwgSjwvYXV0aG9yPjxhdXRob3I+UGVycnksIEM8L2F1dGhvcj48L2F1dGhvcnM+PC9j
b250cmlidXRvcnM+PGF1dGgtYWRkcmVzcz5BdXN0cmFsaWFuIENlbnRyZSBmb3IgRWNvbm9taWMg
UmVzZWFyY2ggb24gSGVhbHRoLCBTY2hvb2wgb2YgTWVkaWNpbmUsIFVuaXZlcnNpdHkgb2YgUXVl
ZW5zbGFuZCwgQnJpc2JhbmUsIEF1c3RyYWxpYS4gdC5qYWNrc29uQHVxLmVkdS5hdTwvYXV0aC1h
ZGRyZXNzPjx0aXRsZXM+PHRpdGxlPkRldmVsb3BtZW50IG9mIGEgdmFsaWRhdGlvbiBhbGdvcml0
aG0gZm9yICZhcG9zO3ByZXNlbnQgb24gYWRtaXNzaW9uJmFwb3M7IGZsYWdnaW5nPC90aXRsZT48
c2Vjb25kYXJ5LXRpdGxlPkJNQyBNZWQgSW5mb3JtIERlY2lzIE1hazwvc2Vjb25kYXJ5LXRpdGxl
PjxhbHQtdGl0bGU+Qk1DIG1lZGljYWwgaW5mb3JtYXRpY3MgYW5kIGRlY2lzaW9uIG1ha2luZzwv
YWx0LXRpdGxlPjwvdGl0bGVzPjxwZXJpb2RpY2FsPjxmdWxsLXRpdGxlPkJNQyBNZWQgSW5mb3Jt
IERlY2lzIE1hazwvZnVsbC10aXRsZT48YWJici0xPkJNQyBtZWRpY2FsIGluZm9ybWF0aWNzIGFu
ZCBkZWNpc2lvbiBtYWtpbmc8L2FiYnItMT48L3BlcmlvZGljYWw+PGFsdC1wZXJpb2RpY2FsPjxm
dWxsLXRpdGxlPkJNQyBNZWQgSW5mb3JtIERlY2lzIE1hazwvZnVsbC10aXRsZT48YWJici0xPkJN
QyBtZWRpY2FsIGluZm9ybWF0aWNzIGFuZCBkZWNpc2lvbiBtYWtpbmc8L2FiYnItMT48L2FsdC1w
ZXJpb2RpY2FsPjxwYWdlcz40ODwvcGFnZXM+PHZvbHVtZT45PC92b2x1bWU+PGVkaXRpb24+MjAw
OS8xMi8wMzwvZWRpdGlvbj48a2V5d29yZHM+PGtleXdvcmQ+KkFsZ29yaXRobXM8L2tleXdvcmQ+
PGtleXdvcmQ+QXVzdHJhbGlhPC9rZXl3b3JkPjxrZXl3b3JkPkNvbW9yYmlkaXR5PC9rZXl3b3Jk
PjxrZXl3b3JkPkRpYWdub3Npczwva2V5d29yZD48a2V5d29yZD5FcGlzb2RlIG9mIENhcmU8L2tl
eXdvcmQ+PGtleXdvcmQ+RmVtYWxlPC9rZXl3b3JkPjxrZXl3b3JkPkh1bWFuczwva2V5d29yZD48
a2V5d29yZD5JbnRlcm5hdGlvbmFsIENsYXNzaWZpY2F0aW9uIG9mIERpc2Vhc2VzPC9rZXl3b3Jk
PjxrZXl3b3JkPk1hbGU8L2tleXdvcmQ+PGtleXdvcmQ+KlBhdGllbnQgQWRtaXNzaW9uPC9rZXl3
b3JkPjxrZXl3b3JkPlF1YWxpdHkgb2YgSGVhbHRoIENhcmU8L2tleXdvcmQ+PC9rZXl3b3Jkcz48
ZGF0ZXM+PHllYXI+MjAwOTwveWVhcj48L2RhdGVzPjxpc2JuPjE0NzItNjk0NyAoRWxlY3Ryb25p
YykmI3hEOzE0NzItNjk0NyAoTGlua2luZyk8L2lzYm4+PGFjY2Vzc2lvbi1udW0+MTk5NTE0MzA8
L2FjY2Vzc2lvbi1udW0+PHVybHM+PHJlbGF0ZWQtdXJscz48dXJsPmh0dHA6Ly93d3cubmNiaS5u
bG0ubmloLmdvdi9wdWJtZWQvMTk5NTE0MzA8L3VybD48dXJsPmh0dHA6Ly93d3cuYmlvbWVkY2Vu
dHJhbC5jb20vY29udGVudC9wZGYvMTQ3Mi02OTQ3LTktNDgucGRmPC91cmw+PC9yZWxhdGVkLXVy
bHM+PC91cmxzPjxjdXN0b20yPjI3OTMyNDQ8L2N1c3RvbTI+PGVsZWN0cm9uaWMtcmVzb3VyY2Ut
bnVtPjEwLjExODYvMTQ3Mi02OTQ3LTktNDg8L2VsZWN0cm9uaWMtcmVzb3VyY2UtbnVtPjxsYW5n
dWFnZT5lbmc8L2xhbmd1YWdlPjwvcmVjb3JkPjwvQ2l0ZT48L0VuZE5vdGU+
</w:fldData>
          </w:fldChar>
        </w:r>
        <w:r w:rsidR="00C33CAE">
          <w:instrText xml:space="preserve"> ADDIN EN.CITE.DATA </w:instrText>
        </w:r>
        <w:r w:rsidR="00C33CAE">
          <w:fldChar w:fldCharType="end"/>
        </w:r>
        <w:r w:rsidR="00C33CAE">
          <w:fldChar w:fldCharType="separate"/>
        </w:r>
        <w:r w:rsidR="00C33CAE">
          <w:rPr>
            <w:noProof/>
          </w:rPr>
          <w:t>Jackson, Michel, Roberts, Shepheard, et al., 2009</w:t>
        </w:r>
        <w:r w:rsidR="00C33CAE">
          <w:fldChar w:fldCharType="end"/>
        </w:r>
      </w:hyperlink>
      <w:r>
        <w:t>).</w:t>
      </w:r>
    </w:p>
    <w:p w:rsidR="007718C7" w:rsidRDefault="00F50FB9" w:rsidP="00B912D2">
      <w:r>
        <w:fldChar w:fldCharType="begin"/>
      </w:r>
      <w:r>
        <w:instrText xml:space="preserve"> REF _Ref367305207 \h  \* MERGEFORMAT </w:instrText>
      </w:r>
      <w:r>
        <w:fldChar w:fldCharType="separate"/>
      </w:r>
      <w:r w:rsidR="00363A39" w:rsidRPr="00363A39">
        <w:t>Table 45</w:t>
      </w:r>
      <w:r>
        <w:fldChar w:fldCharType="end"/>
      </w:r>
      <w:r w:rsidR="007718C7">
        <w:t xml:space="preserve"> summarises the major methodological challenges in estimating the impact of hospital-acquired conditions on cost and length of stay, together with an indication of the direction these factors may have on estimated effects.  </w:t>
      </w:r>
    </w:p>
    <w:p w:rsidR="007718C7" w:rsidRPr="00294745" w:rsidRDefault="007718C7" w:rsidP="00B912D2">
      <w:pPr>
        <w:contextualSpacing/>
        <w:jc w:val="center"/>
        <w:rPr>
          <w:b/>
          <w:sz w:val="18"/>
          <w:szCs w:val="18"/>
        </w:rPr>
      </w:pPr>
      <w:bookmarkStart w:id="98" w:name="_Ref367305207"/>
      <w:r w:rsidRPr="00294745">
        <w:rPr>
          <w:b/>
          <w:sz w:val="18"/>
          <w:szCs w:val="18"/>
        </w:rPr>
        <w:t xml:space="preserve">Table </w:t>
      </w:r>
      <w:r w:rsidRPr="00294745">
        <w:rPr>
          <w:b/>
          <w:sz w:val="18"/>
          <w:szCs w:val="18"/>
        </w:rPr>
        <w:fldChar w:fldCharType="begin"/>
      </w:r>
      <w:r w:rsidRPr="00294745">
        <w:rPr>
          <w:b/>
          <w:sz w:val="18"/>
          <w:szCs w:val="18"/>
        </w:rPr>
        <w:instrText xml:space="preserve"> SEQ Table \* ARABIC </w:instrText>
      </w:r>
      <w:r w:rsidRPr="00294745">
        <w:rPr>
          <w:b/>
          <w:sz w:val="18"/>
          <w:szCs w:val="18"/>
        </w:rPr>
        <w:fldChar w:fldCharType="separate"/>
      </w:r>
      <w:r w:rsidR="00363A39">
        <w:rPr>
          <w:b/>
          <w:noProof/>
          <w:sz w:val="18"/>
          <w:szCs w:val="18"/>
        </w:rPr>
        <w:t>45</w:t>
      </w:r>
      <w:r w:rsidRPr="00294745">
        <w:rPr>
          <w:b/>
          <w:sz w:val="18"/>
          <w:szCs w:val="18"/>
        </w:rPr>
        <w:fldChar w:fldCharType="end"/>
      </w:r>
      <w:bookmarkEnd w:id="98"/>
      <w:r w:rsidRPr="00294745">
        <w:rPr>
          <w:b/>
          <w:sz w:val="18"/>
          <w:szCs w:val="18"/>
        </w:rPr>
        <w:t xml:space="preserve"> – </w:t>
      </w:r>
      <w:r>
        <w:rPr>
          <w:b/>
          <w:sz w:val="18"/>
          <w:szCs w:val="18"/>
        </w:rPr>
        <w:t>Sources of potential bias in assessing the impact of hospital-acquired conditions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660"/>
        <w:gridCol w:w="5245"/>
        <w:gridCol w:w="1337"/>
      </w:tblGrid>
      <w:tr w:rsidR="007718C7" w:rsidRPr="00864829" w:rsidTr="00001883">
        <w:trPr>
          <w:cantSplit/>
          <w:trHeight w:val="841"/>
          <w:tblHeader/>
        </w:trPr>
        <w:tc>
          <w:tcPr>
            <w:tcW w:w="2660" w:type="dxa"/>
            <w:shd w:val="clear" w:color="auto" w:fill="003D79"/>
          </w:tcPr>
          <w:p w:rsidR="007718C7" w:rsidRPr="000F1C72" w:rsidRDefault="007718C7" w:rsidP="007847F7">
            <w:pPr>
              <w:spacing w:after="0" w:line="240" w:lineRule="auto"/>
              <w:jc w:val="center"/>
              <w:rPr>
                <w:b/>
                <w:color w:val="FFFFFF"/>
                <w:sz w:val="18"/>
                <w:szCs w:val="18"/>
                <w:lang w:val="en-US"/>
              </w:rPr>
            </w:pPr>
            <w:r w:rsidRPr="000F1C72">
              <w:rPr>
                <w:b/>
                <w:color w:val="FFFFFF"/>
                <w:sz w:val="18"/>
                <w:szCs w:val="18"/>
                <w:lang w:val="en-US"/>
              </w:rPr>
              <w:t>Issues potentially impacting estimates of the cost of hospital-acquired conditions</w:t>
            </w:r>
          </w:p>
        </w:tc>
        <w:tc>
          <w:tcPr>
            <w:tcW w:w="5245" w:type="dxa"/>
            <w:shd w:val="clear" w:color="auto" w:fill="003D79"/>
          </w:tcPr>
          <w:p w:rsidR="007718C7" w:rsidRPr="000F1C72" w:rsidRDefault="007718C7" w:rsidP="007847F7">
            <w:pPr>
              <w:spacing w:after="0" w:line="240" w:lineRule="auto"/>
              <w:jc w:val="center"/>
              <w:rPr>
                <w:b/>
                <w:color w:val="FFFFFF"/>
                <w:sz w:val="18"/>
                <w:szCs w:val="18"/>
                <w:lang w:val="en-US"/>
              </w:rPr>
            </w:pPr>
            <w:r w:rsidRPr="000F1C72">
              <w:rPr>
                <w:b/>
                <w:color w:val="FFFFFF"/>
                <w:sz w:val="18"/>
                <w:szCs w:val="18"/>
                <w:lang w:val="en-US"/>
              </w:rPr>
              <w:t>Types of impact</w:t>
            </w:r>
          </w:p>
        </w:tc>
        <w:tc>
          <w:tcPr>
            <w:tcW w:w="1337" w:type="dxa"/>
            <w:shd w:val="clear" w:color="auto" w:fill="003D79"/>
          </w:tcPr>
          <w:p w:rsidR="007718C7" w:rsidRPr="000F1C72" w:rsidRDefault="007718C7" w:rsidP="007847F7">
            <w:pPr>
              <w:spacing w:after="0" w:line="240" w:lineRule="auto"/>
              <w:jc w:val="center"/>
              <w:rPr>
                <w:b/>
                <w:color w:val="FFFFFF"/>
                <w:sz w:val="18"/>
                <w:szCs w:val="18"/>
                <w:lang w:val="en-US"/>
              </w:rPr>
            </w:pPr>
            <w:r w:rsidRPr="000F1C72">
              <w:rPr>
                <w:b/>
                <w:color w:val="FFFFFF"/>
                <w:sz w:val="18"/>
                <w:szCs w:val="18"/>
                <w:lang w:val="en-US"/>
              </w:rPr>
              <w:t>Impact on estimates</w:t>
            </w:r>
          </w:p>
        </w:tc>
      </w:tr>
      <w:tr w:rsidR="007718C7" w:rsidRPr="00864829" w:rsidTr="00001883">
        <w:trPr>
          <w:cantSplit/>
        </w:trPr>
        <w:tc>
          <w:tcPr>
            <w:tcW w:w="2660" w:type="dxa"/>
          </w:tcPr>
          <w:p w:rsidR="007718C7" w:rsidRPr="000F1C72" w:rsidRDefault="007718C7" w:rsidP="007847F7">
            <w:pPr>
              <w:spacing w:after="0" w:line="240" w:lineRule="auto"/>
              <w:rPr>
                <w:sz w:val="18"/>
                <w:szCs w:val="18"/>
                <w:lang w:val="en-US"/>
              </w:rPr>
            </w:pPr>
            <w:r w:rsidRPr="000F1C72">
              <w:rPr>
                <w:sz w:val="18"/>
                <w:szCs w:val="18"/>
                <w:lang w:val="en-US"/>
              </w:rPr>
              <w:t>Depth of coding  (number of additional diagnoses coded, or specificity of coding diagnoses )</w:t>
            </w:r>
          </w:p>
        </w:tc>
        <w:tc>
          <w:tcPr>
            <w:tcW w:w="5245" w:type="dxa"/>
          </w:tcPr>
          <w:p w:rsidR="007718C7" w:rsidRPr="000F1C72" w:rsidRDefault="007718C7" w:rsidP="007847F7">
            <w:pPr>
              <w:spacing w:after="0" w:line="240" w:lineRule="auto"/>
              <w:rPr>
                <w:sz w:val="18"/>
                <w:szCs w:val="18"/>
                <w:lang w:val="en-US"/>
              </w:rPr>
            </w:pPr>
            <w:r w:rsidRPr="000F1C72">
              <w:rPr>
                <w:sz w:val="18"/>
                <w:szCs w:val="18"/>
                <w:lang w:val="en-US"/>
              </w:rPr>
              <w:t>Hospitals with deeper levels of coding are more likely to pick up additional diagnoses which were not present on admission.  Poorer coding is likely to bias estimates downwards (where hospital-acquired conditions add to cost)</w:t>
            </w:r>
          </w:p>
        </w:tc>
        <w:tc>
          <w:tcPr>
            <w:tcW w:w="1337" w:type="dxa"/>
            <w:vAlign w:val="center"/>
          </w:tcPr>
          <w:p w:rsidR="007718C7" w:rsidRPr="00864829" w:rsidRDefault="007718C7" w:rsidP="007847F7">
            <w:pPr>
              <w:spacing w:after="0" w:line="240" w:lineRule="auto"/>
              <w:jc w:val="center"/>
              <w:rPr>
                <w:rFonts w:ascii="Calibri" w:hAnsi="Calibri"/>
                <w:szCs w:val="20"/>
                <w:lang w:val="en-US"/>
              </w:rPr>
            </w:pPr>
            <w:r w:rsidRPr="00864829">
              <w:rPr>
                <w:rFonts w:ascii="Calibri" w:hAnsi="Calibri"/>
                <w:szCs w:val="20"/>
                <w:lang w:val="en-US"/>
              </w:rPr>
              <w:sym w:font="Wingdings" w:char="F0E2"/>
            </w:r>
          </w:p>
        </w:tc>
      </w:tr>
      <w:tr w:rsidR="007718C7" w:rsidRPr="00864829" w:rsidTr="00001883">
        <w:trPr>
          <w:cantSplit/>
        </w:trPr>
        <w:tc>
          <w:tcPr>
            <w:tcW w:w="2660" w:type="dxa"/>
          </w:tcPr>
          <w:p w:rsidR="007718C7" w:rsidRPr="000F1C72" w:rsidRDefault="007718C7" w:rsidP="007847F7">
            <w:pPr>
              <w:spacing w:after="0" w:line="240" w:lineRule="auto"/>
              <w:rPr>
                <w:sz w:val="18"/>
                <w:szCs w:val="18"/>
                <w:lang w:val="en-US"/>
              </w:rPr>
            </w:pPr>
            <w:r w:rsidRPr="000F1C72">
              <w:rPr>
                <w:sz w:val="18"/>
                <w:szCs w:val="18"/>
                <w:lang w:val="en-US"/>
              </w:rPr>
              <w:t>Coding standards may lead to some conditions not being coded</w:t>
            </w:r>
          </w:p>
        </w:tc>
        <w:tc>
          <w:tcPr>
            <w:tcW w:w="5245" w:type="dxa"/>
          </w:tcPr>
          <w:p w:rsidR="007718C7" w:rsidRPr="000F1C72" w:rsidRDefault="007718C7" w:rsidP="007847F7">
            <w:pPr>
              <w:spacing w:after="0" w:line="240" w:lineRule="auto"/>
              <w:rPr>
                <w:sz w:val="18"/>
                <w:szCs w:val="18"/>
                <w:highlight w:val="yellow"/>
                <w:lang w:val="en-US"/>
              </w:rPr>
            </w:pPr>
            <w:r w:rsidRPr="000F1C72">
              <w:rPr>
                <w:sz w:val="18"/>
                <w:szCs w:val="18"/>
                <w:lang w:val="en-US"/>
              </w:rPr>
              <w:t>Current Australian standards are that a diagnosis should only be coded in certain circumstances.  Additional diagnoses which are present, but do not meet these standards may not be coded. These may be ‘lower cost’ (hence not coded),  which will result in an upward bias in estimates of effects</w:t>
            </w:r>
          </w:p>
        </w:tc>
        <w:tc>
          <w:tcPr>
            <w:tcW w:w="1337" w:type="dxa"/>
            <w:vAlign w:val="center"/>
          </w:tcPr>
          <w:p w:rsidR="007718C7" w:rsidRPr="00864829" w:rsidRDefault="007718C7" w:rsidP="007847F7">
            <w:pPr>
              <w:spacing w:after="0" w:line="240" w:lineRule="auto"/>
              <w:jc w:val="center"/>
              <w:rPr>
                <w:rFonts w:ascii="Calibri" w:hAnsi="Calibri"/>
                <w:szCs w:val="20"/>
                <w:lang w:val="en-US"/>
              </w:rPr>
            </w:pPr>
            <w:r w:rsidRPr="00864829">
              <w:rPr>
                <w:rFonts w:ascii="Calibri" w:hAnsi="Calibri"/>
                <w:szCs w:val="20"/>
                <w:lang w:val="en-US"/>
              </w:rPr>
              <w:sym w:font="Wingdings" w:char="F0E1"/>
            </w:r>
          </w:p>
        </w:tc>
      </w:tr>
      <w:tr w:rsidR="007718C7" w:rsidRPr="00864829" w:rsidTr="00001883">
        <w:trPr>
          <w:cantSplit/>
        </w:trPr>
        <w:tc>
          <w:tcPr>
            <w:tcW w:w="2660" w:type="dxa"/>
          </w:tcPr>
          <w:p w:rsidR="007718C7" w:rsidRPr="000F1C72" w:rsidRDefault="007718C7" w:rsidP="007847F7">
            <w:pPr>
              <w:spacing w:after="0" w:line="240" w:lineRule="auto"/>
              <w:rPr>
                <w:sz w:val="18"/>
                <w:szCs w:val="18"/>
                <w:lang w:val="en-US"/>
              </w:rPr>
            </w:pPr>
            <w:r w:rsidRPr="000F1C72">
              <w:rPr>
                <w:sz w:val="18"/>
                <w:szCs w:val="18"/>
                <w:lang w:val="en-US"/>
              </w:rPr>
              <w:t>Accuracy of coding of COF</w:t>
            </w:r>
          </w:p>
        </w:tc>
        <w:tc>
          <w:tcPr>
            <w:tcW w:w="5245" w:type="dxa"/>
          </w:tcPr>
          <w:p w:rsidR="007718C7" w:rsidRPr="000F1C72" w:rsidRDefault="007718C7" w:rsidP="007847F7">
            <w:pPr>
              <w:spacing w:after="0" w:line="240" w:lineRule="auto"/>
              <w:rPr>
                <w:sz w:val="18"/>
                <w:szCs w:val="18"/>
                <w:lang w:val="en-US"/>
              </w:rPr>
            </w:pPr>
            <w:r w:rsidRPr="000F1C72">
              <w:rPr>
                <w:sz w:val="18"/>
                <w:szCs w:val="18"/>
                <w:lang w:val="en-US"/>
              </w:rPr>
              <w:t xml:space="preserve">Studies suggest coding is underestimated in some areas and overestimated in others.  There are circumstances in which the interpretation of the medical chart is ambiguous.  </w:t>
            </w:r>
          </w:p>
        </w:tc>
        <w:tc>
          <w:tcPr>
            <w:tcW w:w="1337" w:type="dxa"/>
            <w:vAlign w:val="center"/>
          </w:tcPr>
          <w:p w:rsidR="007718C7" w:rsidRPr="00864829" w:rsidRDefault="007718C7" w:rsidP="007847F7">
            <w:pPr>
              <w:spacing w:after="0" w:line="240" w:lineRule="auto"/>
              <w:jc w:val="center"/>
              <w:rPr>
                <w:rFonts w:ascii="Calibri" w:hAnsi="Calibri"/>
                <w:szCs w:val="20"/>
                <w:lang w:val="en-US"/>
              </w:rPr>
            </w:pPr>
            <w:r w:rsidRPr="00864829">
              <w:rPr>
                <w:rFonts w:ascii="Calibri" w:hAnsi="Calibri"/>
                <w:szCs w:val="20"/>
                <w:lang w:val="en-US"/>
              </w:rPr>
              <w:sym w:font="Wingdings" w:char="F0DF"/>
            </w:r>
            <w:r w:rsidRPr="00864829">
              <w:rPr>
                <w:rFonts w:ascii="Calibri" w:hAnsi="Calibri"/>
                <w:szCs w:val="20"/>
                <w:lang w:val="en-US"/>
              </w:rPr>
              <w:sym w:font="Wingdings" w:char="F0E0"/>
            </w:r>
          </w:p>
        </w:tc>
      </w:tr>
      <w:tr w:rsidR="007718C7" w:rsidRPr="00864829" w:rsidTr="00001883">
        <w:trPr>
          <w:cantSplit/>
        </w:trPr>
        <w:tc>
          <w:tcPr>
            <w:tcW w:w="2660" w:type="dxa"/>
          </w:tcPr>
          <w:p w:rsidR="007718C7" w:rsidRPr="000F1C72" w:rsidRDefault="007718C7" w:rsidP="007847F7">
            <w:pPr>
              <w:spacing w:after="0" w:line="240" w:lineRule="auto"/>
              <w:rPr>
                <w:sz w:val="18"/>
                <w:szCs w:val="18"/>
                <w:lang w:val="en-US"/>
              </w:rPr>
            </w:pPr>
            <w:r w:rsidRPr="000F1C72">
              <w:rPr>
                <w:sz w:val="18"/>
                <w:szCs w:val="18"/>
                <w:lang w:val="en-US"/>
              </w:rPr>
              <w:t>Selection Bias – General</w:t>
            </w:r>
          </w:p>
        </w:tc>
        <w:tc>
          <w:tcPr>
            <w:tcW w:w="5245" w:type="dxa"/>
          </w:tcPr>
          <w:p w:rsidR="007718C7" w:rsidRPr="000F1C72" w:rsidRDefault="007718C7" w:rsidP="007847F7">
            <w:pPr>
              <w:spacing w:after="0" w:line="240" w:lineRule="auto"/>
              <w:rPr>
                <w:sz w:val="18"/>
                <w:szCs w:val="18"/>
                <w:lang w:val="en-US"/>
              </w:rPr>
            </w:pPr>
            <w:r w:rsidRPr="000F1C72">
              <w:rPr>
                <w:sz w:val="18"/>
                <w:szCs w:val="18"/>
                <w:lang w:val="en-US"/>
              </w:rPr>
              <w:t>Where there is selection bias present, episodes unaccounted for factors will influence both the presence of hospital-acquired conditions and the outcome of interest (cost or length of stay).  Comparisons between episodes with and without hospital-acquired conditions will not be valid.  In general (where hospital-acquired conditions add to costs), this is likely to result in estimates of effect that are upwardly biased.  However it is also possible that the estimates of effect will be underestimated (see next row).</w:t>
            </w:r>
          </w:p>
        </w:tc>
        <w:tc>
          <w:tcPr>
            <w:tcW w:w="1337" w:type="dxa"/>
            <w:vAlign w:val="center"/>
          </w:tcPr>
          <w:p w:rsidR="007718C7" w:rsidRPr="00864829" w:rsidRDefault="007718C7" w:rsidP="007847F7">
            <w:pPr>
              <w:spacing w:after="0" w:line="240" w:lineRule="auto"/>
              <w:jc w:val="center"/>
              <w:rPr>
                <w:rFonts w:ascii="Calibri" w:hAnsi="Calibri"/>
                <w:szCs w:val="20"/>
                <w:lang w:val="en-US"/>
              </w:rPr>
            </w:pPr>
            <w:r w:rsidRPr="00864829">
              <w:rPr>
                <w:rFonts w:ascii="Calibri" w:hAnsi="Calibri"/>
                <w:szCs w:val="20"/>
                <w:lang w:val="en-US"/>
              </w:rPr>
              <w:sym w:font="Wingdings" w:char="F0E1"/>
            </w:r>
          </w:p>
        </w:tc>
      </w:tr>
      <w:tr w:rsidR="007718C7" w:rsidRPr="00864829" w:rsidTr="00001883">
        <w:trPr>
          <w:cantSplit/>
        </w:trPr>
        <w:tc>
          <w:tcPr>
            <w:tcW w:w="2660" w:type="dxa"/>
          </w:tcPr>
          <w:p w:rsidR="007718C7" w:rsidRPr="000F1C72" w:rsidRDefault="007718C7" w:rsidP="007847F7">
            <w:pPr>
              <w:spacing w:after="0" w:line="240" w:lineRule="auto"/>
              <w:rPr>
                <w:sz w:val="18"/>
                <w:szCs w:val="18"/>
                <w:lang w:val="en-US"/>
              </w:rPr>
            </w:pPr>
            <w:r w:rsidRPr="000F1C72">
              <w:rPr>
                <w:sz w:val="18"/>
                <w:szCs w:val="18"/>
                <w:lang w:val="en-US"/>
              </w:rPr>
              <w:t>Selection Bias – Variables used to control for selection bias are also impacted by the presence of hospital-acquired conditions.</w:t>
            </w:r>
          </w:p>
        </w:tc>
        <w:tc>
          <w:tcPr>
            <w:tcW w:w="5245" w:type="dxa"/>
          </w:tcPr>
          <w:p w:rsidR="007718C7" w:rsidRPr="000F1C72" w:rsidRDefault="007718C7" w:rsidP="007847F7">
            <w:pPr>
              <w:spacing w:after="0" w:line="240" w:lineRule="auto"/>
              <w:rPr>
                <w:sz w:val="18"/>
                <w:szCs w:val="18"/>
                <w:lang w:val="en-US"/>
              </w:rPr>
            </w:pPr>
            <w:r w:rsidRPr="000F1C72">
              <w:rPr>
                <w:sz w:val="18"/>
                <w:szCs w:val="18"/>
                <w:lang w:val="en-US"/>
              </w:rPr>
              <w:t>An example here is the use of DRG as a control variable, where DRG is determined by additional diagnoses both present on admission and those acquired in hospital.  A similar issue applies to measures of comorbidity with include hospital-acquired diagnoses.  In these instances, the estimates of effect will generally be biased downwards</w:t>
            </w:r>
          </w:p>
        </w:tc>
        <w:tc>
          <w:tcPr>
            <w:tcW w:w="1337" w:type="dxa"/>
            <w:vAlign w:val="center"/>
          </w:tcPr>
          <w:p w:rsidR="007718C7" w:rsidRPr="00864829" w:rsidRDefault="007718C7" w:rsidP="007847F7">
            <w:pPr>
              <w:spacing w:after="0" w:line="240" w:lineRule="auto"/>
              <w:jc w:val="center"/>
              <w:rPr>
                <w:rFonts w:ascii="Calibri" w:hAnsi="Calibri"/>
                <w:szCs w:val="20"/>
                <w:lang w:val="en-US"/>
              </w:rPr>
            </w:pPr>
            <w:r w:rsidRPr="00864829">
              <w:rPr>
                <w:rFonts w:ascii="Calibri" w:hAnsi="Calibri"/>
                <w:szCs w:val="20"/>
                <w:lang w:val="en-US"/>
              </w:rPr>
              <w:sym w:font="Wingdings" w:char="F0E2"/>
            </w:r>
          </w:p>
        </w:tc>
      </w:tr>
      <w:tr w:rsidR="007718C7" w:rsidRPr="00864829" w:rsidTr="00001883">
        <w:trPr>
          <w:cantSplit/>
        </w:trPr>
        <w:tc>
          <w:tcPr>
            <w:tcW w:w="2660" w:type="dxa"/>
          </w:tcPr>
          <w:p w:rsidR="007718C7" w:rsidRPr="000F1C72" w:rsidRDefault="007718C7" w:rsidP="007847F7">
            <w:pPr>
              <w:spacing w:after="0" w:line="240" w:lineRule="auto"/>
              <w:rPr>
                <w:sz w:val="18"/>
                <w:szCs w:val="18"/>
                <w:lang w:val="en-US"/>
              </w:rPr>
            </w:pPr>
            <w:r w:rsidRPr="000F1C72">
              <w:rPr>
                <w:sz w:val="18"/>
                <w:szCs w:val="18"/>
                <w:lang w:val="en-US"/>
              </w:rPr>
              <w:lastRenderedPageBreak/>
              <w:t>Selection Bias – Within DRG heterogeneity related to principal diagnosis</w:t>
            </w:r>
          </w:p>
        </w:tc>
        <w:tc>
          <w:tcPr>
            <w:tcW w:w="5245" w:type="dxa"/>
          </w:tcPr>
          <w:p w:rsidR="007718C7" w:rsidRPr="000F1C72" w:rsidRDefault="007718C7" w:rsidP="007847F7">
            <w:pPr>
              <w:spacing w:after="0" w:line="240" w:lineRule="auto"/>
              <w:rPr>
                <w:sz w:val="18"/>
                <w:szCs w:val="18"/>
                <w:lang w:val="en-US"/>
              </w:rPr>
            </w:pPr>
            <w:r w:rsidRPr="000F1C72">
              <w:rPr>
                <w:sz w:val="18"/>
                <w:szCs w:val="18"/>
                <w:lang w:val="en-US"/>
              </w:rPr>
              <w:t>DRGs typically group a range of principal diagnoses together.  While these are similar, there can be high degree of heterogeneity (see discussion of cranial procedures and stroke DRGs below).  If episodes with more complex principal diagnoses tend to also have higher levels of hospital-acquired conditions, the result will be that estimates of effect with be biased upwards.</w:t>
            </w:r>
          </w:p>
        </w:tc>
        <w:tc>
          <w:tcPr>
            <w:tcW w:w="1337" w:type="dxa"/>
            <w:vAlign w:val="center"/>
          </w:tcPr>
          <w:p w:rsidR="007718C7" w:rsidRPr="00864829" w:rsidRDefault="007718C7" w:rsidP="007847F7">
            <w:pPr>
              <w:spacing w:after="0" w:line="240" w:lineRule="auto"/>
              <w:jc w:val="center"/>
              <w:rPr>
                <w:rFonts w:ascii="Calibri" w:hAnsi="Calibri"/>
                <w:szCs w:val="20"/>
                <w:lang w:val="en-US"/>
              </w:rPr>
            </w:pPr>
            <w:r w:rsidRPr="00864829">
              <w:rPr>
                <w:rFonts w:ascii="Calibri" w:hAnsi="Calibri"/>
                <w:szCs w:val="20"/>
                <w:lang w:val="en-US"/>
              </w:rPr>
              <w:sym w:font="Wingdings" w:char="F0E1"/>
            </w:r>
          </w:p>
        </w:tc>
      </w:tr>
      <w:tr w:rsidR="007718C7" w:rsidRPr="00864829" w:rsidTr="00001883">
        <w:trPr>
          <w:cantSplit/>
        </w:trPr>
        <w:tc>
          <w:tcPr>
            <w:tcW w:w="2660" w:type="dxa"/>
          </w:tcPr>
          <w:p w:rsidR="007718C7" w:rsidRPr="000F1C72" w:rsidRDefault="007718C7" w:rsidP="007847F7">
            <w:pPr>
              <w:spacing w:after="0" w:line="240" w:lineRule="auto"/>
              <w:rPr>
                <w:sz w:val="18"/>
                <w:szCs w:val="18"/>
                <w:lang w:val="en-US"/>
              </w:rPr>
            </w:pPr>
            <w:r w:rsidRPr="000F1C72">
              <w:rPr>
                <w:sz w:val="18"/>
                <w:szCs w:val="18"/>
                <w:lang w:val="en-US"/>
              </w:rPr>
              <w:t>Selection Bias – Failure to include other factors that independently impact the cost or length of stay within a DRG (e.g. comorbidities,  age)</w:t>
            </w:r>
          </w:p>
        </w:tc>
        <w:tc>
          <w:tcPr>
            <w:tcW w:w="5245" w:type="dxa"/>
          </w:tcPr>
          <w:p w:rsidR="007718C7" w:rsidRPr="000F1C72" w:rsidRDefault="007718C7" w:rsidP="007847F7">
            <w:pPr>
              <w:spacing w:after="0" w:line="240" w:lineRule="auto"/>
              <w:rPr>
                <w:sz w:val="18"/>
                <w:szCs w:val="18"/>
                <w:lang w:val="en-US"/>
              </w:rPr>
            </w:pPr>
            <w:r w:rsidRPr="000F1C72">
              <w:rPr>
                <w:sz w:val="18"/>
                <w:szCs w:val="18"/>
                <w:lang w:val="en-US"/>
              </w:rPr>
              <w:t>There is also a level of heterogeneity within DRGs related to a range of other factors such as the presence of comorbidities.  Age is also often introduced, as a proxy for unmeasured ‘complexity’.  Failure to control for these factors will typically result in upwardly biased estimates</w:t>
            </w:r>
          </w:p>
        </w:tc>
        <w:tc>
          <w:tcPr>
            <w:tcW w:w="1337" w:type="dxa"/>
            <w:vAlign w:val="center"/>
          </w:tcPr>
          <w:p w:rsidR="007718C7" w:rsidRPr="00864829" w:rsidRDefault="007718C7" w:rsidP="007847F7">
            <w:pPr>
              <w:spacing w:after="0" w:line="240" w:lineRule="auto"/>
              <w:jc w:val="center"/>
              <w:rPr>
                <w:rFonts w:ascii="Calibri" w:hAnsi="Calibri"/>
                <w:szCs w:val="20"/>
                <w:lang w:val="en-US"/>
              </w:rPr>
            </w:pPr>
            <w:r w:rsidRPr="00864829">
              <w:rPr>
                <w:rFonts w:ascii="Calibri" w:hAnsi="Calibri"/>
                <w:szCs w:val="20"/>
                <w:lang w:val="en-US"/>
              </w:rPr>
              <w:sym w:font="Wingdings" w:char="F0E1"/>
            </w:r>
          </w:p>
        </w:tc>
      </w:tr>
      <w:tr w:rsidR="007718C7" w:rsidRPr="00864829" w:rsidTr="00001883">
        <w:trPr>
          <w:cantSplit/>
        </w:trPr>
        <w:tc>
          <w:tcPr>
            <w:tcW w:w="2660" w:type="dxa"/>
          </w:tcPr>
          <w:p w:rsidR="007718C7" w:rsidRPr="000F1C72" w:rsidRDefault="007718C7" w:rsidP="007847F7">
            <w:pPr>
              <w:spacing w:after="0" w:line="240" w:lineRule="auto"/>
              <w:rPr>
                <w:sz w:val="18"/>
                <w:szCs w:val="18"/>
                <w:lang w:val="en-US"/>
              </w:rPr>
            </w:pPr>
            <w:r w:rsidRPr="000F1C72">
              <w:rPr>
                <w:sz w:val="18"/>
                <w:szCs w:val="18"/>
                <w:lang w:val="en-US"/>
              </w:rPr>
              <w:t>Endogeneity/Time Dependent Bias – General</w:t>
            </w:r>
          </w:p>
        </w:tc>
        <w:tc>
          <w:tcPr>
            <w:tcW w:w="5245" w:type="dxa"/>
          </w:tcPr>
          <w:p w:rsidR="007718C7" w:rsidRPr="000F1C72" w:rsidRDefault="007718C7" w:rsidP="007847F7">
            <w:pPr>
              <w:spacing w:after="0" w:line="240" w:lineRule="auto"/>
              <w:rPr>
                <w:sz w:val="18"/>
                <w:szCs w:val="18"/>
                <w:lang w:val="en-US"/>
              </w:rPr>
            </w:pPr>
            <w:r w:rsidRPr="000F1C72">
              <w:rPr>
                <w:sz w:val="18"/>
                <w:szCs w:val="18"/>
                <w:lang w:val="en-US"/>
              </w:rPr>
              <w:t>Unless endogeneity bias is addressed through methods, there a danger that effects will be over-estimated.</w:t>
            </w:r>
          </w:p>
        </w:tc>
        <w:tc>
          <w:tcPr>
            <w:tcW w:w="1337" w:type="dxa"/>
            <w:vAlign w:val="center"/>
          </w:tcPr>
          <w:p w:rsidR="007718C7" w:rsidRPr="00864829" w:rsidRDefault="007718C7" w:rsidP="007847F7">
            <w:pPr>
              <w:spacing w:after="0" w:line="240" w:lineRule="auto"/>
              <w:jc w:val="center"/>
              <w:rPr>
                <w:rFonts w:ascii="Calibri" w:hAnsi="Calibri"/>
                <w:szCs w:val="20"/>
                <w:lang w:val="en-US"/>
              </w:rPr>
            </w:pPr>
            <w:r w:rsidRPr="00864829">
              <w:rPr>
                <w:rFonts w:ascii="Calibri" w:hAnsi="Calibri"/>
                <w:szCs w:val="20"/>
                <w:lang w:val="en-US"/>
              </w:rPr>
              <w:sym w:font="Wingdings" w:char="F0E1"/>
            </w:r>
          </w:p>
        </w:tc>
      </w:tr>
    </w:tbl>
    <w:p w:rsidR="007718C7" w:rsidRPr="00E21509" w:rsidRDefault="007718C7" w:rsidP="00B912D2">
      <w:pPr>
        <w:pStyle w:val="Stageheading"/>
      </w:pPr>
      <w:bookmarkStart w:id="99" w:name="_Toc374114603"/>
      <w:r w:rsidRPr="00E21509">
        <w:t>Studies of national/state level hospital morbidity data</w:t>
      </w:r>
      <w:bookmarkEnd w:id="99"/>
    </w:p>
    <w:p w:rsidR="007718C7" w:rsidRDefault="007718C7" w:rsidP="00B912D2">
      <w:r>
        <w:t xml:space="preserve">Most of the studies identified in the </w:t>
      </w:r>
      <w:r w:rsidRPr="009C1EB8">
        <w:t>Fukuda</w:t>
      </w:r>
      <w:r>
        <w:t xml:space="preserve"> (</w:t>
      </w:r>
      <w:hyperlink w:anchor="_ENREF_8" w:tooltip="Fukuda, 2011 #81" w:history="1">
        <w:r w:rsidR="00C33CAE">
          <w:fldChar w:fldCharType="begin"/>
        </w:r>
        <w:r w:rsidR="00C33CAE">
          <w:instrText xml:space="preserve"> ADDIN EN.CITE &lt;EndNote&gt;&lt;Cite ExcludeAuth="1"&gt;&lt;Author&gt;Fukuda&lt;/Author&gt;&lt;Year&gt;2011&lt;/Year&gt;&lt;RecNum&gt;81&lt;/RecNum&gt;&lt;DisplayText&gt;2011a&lt;/DisplayText&gt;&lt;record&gt;&lt;rec-number&gt;81&lt;/rec-number&gt;&lt;foreign-keys&gt;&lt;key app="EN" db-id="92tftt5v2arxd6e9wzr50w2w0rz0epx099ft" timestamp="1378515008"&gt;81&lt;/key&gt;&lt;/foreign-keys&gt;&lt;ref-type name="Journal Article"&gt;17&lt;/ref-type&gt;&lt;contributors&gt;&lt;authors&gt;&lt;author&gt;Fukuda, H.&lt;/author&gt;&lt;author&gt;Lee, J.&lt;/author&gt;&lt;author&gt;Imanaka, Y.&lt;/author&gt;&lt;/authors&gt;&lt;/contributors&gt;&lt;auth-address&gt;Institute for Health Economics and Policy, 1-5-11 Nishi-Shinbashi, Minato-ku, Tokyo, Japan. haruhisa.fukuda@ihep.jp&lt;/auth-address&gt;&lt;titles&gt;&lt;title&gt;Costs of hospital-acquired infection and transferability of the estimates: a systematic review&lt;/title&gt;&lt;secondary-title&gt;Infection&lt;/secondary-title&gt;&lt;alt-title&gt;Infection&lt;/alt-title&gt;&lt;/titles&gt;&lt;periodical&gt;&lt;full-title&gt;Infection&lt;/full-title&gt;&lt;abbr-1&gt;Infection&lt;/abbr-1&gt;&lt;/periodical&gt;&lt;alt-periodical&gt;&lt;full-title&gt;Infection&lt;/full-title&gt;&lt;abbr-1&gt;Infection&lt;/abbr-1&gt;&lt;/alt-periodical&gt;&lt;pages&gt;185-99&lt;/pages&gt;&lt;volume&gt;39&lt;/volume&gt;&lt;number&gt;3&lt;/number&gt;&lt;edition&gt;2011/03/23&lt;/edition&gt;&lt;keywords&gt;&lt;keyword&gt;Cross Infection/*economics&lt;/keyword&gt;&lt;keyword&gt;Decision Making&lt;/keyword&gt;&lt;keyword&gt;Evaluation Studies as Topic&lt;/keyword&gt;&lt;keyword&gt;*Health Care Costs&lt;/keyword&gt;&lt;keyword&gt;Humans&lt;/keyword&gt;&lt;keyword&gt;Infection Control/*economics&lt;/keyword&gt;&lt;/keywords&gt;&lt;dates&gt;&lt;year&gt;2011&lt;/year&gt;&lt;pub-dates&gt;&lt;date&gt;Jun&lt;/date&gt;&lt;/pub-dates&gt;&lt;/dates&gt;&lt;isbn&gt;1439-0973 (Electronic)&amp;#xD;0300-8126 (Linking)&lt;/isbn&gt;&lt;accession-num&gt;21424853&lt;/accession-num&gt;&lt;urls&gt;&lt;related-urls&gt;&lt;url&gt;http://www.ncbi.nlm.nih.gov/pubmed/21424853&lt;/url&gt;&lt;/related-urls&gt;&lt;/urls&gt;&lt;electronic-resource-num&gt;10.1007/s15010-011-0095-7&lt;/electronic-resource-num&gt;&lt;language&gt;eng&lt;/language&gt;&lt;/record&gt;&lt;/Cite&gt;&lt;/EndNote&gt;</w:instrText>
        </w:r>
        <w:r w:rsidR="00C33CAE">
          <w:fldChar w:fldCharType="separate"/>
        </w:r>
        <w:r w:rsidR="00C33CAE">
          <w:rPr>
            <w:noProof/>
          </w:rPr>
          <w:t>2011a</w:t>
        </w:r>
        <w:r w:rsidR="00C33CAE">
          <w:fldChar w:fldCharType="end"/>
        </w:r>
      </w:hyperlink>
      <w:r>
        <w:t xml:space="preserve">) review were focussed on studies of specific types of HAIs occurring with a specific hospital.  Exceptions to this were </w:t>
      </w:r>
      <w:r w:rsidRPr="004C266E">
        <w:t xml:space="preserve">Noskin et al. </w:t>
      </w:r>
      <w:r>
        <w:t>(</w:t>
      </w:r>
      <w:hyperlink w:anchor="_ENREF_25" w:tooltip="Noskin, 2005 #91" w:history="1">
        <w:r w:rsidR="00C33CAE">
          <w:fldChar w:fldCharType="begin">
            <w:fldData xml:space="preserve">PEVuZE5vdGU+PENpdGUgRXhjbHVkZUF1dGg9IjEiPjxBdXRob3I+Tm9za2luPC9BdXRob3I+PFll
YXI+MjAwNTwvWWVhcj48UmVjTnVtPjkxPC9SZWNOdW0+PERpc3BsYXlUZXh0PjIwMDU8L0Rpc3Bs
YXlUZXh0PjxyZWNvcmQ+PHJlYy1udW1iZXI+OTE8L3JlYy1udW1iZXI+PGZvcmVpZ24ta2V5cz48
a2V5IGFwcD0iRU4iIGRiLWlkPSI5MnRmdHQ1djJhcnhkNmU5d3pyNTB3MncwcnowZXB4MDk5ZnQi
IHRpbWVzdGFtcD0iMTM3ODUyODMwMCI+OTE8L2tleT48L2ZvcmVpZ24ta2V5cz48cmVmLXR5cGUg
bmFtZT0iSm91cm5hbCBBcnRpY2xlIj4xNzwvcmVmLXR5cGU+PGNvbnRyaWJ1dG9ycz48YXV0aG9y
cz48YXV0aG9yPk5vc2tpbiwgRy4gQS48L2F1dGhvcj48YXV0aG9yPlJ1YmluLCBSLiBKLjwvYXV0
aG9yPjxhdXRob3I+U2NoZW50YWcsIEouIEouPC9hdXRob3I+PGF1dGhvcj5LbHV5dG1hbnMsIEou
PC9hdXRob3I+PGF1dGhvcj5IZWRibG9tLCBFLiBDLjwvYXV0aG9yPjxhdXRob3I+U211bGRlcnMs
IE0uPC9hdXRob3I+PGF1dGhvcj5MYXBldGluYSwgRS48L2F1dGhvcj48YXV0aG9yPkdlbW1lbiwg
RS48L2F1dGhvcj48L2F1dGhvcnM+PC9jb250cmlidXRvcnM+PGF1dGgtYWRkcmVzcz5EZXBhcnRt
ZW50IG9mIE1lZGljaW5lLCBEaXZpc2lvbiBvZiBJbmZlY3Rpb3VzIERpc2Vhc2VzLCBGZWluYmVy
ZyBTY2hvb2wgb2YgTWVkaWNpbmUsIE5vcnRod2VzdGVybiBVbml2ZXJzaXR5LCBhbmQgTm9ydGh3
ZXN0ZXJuIE1lbW9yaWFsIEhvc3BpdGFsLCBDaGljYWdvLCBJTCA2MDYxMSwgVVNBLiBnbm9za2lu
QG5vcnRod2VzdGVybi5lZHU8L2F1dGgtYWRkcmVzcz48dGl0bGVzPjx0aXRsZT5UaGUgYnVyZGVu
IG9mIFN0YXBoeWxvY29jY3VzIGF1cmV1cyBpbmZlY3Rpb25zIG9uIGhvc3BpdGFscyBpbiB0aGUg
VW5pdGVkIFN0YXRlczogYW4gYW5hbHlzaXMgb2YgdGhlIDIwMDAgYW5kIDIwMDEgTmF0aW9ud2lk
ZSBJbnBhdGllbnQgU2FtcGxlIERhdGFiYXNlPC90aXRsZT48c2Vjb25kYXJ5LXRpdGxlPkFyY2gg
SW50ZXJuIE1lZDwvc2Vjb25kYXJ5LXRpdGxlPjxhbHQtdGl0bGU+QXJjaGl2ZXMgb2YgaW50ZXJu
YWwgbWVkaWNpbmU8L2FsdC10aXRsZT48L3RpdGxlcz48cGVyaW9kaWNhbD48ZnVsbC10aXRsZT5B
cmNoIEludGVybiBNZWQ8L2Z1bGwtdGl0bGU+PGFiYnItMT5BcmNoaXZlcyBvZiBpbnRlcm5hbCBt
ZWRpY2luZTwvYWJici0xPjwvcGVyaW9kaWNhbD48YWx0LXBlcmlvZGljYWw+PGZ1bGwtdGl0bGU+
QXJjaCBJbnRlcm4gTWVkPC9mdWxsLXRpdGxlPjxhYmJyLTE+QXJjaGl2ZXMgb2YgaW50ZXJuYWwg
bWVkaWNpbmU8L2FiYnItMT48L2FsdC1wZXJpb2RpY2FsPjxwYWdlcz4xNzU2LTYxPC9wYWdlcz48
dm9sdW1lPjE2NTwvdm9sdW1lPjxudW1iZXI+MTU8L251bWJlcj48ZWRpdGlvbj4yMDA1LzA4LzEw
PC9lZGl0aW9uPjxrZXl3b3Jkcz48a2V5d29yZD5BZ2UgRmFjdG9yczwva2V5d29yZD48a2V5d29y
ZD4qQ29zdCBvZiBJbGxuZXNzPC9rZXl3b3JkPjxrZXl3b3JkPkZlbWFsZTwva2V5d29yZD48a2V5
d29yZD5Ib3NwaXRhbCBDaGFyZ2VzLypzdGF0aXN0aWNzICZhbXA7IG51bWVyaWNhbCBkYXRhPC9r
ZXl3b3JkPjxrZXl3b3JkPkhvc3BpdGFsIE1vcnRhbGl0eTwva2V5d29yZD48a2V5d29yZD5IdW1h
bnM8L2tleXdvcmQ+PGtleXdvcmQ+TGVuZ3RoIG9mIFN0YXk8L2tleXdvcmQ+PGtleXdvcmQ+TWFs
ZTwva2V5d29yZD48a2V5d29yZD5NaWRkbGUgQWdlZDwva2V5d29yZD48a2V5d29yZD5SZXRyb3Nw
ZWN0aXZlIFN0dWRpZXM8L2tleXdvcmQ+PGtleXdvcmQ+U2Vuc2l0aXZpdHkgYW5kIFNwZWNpZmlj
aXR5PC9rZXl3b3JkPjxrZXl3b3JkPlN0YXBoeWxvY29jY2FsIEluZmVjdGlvbnMvKmVjb25vbWlj
cy8qZXBpZGVtaW9sb2d5L21vcnRhbGl0eTwva2V5d29yZD48a2V5d29yZD5Vbml0ZWQgU3RhdGVz
L2VwaWRlbWlvbG9neTwva2V5d29yZD48L2tleXdvcmRzPjxkYXRlcz48eWVhcj4yMDA1PC95ZWFy
PjxwdWItZGF0ZXM+PGRhdGU+QXVnIDgtMjI8L2RhdGU+PC9wdWItZGF0ZXM+PC9kYXRlcz48aXNi
bj4wMDAzLTk5MjYgKFByaW50KSYjeEQ7MDAwMy05OTI2IChMaW5raW5nKTwvaXNibj48YWNjZXNz
aW9uLW51bT4xNjA4NzgyNDwvYWNjZXNzaW9uLW51bT48dXJscz48cmVsYXRlZC11cmxzPjx1cmw+
aHR0cDovL3d3dy5uY2JpLm5sbS5uaWguZ292L3B1Ym1lZC8xNjA4NzgyNDwvdXJsPjwvcmVsYXRl
ZC11cmxzPjwvdXJscz48ZWxlY3Ryb25pYy1yZXNvdXJjZS1udW0+MTAuMTAwMS9hcmNoaW50ZS4x
NjUuMTUuMTc1NjwvZWxlY3Ryb25pYy1yZXNvdXJjZS1udW0+PGxhbmd1YWdlPmVuZzwvbGFuZ3Vh
Z2U+PC9yZWNvcmQ+PC9DaXRlPjwvRW5kTm90ZT5=
</w:fldData>
          </w:fldChar>
        </w:r>
        <w:r w:rsidR="00C33CAE">
          <w:instrText xml:space="preserve"> ADDIN EN.CITE </w:instrText>
        </w:r>
        <w:r w:rsidR="00C33CAE">
          <w:fldChar w:fldCharType="begin">
            <w:fldData xml:space="preserve">PEVuZE5vdGU+PENpdGUgRXhjbHVkZUF1dGg9IjEiPjxBdXRob3I+Tm9za2luPC9BdXRob3I+PFll
YXI+MjAwNTwvWWVhcj48UmVjTnVtPjkxPC9SZWNOdW0+PERpc3BsYXlUZXh0PjIwMDU8L0Rpc3Bs
YXlUZXh0PjxyZWNvcmQ+PHJlYy1udW1iZXI+OTE8L3JlYy1udW1iZXI+PGZvcmVpZ24ta2V5cz48
a2V5IGFwcD0iRU4iIGRiLWlkPSI5MnRmdHQ1djJhcnhkNmU5d3pyNTB3MncwcnowZXB4MDk5ZnQi
IHRpbWVzdGFtcD0iMTM3ODUyODMwMCI+OTE8L2tleT48L2ZvcmVpZ24ta2V5cz48cmVmLXR5cGUg
bmFtZT0iSm91cm5hbCBBcnRpY2xlIj4xNzwvcmVmLXR5cGU+PGNvbnRyaWJ1dG9ycz48YXV0aG9y
cz48YXV0aG9yPk5vc2tpbiwgRy4gQS48L2F1dGhvcj48YXV0aG9yPlJ1YmluLCBSLiBKLjwvYXV0
aG9yPjxhdXRob3I+U2NoZW50YWcsIEouIEouPC9hdXRob3I+PGF1dGhvcj5LbHV5dG1hbnMsIEou
PC9hdXRob3I+PGF1dGhvcj5IZWRibG9tLCBFLiBDLjwvYXV0aG9yPjxhdXRob3I+U211bGRlcnMs
IE0uPC9hdXRob3I+PGF1dGhvcj5MYXBldGluYSwgRS48L2F1dGhvcj48YXV0aG9yPkdlbW1lbiwg
RS48L2F1dGhvcj48L2F1dGhvcnM+PC9jb250cmlidXRvcnM+PGF1dGgtYWRkcmVzcz5EZXBhcnRt
ZW50IG9mIE1lZGljaW5lLCBEaXZpc2lvbiBvZiBJbmZlY3Rpb3VzIERpc2Vhc2VzLCBGZWluYmVy
ZyBTY2hvb2wgb2YgTWVkaWNpbmUsIE5vcnRod2VzdGVybiBVbml2ZXJzaXR5LCBhbmQgTm9ydGh3
ZXN0ZXJuIE1lbW9yaWFsIEhvc3BpdGFsLCBDaGljYWdvLCBJTCA2MDYxMSwgVVNBLiBnbm9za2lu
QG5vcnRod2VzdGVybi5lZHU8L2F1dGgtYWRkcmVzcz48dGl0bGVzPjx0aXRsZT5UaGUgYnVyZGVu
IG9mIFN0YXBoeWxvY29jY3VzIGF1cmV1cyBpbmZlY3Rpb25zIG9uIGhvc3BpdGFscyBpbiB0aGUg
VW5pdGVkIFN0YXRlczogYW4gYW5hbHlzaXMgb2YgdGhlIDIwMDAgYW5kIDIwMDEgTmF0aW9ud2lk
ZSBJbnBhdGllbnQgU2FtcGxlIERhdGFiYXNlPC90aXRsZT48c2Vjb25kYXJ5LXRpdGxlPkFyY2gg
SW50ZXJuIE1lZDwvc2Vjb25kYXJ5LXRpdGxlPjxhbHQtdGl0bGU+QXJjaGl2ZXMgb2YgaW50ZXJu
YWwgbWVkaWNpbmU8L2FsdC10aXRsZT48L3RpdGxlcz48cGVyaW9kaWNhbD48ZnVsbC10aXRsZT5B
cmNoIEludGVybiBNZWQ8L2Z1bGwtdGl0bGU+PGFiYnItMT5BcmNoaXZlcyBvZiBpbnRlcm5hbCBt
ZWRpY2luZTwvYWJici0xPjwvcGVyaW9kaWNhbD48YWx0LXBlcmlvZGljYWw+PGZ1bGwtdGl0bGU+
QXJjaCBJbnRlcm4gTWVkPC9mdWxsLXRpdGxlPjxhYmJyLTE+QXJjaGl2ZXMgb2YgaW50ZXJuYWwg
bWVkaWNpbmU8L2FiYnItMT48L2FsdC1wZXJpb2RpY2FsPjxwYWdlcz4xNzU2LTYxPC9wYWdlcz48
dm9sdW1lPjE2NTwvdm9sdW1lPjxudW1iZXI+MTU8L251bWJlcj48ZWRpdGlvbj4yMDA1LzA4LzEw
PC9lZGl0aW9uPjxrZXl3b3Jkcz48a2V5d29yZD5BZ2UgRmFjdG9yczwva2V5d29yZD48a2V5d29y
ZD4qQ29zdCBvZiBJbGxuZXNzPC9rZXl3b3JkPjxrZXl3b3JkPkZlbWFsZTwva2V5d29yZD48a2V5
d29yZD5Ib3NwaXRhbCBDaGFyZ2VzLypzdGF0aXN0aWNzICZhbXA7IG51bWVyaWNhbCBkYXRhPC9r
ZXl3b3JkPjxrZXl3b3JkPkhvc3BpdGFsIE1vcnRhbGl0eTwva2V5d29yZD48a2V5d29yZD5IdW1h
bnM8L2tleXdvcmQ+PGtleXdvcmQ+TGVuZ3RoIG9mIFN0YXk8L2tleXdvcmQ+PGtleXdvcmQ+TWFs
ZTwva2V5d29yZD48a2V5d29yZD5NaWRkbGUgQWdlZDwva2V5d29yZD48a2V5d29yZD5SZXRyb3Nw
ZWN0aXZlIFN0dWRpZXM8L2tleXdvcmQ+PGtleXdvcmQ+U2Vuc2l0aXZpdHkgYW5kIFNwZWNpZmlj
aXR5PC9rZXl3b3JkPjxrZXl3b3JkPlN0YXBoeWxvY29jY2FsIEluZmVjdGlvbnMvKmVjb25vbWlj
cy8qZXBpZGVtaW9sb2d5L21vcnRhbGl0eTwva2V5d29yZD48a2V5d29yZD5Vbml0ZWQgU3RhdGVz
L2VwaWRlbWlvbG9neTwva2V5d29yZD48L2tleXdvcmRzPjxkYXRlcz48eWVhcj4yMDA1PC95ZWFy
PjxwdWItZGF0ZXM+PGRhdGU+QXVnIDgtMjI8L2RhdGU+PC9wdWItZGF0ZXM+PC9kYXRlcz48aXNi
bj4wMDAzLTk5MjYgKFByaW50KSYjeEQ7MDAwMy05OTI2IChMaW5raW5nKTwvaXNibj48YWNjZXNz
aW9uLW51bT4xNjA4NzgyNDwvYWNjZXNzaW9uLW51bT48dXJscz48cmVsYXRlZC11cmxzPjx1cmw+
aHR0cDovL3d3dy5uY2JpLm5sbS5uaWguZ292L3B1Ym1lZC8xNjA4NzgyNDwvdXJsPjwvcmVsYXRl
ZC11cmxzPjwvdXJscz48ZWxlY3Ryb25pYy1yZXNvdXJjZS1udW0+MTAuMTAwMS9hcmNoaW50ZS4x
NjUuMTUuMTc1NjwvZWxlY3Ryb25pYy1yZXNvdXJjZS1udW0+PGxhbmd1YWdlPmVuZzwvbGFuZ3Vh
Z2U+PC9yZWNvcmQ+PC9DaXRlPjwvRW5kTm90ZT5=
</w:fldData>
          </w:fldChar>
        </w:r>
        <w:r w:rsidR="00C33CAE">
          <w:instrText xml:space="preserve"> ADDIN EN.CITE.DATA </w:instrText>
        </w:r>
        <w:r w:rsidR="00C33CAE">
          <w:fldChar w:fldCharType="end"/>
        </w:r>
        <w:r w:rsidR="00C33CAE">
          <w:fldChar w:fldCharType="separate"/>
        </w:r>
        <w:r w:rsidR="00C33CAE">
          <w:rPr>
            <w:noProof/>
          </w:rPr>
          <w:t>2005</w:t>
        </w:r>
        <w:r w:rsidR="00C33CAE">
          <w:fldChar w:fldCharType="end"/>
        </w:r>
      </w:hyperlink>
      <w:r>
        <w:t>) and</w:t>
      </w:r>
      <w:r w:rsidRPr="004C266E">
        <w:t xml:space="preserve"> Zhan </w:t>
      </w:r>
      <w:r>
        <w:t xml:space="preserve">and </w:t>
      </w:r>
      <w:r w:rsidRPr="004C266E">
        <w:t xml:space="preserve">Miller </w:t>
      </w:r>
      <w:r>
        <w:t>(</w:t>
      </w:r>
      <w:hyperlink w:anchor="_ENREF_33" w:tooltip="Zhan, 2003 #96" w:history="1">
        <w:r w:rsidR="00C33CAE">
          <w:fldChar w:fldCharType="begin">
            <w:fldData xml:space="preserve">PEVuZE5vdGU+PENpdGUgRXhjbHVkZUF1dGg9IjEiPjxBdXRob3I+WmhhbjwvQXV0aG9yPjxZZWFy
PjIwMDM8L1llYXI+PFJlY051bT45NjwvUmVjTnVtPjxEaXNwbGF5VGV4dD4yMDAzPC9EaXNwbGF5
VGV4dD48cmVjb3JkPjxyZWMtbnVtYmVyPjk2PC9yZWMtbnVtYmVyPjxmb3JlaWduLWtleXM+PGtl
eSBhcHA9IkVOIiBkYi1pZD0iOTJ0ZnR0NXYyYXJ4ZDZlOXd6cjUwdzJ3MHJ6MGVweDA5OWZ0IiB0
aW1lc3RhbXA9IjEzNzg1MjgzNjciPjk2PC9rZXk+PC9mb3JlaWduLWtleXM+PHJlZi10eXBlIG5h
bWU9IkpvdXJuYWwgQXJ0aWNsZSI+MTc8L3JlZi10eXBlPjxjb250cmlidXRvcnM+PGF1dGhvcnM+
PGF1dGhvcj5aaGFuLCBDPC9hdXRob3I+PGF1dGhvcj5NaWxsZXIsIE0uIFI8L2F1dGhvcj48L2F1
dGhvcnM+PC9jb250cmlidXRvcnM+PGF1dGgtYWRkcmVzcz5DZW50ZXIgZm9yIFF1YWxpdHkgSW1w
cm92ZW1lbnQgYW5kIFBhdGllbnQgU2FmZXR5LCBBZ2VuY3kgZm9yIEhlYWx0aGNhcmUgUmVzZWFy
Y2ggYW5kIFF1YWxpdHksIERlcGFydG1lbnQgb2YgSGVhbHRoIGFuZCBIdW1hbiBTZXJ2aWNlcywg
Um9ja3ZpbGxlLCBNZCAyMDg1MCwgVVNBLiBjemhhbkBhaHJxLmdvdjwvYXV0aC1hZGRyZXNzPjx0
aXRsZXM+PHRpdGxlPkV4Y2VzcyBsZW5ndGggb2Ygc3RheSwgY2hhcmdlcywgYW5kIG1vcnRhbGl0
eSBhdHRyaWJ1dGFibGUgdG8gbWVkaWNhbCBpbmp1cmllcyBkdXJpbmcgaG9zcGl0YWxpemF0aW9u
PC90aXRsZT48c2Vjb25kYXJ5LXRpdGxlPkpBTUE8L3NlY29uZGFyeS10aXRsZT48YWx0LXRpdGxl
PkpBTUEgOiB0aGUgam91cm5hbCBvZiB0aGUgQW1lcmljYW4gTWVkaWNhbCBBc3NvY2lhdGlvbjwv
YWx0LXRpdGxlPjwvdGl0bGVzPjxwZXJpb2RpY2FsPjxmdWxsLXRpdGxlPkpBTUE8L2Z1bGwtdGl0
bGU+PGFiYnItMT5KQU1BIDogdGhlIGpvdXJuYWwgb2YgdGhlIEFtZXJpY2FuIE1lZGljYWwgQXNz
b2NpYXRpb248L2FiYnItMT48L3BlcmlvZGljYWw+PGFsdC1wZXJpb2RpY2FsPjxmdWxsLXRpdGxl
PkpBTUE8L2Z1bGwtdGl0bGU+PGFiYnItMT5KQU1BIDogdGhlIGpvdXJuYWwgb2YgdGhlIEFtZXJp
Y2FuIE1lZGljYWwgQXNzb2NpYXRpb248L2FiYnItMT48L2FsdC1wZXJpb2RpY2FsPjxwYWdlcz4x
ODY4LTc0PC9wYWdlcz48dm9sdW1lPjI5MDwvdm9sdW1lPjxudW1iZXI+MTQ8L251bWJlcj48ZWRp
dGlvbj4yMDAzLzEwLzA5PC9lZGl0aW9uPjxrZXl3b3Jkcz48a2V5d29yZD5EaWFnbm9zaXMtUmVs
YXRlZCBHcm91cHM8L2tleXdvcmQ+PGtleXdvcmQ+SGVhbHRoIFNlcnZpY2VzIFJlc2VhcmNoPC9r
ZXl3b3JkPjxrZXl3b3JkPkhvc3BpdGFsIENoYXJnZXMvKnN0YXRpc3RpY3MgJmFtcDsgbnVtZXJp
Y2FsIGRhdGE8L2tleXdvcmQ+PGtleXdvcmQ+Kkhvc3BpdGFsIE1vcnRhbGl0eTwva2V5d29yZD48
a2V5d29yZD5IdW1hbnM8L2tleXdvcmQ+PGtleXdvcmQ+SW50ZXJuYXRpb25hbCBDbGFzc2lmaWNh
dGlvbiBvZiBEaXNlYXNlczwva2V5d29yZD48a2V5d29yZD5MZW5ndGggb2YgU3RheS9lY29ub21p
Y3MvKnN0YXRpc3RpY3MgJmFtcDsgbnVtZXJpY2FsIGRhdGE8L2tleXdvcmQ+PGtleXdvcmQ+TWVk
aWNhbCBFcnJvcnMvZWNvbm9taWNzLypzdGF0aXN0aWNzICZhbXA7IG51bWVyaWNhbCBkYXRhPC9r
ZXl3b3JkPjxrZXl3b3JkPk91dGNvbWUgQXNzZXNzbWVudCAoSGVhbHRoIENhcmUpPC9rZXl3b3Jk
PjxrZXl3b3JkPlBvc3RvcGVyYXRpdmUgQ29tcGxpY2F0aW9ucy9lY29ub21pY3MvZXBpZGVtaW9s
b2d5PC9rZXl3b3JkPjxrZXl3b3JkPlF1YWxpdHkgSW5kaWNhdG9ycywgSGVhbHRoIENhcmU8L2tl
eXdvcmQ+PGtleXdvcmQ+UXVhbGl0eSBvZiBIZWFsdGggQ2FyZS8qc3RhdGlzdGljcyAmYW1wOyBu
dW1lcmljYWwgZGF0YTwva2V5d29yZD48a2V5d29yZD5Vbml0ZWQgU3RhdGVzL2VwaWRlbWlvbG9n
eTwva2V5d29yZD48a2V5d29yZD5Vbml0ZWQgU3RhdGVzIEFnZW5jeSBmb3IgSGVhbHRoY2FyZSBS
ZXNlYXJjaCBhbmQgUXVhbGl0eTwva2V5d29yZD48L2tleXdvcmRzPjxkYXRlcz48eWVhcj4yMDAz
PC95ZWFyPjxwdWItZGF0ZXM+PGRhdGU+T2N0IDg8L2RhdGU+PC9wdWItZGF0ZXM+PC9kYXRlcz48
aXNibj4xNTM4LTM1OTggKEVsZWN0cm9uaWMpJiN4RDswMDk4LTc0ODQgKExpbmtpbmcpPC9pc2Ju
PjxhY2Nlc3Npb24tbnVtPjE0NTMyMzE1PC9hY2Nlc3Npb24tbnVtPjx3b3JrLXR5cGU+RXZhbHVh
dGlvbiBTdHVkaWVzPC93b3JrLXR5cGU+PHVybHM+PHJlbGF0ZWQtdXJscz48dXJsPmh0dHA6Ly93
d3cubmNiaS5ubG0ubmloLmdvdi9wdWJtZWQvMTQ1MzIzMTU8L3VybD48L3JlbGF0ZWQtdXJscz48
L3VybHM+PGVsZWN0cm9uaWMtcmVzb3VyY2UtbnVtPjEwLjEwMDEvamFtYS4yOTAuMTQuMTg2ODwv
ZWxlY3Ryb25pYy1yZXNvdXJjZS1udW0+PGxhbmd1YWdlPmVuZzwvbGFuZ3VhZ2U+PC9yZWNvcmQ+
PC9DaXRlPjwvRW5kTm90ZT5=
</w:fldData>
          </w:fldChar>
        </w:r>
        <w:r w:rsidR="00C33CAE">
          <w:instrText xml:space="preserve"> ADDIN EN.CITE </w:instrText>
        </w:r>
        <w:r w:rsidR="00C33CAE">
          <w:fldChar w:fldCharType="begin">
            <w:fldData xml:space="preserve">PEVuZE5vdGU+PENpdGUgRXhjbHVkZUF1dGg9IjEiPjxBdXRob3I+WmhhbjwvQXV0aG9yPjxZZWFy
PjIwMDM8L1llYXI+PFJlY051bT45NjwvUmVjTnVtPjxEaXNwbGF5VGV4dD4yMDAzPC9EaXNwbGF5
VGV4dD48cmVjb3JkPjxyZWMtbnVtYmVyPjk2PC9yZWMtbnVtYmVyPjxmb3JlaWduLWtleXM+PGtl
eSBhcHA9IkVOIiBkYi1pZD0iOTJ0ZnR0NXYyYXJ4ZDZlOXd6cjUwdzJ3MHJ6MGVweDA5OWZ0IiB0
aW1lc3RhbXA9IjEzNzg1MjgzNjciPjk2PC9rZXk+PC9mb3JlaWduLWtleXM+PHJlZi10eXBlIG5h
bWU9IkpvdXJuYWwgQXJ0aWNsZSI+MTc8L3JlZi10eXBlPjxjb250cmlidXRvcnM+PGF1dGhvcnM+
PGF1dGhvcj5aaGFuLCBDPC9hdXRob3I+PGF1dGhvcj5NaWxsZXIsIE0uIFI8L2F1dGhvcj48L2F1
dGhvcnM+PC9jb250cmlidXRvcnM+PGF1dGgtYWRkcmVzcz5DZW50ZXIgZm9yIFF1YWxpdHkgSW1w
cm92ZW1lbnQgYW5kIFBhdGllbnQgU2FmZXR5LCBBZ2VuY3kgZm9yIEhlYWx0aGNhcmUgUmVzZWFy
Y2ggYW5kIFF1YWxpdHksIERlcGFydG1lbnQgb2YgSGVhbHRoIGFuZCBIdW1hbiBTZXJ2aWNlcywg
Um9ja3ZpbGxlLCBNZCAyMDg1MCwgVVNBLiBjemhhbkBhaHJxLmdvdjwvYXV0aC1hZGRyZXNzPjx0
aXRsZXM+PHRpdGxlPkV4Y2VzcyBsZW5ndGggb2Ygc3RheSwgY2hhcmdlcywgYW5kIG1vcnRhbGl0
eSBhdHRyaWJ1dGFibGUgdG8gbWVkaWNhbCBpbmp1cmllcyBkdXJpbmcgaG9zcGl0YWxpemF0aW9u
PC90aXRsZT48c2Vjb25kYXJ5LXRpdGxlPkpBTUE8L3NlY29uZGFyeS10aXRsZT48YWx0LXRpdGxl
PkpBTUEgOiB0aGUgam91cm5hbCBvZiB0aGUgQW1lcmljYW4gTWVkaWNhbCBBc3NvY2lhdGlvbjwv
YWx0LXRpdGxlPjwvdGl0bGVzPjxwZXJpb2RpY2FsPjxmdWxsLXRpdGxlPkpBTUE8L2Z1bGwtdGl0
bGU+PGFiYnItMT5KQU1BIDogdGhlIGpvdXJuYWwgb2YgdGhlIEFtZXJpY2FuIE1lZGljYWwgQXNz
b2NpYXRpb248L2FiYnItMT48L3BlcmlvZGljYWw+PGFsdC1wZXJpb2RpY2FsPjxmdWxsLXRpdGxl
PkpBTUE8L2Z1bGwtdGl0bGU+PGFiYnItMT5KQU1BIDogdGhlIGpvdXJuYWwgb2YgdGhlIEFtZXJp
Y2FuIE1lZGljYWwgQXNzb2NpYXRpb248L2FiYnItMT48L2FsdC1wZXJpb2RpY2FsPjxwYWdlcz4x
ODY4LTc0PC9wYWdlcz48dm9sdW1lPjI5MDwvdm9sdW1lPjxudW1iZXI+MTQ8L251bWJlcj48ZWRp
dGlvbj4yMDAzLzEwLzA5PC9lZGl0aW9uPjxrZXl3b3Jkcz48a2V5d29yZD5EaWFnbm9zaXMtUmVs
YXRlZCBHcm91cHM8L2tleXdvcmQ+PGtleXdvcmQ+SGVhbHRoIFNlcnZpY2VzIFJlc2VhcmNoPC9r
ZXl3b3JkPjxrZXl3b3JkPkhvc3BpdGFsIENoYXJnZXMvKnN0YXRpc3RpY3MgJmFtcDsgbnVtZXJp
Y2FsIGRhdGE8L2tleXdvcmQ+PGtleXdvcmQ+Kkhvc3BpdGFsIE1vcnRhbGl0eTwva2V5d29yZD48
a2V5d29yZD5IdW1hbnM8L2tleXdvcmQ+PGtleXdvcmQ+SW50ZXJuYXRpb25hbCBDbGFzc2lmaWNh
dGlvbiBvZiBEaXNlYXNlczwva2V5d29yZD48a2V5d29yZD5MZW5ndGggb2YgU3RheS9lY29ub21p
Y3MvKnN0YXRpc3RpY3MgJmFtcDsgbnVtZXJpY2FsIGRhdGE8L2tleXdvcmQ+PGtleXdvcmQ+TWVk
aWNhbCBFcnJvcnMvZWNvbm9taWNzLypzdGF0aXN0aWNzICZhbXA7IG51bWVyaWNhbCBkYXRhPC9r
ZXl3b3JkPjxrZXl3b3JkPk91dGNvbWUgQXNzZXNzbWVudCAoSGVhbHRoIENhcmUpPC9rZXl3b3Jk
PjxrZXl3b3JkPlBvc3RvcGVyYXRpdmUgQ29tcGxpY2F0aW9ucy9lY29ub21pY3MvZXBpZGVtaW9s
b2d5PC9rZXl3b3JkPjxrZXl3b3JkPlF1YWxpdHkgSW5kaWNhdG9ycywgSGVhbHRoIENhcmU8L2tl
eXdvcmQ+PGtleXdvcmQ+UXVhbGl0eSBvZiBIZWFsdGggQ2FyZS8qc3RhdGlzdGljcyAmYW1wOyBu
dW1lcmljYWwgZGF0YTwva2V5d29yZD48a2V5d29yZD5Vbml0ZWQgU3RhdGVzL2VwaWRlbWlvbG9n
eTwva2V5d29yZD48a2V5d29yZD5Vbml0ZWQgU3RhdGVzIEFnZW5jeSBmb3IgSGVhbHRoY2FyZSBS
ZXNlYXJjaCBhbmQgUXVhbGl0eTwva2V5d29yZD48L2tleXdvcmRzPjxkYXRlcz48eWVhcj4yMDAz
PC95ZWFyPjxwdWItZGF0ZXM+PGRhdGU+T2N0IDg8L2RhdGU+PC9wdWItZGF0ZXM+PC9kYXRlcz48
aXNibj4xNTM4LTM1OTggKEVsZWN0cm9uaWMpJiN4RDswMDk4LTc0ODQgKExpbmtpbmcpPC9pc2Ju
PjxhY2Nlc3Npb24tbnVtPjE0NTMyMzE1PC9hY2Nlc3Npb24tbnVtPjx3b3JrLXR5cGU+RXZhbHVh
dGlvbiBTdHVkaWVzPC93b3JrLXR5cGU+PHVybHM+PHJlbGF0ZWQtdXJscz48dXJsPmh0dHA6Ly93
d3cubmNiaS5ubG0ubmloLmdvdi9wdWJtZWQvMTQ1MzIzMTU8L3VybD48L3JlbGF0ZWQtdXJscz48
L3VybHM+PGVsZWN0cm9uaWMtcmVzb3VyY2UtbnVtPjEwLjEwMDEvamFtYS4yOTAuMTQuMTg2ODwv
ZWxlY3Ryb25pYy1yZXNvdXJjZS1udW0+PGxhbmd1YWdlPmVuZzwvbGFuZ3VhZ2U+PC9yZWNvcmQ+
PC9DaXRlPjwvRW5kTm90ZT5=
</w:fldData>
          </w:fldChar>
        </w:r>
        <w:r w:rsidR="00C33CAE">
          <w:instrText xml:space="preserve"> ADDIN EN.CITE.DATA </w:instrText>
        </w:r>
        <w:r w:rsidR="00C33CAE">
          <w:fldChar w:fldCharType="end"/>
        </w:r>
        <w:r w:rsidR="00C33CAE">
          <w:fldChar w:fldCharType="separate"/>
        </w:r>
        <w:r w:rsidR="00C33CAE">
          <w:rPr>
            <w:noProof/>
          </w:rPr>
          <w:t>2003</w:t>
        </w:r>
        <w:r w:rsidR="00C33CAE">
          <w:fldChar w:fldCharType="end"/>
        </w:r>
      </w:hyperlink>
      <w:r>
        <w:t xml:space="preserve">).  </w:t>
      </w:r>
    </w:p>
    <w:p w:rsidR="007718C7" w:rsidRDefault="007718C7" w:rsidP="00B912D2">
      <w:r w:rsidRPr="004C266E">
        <w:t xml:space="preserve">Zhan </w:t>
      </w:r>
      <w:r>
        <w:t>and</w:t>
      </w:r>
      <w:r w:rsidRPr="004C266E">
        <w:t xml:space="preserve"> Miller </w:t>
      </w:r>
      <w:r>
        <w:t>(</w:t>
      </w:r>
      <w:hyperlink w:anchor="_ENREF_33" w:tooltip="Zhan, 2003 #96" w:history="1">
        <w:r w:rsidR="00C33CAE">
          <w:fldChar w:fldCharType="begin">
            <w:fldData xml:space="preserve">PEVuZE5vdGU+PENpdGUgRXhjbHVkZUF1dGg9IjEiPjxBdXRob3I+WmhhbjwvQXV0aG9yPjxZZWFy
PjIwMDM8L1llYXI+PFJlY051bT45NjwvUmVjTnVtPjxEaXNwbGF5VGV4dD4yMDAzPC9EaXNwbGF5
VGV4dD48cmVjb3JkPjxyZWMtbnVtYmVyPjk2PC9yZWMtbnVtYmVyPjxmb3JlaWduLWtleXM+PGtl
eSBhcHA9IkVOIiBkYi1pZD0iOTJ0ZnR0NXYyYXJ4ZDZlOXd6cjUwdzJ3MHJ6MGVweDA5OWZ0IiB0
aW1lc3RhbXA9IjEzNzg1MjgzNjciPjk2PC9rZXk+PC9mb3JlaWduLWtleXM+PHJlZi10eXBlIG5h
bWU9IkpvdXJuYWwgQXJ0aWNsZSI+MTc8L3JlZi10eXBlPjxjb250cmlidXRvcnM+PGF1dGhvcnM+
PGF1dGhvcj5aaGFuLCBDPC9hdXRob3I+PGF1dGhvcj5NaWxsZXIsIE0uIFI8L2F1dGhvcj48L2F1
dGhvcnM+PC9jb250cmlidXRvcnM+PGF1dGgtYWRkcmVzcz5DZW50ZXIgZm9yIFF1YWxpdHkgSW1w
cm92ZW1lbnQgYW5kIFBhdGllbnQgU2FmZXR5LCBBZ2VuY3kgZm9yIEhlYWx0aGNhcmUgUmVzZWFy
Y2ggYW5kIFF1YWxpdHksIERlcGFydG1lbnQgb2YgSGVhbHRoIGFuZCBIdW1hbiBTZXJ2aWNlcywg
Um9ja3ZpbGxlLCBNZCAyMDg1MCwgVVNBLiBjemhhbkBhaHJxLmdvdjwvYXV0aC1hZGRyZXNzPjx0
aXRsZXM+PHRpdGxlPkV4Y2VzcyBsZW5ndGggb2Ygc3RheSwgY2hhcmdlcywgYW5kIG1vcnRhbGl0
eSBhdHRyaWJ1dGFibGUgdG8gbWVkaWNhbCBpbmp1cmllcyBkdXJpbmcgaG9zcGl0YWxpemF0aW9u
PC90aXRsZT48c2Vjb25kYXJ5LXRpdGxlPkpBTUE8L3NlY29uZGFyeS10aXRsZT48YWx0LXRpdGxl
PkpBTUEgOiB0aGUgam91cm5hbCBvZiB0aGUgQW1lcmljYW4gTWVkaWNhbCBBc3NvY2lhdGlvbjwv
YWx0LXRpdGxlPjwvdGl0bGVzPjxwZXJpb2RpY2FsPjxmdWxsLXRpdGxlPkpBTUE8L2Z1bGwtdGl0
bGU+PGFiYnItMT5KQU1BIDogdGhlIGpvdXJuYWwgb2YgdGhlIEFtZXJpY2FuIE1lZGljYWwgQXNz
b2NpYXRpb248L2FiYnItMT48L3BlcmlvZGljYWw+PGFsdC1wZXJpb2RpY2FsPjxmdWxsLXRpdGxl
PkpBTUE8L2Z1bGwtdGl0bGU+PGFiYnItMT5KQU1BIDogdGhlIGpvdXJuYWwgb2YgdGhlIEFtZXJp
Y2FuIE1lZGljYWwgQXNzb2NpYXRpb248L2FiYnItMT48L2FsdC1wZXJpb2RpY2FsPjxwYWdlcz4x
ODY4LTc0PC9wYWdlcz48dm9sdW1lPjI5MDwvdm9sdW1lPjxudW1iZXI+MTQ8L251bWJlcj48ZWRp
dGlvbj4yMDAzLzEwLzA5PC9lZGl0aW9uPjxrZXl3b3Jkcz48a2V5d29yZD5EaWFnbm9zaXMtUmVs
YXRlZCBHcm91cHM8L2tleXdvcmQ+PGtleXdvcmQ+SGVhbHRoIFNlcnZpY2VzIFJlc2VhcmNoPC9r
ZXl3b3JkPjxrZXl3b3JkPkhvc3BpdGFsIENoYXJnZXMvKnN0YXRpc3RpY3MgJmFtcDsgbnVtZXJp
Y2FsIGRhdGE8L2tleXdvcmQ+PGtleXdvcmQ+Kkhvc3BpdGFsIE1vcnRhbGl0eTwva2V5d29yZD48
a2V5d29yZD5IdW1hbnM8L2tleXdvcmQ+PGtleXdvcmQ+SW50ZXJuYXRpb25hbCBDbGFzc2lmaWNh
dGlvbiBvZiBEaXNlYXNlczwva2V5d29yZD48a2V5d29yZD5MZW5ndGggb2YgU3RheS9lY29ub21p
Y3MvKnN0YXRpc3RpY3MgJmFtcDsgbnVtZXJpY2FsIGRhdGE8L2tleXdvcmQ+PGtleXdvcmQ+TWVk
aWNhbCBFcnJvcnMvZWNvbm9taWNzLypzdGF0aXN0aWNzICZhbXA7IG51bWVyaWNhbCBkYXRhPC9r
ZXl3b3JkPjxrZXl3b3JkPk91dGNvbWUgQXNzZXNzbWVudCAoSGVhbHRoIENhcmUpPC9rZXl3b3Jk
PjxrZXl3b3JkPlBvc3RvcGVyYXRpdmUgQ29tcGxpY2F0aW9ucy9lY29ub21pY3MvZXBpZGVtaW9s
b2d5PC9rZXl3b3JkPjxrZXl3b3JkPlF1YWxpdHkgSW5kaWNhdG9ycywgSGVhbHRoIENhcmU8L2tl
eXdvcmQ+PGtleXdvcmQ+UXVhbGl0eSBvZiBIZWFsdGggQ2FyZS8qc3RhdGlzdGljcyAmYW1wOyBu
dW1lcmljYWwgZGF0YTwva2V5d29yZD48a2V5d29yZD5Vbml0ZWQgU3RhdGVzL2VwaWRlbWlvbG9n
eTwva2V5d29yZD48a2V5d29yZD5Vbml0ZWQgU3RhdGVzIEFnZW5jeSBmb3IgSGVhbHRoY2FyZSBS
ZXNlYXJjaCBhbmQgUXVhbGl0eTwva2V5d29yZD48L2tleXdvcmRzPjxkYXRlcz48eWVhcj4yMDAz
PC95ZWFyPjxwdWItZGF0ZXM+PGRhdGU+T2N0IDg8L2RhdGU+PC9wdWItZGF0ZXM+PC9kYXRlcz48
aXNibj4xNTM4LTM1OTggKEVsZWN0cm9uaWMpJiN4RDswMDk4LTc0ODQgKExpbmtpbmcpPC9pc2Ju
PjxhY2Nlc3Npb24tbnVtPjE0NTMyMzE1PC9hY2Nlc3Npb24tbnVtPjx3b3JrLXR5cGU+RXZhbHVh
dGlvbiBTdHVkaWVzPC93b3JrLXR5cGU+PHVybHM+PHJlbGF0ZWQtdXJscz48dXJsPmh0dHA6Ly93
d3cubmNiaS5ubG0ubmloLmdvdi9wdWJtZWQvMTQ1MzIzMTU8L3VybD48L3JlbGF0ZWQtdXJscz48
L3VybHM+PGVsZWN0cm9uaWMtcmVzb3VyY2UtbnVtPjEwLjEwMDEvamFtYS4yOTAuMTQuMTg2ODwv
ZWxlY3Ryb25pYy1yZXNvdXJjZS1udW0+PGxhbmd1YWdlPmVuZzwvbGFuZ3VhZ2U+PC9yZWNvcmQ+
PC9DaXRlPjwvRW5kTm90ZT5=
</w:fldData>
          </w:fldChar>
        </w:r>
        <w:r w:rsidR="00C33CAE">
          <w:instrText xml:space="preserve"> ADDIN EN.CITE </w:instrText>
        </w:r>
        <w:r w:rsidR="00C33CAE">
          <w:fldChar w:fldCharType="begin">
            <w:fldData xml:space="preserve">PEVuZE5vdGU+PENpdGUgRXhjbHVkZUF1dGg9IjEiPjxBdXRob3I+WmhhbjwvQXV0aG9yPjxZZWFy
PjIwMDM8L1llYXI+PFJlY051bT45NjwvUmVjTnVtPjxEaXNwbGF5VGV4dD4yMDAzPC9EaXNwbGF5
VGV4dD48cmVjb3JkPjxyZWMtbnVtYmVyPjk2PC9yZWMtbnVtYmVyPjxmb3JlaWduLWtleXM+PGtl
eSBhcHA9IkVOIiBkYi1pZD0iOTJ0ZnR0NXYyYXJ4ZDZlOXd6cjUwdzJ3MHJ6MGVweDA5OWZ0IiB0
aW1lc3RhbXA9IjEzNzg1MjgzNjciPjk2PC9rZXk+PC9mb3JlaWduLWtleXM+PHJlZi10eXBlIG5h
bWU9IkpvdXJuYWwgQXJ0aWNsZSI+MTc8L3JlZi10eXBlPjxjb250cmlidXRvcnM+PGF1dGhvcnM+
PGF1dGhvcj5aaGFuLCBDPC9hdXRob3I+PGF1dGhvcj5NaWxsZXIsIE0uIFI8L2F1dGhvcj48L2F1
dGhvcnM+PC9jb250cmlidXRvcnM+PGF1dGgtYWRkcmVzcz5DZW50ZXIgZm9yIFF1YWxpdHkgSW1w
cm92ZW1lbnQgYW5kIFBhdGllbnQgU2FmZXR5LCBBZ2VuY3kgZm9yIEhlYWx0aGNhcmUgUmVzZWFy
Y2ggYW5kIFF1YWxpdHksIERlcGFydG1lbnQgb2YgSGVhbHRoIGFuZCBIdW1hbiBTZXJ2aWNlcywg
Um9ja3ZpbGxlLCBNZCAyMDg1MCwgVVNBLiBjemhhbkBhaHJxLmdvdjwvYXV0aC1hZGRyZXNzPjx0
aXRsZXM+PHRpdGxlPkV4Y2VzcyBsZW5ndGggb2Ygc3RheSwgY2hhcmdlcywgYW5kIG1vcnRhbGl0
eSBhdHRyaWJ1dGFibGUgdG8gbWVkaWNhbCBpbmp1cmllcyBkdXJpbmcgaG9zcGl0YWxpemF0aW9u
PC90aXRsZT48c2Vjb25kYXJ5LXRpdGxlPkpBTUE8L3NlY29uZGFyeS10aXRsZT48YWx0LXRpdGxl
PkpBTUEgOiB0aGUgam91cm5hbCBvZiB0aGUgQW1lcmljYW4gTWVkaWNhbCBBc3NvY2lhdGlvbjwv
YWx0LXRpdGxlPjwvdGl0bGVzPjxwZXJpb2RpY2FsPjxmdWxsLXRpdGxlPkpBTUE8L2Z1bGwtdGl0
bGU+PGFiYnItMT5KQU1BIDogdGhlIGpvdXJuYWwgb2YgdGhlIEFtZXJpY2FuIE1lZGljYWwgQXNz
b2NpYXRpb248L2FiYnItMT48L3BlcmlvZGljYWw+PGFsdC1wZXJpb2RpY2FsPjxmdWxsLXRpdGxl
PkpBTUE8L2Z1bGwtdGl0bGU+PGFiYnItMT5KQU1BIDogdGhlIGpvdXJuYWwgb2YgdGhlIEFtZXJp
Y2FuIE1lZGljYWwgQXNzb2NpYXRpb248L2FiYnItMT48L2FsdC1wZXJpb2RpY2FsPjxwYWdlcz4x
ODY4LTc0PC9wYWdlcz48dm9sdW1lPjI5MDwvdm9sdW1lPjxudW1iZXI+MTQ8L251bWJlcj48ZWRp
dGlvbj4yMDAzLzEwLzA5PC9lZGl0aW9uPjxrZXl3b3Jkcz48a2V5d29yZD5EaWFnbm9zaXMtUmVs
YXRlZCBHcm91cHM8L2tleXdvcmQ+PGtleXdvcmQ+SGVhbHRoIFNlcnZpY2VzIFJlc2VhcmNoPC9r
ZXl3b3JkPjxrZXl3b3JkPkhvc3BpdGFsIENoYXJnZXMvKnN0YXRpc3RpY3MgJmFtcDsgbnVtZXJp
Y2FsIGRhdGE8L2tleXdvcmQ+PGtleXdvcmQ+Kkhvc3BpdGFsIE1vcnRhbGl0eTwva2V5d29yZD48
a2V5d29yZD5IdW1hbnM8L2tleXdvcmQ+PGtleXdvcmQ+SW50ZXJuYXRpb25hbCBDbGFzc2lmaWNh
dGlvbiBvZiBEaXNlYXNlczwva2V5d29yZD48a2V5d29yZD5MZW5ndGggb2YgU3RheS9lY29ub21p
Y3MvKnN0YXRpc3RpY3MgJmFtcDsgbnVtZXJpY2FsIGRhdGE8L2tleXdvcmQ+PGtleXdvcmQ+TWVk
aWNhbCBFcnJvcnMvZWNvbm9taWNzLypzdGF0aXN0aWNzICZhbXA7IG51bWVyaWNhbCBkYXRhPC9r
ZXl3b3JkPjxrZXl3b3JkPk91dGNvbWUgQXNzZXNzbWVudCAoSGVhbHRoIENhcmUpPC9rZXl3b3Jk
PjxrZXl3b3JkPlBvc3RvcGVyYXRpdmUgQ29tcGxpY2F0aW9ucy9lY29ub21pY3MvZXBpZGVtaW9s
b2d5PC9rZXl3b3JkPjxrZXl3b3JkPlF1YWxpdHkgSW5kaWNhdG9ycywgSGVhbHRoIENhcmU8L2tl
eXdvcmQ+PGtleXdvcmQ+UXVhbGl0eSBvZiBIZWFsdGggQ2FyZS8qc3RhdGlzdGljcyAmYW1wOyBu
dW1lcmljYWwgZGF0YTwva2V5d29yZD48a2V5d29yZD5Vbml0ZWQgU3RhdGVzL2VwaWRlbWlvbG9n
eTwva2V5d29yZD48a2V5d29yZD5Vbml0ZWQgU3RhdGVzIEFnZW5jeSBmb3IgSGVhbHRoY2FyZSBS
ZXNlYXJjaCBhbmQgUXVhbGl0eTwva2V5d29yZD48L2tleXdvcmRzPjxkYXRlcz48eWVhcj4yMDAz
PC95ZWFyPjxwdWItZGF0ZXM+PGRhdGU+T2N0IDg8L2RhdGU+PC9wdWItZGF0ZXM+PC9kYXRlcz48
aXNibj4xNTM4LTM1OTggKEVsZWN0cm9uaWMpJiN4RDswMDk4LTc0ODQgKExpbmtpbmcpPC9pc2Ju
PjxhY2Nlc3Npb24tbnVtPjE0NTMyMzE1PC9hY2Nlc3Npb24tbnVtPjx3b3JrLXR5cGU+RXZhbHVh
dGlvbiBTdHVkaWVzPC93b3JrLXR5cGU+PHVybHM+PHJlbGF0ZWQtdXJscz48dXJsPmh0dHA6Ly93
d3cubmNiaS5ubG0ubmloLmdvdi9wdWJtZWQvMTQ1MzIzMTU8L3VybD48L3JlbGF0ZWQtdXJscz48
L3VybHM+PGVsZWN0cm9uaWMtcmVzb3VyY2UtbnVtPjEwLjEwMDEvamFtYS4yOTAuMTQuMTg2ODwv
ZWxlY3Ryb25pYy1yZXNvdXJjZS1udW0+PGxhbmd1YWdlPmVuZzwvbGFuZ3VhZ2U+PC9yZWNvcmQ+
PC9DaXRlPjwvRW5kTm90ZT5=
</w:fldData>
          </w:fldChar>
        </w:r>
        <w:r w:rsidR="00C33CAE">
          <w:instrText xml:space="preserve"> ADDIN EN.CITE.DATA </w:instrText>
        </w:r>
        <w:r w:rsidR="00C33CAE">
          <w:fldChar w:fldCharType="end"/>
        </w:r>
        <w:r w:rsidR="00C33CAE">
          <w:fldChar w:fldCharType="separate"/>
        </w:r>
        <w:r w:rsidR="00C33CAE">
          <w:rPr>
            <w:noProof/>
          </w:rPr>
          <w:t>2003</w:t>
        </w:r>
        <w:r w:rsidR="00C33CAE">
          <w:fldChar w:fldCharType="end"/>
        </w:r>
      </w:hyperlink>
      <w:r>
        <w:t xml:space="preserve">) analysed the impact of medical injuries identified using the </w:t>
      </w:r>
      <w:r w:rsidRPr="00F13191">
        <w:t>Agency for Healthcare Research and Quality</w:t>
      </w:r>
      <w:r>
        <w:t xml:space="preserve"> (AHRQ) Patient Safety Indicators (PSIs) and analysing the US </w:t>
      </w:r>
      <w:r w:rsidRPr="00F13191">
        <w:t>Nationwide Inpatient Sample database</w:t>
      </w:r>
      <w:r>
        <w:t xml:space="preserve"> for 2002 maintained by AHRQ. The database represents a </w:t>
      </w:r>
      <w:r w:rsidRPr="00F13191">
        <w:t xml:space="preserve">20% sample of </w:t>
      </w:r>
      <w:r>
        <w:t xml:space="preserve">US </w:t>
      </w:r>
      <w:r w:rsidRPr="00F13191">
        <w:t xml:space="preserve">hospitals </w:t>
      </w:r>
      <w:r>
        <w:t xml:space="preserve">which hospital discharges </w:t>
      </w:r>
      <w:r w:rsidRPr="00F13191">
        <w:t xml:space="preserve">data </w:t>
      </w:r>
      <w:r>
        <w:t xml:space="preserve">available for </w:t>
      </w:r>
      <w:r w:rsidRPr="00F13191">
        <w:t xml:space="preserve">from </w:t>
      </w:r>
      <w:r>
        <w:t xml:space="preserve">close to 1,000 </w:t>
      </w:r>
      <w:r w:rsidRPr="00F13191">
        <w:t>hospitals representing</w:t>
      </w:r>
      <w:r>
        <w:t xml:space="preserve"> </w:t>
      </w:r>
      <w:r w:rsidRPr="00F13191">
        <w:t xml:space="preserve">approximately </w:t>
      </w:r>
      <w:r>
        <w:t>7.45</w:t>
      </w:r>
      <w:r w:rsidRPr="00F13191">
        <w:t xml:space="preserve"> million inpatient stays</w:t>
      </w:r>
      <w:r>
        <w:t xml:space="preserve"> for this study.  The model controlled for DRGs (using the 3M All Patient Refined </w:t>
      </w:r>
      <w:r w:rsidRPr="00425BC3">
        <w:t>Diagnosis Related Group</w:t>
      </w:r>
      <w:r>
        <w:t xml:space="preserve"> - APR-DRG - classification), the presence of 30 comorbidity conditions (</w:t>
      </w:r>
      <w:hyperlink w:anchor="_ENREF_7" w:tooltip="Elixhauser, 1998 #104" w:history="1">
        <w:r w:rsidR="00C33CAE">
          <w:fldChar w:fldCharType="begin"/>
        </w:r>
        <w:r w:rsidR="00C33CAE">
          <w:instrText xml:space="preserve"> ADDIN EN.CITE &lt;EndNote&gt;&lt;Cite&gt;&lt;Author&gt;Elixhauser&lt;/Author&gt;&lt;Year&gt;1998&lt;/Year&gt;&lt;RecNum&gt;104&lt;/RecNum&gt;&lt;DisplayText&gt;Elixhauser, Steiner, Harris, &amp;amp; Coffey, 1998&lt;/DisplayText&gt;&lt;record&gt;&lt;rec-number&gt;104&lt;/rec-number&gt;&lt;foreign-keys&gt;&lt;key app="EN" db-id="92tftt5v2arxd6e9wzr50w2w0rz0epx099ft" timestamp="1378531039"&gt;104&lt;/key&gt;&lt;/foreign-keys&gt;&lt;ref-type name="Journal Article"&gt;17&lt;/ref-type&gt;&lt;contributors&gt;&lt;authors&gt;&lt;author&gt;Elixhauser, A.&lt;/author&gt;&lt;author&gt;Steiner, C.&lt;/author&gt;&lt;author&gt;Harris, D. R.&lt;/author&gt;&lt;author&gt;Coffey, R. M.&lt;/author&gt;&lt;/authors&gt;&lt;/contributors&gt;&lt;auth-address&gt;MEDTAP International, Inc., Bethesda, MD 20814, USA. elix@medtap.com&lt;/auth-address&gt;&lt;titles&gt;&lt;title&gt;Comorbidity measures for use with administrative data&lt;/title&gt;&lt;secondary-title&gt;Med Care&lt;/secondary-title&gt;&lt;alt-title&gt;Medical care&lt;/alt-title&gt;&lt;/titles&gt;&lt;periodical&gt;&lt;full-title&gt;Med Care&lt;/full-title&gt;&lt;abbr-1&gt;Medical care&lt;/abbr-1&gt;&lt;/periodical&gt;&lt;alt-periodical&gt;&lt;full-title&gt;Med Care&lt;/full-title&gt;&lt;abbr-1&gt;Medical care&lt;/abbr-1&gt;&lt;/alt-periodical&gt;&lt;pages&gt;8-27&lt;/pages&gt;&lt;volume&gt;36&lt;/volume&gt;&lt;number&gt;1&lt;/number&gt;&lt;edition&gt;1998/02/07&lt;/edition&gt;&lt;keywords&gt;&lt;keyword&gt;Adult&lt;/keyword&gt;&lt;keyword&gt;*Algorithms&lt;/keyword&gt;&lt;keyword&gt;California&lt;/keyword&gt;&lt;keyword&gt;*Comorbidity&lt;/keyword&gt;&lt;keyword&gt;*Data Interpretation, Statistical&lt;/keyword&gt;&lt;keyword&gt;Diagnosis-Related Groups&lt;/keyword&gt;&lt;keyword&gt;Health Services Research/*methods&lt;/keyword&gt;&lt;keyword&gt;Hospital Charges&lt;/keyword&gt;&lt;keyword&gt;Hospital Mortality&lt;/keyword&gt;&lt;keyword&gt;Humans&lt;/keyword&gt;&lt;keyword&gt;Length of Stay&lt;/keyword&gt;&lt;keyword&gt;Middle Aged&lt;/keyword&gt;&lt;keyword&gt;*Outcome and Process Assessment (Health Care)&lt;/keyword&gt;&lt;keyword&gt;Reproducibility of Results&lt;/keyword&gt;&lt;/keywords&gt;&lt;dates&gt;&lt;year&gt;1998&lt;/year&gt;&lt;pub-dates&gt;&lt;date&gt;Jan&lt;/date&gt;&lt;/pub-dates&gt;&lt;/dates&gt;&lt;isbn&gt;0025-7079 (Print)&amp;#xD;0025-7079 (Linking)&lt;/isbn&gt;&lt;accession-num&gt;9431328&lt;/accession-num&gt;&lt;urls&gt;&lt;related-urls&gt;&lt;url&gt;http://www.ncbi.nlm.nih.gov/pubmed/9431328&lt;/url&gt;&lt;/related-urls&gt;&lt;/urls&gt;&lt;language&gt;eng&lt;/language&gt;&lt;/record&gt;&lt;/Cite&gt;&lt;/EndNote&gt;</w:instrText>
        </w:r>
        <w:r w:rsidR="00C33CAE">
          <w:fldChar w:fldCharType="separate"/>
        </w:r>
        <w:r w:rsidR="00C33CAE">
          <w:rPr>
            <w:noProof/>
          </w:rPr>
          <w:t>Elixhauser, Steiner, Harris, &amp; Coffey, 1998</w:t>
        </w:r>
        <w:r w:rsidR="00C33CAE">
          <w:fldChar w:fldCharType="end"/>
        </w:r>
      </w:hyperlink>
      <w:r>
        <w:t xml:space="preserve">), age, sex, race/ethnicity and insurance status. Modelling was undertaken using a two stage methodology. In the first stage the impact of the presence of comorbidities on the outcomes variables was estimated using a model that included fixed DRG effects, age, sex, race/ethnicity and insurance status.  Significant positive coefficients were then used as relative weights to summarise comorbidities into indices applied to each episode.   </w:t>
      </w:r>
    </w:p>
    <w:p w:rsidR="007718C7" w:rsidRDefault="007718C7" w:rsidP="00B912D2">
      <w:r>
        <w:t>These indices were then used in a multivariable matching methodology in which cases identified with selected hospital-acquired injuries were matched with up to four control cases without these injuries, taking into account DRG, severity, comorbidity and the patient sociodemographic factors.  Cases and controls were then compared with respect to length of stay, charges and mortality.</w:t>
      </w:r>
    </w:p>
    <w:p w:rsidR="007718C7" w:rsidRDefault="007718C7" w:rsidP="00B912D2">
      <w:r>
        <w:t>Results were cross validated with a regression analysis undertaken using Generalised Linear Model (GLM) estimation to estimate excess length of stay, charges and excess mortality, controlling for factors mentioned above.  The model adjusted for, but did not calculate hospital fixed effects.</w:t>
      </w:r>
    </w:p>
    <w:p w:rsidR="007718C7" w:rsidRDefault="007718C7" w:rsidP="00B912D2">
      <w:r w:rsidRPr="00F13191">
        <w:t>Noskin et al. (2005)</w:t>
      </w:r>
      <w:r>
        <w:t xml:space="preserve"> analysed </w:t>
      </w:r>
      <w:r w:rsidRPr="00F13191">
        <w:t xml:space="preserve">the impact of </w:t>
      </w:r>
      <w:r w:rsidRPr="00466164">
        <w:rPr>
          <w:i/>
        </w:rPr>
        <w:t>Staphylococcus aureus</w:t>
      </w:r>
      <w:r w:rsidRPr="00F13191">
        <w:t xml:space="preserve"> infections </w:t>
      </w:r>
      <w:r>
        <w:t xml:space="preserve">through a </w:t>
      </w:r>
      <w:r w:rsidRPr="00F13191">
        <w:t xml:space="preserve">retrospective analysis of </w:t>
      </w:r>
      <w:r>
        <w:t xml:space="preserve">the US </w:t>
      </w:r>
      <w:r w:rsidRPr="00F13191">
        <w:t>Nationwide Inpatient Sample database</w:t>
      </w:r>
      <w:r>
        <w:t xml:space="preserve"> for 2001 and 2002 maintained by </w:t>
      </w:r>
      <w:r w:rsidRPr="00F13191">
        <w:t>the Agency for Healthcare Research and Quality</w:t>
      </w:r>
      <w:r>
        <w:t xml:space="preserve"> (AHRQ).The database </w:t>
      </w:r>
      <w:r>
        <w:lastRenderedPageBreak/>
        <w:t xml:space="preserve">represents a </w:t>
      </w:r>
      <w:r w:rsidRPr="00F13191">
        <w:t xml:space="preserve">20% sample of </w:t>
      </w:r>
      <w:r>
        <w:t xml:space="preserve">US </w:t>
      </w:r>
      <w:r w:rsidRPr="00F13191">
        <w:t xml:space="preserve">hospitals </w:t>
      </w:r>
      <w:r>
        <w:t xml:space="preserve">which hospital discharges </w:t>
      </w:r>
      <w:r w:rsidRPr="00F13191">
        <w:t xml:space="preserve">data </w:t>
      </w:r>
      <w:r>
        <w:t xml:space="preserve">available for </w:t>
      </w:r>
      <w:r w:rsidRPr="00F13191">
        <w:t xml:space="preserve">from </w:t>
      </w:r>
      <w:r>
        <w:t xml:space="preserve">close to 1,000 </w:t>
      </w:r>
      <w:r w:rsidRPr="00F13191">
        <w:t>hospitals representing approximately 14 million inpatient stays</w:t>
      </w:r>
      <w:r>
        <w:t xml:space="preserve">.  The authors used a hierarchical regression model controlling for hospital, DRG </w:t>
      </w:r>
      <w:r w:rsidRPr="005C3FCD">
        <w:t xml:space="preserve">age, sex, race, and payer, as well as </w:t>
      </w:r>
      <w:r>
        <w:t xml:space="preserve">selected </w:t>
      </w:r>
      <w:r w:rsidRPr="005C3FCD">
        <w:t>comorbidities (diabetes, lung di</w:t>
      </w:r>
      <w:r>
        <w:t xml:space="preserve">sease, and dialysis) identified </w:t>
      </w:r>
      <w:r w:rsidRPr="005C3FCD">
        <w:t xml:space="preserve">by </w:t>
      </w:r>
      <w:r>
        <w:t xml:space="preserve">an </w:t>
      </w:r>
      <w:r w:rsidRPr="005C3FCD">
        <w:t>expert panel</w:t>
      </w:r>
      <w:r>
        <w:t xml:space="preserve"> (</w:t>
      </w:r>
      <w:hyperlink w:anchor="_ENREF_33" w:tooltip="Zhan, 2003 #96" w:history="1">
        <w:r w:rsidR="00C33CAE">
          <w:fldChar w:fldCharType="begin">
            <w:fldData xml:space="preserve">PEVuZE5vdGU+PENpdGU+PEF1dGhvcj5aaGFuPC9BdXRob3I+PFllYXI+MjAwMzwvWWVhcj48UmVj
TnVtPjk2PC9SZWNOdW0+PERpc3BsYXlUZXh0PlpoYW4gJmFtcDsgTWlsbGVyLCAyMDAzPC9EaXNw
bGF5VGV4dD48cmVjb3JkPjxyZWMtbnVtYmVyPjk2PC9yZWMtbnVtYmVyPjxmb3JlaWduLWtleXM+
PGtleSBhcHA9IkVOIiBkYi1pZD0iOTJ0ZnR0NXYyYXJ4ZDZlOXd6cjUwdzJ3MHJ6MGVweDA5OWZ0
IiB0aW1lc3RhbXA9IjEzNzg1MjgzNjciPjk2PC9rZXk+PC9mb3JlaWduLWtleXM+PHJlZi10eXBl
IG5hbWU9IkpvdXJuYWwgQXJ0aWNsZSI+MTc8L3JlZi10eXBlPjxjb250cmlidXRvcnM+PGF1dGhv
cnM+PGF1dGhvcj5aaGFuLCBDPC9hdXRob3I+PGF1dGhvcj5NaWxsZXIsIE0uIFI8L2F1dGhvcj48
L2F1dGhvcnM+PC9jb250cmlidXRvcnM+PGF1dGgtYWRkcmVzcz5DZW50ZXIgZm9yIFF1YWxpdHkg
SW1wcm92ZW1lbnQgYW5kIFBhdGllbnQgU2FmZXR5LCBBZ2VuY3kgZm9yIEhlYWx0aGNhcmUgUmVz
ZWFyY2ggYW5kIFF1YWxpdHksIERlcGFydG1lbnQgb2YgSGVhbHRoIGFuZCBIdW1hbiBTZXJ2aWNl
cywgUm9ja3ZpbGxlLCBNZCAyMDg1MCwgVVNBLiBjemhhbkBhaHJxLmdvdjwvYXV0aC1hZGRyZXNz
Pjx0aXRsZXM+PHRpdGxlPkV4Y2VzcyBsZW5ndGggb2Ygc3RheSwgY2hhcmdlcywgYW5kIG1vcnRh
bGl0eSBhdHRyaWJ1dGFibGUgdG8gbWVkaWNhbCBpbmp1cmllcyBkdXJpbmcgaG9zcGl0YWxpemF0
aW9uPC90aXRsZT48c2Vjb25kYXJ5LXRpdGxlPkpBTUE8L3NlY29uZGFyeS10aXRsZT48YWx0LXRp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ZXJpY2FuIE1lZGljYWwgQXNzb2NpYXRpb248L2FiYnItMT48L2FsdC1wZXJpb2RpY2FsPjxwYWdl
cz4xODY4LTc0PC9wYWdlcz48dm9sdW1lPjI5MDwvdm9sdW1lPjxudW1iZXI+MTQ8L251bWJlcj48
ZWRpdGlvbj4yMDAzLzEwLzA5PC9lZGl0aW9uPjxrZXl3b3Jkcz48a2V5d29yZD5EaWFnbm9zaXMt
UmVsYXRlZCBHcm91cHM8L2tleXdvcmQ+PGtleXdvcmQ+SGVhbHRoIFNlcnZpY2VzIFJlc2VhcmNo
PC9rZXl3b3JkPjxrZXl3b3JkPkhvc3BpdGFsIENoYXJnZXMvKnN0YXRpc3RpY3MgJmFtcDsgbnVt
ZXJpY2FsIGRhdGE8L2tleXdvcmQ+PGtleXdvcmQ+Kkhvc3BpdGFsIE1vcnRhbGl0eTwva2V5d29y
ZD48a2V5d29yZD5IdW1hbnM8L2tleXdvcmQ+PGtleXdvcmQ+SW50ZXJuYXRpb25hbCBDbGFzc2lm
aWNhdGlvbiBvZiBEaXNlYXNlczwva2V5d29yZD48a2V5d29yZD5MZW5ndGggb2YgU3RheS9lY29u
b21pY3MvKnN0YXRpc3RpY3MgJmFtcDsgbnVtZXJpY2FsIGRhdGE8L2tleXdvcmQ+PGtleXdvcmQ+
TWVkaWNhbCBFcnJvcnMvZWNvbm9taWNzLypzdGF0aXN0aWNzICZhbXA7IG51bWVyaWNhbCBkYXRh
PC9rZXl3b3JkPjxrZXl3b3JkPk91dGNvbWUgQXNzZXNzbWVudCAoSGVhbHRoIENhcmUpPC9rZXl3
b3JkPjxrZXl3b3JkPlBvc3RvcGVyYXRpdmUgQ29tcGxpY2F0aW9ucy9lY29ub21pY3MvZXBpZGVt
aW9sb2d5PC9rZXl3b3JkPjxrZXl3b3JkPlF1YWxpdHkgSW5kaWNhdG9ycywgSGVhbHRoIENhcmU8
L2tleXdvcmQ+PGtleXdvcmQ+UXVhbGl0eSBvZiBIZWFsdGggQ2FyZS8qc3RhdGlzdGljcyAmYW1w
OyBudW1lcmljYWwgZGF0YTwva2V5d29yZD48a2V5d29yZD5Vbml0ZWQgU3RhdGVzL2VwaWRlbWlv
bG9neTwva2V5d29yZD48a2V5d29yZD5Vbml0ZWQgU3RhdGVzIEFnZW5jeSBmb3IgSGVhbHRoY2Fy
ZSBSZXNlYXJjaCBhbmQgUXVhbGl0eTwva2V5d29yZD48L2tleXdvcmRzPjxkYXRlcz48eWVhcj4y
MDAzPC95ZWFyPjxwdWItZGF0ZXM+PGRhdGU+T2N0IDg8L2RhdGU+PC9wdWItZGF0ZXM+PC9kYXRl
cz48aXNibj4xNTM4LTM1OTggKEVsZWN0cm9uaWMpJiN4RDswMDk4LTc0ODQgKExpbmtpbmcpPC9p
c2JuPjxhY2Nlc3Npb24tbnVtPjE0NTMyMzE1PC9hY2Nlc3Npb24tbnVtPjx3b3JrLXR5cGU+RXZh
bHVhdGlvbiBTdHVkaWVzPC93b3JrLXR5cGU+PHVybHM+PHJlbGF0ZWQtdXJscz48dXJsPmh0dHA6
Ly93d3cubmNiaS5ubG0ubmloLmdvdi9wdWJtZWQvMTQ1MzIzMTU8L3VybD48L3JlbGF0ZWQtdXJs
cz48L3VybHM+PGVsZWN0cm9uaWMtcmVzb3VyY2UtbnVtPjEwLjEwMDEvamFtYS4yOTAuMTQuMTg2
ODwvZWxlY3Ryb25pYy1yZXNvdXJjZS1udW0+PGxhbmd1YWdlPmVuZzwvbGFuZ3VhZ2U+PC9yZWNv
cmQ+PC9DaXRlPjwvRW5kTm90ZT4A
</w:fldData>
          </w:fldChar>
        </w:r>
        <w:r w:rsidR="00C33CAE">
          <w:instrText xml:space="preserve"> ADDIN EN.CITE </w:instrText>
        </w:r>
        <w:r w:rsidR="00C33CAE">
          <w:fldChar w:fldCharType="begin">
            <w:fldData xml:space="preserve">PEVuZE5vdGU+PENpdGU+PEF1dGhvcj5aaGFuPC9BdXRob3I+PFllYXI+MjAwMzwvWWVhcj48UmVj
TnVtPjk2PC9SZWNOdW0+PERpc3BsYXlUZXh0PlpoYW4gJmFtcDsgTWlsbGVyLCAyMDAzPC9EaXNw
bGF5VGV4dD48cmVjb3JkPjxyZWMtbnVtYmVyPjk2PC9yZWMtbnVtYmVyPjxmb3JlaWduLWtleXM+
PGtleSBhcHA9IkVOIiBkYi1pZD0iOTJ0ZnR0NXYyYXJ4ZDZlOXd6cjUwdzJ3MHJ6MGVweDA5OWZ0
IiB0aW1lc3RhbXA9IjEzNzg1MjgzNjciPjk2PC9rZXk+PC9mb3JlaWduLWtleXM+PHJlZi10eXBl
IG5hbWU9IkpvdXJuYWwgQXJ0aWNsZSI+MTc8L3JlZi10eXBlPjxjb250cmlidXRvcnM+PGF1dGhv
cnM+PGF1dGhvcj5aaGFuLCBDPC9hdXRob3I+PGF1dGhvcj5NaWxsZXIsIE0uIFI8L2F1dGhvcj48
L2F1dGhvcnM+PC9jb250cmlidXRvcnM+PGF1dGgtYWRkcmVzcz5DZW50ZXIgZm9yIFF1YWxpdHkg
SW1wcm92ZW1lbnQgYW5kIFBhdGllbnQgU2FmZXR5LCBBZ2VuY3kgZm9yIEhlYWx0aGNhcmUgUmVz
ZWFyY2ggYW5kIFF1YWxpdHksIERlcGFydG1lbnQgb2YgSGVhbHRoIGFuZCBIdW1hbiBTZXJ2aWNl
cywgUm9ja3ZpbGxlLCBNZCAyMDg1MCwgVVNBLiBjemhhbkBhaHJxLmdvdjwvYXV0aC1hZGRyZXNz
Pjx0aXRsZXM+PHRpdGxlPkV4Y2VzcyBsZW5ndGggb2Ygc3RheSwgY2hhcmdlcywgYW5kIG1vcnRh
bGl0eSBhdHRyaWJ1dGFibGUgdG8gbWVkaWNhbCBpbmp1cmllcyBkdXJpbmcgaG9zcGl0YWxpemF0
aW9uPC90aXRsZT48c2Vjb25kYXJ5LXRpdGxlPkpBTUE8L3NlY29uZGFyeS10aXRsZT48YWx0LXRp
dGxlPkpBTUEgOiB0aGUgam91cm5hbCBvZiB0aGUgQW1lcmljYW4gTWVkaWNhbCBBc3NvY2lhdGlv
bjwvYWx0LXRpdGxlPjwvdGl0bGVzPjxwZXJpb2RpY2FsPjxmdWxsLXRpdGxlPkpBTUE8L2Z1bGwt
dGl0bGU+PGFiYnItMT5KQU1BIDogdGhlIGpvdXJuYWwgb2YgdGhlIEFtZXJpY2FuIE1lZGljYWwg
QXNzb2NpYXRpb248L2FiYnItMT48L3BlcmlvZGljYWw+PGFsdC1wZXJpb2RpY2FsPjxmdWxsLXRp
dGxlPkpBTUE8L2Z1bGwtdGl0bGU+PGFiYnItMT5KQU1BIDogdGhlIGpvdXJuYWwgb2YgdGhlIEFt
ZXJpY2FuIE1lZGljYWwgQXNzb2NpYXRpb248L2FiYnItMT48L2FsdC1wZXJpb2RpY2FsPjxwYWdl
cz4xODY4LTc0PC9wYWdlcz48dm9sdW1lPjI5MDwvdm9sdW1lPjxudW1iZXI+MTQ8L251bWJlcj48
ZWRpdGlvbj4yMDAzLzEwLzA5PC9lZGl0aW9uPjxrZXl3b3Jkcz48a2V5d29yZD5EaWFnbm9zaXMt
UmVsYXRlZCBHcm91cHM8L2tleXdvcmQ+PGtleXdvcmQ+SGVhbHRoIFNlcnZpY2VzIFJlc2VhcmNo
PC9rZXl3b3JkPjxrZXl3b3JkPkhvc3BpdGFsIENoYXJnZXMvKnN0YXRpc3RpY3MgJmFtcDsgbnVt
ZXJpY2FsIGRhdGE8L2tleXdvcmQ+PGtleXdvcmQ+Kkhvc3BpdGFsIE1vcnRhbGl0eTwva2V5d29y
ZD48a2V5d29yZD5IdW1hbnM8L2tleXdvcmQ+PGtleXdvcmQ+SW50ZXJuYXRpb25hbCBDbGFzc2lm
aWNhdGlvbiBvZiBEaXNlYXNlczwva2V5d29yZD48a2V5d29yZD5MZW5ndGggb2YgU3RheS9lY29u
b21pY3MvKnN0YXRpc3RpY3MgJmFtcDsgbnVtZXJpY2FsIGRhdGE8L2tleXdvcmQ+PGtleXdvcmQ+
TWVkaWNhbCBFcnJvcnMvZWNvbm9taWNzLypzdGF0aXN0aWNzICZhbXA7IG51bWVyaWNhbCBkYXRh
PC9rZXl3b3JkPjxrZXl3b3JkPk91dGNvbWUgQXNzZXNzbWVudCAoSGVhbHRoIENhcmUpPC9rZXl3
b3JkPjxrZXl3b3JkPlBvc3RvcGVyYXRpdmUgQ29tcGxpY2F0aW9ucy9lY29ub21pY3MvZXBpZGVt
aW9sb2d5PC9rZXl3b3JkPjxrZXl3b3JkPlF1YWxpdHkgSW5kaWNhdG9ycywgSGVhbHRoIENhcmU8
L2tleXdvcmQ+PGtleXdvcmQ+UXVhbGl0eSBvZiBIZWFsdGggQ2FyZS8qc3RhdGlzdGljcyAmYW1w
OyBudW1lcmljYWwgZGF0YTwva2V5d29yZD48a2V5d29yZD5Vbml0ZWQgU3RhdGVzL2VwaWRlbWlv
bG9neTwva2V5d29yZD48a2V5d29yZD5Vbml0ZWQgU3RhdGVzIEFnZW5jeSBmb3IgSGVhbHRoY2Fy
ZSBSZXNlYXJjaCBhbmQgUXVhbGl0eTwva2V5d29yZD48L2tleXdvcmRzPjxkYXRlcz48eWVhcj4y
MDAzPC95ZWFyPjxwdWItZGF0ZXM+PGRhdGU+T2N0IDg8L2RhdGU+PC9wdWItZGF0ZXM+PC9kYXRl
cz48aXNibj4xNTM4LTM1OTggKEVsZWN0cm9uaWMpJiN4RDswMDk4LTc0ODQgKExpbmtpbmcpPC9p
c2JuPjxhY2Nlc3Npb24tbnVtPjE0NTMyMzE1PC9hY2Nlc3Npb24tbnVtPjx3b3JrLXR5cGU+RXZh
bHVhdGlvbiBTdHVkaWVzPC93b3JrLXR5cGU+PHVybHM+PHJlbGF0ZWQtdXJscz48dXJsPmh0dHA6
Ly93d3cubmNiaS5ubG0ubmloLmdvdi9wdWJtZWQvMTQ1MzIzMTU8L3VybD48L3JlbGF0ZWQtdXJs
cz48L3VybHM+PGVsZWN0cm9uaWMtcmVzb3VyY2UtbnVtPjEwLjEwMDEvamFtYS4yOTAuMTQuMTg2
ODwvZWxlY3Ryb25pYy1yZXNvdXJjZS1udW0+PGxhbmd1YWdlPmVuZzwvbGFuZ3VhZ2U+PC9yZWNv
cmQ+PC9DaXRlPjwvRW5kTm90ZT4A
</w:fldData>
          </w:fldChar>
        </w:r>
        <w:r w:rsidR="00C33CAE">
          <w:instrText xml:space="preserve"> ADDIN EN.CITE.DATA </w:instrText>
        </w:r>
        <w:r w:rsidR="00C33CAE">
          <w:fldChar w:fldCharType="end"/>
        </w:r>
        <w:r w:rsidR="00C33CAE">
          <w:fldChar w:fldCharType="separate"/>
        </w:r>
        <w:r w:rsidR="00C33CAE">
          <w:rPr>
            <w:noProof/>
          </w:rPr>
          <w:t>Zhan &amp; Miller, 2003</w:t>
        </w:r>
        <w:r w:rsidR="00C33CAE">
          <w:fldChar w:fldCharType="end"/>
        </w:r>
      </w:hyperlink>
      <w:r>
        <w:t xml:space="preserve">, </w:t>
      </w:r>
      <w:r w:rsidRPr="005C3FCD">
        <w:t>p</w:t>
      </w:r>
      <w:r>
        <w:t xml:space="preserve">. </w:t>
      </w:r>
      <w:r w:rsidRPr="005C3FCD">
        <w:t>1757</w:t>
      </w:r>
      <w:r>
        <w:t xml:space="preserve">). The influence of hospital was introduced as a fixed effect. Outcome variables of interest included length of stay, total charges and mortality. The paper provides no discussion of or adjustment for endogeneity bias. </w:t>
      </w:r>
      <w:r w:rsidRPr="005C3FCD">
        <w:t xml:space="preserve"> </w:t>
      </w:r>
      <w:r>
        <w:t xml:space="preserve">  The authors also performed a supplementary ‘confirmatory analysis’ using a matched comparison method.  Through this method, each inpatient </w:t>
      </w:r>
      <w:r w:rsidRPr="005C3FCD">
        <w:t xml:space="preserve">identified </w:t>
      </w:r>
      <w:r w:rsidRPr="00466164">
        <w:rPr>
          <w:i/>
        </w:rPr>
        <w:t>Staphylococcus aureus</w:t>
      </w:r>
      <w:r w:rsidRPr="00F13191">
        <w:t xml:space="preserve"> </w:t>
      </w:r>
      <w:r w:rsidRPr="005C3FCD">
        <w:t>infection was “</w:t>
      </w:r>
      <w:r w:rsidRPr="00AE02A4">
        <w:rPr>
          <w:i/>
        </w:rPr>
        <w:t>matched with 1 control from the same hospital and with the same age, sex, and race. Cases with a certain comorbidity (diabetes, lung disease, and dialysis) were matched with controls with 1 or more of these comorbidities</w:t>
      </w:r>
      <w:r w:rsidRPr="005C3FCD">
        <w:t>”</w:t>
      </w:r>
      <w:r>
        <w:t xml:space="preserve"> (</w:t>
      </w:r>
      <w:hyperlink w:anchor="_ENREF_25" w:tooltip="Noskin, 2005 #91" w:history="1">
        <w:r w:rsidR="00C33CAE">
          <w:fldChar w:fldCharType="begin">
            <w:fldData xml:space="preserve">PEVuZE5vdGU+PENpdGU+PEF1dGhvcj5Ob3NraW48L0F1dGhvcj48WWVhcj4yMDA1PC9ZZWFyPjxS
ZWNOdW0+OTE8L1JlY051bT48RGlzcGxheVRleHQ+Tm9za2luIGV0IGFsLiwgMjAwNTwvRGlzcGxh
eVRleHQ+PHJlY29yZD48cmVjLW51bWJlcj45MTwvcmVjLW51bWJlcj48Zm9yZWlnbi1rZXlzPjxr
ZXkgYXBwPSJFTiIgZGItaWQ9IjkydGZ0dDV2MmFyeGQ2ZTl3enI1MHcydzByejBlcHgwOTlmdCIg
dGltZXN0YW1wPSIxMzc4NTI4MzAwIj45MTwva2V5PjwvZm9yZWlnbi1rZXlzPjxyZWYtdHlwZSBu
YW1lPSJKb3VybmFsIEFydGljbGUiPjE3PC9yZWYtdHlwZT48Y29udHJpYnV0b3JzPjxhdXRob3Jz
PjxhdXRob3I+Tm9za2luLCBHLiBBLjwvYXV0aG9yPjxhdXRob3I+UnViaW4sIFIuIEouPC9hdXRo
b3I+PGF1dGhvcj5TY2hlbnRhZywgSi4gSi48L2F1dGhvcj48YXV0aG9yPktsdXl0bWFucywgSi48
L2F1dGhvcj48YXV0aG9yPkhlZGJsb20sIEUuIEMuPC9hdXRob3I+PGF1dGhvcj5TbXVsZGVycywg
TS48L2F1dGhvcj48YXV0aG9yPkxhcGV0aW5hLCBFLjwvYXV0aG9yPjxhdXRob3I+R2VtbWVuLCBF
LjwvYXV0aG9yPjwvYXV0aG9ycz48L2NvbnRyaWJ1dG9ycz48YXV0aC1hZGRyZXNzPkRlcGFydG1l
bnQgb2YgTWVkaWNpbmUsIERpdmlzaW9uIG9mIEluZmVjdGlvdXMgRGlzZWFzZXMsIEZlaW5iZXJn
IFNjaG9vbCBvZiBNZWRpY2luZSwgTm9ydGh3ZXN0ZXJuIFVuaXZlcnNpdHksIGFuZCBOb3J0aHdl
c3Rlcm4gTWVtb3JpYWwgSG9zcGl0YWwsIENoaWNhZ28sIElMIDYwNjExLCBVU0EuIGdub3NraW5A
bm9ydGh3ZXN0ZXJuLmVkdTwvYXV0aC1hZGRyZXNzPjx0aXRsZXM+PHRpdGxlPlRoZSBidXJkZW4g
b2YgU3RhcGh5bG9jb2NjdXMgYXVyZXVzIGluZmVjdGlvbnMgb24gaG9zcGl0YWxzIGluIHRoZSBV
bml0ZWQgU3RhdGVzOiBhbiBhbmFseXNpcyBvZiB0aGUgMjAwMCBhbmQgMjAwMSBOYXRpb253aWRl
IElucGF0aWVudCBTYW1wbGUgRGF0YWJhc2U8L3RpdGxlPjxzZWNvbmRhcnktdGl0bGU+QXJjaCBJ
bnRlcm4gTWVkPC9zZWNvbmRhcnktdGl0bGU+PGFsdC10aXRsZT5BcmNoaXZlcyBvZiBpbnRlcm5h
bCBtZWRpY2luZTwvYWx0LXRpdGxlPjwvdGl0bGVzPjxwZXJpb2RpY2FsPjxmdWxsLXRpdGxlPkFy
Y2ggSW50ZXJuIE1lZDwvZnVsbC10aXRsZT48YWJici0xPkFyY2hpdmVzIG9mIGludGVybmFsIG1l
ZGljaW5lPC9hYmJyLTE+PC9wZXJpb2RpY2FsPjxhbHQtcGVyaW9kaWNhbD48ZnVsbC10aXRsZT5B
cmNoIEludGVybiBNZWQ8L2Z1bGwtdGl0bGU+PGFiYnItMT5BcmNoaXZlcyBvZiBpbnRlcm5hbCBt
ZWRpY2luZTwvYWJici0xPjwvYWx0LXBlcmlvZGljYWw+PHBhZ2VzPjE3NTYtNjE8L3BhZ2VzPjx2
b2x1bWU+MTY1PC92b2x1bWU+PG51bWJlcj4xNTwvbnVtYmVyPjxlZGl0aW9uPjIwMDUvMDgvMTA8
L2VkaXRpb24+PGtleXdvcmRzPjxrZXl3b3JkPkFnZSBGYWN0b3JzPC9rZXl3b3JkPjxrZXl3b3Jk
PipDb3N0IG9mIElsbG5lc3M8L2tleXdvcmQ+PGtleXdvcmQ+RmVtYWxlPC9rZXl3b3JkPjxrZXl3
b3JkPkhvc3BpdGFsIENoYXJnZXMvKnN0YXRpc3RpY3MgJmFtcDsgbnVtZXJpY2FsIGRhdGE8L2tl
eXdvcmQ+PGtleXdvcmQ+SG9zcGl0YWwgTW9ydGFsaXR5PC9rZXl3b3JkPjxrZXl3b3JkPkh1bWFu
czwva2V5d29yZD48a2V5d29yZD5MZW5ndGggb2YgU3RheTwva2V5d29yZD48a2V5d29yZD5NYWxl
PC9rZXl3b3JkPjxrZXl3b3JkPk1pZGRsZSBBZ2VkPC9rZXl3b3JkPjxrZXl3b3JkPlJldHJvc3Bl
Y3RpdmUgU3R1ZGllczwva2V5d29yZD48a2V5d29yZD5TZW5zaXRpdml0eSBhbmQgU3BlY2lmaWNp
dHk8L2tleXdvcmQ+PGtleXdvcmQ+U3RhcGh5bG9jb2NjYWwgSW5mZWN0aW9ucy8qZWNvbm9taWNz
LyplcGlkZW1pb2xvZ3kvbW9ydGFsaXR5PC9rZXl3b3JkPjxrZXl3b3JkPlVuaXRlZCBTdGF0ZXMv
ZXBpZGVtaW9sb2d5PC9rZXl3b3JkPjwva2V5d29yZHM+PGRhdGVzPjx5ZWFyPjIwMDU8L3llYXI+
PHB1Yi1kYXRlcz48ZGF0ZT5BdWcgOC0yMjwvZGF0ZT48L3B1Yi1kYXRlcz48L2RhdGVzPjxpc2Ju
PjAwMDMtOTkyNiAoUHJpbnQpJiN4RDswMDAzLTk5MjYgKExpbmtpbmcpPC9pc2JuPjxhY2Nlc3Np
b24tbnVtPjE2MDg3ODI0PC9hY2Nlc3Npb24tbnVtPjx1cmxzPjxyZWxhdGVkLXVybHM+PHVybD5o
dHRwOi8vd3d3Lm5jYmkubmxtLm5paC5nb3YvcHVibWVkLzE2MDg3ODI0PC91cmw+PC9yZWxhdGVk
LXVybHM+PC91cmxzPjxlbGVjdHJvbmljLXJlc291cmNlLW51bT4xMC4xMDAxL2FyY2hpbnRlLjE2
NS4xNS4xNzU2PC9lbGVjdHJvbmljLXJlc291cmNlLW51bT48bGFuZ3VhZ2U+ZW5nPC9sYW5ndWFn
ZT48L3JlY29yZD48L0NpdGU+PC9FbmROb3RlPgB=
</w:fldData>
          </w:fldChar>
        </w:r>
        <w:r w:rsidR="00C33CAE">
          <w:instrText xml:space="preserve"> ADDIN EN.CITE </w:instrText>
        </w:r>
        <w:r w:rsidR="00C33CAE">
          <w:fldChar w:fldCharType="begin">
            <w:fldData xml:space="preserve">PEVuZE5vdGU+PENpdGU+PEF1dGhvcj5Ob3NraW48L0F1dGhvcj48WWVhcj4yMDA1PC9ZZWFyPjxS
ZWNOdW0+OTE8L1JlY051bT48RGlzcGxheVRleHQ+Tm9za2luIGV0IGFsLiwgMjAwNTwvRGlzcGxh
eVRleHQ+PHJlY29yZD48cmVjLW51bWJlcj45MTwvcmVjLW51bWJlcj48Zm9yZWlnbi1rZXlzPjxr
ZXkgYXBwPSJFTiIgZGItaWQ9IjkydGZ0dDV2MmFyeGQ2ZTl3enI1MHcydzByejBlcHgwOTlmdCIg
dGltZXN0YW1wPSIxMzc4NTI4MzAwIj45MTwva2V5PjwvZm9yZWlnbi1rZXlzPjxyZWYtdHlwZSBu
YW1lPSJKb3VybmFsIEFydGljbGUiPjE3PC9yZWYtdHlwZT48Y29udHJpYnV0b3JzPjxhdXRob3Jz
PjxhdXRob3I+Tm9za2luLCBHLiBBLjwvYXV0aG9yPjxhdXRob3I+UnViaW4sIFIuIEouPC9hdXRo
b3I+PGF1dGhvcj5TY2hlbnRhZywgSi4gSi48L2F1dGhvcj48YXV0aG9yPktsdXl0bWFucywgSi48
L2F1dGhvcj48YXV0aG9yPkhlZGJsb20sIEUuIEMuPC9hdXRob3I+PGF1dGhvcj5TbXVsZGVycywg
TS48L2F1dGhvcj48YXV0aG9yPkxhcGV0aW5hLCBFLjwvYXV0aG9yPjxhdXRob3I+R2VtbWVuLCBF
LjwvYXV0aG9yPjwvYXV0aG9ycz48L2NvbnRyaWJ1dG9ycz48YXV0aC1hZGRyZXNzPkRlcGFydG1l
bnQgb2YgTWVkaWNpbmUsIERpdmlzaW9uIG9mIEluZmVjdGlvdXMgRGlzZWFzZXMsIEZlaW5iZXJn
IFNjaG9vbCBvZiBNZWRpY2luZSwgTm9ydGh3ZXN0ZXJuIFVuaXZlcnNpdHksIGFuZCBOb3J0aHdl
c3Rlcm4gTWVtb3JpYWwgSG9zcGl0YWwsIENoaWNhZ28sIElMIDYwNjExLCBVU0EuIGdub3NraW5A
bm9ydGh3ZXN0ZXJuLmVkdTwvYXV0aC1hZGRyZXNzPjx0aXRsZXM+PHRpdGxlPlRoZSBidXJkZW4g
b2YgU3RhcGh5bG9jb2NjdXMgYXVyZXVzIGluZmVjdGlvbnMgb24gaG9zcGl0YWxzIGluIHRoZSBV
bml0ZWQgU3RhdGVzOiBhbiBhbmFseXNpcyBvZiB0aGUgMjAwMCBhbmQgMjAwMSBOYXRpb253aWRl
IElucGF0aWVudCBTYW1wbGUgRGF0YWJhc2U8L3RpdGxlPjxzZWNvbmRhcnktdGl0bGU+QXJjaCBJ
bnRlcm4gTWVkPC9zZWNvbmRhcnktdGl0bGU+PGFsdC10aXRsZT5BcmNoaXZlcyBvZiBpbnRlcm5h
bCBtZWRpY2luZTwvYWx0LXRpdGxlPjwvdGl0bGVzPjxwZXJpb2RpY2FsPjxmdWxsLXRpdGxlPkFy
Y2ggSW50ZXJuIE1lZDwvZnVsbC10aXRsZT48YWJici0xPkFyY2hpdmVzIG9mIGludGVybmFsIG1l
ZGljaW5lPC9hYmJyLTE+PC9wZXJpb2RpY2FsPjxhbHQtcGVyaW9kaWNhbD48ZnVsbC10aXRsZT5B
cmNoIEludGVybiBNZWQ8L2Z1bGwtdGl0bGU+PGFiYnItMT5BcmNoaXZlcyBvZiBpbnRlcm5hbCBt
ZWRpY2luZTwvYWJici0xPjwvYWx0LXBlcmlvZGljYWw+PHBhZ2VzPjE3NTYtNjE8L3BhZ2VzPjx2
b2x1bWU+MTY1PC92b2x1bWU+PG51bWJlcj4xNTwvbnVtYmVyPjxlZGl0aW9uPjIwMDUvMDgvMTA8
L2VkaXRpb24+PGtleXdvcmRzPjxrZXl3b3JkPkFnZSBGYWN0b3JzPC9rZXl3b3JkPjxrZXl3b3Jk
PipDb3N0IG9mIElsbG5lc3M8L2tleXdvcmQ+PGtleXdvcmQ+RmVtYWxlPC9rZXl3b3JkPjxrZXl3
b3JkPkhvc3BpdGFsIENoYXJnZXMvKnN0YXRpc3RpY3MgJmFtcDsgbnVtZXJpY2FsIGRhdGE8L2tl
eXdvcmQ+PGtleXdvcmQ+SG9zcGl0YWwgTW9ydGFsaXR5PC9rZXl3b3JkPjxrZXl3b3JkPkh1bWFu
czwva2V5d29yZD48a2V5d29yZD5MZW5ndGggb2YgU3RheTwva2V5d29yZD48a2V5d29yZD5NYWxl
PC9rZXl3b3JkPjxrZXl3b3JkPk1pZGRsZSBBZ2VkPC9rZXl3b3JkPjxrZXl3b3JkPlJldHJvc3Bl
Y3RpdmUgU3R1ZGllczwva2V5d29yZD48a2V5d29yZD5TZW5zaXRpdml0eSBhbmQgU3BlY2lmaWNp
dHk8L2tleXdvcmQ+PGtleXdvcmQ+U3RhcGh5bG9jb2NjYWwgSW5mZWN0aW9ucy8qZWNvbm9taWNz
LyplcGlkZW1pb2xvZ3kvbW9ydGFsaXR5PC9rZXl3b3JkPjxrZXl3b3JkPlVuaXRlZCBTdGF0ZXMv
ZXBpZGVtaW9sb2d5PC9rZXl3b3JkPjwva2V5d29yZHM+PGRhdGVzPjx5ZWFyPjIwMDU8L3llYXI+
PHB1Yi1kYXRlcz48ZGF0ZT5BdWcgOC0yMjwvZGF0ZT48L3B1Yi1kYXRlcz48L2RhdGVzPjxpc2Ju
PjAwMDMtOTkyNiAoUHJpbnQpJiN4RDswMDAzLTk5MjYgKExpbmtpbmcpPC9pc2JuPjxhY2Nlc3Np
b24tbnVtPjE2MDg3ODI0PC9hY2Nlc3Npb24tbnVtPjx1cmxzPjxyZWxhdGVkLXVybHM+PHVybD5o
dHRwOi8vd3d3Lm5jYmkubmxtLm5paC5nb3YvcHVibWVkLzE2MDg3ODI0PC91cmw+PC9yZWxhdGVk
LXVybHM+PC91cmxzPjxlbGVjdHJvbmljLXJlc291cmNlLW51bT4xMC4xMDAxL2FyY2hpbnRlLjE2
NS4xNS4xNzU2PC9lbGVjdHJvbmljLXJlc291cmNlLW51bT48bGFuZ3VhZ2U+ZW5nPC9sYW5ndWFn
ZT48L3JlY29yZD48L0NpdGU+PC9FbmROb3RlPgB=
</w:fldData>
          </w:fldChar>
        </w:r>
        <w:r w:rsidR="00C33CAE">
          <w:instrText xml:space="preserve"> ADDIN EN.CITE.DATA </w:instrText>
        </w:r>
        <w:r w:rsidR="00C33CAE">
          <w:fldChar w:fldCharType="end"/>
        </w:r>
        <w:r w:rsidR="00C33CAE">
          <w:fldChar w:fldCharType="separate"/>
        </w:r>
        <w:r w:rsidR="00C33CAE">
          <w:rPr>
            <w:noProof/>
          </w:rPr>
          <w:t>Noskin et al., 2005</w:t>
        </w:r>
        <w:r w:rsidR="00C33CAE">
          <w:fldChar w:fldCharType="end"/>
        </w:r>
      </w:hyperlink>
      <w:r>
        <w:t xml:space="preserve">, </w:t>
      </w:r>
      <w:r w:rsidRPr="005C3FCD">
        <w:t>p</w:t>
      </w:r>
      <w:r>
        <w:t xml:space="preserve">. </w:t>
      </w:r>
      <w:r w:rsidRPr="005C3FCD">
        <w:t>1757</w:t>
      </w:r>
      <w:r>
        <w:t>)</w:t>
      </w:r>
      <w:r w:rsidRPr="005C3FCD">
        <w:t>.</w:t>
      </w:r>
      <w:r w:rsidRPr="005C3FCD">
        <w:tab/>
      </w:r>
    </w:p>
    <w:p w:rsidR="007718C7" w:rsidRDefault="007718C7" w:rsidP="00B912D2">
      <w:r w:rsidRPr="006066CD">
        <w:t xml:space="preserve">Fuller et al. </w:t>
      </w:r>
      <w:r>
        <w:t>(</w:t>
      </w:r>
      <w:hyperlink w:anchor="_ENREF_10" w:tooltip="Fuller, 2009 #48" w:history="1">
        <w:r w:rsidR="00C33CAE">
          <w:fldChar w:fldCharType="begin"/>
        </w:r>
        <w:r w:rsidR="00C33CAE">
          <w:instrText xml:space="preserve"> ADDIN EN.CITE &lt;EndNote&gt;&lt;Cite ExcludeAuth="1"&gt;&lt;Author&gt;Fuller&lt;/Author&gt;&lt;Year&gt;2009&lt;/Year&gt;&lt;RecNum&gt;48&lt;/RecNum&gt;&lt;DisplayText&gt;2009&lt;/DisplayText&gt;&lt;record&gt;&lt;rec-number&gt;48&lt;/rec-number&gt;&lt;foreign-keys&gt;&lt;key app="EN" db-id="92tftt5v2arxd6e9wzr50w2w0rz0epx099ft" timestamp="1378362726"&gt;48&lt;/key&gt;&lt;/foreign-keys&gt;&lt;ref-type name="Journal Article"&gt;17&lt;/ref-type&gt;&lt;contributors&gt;&lt;authors&gt;&lt;author&gt;Fuller, R. L.&lt;/author&gt;&lt;author&gt;McCullough, E. C.&lt;/author&gt;&lt;author&gt;Bao, M. Z.&lt;/author&gt;&lt;author&gt;Averill, R. F.&lt;/author&gt;&lt;/authors&gt;&lt;/contributors&gt;&lt;auth-address&gt;3M Health Information Systems, Silver Spring, Maryland 20904, USA. rlfuller@mmm.com&lt;/auth-address&gt;&lt;titles&gt;&lt;title&gt;Estimating the costs of potentially preventable hospital acquired complications&lt;/title&gt;&lt;secondary-title&gt;Health Care Financ Rev&lt;/secondary-title&gt;&lt;alt-title&gt;Health care financing review&lt;/alt-title&gt;&lt;/titles&gt;&lt;alt-periodical&gt;&lt;full-title&gt;Health Care Financing Review&lt;/full-title&gt;&lt;/alt-periodical&gt;&lt;pages&gt;17-32&lt;/pages&gt;&lt;volume&gt;30&lt;/volume&gt;&lt;number&gt;4&lt;/number&gt;&lt;edition&gt;2009/09/02&lt;/edition&gt;&lt;keywords&gt;&lt;keyword&gt;Costs and Cost Analysis&lt;/keyword&gt;&lt;keyword&gt;Cross Infection/*economics&lt;/keyword&gt;&lt;keyword&gt;Economics, Hospital&lt;/keyword&gt;&lt;keyword&gt;*Health Care Costs&lt;/keyword&gt;&lt;keyword&gt;Humans&lt;/keyword&gt;&lt;keyword&gt;Linear Models&lt;/keyword&gt;&lt;keyword&gt;Medical Errors/*economics&lt;/keyword&gt;&lt;keyword&gt;Postoperative Complications/*economics&lt;/keyword&gt;&lt;keyword&gt;United States&lt;/keyword&gt;&lt;/keywords&gt;&lt;dates&gt;&lt;year&gt;2009&lt;/year&gt;&lt;pub-dates&gt;&lt;date&gt;Summer&lt;/date&gt;&lt;/pub-dates&gt;&lt;/dates&gt;&lt;isbn&gt;0195-8631 (Print)&amp;#xD;0195-8631 (Linking)&lt;/isbn&gt;&lt;accession-num&gt;19719030&lt;/accession-num&gt;&lt;urls&gt;&lt;related-urls&gt;&lt;url&gt;http://www.ncbi.nlm.nih.gov/pubmed/19719030&lt;/url&gt;&lt;/related-urls&gt;&lt;/urls&gt;&lt;language&gt;eng&lt;/language&gt;&lt;/record&gt;&lt;/Cite&gt;&lt;/EndNote&gt;</w:instrText>
        </w:r>
        <w:r w:rsidR="00C33CAE">
          <w:fldChar w:fldCharType="separate"/>
        </w:r>
        <w:r w:rsidR="00C33CAE">
          <w:rPr>
            <w:noProof/>
          </w:rPr>
          <w:t>2009</w:t>
        </w:r>
        <w:r w:rsidR="00C33CAE">
          <w:fldChar w:fldCharType="end"/>
        </w:r>
      </w:hyperlink>
      <w:r>
        <w:t>) analysed the impact of 64 categories of hospital-acquired complications on costs of hospitalisation for a large sample of hospital discharges from 237 Californian hospitals and 45 Maryland hospitals.  This study utilised the present on admission (POA) indicators available for these states, to identify the presence of each of 64 Potentially Preventable Complications (PPC) diagnoses (</w:t>
      </w:r>
      <w:hyperlink w:anchor="_ENREF_16" w:tooltip="Hughes, 2006 #105" w:history="1">
        <w:r w:rsidR="00C33CAE">
          <w:fldChar w:fldCharType="begin"/>
        </w:r>
        <w:r w:rsidR="00C33CAE">
          <w:instrText xml:space="preserve"> ADDIN EN.CITE &lt;EndNote&gt;&lt;Cite&gt;&lt;Author&gt;Hughes&lt;/Author&gt;&lt;Year&gt;2006&lt;/Year&gt;&lt;RecNum&gt;105&lt;/RecNum&gt;&lt;DisplayText&gt;Hughes et al., 2006&lt;/DisplayText&gt;&lt;record&gt;&lt;rec-number&gt;105&lt;/rec-number&gt;&lt;foreign-keys&gt;&lt;key app="EN" db-id="92tftt5v2arxd6e9wzr50w2w0rz0epx099ft" timestamp="1378532382"&gt;105&lt;/key&gt;&lt;/foreign-keys&gt;&lt;ref-type name="Journal Article"&gt;17&lt;/ref-type&gt;&lt;contributors&gt;&lt;authors&gt;&lt;author&gt;Hughes, J. S.&lt;/author&gt;&lt;author&gt;Averill, R. F.&lt;/author&gt;&lt;author&gt;Goldfield, N. I.&lt;/author&gt;&lt;author&gt;Gay, J. C.&lt;/author&gt;&lt;author&gt;Muldoon, J.&lt;/author&gt;&lt;author&gt;McCullough, E.&lt;/author&gt;&lt;author&gt;Xiang, J.&lt;/author&gt;&lt;/authors&gt;&lt;/contributors&gt;&lt;auth-address&gt;Yale University School of Medicine, USA. jshughes@mmm.com&lt;/auth-address&gt;&lt;titles&gt;&lt;title&gt;Identifying potentially preventable complications using a present on admission indicator&lt;/title&gt;&lt;secondary-title&gt;Health Care Financ Rev&lt;/secondary-title&gt;&lt;alt-title&gt;Health care financing review&lt;/alt-title&gt;&lt;/titles&gt;&lt;alt-periodical&gt;&lt;full-title&gt;Health Care Financing Review&lt;/full-title&gt;&lt;/alt-periodical&gt;&lt;pages&gt;63-82&lt;/pages&gt;&lt;volume&gt;27&lt;/volume&gt;&lt;number&gt;3&lt;/number&gt;&lt;edition&gt;2007/02/13&lt;/edition&gt;&lt;keywords&gt;&lt;keyword&gt;California&lt;/keyword&gt;&lt;keyword&gt;Humans&lt;/keyword&gt;&lt;keyword&gt;*Patient Admission&lt;/keyword&gt;&lt;keyword&gt;Patient Discharge&lt;/keyword&gt;&lt;keyword&gt;Quality of Health Care&lt;/keyword&gt;&lt;keyword&gt;*Safety Management&lt;/keyword&gt;&lt;keyword&gt;Statistics as Topic&lt;/keyword&gt;&lt;keyword&gt;Triage/*methods&lt;/keyword&gt;&lt;/keywords&gt;&lt;dates&gt;&lt;year&gt;2006&lt;/year&gt;&lt;pub-dates&gt;&lt;date&gt;Spring&lt;/date&gt;&lt;/pub-dates&gt;&lt;/dates&gt;&lt;isbn&gt;0195-8631 (Print)&amp;#xD;0195-8631 (Linking)&lt;/isbn&gt;&lt;accession-num&gt;17290649&lt;/accession-num&gt;&lt;urls&gt;&lt;related-urls&gt;&lt;url&gt;http://www.ncbi.nlm.nih.gov/pubmed/17290649&lt;/url&gt;&lt;/related-urls&gt;&lt;/urls&gt;&lt;language&gt;eng&lt;/language&gt;&lt;/record&gt;&lt;/Cite&gt;&lt;/EndNote&gt;</w:instrText>
        </w:r>
        <w:r w:rsidR="00C33CAE">
          <w:fldChar w:fldCharType="separate"/>
        </w:r>
        <w:r w:rsidR="00C33CAE">
          <w:rPr>
            <w:noProof/>
          </w:rPr>
          <w:t>Hughes et al., 2006</w:t>
        </w:r>
        <w:r w:rsidR="00C33CAE">
          <w:fldChar w:fldCharType="end"/>
        </w:r>
      </w:hyperlink>
      <w:r>
        <w:t>).  In the analysis, episodes with a discharge status of transferred or expired (death) were excluded.  The model estimated had a relatively simple specification as follows:</w:t>
      </w:r>
    </w:p>
    <w:p w:rsidR="007718C7" w:rsidRDefault="007718C7" w:rsidP="00B912D2">
      <w:pPr>
        <w:ind w:left="720"/>
      </w:pPr>
      <w:r w:rsidRPr="00864829">
        <w:fldChar w:fldCharType="begin"/>
      </w:r>
      <w:r w:rsidRPr="00864829">
        <w:instrText xml:space="preserve"> QUOTE </w:instrText>
      </w:r>
      <w:r w:rsidR="002A25A4">
        <w:pict>
          <v:shape id="_x0000_i1055" type="#_x0000_t75" style="width:236.3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253E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9253E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quot;/&gt;&lt;m:limLoc m:val=&quot;undOvr&quot;/&gt;&lt;m:supHide m:val=&quot;on&quot;/&gt;&lt;m:ctrlPr&gt;&lt;w:rPr&gt;&lt;w:rFonts w:ascii=&quot;Cambria Math&quot; w:h-ansi=&quot;Cambria Math&quot;/&gt;&lt;wx:font wx:val=&quot;Cambria Math&quot;/&gt;&lt;x:x:x:w:i/&gt;&lt;/wam: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PC&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quot;on&quot;/&gt;&lt;m:ctrlPr&gt;&lt;w:rPr&gt;&lt;w:rFonts w:ascii=&quot;Cambria Math&quot; w:h-ansi=&quot;Cambria Math&quot;/&gt;&lt;wx:font wx:val=&quot;Cambria Math&quot;/&gt;&lt;w:i/&gt;&lt;/w:rPr&gt;&lt;/m:ctrlPr&gt;&lt;/m:naryPr&gt;&lt;m:sub&gt;&lt;m:r&gt;&lt;w:mrPtr&gt;&lt;&lt;w:rFonts a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PRDRG&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3" o:title="" chromakey="white"/>
          </v:shape>
        </w:pict>
      </w:r>
      <w:r w:rsidRPr="00864829">
        <w:instrText xml:space="preserve"> </w:instrText>
      </w:r>
      <w:r w:rsidRPr="00864829">
        <w:fldChar w:fldCharType="separate"/>
      </w:r>
      <w:r w:rsidR="002A25A4">
        <w:pict>
          <v:shape id="_x0000_i1056" type="#_x0000_t75" style="width:236.3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253E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9253E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os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 a?·+ &lt;/m:t&gt;&lt;/m:r&gt;&lt;m:nary&gt;&lt;m:naryPr&gt;&lt;m:chr m:val=&quot;a?‘&quot;/&gt;&lt;m:limLoc m:val=&quot;undOvr&quot;/&gt;&lt;m:supHide m:val=&quot;on&quot;/&gt;&lt;m:ctrlPr&gt;&lt;w:rPr&gt;&lt;w:rFonts w:ascii=&quot;Cambria Math&quot; w:h-ansi=&quot;Cambria Math&quot;/&gt;&lt;wx:font wx:val=&quot;Cambria Math&quot;/&gt;&lt;x:x:x:w:i/&gt;&lt;/wam: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PC&lt;/m:t&gt;&lt;/m:r&gt;&lt;/m:e&gt;&lt;m:sub&gt;&lt;m:r&gt;&lt;w:rPr&gt;&lt;w:rFonts w:ascii=&quot;Cambria Math&quot; w:h-ansi=&quot;Cambria Math&quot;/&gt;&lt;wx:font wx:val=&quot;Cambria Math&quot;/&gt;&lt;w:i/&gt;&lt;/w:rPr&gt;&lt;m:t&gt;ji&lt;/m:t&gt;&lt;/m:r&gt;&lt;/m:sub&gt;&lt;/m:sSub&gt;&lt;/m:e&gt;&lt;/m:nary&gt;&lt;m:r&gt;&lt;w:rPr&gt;&lt;w:rFonts w:ascii=&quot;Cambria Math&quot; w:h-ansi=&quot;Cambria Math&quot;/&gt;&lt;wx:font wx:val=&quot;Cambria Math&quot;/&gt;&lt;w:i/&gt;&lt;/w:rPr&gt;&lt;m:t&gt;+&lt;/m:t&gt;&lt;/m:r&gt;&lt;m:nary&gt;&lt;m:naryPr&gt;&lt;m:chr m:val=&quot;a?‘&quot;/&gt;&lt;m:limLoc m:val=&quot;undOvr&quot;/&gt;&lt;m:supHide m:val=&quot;on&quot;/&gt;&lt;m:ctrlPr&gt;&lt;w:rPr&gt;&lt;w:rFonts w:ascii=&quot;Cambria Math&quot; w:h-ansi=&quot;Cambria Math&quot;/&gt;&lt;wx:font wx:val=&quot;Cambria Math&quot;/&gt;&lt;w:i/&gt;&lt;/w:rPr&gt;&lt;/m:ctrlPr&gt;&lt;/m:naryPr&gt;&lt;m:sub&gt;&lt;m:r&gt;&lt;w:mrPtr&gt;&lt;&lt;w:rFonts a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PRDRG&lt;/m:t&gt;&lt;/m:r&gt;&lt;/m:e&gt;&lt;m:sub&gt;&lt;m:r&gt;&lt;w:rPr&gt;&lt;w:rFonts w:ascii=&quot;Cambria Math&quot; w:h-ansi=&quot;Cambria Math&quot;/&gt;&lt;wx:font wx:val=&quot;Cambria Math&quot;/&gt;&lt;w:i/&gt;&lt;/w:rPr&gt;&lt;m:t&gt;ki&lt;/m:t&gt;&lt;/m:r&gt;&lt;/m:sub&gt;&lt;/m:sSub&gt;&lt;/m:e&gt;&lt;/m:nary&gt;&lt;m:r&gt;&lt;w:rPr&gt;&lt;w:rFonts w:ascii=&quot;Cambria Math&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3" o:title="" chromakey="white"/>
          </v:shape>
        </w:pict>
      </w:r>
      <w:r w:rsidRPr="00864829">
        <w:fldChar w:fldCharType="end"/>
      </w:r>
      <w:r>
        <w:tab/>
      </w:r>
      <w:r>
        <w:tab/>
      </w:r>
      <w:r>
        <w:tab/>
      </w:r>
      <w:r>
        <w:tab/>
      </w:r>
      <w:r>
        <w:tab/>
      </w:r>
      <w:r>
        <w:tab/>
        <w:t>(1)</w:t>
      </w:r>
    </w:p>
    <w:p w:rsidR="007718C7" w:rsidRDefault="007718C7" w:rsidP="00B912D2">
      <w:r>
        <w:t xml:space="preserve">In this model, </w:t>
      </w:r>
      <w:r w:rsidRPr="00864829">
        <w:fldChar w:fldCharType="begin"/>
      </w:r>
      <w:r w:rsidRPr="00864829">
        <w:instrText xml:space="preserve"> QUOTE </w:instrText>
      </w:r>
      <w:r w:rsidR="002A25A4">
        <w:pict>
          <v:shape id="_x0000_i1057" type="#_x0000_t75" style="width:53.75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391&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3B5391&quot;&gt;&lt;m:oMathPara&gt;&lt;m:oMath&gt;&lt;m:nary&gt;&lt;m:naryPr&gt;&lt;m:chr m:val=&quot;a?‘&quot;/&gt;   &lt;m:limLo=c m:val=&quot;undOvr&quot;/&gt;&lt;m:supHide m:val=&quot;on&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PC&lt;/m:t&gt;&lt;/m:r&gt;&lt;/m:e&gt;&lt;m:sub&gt;&lt;m:r&gt;&lt;w:rPr&gt;&lt;w:rFonts w:ascii=&quot;Cambria Math&quot; w:h-ansi=&quot;Cambria Math&quot;/&gt;&lt;wx:font wx:val=&quot;Cambria Math&quot;/&gt;&lt;w:i/&gt;&lt;/w:rPr&gt;&lt;m:t&gt;ji&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Pr="00864829">
        <w:instrText xml:space="preserve"> </w:instrText>
      </w:r>
      <w:r w:rsidRPr="00864829">
        <w:fldChar w:fldCharType="separate"/>
      </w:r>
      <w:r w:rsidR="002A25A4">
        <w:pict>
          <v:shape id="_x0000_i1058" type="#_x0000_t75" style="width:53.75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391&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3B5391&quot;&gt;&lt;m:oMathPara&gt;&lt;m:oMath&gt;&lt;m:nary&gt;&lt;m:naryPr&gt;&lt;m:chr m:val=&quot;a?‘&quot;/&gt;   &lt;m:limLo=c m:val=&quot;undOvr&quot;/&gt;&lt;m:supHide m:val=&quot;on&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n&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2&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PC&lt;/m:t&gt;&lt;/m:r&gt;&lt;/m:e&gt;&lt;m:sub&gt;&lt;m:r&gt;&lt;w:rPr&gt;&lt;w:rFonts w:ascii=&quot;Cambria Math&quot; w:h-ansi=&quot;Cambria Math&quot;/&gt;&lt;wx:font wx:val=&quot;Cambria Math&quot;/&gt;&lt;w:i/&gt;&lt;/w:rPr&gt;&lt;m:t&gt;ji&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Pr="00864829">
        <w:fldChar w:fldCharType="end"/>
      </w:r>
      <w:r>
        <w:t xml:space="preserve"> represents a vector of 64 dummy variables for each of the PPC and their coefficients. </w:t>
      </w:r>
      <m:oMath>
        <m:sSub>
          <m:sSubPr>
            <m:ctrlPr>
              <w:rPr>
                <w:rFonts w:ascii="Cambria Math" w:hAnsi="Cambria Math"/>
                <w:i/>
              </w:rPr>
            </m:ctrlPr>
          </m:sSubPr>
          <m:e>
            <m:r>
              <w:rPr>
                <w:rFonts w:ascii="Cambria Math" w:hAnsi="Cambria Math"/>
              </w:rPr>
              <m:t>I2</m:t>
            </m:r>
          </m:e>
          <m:sub>
            <m:r>
              <w:rPr>
                <w:rFonts w:ascii="Cambria Math" w:hAnsi="Cambria Math"/>
              </w:rPr>
              <m:t>j</m:t>
            </m:r>
          </m:sub>
        </m:sSub>
      </m:oMath>
      <w:r>
        <w:t xml:space="preserve"> can be interpreted as the marginal increase in cost associated with the presence of complication </w:t>
      </w:r>
      <m:oMath>
        <m:sSub>
          <m:sSubPr>
            <m:ctrlPr>
              <w:rPr>
                <w:rFonts w:ascii="Cambria Math" w:hAnsi="Cambria Math"/>
                <w:i/>
              </w:rPr>
            </m:ctrlPr>
          </m:sSubPr>
          <m:e>
            <m:r>
              <w:rPr>
                <w:rFonts w:ascii="Cambria Math" w:hAnsi="Cambria Math"/>
              </w:rPr>
              <m:t>PPC</m:t>
            </m:r>
          </m:e>
          <m:sub>
            <m:r>
              <w:rPr>
                <w:rFonts w:ascii="Cambria Math" w:hAnsi="Cambria Math"/>
              </w:rPr>
              <m:t>j</m:t>
            </m:r>
          </m:sub>
        </m:sSub>
      </m:oMath>
      <w:r>
        <w:t xml:space="preserve">.  </w:t>
      </w:r>
      <w:r w:rsidRPr="00864829">
        <w:fldChar w:fldCharType="begin"/>
      </w:r>
      <w:r w:rsidRPr="00864829">
        <w:instrText xml:space="preserve"> QUOTE </w:instrText>
      </w:r>
      <w:r w:rsidR="002A25A4">
        <w:pict>
          <v:shape id="_x0000_i1059" type="#_x0000_t75" style="width:80.1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15AB9&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C15AB9&quot;&gt;&lt;m:oMathPara&gt;&lt;m:oMath&gt;&lt;m:nary&gt;&lt;m:naryPr&gt;&lt;m:chr m:val=&quot;a?‘&quot;/&gt;   &lt;m:limLo=c m:val=&quot;undOvr&quot;/&gt;&lt;m:supHide m:val=&quot;on&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PRDRG&lt;/m:t&gt;&lt;/m:r&gt;&lt;/m:e&gt;&lt;m:sub&gt;&lt;m:r&gt;&lt;w:rPr&gt;&lt;w:rFonts w:ascii=&quot;Cambria Math&quot; w:h-ansi=&quot;Cambria Math&quot;/&gt;&lt;wx:font wx:val=&quot;Cambria Math&quot;/&gt;&lt;w:i/&gt;&lt;/w:rPr&gt;&lt;m:t&gt;ki&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5" o:title="" chromakey="white"/>
          </v:shape>
        </w:pict>
      </w:r>
      <w:r w:rsidRPr="00864829">
        <w:instrText xml:space="preserve"> </w:instrText>
      </w:r>
      <w:r w:rsidRPr="00864829">
        <w:fldChar w:fldCharType="separate"/>
      </w:r>
      <w:r w:rsidR="002A25A4">
        <w:pict>
          <v:shape id="_x0000_i1060" type="#_x0000_t75" style="width:80.1pt;height:29.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HPA Standard&amp;lt;/Style&amp;gt;&amp;lt;LeftDelim&amp;gt;{&amp;lt;/LeftDelim&amp;gt;&amp;lt;RightDelim&amp;gt;}&amp;lt;/RightDelim&amp;gt;&amp;lt;FontName&amp;gt;Garamond&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92tftt5v2arxd6e9wzr50w2w0rz0epx099ft&amp;quot;&amp;gt;Hospital acquired diagnoses&amp;lt;record-ids&amp;gt;&amp;lt;item&amp;gt;3&amp;lt;/item&amp;gt;&amp;lt;item&amp;gt;8&amp;lt;/item&amp;gt;&amp;lt;item&amp;gt;9&amp;lt;/item&amp;gt;&amp;lt;item&amp;gt;11&amp;lt;/item&amp;gt;&amp;lt;item&amp;gt;12&amp;lt;/item&amp;gt;&amp;lt;item&amp;gt;13&amp;lt;/item&amp;gt;&amp;lt;item&amp;gt;14&amp;lt;/item&amp;gt;&amp;lt;item&amp;gt;16&amp;lt;/item&amp;gt;&amp;lt;item&amp;gt;20&amp;lt;/item&amp;gt;&amp;lt;item&amp;gt;29&amp;lt;/item&amp;gt;&amp;lt;item&amp;gt;31&amp;lt;/item&amp;gt;&amp;lt;item&amp;gt;34&amp;lt;/item&amp;gt;&amp;lt;item&amp;gt;40&amp;lt;/item&amp;gt;&amp;lt;item&amp;gt;48&amp;lt;/item&amp;gt;&amp;lt;item&amp;gt;49&amp;lt;/item&amp;gt;&amp;lt;item&amp;gt;72&amp;lt;/item&amp;gt;&amp;lt;item&amp;gt;78&amp;lt;/item&amp;gt;&amp;lt;item&amp;gt;82&amp;lt;/item&amp;gt;&amp;lt;item&amp;gt;83&amp;lt;/item&amp;gt;&amp;lt;item&amp;gt;88&amp;lt;/item&amp;gt;&amp;lt;item&amp;gt;91&amp;lt;/item&amp;gt;&amp;lt;item&amp;gt;96&amp;lt;/item&amp;gt;&amp;lt;item&amp;gt;104&amp;lt;/item&amp;gt;&amp;lt;item&amp;gt;105&amp;lt;/item&amp;gt;&amp;lt;item&amp;gt;106&amp;lt;/item&amp;gt;&amp;lt;item&amp;gt;111&amp;lt;/item&amp;gt;&amp;lt;item&amp;gt;117&amp;lt;/item&amp;gt;&amp;lt;item&amp;gt;118&amp;lt;/item&amp;gt;&amp;lt;/record-ids&amp;gt;&amp;lt;/item&amp;gt;&amp;lt;/Libraries&amp;gt;&quot;/&gt;&lt;/w:docVars&gt;&lt;wsp:rsids&gt;&lt;wsp:rsidRoot wsp:val=&quot;00542C4B&quot;/&gt;&lt;wsp:rsid wsp:val=&quot;000044F6&quot;/&gt;&lt;wsp:rsid wsp:val=&quot;00006A8A&quot;/&gt;&lt;wsp:rsid wsp:val=&quot;00007931&quot;/&gt;&lt;wsp:rsid wsp:val=&quot;0001466F&quot;/&gt;&lt;wsp:rsid wsp:val=&quot;00015C91&quot;/&gt;&lt;wsp:rsid wsp:val=&quot;000162E2&quot;/&gt;&lt;wsp:rsid wsp:val=&quot;00020095&quot;/&gt;&lt;wsp:rsid wsp:val=&quot;00021199&quot;/&gt;&lt;wsp:rsid wsp:val=&quot;0002164C&quot;/&gt;&lt;wsp:rsid wsp:val=&quot;00021968&quot;/&gt;&lt;wsp:rsid wsp:val=&quot;000219C3&quot;/&gt;&lt;wsp:rsid wsp:val=&quot;00030C74&quot;/&gt;&lt;wsp:rsid wsp:val=&quot;0003681F&quot;/&gt;&lt;wsp:rsid wsp:val=&quot;0004335C&quot;/&gt;&lt;wsp:rsid wsp:val=&quot;000434FB&quot;/&gt;&lt;wsp:rsid wsp:val=&quot;00044B57&quot;/&gt;&lt;wsp:rsid wsp:val=&quot;00045FFC&quot;/&gt;&lt;wsp:rsid wsp:val=&quot;000502E0&quot;/&gt;&lt;wsp:rsid wsp:val=&quot;00053212&quot;/&gt;&lt;wsp:rsid wsp:val=&quot;0006483B&quot;/&gt;&lt;wsp:rsid wsp:val=&quot;00064F54&quot;/&gt;&lt;wsp:rsid wsp:val=&quot;00065043&quot;/&gt;&lt;wsp:rsid wsp:val=&quot;00070AC4&quot;/&gt;&lt;wsp:rsid wsp:val=&quot;000734BD&quot;/&gt;&lt;wsp:rsid wsp:val=&quot;00073A01&quot;/&gt;&lt;wsp:rsid wsp:val=&quot;0008501D&quot;/&gt;&lt;wsp:rsid wsp:val=&quot;000902B8&quot;/&gt;&lt;wsp:rsid wsp:val=&quot;000A5F32&quot;/&gt;&lt;wsp:rsid wsp:val=&quot;000A7589&quot;/&gt;&lt;wsp:rsid wsp:val=&quot;000C4220&quot;/&gt;&lt;wsp:rsid wsp:val=&quot;000D2F2C&quot;/&gt;&lt;wsp:rsid wsp:val=&quot;000D405F&quot;/&gt;&lt;wsp:rsid wsp:val=&quot;000D497D&quot;/&gt;&lt;wsp:rsid wsp:val=&quot;000E0A38&quot;/&gt;&lt;wsp:rsid wsp:val=&quot;000E5789&quot;/&gt;&lt;wsp:rsid wsp:val=&quot;000E69EA&quot;/&gt;&lt;wsp:rsid wsp:val=&quot;000E69EE&quot;/&gt;&lt;wsp:rsid wsp:val=&quot;000F41CD&quot;/&gt;&lt;wsp:rsid wsp:val=&quot;000F77D6&quot;/&gt;&lt;wsp:rsid wsp:val=&quot;001008AF&quot;/&gt;&lt;wsp:rsid wsp:val=&quot;00100EE0&quot;/&gt;&lt;wsp:rsid wsp:val=&quot;001020E7&quot;/&gt;&lt;wsp:rsid wsp:val=&quot;00107FBB&quot;/&gt;&lt;wsp:rsid wsp:val=&quot;001101C3&quot;/&gt;&lt;wsp:rsid wsp:val=&quot;00116DD5&quot;/&gt;&lt;wsp:rsid wsp:val=&quot;00133365&quot;/&gt;&lt;wsp:rsid wsp:val=&quot;00142E42&quot;/&gt;&lt;wsp:rsid wsp:val=&quot;0014329F&quot;/&gt;&lt;wsp:rsid wsp:val=&quot;0016214D&quot;/&gt;&lt;wsp:rsid wsp:val=&quot;00166E8F&quot;/&gt;&lt;wsp:rsid wsp:val=&quot;00172DE8&quot;/&gt;&lt;wsp:rsid wsp:val=&quot;00173FD4&quot;/&gt;&lt;wsp:rsid wsp:val=&quot;001765FA&quot;/&gt;&lt;wsp:rsid wsp:val=&quot;00177566&quot;/&gt;&lt;wsp:rsid wsp:val=&quot;00183BBC&quot;/&gt;&lt;wsp:rsid wsp:val=&quot;001853C7&quot;/&gt;&lt;wsp:rsid wsp:val=&quot;00187443&quot;/&gt;&lt;wsp:rsid wsp:val=&quot;00192B73&quot;/&gt;&lt;wsp:rsid wsp:val=&quot;00193FAD&quot;/&gt;&lt;wsp:rsid wsp:val=&quot;001A0872&quot;/&gt;&lt;wsp:rsid wsp:val=&quot;001A2513&quot;/&gt;&lt;wsp:rsid wsp:val=&quot;001A6B66&quot;/&gt;&lt;wsp:rsid wsp:val=&quot;001B0AD6&quot;/&gt;&lt;wsp:rsid wsp:val=&quot;001B4D8C&quot;/&gt;&lt;wsp:rsid wsp:val=&quot;001C3093&quot;/&gt;&lt;wsp:rsid wsp:val=&quot;001C7922&quot;/&gt;&lt;wsp:rsid wsp:val=&quot;001E5251&quot;/&gt;&lt;wsp:rsid wsp:val=&quot;001E5956&quot;/&gt;&lt;wsp:rsid wsp:val=&quot;001F03A2&quot;/&gt;&lt;wsp:rsid wsp:val=&quot;001F0888&quot;/&gt;&lt;wsp:rsid wsp:val=&quot;001F150A&quot;/&gt;&lt;wsp:rsid wsp:val=&quot;001F68F5&quot;/&gt;&lt;wsp:rsid wsp:val=&quot;0020272A&quot;/&gt;&lt;wsp:rsid wsp:val=&quot;002047F0&quot;/&gt;&lt;wsp:rsid wsp:val=&quot;00206125&quot;/&gt;&lt;wsp:rsid wsp:val=&quot;00207757&quot;/&gt;&lt;wsp:rsid wsp:val=&quot;00223C66&quot;/&gt;&lt;wsp:rsid wsp:val=&quot;002313F3&quot;/&gt;&lt;wsp:rsid wsp:val=&quot;00235F6C&quot;/&gt;&lt;wsp:rsid wsp:val=&quot;00237CC0&quot;/&gt;&lt;wsp:rsid wsp:val=&quot;00283C65&quot;/&gt;&lt;wsp:rsid wsp:val=&quot;00285ED6&quot;/&gt;&lt;wsp:rsid wsp:val=&quot;002915D5&quot;/&gt;&lt;wsp:rsid wsp:val=&quot;00293CE9&quot;/&gt;&lt;wsp:rsid wsp:val=&quot;002B7005&quot;/&gt;&lt;wsp:rsid wsp:val=&quot;002D04B7&quot;/&gt;&lt;wsp:rsid wsp:val=&quot;002D7098&quot;/&gt;&lt;wsp:rsid wsp:val=&quot;002D7158&quot;/&gt;&lt;wsp:rsid wsp:val=&quot;002E3332&quot;/&gt;&lt;wsp:rsid wsp:val=&quot;002F3A25&quot;/&gt;&lt;wsp:rsid wsp:val=&quot;00300A5E&quot;/&gt;&lt;wsp:rsid wsp:val=&quot;00302D69&quot;/&gt;&lt;wsp:rsid wsp:val=&quot;00306EB8&quot;/&gt;&lt;wsp:rsid wsp:val=&quot;0032047B&quot;/&gt;&lt;wsp:rsid wsp:val=&quot;00331916&quot;/&gt;&lt;wsp:rsid wsp:val=&quot;003345F5&quot;/&gt;&lt;wsp:rsid wsp:val=&quot;00342A05&quot;/&gt;&lt;wsp:rsid wsp:val=&quot;003436E6&quot;/&gt;&lt;wsp:rsid wsp:val=&quot;00344DEC&quot;/&gt;&lt;wsp:rsid wsp:val=&quot;00347B9A&quot;/&gt;&lt;wsp:rsid wsp:val=&quot;00350035&quot;/&gt;&lt;wsp:rsid wsp:val=&quot;00352793&quot;/&gt;&lt;wsp:rsid wsp:val=&quot;00356D63&quot;/&gt;&lt;wsp:rsid wsp:val=&quot;00360360&quot;/&gt;&lt;wsp:rsid wsp:val=&quot;00366386&quot;/&gt;&lt;wsp:rsid wsp:val=&quot;00376DB9&quot;/&gt;&lt;wsp:rsid wsp:val=&quot;0037796F&quot;/&gt;&lt;wsp:rsid wsp:val=&quot;00381228&quot;/&gt;&lt;wsp:rsid wsp:val=&quot;00386D43&quot;/&gt;&lt;wsp:rsid wsp:val=&quot;003871F2&quot;/&gt;&lt;wsp:rsid wsp:val=&quot;00393C1A&quot;/&gt;&lt;wsp:rsid wsp:val=&quot;003968A2&quot;/&gt;&lt;wsp:rsid wsp:val=&quot;003A34B5&quot;/&gt;&lt;wsp:rsid wsp:val=&quot;003A7969&quot;/&gt;&lt;wsp:rsid wsp:val=&quot;003B5E8B&quot;/&gt;&lt;wsp:rsid wsp:val=&quot;003B6A98&quot;/&gt;&lt;wsp:rsid wsp:val=&quot;003B6E75&quot;/&gt;&lt;wsp:rsid wsp:val=&quot;003B74F6&quot;/&gt;&lt;wsp:rsid wsp:val=&quot;003C23C6&quot;/&gt;&lt;wsp:rsid wsp:val=&quot;003C253A&quot;/&gt;&lt;wsp:rsid wsp:val=&quot;003D5AB5&quot;/&gt;&lt;wsp:rsid wsp:val=&quot;003D63AE&quot;/&gt;&lt;wsp:rsid wsp:val=&quot;003E06FA&quot;/&gt;&lt;wsp:rsid wsp:val=&quot;003E768A&quot;/&gt;&lt;wsp:rsid wsp:val=&quot;003F105B&quot;/&gt;&lt;wsp:rsid wsp:val=&quot;003F138A&quot;/&gt;&lt;wsp:rsid wsp:val=&quot;004000BE&quot;/&gt;&lt;wsp:rsid wsp:val=&quot;004047B6&quot;/&gt;&lt;wsp:rsid wsp:val=&quot;0040506F&quot;/&gt;&lt;wsp:rsid wsp:val=&quot;00417343&quot;/&gt;&lt;wsp:rsid wsp:val=&quot;004222F6&quot;/&gt;&lt;wsp:rsid wsp:val=&quot;004232E0&quot;/&gt;&lt;wsp:rsid wsp:val=&quot;004273BC&quot;/&gt;&lt;wsp:rsid wsp:val=&quot;00431175&quot;/&gt;&lt;wsp:rsid wsp:val=&quot;0043396C&quot;/&gt;&lt;wsp:rsid wsp:val=&quot;00436CD7&quot;/&gt;&lt;wsp:rsid wsp:val=&quot;0044132A&quot;/&gt;&lt;wsp:rsid wsp:val=&quot;00444C46&quot;/&gt;&lt;wsp:rsid wsp:val=&quot;00445F55&quot;/&gt;&lt;wsp:rsid wsp:val=&quot;0044601E&quot;/&gt;&lt;wsp:rsid wsp:val=&quot;00450ABD&quot;/&gt;&lt;wsp:rsid wsp:val=&quot;00455960&quot;/&gt;&lt;wsp:rsid wsp:val=&quot;00465A8D&quot;/&gt;&lt;wsp:rsid wsp:val=&quot;00465C45&quot;/&gt;&lt;wsp:rsid wsp:val=&quot;00480718&quot;/&gt;&lt;wsp:rsid wsp:val=&quot;00481800&quot;/&gt;&lt;wsp:rsid wsp:val=&quot;00484358&quot;/&gt;&lt;wsp:rsid wsp:val=&quot;00493FA0&quot;/&gt;&lt;wsp:rsid wsp:val=&quot;004A04FA&quot;/&gt;&lt;wsp:rsid wsp:val=&quot;004A0C9B&quot;/&gt;&lt;wsp:rsid wsp:val=&quot;004A4C90&quot;/&gt;&lt;wsp:rsid wsp:val=&quot;004A5687&quot;/&gt;&lt;wsp:rsid wsp:val=&quot;004A7D1C&quot;/&gt;&lt;wsp:rsid wsp:val=&quot;004B3ABD&quot;/&gt;&lt;wsp:rsid wsp:val=&quot;004B69F3&quot;/&gt;&lt;wsp:rsid wsp:val=&quot;004C114F&quot;/&gt;&lt;wsp:rsid wsp:val=&quot;004C266E&quot;/&gt;&lt;wsp:rsid wsp:val=&quot;004C54EF&quot;/&gt;&lt;wsp:rsid wsp:val=&quot;004C6D74&quot;/&gt;&lt;wsp:rsid wsp:val=&quot;004D0A2A&quot;/&gt;&lt;wsp:rsid wsp:val=&quot;004D661C&quot;/&gt;&lt;wsp:rsid wsp:val=&quot;004E1E5B&quot;/&gt;&lt;wsp:rsid wsp:val=&quot;004E2BCE&quot;/&gt;&lt;wsp:rsid wsp:val=&quot;004E5573&quot;/&gt;&lt;wsp:rsid wsp:val=&quot;004E77BC&quot;/&gt;&lt;wsp:rsid wsp:val=&quot;004F159B&quot;/&gt;&lt;wsp:rsid wsp:val=&quot;004F1665&quot;/&gt;&lt;wsp:rsid wsp:val=&quot;004F1A3A&quot;/&gt;&lt;wsp:rsid wsp:val=&quot;004F5D35&quot;/&gt;&lt;wsp:rsid wsp:val=&quot;0050037D&quot;/&gt;&lt;wsp:rsid wsp:val=&quot;00500E27&quot;/&gt;&lt;wsp:rsid wsp:val=&quot;005027FD&quot;/&gt;&lt;wsp:rsid wsp:val=&quot;0050653B&quot;/&gt;&lt;wsp:rsid wsp:val=&quot;005107C0&quot;/&gt;&lt;wsp:rsid wsp:val=&quot;005216D5&quot;/&gt;&lt;wsp:rsid wsp:val=&quot;00522A97&quot;/&gt;&lt;wsp:rsid wsp:val=&quot;00523C95&quot;/&gt;&lt;wsp:rsid wsp:val=&quot;00524775&quot;/&gt;&lt;wsp:rsid wsp:val=&quot;005268A2&quot;/&gt;&lt;wsp:rsid wsp:val=&quot;005317E9&quot;/&gt;&lt;wsp:rsid wsp:val=&quot;005332F3&quot;/&gt;&lt;wsp:rsid wsp:val=&quot;00542C4B&quot;/&gt;&lt;wsp:rsid wsp:val=&quot;00545AC6&quot;/&gt;&lt;wsp:rsid wsp:val=&quot;0054785B&quot;/&gt;&lt;wsp:rsid wsp:val=&quot;005515D5&quot;/&gt;&lt;wsp:rsid wsp:val=&quot;00551754&quot;/&gt;&lt;wsp:rsid wsp:val=&quot;00552913&quot;/&gt;&lt;wsp:rsid wsp:val=&quot;00556630&quot;/&gt;&lt;wsp:rsid wsp:val=&quot;005669AF&quot;/&gt;&lt;wsp:rsid wsp:val=&quot;00572EB0&quot;/&gt;&lt;wsp:rsid wsp:val=&quot;00573BB8&quot;/&gt;&lt;wsp:rsid wsp:val=&quot;005747C5&quot;/&gt;&lt;wsp:rsid wsp:val=&quot;005819D6&quot;/&gt;&lt;wsp:rsid wsp:val=&quot;00587ADD&quot;/&gt;&lt;wsp:rsid wsp:val=&quot;005923EE&quot;/&gt;&lt;wsp:rsid wsp:val=&quot;00592410&quot;/&gt;&lt;wsp:rsid wsp:val=&quot;00592CCC&quot;/&gt;&lt;wsp:rsid wsp:val=&quot;00593E10&quot;/&gt;&lt;wsp:rsid wsp:val=&quot;0059569A&quot;/&gt;&lt;wsp:rsid wsp:val=&quot;005A63C0&quot;/&gt;&lt;wsp:rsid wsp:val=&quot;005A6A1F&quot;/&gt;&lt;wsp:rsid wsp:val=&quot;005B2BC6&quot;/&gt;&lt;wsp:rsid wsp:val=&quot;005B6CCA&quot;/&gt;&lt;wsp:rsid wsp:val=&quot;005C101B&quot;/&gt;&lt;wsp:rsid wsp:val=&quot;005C280D&quot;/&gt;&lt;wsp:rsid wsp:val=&quot;005C3FCD&quot;/&gt;&lt;wsp:rsid wsp:val=&quot;005C40F8&quot;/&gt;&lt;wsp:rsid wsp:val=&quot;005C69CC&quot;/&gt;&lt;wsp:rsid wsp:val=&quot;005D44E2&quot;/&gt;&lt;wsp:rsid wsp:val=&quot;005D4EE3&quot;/&gt;&lt;wsp:rsid wsp:val=&quot;005D5CA6&quot;/&gt;&lt;wsp:rsid wsp:val=&quot;005E59B4&quot;/&gt;&lt;wsp:rsid wsp:val=&quot;005F12C7&quot;/&gt;&lt;wsp:rsid wsp:val=&quot;005F63D9&quot;/&gt;&lt;wsp:rsid wsp:val=&quot;00601948&quot;/&gt;&lt;wsp:rsid wsp:val=&quot;00602785&quot;/&gt;&lt;wsp:rsid wsp:val=&quot;00602A2F&quot;/&gt;&lt;wsp:rsid wsp:val=&quot;0060342F&quot;/&gt;&lt;wsp:rsid wsp:val=&quot;006066CD&quot;/&gt;&lt;wsp:rsid wsp:val=&quot;00607C0D&quot;/&gt;&lt;wsp:rsid wsp:val=&quot;00615BC2&quot;/&gt;&lt;wsp:rsid wsp:val=&quot;00617540&quot;/&gt;&lt;wsp:rsid wsp:val=&quot;00620E73&quot;/&gt;&lt;wsp:rsid wsp:val=&quot;00631973&quot;/&gt;&lt;wsp:rsid wsp:val=&quot;00641EF2&quot;/&gt;&lt;wsp:rsid wsp:val=&quot;006434EE&quot;/&gt;&lt;wsp:rsid wsp:val=&quot;00655E1A&quot;/&gt;&lt;wsp:rsid wsp:val=&quot;00655F18&quot;/&gt;&lt;wsp:rsid wsp:val=&quot;006611F8&quot;/&gt;&lt;wsp:rsid wsp:val=&quot;00661F8C&quot;/&gt;&lt;wsp:rsid wsp:val=&quot;00663593&quot;/&gt;&lt;wsp:rsid wsp:val=&quot;00670EAA&quot;/&gt;&lt;wsp:rsid wsp:val=&quot;00671605&quot;/&gt;&lt;wsp:rsid wsp:val=&quot;00684921&quot;/&gt;&lt;wsp:rsid wsp:val=&quot;00685199&quot;/&gt;&lt;wsp:rsid wsp:val=&quot;00686E4D&quot;/&gt;&lt;wsp:rsid wsp:val=&quot;00690510&quot;/&gt;&lt;wsp:rsid wsp:val=&quot;006919DD&quot;/&gt;&lt;wsp:rsid wsp:val=&quot;00695934&quot;/&gt;&lt;wsp:rsid wsp:val=&quot;00697F23&quot;/&gt;&lt;wsp:rsid wsp:val=&quot;006A1606&quot;/&gt;&lt;wsp:rsid wsp:val=&quot;006A2F00&quot;/&gt;&lt;wsp:rsid wsp:val=&quot;006A3271&quot;/&gt;&lt;wsp:rsid wsp:val=&quot;006A46C9&quot;/&gt;&lt;wsp:rsid wsp:val=&quot;006A4D52&quot;/&gt;&lt;wsp:rsid wsp:val=&quot;006A6326&quot;/&gt;&lt;wsp:rsid wsp:val=&quot;006B1C7B&quot;/&gt;&lt;wsp:rsid wsp:val=&quot;006B4CE4&quot;/&gt;&lt;wsp:rsid wsp:val=&quot;006B7179&quot;/&gt;&lt;wsp:rsid wsp:val=&quot;006D2745&quot;/&gt;&lt;wsp:rsid wsp:val=&quot;006D3065&quot;/&gt;&lt;wsp:rsid wsp:val=&quot;006E2A56&quot;/&gt;&lt;wsp:rsid wsp:val=&quot;006F0CAA&quot;/&gt;&lt;wsp:rsid wsp:val=&quot;006F0DDD&quot;/&gt;&lt;wsp:rsid wsp:val=&quot;006F19CE&quot;/&gt;&lt;wsp:rsid wsp:val=&quot;006F3E4E&quot;/&gt;&lt;wsp:rsid wsp:val=&quot;006F4275&quot;/&gt;&lt;wsp:rsid wsp:val=&quot;006F6A2F&quot;/&gt;&lt;wsp:rsid wsp:val=&quot;006F6C74&quot;/&gt;&lt;wsp:rsid wsp:val=&quot;00700E77&quot;/&gt;&lt;wsp:rsid wsp:val=&quot;00702569&quot;/&gt;&lt;wsp:rsid wsp:val=&quot;0070470D&quot;/&gt;&lt;wsp:rsid wsp:val=&quot;00704FC5&quot;/&gt;&lt;wsp:rsid wsp:val=&quot;00705FE6&quot;/&gt;&lt;wsp:rsid wsp:val=&quot;0071076D&quot;/&gt;&lt;wsp:rsid wsp:val=&quot;00710D8A&quot;/&gt;&lt;wsp:rsid wsp:val=&quot;00712B7A&quot;/&gt;&lt;wsp:rsid wsp:val=&quot;007133F3&quot;/&gt;&lt;wsp:rsid wsp:val=&quot;0072259F&quot;/&gt;&lt;wsp:rsid wsp:val=&quot;00727A88&quot;/&gt;&lt;wsp:rsid wsp:val=&quot;00735AC3&quot;/&gt;&lt;wsp:rsid wsp:val=&quot;007421AC&quot;/&gt;&lt;wsp:rsid wsp:val=&quot;007436AB&quot;/&gt;&lt;wsp:rsid wsp:val=&quot;00743C46&quot;/&gt;&lt;wsp:rsid wsp:val=&quot;0074457D&quot;/&gt;&lt;wsp:rsid wsp:val=&quot;0074655C&quot;/&gt;&lt;wsp:rsid wsp:val=&quot;00752389&quot;/&gt;&lt;wsp:rsid wsp:val=&quot;007612AC&quot;/&gt;&lt;wsp:rsid wsp:val=&quot;0077376A&quot;/&gt;&lt;wsp:rsid wsp:val=&quot;00774799&quot;/&gt;&lt;wsp:rsid wsp:val=&quot;00775B8D&quot;/&gt;&lt;wsp:rsid wsp:val=&quot;007764ED&quot;/&gt;&lt;wsp:rsid wsp:val=&quot;00780CCC&quot;/&gt;&lt;wsp:rsid wsp:val=&quot;00787A82&quot;/&gt;&lt;wsp:rsid wsp:val=&quot;00787C7E&quot;/&gt;&lt;wsp:rsid wsp:val=&quot;00790734&quot;/&gt;&lt;wsp:rsid wsp:val=&quot;00794D78&quot;/&gt;&lt;wsp:rsid wsp:val=&quot;00794F93&quot;/&gt;&lt;wsp:rsid wsp:val=&quot;007A5579&quot;/&gt;&lt;wsp:rsid wsp:val=&quot;007B00E4&quot;/&gt;&lt;wsp:rsid wsp:val=&quot;007B0A96&quot;/&gt;&lt;wsp:rsid wsp:val=&quot;007C1A83&quot;/&gt;&lt;wsp:rsid wsp:val=&quot;007C2096&quot;/&gt;&lt;wsp:rsid wsp:val=&quot;007C6256&quot;/&gt;&lt;wsp:rsid wsp:val=&quot;007C7E99&quot;/&gt;&lt;wsp:rsid wsp:val=&quot;007D661A&quot;/&gt;&lt;wsp:rsid wsp:val=&quot;007E07F7&quot;/&gt;&lt;wsp:rsid wsp:val=&quot;007E4B32&quot;/&gt;&lt;wsp:rsid wsp:val=&quot;007F35A2&quot;/&gt;&lt;wsp:rsid wsp:val=&quot;007F4444&quot;/&gt;&lt;wsp:rsid wsp:val=&quot;007F53CB&quot;/&gt;&lt;wsp:rsid wsp:val=&quot;007F6520&quot;/&gt;&lt;wsp:rsid wsp:val=&quot;007F776F&quot;/&gt;&lt;wsp:rsid wsp:val=&quot;00801610&quot;/&gt;&lt;wsp:rsid wsp:val=&quot;00804460&quot;/&gt;&lt;wsp:rsid wsp:val=&quot;00806468&quot;/&gt;&lt;wsp:rsid wsp:val=&quot;0081105E&quot;/&gt;&lt;wsp:rsid wsp:val=&quot;00824D95&quot;/&gt;&lt;wsp:rsid wsp:val=&quot;0083092D&quot;/&gt;&lt;wsp:rsid wsp:val=&quot;00831E02&quot;/&gt;&lt;wsp:rsid wsp:val=&quot;00834D77&quot;/&gt;&lt;wsp:rsid wsp:val=&quot;0084375F&quot;/&gt;&lt;wsp:rsid wsp:val=&quot;00850280&quot;/&gt;&lt;wsp:rsid wsp:val=&quot;008511D5&quot;/&gt;&lt;wsp:rsid wsp:val=&quot;00853342&quot;/&gt;&lt;wsp:rsid wsp:val=&quot;0085545D&quot;/&gt;&lt;wsp:rsid wsp:val=&quot;00855D95&quot;/&gt;&lt;wsp:rsid wsp:val=&quot;0085630C&quot;/&gt;&lt;wsp:rsid wsp:val=&quot;008570D3&quot;/&gt;&lt;wsp:rsid wsp:val=&quot;00862859&quot;/&gt;&lt;wsp:rsid wsp:val=&quot;00864829&quot;/&gt;&lt;wsp:rsid wsp:val=&quot;0086760B&quot;/&gt;&lt;wsp:rsid wsp:val=&quot;0087051E&quot;/&gt;&lt;wsp:rsid wsp:val=&quot;00881A5A&quot;/&gt;&lt;wsp:rsid wsp:val=&quot;00884ABD&quot;/&gt;&lt;wsp:rsid wsp:val=&quot;00887AFF&quot;/&gt;&lt;wsp:rsid wsp:val=&quot;00895DF8&quot;/&gt;&lt;wsp:rsid wsp:val=&quot;008A10F3&quot;/&gt;&lt;wsp:rsid wsp:val=&quot;008A13F5&quot;/&gt;&lt;wsp:rsid wsp:val=&quot;008A489D&quot;/&gt;&lt;wsp:rsid wsp:val=&quot;008A4CEF&quot;/&gt;&lt;wsp:rsid wsp:val=&quot;008B006B&quot;/&gt;&lt;wsp:rsid wsp:val=&quot;008B0747&quot;/&gt;&lt;wsp:rsid wsp:val=&quot;008B1022&quot;/&gt;&lt;wsp:rsid wsp:val=&quot;008B1933&quot;/&gt;&lt;wsp:rsid wsp:val=&quot;008B2AEA&quot;/&gt;&lt;wsp:rsid wsp:val=&quot;008B33F1&quot;/&gt;&lt;wsp:rsid wsp:val=&quot;008B721C&quot;/&gt;&lt;wsp:rsid wsp:val=&quot;008C0C70&quot;/&gt;&lt;wsp:rsid wsp:val=&quot;008C2BDE&quot;/&gt;&lt;wsp:rsid wsp:val=&quot;008C4704&quot;/&gt;&lt;wsp:rsid wsp:val=&quot;008D01A8&quot;/&gt;&lt;wsp:rsid wsp:val=&quot;008D1138&quot;/&gt;&lt;wsp:rsid wsp:val=&quot;008D1B93&quot;/&gt;&lt;wsp:rsid wsp:val=&quot;008D3BBD&quot;/&gt;&lt;wsp:rsid wsp:val=&quot;008E147B&quot;/&gt;&lt;wsp:rsid wsp:val=&quot;008E2D65&quot;/&gt;&lt;wsp:rsid wsp:val=&quot;008E56D8&quot;/&gt;&lt;wsp:rsid wsp:val=&quot;008E624E&quot;/&gt;&lt;wsp:rsid wsp:val=&quot;008F037D&quot;/&gt;&lt;wsp:rsid wsp:val=&quot;008F5BEC&quot;/&gt;&lt;wsp:rsid wsp:val=&quot;008F5F27&quot;/&gt;&lt;wsp:rsid wsp:val=&quot;00903584&quot;/&gt;&lt;wsp:rsid wsp:val=&quot;00904D82&quot;/&gt;&lt;wsp:rsid wsp:val=&quot;00911330&quot;/&gt;&lt;wsp:rsid wsp:val=&quot;00915342&quot;/&gt;&lt;wsp:rsid wsp:val=&quot;009208EB&quot;/&gt;&lt;wsp:rsid wsp:val=&quot;00921189&quot;/&gt;&lt;wsp:rsid wsp:val=&quot;00921668&quot;/&gt;&lt;wsp:rsid wsp:val=&quot;009236A9&quot;/&gt;&lt;wsp:rsid wsp:val=&quot;009244D5&quot;/&gt;&lt;wsp:rsid wsp:val=&quot;00924955&quot;/&gt;&lt;wsp:rsid wsp:val=&quot;009328CE&quot;/&gt;&lt;wsp:rsid wsp:val=&quot;00935D4E&quot;/&gt;&lt;wsp:rsid wsp:val=&quot;00936FE3&quot;/&gt;&lt;wsp:rsid wsp:val=&quot;00943410&quot;/&gt;&lt;wsp:rsid wsp:val=&quot;00944768&quot;/&gt;&lt;wsp:rsid wsp:val=&quot;00946D18&quot;/&gt;&lt;wsp:rsid wsp:val=&quot;00952213&quot;/&gt;&lt;wsp:rsid wsp:val=&quot;009551C7&quot;/&gt;&lt;wsp:rsid wsp:val=&quot;00963368&quot;/&gt;&lt;wsp:rsid wsp:val=&quot;009639F3&quot;/&gt;&lt;wsp:rsid wsp:val=&quot;0096762B&quot;/&gt;&lt;wsp:rsid wsp:val=&quot;00974A05&quot;/&gt;&lt;wsp:rsid wsp:val=&quot;00994FF4&quot;/&gt;&lt;wsp:rsid wsp:val=&quot;0099505B&quot;/&gt;&lt;wsp:rsid wsp:val=&quot;0099528A&quot;/&gt;&lt;wsp:rsid wsp:val=&quot;009A125C&quot;/&gt;&lt;wsp:rsid wsp:val=&quot;009B2132&quot;/&gt;&lt;wsp:rsid wsp:val=&quot;009B5C83&quot;/&gt;&lt;wsp:rsid wsp:val=&quot;009B65FE&quot;/&gt;&lt;wsp:rsid wsp:val=&quot;009B6A09&quot;/&gt;&lt;wsp:rsid wsp:val=&quot;009C082D&quot;/&gt;&lt;wsp:rsid wsp:val=&quot;009C1110&quot;/&gt;&lt;wsp:rsid wsp:val=&quot;009C1515&quot;/&gt;&lt;wsp:rsid wsp:val=&quot;009C1EB8&quot;/&gt;&lt;wsp:rsid wsp:val=&quot;009D3FBD&quot;/&gt;&lt;wsp:rsid wsp:val=&quot;009E2AA4&quot;/&gt;&lt;wsp:rsid wsp:val=&quot;009E7570&quot;/&gt;&lt;wsp:rsid wsp:val=&quot;00A04F1D&quot;/&gt;&lt;wsp:rsid wsp:val=&quot;00A059AC&quot;/&gt;&lt;wsp:rsid wsp:val=&quot;00A07082&quot;/&gt;&lt;wsp:rsid wsp:val=&quot;00A10197&quot;/&gt;&lt;wsp:rsid wsp:val=&quot;00A14428&quot;/&gt;&lt;wsp:rsid wsp:val=&quot;00A222CA&quot;/&gt;&lt;wsp:rsid wsp:val=&quot;00A32CAD&quot;/&gt;&lt;wsp:rsid wsp:val=&quot;00A3655A&quot;/&gt;&lt;wsp:rsid wsp:val=&quot;00A4332C&quot;/&gt;&lt;wsp:rsid wsp:val=&quot;00A435C8&quot;/&gt;&lt;wsp:rsid wsp:val=&quot;00A4468D&quot;/&gt;&lt;wsp:rsid wsp:val=&quot;00A45B5F&quot;/&gt;&lt;wsp:rsid wsp:val=&quot;00A51729&quot;/&gt;&lt;wsp:rsid wsp:val=&quot;00A65A97&quot;/&gt;&lt;wsp:rsid wsp:val=&quot;00A70AF8&quot;/&gt;&lt;wsp:rsid wsp:val=&quot;00A719B6&quot;/&gt;&lt;wsp:rsid wsp:val=&quot;00A72712&quot;/&gt;&lt;wsp:rsid wsp:val=&quot;00A72922&quot;/&gt;&lt;wsp:rsid wsp:val=&quot;00A75DDD&quot;/&gt;&lt;wsp:rsid wsp:val=&quot;00A86E9C&quot;/&gt;&lt;wsp:rsid wsp:val=&quot;00A93387&quot;/&gt;&lt;wsp:rsid wsp:val=&quot;00A93B6C&quot;/&gt;&lt;wsp:rsid wsp:val=&quot;00A94DE6&quot;/&gt;&lt;wsp:rsid wsp:val=&quot;00A97602&quot;/&gt;&lt;wsp:rsid wsp:val=&quot;00AA0CA1&quot;/&gt;&lt;wsp:rsid wsp:val=&quot;00AA4C89&quot;/&gt;&lt;wsp:rsid wsp:val=&quot;00AC40B7&quot;/&gt;&lt;wsp:rsid wsp:val=&quot;00AD00B7&quot;/&gt;&lt;wsp:rsid wsp:val=&quot;00AE02A4&quot;/&gt;&lt;wsp:rsid wsp:val=&quot;00AE09F5&quot;/&gt;&lt;wsp:rsid wsp:val=&quot;00AF1C31&quot;/&gt;&lt;wsp:rsid wsp:val=&quot;00AF311C&quot;/&gt;&lt;wsp:rsid wsp:val=&quot;00AF5626&quot;/&gt;&lt;wsp:rsid wsp:val=&quot;00AF7E79&quot;/&gt;&lt;wsp:rsid wsp:val=&quot;00B0203D&quot;/&gt;&lt;wsp:rsid wsp:val=&quot;00B052A3&quot;/&gt;&lt;wsp:rsid wsp:val=&quot;00B0797C&quot;/&gt;&lt;wsp:rsid wsp:val=&quot;00B1014F&quot;/&gt;&lt;wsp:rsid wsp:val=&quot;00B11D48&quot;/&gt;&lt;wsp:rsid wsp:val=&quot;00B16072&quot;/&gt;&lt;wsp:rsid wsp:val=&quot;00B20BFB&quot;/&gt;&lt;wsp:rsid wsp:val=&quot;00B22EF8&quot;/&gt;&lt;wsp:rsid wsp:val=&quot;00B22F38&quot;/&gt;&lt;wsp:rsid wsp:val=&quot;00B25903&quot;/&gt;&lt;wsp:rsid wsp:val=&quot;00B27E49&quot;/&gt;&lt;wsp:rsid wsp:val=&quot;00B36646&quot;/&gt;&lt;wsp:rsid wsp:val=&quot;00B41831&quot;/&gt;&lt;wsp:rsid wsp:val=&quot;00B50AD1&quot;/&gt;&lt;wsp:rsid wsp:val=&quot;00B51CF7&quot;/&gt;&lt;wsp:rsid wsp:val=&quot;00B51F28&quot;/&gt;&lt;wsp:rsid wsp:val=&quot;00B6043C&quot;/&gt;&lt;wsp:rsid wsp:val=&quot;00B61A04&quot;/&gt;&lt;wsp:rsid wsp:val=&quot;00B6747A&quot;/&gt;&lt;wsp:rsid wsp:val=&quot;00B75BD7&quot;/&gt;&lt;wsp:rsid wsp:val=&quot;00B83F64&quot;/&gt;&lt;wsp:rsid wsp:val=&quot;00B846C0&quot;/&gt;&lt;wsp:rsid wsp:val=&quot;00B940DE&quot;/&gt;&lt;wsp:rsid wsp:val=&quot;00BB098C&quot;/&gt;&lt;wsp:rsid wsp:val=&quot;00BC2487&quot;/&gt;&lt;wsp:rsid wsp:val=&quot;00BC3E73&quot;/&gt;&lt;wsp:rsid wsp:val=&quot;00BD4506&quot;/&gt;&lt;wsp:rsid wsp:val=&quot;00BD5337&quot;/&gt;&lt;wsp:rsid wsp:val=&quot;00BD6487&quot;/&gt;&lt;wsp:rsid wsp:val=&quot;00BD68BB&quot;/&gt;&lt;wsp:rsid wsp:val=&quot;00BD7384&quot;/&gt;&lt;wsp:rsid wsp:val=&quot;00BE63B4&quot;/&gt;&lt;wsp:rsid wsp:val=&quot;00BE7275&quot;/&gt;&lt;wsp:rsid wsp:val=&quot;00BE78B6&quot;/&gt;&lt;wsp:rsid wsp:val=&quot;00BF1022&quot;/&gt;&lt;wsp:rsid wsp:val=&quot;00BF7DD0&quot;/&gt;&lt;wsp:rsid wsp:val=&quot;00C00223&quot;/&gt;&lt;wsp:rsid wsp:val=&quot;00C015E8&quot;/&gt;&lt;wsp:rsid wsp:val=&quot;00C02536&quot;/&gt;&lt;wsp:rsid wsp:val=&quot;00C04510&quot;/&gt;&lt;wsp:rsid wsp:val=&quot;00C143FF&quot;/&gt;&lt;wsp:rsid wsp:val=&quot;00C15AB9&quot;/&gt;&lt;wsp:rsid wsp:val=&quot;00C20318&quot;/&gt;&lt;wsp:rsid wsp:val=&quot;00C24297&quot;/&gt;&lt;wsp:rsid wsp:val=&quot;00C347A5&quot;/&gt;&lt;wsp:rsid wsp:val=&quot;00C3500D&quot;/&gt;&lt;wsp:rsid wsp:val=&quot;00C450E6&quot;/&gt;&lt;wsp:rsid wsp:val=&quot;00C46B9E&quot;/&gt;&lt;wsp:rsid wsp:val=&quot;00C504A5&quot;/&gt;&lt;wsp:rsid wsp:val=&quot;00C52848&quot;/&gt;&lt;wsp:rsid wsp:val=&quot;00C5416F&quot;/&gt;&lt;wsp:rsid wsp:val=&quot;00C57823&quot;/&gt;&lt;wsp:rsid wsp:val=&quot;00C60D1F&quot;/&gt;&lt;wsp:rsid wsp:val=&quot;00C67E3D&quot;/&gt;&lt;wsp:rsid wsp:val=&quot;00C70FA3&quot;/&gt;&lt;wsp:rsid wsp:val=&quot;00C741D5&quot;/&gt;&lt;wsp:rsid wsp:val=&quot;00C74D51&quot;/&gt;&lt;wsp:rsid wsp:val=&quot;00C75EB0&quot;/&gt;&lt;wsp:rsid wsp:val=&quot;00C82167&quot;/&gt;&lt;wsp:rsid wsp:val=&quot;00C8292F&quot;/&gt;&lt;wsp:rsid wsp:val=&quot;00C87057&quot;/&gt;&lt;wsp:rsid wsp:val=&quot;00C873A8&quot;/&gt;&lt;wsp:rsid wsp:val=&quot;00C90D49&quot;/&gt;&lt;wsp:rsid wsp:val=&quot;00C9170D&quot;/&gt;&lt;wsp:rsid wsp:val=&quot;00C977BA&quot;/&gt;&lt;wsp:rsid wsp:val=&quot;00CA3F90&quot;/&gt;&lt;wsp:rsid wsp:val=&quot;00CB18AA&quot;/&gt;&lt;wsp:rsid wsp:val=&quot;00CB1A5E&quot;/&gt;&lt;wsp:rsid wsp:val=&quot;00CB764C&quot;/&gt;&lt;wsp:rsid wsp:val=&quot;00CC7901&quot;/&gt;&lt;wsp:rsid wsp:val=&quot;00CD3259&quot;/&gt;&lt;wsp:rsid wsp:val=&quot;00CD45A3&quot;/&gt;&lt;wsp:rsid wsp:val=&quot;00CE0027&quot;/&gt;&lt;wsp:rsid wsp:val=&quot;00CE0179&quot;/&gt;&lt;wsp:rsid wsp:val=&quot;00CE3F69&quot;/&gt;&lt;wsp:rsid wsp:val=&quot;00CE765E&quot;/&gt;&lt;wsp:rsid wsp:val=&quot;00CF41EC&quot;/&gt;&lt;wsp:rsid wsp:val=&quot;00CF5C9C&quot;/&gt;&lt;wsp:rsid wsp:val=&quot;00CF7FB2&quot;/&gt;&lt;wsp:rsid wsp:val=&quot;00D128F2&quot;/&gt;&lt;wsp:rsid wsp:val=&quot;00D16A01&quot;/&gt;&lt;wsp:rsid wsp:val=&quot;00D207EA&quot;/&gt;&lt;wsp:rsid wsp:val=&quot;00D22A61&quot;/&gt;&lt;wsp:rsid wsp:val=&quot;00D25A14&quot;/&gt;&lt;wsp:rsid wsp:val=&quot;00D261E7&quot;/&gt;&lt;wsp:rsid wsp:val=&quot;00D3006B&quot;/&gt;&lt;wsp:rsid wsp:val=&quot;00D3240A&quot;/&gt;&lt;wsp:rsid wsp:val=&quot;00D404D8&quot;/&gt;&lt;wsp:rsid wsp:val=&quot;00D55F07&quot;/&gt;&lt;wsp:rsid wsp:val=&quot;00D5721B&quot;/&gt;&lt;wsp:rsid wsp:val=&quot;00D626F4&quot;/&gt;&lt;wsp:rsid wsp:val=&quot;00D65643&quot;/&gt;&lt;wsp:rsid wsp:val=&quot;00D70752&quot;/&gt;&lt;wsp:rsid wsp:val=&quot;00D7742E&quot;/&gt;&lt;wsp:rsid wsp:val=&quot;00D801C2&quot;/&gt;&lt;wsp:rsid wsp:val=&quot;00D82F3F&quot;/&gt;&lt;wsp:rsid wsp:val=&quot;00D94529&quot;/&gt;&lt;wsp:rsid wsp:val=&quot;00D95CEC&quot;/&gt;&lt;wsp:rsid wsp:val=&quot;00DA0C8B&quot;/&gt;&lt;wsp:rsid wsp:val=&quot;00DA483F&quot;/&gt;&lt;wsp:rsid wsp:val=&quot;00DA6F9F&quot;/&gt;&lt;wsp:rsid wsp:val=&quot;00DC0EBF&quot;/&gt;&lt;wsp:rsid wsp:val=&quot;00DC39C3&quot;/&gt;&lt;wsp:rsid wsp:val=&quot;00DD3675&quot;/&gt;&lt;wsp:rsid wsp:val=&quot;00DD4F2B&quot;/&gt;&lt;wsp:rsid wsp:val=&quot;00DD6518&quot;/&gt;&lt;wsp:rsid wsp:val=&quot;00DD7B16&quot;/&gt;&lt;wsp:rsid wsp:val=&quot;00DE463C&quot;/&gt;&lt;wsp:rsid wsp:val=&quot;00DE620A&quot;/&gt;&lt;wsp:rsid wsp:val=&quot;00DF150C&quot;/&gt;&lt;wsp:rsid wsp:val=&quot;00DF3C93&quot;/&gt;&lt;wsp:rsid wsp:val=&quot;00DF7E70&quot;/&gt;&lt;wsp:rsid wsp:val=&quot;00E056E5&quot;/&gt;&lt;wsp:rsid wsp:val=&quot;00E063B2&quot;/&gt;&lt;wsp:rsid wsp:val=&quot;00E12187&quot;/&gt;&lt;wsp:rsid wsp:val=&quot;00E153E8&quot;/&gt;&lt;wsp:rsid wsp:val=&quot;00E156FF&quot;/&gt;&lt;wsp:rsid wsp:val=&quot;00E21509&quot;/&gt;&lt;wsp:rsid wsp:val=&quot;00E252B3&quot;/&gt;&lt;wsp:rsid wsp:val=&quot;00E4338A&quot;/&gt;&lt;wsp:rsid wsp:val=&quot;00E4442C&quot;/&gt;&lt;wsp:rsid wsp:val=&quot;00E468DA&quot;/&gt;&lt;wsp:rsid wsp:val=&quot;00E4759B&quot;/&gt;&lt;wsp:rsid wsp:val=&quot;00E55035&quot;/&gt;&lt;wsp:rsid wsp:val=&quot;00E5676C&quot;/&gt;&lt;wsp:rsid wsp:val=&quot;00E6023B&quot;/&gt;&lt;wsp:rsid wsp:val=&quot;00E60449&quot;/&gt;&lt;wsp:rsid wsp:val=&quot;00E60963&quot;/&gt;&lt;wsp:rsid wsp:val=&quot;00E612AA&quot;/&gt;&lt;wsp:rsid wsp:val=&quot;00E64502&quot;/&gt;&lt;wsp:rsid wsp:val=&quot;00E67366&quot;/&gt;&lt;wsp:rsid wsp:val=&quot;00E76DC9&quot;/&gt;&lt;wsp:rsid wsp:val=&quot;00E81ED5&quot;/&gt;&lt;wsp:rsid wsp:val=&quot;00E833A2&quot;/&gt;&lt;wsp:rsid wsp:val=&quot;00E83D50&quot;/&gt;&lt;wsp:rsid wsp:val=&quot;00E91801&quot;/&gt;&lt;wsp:rsid wsp:val=&quot;00E947F5&quot;/&gt;&lt;wsp:rsid wsp:val=&quot;00E96C3E&quot;/&gt;&lt;wsp:rsid wsp:val=&quot;00E97A3A&quot;/&gt;&lt;wsp:rsid wsp:val=&quot;00EB2AAB&quot;/&gt;&lt;wsp:rsid wsp:val=&quot;00EB7F29&quot;/&gt;&lt;wsp:rsid wsp:val=&quot;00EC6C03&quot;/&gt;&lt;wsp:rsid wsp:val=&quot;00ED186E&quot;/&gt;&lt;wsp:rsid wsp:val=&quot;00EE0D42&quot;/&gt;&lt;wsp:rsid wsp:val=&quot;00EE25C0&quot;/&gt;&lt;wsp:rsid wsp:val=&quot;00EE287B&quot;/&gt;&lt;wsp:rsid wsp:val=&quot;00EE28ED&quot;/&gt;&lt;wsp:rsid wsp:val=&quot;00EE31AA&quot;/&gt;&lt;wsp:rsid wsp:val=&quot;00EE4C6A&quot;/&gt;&lt;wsp:rsid wsp:val=&quot;00EE58B5&quot;/&gt;&lt;wsp:rsid wsp:val=&quot;00EE5AFA&quot;/&gt;&lt;wsp:rsid wsp:val=&quot;00F021B1&quot;/&gt;&lt;wsp:rsid wsp:val=&quot;00F05FFD&quot;/&gt;&lt;wsp:rsid wsp:val=&quot;00F1002B&quot;/&gt;&lt;wsp:rsid wsp:val=&quot;00F1033A&quot;/&gt;&lt;wsp:rsid wsp:val=&quot;00F11DFB&quot;/&gt;&lt;wsp:rsid wsp:val=&quot;00F13191&quot;/&gt;&lt;wsp:rsid wsp:val=&quot;00F30EAF&quot;/&gt;&lt;wsp:rsid wsp:val=&quot;00F3582C&quot;/&gt;&lt;wsp:rsid wsp:val=&quot;00F436BD&quot;/&gt;&lt;wsp:rsid wsp:val=&quot;00F448C8&quot;/&gt;&lt;wsp:rsid wsp:val=&quot;00F566F5&quot;/&gt;&lt;wsp:rsid wsp:val=&quot;00F64A2F&quot;/&gt;&lt;wsp:rsid wsp:val=&quot;00F72523&quot;/&gt;&lt;wsp:rsid wsp:val=&quot;00F74E9A&quot;/&gt;&lt;wsp:rsid wsp:val=&quot;00F76E44&quot;/&gt;&lt;wsp:rsid wsp:val=&quot;00F803F4&quot;/&gt;&lt;wsp:rsid wsp:val=&quot;00F9128A&quot;/&gt;&lt;wsp:rsid wsp:val=&quot;00F92F07&quot;/&gt;&lt;wsp:rsid wsp:val=&quot;00FA04AE&quot;/&gt;&lt;wsp:rsid wsp:val=&quot;00FA4867&quot;/&gt;&lt;wsp:rsid wsp:val=&quot;00FA5144&quot;/&gt;&lt;wsp:rsid wsp:val=&quot;00FB1192&quot;/&gt;&lt;wsp:rsid wsp:val=&quot;00FB5E8A&quot;/&gt;&lt;wsp:rsid wsp:val=&quot;00FC52C5&quot;/&gt;&lt;wsp:rsid wsp:val=&quot;00FD5F4C&quot;/&gt;&lt;wsp:rsid wsp:val=&quot;00FE737B&quot;/&gt;&lt;wsp:rsid wsp:val=&quot;00FF2B0B&quot;/&gt;&lt;wsp:rsid wsp:val=&quot;00FF32AB&quot;/&gt;&lt;wsp:rsid wsp:val=&quot;00FF4709&quot;/&gt;&lt;/wsp:rsids&gt;&lt;/w:docPr&gt;&lt;w:body&gt;&lt;w:p wsp:rsidR=&quot;00000000&quot; wsp:rsidRDefault=&quot;00C15AB9&quot;&gt;&lt;m:oMathPara&gt;&lt;m:oMath&gt;&lt;m:nary&gt;&lt;m:naryPr&gt;&lt;m:chr m:val=&quot;a?‘&quot;/&gt;   &lt;m:limLo=c m:val=&quot;undOvr&quot;/&gt;&lt;m:supHide m:val=&quot;on&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m&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3&lt;/m:t&gt;&lt;/m:r&gt;&lt;/m:e&gt;&lt;m:sub&gt;&lt;m:r&gt;&lt;w:rPr&gt;&lt;w:rFonts w:ascii=&quot;Cambria Math&quot; w:h-ansi=&quot;Cambria Math&quot;/&gt;&lt;wx:font wx:val=&quot;Cambria Math&quot;/&gt;&lt;w:i/&gt;&lt;/w:rPr&gt;&lt;m:t&gt;k&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PRDRG&lt;/m:t&gt;&lt;/m:r&gt;&lt;/m:e&gt;&lt;m:sub&gt;&lt;m:r&gt;&lt;w:rPr&gt;&lt;w:rFonts w:ascii=&quot;Cambria Math&quot; w:h-ansi=&quot;Cambria Math&quot;/&gt;&lt;wx:font wx:val=&quot;Cambria Math&quot;/&gt;&lt;w:i/&gt;&lt;/w:rPr&gt;&lt;m:t&gt;ki&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5" o:title="" chromakey="white"/>
          </v:shape>
        </w:pict>
      </w:r>
      <w:r w:rsidRPr="00864829">
        <w:fldChar w:fldCharType="end"/>
      </w:r>
      <w:r>
        <w:t xml:space="preserve">  is a vector of dummy variables, once each for every APRDRG (slightly over 1,000).  The coefficient for these dummy variables, </w:t>
      </w:r>
      <m:oMath>
        <m:sSub>
          <m:sSubPr>
            <m:ctrlPr>
              <w:rPr>
                <w:rFonts w:ascii="Cambria Math" w:hAnsi="Cambria Math"/>
                <w:i/>
              </w:rPr>
            </m:ctrlPr>
          </m:sSubPr>
          <m:e>
            <m:r>
              <w:rPr>
                <w:rFonts w:ascii="Cambria Math" w:hAnsi="Cambria Math"/>
              </w:rPr>
              <m:t>I3</m:t>
            </m:r>
          </m:e>
          <m:sub>
            <m:r>
              <w:rPr>
                <w:rFonts w:ascii="Cambria Math" w:hAnsi="Cambria Math"/>
              </w:rPr>
              <m:t>k</m:t>
            </m:r>
          </m:sub>
        </m:sSub>
      </m:oMath>
      <w:r>
        <w:t>, can be interpreted as the marginal cost of each APRDRG.  Dummy variables for some APRDRG were excluded from the final model where their coefficients were found not to be significant. The model was estimated through OLS linear regression</w:t>
      </w:r>
    </w:p>
    <w:p w:rsidR="007718C7" w:rsidRDefault="007718C7" w:rsidP="00B912D2">
      <w:r>
        <w:t>Through this specification, this model has a particular feature which is worth noting.  This is that it assumes that the coefficient for each complication is the same across all APRDRGs.  This is a significant ‘restriction’ on the parameters estimated for the model, and it is unlikely to a true reflection of effects of the complications on costs. However, the coefficients could be interpreted as an average of the effect across all episodes.  Another feature of the specification is that it is assumes APRDRGs adequately capture all other confounders. The authors do not discuss methodological limitations, such as the potential for endogeneity bias.</w:t>
      </w:r>
    </w:p>
    <w:p w:rsidR="007718C7" w:rsidRDefault="00840816" w:rsidP="00B912D2">
      <w:hyperlink w:anchor="_ENREF_21" w:tooltip="Jackson, 2011 #8" w:history="1">
        <w:r w:rsidR="00C33CAE">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 </w:instrText>
        </w:r>
        <w:r w:rsidR="00C33CAE">
          <w:fldChar w:fldCharType="begin">
            <w:fldData xml:space="preserve">PEVuZE5vdGU+PENpdGU+PEF1dGhvcj5KYWNrc29uPC9BdXRob3I+PFllYXI+MjAxMTwvWWVhcj48
UmVjTnVtPjg8L1JlY051bT48RGlzcGxheVRleHQ+SmFja3NvbiBldCBhbC4sIDIwMTE8L0Rpc3Bs
YXlUZXh0PjxyZWNvcmQ+PHJlYy1udW1iZXI+ODwvcmVjLW51bWJlcj48Zm9yZWlnbi1rZXlzPjxr
ZXkgYXBwPSJFTiIgZGItaWQ9IjkydGZ0dDV2MmFyeGQ2ZTl3enI1MHcydzByejBlcHgwOTlmdCIg
dGltZXN0YW1wPSIxMzcxNDM0Mjc1Ij44PC9rZXk+PC9mb3JlaWduLWtleXM+PHJlZi10eXBlIG5h
bWU9IkpvdXJuYWwgQXJ0aWNsZSI+MTc8L3JlZi10eXBlPjxjb250cmlidXRvcnM+PGF1dGhvcnM+
PGF1dGhvcj5KYWNrc29uLCBUPC9hdXRob3I+PGF1dGhvcj5OZ2hpZW0sIEguIFM8L2F1dGhvcj48
YXV0aG9yPlJvd2VsbCwgRDwvYXV0aG9yPjxhdXRob3I+Sm9ybSwgQzwvYXV0aG9yPjxhdXRob3I+
V2FrZWZpZWxkLCBKPC9hdXRob3I+PC9hdXRob3JzPjwvY29udHJpYnV0b3JzPjxhdXRoLWFkZHJl
c3M+RmFjdWx0eSBvZiBNZWRpY2luZSBhbmQgRGVudGlzdHJ5LCBVbml2ZXJzaXR5IG9mIEFsYmVy
dGEsIEVkbW9udG9uLCBDYW5hZGEuIHRlcnJpLmphY2tzb25AdWFsYmVydGEuY2E8L2F1dGgtYWRk
cmVzcz48dGl0bGVzPjx0aXRsZT5NYXJnaW5hbCBjb3N0cyBvZiBob3NwaXRhbC1hY3F1aXJlZCBj
b25kaXRpb25zOiBpbmZvcm1hdGlvbiBmb3IgcHJpb3JpdHktc2V0dGluZyBmb3IgcGF0aWVudCBz
YWZldHkgcHJvZ3JhbW1lcyBhbmQgcmVzZWFyY2g8L3RpdGxlPjxzZWNvbmRhcnktdGl0bGU+SiBI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ZGljYWw+PHBhZ2VzPjE0MS02PC9wYWdlcz48dm9sdW1lPjE2PC92b2x1bWU+PG51bWJlcj4zPC9u
dW1iZXI+PGVkaXRpb24+MjAxMS8wNy8wMjwvZWRpdGlvbj48a2V5d29yZHM+PGtleXdvcmQ+QXVz
dHJhbGlhPC9rZXl3b3JkPjxrZXl3b3JkPkhlYWx0aCBQcmlvcml0aWVzL2Vjb25vbWljcy8qb3Jn
YW5pemF0aW9uICZhbXA7IGFkbWluaXN0cmF0aW9uPC9rZXl3b3JkPjxrZXl3b3JkPkhlYWx0aCBT
ZXJ2aWNlcyBSZXNlYXJjaC8qb3JnYW5pemF0aW9uICZhbXA7IGFkbWluaXN0cmF0aW9uPC9rZXl3
b3JkPjxrZXl3b3JkPipIb3NwaXRhbCBDb3N0czwva2V5d29yZD48a2V5d29yZD5IdW1hbnM8L2tl
eXdvcmQ+PGtleXdvcmQ+UXVhbGl0eSBvZiBIZWFsdGggQ2FyZS9lY29ub21pY3MvKm9yZ2FuaXph
dGlvbiAmYW1wOyBhZG1pbmlzdHJhdGlvbjwva2V5d29yZD48a2V5d29yZD5TYWZldHkgTWFuYWdl
bWVudC9lY29ub21pY3MvKm9yZ2FuaXphdGlvbiAmYW1wOyBhZG1pbmlzdHJhdGlvbjwva2V5d29y
ZD48L2tleXdvcmRzPjxkYXRlcz48eWVhcj4yMDExPC95ZWFyPjxwdWItZGF0ZXM+PGRhdGU+SnVs
PC9kYXRlPjwvcHViLWRhdGVzPjwvZGF0ZXM+PGlzYm4+MTc1OC0xMDYwIChFbGVjdHJvbmljKSYj
eEQ7MTM1NS04MTk2IChMaW5raW5nKTwvaXNibj48YWNjZXNzaW9uLW51bT4yMTcxOTQ3ODwvYWNj
ZXNzaW9uLW51bT48d29yay10eXBlPlJlc2VhcmNoIFN1cHBvcnQsIE5vbi1VLlMuIEdvdiZhcG9z
O3Q8L3dvcmstdHlwZT48dXJscz48cmVsYXRlZC11cmxzPjx1cmw+aHR0cDovL3d3dy5uY2JpLm5s
bS5uaWguZ292L3B1Ym1lZC8yMTcxOTQ3ODwvdXJsPjwvcmVsYXRlZC11cmxzPjwvdXJscz48ZWxl
Y3Ryb25pYy1yZXNvdXJjZS1udW0+MTAuMTI1OC9qaHNycC4yMDEwLjAxMDA1MDwvZWxlY3Ryb25p
Yy1yZXNvdXJjZS1udW0+PGxhbmd1YWdlPmVuZzwvbGFuZ3VhZ2U+PC9yZWNvcmQ+PC9DaXRlPjwv
RW5kTm90ZT5=
</w:fldData>
          </w:fldChar>
        </w:r>
        <w:r w:rsidR="00C33CAE">
          <w:instrText xml:space="preserve"> ADDIN EN.CITE.DATA </w:instrText>
        </w:r>
        <w:r w:rsidR="00C33CAE">
          <w:fldChar w:fldCharType="end"/>
        </w:r>
        <w:r w:rsidR="00C33CAE">
          <w:fldChar w:fldCharType="separate"/>
        </w:r>
        <w:r w:rsidR="00C33CAE">
          <w:rPr>
            <w:noProof/>
          </w:rPr>
          <w:t>Jackson et al., 2011</w:t>
        </w:r>
        <w:r w:rsidR="00C33CAE">
          <w:fldChar w:fldCharType="end"/>
        </w:r>
      </w:hyperlink>
      <w:r w:rsidR="007718C7">
        <w:t xml:space="preserve"> modelled the impact of hospital-acquired conditions on costs for acute inpatients in 45 public hospitals in Victoria (2005-06) and 23 public hospitals in Queensland (2006-07), representing 1.7 million episodes.  The CHADx data </w:t>
      </w:r>
      <w:r w:rsidR="002F611A">
        <w:t>cleaning</w:t>
      </w:r>
      <w:r w:rsidR="007718C7">
        <w:t xml:space="preserve"> and grouping algorithms were applied to the data.  The data sets were partitioned into two components: episodes with no CHADx diagnosis identified and those with CHADx diagnoses identified.  Episodes with non CHADx diagnoses were summarised at the AR-DRG level to calculate </w:t>
      </w:r>
      <w:r w:rsidR="007718C7">
        <w:lastRenderedPageBreak/>
        <w:t xml:space="preserve">average costs without hospital-acquired complications.  This was then used to calculate a ‘mean corrected treatment cost’ for episodes with CHADx diagnoses.  This corrected cost was the difference between total cost and the mean uncomplicated costs. Ordinary least squares (OLS) modelling was then undertaken on the dataset.  </w:t>
      </w:r>
    </w:p>
    <w:p w:rsidR="007718C7" w:rsidRDefault="007718C7" w:rsidP="00B912D2">
      <w:r>
        <w:rPr>
          <w:noProof/>
        </w:rPr>
        <w:t xml:space="preserve">Jackson et al. </w:t>
      </w:r>
      <w:r>
        <w:t xml:space="preserve"> (</w:t>
      </w:r>
      <w:hyperlink w:anchor="_ENREF_18" w:tooltip="Jackson, 2013, under review #106" w:history="1">
        <w:r w:rsidR="00C33CAE">
          <w:fldChar w:fldCharType="begin"/>
        </w:r>
        <w:r w:rsidR="00C33CAE">
          <w:instrText xml:space="preserve"> ADDIN EN.CITE &lt;EndNote&gt;&lt;Cite ExcludeAuth="1"&gt;&lt;Author&gt;Jackson&lt;/Author&gt;&lt;Year&gt;2013, under review&lt;/Year&gt;&lt;RecNum&gt;106&lt;/RecNum&gt;&lt;DisplayText&gt;2013, under review&lt;/DisplayText&gt;&lt;record&gt;&lt;rec-number&gt;106&lt;/rec-number&gt;&lt;foreign-keys&gt;&lt;key app="EN" db-id="92tftt5v2arxd6e9wzr50w2w0rz0epx099ft" timestamp="1378951286"&gt;106&lt;/key&gt;&lt;/foreign-keys&gt;&lt;ref-type name="Journal Article"&gt;17&lt;/ref-type&gt;&lt;contributors&gt;&lt;authors&gt;&lt;author&gt;Jackson, T&lt;/author&gt;&lt;author&gt;Fong, A&lt;/author&gt;&lt;author&gt;Liu, M&lt;/author&gt;&lt;author&gt;Murray, K&lt;/author&gt;&lt;author&gt;QWalz, L&lt;/author&gt;&lt;author&gt;Houston, C&lt;/author&gt;&lt;author&gt;Dean, S&lt;/author&gt;&lt;/authors&gt;&lt;/contributors&gt;&lt;titles&gt;&lt;title&gt;Incremental costs of hospital-acquired complications in Alberta, Canada&lt;/title&gt;&lt;/titles&gt;&lt;dates&gt;&lt;year&gt;2013, under review&lt;/year&gt;&lt;/dates&gt;&lt;urls&gt;&lt;/urls&gt;&lt;/record&gt;&lt;/Cite&gt;&lt;Cite ExcludeAuth="1"&gt;&lt;Author&gt;Jackson&lt;/Author&gt;&lt;Year&gt;2013, under review&lt;/Year&gt;&lt;RecNum&gt;106&lt;/RecNum&gt;&lt;record&gt;&lt;rec-number&gt;106&lt;/rec-number&gt;&lt;foreign-keys&gt;&lt;key app="EN" db-id="92tftt5v2arxd6e9wzr50w2w0rz0epx099ft" timestamp="1378951286"&gt;106&lt;/key&gt;&lt;/foreign-keys&gt;&lt;ref-type name="Journal Article"&gt;17&lt;/ref-type&gt;&lt;contributors&gt;&lt;authors&gt;&lt;author&gt;Jackson, T&lt;/author&gt;&lt;author&gt;Fong, A&lt;/author&gt;&lt;author&gt;Liu, M&lt;/author&gt;&lt;author&gt;Murray, K&lt;/author&gt;&lt;author&gt;QWalz, L&lt;/author&gt;&lt;author&gt;Houston, C&lt;/author&gt;&lt;author&gt;Dean, S&lt;/author&gt;&lt;/authors&gt;&lt;/contributors&gt;&lt;titles&gt;&lt;title&gt;Incremental costs of hospital-acquired complications in Alberta, Canada&lt;/title&gt;&lt;/titles&gt;&lt;dates&gt;&lt;year&gt;2013, under review&lt;/year&gt;&lt;/dates&gt;&lt;urls&gt;&lt;/urls&gt;&lt;/record&gt;&lt;/Cite&gt;&lt;/EndNote&gt;</w:instrText>
        </w:r>
        <w:r w:rsidR="00C33CAE">
          <w:fldChar w:fldCharType="separate"/>
        </w:r>
        <w:r w:rsidR="00C33CAE">
          <w:rPr>
            <w:noProof/>
          </w:rPr>
          <w:t>2013, under review</w:t>
        </w:r>
        <w:r w:rsidR="00C33CAE">
          <w:fldChar w:fldCharType="end"/>
        </w:r>
      </w:hyperlink>
      <w:r>
        <w:t xml:space="preserve">) analysed the increment cost length of stay for episodes with hospital-acquired conditions in eight hospitals in Alberta, Canada and </w:t>
      </w:r>
      <w:r w:rsidRPr="00FF32AB">
        <w:t>206,011 acute care episodes</w:t>
      </w:r>
      <w:r>
        <w:t xml:space="preserve"> from the 2008-09 period.  Additional diagnoses with </w:t>
      </w:r>
      <w:r w:rsidRPr="00C504A5">
        <w:t>a ‘present on admission’ flag</w:t>
      </w:r>
      <w:r>
        <w:t xml:space="preserve"> were grouped to CHADx classes.  Within the sample 23.9% of episodes had a hospital-acquired diagnoses identified. Incremental costs were estimated using</w:t>
      </w:r>
      <w:r w:rsidRPr="00C504A5">
        <w:t xml:space="preserve"> generalized linear model with a gamma distribution using a log link relationship</w:t>
      </w:r>
      <w:r>
        <w:t xml:space="preserve">. Estimates of costs were controlled for the uncomplicated cost within each </w:t>
      </w:r>
      <w:r w:rsidRPr="00C504A5">
        <w:t>Case Mix Group</w:t>
      </w:r>
      <w:r>
        <w:t xml:space="preserve"> (the Canadian version of DRGs)</w:t>
      </w:r>
      <w:r w:rsidRPr="00C504A5">
        <w:t xml:space="preserve">.  </w:t>
      </w:r>
    </w:p>
    <w:p w:rsidR="007718C7" w:rsidRPr="00B912D2" w:rsidRDefault="007718C7" w:rsidP="00B912D2">
      <w:pPr>
        <w:pStyle w:val="Stageheading"/>
        <w:rPr>
          <w:rFonts w:ascii="Century Gothic" w:eastAsia="MS Mincho" w:hAnsi="Century Gothic"/>
          <w:b w:val="0"/>
          <w:bCs w:val="0"/>
          <w:iCs w:val="0"/>
          <w:color w:val="auto"/>
          <w:sz w:val="20"/>
        </w:rPr>
        <w:sectPr w:rsidR="007718C7" w:rsidRPr="00B912D2" w:rsidSect="00001883">
          <w:headerReference w:type="default" r:id="rId126"/>
          <w:footerReference w:type="default" r:id="rId127"/>
          <w:headerReference w:type="first" r:id="rId128"/>
          <w:footerReference w:type="first" r:id="rId129"/>
          <w:pgSz w:w="11906" w:h="16838"/>
          <w:pgMar w:top="1440" w:right="1440" w:bottom="1440" w:left="1440" w:header="708" w:footer="708" w:gutter="0"/>
          <w:cols w:space="708"/>
          <w:titlePg/>
          <w:docGrid w:linePitch="360"/>
        </w:sectPr>
      </w:pPr>
    </w:p>
    <w:p w:rsidR="007718C7" w:rsidRDefault="007718C7" w:rsidP="00E21509">
      <w:pPr>
        <w:pStyle w:val="Heading1thatdoesnotgetpickedupbyTOC"/>
      </w:pPr>
      <w:r>
        <w:lastRenderedPageBreak/>
        <w:t>References</w:t>
      </w:r>
    </w:p>
    <w:p w:rsidR="00C33CAE" w:rsidRPr="00E244B2" w:rsidRDefault="007718C7" w:rsidP="00C33CAE">
      <w:pPr>
        <w:pStyle w:val="EndNoteBibliography"/>
        <w:spacing w:after="0"/>
        <w:ind w:left="720" w:hanging="720"/>
        <w:rPr>
          <w:rFonts w:ascii="Century Gothic" w:hAnsi="Century Gothic"/>
          <w:sz w:val="20"/>
          <w:szCs w:val="20"/>
        </w:rPr>
      </w:pPr>
      <w:r w:rsidRPr="00E244B2">
        <w:rPr>
          <w:rFonts w:ascii="Century Gothic" w:hAnsi="Century Gothic"/>
          <w:sz w:val="20"/>
          <w:szCs w:val="20"/>
        </w:rPr>
        <w:fldChar w:fldCharType="begin"/>
      </w:r>
      <w:r w:rsidRPr="00E244B2">
        <w:rPr>
          <w:rFonts w:ascii="Century Gothic" w:hAnsi="Century Gothic"/>
          <w:sz w:val="20"/>
          <w:szCs w:val="20"/>
        </w:rPr>
        <w:instrText xml:space="preserve"> ADDIN EN.REFLIST </w:instrText>
      </w:r>
      <w:r w:rsidRPr="00E244B2">
        <w:rPr>
          <w:rFonts w:ascii="Century Gothic" w:hAnsi="Century Gothic"/>
          <w:sz w:val="20"/>
          <w:szCs w:val="20"/>
        </w:rPr>
        <w:fldChar w:fldCharType="separate"/>
      </w:r>
      <w:bookmarkStart w:id="100" w:name="_ENREF_1"/>
      <w:r w:rsidR="00C33CAE" w:rsidRPr="00E244B2">
        <w:rPr>
          <w:rFonts w:ascii="Century Gothic" w:hAnsi="Century Gothic"/>
          <w:sz w:val="20"/>
          <w:szCs w:val="20"/>
        </w:rPr>
        <w:t>Australian Commissions for Safety and Quality in Health Care. (2013). CHADx codes for ICD-10-AM Eight Edition. Sydney: ACSQHC.</w:t>
      </w:r>
      <w:bookmarkEnd w:id="100"/>
    </w:p>
    <w:p w:rsidR="00C33CAE" w:rsidRPr="00E244B2" w:rsidRDefault="00C33CAE" w:rsidP="00C33CAE">
      <w:pPr>
        <w:pStyle w:val="EndNoteBibliography"/>
        <w:spacing w:after="0"/>
        <w:ind w:left="720" w:hanging="720"/>
        <w:rPr>
          <w:rFonts w:ascii="Century Gothic" w:hAnsi="Century Gothic"/>
          <w:sz w:val="20"/>
          <w:szCs w:val="20"/>
        </w:rPr>
      </w:pPr>
      <w:bookmarkStart w:id="101" w:name="_ENREF_2"/>
      <w:r w:rsidRPr="00E244B2">
        <w:rPr>
          <w:rFonts w:ascii="Century Gothic" w:hAnsi="Century Gothic"/>
          <w:sz w:val="20"/>
          <w:szCs w:val="20"/>
        </w:rPr>
        <w:t xml:space="preserve">Australian Institute of Health and Welfare. (2013a). Australian Hospital Statistics 2011-12 </w:t>
      </w:r>
      <w:r w:rsidRPr="00E244B2">
        <w:rPr>
          <w:rFonts w:ascii="Century Gothic" w:hAnsi="Century Gothic"/>
          <w:i/>
          <w:sz w:val="20"/>
          <w:szCs w:val="20"/>
        </w:rPr>
        <w:t>Health services series no. 50. Cat. no. HSE 134</w:t>
      </w:r>
      <w:r w:rsidRPr="00E244B2">
        <w:rPr>
          <w:rFonts w:ascii="Century Gothic" w:hAnsi="Century Gothic"/>
          <w:sz w:val="20"/>
          <w:szCs w:val="20"/>
        </w:rPr>
        <w:t>. Canberra: AIHW.</w:t>
      </w:r>
      <w:bookmarkEnd w:id="101"/>
    </w:p>
    <w:p w:rsidR="00C33CAE" w:rsidRPr="00E244B2" w:rsidRDefault="00C33CAE" w:rsidP="00C33CAE">
      <w:pPr>
        <w:pStyle w:val="EndNoteBibliography"/>
        <w:spacing w:after="0"/>
        <w:ind w:left="720" w:hanging="720"/>
        <w:rPr>
          <w:rFonts w:ascii="Century Gothic" w:hAnsi="Century Gothic"/>
          <w:sz w:val="20"/>
          <w:szCs w:val="20"/>
        </w:rPr>
      </w:pPr>
      <w:bookmarkStart w:id="102" w:name="_ENREF_3"/>
      <w:r w:rsidRPr="00E244B2">
        <w:rPr>
          <w:rFonts w:ascii="Century Gothic" w:hAnsi="Century Gothic"/>
          <w:sz w:val="20"/>
          <w:szCs w:val="20"/>
        </w:rPr>
        <w:t xml:space="preserve">Australian Institute of Health and Welfare. (2013b). METeOR - Episode of admitted patient care—condition onset flag Retrieved 26/8/2013, 2013, from </w:t>
      </w:r>
      <w:hyperlink r:id="rId130" w:history="1">
        <w:r w:rsidRPr="00E244B2">
          <w:rPr>
            <w:rStyle w:val="Hyperlink"/>
            <w:szCs w:val="20"/>
          </w:rPr>
          <w:t>http://meteor.aihw.gov.au/content/index.phtml/itemId/354816</w:t>
        </w:r>
        <w:bookmarkEnd w:id="102"/>
      </w:hyperlink>
    </w:p>
    <w:p w:rsidR="00C33CAE" w:rsidRPr="00E244B2" w:rsidRDefault="00C33CAE" w:rsidP="00C33CAE">
      <w:pPr>
        <w:pStyle w:val="EndNoteBibliography"/>
        <w:spacing w:after="0"/>
        <w:ind w:left="720" w:hanging="720"/>
        <w:rPr>
          <w:rFonts w:ascii="Century Gothic" w:hAnsi="Century Gothic"/>
          <w:sz w:val="20"/>
          <w:szCs w:val="20"/>
        </w:rPr>
      </w:pPr>
      <w:bookmarkStart w:id="103" w:name="_ENREF_4"/>
      <w:r w:rsidRPr="00E244B2">
        <w:rPr>
          <w:rFonts w:ascii="Century Gothic" w:hAnsi="Century Gothic"/>
          <w:sz w:val="20"/>
          <w:szCs w:val="20"/>
        </w:rPr>
        <w:t xml:space="preserve">Barnett, A.G., Beyersmann, J., Allignol, A., Rosenthal, V.D., Graves, N., &amp; Wolkewitz, M. (2011). The time-dependent bias and its effect on extra length of stay due to nosocomial infection. </w:t>
      </w:r>
      <w:r w:rsidRPr="00E244B2">
        <w:rPr>
          <w:rFonts w:ascii="Century Gothic" w:hAnsi="Century Gothic"/>
          <w:i/>
          <w:sz w:val="20"/>
          <w:szCs w:val="20"/>
        </w:rPr>
        <w:t>Value Health, 14</w:t>
      </w:r>
      <w:r w:rsidRPr="00E244B2">
        <w:rPr>
          <w:rFonts w:ascii="Century Gothic" w:hAnsi="Century Gothic"/>
          <w:sz w:val="20"/>
          <w:szCs w:val="20"/>
        </w:rPr>
        <w:t>(2), 381-386.</w:t>
      </w:r>
      <w:bookmarkEnd w:id="103"/>
    </w:p>
    <w:p w:rsidR="00C33CAE" w:rsidRPr="00E244B2" w:rsidRDefault="00C33CAE" w:rsidP="00C33CAE">
      <w:pPr>
        <w:pStyle w:val="EndNoteBibliography"/>
        <w:spacing w:after="0"/>
        <w:ind w:left="720" w:hanging="720"/>
        <w:rPr>
          <w:rFonts w:ascii="Century Gothic" w:hAnsi="Century Gothic"/>
          <w:sz w:val="20"/>
          <w:szCs w:val="20"/>
        </w:rPr>
      </w:pPr>
      <w:bookmarkStart w:id="104" w:name="_ENREF_5"/>
      <w:r w:rsidRPr="00E244B2">
        <w:rPr>
          <w:rFonts w:ascii="Century Gothic" w:hAnsi="Century Gothic"/>
          <w:sz w:val="20"/>
          <w:szCs w:val="20"/>
        </w:rPr>
        <w:t xml:space="preserve">Berenholtz, S.M., Pham, J.C., Thompson, D.A., Needham, D.M., Lubomski, L.H., Hyzy, R.C., . . . Pronovost, P.J. (2011). Collaborative cohort study of an intervention to reduce ventilator-associated pneumonia in the intensive care unit. </w:t>
      </w:r>
      <w:r w:rsidRPr="00E244B2">
        <w:rPr>
          <w:rFonts w:ascii="Century Gothic" w:hAnsi="Century Gothic"/>
          <w:i/>
          <w:sz w:val="20"/>
          <w:szCs w:val="20"/>
        </w:rPr>
        <w:t>Infect Control Hosp Epidemiol, 32</w:t>
      </w:r>
      <w:r w:rsidRPr="00E244B2">
        <w:rPr>
          <w:rFonts w:ascii="Century Gothic" w:hAnsi="Century Gothic"/>
          <w:sz w:val="20"/>
          <w:szCs w:val="20"/>
        </w:rPr>
        <w:t>(4), 305-314.</w:t>
      </w:r>
      <w:bookmarkEnd w:id="104"/>
    </w:p>
    <w:p w:rsidR="00C33CAE" w:rsidRPr="00E244B2" w:rsidRDefault="00C33CAE" w:rsidP="00C33CAE">
      <w:pPr>
        <w:pStyle w:val="EndNoteBibliography"/>
        <w:spacing w:after="0"/>
        <w:ind w:left="720" w:hanging="720"/>
        <w:rPr>
          <w:rFonts w:ascii="Century Gothic" w:hAnsi="Century Gothic"/>
          <w:sz w:val="20"/>
          <w:szCs w:val="20"/>
        </w:rPr>
      </w:pPr>
      <w:bookmarkStart w:id="105" w:name="_ENREF_6"/>
      <w:r w:rsidRPr="00E244B2">
        <w:rPr>
          <w:rFonts w:ascii="Century Gothic" w:hAnsi="Century Gothic"/>
          <w:sz w:val="20"/>
          <w:szCs w:val="20"/>
        </w:rPr>
        <w:t xml:space="preserve">Ehsani, J.P., Jackson, T., &amp; Duckett, S.J. (2006). The incidence and cost of adverse events in Victorian hospitals 2003-04. </w:t>
      </w:r>
      <w:r w:rsidRPr="00E244B2">
        <w:rPr>
          <w:rFonts w:ascii="Century Gothic" w:hAnsi="Century Gothic"/>
          <w:i/>
          <w:sz w:val="20"/>
          <w:szCs w:val="20"/>
        </w:rPr>
        <w:t>Medical Journal of Australia, 184</w:t>
      </w:r>
      <w:r w:rsidRPr="00E244B2">
        <w:rPr>
          <w:rFonts w:ascii="Century Gothic" w:hAnsi="Century Gothic"/>
          <w:sz w:val="20"/>
          <w:szCs w:val="20"/>
        </w:rPr>
        <w:t>(11), 551-555.</w:t>
      </w:r>
      <w:bookmarkEnd w:id="105"/>
    </w:p>
    <w:p w:rsidR="00C33CAE" w:rsidRPr="00E244B2" w:rsidRDefault="00C33CAE" w:rsidP="00C33CAE">
      <w:pPr>
        <w:pStyle w:val="EndNoteBibliography"/>
        <w:spacing w:after="0"/>
        <w:ind w:left="720" w:hanging="720"/>
        <w:rPr>
          <w:rFonts w:ascii="Century Gothic" w:hAnsi="Century Gothic"/>
          <w:sz w:val="20"/>
          <w:szCs w:val="20"/>
        </w:rPr>
      </w:pPr>
      <w:bookmarkStart w:id="106" w:name="_ENREF_7"/>
      <w:r w:rsidRPr="00E244B2">
        <w:rPr>
          <w:rFonts w:ascii="Century Gothic" w:hAnsi="Century Gothic"/>
          <w:sz w:val="20"/>
          <w:szCs w:val="20"/>
        </w:rPr>
        <w:t xml:space="preserve">Elixhauser, A., Steiner, C., Harris, D.R., &amp; Coffey, R.M. (1998). Comorbidity measures for use with administrative data. </w:t>
      </w:r>
      <w:r w:rsidRPr="00E244B2">
        <w:rPr>
          <w:rFonts w:ascii="Century Gothic" w:hAnsi="Century Gothic"/>
          <w:i/>
          <w:sz w:val="20"/>
          <w:szCs w:val="20"/>
        </w:rPr>
        <w:t>Med Care, 36</w:t>
      </w:r>
      <w:r w:rsidRPr="00E244B2">
        <w:rPr>
          <w:rFonts w:ascii="Century Gothic" w:hAnsi="Century Gothic"/>
          <w:sz w:val="20"/>
          <w:szCs w:val="20"/>
        </w:rPr>
        <w:t>(1), 8-27.</w:t>
      </w:r>
      <w:bookmarkEnd w:id="106"/>
    </w:p>
    <w:p w:rsidR="00C33CAE" w:rsidRPr="00E244B2" w:rsidRDefault="00C33CAE" w:rsidP="00C33CAE">
      <w:pPr>
        <w:pStyle w:val="EndNoteBibliography"/>
        <w:spacing w:after="0"/>
        <w:ind w:left="720" w:hanging="720"/>
        <w:rPr>
          <w:rFonts w:ascii="Century Gothic" w:hAnsi="Century Gothic"/>
          <w:sz w:val="20"/>
          <w:szCs w:val="20"/>
        </w:rPr>
      </w:pPr>
      <w:bookmarkStart w:id="107" w:name="_ENREF_8"/>
      <w:r w:rsidRPr="00E244B2">
        <w:rPr>
          <w:rFonts w:ascii="Century Gothic" w:hAnsi="Century Gothic"/>
          <w:sz w:val="20"/>
          <w:szCs w:val="20"/>
        </w:rPr>
        <w:t xml:space="preserve">Fukuda, H., Lee, J., &amp; Imanaka, Y. (2011a). Costs of hospital-acquired infection and transferability of the estimates: a systematic review. </w:t>
      </w:r>
      <w:r w:rsidRPr="00E244B2">
        <w:rPr>
          <w:rFonts w:ascii="Century Gothic" w:hAnsi="Century Gothic"/>
          <w:i/>
          <w:sz w:val="20"/>
          <w:szCs w:val="20"/>
        </w:rPr>
        <w:t>Infection, 39</w:t>
      </w:r>
      <w:r w:rsidRPr="00E244B2">
        <w:rPr>
          <w:rFonts w:ascii="Century Gothic" w:hAnsi="Century Gothic"/>
          <w:sz w:val="20"/>
          <w:szCs w:val="20"/>
        </w:rPr>
        <w:t>(3), 185-199.</w:t>
      </w:r>
      <w:bookmarkEnd w:id="107"/>
    </w:p>
    <w:p w:rsidR="00C33CAE" w:rsidRPr="00E244B2" w:rsidRDefault="00C33CAE" w:rsidP="00C33CAE">
      <w:pPr>
        <w:pStyle w:val="EndNoteBibliography"/>
        <w:spacing w:after="0"/>
        <w:ind w:left="720" w:hanging="720"/>
        <w:rPr>
          <w:rFonts w:ascii="Century Gothic" w:hAnsi="Century Gothic"/>
          <w:sz w:val="20"/>
          <w:szCs w:val="20"/>
        </w:rPr>
      </w:pPr>
      <w:bookmarkStart w:id="108" w:name="_ENREF_9"/>
      <w:r w:rsidRPr="00E244B2">
        <w:rPr>
          <w:rFonts w:ascii="Century Gothic" w:hAnsi="Century Gothic"/>
          <w:sz w:val="20"/>
          <w:szCs w:val="20"/>
        </w:rPr>
        <w:t xml:space="preserve">Fukuda, H., Lee, J., &amp; Imanaka, Y. (2011b). Variations in analytical methodology for estimating costs of hospital-acquired infections: a systematic review. </w:t>
      </w:r>
      <w:r w:rsidRPr="00E244B2">
        <w:rPr>
          <w:rFonts w:ascii="Century Gothic" w:hAnsi="Century Gothic"/>
          <w:i/>
          <w:sz w:val="20"/>
          <w:szCs w:val="20"/>
        </w:rPr>
        <w:t>J Hosp Infect, 77</w:t>
      </w:r>
      <w:r w:rsidRPr="00E244B2">
        <w:rPr>
          <w:rFonts w:ascii="Century Gothic" w:hAnsi="Century Gothic"/>
          <w:sz w:val="20"/>
          <w:szCs w:val="20"/>
        </w:rPr>
        <w:t>(2), 93-105.</w:t>
      </w:r>
      <w:bookmarkEnd w:id="108"/>
    </w:p>
    <w:p w:rsidR="00C33CAE" w:rsidRPr="00E244B2" w:rsidRDefault="00C33CAE" w:rsidP="00C33CAE">
      <w:pPr>
        <w:pStyle w:val="EndNoteBibliography"/>
        <w:spacing w:after="0"/>
        <w:ind w:left="720" w:hanging="720"/>
        <w:rPr>
          <w:rFonts w:ascii="Century Gothic" w:hAnsi="Century Gothic"/>
          <w:sz w:val="20"/>
          <w:szCs w:val="20"/>
        </w:rPr>
      </w:pPr>
      <w:bookmarkStart w:id="109" w:name="_ENREF_10"/>
      <w:r w:rsidRPr="00E244B2">
        <w:rPr>
          <w:rFonts w:ascii="Century Gothic" w:hAnsi="Century Gothic"/>
          <w:sz w:val="20"/>
          <w:szCs w:val="20"/>
        </w:rPr>
        <w:t xml:space="preserve">Fuller, R.L., McCullough, E.C., Bao, M.Z., &amp; Averill, R.F. (2009). Estimating the costs of potentially preventable hospital acquired complications. </w:t>
      </w:r>
      <w:r w:rsidRPr="00E244B2">
        <w:rPr>
          <w:rFonts w:ascii="Century Gothic" w:hAnsi="Century Gothic"/>
          <w:i/>
          <w:sz w:val="20"/>
          <w:szCs w:val="20"/>
        </w:rPr>
        <w:t>Health Care Financ Rev, 30</w:t>
      </w:r>
      <w:r w:rsidRPr="00E244B2">
        <w:rPr>
          <w:rFonts w:ascii="Century Gothic" w:hAnsi="Century Gothic"/>
          <w:sz w:val="20"/>
          <w:szCs w:val="20"/>
        </w:rPr>
        <w:t>(4), 17-32.</w:t>
      </w:r>
      <w:bookmarkEnd w:id="109"/>
    </w:p>
    <w:p w:rsidR="00C33CAE" w:rsidRPr="00E244B2" w:rsidRDefault="00C33CAE" w:rsidP="00C33CAE">
      <w:pPr>
        <w:pStyle w:val="EndNoteBibliography"/>
        <w:spacing w:after="0"/>
        <w:ind w:left="720" w:hanging="720"/>
        <w:rPr>
          <w:rFonts w:ascii="Century Gothic" w:hAnsi="Century Gothic"/>
          <w:sz w:val="20"/>
          <w:szCs w:val="20"/>
        </w:rPr>
      </w:pPr>
      <w:bookmarkStart w:id="110" w:name="_ENREF_11"/>
      <w:r w:rsidRPr="00E244B2">
        <w:rPr>
          <w:rFonts w:ascii="Century Gothic" w:hAnsi="Century Gothic"/>
          <w:sz w:val="20"/>
          <w:szCs w:val="20"/>
        </w:rPr>
        <w:t xml:space="preserve">Goldman, L.E., Chu, P.W., Osmond, D., &amp; Bindman, A. (2011). The accuracy of present-on-admission reporting in administrative data. </w:t>
      </w:r>
      <w:r w:rsidRPr="00E244B2">
        <w:rPr>
          <w:rFonts w:ascii="Century Gothic" w:hAnsi="Century Gothic"/>
          <w:i/>
          <w:sz w:val="20"/>
          <w:szCs w:val="20"/>
        </w:rPr>
        <w:t>Health Serv Res, 46</w:t>
      </w:r>
      <w:r w:rsidRPr="00E244B2">
        <w:rPr>
          <w:rFonts w:ascii="Century Gothic" w:hAnsi="Century Gothic"/>
          <w:sz w:val="20"/>
          <w:szCs w:val="20"/>
        </w:rPr>
        <w:t>(6pt1), 1946-1962.</w:t>
      </w:r>
      <w:bookmarkEnd w:id="110"/>
    </w:p>
    <w:p w:rsidR="00C33CAE" w:rsidRPr="00E244B2" w:rsidRDefault="00C33CAE" w:rsidP="00C33CAE">
      <w:pPr>
        <w:pStyle w:val="EndNoteBibliography"/>
        <w:spacing w:after="0"/>
        <w:ind w:left="720" w:hanging="720"/>
        <w:rPr>
          <w:rFonts w:ascii="Century Gothic" w:hAnsi="Century Gothic"/>
          <w:sz w:val="20"/>
          <w:szCs w:val="20"/>
        </w:rPr>
      </w:pPr>
      <w:bookmarkStart w:id="111" w:name="_ENREF_12"/>
      <w:r w:rsidRPr="00E244B2">
        <w:rPr>
          <w:rFonts w:ascii="Century Gothic" w:hAnsi="Century Gothic"/>
          <w:sz w:val="20"/>
          <w:szCs w:val="20"/>
        </w:rPr>
        <w:t xml:space="preserve">Graves, N., Harbarth, S., Beyersmann, J., Barnett, A., Halton, K., &amp; Cooper, B. (2010). Estimating the cost of health care-associated infections: mind your p's and q's. </w:t>
      </w:r>
      <w:r w:rsidRPr="00E244B2">
        <w:rPr>
          <w:rFonts w:ascii="Century Gothic" w:hAnsi="Century Gothic"/>
          <w:i/>
          <w:sz w:val="20"/>
          <w:szCs w:val="20"/>
        </w:rPr>
        <w:t>Clin Infect Dis, 50</w:t>
      </w:r>
      <w:r w:rsidRPr="00E244B2">
        <w:rPr>
          <w:rFonts w:ascii="Century Gothic" w:hAnsi="Century Gothic"/>
          <w:sz w:val="20"/>
          <w:szCs w:val="20"/>
        </w:rPr>
        <w:t>(7), 1017-1021.</w:t>
      </w:r>
      <w:bookmarkEnd w:id="111"/>
    </w:p>
    <w:p w:rsidR="00C33CAE" w:rsidRPr="00E244B2" w:rsidRDefault="00C33CAE" w:rsidP="00C33CAE">
      <w:pPr>
        <w:pStyle w:val="EndNoteBibliography"/>
        <w:spacing w:after="0"/>
        <w:ind w:left="720" w:hanging="720"/>
        <w:rPr>
          <w:rFonts w:ascii="Century Gothic" w:hAnsi="Century Gothic"/>
          <w:sz w:val="20"/>
          <w:szCs w:val="20"/>
        </w:rPr>
      </w:pPr>
      <w:bookmarkStart w:id="112" w:name="_ENREF_13"/>
      <w:r w:rsidRPr="00E244B2">
        <w:rPr>
          <w:rFonts w:ascii="Century Gothic" w:hAnsi="Century Gothic"/>
          <w:sz w:val="20"/>
          <w:szCs w:val="20"/>
        </w:rPr>
        <w:t xml:space="preserve">Graves, N., Weinhold, D., &amp; Roberts, J.A. (2005). Correcting for bias when estimating the cost of hospital-acquired infection: an analysis of lower respiratory tract infections in non-surgical patients. </w:t>
      </w:r>
      <w:r w:rsidRPr="00E244B2">
        <w:rPr>
          <w:rFonts w:ascii="Century Gothic" w:hAnsi="Century Gothic"/>
          <w:i/>
          <w:sz w:val="20"/>
          <w:szCs w:val="20"/>
        </w:rPr>
        <w:t>Health Econ, 14</w:t>
      </w:r>
      <w:r w:rsidRPr="00E244B2">
        <w:rPr>
          <w:rFonts w:ascii="Century Gothic" w:hAnsi="Century Gothic"/>
          <w:sz w:val="20"/>
          <w:szCs w:val="20"/>
        </w:rPr>
        <w:t>(7), 755-761.</w:t>
      </w:r>
      <w:bookmarkEnd w:id="112"/>
    </w:p>
    <w:p w:rsidR="00C33CAE" w:rsidRPr="00E244B2" w:rsidRDefault="00C33CAE" w:rsidP="00C33CAE">
      <w:pPr>
        <w:pStyle w:val="EndNoteBibliography"/>
        <w:spacing w:after="0"/>
        <w:ind w:left="720" w:hanging="720"/>
        <w:rPr>
          <w:rFonts w:ascii="Century Gothic" w:hAnsi="Century Gothic"/>
          <w:sz w:val="20"/>
          <w:szCs w:val="20"/>
        </w:rPr>
      </w:pPr>
      <w:bookmarkStart w:id="113" w:name="_ENREF_14"/>
      <w:r w:rsidRPr="00E244B2">
        <w:rPr>
          <w:rFonts w:ascii="Century Gothic" w:hAnsi="Century Gothic"/>
          <w:sz w:val="20"/>
          <w:szCs w:val="20"/>
        </w:rPr>
        <w:t xml:space="preserve">Hollenbeak, C.S., Murphy, D., Dunagan, W.C., &amp; Fraser, V.J. (2002). Nonrandom selection and the attributable cost of surgical-site infections. </w:t>
      </w:r>
      <w:r w:rsidRPr="00E244B2">
        <w:rPr>
          <w:rFonts w:ascii="Century Gothic" w:hAnsi="Century Gothic"/>
          <w:i/>
          <w:sz w:val="20"/>
          <w:szCs w:val="20"/>
        </w:rPr>
        <w:t>Infect Control Hosp Epidemiol, 23</w:t>
      </w:r>
      <w:r w:rsidRPr="00E244B2">
        <w:rPr>
          <w:rFonts w:ascii="Century Gothic" w:hAnsi="Century Gothic"/>
          <w:sz w:val="20"/>
          <w:szCs w:val="20"/>
        </w:rPr>
        <w:t>(4), 177-182.</w:t>
      </w:r>
      <w:bookmarkEnd w:id="113"/>
    </w:p>
    <w:p w:rsidR="00C33CAE" w:rsidRPr="00E244B2" w:rsidRDefault="00C33CAE" w:rsidP="00C33CAE">
      <w:pPr>
        <w:pStyle w:val="EndNoteBibliography"/>
        <w:spacing w:after="0"/>
        <w:ind w:left="720" w:hanging="720"/>
        <w:rPr>
          <w:rFonts w:ascii="Century Gothic" w:hAnsi="Century Gothic"/>
          <w:sz w:val="20"/>
          <w:szCs w:val="20"/>
        </w:rPr>
      </w:pPr>
      <w:bookmarkStart w:id="114" w:name="_ENREF_15"/>
      <w:r w:rsidRPr="00E244B2">
        <w:rPr>
          <w:rFonts w:ascii="Century Gothic" w:hAnsi="Century Gothic"/>
          <w:sz w:val="20"/>
          <w:szCs w:val="20"/>
        </w:rPr>
        <w:t xml:space="preserve">Howard, D., Cordell, R., McGowan, J.E., Jr., Packard, R.M., Scott, R.D., 2nd, &amp; Solomon, S.L. (2001). Measuring the economic costs of antimicrobial resistance in hospital settings: summary of the Centers for Disease Control and Prevention-Emory Workshop. </w:t>
      </w:r>
      <w:r w:rsidRPr="00E244B2">
        <w:rPr>
          <w:rFonts w:ascii="Century Gothic" w:hAnsi="Century Gothic"/>
          <w:i/>
          <w:sz w:val="20"/>
          <w:szCs w:val="20"/>
        </w:rPr>
        <w:t>Clin Infect Dis, 33</w:t>
      </w:r>
      <w:r w:rsidRPr="00E244B2">
        <w:rPr>
          <w:rFonts w:ascii="Century Gothic" w:hAnsi="Century Gothic"/>
          <w:sz w:val="20"/>
          <w:szCs w:val="20"/>
        </w:rPr>
        <w:t>(9), 1573-1578.</w:t>
      </w:r>
      <w:bookmarkEnd w:id="114"/>
    </w:p>
    <w:p w:rsidR="00C33CAE" w:rsidRPr="00E244B2" w:rsidRDefault="00C33CAE" w:rsidP="00C33CAE">
      <w:pPr>
        <w:pStyle w:val="EndNoteBibliography"/>
        <w:spacing w:after="0"/>
        <w:ind w:left="720" w:hanging="720"/>
        <w:rPr>
          <w:rFonts w:ascii="Century Gothic" w:hAnsi="Century Gothic"/>
          <w:sz w:val="20"/>
          <w:szCs w:val="20"/>
        </w:rPr>
      </w:pPr>
      <w:bookmarkStart w:id="115" w:name="_ENREF_16"/>
      <w:r w:rsidRPr="00E244B2">
        <w:rPr>
          <w:rFonts w:ascii="Century Gothic" w:hAnsi="Century Gothic"/>
          <w:sz w:val="20"/>
          <w:szCs w:val="20"/>
        </w:rPr>
        <w:t xml:space="preserve">Hughes, J.S., Averill, R.F., Goldfield, N.I., Gay, J.C., Muldoon, J., McCullough, E., &amp; Xiang, J. (2006). Identifying potentially preventable complications using a present on admission indicator. </w:t>
      </w:r>
      <w:r w:rsidRPr="00E244B2">
        <w:rPr>
          <w:rFonts w:ascii="Century Gothic" w:hAnsi="Century Gothic"/>
          <w:i/>
          <w:sz w:val="20"/>
          <w:szCs w:val="20"/>
        </w:rPr>
        <w:t>Health Care Financ Rev, 27</w:t>
      </w:r>
      <w:r w:rsidRPr="00E244B2">
        <w:rPr>
          <w:rFonts w:ascii="Century Gothic" w:hAnsi="Century Gothic"/>
          <w:sz w:val="20"/>
          <w:szCs w:val="20"/>
        </w:rPr>
        <w:t>(3), 63-82.</w:t>
      </w:r>
      <w:bookmarkEnd w:id="115"/>
    </w:p>
    <w:p w:rsidR="00C33CAE" w:rsidRPr="00E244B2" w:rsidRDefault="00C33CAE" w:rsidP="00C33CAE">
      <w:pPr>
        <w:pStyle w:val="EndNoteBibliography"/>
        <w:spacing w:after="0"/>
        <w:ind w:left="720" w:hanging="720"/>
        <w:rPr>
          <w:rFonts w:ascii="Century Gothic" w:hAnsi="Century Gothic"/>
          <w:sz w:val="20"/>
          <w:szCs w:val="20"/>
        </w:rPr>
      </w:pPr>
      <w:bookmarkStart w:id="116" w:name="_ENREF_17"/>
      <w:r w:rsidRPr="00E244B2">
        <w:rPr>
          <w:rFonts w:ascii="Century Gothic" w:hAnsi="Century Gothic"/>
          <w:sz w:val="20"/>
          <w:szCs w:val="20"/>
        </w:rPr>
        <w:t xml:space="preserve">Institute of Medicine. (2013). Crossing the Quality Chasm: The IOM Health Care Quality Initiative.   Retrieved 20 September 2013, from </w:t>
      </w:r>
      <w:hyperlink r:id="rId131" w:history="1">
        <w:r w:rsidRPr="00E244B2">
          <w:rPr>
            <w:rStyle w:val="Hyperlink"/>
            <w:szCs w:val="20"/>
          </w:rPr>
          <w:t>http://www.iom.edu/Global/News%20Announcements/Crossing-the-Quality-Chasm-The-IOM-Health-Care-Quality-Initiative.aspx</w:t>
        </w:r>
        <w:bookmarkEnd w:id="116"/>
      </w:hyperlink>
    </w:p>
    <w:p w:rsidR="00C33CAE" w:rsidRPr="00E244B2" w:rsidRDefault="00C33CAE" w:rsidP="00C33CAE">
      <w:pPr>
        <w:pStyle w:val="EndNoteBibliography"/>
        <w:spacing w:after="0"/>
        <w:ind w:left="720" w:hanging="720"/>
        <w:rPr>
          <w:rFonts w:ascii="Century Gothic" w:hAnsi="Century Gothic"/>
          <w:sz w:val="20"/>
          <w:szCs w:val="20"/>
        </w:rPr>
      </w:pPr>
      <w:bookmarkStart w:id="117" w:name="_ENREF_18"/>
      <w:r w:rsidRPr="00E244B2">
        <w:rPr>
          <w:rFonts w:ascii="Century Gothic" w:hAnsi="Century Gothic"/>
          <w:sz w:val="20"/>
          <w:szCs w:val="20"/>
        </w:rPr>
        <w:t>Jackson, T., Fong, A., Liu, M., Murray, K., QWalz, L., Houston, C., &amp; Dean, S. (2013, under review). Incremental costs of hospital-acquired complications in Alberta, Canada.</w:t>
      </w:r>
      <w:bookmarkEnd w:id="117"/>
    </w:p>
    <w:p w:rsidR="00C33CAE" w:rsidRPr="00E244B2" w:rsidRDefault="00C33CAE" w:rsidP="00C33CAE">
      <w:pPr>
        <w:pStyle w:val="EndNoteBibliography"/>
        <w:spacing w:after="0"/>
        <w:ind w:left="720" w:hanging="720"/>
        <w:rPr>
          <w:rFonts w:ascii="Century Gothic" w:hAnsi="Century Gothic"/>
          <w:sz w:val="20"/>
          <w:szCs w:val="20"/>
        </w:rPr>
      </w:pPr>
      <w:bookmarkStart w:id="118" w:name="_ENREF_19"/>
      <w:r w:rsidRPr="00E244B2">
        <w:rPr>
          <w:rFonts w:ascii="Century Gothic" w:hAnsi="Century Gothic"/>
          <w:sz w:val="20"/>
          <w:szCs w:val="20"/>
        </w:rPr>
        <w:lastRenderedPageBreak/>
        <w:t xml:space="preserve">Jackson, T., Michel, J.L., Roberts, R., Shepheard, J., Cheng, D., Rust, J., &amp; Perry, C. (2009). Development of a validation algorithm for 'present on admission' flagging. </w:t>
      </w:r>
      <w:r w:rsidRPr="00E244B2">
        <w:rPr>
          <w:rFonts w:ascii="Century Gothic" w:hAnsi="Century Gothic"/>
          <w:i/>
          <w:sz w:val="20"/>
          <w:szCs w:val="20"/>
        </w:rPr>
        <w:t>BMC Med Inform Decis Mak, 9</w:t>
      </w:r>
      <w:r w:rsidRPr="00E244B2">
        <w:rPr>
          <w:rFonts w:ascii="Century Gothic" w:hAnsi="Century Gothic"/>
          <w:sz w:val="20"/>
          <w:szCs w:val="20"/>
        </w:rPr>
        <w:t>, 48.</w:t>
      </w:r>
      <w:bookmarkEnd w:id="118"/>
    </w:p>
    <w:p w:rsidR="00C33CAE" w:rsidRPr="00E244B2" w:rsidRDefault="00C33CAE" w:rsidP="00C33CAE">
      <w:pPr>
        <w:pStyle w:val="EndNoteBibliography"/>
        <w:spacing w:after="0"/>
        <w:ind w:left="720" w:hanging="720"/>
        <w:rPr>
          <w:rFonts w:ascii="Century Gothic" w:hAnsi="Century Gothic"/>
          <w:sz w:val="20"/>
          <w:szCs w:val="20"/>
        </w:rPr>
      </w:pPr>
      <w:bookmarkStart w:id="119" w:name="_ENREF_20"/>
      <w:r w:rsidRPr="00E244B2">
        <w:rPr>
          <w:rFonts w:ascii="Century Gothic" w:hAnsi="Century Gothic"/>
          <w:sz w:val="20"/>
          <w:szCs w:val="20"/>
        </w:rPr>
        <w:t xml:space="preserve">Jackson, T., Michel, J.L., Roberts, R.F., Jorm, C.M., &amp; Wakefield, J.G. (2009). A classification of hospital-acquired diagnoses for use with routine hospital data. </w:t>
      </w:r>
      <w:r w:rsidRPr="00E244B2">
        <w:rPr>
          <w:rFonts w:ascii="Century Gothic" w:hAnsi="Century Gothic"/>
          <w:i/>
          <w:sz w:val="20"/>
          <w:szCs w:val="20"/>
        </w:rPr>
        <w:t>Med J Aust, 191</w:t>
      </w:r>
      <w:r w:rsidRPr="00E244B2">
        <w:rPr>
          <w:rFonts w:ascii="Century Gothic" w:hAnsi="Century Gothic"/>
          <w:sz w:val="20"/>
          <w:szCs w:val="20"/>
        </w:rPr>
        <w:t>(10), 544-548.</w:t>
      </w:r>
      <w:bookmarkEnd w:id="119"/>
    </w:p>
    <w:p w:rsidR="00C33CAE" w:rsidRPr="00E244B2" w:rsidRDefault="00C33CAE" w:rsidP="00C33CAE">
      <w:pPr>
        <w:pStyle w:val="EndNoteBibliography"/>
        <w:spacing w:after="0"/>
        <w:ind w:left="720" w:hanging="720"/>
        <w:rPr>
          <w:rFonts w:ascii="Century Gothic" w:hAnsi="Century Gothic"/>
          <w:sz w:val="20"/>
          <w:szCs w:val="20"/>
        </w:rPr>
      </w:pPr>
      <w:bookmarkStart w:id="120" w:name="_ENREF_21"/>
      <w:r w:rsidRPr="00E244B2">
        <w:rPr>
          <w:rFonts w:ascii="Century Gothic" w:hAnsi="Century Gothic"/>
          <w:sz w:val="20"/>
          <w:szCs w:val="20"/>
        </w:rPr>
        <w:t xml:space="preserve">Jackson, T., Nghiem, H.S., Rowell, D., Jorm, C., &amp; Wakefield, J. (2011). Marginal costs of hospital-acquired conditions: information for priority-setting for patient safety programmes and research. </w:t>
      </w:r>
      <w:r w:rsidRPr="00E244B2">
        <w:rPr>
          <w:rFonts w:ascii="Century Gothic" w:hAnsi="Century Gothic"/>
          <w:i/>
          <w:sz w:val="20"/>
          <w:szCs w:val="20"/>
        </w:rPr>
        <w:t>J Health Serv Res Policy, 16</w:t>
      </w:r>
      <w:r w:rsidRPr="00E244B2">
        <w:rPr>
          <w:rFonts w:ascii="Century Gothic" w:hAnsi="Century Gothic"/>
          <w:sz w:val="20"/>
          <w:szCs w:val="20"/>
        </w:rPr>
        <w:t>(3), 141-146.</w:t>
      </w:r>
      <w:bookmarkEnd w:id="120"/>
    </w:p>
    <w:p w:rsidR="00C33CAE" w:rsidRPr="00E244B2" w:rsidRDefault="00C33CAE" w:rsidP="00C33CAE">
      <w:pPr>
        <w:pStyle w:val="EndNoteBibliography"/>
        <w:spacing w:after="0"/>
        <w:ind w:left="720" w:hanging="720"/>
        <w:rPr>
          <w:rFonts w:ascii="Century Gothic" w:hAnsi="Century Gothic"/>
          <w:sz w:val="20"/>
          <w:szCs w:val="20"/>
        </w:rPr>
      </w:pPr>
      <w:bookmarkStart w:id="121" w:name="_ENREF_22"/>
      <w:r w:rsidRPr="00E244B2">
        <w:rPr>
          <w:rFonts w:ascii="Century Gothic" w:hAnsi="Century Gothic"/>
          <w:sz w:val="20"/>
          <w:szCs w:val="20"/>
        </w:rPr>
        <w:t xml:space="preserve">McNair, P., Borovnicar, D., Jackson, T., &amp; Gillett, S. (2009). Prospective payment to encourage system wide quality improvement. </w:t>
      </w:r>
      <w:r w:rsidRPr="00E244B2">
        <w:rPr>
          <w:rFonts w:ascii="Century Gothic" w:hAnsi="Century Gothic"/>
          <w:i/>
          <w:sz w:val="20"/>
          <w:szCs w:val="20"/>
        </w:rPr>
        <w:t>Med Care, 47</w:t>
      </w:r>
      <w:r w:rsidRPr="00E244B2">
        <w:rPr>
          <w:rFonts w:ascii="Century Gothic" w:hAnsi="Century Gothic"/>
          <w:sz w:val="20"/>
          <w:szCs w:val="20"/>
        </w:rPr>
        <w:t>(3), 272-278.</w:t>
      </w:r>
      <w:bookmarkEnd w:id="121"/>
    </w:p>
    <w:p w:rsidR="00C33CAE" w:rsidRPr="00E244B2" w:rsidRDefault="00C33CAE" w:rsidP="00C33CAE">
      <w:pPr>
        <w:pStyle w:val="EndNoteBibliography"/>
        <w:spacing w:after="0"/>
        <w:ind w:left="720" w:hanging="720"/>
        <w:rPr>
          <w:rFonts w:ascii="Century Gothic" w:hAnsi="Century Gothic"/>
          <w:sz w:val="20"/>
          <w:szCs w:val="20"/>
        </w:rPr>
      </w:pPr>
      <w:bookmarkStart w:id="122" w:name="_ENREF_23"/>
      <w:r w:rsidRPr="00E244B2">
        <w:rPr>
          <w:rFonts w:ascii="Century Gothic" w:hAnsi="Century Gothic"/>
          <w:sz w:val="20"/>
          <w:szCs w:val="20"/>
        </w:rPr>
        <w:t xml:space="preserve">Michel, J., Nghiem, H.D., &amp; Jackson, T.J. (2009). Using ICD-10-AM codes to characterise hospital-acquired complications. </w:t>
      </w:r>
      <w:r w:rsidRPr="00E244B2">
        <w:rPr>
          <w:rFonts w:ascii="Century Gothic" w:hAnsi="Century Gothic"/>
          <w:i/>
          <w:sz w:val="20"/>
          <w:szCs w:val="20"/>
        </w:rPr>
        <w:t>HIM J, 38</w:t>
      </w:r>
      <w:r w:rsidRPr="00E244B2">
        <w:rPr>
          <w:rFonts w:ascii="Century Gothic" w:hAnsi="Century Gothic"/>
          <w:sz w:val="20"/>
          <w:szCs w:val="20"/>
        </w:rPr>
        <w:t>(3), 18-25.</w:t>
      </w:r>
      <w:bookmarkEnd w:id="122"/>
    </w:p>
    <w:p w:rsidR="00C33CAE" w:rsidRPr="00E244B2" w:rsidRDefault="00C33CAE" w:rsidP="00C33CAE">
      <w:pPr>
        <w:pStyle w:val="EndNoteBibliography"/>
        <w:spacing w:after="0"/>
        <w:ind w:left="720" w:hanging="720"/>
        <w:rPr>
          <w:rFonts w:ascii="Century Gothic" w:hAnsi="Century Gothic"/>
          <w:sz w:val="20"/>
          <w:szCs w:val="20"/>
        </w:rPr>
      </w:pPr>
      <w:bookmarkStart w:id="123" w:name="_ENREF_24"/>
      <w:r w:rsidRPr="00E244B2">
        <w:rPr>
          <w:rFonts w:ascii="Century Gothic" w:hAnsi="Century Gothic"/>
          <w:sz w:val="20"/>
          <w:szCs w:val="20"/>
        </w:rPr>
        <w:t>National Casemix and Classification Centre. (2012). Australian Coding Standards. Sydney: NCCC.</w:t>
      </w:r>
      <w:bookmarkEnd w:id="123"/>
    </w:p>
    <w:p w:rsidR="00C33CAE" w:rsidRPr="00E244B2" w:rsidRDefault="00C33CAE" w:rsidP="00C33CAE">
      <w:pPr>
        <w:pStyle w:val="EndNoteBibliography"/>
        <w:spacing w:after="0"/>
        <w:ind w:left="720" w:hanging="720"/>
        <w:rPr>
          <w:rFonts w:ascii="Century Gothic" w:hAnsi="Century Gothic"/>
          <w:sz w:val="20"/>
          <w:szCs w:val="20"/>
        </w:rPr>
      </w:pPr>
      <w:bookmarkStart w:id="124" w:name="_ENREF_25"/>
      <w:r w:rsidRPr="00E244B2">
        <w:rPr>
          <w:rFonts w:ascii="Century Gothic" w:hAnsi="Century Gothic"/>
          <w:sz w:val="20"/>
          <w:szCs w:val="20"/>
        </w:rPr>
        <w:t xml:space="preserve">Noskin, G.A., Rubin, R.J., Schentag, J.J., Kluytmans, J., Hedblom, E.C., Smulders, M., . . . Gemmen, E. (2005). The burden of Staphylococcus aureus infections on hospitals in the United States: an analysis of the 2000 and 2001 Nationwide Inpatient Sample Database. </w:t>
      </w:r>
      <w:r w:rsidRPr="00E244B2">
        <w:rPr>
          <w:rFonts w:ascii="Century Gothic" w:hAnsi="Century Gothic"/>
          <w:i/>
          <w:sz w:val="20"/>
          <w:szCs w:val="20"/>
        </w:rPr>
        <w:t>Arch Intern Med, 165</w:t>
      </w:r>
      <w:r w:rsidRPr="00E244B2">
        <w:rPr>
          <w:rFonts w:ascii="Century Gothic" w:hAnsi="Century Gothic"/>
          <w:sz w:val="20"/>
          <w:szCs w:val="20"/>
        </w:rPr>
        <w:t>(15), 1756-1761.</w:t>
      </w:r>
      <w:bookmarkEnd w:id="124"/>
    </w:p>
    <w:p w:rsidR="00C33CAE" w:rsidRPr="00E244B2" w:rsidRDefault="00C33CAE" w:rsidP="00C33CAE">
      <w:pPr>
        <w:pStyle w:val="EndNoteBibliography"/>
        <w:spacing w:after="0"/>
        <w:ind w:left="720" w:hanging="720"/>
        <w:rPr>
          <w:rFonts w:ascii="Century Gothic" w:hAnsi="Century Gothic"/>
          <w:sz w:val="20"/>
          <w:szCs w:val="20"/>
        </w:rPr>
      </w:pPr>
      <w:bookmarkStart w:id="125" w:name="_ENREF_26"/>
      <w:r w:rsidRPr="00E244B2">
        <w:rPr>
          <w:rFonts w:ascii="Century Gothic" w:hAnsi="Century Gothic"/>
          <w:sz w:val="20"/>
          <w:szCs w:val="20"/>
        </w:rPr>
        <w:t xml:space="preserve">Pronovost, P., Goeschel, C., &amp; Wachter, R. (2008). The wisdom and justice of not paying for “preventable complications”. </w:t>
      </w:r>
      <w:r w:rsidRPr="00E244B2">
        <w:rPr>
          <w:rFonts w:ascii="Century Gothic" w:hAnsi="Century Gothic"/>
          <w:i/>
          <w:sz w:val="20"/>
          <w:szCs w:val="20"/>
        </w:rPr>
        <w:t>Journal of the American Medical Association, 299</w:t>
      </w:r>
      <w:r w:rsidRPr="00E244B2">
        <w:rPr>
          <w:rFonts w:ascii="Century Gothic" w:hAnsi="Century Gothic"/>
          <w:sz w:val="20"/>
          <w:szCs w:val="20"/>
        </w:rPr>
        <w:t>, 2197–2199.</w:t>
      </w:r>
      <w:bookmarkEnd w:id="125"/>
    </w:p>
    <w:p w:rsidR="00C33CAE" w:rsidRPr="00E244B2" w:rsidRDefault="00C33CAE" w:rsidP="00C33CAE">
      <w:pPr>
        <w:pStyle w:val="EndNoteBibliography"/>
        <w:spacing w:after="0"/>
        <w:ind w:left="720" w:hanging="720"/>
        <w:rPr>
          <w:rFonts w:ascii="Century Gothic" w:hAnsi="Century Gothic"/>
          <w:sz w:val="20"/>
          <w:szCs w:val="20"/>
        </w:rPr>
      </w:pPr>
      <w:bookmarkStart w:id="126" w:name="_ENREF_27"/>
      <w:r w:rsidRPr="00E244B2">
        <w:rPr>
          <w:rFonts w:ascii="Century Gothic" w:hAnsi="Century Gothic"/>
          <w:sz w:val="20"/>
          <w:szCs w:val="20"/>
        </w:rPr>
        <w:t xml:space="preserve">Pronovost, P., Needham, D., Berenholtz, S., Sinopoli, D., Chu, H., Cosgrove, S., . . . Goeschel, C. (2006). An intervention to decrease catheter-related bloodstream infections in the ICU. </w:t>
      </w:r>
      <w:r w:rsidRPr="00E244B2">
        <w:rPr>
          <w:rFonts w:ascii="Century Gothic" w:hAnsi="Century Gothic"/>
          <w:i/>
          <w:sz w:val="20"/>
          <w:szCs w:val="20"/>
        </w:rPr>
        <w:t>N Engl J Med, 355</w:t>
      </w:r>
      <w:r w:rsidRPr="00E244B2">
        <w:rPr>
          <w:rFonts w:ascii="Century Gothic" w:hAnsi="Century Gothic"/>
          <w:sz w:val="20"/>
          <w:szCs w:val="20"/>
        </w:rPr>
        <w:t>(26), 2725-2732.</w:t>
      </w:r>
      <w:bookmarkEnd w:id="126"/>
    </w:p>
    <w:p w:rsidR="00C33CAE" w:rsidRPr="00E244B2" w:rsidRDefault="00C33CAE" w:rsidP="00C33CAE">
      <w:pPr>
        <w:pStyle w:val="EndNoteBibliography"/>
        <w:spacing w:after="0"/>
        <w:ind w:left="720" w:hanging="720"/>
        <w:rPr>
          <w:rFonts w:ascii="Century Gothic" w:hAnsi="Century Gothic"/>
          <w:sz w:val="20"/>
          <w:szCs w:val="20"/>
        </w:rPr>
      </w:pPr>
      <w:bookmarkStart w:id="127" w:name="_ENREF_28"/>
      <w:r w:rsidRPr="00E244B2">
        <w:rPr>
          <w:rFonts w:ascii="Century Gothic" w:hAnsi="Century Gothic"/>
          <w:sz w:val="20"/>
          <w:szCs w:val="20"/>
        </w:rPr>
        <w:t xml:space="preserve">Schulgen, G., Kropec, A., Kappstein, I., Daschner, F., &amp; Schumacher, M. (2000). Estimation of extra hospital stay attributable to nosocomial infections: heterogeneity and timing of events. </w:t>
      </w:r>
      <w:r w:rsidRPr="00E244B2">
        <w:rPr>
          <w:rFonts w:ascii="Century Gothic" w:hAnsi="Century Gothic"/>
          <w:i/>
          <w:sz w:val="20"/>
          <w:szCs w:val="20"/>
        </w:rPr>
        <w:t>J Clin Epidemiol, 53</w:t>
      </w:r>
      <w:r w:rsidRPr="00E244B2">
        <w:rPr>
          <w:rFonts w:ascii="Century Gothic" w:hAnsi="Century Gothic"/>
          <w:sz w:val="20"/>
          <w:szCs w:val="20"/>
        </w:rPr>
        <w:t>(4), 409-417.</w:t>
      </w:r>
      <w:bookmarkEnd w:id="127"/>
    </w:p>
    <w:p w:rsidR="00C33CAE" w:rsidRPr="00E244B2" w:rsidRDefault="00C33CAE" w:rsidP="00C33CAE">
      <w:pPr>
        <w:pStyle w:val="EndNoteBibliography"/>
        <w:spacing w:after="0"/>
        <w:ind w:left="720" w:hanging="720"/>
        <w:rPr>
          <w:rFonts w:ascii="Century Gothic" w:hAnsi="Century Gothic"/>
          <w:sz w:val="20"/>
          <w:szCs w:val="20"/>
        </w:rPr>
      </w:pPr>
      <w:bookmarkStart w:id="128" w:name="_ENREF_29"/>
      <w:r w:rsidRPr="00E244B2">
        <w:rPr>
          <w:rFonts w:ascii="Century Gothic" w:hAnsi="Century Gothic"/>
          <w:sz w:val="20"/>
          <w:szCs w:val="20"/>
        </w:rPr>
        <w:t xml:space="preserve">Umscheid, C.A., Mitchell, M.D., Doshi, J.A., Agarwal, R., Williams, K., &amp; Brennan, P.J. (2011). Estimating the proportion of healthcare-associated infections that are reasonably preventable and the related mortality and costs. </w:t>
      </w:r>
      <w:r w:rsidRPr="00E244B2">
        <w:rPr>
          <w:rFonts w:ascii="Century Gothic" w:hAnsi="Century Gothic"/>
          <w:i/>
          <w:sz w:val="20"/>
          <w:szCs w:val="20"/>
        </w:rPr>
        <w:t>Infect Control Hosp Epidemiol, 32</w:t>
      </w:r>
      <w:r w:rsidRPr="00E244B2">
        <w:rPr>
          <w:rFonts w:ascii="Century Gothic" w:hAnsi="Century Gothic"/>
          <w:sz w:val="20"/>
          <w:szCs w:val="20"/>
        </w:rPr>
        <w:t>(2), 101-114.</w:t>
      </w:r>
      <w:bookmarkEnd w:id="128"/>
    </w:p>
    <w:p w:rsidR="00C33CAE" w:rsidRPr="00E244B2" w:rsidRDefault="00C33CAE" w:rsidP="00C33CAE">
      <w:pPr>
        <w:pStyle w:val="EndNoteBibliography"/>
        <w:spacing w:after="0"/>
        <w:ind w:left="720" w:hanging="720"/>
        <w:rPr>
          <w:rFonts w:ascii="Century Gothic" w:hAnsi="Century Gothic"/>
          <w:sz w:val="20"/>
          <w:szCs w:val="20"/>
        </w:rPr>
      </w:pPr>
      <w:bookmarkStart w:id="129" w:name="_ENREF_30"/>
      <w:r w:rsidRPr="00E244B2">
        <w:rPr>
          <w:rFonts w:ascii="Century Gothic" w:hAnsi="Century Gothic"/>
          <w:sz w:val="20"/>
          <w:szCs w:val="20"/>
        </w:rPr>
        <w:t xml:space="preserve">van Walraven, C., Davis, D., Forster, A.J., &amp; Wells, G.A. (2004). Time-dependent bias was common in survival analyses published in leading clinical journals. </w:t>
      </w:r>
      <w:r w:rsidRPr="00E244B2">
        <w:rPr>
          <w:rFonts w:ascii="Century Gothic" w:hAnsi="Century Gothic"/>
          <w:i/>
          <w:sz w:val="20"/>
          <w:szCs w:val="20"/>
        </w:rPr>
        <w:t>J Clin Epidemiol, 57</w:t>
      </w:r>
      <w:r w:rsidRPr="00E244B2">
        <w:rPr>
          <w:rFonts w:ascii="Century Gothic" w:hAnsi="Century Gothic"/>
          <w:sz w:val="20"/>
          <w:szCs w:val="20"/>
        </w:rPr>
        <w:t>(7), 672-682.</w:t>
      </w:r>
      <w:bookmarkEnd w:id="129"/>
    </w:p>
    <w:p w:rsidR="00C33CAE" w:rsidRPr="00E244B2" w:rsidRDefault="00C33CAE" w:rsidP="00C33CAE">
      <w:pPr>
        <w:pStyle w:val="EndNoteBibliography"/>
        <w:spacing w:after="0"/>
        <w:ind w:left="720" w:hanging="720"/>
        <w:rPr>
          <w:rFonts w:ascii="Century Gothic" w:hAnsi="Century Gothic"/>
          <w:sz w:val="20"/>
          <w:szCs w:val="20"/>
        </w:rPr>
      </w:pPr>
      <w:bookmarkStart w:id="130" w:name="_ENREF_31"/>
      <w:r w:rsidRPr="00E244B2">
        <w:rPr>
          <w:rFonts w:ascii="Century Gothic" w:hAnsi="Century Gothic"/>
          <w:sz w:val="20"/>
          <w:szCs w:val="20"/>
        </w:rPr>
        <w:t xml:space="preserve">Vincent, C., Aylin, P., Franklin, B.D., Holmes, A., Iskander, S., Jacklin, A., &amp; Moorthy, K. (2008). Is health care getting safer? </w:t>
      </w:r>
      <w:r w:rsidRPr="00E244B2">
        <w:rPr>
          <w:rFonts w:ascii="Century Gothic" w:hAnsi="Century Gothic"/>
          <w:i/>
          <w:sz w:val="20"/>
          <w:szCs w:val="20"/>
        </w:rPr>
        <w:t>BMJ, 337</w:t>
      </w:r>
      <w:r w:rsidRPr="00E244B2">
        <w:rPr>
          <w:rFonts w:ascii="Century Gothic" w:hAnsi="Century Gothic"/>
          <w:sz w:val="20"/>
          <w:szCs w:val="20"/>
        </w:rPr>
        <w:t>, a2426.</w:t>
      </w:r>
      <w:bookmarkEnd w:id="130"/>
    </w:p>
    <w:p w:rsidR="00C33CAE" w:rsidRPr="00E244B2" w:rsidRDefault="00C33CAE" w:rsidP="00C33CAE">
      <w:pPr>
        <w:pStyle w:val="EndNoteBibliography"/>
        <w:spacing w:after="0"/>
        <w:ind w:left="720" w:hanging="720"/>
        <w:rPr>
          <w:rFonts w:ascii="Century Gothic" w:hAnsi="Century Gothic"/>
          <w:sz w:val="20"/>
          <w:szCs w:val="20"/>
        </w:rPr>
      </w:pPr>
      <w:bookmarkStart w:id="131" w:name="_ENREF_32"/>
      <w:r w:rsidRPr="00E244B2">
        <w:rPr>
          <w:rFonts w:ascii="Century Gothic" w:hAnsi="Century Gothic"/>
          <w:sz w:val="20"/>
          <w:szCs w:val="20"/>
        </w:rPr>
        <w:t xml:space="preserve">Wilson, R., Runciman, W., Gibberd, R., Harrison, B., Newby, L., &amp; Hamilton, J. (1995). The Quality in Australian Health Care Study. </w:t>
      </w:r>
      <w:r w:rsidRPr="00E244B2">
        <w:rPr>
          <w:rFonts w:ascii="Century Gothic" w:hAnsi="Century Gothic"/>
          <w:i/>
          <w:sz w:val="20"/>
          <w:szCs w:val="20"/>
        </w:rPr>
        <w:t>Medical Journal of Australia, 163</w:t>
      </w:r>
      <w:r w:rsidRPr="00E244B2">
        <w:rPr>
          <w:rFonts w:ascii="Century Gothic" w:hAnsi="Century Gothic"/>
          <w:sz w:val="20"/>
          <w:szCs w:val="20"/>
        </w:rPr>
        <w:t>, 458-471.</w:t>
      </w:r>
      <w:bookmarkEnd w:id="131"/>
    </w:p>
    <w:p w:rsidR="00C33CAE" w:rsidRPr="00E244B2" w:rsidRDefault="00C33CAE" w:rsidP="00C33CAE">
      <w:pPr>
        <w:pStyle w:val="EndNoteBibliography"/>
        <w:ind w:left="720" w:hanging="720"/>
        <w:rPr>
          <w:rFonts w:ascii="Century Gothic" w:hAnsi="Century Gothic"/>
          <w:sz w:val="20"/>
          <w:szCs w:val="20"/>
        </w:rPr>
      </w:pPr>
      <w:bookmarkStart w:id="132" w:name="_ENREF_33"/>
      <w:r w:rsidRPr="00E244B2">
        <w:rPr>
          <w:rFonts w:ascii="Century Gothic" w:hAnsi="Century Gothic"/>
          <w:sz w:val="20"/>
          <w:szCs w:val="20"/>
        </w:rPr>
        <w:t xml:space="preserve">Zhan, C., &amp; Miller, M.R. (2003). Excess length of stay, charges, and mortality attributable to medical injuries during hospitalization. </w:t>
      </w:r>
      <w:r w:rsidRPr="00E244B2">
        <w:rPr>
          <w:rFonts w:ascii="Century Gothic" w:hAnsi="Century Gothic"/>
          <w:i/>
          <w:sz w:val="20"/>
          <w:szCs w:val="20"/>
        </w:rPr>
        <w:t>JAMA, 290</w:t>
      </w:r>
      <w:r w:rsidRPr="00E244B2">
        <w:rPr>
          <w:rFonts w:ascii="Century Gothic" w:hAnsi="Century Gothic"/>
          <w:sz w:val="20"/>
          <w:szCs w:val="20"/>
        </w:rPr>
        <w:t>(14), 1868-1874.</w:t>
      </w:r>
      <w:bookmarkEnd w:id="132"/>
    </w:p>
    <w:p w:rsidR="007718C7" w:rsidRPr="006A6DA1" w:rsidRDefault="007718C7" w:rsidP="00290091">
      <w:pPr>
        <w:contextualSpacing/>
        <w:rPr>
          <w:szCs w:val="20"/>
        </w:rPr>
      </w:pPr>
      <w:r w:rsidRPr="00E244B2">
        <w:rPr>
          <w:szCs w:val="20"/>
        </w:rPr>
        <w:fldChar w:fldCharType="end"/>
      </w:r>
    </w:p>
    <w:sectPr w:rsidR="007718C7" w:rsidRPr="006A6DA1" w:rsidSect="00915342">
      <w:footerReference w:type="default" r:id="rId132"/>
      <w:headerReference w:type="first" r:id="rId133"/>
      <w:footerReference w:type="first" r:id="rId1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816" w:rsidRDefault="00840816" w:rsidP="00DD4F2B">
      <w:pPr>
        <w:spacing w:after="0" w:line="240" w:lineRule="auto"/>
      </w:pPr>
      <w:r>
        <w:separator/>
      </w:r>
    </w:p>
  </w:endnote>
  <w:endnote w:type="continuationSeparator" w:id="0">
    <w:p w:rsidR="00840816" w:rsidRDefault="00840816" w:rsidP="00DD4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MyriadPro-Regula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976ACB" w:rsidRDefault="00C9763C" w:rsidP="00F11DF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16134A" w:rsidRDefault="00C9763C" w:rsidP="00A97602">
    <w:pPr>
      <w:pStyle w:val="Footer"/>
      <w:pBdr>
        <w:top w:val="single" w:sz="4" w:space="1" w:color="D9D9D9"/>
      </w:pBdr>
      <w:tabs>
        <w:tab w:val="clear" w:pos="9026"/>
        <w:tab w:val="right" w:pos="1389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43</w:t>
    </w:r>
    <w:r w:rsidRPr="00772640">
      <w:rPr>
        <w:rFonts w:ascii="Calibri" w:hAnsi="Calibri"/>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3F138A" w:rsidRDefault="00C9763C" w:rsidP="003F138A">
    <w:pPr>
      <w:pStyle w:val="Footer"/>
      <w:pBdr>
        <w:top w:val="single" w:sz="4" w:space="1" w:color="D9D9D9"/>
      </w:pBdr>
      <w:tabs>
        <w:tab w:val="clear" w:pos="9026"/>
        <w:tab w:val="left" w:pos="7797"/>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60</w:t>
    </w:r>
    <w:r w:rsidRPr="00772640">
      <w:rPr>
        <w:rFonts w:ascii="Calibri" w:hAnsi="Calibri"/>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B30967" w:rsidRDefault="00C9763C" w:rsidP="00B30967">
    <w:pPr>
      <w:pStyle w:val="Footer"/>
      <w:pBdr>
        <w:top w:val="single" w:sz="4" w:space="1" w:color="D9D9D9"/>
      </w:pBdr>
      <w:tabs>
        <w:tab w:val="clear" w:pos="9026"/>
        <w:tab w:val="right" w:pos="907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61</w:t>
    </w:r>
    <w:r w:rsidRPr="00772640">
      <w:rPr>
        <w:rFonts w:ascii="Calibri" w:hAnsi="Calibri"/>
        <w:sz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9E36FE" w:rsidRDefault="00C9763C" w:rsidP="009E36FE">
    <w:pPr>
      <w:pStyle w:val="Footer"/>
      <w:pBdr>
        <w:top w:val="single" w:sz="4" w:space="1" w:color="D9D9D9"/>
      </w:pBdr>
      <w:tabs>
        <w:tab w:val="clear" w:pos="9026"/>
        <w:tab w:val="right" w:pos="13892"/>
      </w:tabs>
    </w:pPr>
    <w:r>
      <w:rPr>
        <w:rStyle w:val="Style9"/>
      </w:rPr>
      <w:t xml:space="preserve">Health Policy Analysis Pty Ltd | </w:t>
    </w:r>
    <w:r w:rsidRPr="00C00223">
      <w:rPr>
        <w:rStyle w:val="Style9"/>
      </w:rPr>
      <w:t>Analysis of hospital-acquired diagnoses</w:t>
    </w:r>
    <w:r>
      <w:rPr>
        <w:rStyle w:val="Style9"/>
      </w:rPr>
      <w:t xml:space="preserve"> </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66</w:t>
    </w:r>
    <w:r w:rsidRPr="00772640">
      <w:rPr>
        <w:rFonts w:ascii="Calibri" w:hAnsi="Calibri"/>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9E36FE" w:rsidRDefault="00C9763C" w:rsidP="009E36FE">
    <w:pPr>
      <w:pStyle w:val="Footer"/>
      <w:pBdr>
        <w:top w:val="single" w:sz="4" w:space="1" w:color="D9D9D9"/>
      </w:pBdr>
      <w:tabs>
        <w:tab w:val="clear" w:pos="9026"/>
        <w:tab w:val="right" w:pos="13892"/>
      </w:tabs>
    </w:pPr>
    <w:r>
      <w:rPr>
        <w:rStyle w:val="Style9"/>
      </w:rPr>
      <w:t xml:space="preserve">Health Policy Analysis Pty Ltd | </w:t>
    </w:r>
    <w:r w:rsidRPr="00C00223">
      <w:rPr>
        <w:rStyle w:val="Style9"/>
      </w:rPr>
      <w:t>Analysis of hospital-acquired diagnoses</w:t>
    </w:r>
    <w:r>
      <w:rPr>
        <w:rStyle w:val="Style9"/>
      </w:rPr>
      <w:t xml:space="preserve"> </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62</w:t>
    </w:r>
    <w:r w:rsidRPr="00772640">
      <w:rPr>
        <w:rFonts w:ascii="Calibri" w:hAnsi="Calibri"/>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03016A" w:rsidRDefault="00C9763C" w:rsidP="0003016A">
    <w:pPr>
      <w:pStyle w:val="Footer"/>
      <w:pBdr>
        <w:top w:val="single" w:sz="4" w:space="1" w:color="D9D9D9"/>
      </w:pBdr>
      <w:tabs>
        <w:tab w:val="clear" w:pos="9026"/>
        <w:tab w:val="right" w:pos="907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67</w:t>
    </w:r>
    <w:r w:rsidRPr="00772640">
      <w:rPr>
        <w:rFonts w:ascii="Calibri" w:hAnsi="Calibri"/>
        <w:sz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556630" w:rsidRDefault="00C9763C" w:rsidP="00A94DE6">
    <w:pPr>
      <w:pStyle w:val="Footer"/>
      <w:pBdr>
        <w:top w:val="single" w:sz="4" w:space="1" w:color="D9D9D9"/>
      </w:pBdr>
      <w:tabs>
        <w:tab w:val="clear" w:pos="9026"/>
        <w:tab w:val="right" w:pos="1389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82</w:t>
    </w:r>
    <w:r w:rsidRPr="00772640">
      <w:rPr>
        <w:rFonts w:ascii="Calibri" w:hAnsi="Calibri"/>
        <w:sz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16134A" w:rsidRDefault="00C9763C" w:rsidP="00A94DE6">
    <w:pPr>
      <w:pStyle w:val="Footer"/>
      <w:pBdr>
        <w:top w:val="single" w:sz="4" w:space="1" w:color="D9D9D9"/>
      </w:pBdr>
      <w:tabs>
        <w:tab w:val="clear" w:pos="9026"/>
        <w:tab w:val="right" w:pos="13892"/>
      </w:tabs>
    </w:pPr>
    <w:r>
      <w:rPr>
        <w:rStyle w:val="Style9"/>
      </w:rPr>
      <w:t xml:space="preserve">Health Policy Analysis Pty Ltd | </w:t>
    </w:r>
    <w:r w:rsidRPr="00C00223">
      <w:rPr>
        <w:rStyle w:val="Style9"/>
      </w:rPr>
      <w:t>Analysis of hospital-acquired diagnoses</w:t>
    </w:r>
    <w:r>
      <w:rPr>
        <w:rStyle w:val="Style9"/>
      </w:rPr>
      <w:t xml:space="preserve"> </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68</w:t>
    </w:r>
    <w:r w:rsidRPr="00772640">
      <w:rPr>
        <w:rFonts w:ascii="Calibri" w:hAnsi="Calibri"/>
        <w:sz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001883" w:rsidRDefault="00C9763C" w:rsidP="00001883">
    <w:pPr>
      <w:pStyle w:val="Footer"/>
      <w:pBdr>
        <w:top w:val="single" w:sz="4" w:space="1" w:color="D9D9D9"/>
      </w:pBdr>
      <w:tabs>
        <w:tab w:val="clear" w:pos="9026"/>
        <w:tab w:val="left" w:pos="7797"/>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89</w:t>
    </w:r>
    <w:r w:rsidRPr="00772640">
      <w:rPr>
        <w:rFonts w:ascii="Calibri" w:hAnsi="Calibri"/>
        <w:sz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001883" w:rsidRDefault="00C9763C" w:rsidP="00001883">
    <w:pPr>
      <w:pStyle w:val="Footer"/>
      <w:pBdr>
        <w:top w:val="single" w:sz="4" w:space="1" w:color="D9D9D9"/>
      </w:pBdr>
      <w:tabs>
        <w:tab w:val="clear" w:pos="9026"/>
        <w:tab w:val="left" w:pos="7797"/>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83</w:t>
    </w:r>
    <w:r w:rsidRPr="00772640">
      <w:rPr>
        <w:rFonts w:ascii="Calibri" w:hAnsi="Calibri"/>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976ACB" w:rsidRDefault="00C9763C" w:rsidP="00F11DF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21509" w:rsidRDefault="00C9763C" w:rsidP="00E21509">
    <w:pPr>
      <w:pStyle w:val="Footer"/>
      <w:pBdr>
        <w:top w:val="single" w:sz="4" w:space="1" w:color="D9D9D9"/>
      </w:pBdr>
      <w:tabs>
        <w:tab w:val="clear" w:pos="9026"/>
        <w:tab w:val="right" w:pos="907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91</w:t>
    </w:r>
    <w:r w:rsidRPr="00772640">
      <w:rPr>
        <w:rFonts w:ascii="Calibri" w:hAnsi="Calibri"/>
        <w:sz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21509" w:rsidRDefault="00C9763C" w:rsidP="00E21509">
    <w:pPr>
      <w:pStyle w:val="Footer"/>
      <w:pBdr>
        <w:top w:val="single" w:sz="4" w:space="1" w:color="D9D9D9"/>
      </w:pBdr>
      <w:tabs>
        <w:tab w:val="clear" w:pos="9026"/>
        <w:tab w:val="right" w:pos="907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90</w:t>
    </w:r>
    <w:r w:rsidRPr="00772640">
      <w:rPr>
        <w:rFonts w:ascii="Calibri" w:hAnsi="Calibri"/>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835B0" w:rsidRDefault="00C9763C" w:rsidP="00E835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835B0" w:rsidRDefault="00C9763C" w:rsidP="00E835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DE620A" w:rsidRDefault="00C9763C" w:rsidP="00DE620A">
    <w:pPr>
      <w:pStyle w:val="Footer"/>
      <w:pBdr>
        <w:top w:val="single" w:sz="4" w:space="1" w:color="D9D9D9"/>
      </w:pBdr>
      <w:tabs>
        <w:tab w:val="clear" w:pos="9026"/>
        <w:tab w:val="right" w:pos="907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37</w:t>
    </w:r>
    <w:r w:rsidRPr="00772640">
      <w:rPr>
        <w:rFonts w:ascii="Calibri" w:hAnsi="Calibri"/>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16134A" w:rsidRDefault="00C9763C" w:rsidP="00542C4B">
    <w:pPr>
      <w:pStyle w:val="Footer"/>
      <w:pBdr>
        <w:top w:val="single" w:sz="4" w:space="1" w:color="D9D9D9"/>
      </w:pBdr>
      <w:tabs>
        <w:tab w:val="clear" w:pos="9026"/>
        <w:tab w:val="right" w:pos="907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i</w:t>
    </w:r>
    <w:r w:rsidRPr="00772640">
      <w:rPr>
        <w:rFonts w:ascii="Calibri" w:hAnsi="Calibri"/>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16134A" w:rsidRDefault="00C9763C" w:rsidP="00542C4B">
    <w:pPr>
      <w:pStyle w:val="Footer"/>
      <w:pBdr>
        <w:top w:val="single" w:sz="4" w:space="1" w:color="D9D9D9"/>
      </w:pBdr>
      <w:tabs>
        <w:tab w:val="clear" w:pos="9026"/>
        <w:tab w:val="right" w:pos="907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Pr>
        <w:rFonts w:ascii="Calibri" w:hAnsi="Calibri"/>
        <w:noProof/>
        <w:sz w:val="22"/>
      </w:rPr>
      <w:t>1</w:t>
    </w:r>
    <w:r w:rsidRPr="00772640">
      <w:rPr>
        <w:rFonts w:ascii="Calibri" w:hAnsi="Calibri"/>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B30967" w:rsidRDefault="00C9763C" w:rsidP="00B30967">
    <w:pPr>
      <w:pStyle w:val="Footer"/>
      <w:pBdr>
        <w:top w:val="single" w:sz="4" w:space="1" w:color="D9D9D9"/>
      </w:pBdr>
      <w:tabs>
        <w:tab w:val="clear" w:pos="9026"/>
        <w:tab w:val="right" w:pos="907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sidR="002A25A4">
      <w:rPr>
        <w:rFonts w:ascii="Calibri" w:hAnsi="Calibri"/>
        <w:noProof/>
        <w:sz w:val="22"/>
      </w:rPr>
      <w:t>36</w:t>
    </w:r>
    <w:r w:rsidRPr="00772640">
      <w:rPr>
        <w:rFonts w:ascii="Calibri" w:hAnsi="Calibri"/>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DE620A" w:rsidRDefault="00C9763C" w:rsidP="003F138A">
    <w:pPr>
      <w:pStyle w:val="Footer"/>
      <w:pBdr>
        <w:top w:val="single" w:sz="4" w:space="1" w:color="D9D9D9"/>
      </w:pBdr>
      <w:tabs>
        <w:tab w:val="clear" w:pos="9026"/>
        <w:tab w:val="right" w:pos="13892"/>
      </w:tabs>
    </w:pPr>
    <w:r>
      <w:rPr>
        <w:rStyle w:val="Style9"/>
      </w:rPr>
      <w:t xml:space="preserve">Health Policy Analysis Pty Ltd | </w:t>
    </w:r>
    <w:r w:rsidRPr="00C00223">
      <w:rPr>
        <w:rStyle w:val="Style9"/>
      </w:rPr>
      <w:t>Analysis of hospital-acquired diagnoses</w:t>
    </w:r>
    <w:r>
      <w:rPr>
        <w:rStyle w:val="Style9"/>
      </w:rPr>
      <w:tab/>
    </w:r>
    <w:r w:rsidRPr="00772640">
      <w:rPr>
        <w:rFonts w:ascii="Calibri" w:hAnsi="Calibri"/>
        <w:color w:val="7F7F7F"/>
        <w:spacing w:val="60"/>
        <w:sz w:val="22"/>
      </w:rPr>
      <w:t>Page|</w:t>
    </w:r>
    <w:r w:rsidRPr="00772640">
      <w:rPr>
        <w:rFonts w:ascii="Calibri" w:hAnsi="Calibri"/>
        <w:sz w:val="22"/>
      </w:rPr>
      <w:t xml:space="preserve"> </w:t>
    </w:r>
    <w:r w:rsidRPr="00772640">
      <w:rPr>
        <w:rFonts w:ascii="Calibri" w:hAnsi="Calibri"/>
        <w:sz w:val="22"/>
      </w:rPr>
      <w:fldChar w:fldCharType="begin"/>
    </w:r>
    <w:r w:rsidRPr="00772640">
      <w:rPr>
        <w:rFonts w:ascii="Calibri" w:hAnsi="Calibri"/>
        <w:sz w:val="22"/>
      </w:rPr>
      <w:instrText xml:space="preserve"> PAGE  \ </w:instrText>
    </w:r>
    <w:r w:rsidRPr="00772640">
      <w:rPr>
        <w:rFonts w:ascii="Calibri" w:hAnsi="Calibri"/>
        <w:sz w:val="22"/>
      </w:rPr>
      <w:fldChar w:fldCharType="separate"/>
    </w:r>
    <w:r>
      <w:rPr>
        <w:rFonts w:ascii="Calibri" w:hAnsi="Calibri"/>
        <w:noProof/>
        <w:sz w:val="22"/>
      </w:rPr>
      <w:t>32</w:t>
    </w:r>
    <w:r w:rsidRPr="00772640">
      <w:rPr>
        <w:rFonts w:ascii="Calibri" w:hAnsi="Calibri"/>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816" w:rsidRDefault="00840816" w:rsidP="00DD4F2B">
      <w:pPr>
        <w:spacing w:after="0" w:line="240" w:lineRule="auto"/>
      </w:pPr>
      <w:r>
        <w:separator/>
      </w:r>
    </w:p>
  </w:footnote>
  <w:footnote w:type="continuationSeparator" w:id="0">
    <w:p w:rsidR="00840816" w:rsidRDefault="00840816" w:rsidP="00DD4F2B">
      <w:pPr>
        <w:spacing w:after="0" w:line="240" w:lineRule="auto"/>
      </w:pPr>
      <w:r>
        <w:continuationSeparator/>
      </w:r>
    </w:p>
  </w:footnote>
  <w:footnote w:id="1">
    <w:p w:rsidR="00C9763C" w:rsidRPr="00A24BC9" w:rsidRDefault="00C9763C" w:rsidP="007D0920">
      <w:pPr>
        <w:pStyle w:val="FootnoteText"/>
        <w:spacing w:line="276" w:lineRule="auto"/>
        <w:rPr>
          <w:rFonts w:ascii="Century Gothic" w:hAnsi="Century Gothic"/>
          <w:sz w:val="18"/>
          <w:szCs w:val="18"/>
        </w:rPr>
      </w:pPr>
      <w:r w:rsidRPr="00A24BC9">
        <w:rPr>
          <w:rStyle w:val="FootnoteReference"/>
          <w:rFonts w:ascii="Century Gothic" w:hAnsi="Century Gothic"/>
          <w:sz w:val="18"/>
          <w:szCs w:val="18"/>
        </w:rPr>
        <w:footnoteRef/>
      </w:r>
      <w:r w:rsidRPr="00A24BC9">
        <w:rPr>
          <w:rFonts w:ascii="Century Gothic" w:hAnsi="Century Gothic"/>
          <w:sz w:val="18"/>
          <w:szCs w:val="18"/>
        </w:rPr>
        <w:t xml:space="preserve"> </w:t>
      </w:r>
      <w:r>
        <w:rPr>
          <w:rFonts w:ascii="Century Gothic" w:hAnsi="Century Gothic"/>
          <w:sz w:val="18"/>
          <w:szCs w:val="18"/>
        </w:rPr>
        <w:t>The</w:t>
      </w:r>
      <w:r w:rsidRPr="00A24BC9">
        <w:rPr>
          <w:rFonts w:ascii="Century Gothic" w:hAnsi="Century Gothic"/>
          <w:sz w:val="18"/>
          <w:szCs w:val="18"/>
        </w:rPr>
        <w:t xml:space="preserve"> list of conditions/interventions and the criteria by which they were selected </w:t>
      </w:r>
      <w:r>
        <w:rPr>
          <w:rFonts w:ascii="Century Gothic" w:hAnsi="Century Gothic"/>
          <w:sz w:val="18"/>
          <w:szCs w:val="18"/>
        </w:rPr>
        <w:t>are in</w:t>
      </w:r>
      <w:r w:rsidRPr="00A24BC9">
        <w:rPr>
          <w:rFonts w:ascii="Century Gothic" w:hAnsi="Century Gothic"/>
          <w:sz w:val="18"/>
          <w:szCs w:val="18"/>
        </w:rPr>
        <w:t xml:space="preserve"> </w:t>
      </w:r>
      <w:r w:rsidRPr="00A24BC9">
        <w:rPr>
          <w:rFonts w:ascii="Century Gothic" w:hAnsi="Century Gothic"/>
          <w:sz w:val="18"/>
          <w:szCs w:val="18"/>
        </w:rPr>
        <w:fldChar w:fldCharType="begin"/>
      </w:r>
      <w:r w:rsidRPr="00A24BC9">
        <w:rPr>
          <w:rFonts w:ascii="Century Gothic" w:hAnsi="Century Gothic"/>
          <w:sz w:val="18"/>
          <w:szCs w:val="18"/>
        </w:rPr>
        <w:instrText xml:space="preserve"> REF _Ref373402045 \h  \* MERGEFORMAT </w:instrText>
      </w:r>
      <w:r w:rsidRPr="00A24BC9">
        <w:rPr>
          <w:rFonts w:ascii="Century Gothic" w:hAnsi="Century Gothic"/>
          <w:sz w:val="18"/>
          <w:szCs w:val="18"/>
        </w:rPr>
      </w:r>
      <w:r w:rsidRPr="00A24BC9">
        <w:rPr>
          <w:rFonts w:ascii="Century Gothic" w:hAnsi="Century Gothic"/>
          <w:sz w:val="18"/>
          <w:szCs w:val="18"/>
        </w:rPr>
        <w:fldChar w:fldCharType="separate"/>
      </w:r>
      <w:r w:rsidR="00363A39" w:rsidRPr="00363A39">
        <w:rPr>
          <w:rFonts w:ascii="Century Gothic" w:hAnsi="Century Gothic"/>
          <w:sz w:val="18"/>
          <w:szCs w:val="18"/>
        </w:rPr>
        <w:t xml:space="preserve">Table </w:t>
      </w:r>
      <w:r w:rsidR="00363A39" w:rsidRPr="00363A39">
        <w:rPr>
          <w:rFonts w:ascii="Century Gothic" w:hAnsi="Century Gothic"/>
          <w:noProof/>
          <w:sz w:val="18"/>
          <w:szCs w:val="18"/>
        </w:rPr>
        <w:t>9</w:t>
      </w:r>
      <w:r w:rsidRPr="00A24BC9">
        <w:rPr>
          <w:rFonts w:ascii="Century Gothic" w:hAnsi="Century Gothic"/>
          <w:sz w:val="18"/>
          <w:szCs w:val="18"/>
        </w:rPr>
        <w:fldChar w:fldCharType="end"/>
      </w:r>
      <w:r w:rsidRPr="00A24BC9">
        <w:rPr>
          <w:rFonts w:ascii="Century Gothic" w:hAnsi="Century Gothic"/>
          <w:sz w:val="18"/>
          <w:szCs w:val="18"/>
        </w:rPr>
        <w:t>, page</w:t>
      </w:r>
      <w:r>
        <w:rPr>
          <w:rFonts w:ascii="Century Gothic" w:hAnsi="Century Gothic"/>
          <w:sz w:val="18"/>
          <w:szCs w:val="18"/>
        </w:rPr>
        <w:t xml:space="preserve"> </w:t>
      </w:r>
      <w:r>
        <w:rPr>
          <w:rFonts w:ascii="Century Gothic" w:hAnsi="Century Gothic"/>
          <w:sz w:val="18"/>
          <w:szCs w:val="18"/>
        </w:rPr>
        <w:fldChar w:fldCharType="begin"/>
      </w:r>
      <w:r>
        <w:rPr>
          <w:rFonts w:ascii="Century Gothic" w:hAnsi="Century Gothic"/>
          <w:sz w:val="18"/>
          <w:szCs w:val="18"/>
        </w:rPr>
        <w:instrText xml:space="preserve"> PAGEREF _Ref373403213 \h </w:instrText>
      </w:r>
      <w:r>
        <w:rPr>
          <w:rFonts w:ascii="Century Gothic" w:hAnsi="Century Gothic"/>
          <w:sz w:val="18"/>
          <w:szCs w:val="18"/>
        </w:rPr>
      </w:r>
      <w:r>
        <w:rPr>
          <w:rFonts w:ascii="Century Gothic" w:hAnsi="Century Gothic"/>
          <w:sz w:val="18"/>
          <w:szCs w:val="18"/>
        </w:rPr>
        <w:fldChar w:fldCharType="separate"/>
      </w:r>
      <w:r>
        <w:rPr>
          <w:rFonts w:ascii="Century Gothic" w:hAnsi="Century Gothic"/>
          <w:noProof/>
          <w:sz w:val="18"/>
          <w:szCs w:val="18"/>
        </w:rPr>
        <w:t>31</w:t>
      </w:r>
      <w:r>
        <w:rPr>
          <w:rFonts w:ascii="Century Gothic" w:hAnsi="Century Gothic"/>
          <w:sz w:val="18"/>
          <w:szCs w:val="18"/>
        </w:rPr>
        <w:fldChar w:fldCharType="end"/>
      </w:r>
      <w:r w:rsidRPr="00A24BC9">
        <w:rPr>
          <w:rFonts w:ascii="Century Gothic" w:hAnsi="Century Gothic"/>
          <w:sz w:val="18"/>
          <w:szCs w:val="18"/>
        </w:rPr>
        <w:t>.</w:t>
      </w:r>
    </w:p>
  </w:footnote>
  <w:footnote w:id="2">
    <w:p w:rsidR="00C9763C" w:rsidRPr="007D0920" w:rsidRDefault="00C9763C" w:rsidP="00917904">
      <w:pPr>
        <w:pStyle w:val="FootnoteText"/>
        <w:spacing w:line="276" w:lineRule="auto"/>
        <w:rPr>
          <w:rFonts w:ascii="Century Gothic" w:hAnsi="Century Gothic"/>
        </w:rPr>
      </w:pPr>
      <w:r w:rsidRPr="007D0920">
        <w:rPr>
          <w:rStyle w:val="FootnoteReference"/>
          <w:rFonts w:ascii="Century Gothic" w:hAnsi="Century Gothic"/>
          <w:sz w:val="18"/>
          <w:szCs w:val="18"/>
        </w:rPr>
        <w:footnoteRef/>
      </w:r>
      <w:r w:rsidRPr="007D0920">
        <w:rPr>
          <w:rFonts w:ascii="Century Gothic" w:hAnsi="Century Gothic"/>
          <w:sz w:val="18"/>
          <w:szCs w:val="18"/>
        </w:rPr>
        <w:t xml:space="preserve"> False positives are diagnoses that are flagged as hospital-acquired but it is certain that they were present on admission (e.g.  neoplasms). False negatives are diagnoses not flagged as hospital-acquired, when it is certain that they arose subsequent to admission (e.g. codes related to child birth).</w:t>
      </w:r>
    </w:p>
  </w:footnote>
  <w:footnote w:id="3">
    <w:p w:rsidR="00C9763C" w:rsidRPr="007D0920" w:rsidRDefault="00C9763C" w:rsidP="007D0920">
      <w:pPr>
        <w:pStyle w:val="FootnoteText"/>
        <w:spacing w:line="276" w:lineRule="auto"/>
        <w:rPr>
          <w:rFonts w:ascii="Century Gothic" w:hAnsi="Century Gothic"/>
          <w:sz w:val="18"/>
          <w:szCs w:val="18"/>
        </w:rPr>
      </w:pPr>
      <w:r w:rsidRPr="007D0920">
        <w:rPr>
          <w:rStyle w:val="FootnoteReference"/>
          <w:rFonts w:ascii="Century Gothic" w:hAnsi="Century Gothic"/>
          <w:sz w:val="18"/>
          <w:szCs w:val="18"/>
        </w:rPr>
        <w:footnoteRef/>
      </w:r>
      <w:r w:rsidRPr="007D0920">
        <w:rPr>
          <w:rFonts w:ascii="Century Gothic" w:hAnsi="Century Gothic"/>
          <w:sz w:val="18"/>
          <w:szCs w:val="18"/>
        </w:rPr>
        <w:t xml:space="preserve"> Note that this is potentially not desirable for some additional diagnoses. That is, preventable hospital-acquired diagnoses should not lead to assignment to an AR-DRG with a higher level of severity, which in turn attracts a higher payment under ABF.</w:t>
      </w:r>
    </w:p>
  </w:footnote>
  <w:footnote w:id="4">
    <w:p w:rsidR="00C9763C" w:rsidRPr="007D0920" w:rsidRDefault="00C9763C" w:rsidP="007D0920">
      <w:pPr>
        <w:pStyle w:val="FootnoteText"/>
        <w:spacing w:line="276" w:lineRule="auto"/>
        <w:rPr>
          <w:rFonts w:ascii="Century Gothic" w:hAnsi="Century Gothic"/>
          <w:sz w:val="18"/>
          <w:szCs w:val="18"/>
        </w:rPr>
      </w:pPr>
      <w:r w:rsidRPr="007D0920">
        <w:rPr>
          <w:rStyle w:val="FootnoteReference"/>
          <w:rFonts w:ascii="Century Gothic" w:hAnsi="Century Gothic"/>
          <w:sz w:val="18"/>
          <w:szCs w:val="18"/>
        </w:rPr>
        <w:footnoteRef/>
      </w:r>
      <w:r w:rsidRPr="007D0920">
        <w:rPr>
          <w:rFonts w:ascii="Century Gothic" w:hAnsi="Century Gothic"/>
          <w:sz w:val="18"/>
          <w:szCs w:val="18"/>
        </w:rPr>
        <w:t xml:space="preserve"> METeOR identifier 496512. </w:t>
      </w:r>
    </w:p>
  </w:footnote>
  <w:footnote w:id="5">
    <w:p w:rsidR="00C9763C" w:rsidRPr="007D0920" w:rsidRDefault="00C9763C" w:rsidP="007D0920">
      <w:pPr>
        <w:pStyle w:val="FootnoteText"/>
        <w:spacing w:line="276" w:lineRule="auto"/>
        <w:rPr>
          <w:rFonts w:ascii="Century Gothic" w:hAnsi="Century Gothic"/>
          <w:sz w:val="18"/>
          <w:szCs w:val="18"/>
        </w:rPr>
      </w:pPr>
      <w:r w:rsidRPr="007D0920">
        <w:rPr>
          <w:rStyle w:val="FootnoteReference"/>
          <w:rFonts w:ascii="Century Gothic" w:hAnsi="Century Gothic"/>
          <w:sz w:val="18"/>
          <w:szCs w:val="18"/>
        </w:rPr>
        <w:footnoteRef/>
      </w:r>
      <w:r w:rsidRPr="007D0920">
        <w:rPr>
          <w:rFonts w:ascii="Century Gothic" w:hAnsi="Century Gothic"/>
          <w:sz w:val="18"/>
          <w:szCs w:val="18"/>
        </w:rPr>
        <w:t xml:space="preserve"> METeOR identifier: 514271, defined as “</w:t>
      </w:r>
      <w:r w:rsidRPr="007D0920">
        <w:rPr>
          <w:rFonts w:ascii="Century Gothic" w:hAnsi="Century Gothic"/>
          <w:i/>
          <w:sz w:val="18"/>
          <w:szCs w:val="18"/>
        </w:rPr>
        <w:t>A condition or complaint either coexisting with the principal diagnosis or arising during the episode of admitted patient care, episode of residential care or attendance at a health care establishment, as represented by a code</w:t>
      </w:r>
      <w:r w:rsidRPr="007D0920">
        <w:rPr>
          <w:rFonts w:ascii="Century Gothic" w:hAnsi="Century Gothic"/>
          <w:sz w:val="18"/>
          <w:szCs w:val="18"/>
        </w:rPr>
        <w:t>.”</w:t>
      </w:r>
    </w:p>
  </w:footnote>
  <w:footnote w:id="6">
    <w:p w:rsidR="00C9763C" w:rsidRPr="007D0920" w:rsidRDefault="00C9763C" w:rsidP="007D0920">
      <w:pPr>
        <w:pStyle w:val="FootnoteText"/>
        <w:spacing w:line="276" w:lineRule="auto"/>
        <w:rPr>
          <w:rFonts w:ascii="Century Gothic" w:hAnsi="Century Gothic"/>
          <w:sz w:val="18"/>
          <w:szCs w:val="18"/>
        </w:rPr>
      </w:pPr>
      <w:r w:rsidRPr="007D0920">
        <w:rPr>
          <w:rStyle w:val="FootnoteReference"/>
          <w:rFonts w:ascii="Century Gothic" w:hAnsi="Century Gothic"/>
          <w:sz w:val="18"/>
          <w:szCs w:val="18"/>
        </w:rPr>
        <w:footnoteRef/>
      </w:r>
      <w:r w:rsidRPr="007D0920">
        <w:rPr>
          <w:rFonts w:ascii="Century Gothic" w:hAnsi="Century Gothic"/>
          <w:sz w:val="18"/>
          <w:szCs w:val="18"/>
        </w:rPr>
        <w:t xml:space="preserve"> That is, level A in ADRGs with a two level split, and level A and B in DRGs with a three level split. The only exception was that the level D AR-DRG in the Stroke ADRG (B70) had a slightly higher proportion of COF diagnoses and a higher average number of COF diagnoses per episode than the C level AR-DRG.</w:t>
      </w:r>
    </w:p>
  </w:footnote>
  <w:footnote w:id="7">
    <w:p w:rsidR="00C9763C" w:rsidRDefault="00C9763C" w:rsidP="00425BC3">
      <w:pPr>
        <w:spacing w:after="0"/>
        <w:contextualSpacing/>
      </w:pPr>
      <w:r w:rsidRPr="00D9238E">
        <w:rPr>
          <w:rStyle w:val="FootnoteReference"/>
          <w:sz w:val="18"/>
          <w:szCs w:val="18"/>
        </w:rPr>
        <w:footnoteRef/>
      </w:r>
      <w:r w:rsidRPr="00D9238E">
        <w:rPr>
          <w:sz w:val="18"/>
          <w:szCs w:val="18"/>
        </w:rPr>
        <w:t xml:space="preserve"> For coding purposes, additional diagnoses should be interpreted as conditions that affect patient management in terms of requiring any of the following:</w:t>
      </w:r>
      <w:r>
        <w:rPr>
          <w:sz w:val="18"/>
          <w:szCs w:val="18"/>
        </w:rPr>
        <w:t xml:space="preserve"> </w:t>
      </w:r>
      <w:r w:rsidRPr="00D9238E">
        <w:rPr>
          <w:sz w:val="18"/>
          <w:szCs w:val="18"/>
        </w:rPr>
        <w:t>commencement, alteration or adju</w:t>
      </w:r>
      <w:r>
        <w:rPr>
          <w:sz w:val="18"/>
          <w:szCs w:val="18"/>
        </w:rPr>
        <w:t xml:space="preserve">stment of therapeutic treatment; </w:t>
      </w:r>
      <w:r w:rsidRPr="00D9238E">
        <w:rPr>
          <w:sz w:val="18"/>
          <w:szCs w:val="18"/>
        </w:rPr>
        <w:t>diagnostic procedures</w:t>
      </w:r>
      <w:r>
        <w:rPr>
          <w:sz w:val="18"/>
          <w:szCs w:val="18"/>
        </w:rPr>
        <w:t xml:space="preserve">; or </w:t>
      </w:r>
      <w:r w:rsidRPr="00D9238E">
        <w:rPr>
          <w:sz w:val="18"/>
          <w:szCs w:val="18"/>
        </w:rPr>
        <w:t>increased clinical</w:t>
      </w:r>
      <w:r>
        <w:rPr>
          <w:sz w:val="18"/>
          <w:szCs w:val="18"/>
        </w:rPr>
        <w:t xml:space="preserve"> care and/or monitoring.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Default="00C9763C">
    <w:pPr>
      <w:pStyle w:val="Header"/>
    </w:pPr>
    <w:r>
      <w:rPr>
        <w:noProof/>
        <w:lang w:val="en-AU" w:eastAsia="en-AU"/>
      </w:rPr>
      <w:drawing>
        <wp:anchor distT="0" distB="0" distL="0" distR="0" simplePos="0" relativeHeight="251650560" behindDoc="0" locked="0" layoutInCell="1" allowOverlap="1">
          <wp:simplePos x="0" y="0"/>
          <wp:positionH relativeFrom="column">
            <wp:posOffset>-904875</wp:posOffset>
          </wp:positionH>
          <wp:positionV relativeFrom="paragraph">
            <wp:posOffset>-583565</wp:posOffset>
          </wp:positionV>
          <wp:extent cx="7559675" cy="10691495"/>
          <wp:effectExtent l="0" t="0" r="3175" b="0"/>
          <wp:wrapNone/>
          <wp:docPr id="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mc:AlternateContent>
        <mc:Choice Requires="wps">
          <w:drawing>
            <wp:anchor distT="0" distB="0" distL="114300" distR="114300" simplePos="0" relativeHeight="251651584" behindDoc="0" locked="0" layoutInCell="1" allowOverlap="1" wp14:anchorId="7F9334F5" wp14:editId="4D638554">
              <wp:simplePos x="0" y="0"/>
              <wp:positionH relativeFrom="column">
                <wp:posOffset>5323840</wp:posOffset>
              </wp:positionH>
              <wp:positionV relativeFrom="paragraph">
                <wp:posOffset>312420</wp:posOffset>
              </wp:positionV>
              <wp:extent cx="762000" cy="733425"/>
              <wp:effectExtent l="19050" t="19050" r="19050" b="28575"/>
              <wp:wrapSquare wrapText="bothSides"/>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9334F5"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margin-left:419.2pt;margin-top:24.6pt;width:60pt;height:5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hRvwIAAJ0FAAAOAAAAZHJzL2Uyb0RvYy54bWysVN9v0zAQfkfif7D83uVnmzZaOnVdi5AG&#10;TBqIZzd2GgvHDrbbZCD+d85OWjr2MiEUKfL57O++u/t81zd9I9CRacOVLHB0FWLEZKkol/sCf/m8&#10;ncwxMpZISoSSrMBPzOCb5ds3112bs1jVSlCmEYBIk3dtgWtr2zwITFmzhpgr1TIJzkrphlgw9T6g&#10;mnSA3oggDsNZ0ClNW61KZgzs3g1OvPT4VcVK+6mqDLNIFBi4Wf/X/r9z/2B5TfK9Jm3Ny5EG+QcW&#10;DeESgp6h7ogl6KD5C6iGl1oZVdmrUjWBqipeMp8DZBOFf2XzWJOW+VygOKY9l8n8P9jy4/FBI04L&#10;HGMkSQMtWh2s8pFR5srTtSaHU4/tg3YJmvZeld8MkmpdE7lnK61VVzNCgVTkzgfPLjjDwFW06z4o&#10;CugE0H2l+ko3DhBqgHrfkKdzQ1hvUQmb2Qx6DG0rwZUlSRpPfQSSny632th3TDXILQpcCdUBLW3X&#10;SkrovdI+FDneG+uokfx0waeiBKdbLoQ39H63FhodiVNKmNxlizGWuTwmJOoKnETZNPTQz5zmdRha&#10;HST1wnN124xrS7gY1kBTSMeJeQEP3MHqLSz9PpTHi+vnajsNszSZT7JsmkzSZBNObufb9WS1jmaz&#10;bHO7vt1EvxzRKM1rTimTG49pTlqP0tdpaXx1g0rPaj8TdKzUwTL9WNMOUe6akUwXcYTBgOcWZ9BH&#10;10ki9jAnSqsx0sp+5bb2UnOddxjPKjifuW/swhndt/EicPAit+FED6WCSp6q5mXplDgo2va7fpT9&#10;qPGdok+gU2DlyLiZBota6R8YdTAfCmy+H4hmGIn3ErS+iNLUDRRvpNMsBkNfenaXHiJLgCqwhQr4&#10;5doOQ+jQar6vIVLk85fKvb6Ke7W6tzOwgkycATPA5zTOKzdkLm1/6s9UXf4GAAD//wMAUEsDBBQA&#10;BgAIAAAAIQCjNzD04AAAAAoBAAAPAAAAZHJzL2Rvd25yZXYueG1sTI9BTsMwEEX3SNzBmkrsqNOQ&#10;tmmIUyEQYoFYtHAAN3biKPE4ip005fRMV3Q5M09/3s/3s+3YpAffOBSwWkbANJZONVgL+Pl+f0yB&#10;+SBRyc6hFnDRHvbF/V0uM+XOeNDTMdSMQtBnUoAJoc8496XRVvql6zXSrXKDlYHGoeZqkGcKtx2P&#10;o2jDrWyQPhjZ61ejy/Y4WgFx+/vGD9X6YzKtifuq+ryMX1shHhbzyzOwoOfwD8NVn9ShIKeTG1F5&#10;1glIn9KEUAHJLgZGwG59XZyI3CRb4EXObysUfwAAAP//AwBQSwECLQAUAAYACAAAACEAtoM4kv4A&#10;AADhAQAAEwAAAAAAAAAAAAAAAAAAAAAAW0NvbnRlbnRfVHlwZXNdLnhtbFBLAQItABQABgAIAAAA&#10;IQA4/SH/1gAAAJQBAAALAAAAAAAAAAAAAAAAAC8BAABfcmVscy8ucmVsc1BLAQItABQABgAIAAAA&#10;IQBbpIhRvwIAAJ0FAAAOAAAAAAAAAAAAAAAAAC4CAABkcnMvZTJvRG9jLnhtbFBLAQItABQABgAI&#10;AAAAIQCjNzD04AAAAAoBAAAPAAAAAAAAAAAAAAAAABkFAABkcnMvZG93bnJldi54bWxQSwUGAAAA&#10;AAQABADzAAAAJgYAAAAA&#10;" fillcolor="#003d79" strokecolor="#003d79" strokeweight="2.5pt">
              <v:shadow color="#868686"/>
              <v:textbo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3</w:t>
                    </w:r>
                  </w:p>
                </w:txbxContent>
              </v:textbox>
              <w10:wrap type="square"/>
            </v:shape>
          </w:pict>
        </mc:Fallback>
      </mc:AlternateContent>
    </w:r>
    <w:r>
      <w:rPr>
        <w:noProof/>
        <w:lang w:val="en-AU" w:eastAsia="en-AU"/>
      </w:rPr>
      <w:drawing>
        <wp:anchor distT="0" distB="0" distL="114300" distR="114300" simplePos="0" relativeHeight="251659776" behindDoc="1" locked="0" layoutInCell="0" allowOverlap="1" wp14:anchorId="7DFEB7C3" wp14:editId="2FDCA249">
          <wp:simplePos x="0" y="0"/>
          <wp:positionH relativeFrom="margin">
            <wp:posOffset>-923925</wp:posOffset>
          </wp:positionH>
          <wp:positionV relativeFrom="margin">
            <wp:posOffset>-914400</wp:posOffset>
          </wp:positionV>
          <wp:extent cx="7559040" cy="9486900"/>
          <wp:effectExtent l="0" t="0" r="3810" b="0"/>
          <wp:wrapNone/>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mc:AlternateContent>
        <mc:Choice Requires="wps">
          <w:drawing>
            <wp:anchor distT="0" distB="0" distL="114300" distR="114300" simplePos="0" relativeHeight="251653632" behindDoc="0" locked="0" layoutInCell="1" allowOverlap="1" wp14:anchorId="3E4A9A52" wp14:editId="4F0F006C">
              <wp:simplePos x="0" y="0"/>
              <wp:positionH relativeFrom="column">
                <wp:posOffset>5323840</wp:posOffset>
              </wp:positionH>
              <wp:positionV relativeFrom="paragraph">
                <wp:posOffset>312420</wp:posOffset>
              </wp:positionV>
              <wp:extent cx="762000" cy="733425"/>
              <wp:effectExtent l="19050" t="19050" r="19050" b="28575"/>
              <wp:wrapSquare wrapText="bothSides"/>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4A9A52" id="_x0000_t120" coordsize="21600,21600" o:spt="120" path="m10800,qx,10800,10800,21600,21600,10800,10800,xe">
              <v:path gradientshapeok="t" o:connecttype="custom" o:connectlocs="10800,0;3163,3163;0,10800;3163,18437;10800,21600;18437,18437;21600,10800;18437,3163" textboxrect="3163,3163,18437,18437"/>
            </v:shapetype>
            <v:shape id="_x0000_s1030" type="#_x0000_t120" style="position:absolute;margin-left:419.2pt;margin-top:24.6pt;width:60pt;height:5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9vwAIAAJ0FAAAOAAAAZHJzL2Uyb0RvYy54bWysVF1r2zAUfR/sPwi9p7ZjJ05NnZKmyRjs&#10;o9CNPSuWHIvJknelxO7G/vuulDRN15cyhsHoWtK5595zfK+uh1aRvQArjS5pchFTInRluNTbkn79&#10;sh7NKLGOac6U0aKkD8LS6/nbN1d9V4ixaYziAgiCaFv0XUkb57oiimzViJbZC9MJjZu1gZY5DGEb&#10;cWA9orcqGsfxNOoN8A5MJazFr7eHTToP+HUtKve5rq1wRJUUubnwhvDe+Hc0v2LFFljXyOpIg/0D&#10;i5ZJjUlPULfMMbID+QKqlRUYa2p3UZk2MnUtKxFqwGqS+K9q7hvWiVALNsd2pzbZ/wdbfdrfAZEc&#10;taNEsxYlWuycCZlJ7tvTd7bAU/fdHfgCbffBVN8t0WbZML0VCwDTN4JxJJX489GzCz6weJVs+o+G&#10;IzpD9NCpoYbWA2IPyBAEeTgJIgZHKvyYT1FjlK3CrTxNs/EkZGDF4+UOrHsnTEv8oqS1Mj3SArc0&#10;WqP2BkIqtv9gnafGiscLoRSjJF9LpUIA281SAdkz75Q4vc0vj7ns+TGlSV/SNMkncYB+tmlfhwFm&#10;p3kwnu/b6rh2TKrDGmkq7TmJYOADd4wGh8vwHdsTzPVrsZ7EeZbORnk+SUdZuopHN7P1crRYJtNp&#10;vrpZ3qyS355okhWN5FzoVcC0j15Pstd56fjXHVx6cvuJoGdldk7AfcN7wqUXI51cjtFUXOLvNs5R&#10;R68kU1ucE5UDSsC4b9I1wWpeeY/xrIOzqX+OKpzQg4xniaMXtR1ODNgq7ORj14ItvRMPjnbDZgi2&#10;Tz2+d+nG8Af0KbLyZPxMw0Vj4CclPc6HktofOwaCEvVeo9cvkyzzAyUE2SQfYwDnO5vzHaYrhCqp&#10;ww6E5dIdhtCuA7ltMFMS6tfG/321DG59YoWV+ABnQKjpOK/8kDmPw6mnqTr/AwAA//8DAFBLAwQU&#10;AAYACAAAACEAozcw9OAAAAAKAQAADwAAAGRycy9kb3ducmV2LnhtbEyPQU7DMBBF90jcwZpK7KjT&#10;kLZpiFMhEGKBWLRwADd24ijxOIqdNOX0TFd0OTNPf97P97Pt2KQH3zgUsFpGwDSWTjVYC/j5fn9M&#10;gfkgUcnOoRZw0R72xf1dLjPlznjQ0zHUjELQZ1KACaHPOPel0Vb6pes10q1yg5WBxqHmapBnCrcd&#10;j6Now61skD4Y2etXo8v2OFoBcfv7xg/V+mMyrYn7qvq8jF9bIR4W88szsKDn8A/DVZ/UoSCnkxtR&#10;edYJSJ/ShFAByS4GRsBufV2ciNwkW+BFzm8rFH8AAAD//wMAUEsBAi0AFAAGAAgAAAAhALaDOJL+&#10;AAAA4QEAABMAAAAAAAAAAAAAAAAAAAAAAFtDb250ZW50X1R5cGVzXS54bWxQSwECLQAUAAYACAAA&#10;ACEAOP0h/9YAAACUAQAACwAAAAAAAAAAAAAAAAAvAQAAX3JlbHMvLnJlbHNQSwECLQAUAAYACAAA&#10;ACEAjkVPb8ACAACdBQAADgAAAAAAAAAAAAAAAAAuAgAAZHJzL2Uyb0RvYy54bWxQSwECLQAUAAYA&#10;CAAAACEAozcw9OAAAAAKAQAADwAAAAAAAAAAAAAAAAAaBQAAZHJzL2Rvd25yZXYueG1sUEsFBgAA&#10;AAAEAAQA8wAAACcGAAAAAA==&#10;" fillcolor="#003d79" strokecolor="#003d79" strokeweight="2.5pt">
              <v:shadow color="#868686"/>
              <v:textbo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4</w:t>
                    </w:r>
                  </w:p>
                </w:txbxContent>
              </v:textbox>
              <w10:wrap type="square"/>
            </v:shape>
          </w:pict>
        </mc:Fallback>
      </mc:AlternateContent>
    </w:r>
    <w:r>
      <w:rPr>
        <w:noProof/>
        <w:lang w:val="en-AU" w:eastAsia="en-AU"/>
      </w:rPr>
      <w:drawing>
        <wp:anchor distT="0" distB="0" distL="114300" distR="114300" simplePos="0" relativeHeight="251663872" behindDoc="1" locked="0" layoutInCell="0" allowOverlap="1" wp14:anchorId="0D9017C3" wp14:editId="6BEC5639">
          <wp:simplePos x="0" y="0"/>
          <wp:positionH relativeFrom="margin">
            <wp:posOffset>-923925</wp:posOffset>
          </wp:positionH>
          <wp:positionV relativeFrom="margin">
            <wp:posOffset>-914400</wp:posOffset>
          </wp:positionV>
          <wp:extent cx="7559040" cy="9486900"/>
          <wp:effectExtent l="0" t="0" r="3810" b="0"/>
          <wp:wrapNone/>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mc:AlternateContent>
        <mc:Choice Requires="wps">
          <w:drawing>
            <wp:anchor distT="0" distB="0" distL="114300" distR="114300" simplePos="0" relativeHeight="251652608" behindDoc="0" locked="0" layoutInCell="1" allowOverlap="1" wp14:anchorId="64B4C65C" wp14:editId="062AA8CB">
              <wp:simplePos x="0" y="0"/>
              <wp:positionH relativeFrom="column">
                <wp:posOffset>5323840</wp:posOffset>
              </wp:positionH>
              <wp:positionV relativeFrom="paragraph">
                <wp:posOffset>312420</wp:posOffset>
              </wp:positionV>
              <wp:extent cx="762000" cy="733425"/>
              <wp:effectExtent l="19050" t="19050" r="19050" b="28575"/>
              <wp:wrapSquare wrapText="bothSides"/>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B4C65C" id="_x0000_t120" coordsize="21600,21600" o:spt="120" path="m10800,qx,10800,10800,21600,21600,10800,10800,xe">
              <v:path gradientshapeok="t" o:connecttype="custom" o:connectlocs="10800,0;3163,3163;0,10800;3163,18437;10800,21600;18437,18437;21600,10800;18437,3163" textboxrect="3163,3163,18437,18437"/>
            </v:shapetype>
            <v:shape id="_x0000_s1031" type="#_x0000_t120" style="position:absolute;margin-left:419.2pt;margin-top:24.6pt;width:60pt;height:5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1fwQIAAJ4FAAAOAAAAZHJzL2Uyb0RvYy54bWysVF1r2zAUfR/sPwi9p7ZjJ05NnZKmyRjs&#10;o9CNPSuWHIvJup6kxO7G/vuulDRN15cyhsHoWtK5595zfK+uh1aRvTBWgi5pchFTInQFXOptSb9+&#10;WY9mlFjHNGcKtCjpg7D0ev72zVXfFWIMDSguDEEQbYu+K2njXFdEka0a0TJ7AZ3QuFmDaZnD0Gwj&#10;bliP6K2KxnE8jXowvDNQCWvx6+1hk84Dfl2Lyn2uayscUSVFbi68TXhv/DuaX7Fia1jXyOpIg/0D&#10;i5ZJjUlPULfMMbIz8gVUKysDFmp3UUEbQV3LSoQasJok/qua+4Z1ItSCzbHdqU32/8FWn/Z3hkhe&#10;0jEqpVmLGi12DkJqkvv+9J0t8Nh9d2d8hbb7ANV3SzQsG6a3YmEM9I1gHFkl/nz07IIPLF4lm/4j&#10;cERniB5aNdSm9YDYBDIERR5OiojBkQo/5lMUGXWrcCtP02w8CRlY8Xi5M9a9E9ASvyhpraBHWsYt&#10;QWsUH0xIxfYfrPPUWPF4IZQCSvK1VCoEZrtZKkP2zFslTm/zy2Mue35MadKXNE3ySRygn23a12EY&#10;2GkenOf7tjquHZPqsEaaSntOIjj4wB2jweEyfMf2BHf9WqwncZ6ls1GeT9JRlq7i0c1svRwtlsl0&#10;mq9uljer5LcnmmRFIzkXehUw7aPZk+x1Zjr+dgebnux+IuhZwc4Jc9/wnnDpxUgnl+OEYoD/2zhH&#10;Hb2STG1xUFTOUGLAfZOuCVbzynuMZx2cTf1zVOGEHmQ8Sxy9qO1wYsBWYScfuxZs6Z14cLQbNkPw&#10;febxvUs3wB/Qp8jKk/FDDRcNmJ+U9DggSmp/7JgRlKj3Gr1+mWSZnyghyCb5GANzvrM532G6QqiS&#10;OuxAWC7dYQrtOiO3DWZKQv0a/N9Xy+DWJ1ZYiQ9wCISajgPLT5nzOJx6GqvzPwAAAP//AwBQSwME&#10;FAAGAAgAAAAhAKM3MPTgAAAACgEAAA8AAABkcnMvZG93bnJldi54bWxMj0FOwzAQRfdI3MGaSuyo&#10;05C2aYhTIRBigVi0cAA3duIo8TiKnTTl9ExXdDkzT3/ez/ez7dikB984FLBaRsA0lk41WAv4+X5/&#10;TIH5IFHJzqEWcNEe9sX9XS4z5c540NMx1IxC0GdSgAmhzzj3pdFW+qXrNdKtcoOVgcah5mqQZwq3&#10;HY+jaMOtbJA+GNnrV6PL9jhaAXH7+8YP1fpjMq2J+6r6vIxfWyEeFvPLM7Cg5/APw1Wf1KEgp5Mb&#10;UXnWCUif0oRQAckuBkbAbn1dnIjcJFvgRc5vKxR/AAAA//8DAFBLAQItABQABgAIAAAAIQC2gziS&#10;/gAAAOEBAAATAAAAAAAAAAAAAAAAAAAAAABbQ29udGVudF9UeXBlc10ueG1sUEsBAi0AFAAGAAgA&#10;AAAhADj9If/WAAAAlAEAAAsAAAAAAAAAAAAAAAAALwEAAF9yZWxzLy5yZWxzUEsBAi0AFAAGAAgA&#10;AAAhAMQYzV/BAgAAngUAAA4AAAAAAAAAAAAAAAAALgIAAGRycy9lMm9Eb2MueG1sUEsBAi0AFAAG&#10;AAgAAAAhAKM3MPTgAAAACgEAAA8AAAAAAAAAAAAAAAAAGwUAAGRycy9kb3ducmV2LnhtbFBLBQYA&#10;AAAABAAEAPMAAAAoBgAAAAA=&#10;" fillcolor="#003d79" strokecolor="#003d79" strokeweight="2.5pt">
              <v:shadow color="#868686"/>
              <v:textbo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5</w:t>
                    </w:r>
                  </w:p>
                </w:txbxContent>
              </v:textbox>
              <w10:wrap type="square"/>
            </v:shape>
          </w:pict>
        </mc:Fallback>
      </mc:AlternateContent>
    </w:r>
    <w:r>
      <w:rPr>
        <w:noProof/>
        <w:lang w:val="en-AU" w:eastAsia="en-AU"/>
      </w:rPr>
      <w:drawing>
        <wp:anchor distT="0" distB="0" distL="114300" distR="114300" simplePos="0" relativeHeight="251661824" behindDoc="1" locked="0" layoutInCell="0" allowOverlap="1" wp14:anchorId="2D9A2068" wp14:editId="0CD9F327">
          <wp:simplePos x="0" y="0"/>
          <wp:positionH relativeFrom="margin">
            <wp:posOffset>-923925</wp:posOffset>
          </wp:positionH>
          <wp:positionV relativeFrom="margin">
            <wp:posOffset>-914400</wp:posOffset>
          </wp:positionV>
          <wp:extent cx="7559040" cy="9486900"/>
          <wp:effectExtent l="0" t="0" r="3810" b="0"/>
          <wp:wrapNone/>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mc:AlternateContent>
        <mc:Choice Requires="wps">
          <w:drawing>
            <wp:anchor distT="0" distB="0" distL="114300" distR="114300" simplePos="0" relativeHeight="251648512" behindDoc="0" locked="0" layoutInCell="1" allowOverlap="1" wp14:anchorId="2051C994" wp14:editId="7CAF0542">
              <wp:simplePos x="0" y="0"/>
              <wp:positionH relativeFrom="column">
                <wp:posOffset>5323840</wp:posOffset>
              </wp:positionH>
              <wp:positionV relativeFrom="paragraph">
                <wp:posOffset>312420</wp:posOffset>
              </wp:positionV>
              <wp:extent cx="762000" cy="733425"/>
              <wp:effectExtent l="19050" t="19050" r="19050" b="28575"/>
              <wp:wrapSquare wrapText="bothSides"/>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51C994" id="_x0000_t120" coordsize="21600,21600" o:spt="120" path="m10800,qx,10800,10800,21600,21600,10800,10800,xe">
              <v:path gradientshapeok="t" o:connecttype="custom" o:connectlocs="10800,0;3163,3163;0,10800;3163,18437;10800,21600;18437,18437;21600,10800;18437,3163" textboxrect="3163,3163,18437,18437"/>
            </v:shapetype>
            <v:shape id="_x0000_s1032" type="#_x0000_t120" style="position:absolute;margin-left:419.2pt;margin-top:24.6pt;width:60pt;height:57.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ZZwAIAAJ0FAAAOAAAAZHJzL2Uyb0RvYy54bWysVE1v2zAMvQ/YfxB0T23HTpwadYo0TYYB&#10;+yjQDTsrlhwLk0VPUmJ3w/77KCVN0/VSDIMBQxSlx0fyiVfXQ6vIXhgrQZc0uYgpEboCLvW2pF+/&#10;rEczSqxjmjMFWpT0QVh6PX/75qrvCjGGBhQXhiCItkXflbRxriuiyFaNaJm9gE5odNZgWubQNNuI&#10;G9YjequicRxPox4M7wxUwlrcvT046Tzg17Wo3Oe6tsIRVVLk5sLfhP/G/6P5FSu2hnWNrI402D+w&#10;aJnUGPQEdcscIzsjX0C1sjJgoXYXFbQR1LWsRMgBs0niv7K5b1gnQi5YHNudymT/H2z1aX9niOQl&#10;nVKiWYstWuwchMgk9+XpO1vgqfvuzvgEbfcBqu+WaFg2TG/FwhjoG8E4kkr8+ejZBW9YvEo2/Ufg&#10;iM4QPVRqqE3rAbEGZAgNeTg1RAyOVLiZT7HH2LYKXXmaZuNJiMCKx8udse6dgJb4RUlrBT3SMm4J&#10;WmPvwYRQbP/BOk+NFY8XQiqgJF9LpYJhtpulMmTPvFLi9Da/PMay58eUJn1J0ySfxAH6mdO+DsPA&#10;TvMgPF+31XHtmFSHNdJU2nMSQcAH7mgNDpdhH8sTxPVrsZ7EeZbORnk+SUdZuopHN7P1crRYJtNp&#10;vrpZ3qyS355okhWN5FzoVcC0j1pPstdp6fjqDio9qf1E0LOCnRPmvuE94dI3I51cjhOKBj63cY59&#10;9J1kaotzonKGEgPum3RNkJrvvMd4VsHZ1H/HLpzQQxvPAkcvcjucGLBUWMnHqgVZeiUeFO2GzRBk&#10;HxTlVboB/oA6RVaejJ9puGjA/KSkx/lQUvtjx4ygRL3XqPXLJMv8QAlGNsnHaJhzz+bcw3SFUCV1&#10;WIGwXLrDENp1Rm4bjJSE/DX411fLoNYnVpiJN3AGhJyO88oPmXM7nHqaqvM/AAAA//8DAFBLAwQU&#10;AAYACAAAACEAozcw9OAAAAAKAQAADwAAAGRycy9kb3ducmV2LnhtbEyPQU7DMBBF90jcwZpK7KjT&#10;kLZpiFMhEGKBWLRwADd24ijxOIqdNOX0TFd0OTNPf97P97Pt2KQH3zgUsFpGwDSWTjVYC/j5fn9M&#10;gfkgUcnOoRZw0R72xf1dLjPlznjQ0zHUjELQZ1KACaHPOPel0Vb6pes10q1yg5WBxqHmapBnCrcd&#10;j6Now61skD4Y2etXo8v2OFoBcfv7xg/V+mMyrYn7qvq8jF9bIR4W88szsKDn8A/DVZ/UoSCnkxtR&#10;edYJSJ/ShFAByS4GRsBufV2ciNwkW+BFzm8rFH8AAAD//wMAUEsBAi0AFAAGAAgAAAAhALaDOJL+&#10;AAAA4QEAABMAAAAAAAAAAAAAAAAAAAAAAFtDb250ZW50X1R5cGVzXS54bWxQSwECLQAUAAYACAAA&#10;ACEAOP0h/9YAAACUAQAACwAAAAAAAAAAAAAAAAAvAQAAX3JlbHMvLnJlbHNQSwECLQAUAAYACAAA&#10;ACEA9SrmWcACAACdBQAADgAAAAAAAAAAAAAAAAAuAgAAZHJzL2Uyb0RvYy54bWxQSwECLQAUAAYA&#10;CAAAACEAozcw9OAAAAAKAQAADwAAAAAAAAAAAAAAAAAaBQAAZHJzL2Rvd25yZXYueG1sUEsFBgAA&#10;AAAEAAQA8wAAACcGAAAAAA==&#10;" fillcolor="#003d79" strokecolor="#003d79" strokeweight="2.5pt">
              <v:shadow color="#868686"/>
              <v:textbo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6</w:t>
                    </w:r>
                  </w:p>
                </w:txbxContent>
              </v:textbox>
              <w10:wrap type="square"/>
            </v:shape>
          </w:pict>
        </mc:Fallback>
      </mc:AlternateContent>
    </w:r>
    <w:r>
      <w:rPr>
        <w:noProof/>
        <w:lang w:val="en-AU" w:eastAsia="en-AU"/>
      </w:rPr>
      <w:drawing>
        <wp:anchor distT="0" distB="0" distL="114300" distR="114300" simplePos="0" relativeHeight="251656704" behindDoc="1" locked="0" layoutInCell="0" allowOverlap="1" wp14:anchorId="6169B4A7" wp14:editId="2F44584A">
          <wp:simplePos x="0" y="0"/>
          <wp:positionH relativeFrom="margin">
            <wp:posOffset>-923925</wp:posOffset>
          </wp:positionH>
          <wp:positionV relativeFrom="margin">
            <wp:posOffset>-914400</wp:posOffset>
          </wp:positionV>
          <wp:extent cx="7559040" cy="9486900"/>
          <wp:effectExtent l="0" t="0" r="3810" b="0"/>
          <wp:wrapNone/>
          <wp:docPr id="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835B0" w:rsidRDefault="00C9763C" w:rsidP="002E221B">
    <w:pPr>
      <w:pStyle w:val="Header"/>
      <w:pBdr>
        <w:bottom w:val="single" w:sz="4" w:space="1" w:color="BFBFBF"/>
      </w:pBdr>
      <w:tabs>
        <w:tab w:val="left" w:pos="2580"/>
        <w:tab w:val="left" w:pos="2985"/>
      </w:tabs>
      <w:spacing w:after="120" w:line="276" w:lineRule="auto"/>
      <w:rPr>
        <w:b/>
        <w:bCs/>
        <w:color w:val="1F497D"/>
        <w:sz w:val="28"/>
        <w:szCs w:val="28"/>
      </w:rPr>
    </w:pPr>
    <w:r>
      <w:rPr>
        <w:rStyle w:val="Style9"/>
      </w:rPr>
      <w:t>Project commissioned by the Australian Commission on Safety and Quality in Health Care</w:t>
    </w:r>
  </w:p>
  <w:p w:rsidR="00C9763C" w:rsidRPr="00F344E1" w:rsidRDefault="00C9763C" w:rsidP="00542C4B">
    <w:pPr>
      <w:pStyle w:val="Header"/>
      <w:rPr>
        <w:szCs w:val="2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B30967" w:rsidRDefault="00C9763C" w:rsidP="00B30967">
    <w:pPr>
      <w:pStyle w:val="Header"/>
      <w:pBdr>
        <w:bottom w:val="single" w:sz="4" w:space="1" w:color="BFBFBF"/>
      </w:pBdr>
      <w:tabs>
        <w:tab w:val="left" w:pos="2580"/>
        <w:tab w:val="left" w:pos="2985"/>
      </w:tabs>
      <w:spacing w:after="120" w:line="276" w:lineRule="auto"/>
      <w:rPr>
        <w:b/>
        <w:bCs/>
        <w:color w:val="1F497D"/>
        <w:sz w:val="28"/>
        <w:szCs w:val="28"/>
      </w:rPr>
    </w:pPr>
    <w:r>
      <w:rPr>
        <w:rStyle w:val="Style9"/>
      </w:rPr>
      <w:t>Project commissioned by the Australian Commission on Safety and Quality in Health Care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w:drawing>
        <wp:anchor distT="0" distB="0" distL="114300" distR="114300" simplePos="0" relativeHeight="251665920" behindDoc="1" locked="0" layoutInCell="0" allowOverlap="1" wp14:anchorId="64C727A4" wp14:editId="4748A2E8">
          <wp:simplePos x="0" y="0"/>
          <wp:positionH relativeFrom="margin">
            <wp:posOffset>-923925</wp:posOffset>
          </wp:positionH>
          <wp:positionV relativeFrom="margin">
            <wp:posOffset>-914400</wp:posOffset>
          </wp:positionV>
          <wp:extent cx="7559040" cy="9486900"/>
          <wp:effectExtent l="0" t="0" r="3810" b="0"/>
          <wp:wrapNone/>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835B0" w:rsidRDefault="00C9763C" w:rsidP="00E835B0">
    <w:pPr>
      <w:pStyle w:val="Header"/>
      <w:pBdr>
        <w:bottom w:val="single" w:sz="4" w:space="1" w:color="BFBFBF"/>
      </w:pBdr>
      <w:tabs>
        <w:tab w:val="left" w:pos="2580"/>
        <w:tab w:val="left" w:pos="2985"/>
      </w:tabs>
      <w:spacing w:after="120" w:line="276" w:lineRule="auto"/>
      <w:rPr>
        <w:b/>
        <w:bCs/>
        <w:color w:val="1F497D"/>
        <w:sz w:val="28"/>
        <w:szCs w:val="28"/>
      </w:rPr>
    </w:pPr>
    <w:r>
      <w:rPr>
        <w:rStyle w:val="Style9"/>
      </w:rPr>
      <w:t>Project commissioned by the Australian Commission on Safety and Quality in Health Care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835B0" w:rsidRDefault="00C9763C" w:rsidP="009E36FE">
    <w:pPr>
      <w:pStyle w:val="Header"/>
      <w:pBdr>
        <w:bottom w:val="single" w:sz="4" w:space="1" w:color="BFBFBF"/>
      </w:pBdr>
      <w:tabs>
        <w:tab w:val="left" w:pos="2580"/>
        <w:tab w:val="left" w:pos="2985"/>
      </w:tabs>
      <w:spacing w:after="120" w:line="276" w:lineRule="auto"/>
      <w:rPr>
        <w:b/>
        <w:bCs/>
        <w:color w:val="1F497D"/>
        <w:sz w:val="28"/>
        <w:szCs w:val="28"/>
      </w:rPr>
    </w:pPr>
    <w:r>
      <w:rPr>
        <w:rStyle w:val="Style9"/>
      </w:rPr>
      <w:t>Project commissioned by the Australian Commission on Safety and Quality in Health Care</w:t>
    </w:r>
  </w:p>
  <w:p w:rsidR="00C9763C" w:rsidRPr="00F344E1" w:rsidRDefault="00C9763C" w:rsidP="00542C4B">
    <w:pPr>
      <w:pStyle w:val="Header"/>
      <w:rPr>
        <w:szCs w:val="2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w:drawing>
        <wp:anchor distT="0" distB="0" distL="114300" distR="114300" simplePos="0" relativeHeight="251666944" behindDoc="1" locked="0" layoutInCell="0" allowOverlap="1" wp14:anchorId="489E8070" wp14:editId="03B22095">
          <wp:simplePos x="0" y="0"/>
          <wp:positionH relativeFrom="margin">
            <wp:posOffset>-946150</wp:posOffset>
          </wp:positionH>
          <wp:positionV relativeFrom="margin">
            <wp:posOffset>-914400</wp:posOffset>
          </wp:positionV>
          <wp:extent cx="7559040" cy="9486900"/>
          <wp:effectExtent l="0" t="0" r="381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835B0" w:rsidRDefault="00C9763C" w:rsidP="00E835B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C3500D" w:rsidRDefault="00C9763C" w:rsidP="00C3500D">
    <w:pPr>
      <w:pStyle w:val="Header"/>
      <w:pBdr>
        <w:bottom w:val="single" w:sz="4" w:space="1" w:color="BFBFBF"/>
      </w:pBdr>
      <w:tabs>
        <w:tab w:val="left" w:pos="2580"/>
        <w:tab w:val="left" w:pos="2985"/>
      </w:tabs>
      <w:spacing w:after="120" w:line="276" w:lineRule="auto"/>
      <w:rPr>
        <w:b/>
        <w:bCs/>
        <w:color w:val="1F497D"/>
        <w:sz w:val="28"/>
        <w:szCs w:val="28"/>
      </w:rPr>
    </w:pPr>
    <w:r>
      <w:rPr>
        <w:rStyle w:val="Style9"/>
      </w:rPr>
      <w:t>Project commissioned by the Australian Commission on Safety and Quality in Health Care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C3500D" w:rsidRDefault="00C9763C" w:rsidP="00C3500D">
    <w:pPr>
      <w:pStyle w:val="Header"/>
      <w:pBdr>
        <w:bottom w:val="single" w:sz="4" w:space="1" w:color="BFBFBF"/>
      </w:pBdr>
      <w:tabs>
        <w:tab w:val="left" w:pos="2580"/>
        <w:tab w:val="left" w:pos="2985"/>
      </w:tabs>
      <w:spacing w:after="120" w:line="276" w:lineRule="auto"/>
      <w:rPr>
        <w:b/>
        <w:bCs/>
        <w:color w:val="1F497D"/>
        <w:sz w:val="28"/>
        <w:szCs w:val="28"/>
      </w:rPr>
    </w:pPr>
    <w:r>
      <w:rPr>
        <w:rStyle w:val="Style9"/>
      </w:rPr>
      <w:t>Project commissioned by the Australian Commission on Safety and Quality in Health Care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C3500D" w:rsidRDefault="00C9763C" w:rsidP="00C3500D">
    <w:pPr>
      <w:pStyle w:val="Header"/>
      <w:pBdr>
        <w:bottom w:val="single" w:sz="4" w:space="1" w:color="BFBFBF"/>
      </w:pBdr>
      <w:tabs>
        <w:tab w:val="left" w:pos="2580"/>
        <w:tab w:val="left" w:pos="2985"/>
      </w:tabs>
      <w:spacing w:after="120" w:line="276" w:lineRule="auto"/>
      <w:rPr>
        <w:b/>
        <w:bCs/>
        <w:color w:val="1F497D"/>
        <w:sz w:val="28"/>
        <w:szCs w:val="28"/>
      </w:rPr>
    </w:pPr>
    <w:r>
      <w:rPr>
        <w:rStyle w:val="Style9"/>
      </w:rPr>
      <w:t>Project commissioned by the Australian Commission on Safety and Quality in Health Care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001883" w:rsidRDefault="00C9763C" w:rsidP="00001883">
    <w:pPr>
      <w:pStyle w:val="Header"/>
    </w:pPr>
    <w:r>
      <w:rPr>
        <w:noProof/>
        <w:lang w:val="en-AU" w:eastAsia="en-AU"/>
      </w:rPr>
      <w:drawing>
        <wp:anchor distT="0" distB="0" distL="114300" distR="114300" simplePos="0" relativeHeight="251660800" behindDoc="1" locked="0" layoutInCell="0" allowOverlap="1">
          <wp:simplePos x="0" y="0"/>
          <wp:positionH relativeFrom="margin">
            <wp:posOffset>-914400</wp:posOffset>
          </wp:positionH>
          <wp:positionV relativeFrom="margin">
            <wp:posOffset>-914400</wp:posOffset>
          </wp:positionV>
          <wp:extent cx="7562850" cy="9486900"/>
          <wp:effectExtent l="0" t="0" r="0" b="0"/>
          <wp:wrapNone/>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001883" w:rsidRDefault="00C9763C" w:rsidP="00001883">
    <w:pPr>
      <w:pStyle w:val="Header"/>
    </w:pPr>
    <w:r>
      <w:rPr>
        <w:noProof/>
        <w:lang w:val="en-AU" w:eastAsia="en-AU"/>
      </w:rPr>
      <w:drawing>
        <wp:anchor distT="0" distB="0" distL="114300" distR="114300" simplePos="0" relativeHeight="251662848" behindDoc="1" locked="0" layoutInCell="0" allowOverlap="1">
          <wp:simplePos x="0" y="0"/>
          <wp:positionH relativeFrom="margin">
            <wp:posOffset>-914400</wp:posOffset>
          </wp:positionH>
          <wp:positionV relativeFrom="margin">
            <wp:posOffset>-914400</wp:posOffset>
          </wp:positionV>
          <wp:extent cx="7562850" cy="9486900"/>
          <wp:effectExtent l="0" t="0" r="0" b="0"/>
          <wp:wrapNone/>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Default="00C976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835B0" w:rsidRDefault="00C9763C" w:rsidP="00E835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w:drawing>
        <wp:anchor distT="0" distB="0" distL="114300" distR="114300" simplePos="0" relativeHeight="251657728" behindDoc="1" locked="0" layoutInCell="0" allowOverlap="1" wp14:anchorId="791E5E58" wp14:editId="1D165F2A">
          <wp:simplePos x="0" y="0"/>
          <wp:positionH relativeFrom="margin">
            <wp:posOffset>-923925</wp:posOffset>
          </wp:positionH>
          <wp:positionV relativeFrom="margin">
            <wp:posOffset>-923925</wp:posOffset>
          </wp:positionV>
          <wp:extent cx="7559040" cy="9486900"/>
          <wp:effectExtent l="0" t="0" r="3810" b="0"/>
          <wp:wrapNone/>
          <wp:docPr id="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E835B0" w:rsidRDefault="00C9763C" w:rsidP="00E835B0">
    <w:pPr>
      <w:pStyle w:val="Header"/>
      <w:pBdr>
        <w:bottom w:val="single" w:sz="4" w:space="1" w:color="BFBFBF"/>
      </w:pBdr>
      <w:tabs>
        <w:tab w:val="left" w:pos="2580"/>
        <w:tab w:val="left" w:pos="2985"/>
      </w:tabs>
      <w:spacing w:after="120" w:line="276" w:lineRule="auto"/>
      <w:rPr>
        <w:b/>
        <w:bCs/>
        <w:color w:val="1F497D"/>
        <w:sz w:val="28"/>
        <w:szCs w:val="28"/>
      </w:rPr>
    </w:pPr>
    <w:r>
      <w:rPr>
        <w:rStyle w:val="Style9"/>
      </w:rPr>
      <w:t>Project commissioned by the Australian Commission on Safety and Quality in Health Care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w:drawing>
        <wp:anchor distT="0" distB="0" distL="114300" distR="114300" simplePos="0" relativeHeight="251655680" behindDoc="1" locked="0" layoutInCell="0" allowOverlap="1" wp14:anchorId="7E4D9835" wp14:editId="01D5342D">
          <wp:simplePos x="0" y="0"/>
          <wp:positionH relativeFrom="margin">
            <wp:posOffset>-923925</wp:posOffset>
          </wp:positionH>
          <wp:positionV relativeFrom="margin">
            <wp:posOffset>-914400</wp:posOffset>
          </wp:positionV>
          <wp:extent cx="7559040" cy="9486900"/>
          <wp:effectExtent l="0" t="0" r="3810" b="0"/>
          <wp:wrapNone/>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mc:AlternateContent>
        <mc:Choice Requires="wps">
          <w:drawing>
            <wp:anchor distT="0" distB="0" distL="114300" distR="114300" simplePos="0" relativeHeight="251654656" behindDoc="0" locked="0" layoutInCell="1" allowOverlap="1" wp14:anchorId="6B3F4CAE" wp14:editId="766DA11A">
              <wp:simplePos x="0" y="0"/>
              <wp:positionH relativeFrom="column">
                <wp:posOffset>5372100</wp:posOffset>
              </wp:positionH>
              <wp:positionV relativeFrom="paragraph">
                <wp:posOffset>256540</wp:posOffset>
              </wp:positionV>
              <wp:extent cx="762000" cy="733425"/>
              <wp:effectExtent l="19050" t="19050" r="19050" b="28575"/>
              <wp:wrapSquare wrapText="bothSides"/>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3C" w:rsidRPr="001B78D5" w:rsidRDefault="00C9763C" w:rsidP="00A75A2D">
                          <w:pPr>
                            <w:jc w:val="center"/>
                            <w:rPr>
                              <w:rFonts w:ascii="Gill Sans MT" w:hAnsi="Gill Sans MT"/>
                              <w:b/>
                              <w:color w:val="FFFFFF"/>
                              <w:sz w:val="64"/>
                              <w:szCs w:val="64"/>
                            </w:rPr>
                          </w:pPr>
                          <w:r w:rsidRPr="001B78D5">
                            <w:rPr>
                              <w:rFonts w:ascii="Gill Sans MT" w:hAnsi="Gill Sans MT"/>
                              <w:b/>
                              <w:color w:val="FFFFFF"/>
                              <w:sz w:val="64"/>
                              <w:szCs w:val="6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3F4CAE"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7" type="#_x0000_t120" style="position:absolute;margin-left:423pt;margin-top:20.2pt;width:60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y7vgIAAJcFAAAOAAAAZHJzL2Uyb0RvYy54bWysVFFvmzAQfp+0/2D5PQUCCQkqqdI0mSZ1&#10;W6Vu2rODDVgzNrOdQDftv+9sSJauL9U0ISGfz/7uu7vPd33TNwIdmTZcyRxHVyFGTBaKclnl+Mvn&#10;3WSBkbFEUiKUZDl+YgbfrN6+ue7ajE1VrQRlGgGINFnX5ri2ts2CwBQ1a4i5Ui2T4CyVbogFU1cB&#10;1aQD9EYE0zCcB53StNWqYMbA7t3gxCuPX5assJ/K0jCLRI6Bm/V/7f979w9W1ySrNGlrXow0yD+w&#10;aAiXEPQMdUcsQQfNX0A1vNDKqNJeFaoJVFnygvkcIJso/Cubx5q0zOcCxTHtuUzm/8EWH48PGnGa&#10;4xg6JUkDPVofrPKhUerq07Umg2OP7YN2GZr2XhXfDJJqUxNZsbXWqqsZocAqcueDZxecYeAq2ncf&#10;FAV0Aui+VH2pGwcIRUC978jTuSOst6iAzXQOTYa+FeBK4ziZznwEkp0ut9rYd0w1yC1yXArVAS1t&#10;N0pKaL7SPhQ53hvrqJHsdMGnogSnOy6EN3S13wiNjsRJJYzv0uUYy1weExJ1UKwonYUe+pnTvA5D&#10;q4OkXnmubttxbQkXwxpoCuk4Ma/ggTtYvYWl34fyeHX9XO9mYZrEi0mazuJJEm/Dye1it5msN9F8&#10;nm5vN7fb6JcjGiVZzSllcusxzUnsUfI6MY3PbpDpWe5ngo6VOlimH2vaIcpdM+LZchphMOC9TVPo&#10;o+skERUMisJqjLSyX7mtvdRc5x3Gswou5u4bu3BG9228CBy8yG040UOpoJKnqnlZOiUOirb9vh/F&#10;vVf0CQQKdBwLN81gUSv9A6MOJkOOzfcD0Qwj8V6CyJdRkrhR4o1klk7B0Jee/aWHyAKgcmwhdb/c&#10;2GH8HFrNqxoiRT5xqdyzK7mXqXs0AytIwRnw+n0y46Ry4+XS9qf+zNPVbwAAAP//AwBQSwMEFAAG&#10;AAgAAAAhAMs3azjfAAAACgEAAA8AAABkcnMvZG93bnJldi54bWxMj0FugzAQRfeVegdrInXXmCCg&#10;CcVEVauqi6qLpD2AgweMwGOEDSE9fZ1Vs5yZpz/vF/vF9GzG0bWWBGzWETCkyqqWGgE/3++PW2DO&#10;S1Kyt4QCLuhgX97fFTJX9kwHnI++YSGEXC4FaO+HnHNXaTTSre2AFG61HY30YRwbrkZ5DuGm53EU&#10;ZdzIlsIHLQd81Vh1x8kIiLvfN36o049Zdzoe6vrzMn09CfGwWl6egXlc/D8MV/2gDmVwOtmJlGO9&#10;gG2ShS5eQBIlwAKwy66LUyDTdAe8LPhthfIPAAD//wMAUEsBAi0AFAAGAAgAAAAhALaDOJL+AAAA&#10;4QEAABMAAAAAAAAAAAAAAAAAAAAAAFtDb250ZW50X1R5cGVzXS54bWxQSwECLQAUAAYACAAAACEA&#10;OP0h/9YAAACUAQAACwAAAAAAAAAAAAAAAAAvAQAAX3JlbHMvLnJlbHNQSwECLQAUAAYACAAAACEA&#10;4Z8Mu74CAACXBQAADgAAAAAAAAAAAAAAAAAuAgAAZHJzL2Uyb0RvYy54bWxQSwECLQAUAAYACAAA&#10;ACEAyzdrON8AAAAKAQAADwAAAAAAAAAAAAAAAAAYBQAAZHJzL2Rvd25yZXYueG1sUEsFBgAAAAAE&#10;AAQA8wAAACQGAAAAAA==&#10;" fillcolor="#003d79" strokecolor="#003d79" strokeweight="2.5pt">
              <v:shadow color="#868686"/>
              <v:textbox>
                <w:txbxContent>
                  <w:p w:rsidR="00C9763C" w:rsidRPr="001B78D5" w:rsidRDefault="00C9763C" w:rsidP="00A75A2D">
                    <w:pPr>
                      <w:jc w:val="center"/>
                      <w:rPr>
                        <w:rFonts w:ascii="Gill Sans MT" w:hAnsi="Gill Sans MT"/>
                        <w:b/>
                        <w:color w:val="FFFFFF"/>
                        <w:sz w:val="64"/>
                        <w:szCs w:val="64"/>
                      </w:rPr>
                    </w:pPr>
                    <w:r w:rsidRPr="001B78D5">
                      <w:rPr>
                        <w:rFonts w:ascii="Gill Sans MT" w:hAnsi="Gill Sans MT"/>
                        <w:b/>
                        <w:color w:val="FFFFFF"/>
                        <w:sz w:val="64"/>
                        <w:szCs w:val="64"/>
                      </w:rPr>
                      <w:t>1</w:t>
                    </w:r>
                  </w:p>
                </w:txbxContent>
              </v:textbox>
              <w10:wrap type="square"/>
            </v:shape>
          </w:pict>
        </mc:Fallback>
      </mc:AlternateContent>
    </w:r>
    <w:r>
      <w:rPr>
        <w:noProof/>
        <w:lang w:val="en-AU" w:eastAsia="en-AU"/>
      </w:rPr>
      <w:drawing>
        <wp:anchor distT="0" distB="0" distL="114300" distR="114300" simplePos="0" relativeHeight="251664896" behindDoc="1" locked="0" layoutInCell="0" allowOverlap="1" wp14:anchorId="66CA56CF" wp14:editId="7B71207B">
          <wp:simplePos x="0" y="0"/>
          <wp:positionH relativeFrom="margin">
            <wp:posOffset>-923925</wp:posOffset>
          </wp:positionH>
          <wp:positionV relativeFrom="margin">
            <wp:posOffset>-914400</wp:posOffset>
          </wp:positionV>
          <wp:extent cx="7559040" cy="9486900"/>
          <wp:effectExtent l="0" t="0" r="3810" b="0"/>
          <wp:wrapNone/>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3C" w:rsidRPr="00F344E1" w:rsidRDefault="00C9763C" w:rsidP="00542C4B">
    <w:pPr>
      <w:pStyle w:val="Header"/>
      <w:rPr>
        <w:szCs w:val="28"/>
      </w:rPr>
    </w:pPr>
    <w:r>
      <w:rPr>
        <w:noProof/>
        <w:lang w:val="en-AU" w:eastAsia="en-AU"/>
      </w:rPr>
      <mc:AlternateContent>
        <mc:Choice Requires="wps">
          <w:drawing>
            <wp:anchor distT="0" distB="0" distL="114300" distR="114300" simplePos="0" relativeHeight="251649536" behindDoc="0" locked="0" layoutInCell="1" allowOverlap="1" wp14:anchorId="3DF8145B" wp14:editId="7131C2B1">
              <wp:simplePos x="0" y="0"/>
              <wp:positionH relativeFrom="column">
                <wp:posOffset>5323840</wp:posOffset>
              </wp:positionH>
              <wp:positionV relativeFrom="paragraph">
                <wp:posOffset>312420</wp:posOffset>
              </wp:positionV>
              <wp:extent cx="762000" cy="733425"/>
              <wp:effectExtent l="19050" t="19050" r="19050" b="28575"/>
              <wp:wrapSquare wrapText="bothSides"/>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F8145B"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margin-left:419.2pt;margin-top:24.6pt;width:60pt;height:5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xvwIAAJ0FAAAOAAAAZHJzL2Uyb0RvYy54bWysVF1r2zAUfR/sPwi9p7ZjJ05NnZKmyRjs&#10;o9CNPSuWHIvJkicpsbux/76rmzRN15cyhsHoWtK55557fK+uh1aRvbBOGl3S5CKmROjKcKm3Jf36&#10;ZT2aUeI805wpo0VJH4Sj1/O3b676rhBj0xjFhSUAol3RdyVtvO+KKHJVI1rmLkwnNGzWxrbMQ2i3&#10;EbesB/RWReM4nka9sbyzphLOwdfbwyadI35di8p/rmsnPFElBW4e3xbfm/CO5les2FrWNbI60mD/&#10;wKJlUkPSE9Qt84zsrHwB1crKGmdqf1GZNjJ1LSuBNUA1SfxXNfcN6wTWAuK47iST+3+w1af9nSWS&#10;lzSlRLMWWrTYeYOZSR7k6TtXwKn77s6GAl33wVTfHdFm2TC9FQtrTd8IxoFUEs5Hzy6EwMFVsuk/&#10;Gg7oDNBRqaG2bQAEDciADXk4NUQMnlTwMZ9Cj6FtFWzlaZqNJ5iBFY+XO+v8O2FaEhYlrZXpgZb1&#10;S6M19N5YTMX2H5wP1FjxeAFLMUrytVQKA7vdLJUlexacEqe3+eUxlzs/pjTpQaskn8QI/WzTvQ7D&#10;mp3maLyg2+q49kyqwxpoKh04CTTwgTtEg4clfgd50Fy/FutJnGfpbJTnk3SUpat4dDNbL0eLZTKd&#10;5qub5c0q+R2IJlnRSM6FXiGme/R6kr3OS8e/7uDSk9tPBAMrs/PC3je8J1yGZqSTy3FCIYDfbZxD&#10;H0MnmdrCnKi8pcQa/036Bq0WOh8wnik4m4bn2IUTOrbxLHH0orbDiQGkAiUfVUNbBiceHO2HzYC2&#10;R88Gl24MfwCfAqtAJsw0WDTG/qSkh/lQUvdjx6ygRL3X4PXLJMvCQMEgm+RjCOz5zuZ8h+kKoErq&#10;QQFcLv1hCO06K7cNZEqwfm3C31dLdOsTK6gkBDADsKbjvApD5jzGU09Tdf4HAAD//wMAUEsDBBQA&#10;BgAIAAAAIQCjNzD04AAAAAoBAAAPAAAAZHJzL2Rvd25yZXYueG1sTI9BTsMwEEX3SNzBmkrsqNOQ&#10;tmmIUyEQYoFYtHAAN3biKPE4ip005fRMV3Q5M09/3s/3s+3YpAffOBSwWkbANJZONVgL+Pl+f0yB&#10;+SBRyc6hFnDRHvbF/V0uM+XOeNDTMdSMQtBnUoAJoc8496XRVvql6zXSrXKDlYHGoeZqkGcKtx2P&#10;o2jDrWyQPhjZ61ejy/Y4WgFx+/vGD9X6YzKtifuq+ryMX1shHhbzyzOwoOfwD8NVn9ShIKeTG1F5&#10;1glIn9KEUAHJLgZGwG59XZyI3CRb4EXObysUfwAAAP//AwBQSwECLQAUAAYACAAAACEAtoM4kv4A&#10;AADhAQAAEwAAAAAAAAAAAAAAAAAAAAAAW0NvbnRlbnRfVHlwZXNdLnhtbFBLAQItABQABgAIAAAA&#10;IQA4/SH/1gAAAJQBAAALAAAAAAAAAAAAAAAAAC8BAABfcmVscy8ucmVsc1BLAQItABQABgAIAAAA&#10;IQAp6/fxvwIAAJ0FAAAOAAAAAAAAAAAAAAAAAC4CAABkcnMvZTJvRG9jLnhtbFBLAQItABQABgAI&#10;AAAAIQCjNzD04AAAAAoBAAAPAAAAAAAAAAAAAAAAABkFAABkcnMvZG93bnJldi54bWxQSwUGAAAA&#10;AAQABADzAAAAJgYAAAAA&#10;" fillcolor="#003d79" strokecolor="#003d79" strokeweight="2.5pt">
              <v:shadow color="#868686"/>
              <v:textbox>
                <w:txbxContent>
                  <w:p w:rsidR="00C9763C" w:rsidRPr="001B78D5" w:rsidRDefault="00C9763C" w:rsidP="00E5676C">
                    <w:pPr>
                      <w:jc w:val="center"/>
                      <w:rPr>
                        <w:rFonts w:ascii="Gill Sans MT" w:hAnsi="Gill Sans MT"/>
                        <w:b/>
                        <w:color w:val="FFFFFF"/>
                        <w:sz w:val="64"/>
                        <w:szCs w:val="64"/>
                      </w:rPr>
                    </w:pPr>
                    <w:r>
                      <w:rPr>
                        <w:rFonts w:ascii="Gill Sans MT" w:hAnsi="Gill Sans MT"/>
                        <w:b/>
                        <w:color w:val="FFFFFF"/>
                        <w:sz w:val="64"/>
                        <w:szCs w:val="64"/>
                      </w:rPr>
                      <w:t>2</w:t>
                    </w:r>
                  </w:p>
                </w:txbxContent>
              </v:textbox>
              <w10:wrap type="square"/>
            </v:shape>
          </w:pict>
        </mc:Fallback>
      </mc:AlternateContent>
    </w:r>
    <w:r>
      <w:rPr>
        <w:noProof/>
        <w:lang w:val="en-AU" w:eastAsia="en-AU"/>
      </w:rPr>
      <w:drawing>
        <wp:anchor distT="0" distB="0" distL="114300" distR="114300" simplePos="0" relativeHeight="251658752" behindDoc="1" locked="0" layoutInCell="0" allowOverlap="1" wp14:anchorId="1D070620" wp14:editId="3182BCD6">
          <wp:simplePos x="0" y="0"/>
          <wp:positionH relativeFrom="margin">
            <wp:posOffset>-923925</wp:posOffset>
          </wp:positionH>
          <wp:positionV relativeFrom="margin">
            <wp:posOffset>-914400</wp:posOffset>
          </wp:positionV>
          <wp:extent cx="7559040" cy="9486900"/>
          <wp:effectExtent l="0" t="0" r="3810" b="0"/>
          <wp:wrapNone/>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AE6"/>
    <w:multiLevelType w:val="hybridMultilevel"/>
    <w:tmpl w:val="13C85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B87617"/>
    <w:multiLevelType w:val="hybridMultilevel"/>
    <w:tmpl w:val="5E82139A"/>
    <w:lvl w:ilvl="0" w:tplc="B6BCCE4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078644A3"/>
    <w:multiLevelType w:val="hybridMultilevel"/>
    <w:tmpl w:val="12FA8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623F77"/>
    <w:multiLevelType w:val="hybridMultilevel"/>
    <w:tmpl w:val="FFB46A5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nsid w:val="09EA01BB"/>
    <w:multiLevelType w:val="hybridMultilevel"/>
    <w:tmpl w:val="E2FC8E84"/>
    <w:lvl w:ilvl="0" w:tplc="DB24A98C">
      <w:start w:val="1"/>
      <w:numFmt w:val="decimal"/>
      <w:lvlText w:val="%1."/>
      <w:lvlJc w:val="left"/>
      <w:pPr>
        <w:ind w:left="720" w:hanging="360"/>
      </w:pPr>
      <w:rPr>
        <w:rFonts w:ascii="Gill Sans MT" w:hAnsi="Gill Sans MT" w:cs="Arial" w:hint="default"/>
        <w:color w:val="FFFFFF"/>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0DFD5AB5"/>
    <w:multiLevelType w:val="hybridMultilevel"/>
    <w:tmpl w:val="4284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9F494E"/>
    <w:multiLevelType w:val="hybridMultilevel"/>
    <w:tmpl w:val="CE727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053793"/>
    <w:multiLevelType w:val="hybridMultilevel"/>
    <w:tmpl w:val="64B28314"/>
    <w:lvl w:ilvl="0" w:tplc="7FA0A038">
      <w:start w:val="1"/>
      <w:numFmt w:val="bullet"/>
      <w:pStyle w:val="bulletpoint"/>
      <w:lvlText w:val=""/>
      <w:lvlJc w:val="left"/>
      <w:pPr>
        <w:ind w:left="720" w:hanging="360"/>
      </w:pPr>
      <w:rPr>
        <w:rFonts w:ascii="Symbol" w:hAnsi="Symbol" w:hint="default"/>
      </w:rPr>
    </w:lvl>
    <w:lvl w:ilvl="1" w:tplc="1B9EE1E8">
      <w:start w:val="1"/>
      <w:numFmt w:val="bullet"/>
      <w:lvlText w:val="o"/>
      <w:lvlJc w:val="left"/>
      <w:pPr>
        <w:ind w:left="1440" w:hanging="360"/>
      </w:pPr>
      <w:rPr>
        <w:rFonts w:ascii="Courier New" w:hAnsi="Courier New" w:hint="default"/>
      </w:rPr>
    </w:lvl>
    <w:lvl w:ilvl="2" w:tplc="33665B30" w:tentative="1">
      <w:start w:val="1"/>
      <w:numFmt w:val="bullet"/>
      <w:lvlText w:val=""/>
      <w:lvlJc w:val="left"/>
      <w:pPr>
        <w:ind w:left="2160" w:hanging="360"/>
      </w:pPr>
      <w:rPr>
        <w:rFonts w:ascii="Wingdings" w:hAnsi="Wingdings" w:hint="default"/>
      </w:rPr>
    </w:lvl>
    <w:lvl w:ilvl="3" w:tplc="C34CDC58" w:tentative="1">
      <w:start w:val="1"/>
      <w:numFmt w:val="bullet"/>
      <w:lvlText w:val=""/>
      <w:lvlJc w:val="left"/>
      <w:pPr>
        <w:ind w:left="2880" w:hanging="360"/>
      </w:pPr>
      <w:rPr>
        <w:rFonts w:ascii="Symbol" w:hAnsi="Symbol" w:hint="default"/>
      </w:rPr>
    </w:lvl>
    <w:lvl w:ilvl="4" w:tplc="AB4064BA" w:tentative="1">
      <w:start w:val="1"/>
      <w:numFmt w:val="bullet"/>
      <w:lvlText w:val="o"/>
      <w:lvlJc w:val="left"/>
      <w:pPr>
        <w:ind w:left="3600" w:hanging="360"/>
      </w:pPr>
      <w:rPr>
        <w:rFonts w:ascii="Courier New" w:hAnsi="Courier New" w:hint="default"/>
      </w:rPr>
    </w:lvl>
    <w:lvl w:ilvl="5" w:tplc="CCEE825C" w:tentative="1">
      <w:start w:val="1"/>
      <w:numFmt w:val="bullet"/>
      <w:lvlText w:val=""/>
      <w:lvlJc w:val="left"/>
      <w:pPr>
        <w:ind w:left="4320" w:hanging="360"/>
      </w:pPr>
      <w:rPr>
        <w:rFonts w:ascii="Wingdings" w:hAnsi="Wingdings" w:hint="default"/>
      </w:rPr>
    </w:lvl>
    <w:lvl w:ilvl="6" w:tplc="82FA256C" w:tentative="1">
      <w:start w:val="1"/>
      <w:numFmt w:val="bullet"/>
      <w:lvlText w:val=""/>
      <w:lvlJc w:val="left"/>
      <w:pPr>
        <w:ind w:left="5040" w:hanging="360"/>
      </w:pPr>
      <w:rPr>
        <w:rFonts w:ascii="Symbol" w:hAnsi="Symbol" w:hint="default"/>
      </w:rPr>
    </w:lvl>
    <w:lvl w:ilvl="7" w:tplc="EB581F6A" w:tentative="1">
      <w:start w:val="1"/>
      <w:numFmt w:val="bullet"/>
      <w:lvlText w:val="o"/>
      <w:lvlJc w:val="left"/>
      <w:pPr>
        <w:ind w:left="5760" w:hanging="360"/>
      </w:pPr>
      <w:rPr>
        <w:rFonts w:ascii="Courier New" w:hAnsi="Courier New" w:hint="default"/>
      </w:rPr>
    </w:lvl>
    <w:lvl w:ilvl="8" w:tplc="A8A2E296" w:tentative="1">
      <w:start w:val="1"/>
      <w:numFmt w:val="bullet"/>
      <w:lvlText w:val=""/>
      <w:lvlJc w:val="left"/>
      <w:pPr>
        <w:ind w:left="6480" w:hanging="360"/>
      </w:pPr>
      <w:rPr>
        <w:rFonts w:ascii="Wingdings" w:hAnsi="Wingdings" w:hint="default"/>
      </w:rPr>
    </w:lvl>
  </w:abstractNum>
  <w:abstractNum w:abstractNumId="8">
    <w:nsid w:val="1A026D0B"/>
    <w:multiLevelType w:val="hybridMultilevel"/>
    <w:tmpl w:val="1CD45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D42E3E"/>
    <w:multiLevelType w:val="hybridMultilevel"/>
    <w:tmpl w:val="F0941906"/>
    <w:lvl w:ilvl="0" w:tplc="0C090019">
      <w:start w:val="1"/>
      <w:numFmt w:val="lowerLetter"/>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FE7B5C"/>
    <w:multiLevelType w:val="hybridMultilevel"/>
    <w:tmpl w:val="7D7C6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303E90"/>
    <w:multiLevelType w:val="hybridMultilevel"/>
    <w:tmpl w:val="DBD63FD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D257DD"/>
    <w:multiLevelType w:val="hybridMultilevel"/>
    <w:tmpl w:val="E124AAF4"/>
    <w:lvl w:ilvl="0" w:tplc="ECBC7056">
      <w:start w:val="1"/>
      <w:numFmt w:val="decimal"/>
      <w:lvlText w:val="%1."/>
      <w:lvlJc w:val="left"/>
      <w:pPr>
        <w:ind w:left="720" w:hanging="360"/>
      </w:pPr>
      <w:rPr>
        <w:rFonts w:ascii="Century Gothic" w:hAnsi="Century Gothic" w:cs="Times New Roman"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33284C89"/>
    <w:multiLevelType w:val="hybridMultilevel"/>
    <w:tmpl w:val="BCF44F4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411017"/>
    <w:multiLevelType w:val="hybridMultilevel"/>
    <w:tmpl w:val="E124AAF4"/>
    <w:lvl w:ilvl="0" w:tplc="ECBC7056">
      <w:start w:val="1"/>
      <w:numFmt w:val="decimal"/>
      <w:lvlText w:val="%1."/>
      <w:lvlJc w:val="left"/>
      <w:pPr>
        <w:ind w:left="720" w:hanging="360"/>
      </w:pPr>
      <w:rPr>
        <w:rFonts w:ascii="Century Gothic" w:hAnsi="Century Gothic" w:cs="Times New Roman"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3BFC6FD2"/>
    <w:multiLevelType w:val="hybridMultilevel"/>
    <w:tmpl w:val="12F8F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5D59A5"/>
    <w:multiLevelType w:val="hybridMultilevel"/>
    <w:tmpl w:val="0AA24C6E"/>
    <w:lvl w:ilvl="0" w:tplc="0C090019">
      <w:start w:val="1"/>
      <w:numFmt w:val="lowerLetter"/>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E04598F"/>
    <w:multiLevelType w:val="hybridMultilevel"/>
    <w:tmpl w:val="FD288F80"/>
    <w:lvl w:ilvl="0" w:tplc="65CE0FE8">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3E190241"/>
    <w:multiLevelType w:val="hybridMultilevel"/>
    <w:tmpl w:val="2A1E48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F9D1BF5"/>
    <w:multiLevelType w:val="hybridMultilevel"/>
    <w:tmpl w:val="6CB25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397394B"/>
    <w:multiLevelType w:val="hybridMultilevel"/>
    <w:tmpl w:val="62224A1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507BFD"/>
    <w:multiLevelType w:val="hybridMultilevel"/>
    <w:tmpl w:val="ED6E3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D60E2B"/>
    <w:multiLevelType w:val="hybridMultilevel"/>
    <w:tmpl w:val="EFDC6168"/>
    <w:lvl w:ilvl="0" w:tplc="57D264E4">
      <w:start w:val="1"/>
      <w:numFmt w:val="decimal"/>
      <w:lvlText w:val="%1."/>
      <w:lvlJc w:val="left"/>
      <w:pPr>
        <w:ind w:left="720" w:hanging="360"/>
      </w:pPr>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4A740E0E"/>
    <w:multiLevelType w:val="multilevel"/>
    <w:tmpl w:val="1FC66AA2"/>
    <w:lvl w:ilvl="0">
      <w:start w:val="1"/>
      <w:numFmt w:val="decimal"/>
      <w:pStyle w:val="MELegal1"/>
      <w:lvlText w:val="%1."/>
      <w:lvlJc w:val="left"/>
      <w:pPr>
        <w:tabs>
          <w:tab w:val="num" w:pos="680"/>
        </w:tabs>
        <w:ind w:left="680" w:hanging="680"/>
      </w:pPr>
      <w:rPr>
        <w:rFonts w:cs="Times New Roman"/>
      </w:rPr>
    </w:lvl>
    <w:lvl w:ilvl="1">
      <w:start w:val="1"/>
      <w:numFmt w:val="decimal"/>
      <w:lvlText w:val="%1.%2"/>
      <w:lvlJc w:val="left"/>
      <w:pPr>
        <w:tabs>
          <w:tab w:val="num" w:pos="1248"/>
        </w:tabs>
        <w:ind w:left="1248" w:hanging="680"/>
      </w:pPr>
      <w:rPr>
        <w:rFonts w:cs="Times New Roman"/>
      </w:rPr>
    </w:lvl>
    <w:lvl w:ilvl="2">
      <w:start w:val="1"/>
      <w:numFmt w:val="lowerLetter"/>
      <w:lvlText w:val="(%3)"/>
      <w:lvlJc w:val="left"/>
      <w:pPr>
        <w:tabs>
          <w:tab w:val="num" w:pos="1361"/>
        </w:tabs>
        <w:ind w:left="1361" w:hanging="681"/>
      </w:pPr>
      <w:rPr>
        <w:rFonts w:cs="Times New Roman"/>
        <w:b w:val="0"/>
        <w:bCs w:val="0"/>
        <w:i w:val="0"/>
        <w:iCs/>
      </w:rPr>
    </w:lvl>
    <w:lvl w:ilvl="3">
      <w:start w:val="1"/>
      <w:numFmt w:val="lowerRoman"/>
      <w:pStyle w:val="MELegal4"/>
      <w:lvlText w:val="(%4)"/>
      <w:lvlJc w:val="left"/>
      <w:pPr>
        <w:tabs>
          <w:tab w:val="num" w:pos="2098"/>
        </w:tabs>
        <w:ind w:left="2098" w:hanging="680"/>
      </w:pPr>
      <w:rPr>
        <w:rFonts w:cs="Times New Roman"/>
        <w:i w:val="0"/>
        <w:iCs w:val="0"/>
      </w:rPr>
    </w:lvl>
    <w:lvl w:ilvl="4">
      <w:start w:val="1"/>
      <w:numFmt w:val="upperLetter"/>
      <w:pStyle w:val="MELegal5"/>
      <w:lvlText w:val="(%5)"/>
      <w:lvlJc w:val="left"/>
      <w:pPr>
        <w:tabs>
          <w:tab w:val="num" w:pos="2722"/>
        </w:tabs>
        <w:ind w:left="2722" w:hanging="681"/>
      </w:pPr>
      <w:rPr>
        <w:rFonts w:cs="Times New Roman"/>
      </w:rPr>
    </w:lvl>
    <w:lvl w:ilvl="5">
      <w:start w:val="1"/>
      <w:numFmt w:val="upperRoman"/>
      <w:pStyle w:val="MELegal6"/>
      <w:lvlText w:val="(%6)"/>
      <w:lvlJc w:val="left"/>
      <w:pPr>
        <w:tabs>
          <w:tab w:val="num" w:pos="3402"/>
        </w:tabs>
        <w:ind w:left="3402" w:hanging="680"/>
      </w:pPr>
      <w:rPr>
        <w:rFonts w:cs="Times New Roman"/>
      </w:rPr>
    </w:lvl>
    <w:lvl w:ilvl="6">
      <w:start w:val="1"/>
      <w:numFmt w:val="none"/>
      <w:lvlText w:val="%7"/>
      <w:lvlJc w:val="left"/>
      <w:pPr>
        <w:tabs>
          <w:tab w:val="num" w:pos="5103"/>
        </w:tabs>
        <w:ind w:left="5103" w:hanging="850"/>
      </w:pPr>
      <w:rPr>
        <w:rFonts w:cs="Times New Roman"/>
      </w:rPr>
    </w:lvl>
    <w:lvl w:ilvl="7">
      <w:start w:val="1"/>
      <w:numFmt w:val="none"/>
      <w:suff w:val="nothing"/>
      <w:lvlText w:val="%8"/>
      <w:lvlJc w:val="left"/>
      <w:rPr>
        <w:rFonts w:cs="Times New Roman"/>
      </w:rPr>
    </w:lvl>
    <w:lvl w:ilvl="8">
      <w:start w:val="1"/>
      <w:numFmt w:val="none"/>
      <w:suff w:val="nothing"/>
      <w:lvlText w:val="%9"/>
      <w:lvlJc w:val="left"/>
      <w:rPr>
        <w:rFonts w:cs="Times New Roman"/>
      </w:rPr>
    </w:lvl>
  </w:abstractNum>
  <w:abstractNum w:abstractNumId="24">
    <w:nsid w:val="4B164F0C"/>
    <w:multiLevelType w:val="hybridMultilevel"/>
    <w:tmpl w:val="69CE7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BB51C24"/>
    <w:multiLevelType w:val="hybridMultilevel"/>
    <w:tmpl w:val="8EF266FE"/>
    <w:lvl w:ilvl="0" w:tplc="0C09001B">
      <w:start w:val="1"/>
      <w:numFmt w:val="lowerRoman"/>
      <w:lvlText w:val="%1."/>
      <w:lvlJc w:val="righ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1514B6B"/>
    <w:multiLevelType w:val="hybridMultilevel"/>
    <w:tmpl w:val="0B4A8298"/>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7">
    <w:nsid w:val="59C46AA1"/>
    <w:multiLevelType w:val="hybridMultilevel"/>
    <w:tmpl w:val="FFB46A5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5F725E29"/>
    <w:multiLevelType w:val="hybridMultilevel"/>
    <w:tmpl w:val="C956A4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FAA48FD"/>
    <w:multiLevelType w:val="hybridMultilevel"/>
    <w:tmpl w:val="8E34C9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nsid w:val="611A77EA"/>
    <w:multiLevelType w:val="hybridMultilevel"/>
    <w:tmpl w:val="02E08C3C"/>
    <w:lvl w:ilvl="0" w:tplc="8E4A35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4CD65D9"/>
    <w:multiLevelType w:val="hybridMultilevel"/>
    <w:tmpl w:val="65D04F06"/>
    <w:lvl w:ilvl="0" w:tplc="0FE4203A">
      <w:start w:val="1"/>
      <w:numFmt w:val="lowerLetter"/>
      <w:lvlText w:val="%1."/>
      <w:lvlJc w:val="left"/>
      <w:pPr>
        <w:ind w:left="720" w:hanging="360"/>
      </w:pPr>
      <w:rPr>
        <w:rFonts w:cs="Times New Roman"/>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nsid w:val="6E2136A3"/>
    <w:multiLevelType w:val="hybridMultilevel"/>
    <w:tmpl w:val="19486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26B38F3"/>
    <w:multiLevelType w:val="hybridMultilevel"/>
    <w:tmpl w:val="EAE25E4C"/>
    <w:lvl w:ilvl="0" w:tplc="04090001">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0A1F1C"/>
    <w:multiLevelType w:val="hybridMultilevel"/>
    <w:tmpl w:val="7E10C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9713503"/>
    <w:multiLevelType w:val="hybridMultilevel"/>
    <w:tmpl w:val="E818760C"/>
    <w:lvl w:ilvl="0" w:tplc="63A2C382">
      <w:start w:val="1"/>
      <w:numFmt w:val="decimal"/>
      <w:lvlText w:val="%1."/>
      <w:lvlJc w:val="left"/>
      <w:pPr>
        <w:ind w:left="720" w:hanging="360"/>
      </w:pPr>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nsid w:val="7B5B2819"/>
    <w:multiLevelType w:val="hybridMultilevel"/>
    <w:tmpl w:val="F0941906"/>
    <w:lvl w:ilvl="0" w:tplc="0C090019">
      <w:start w:val="1"/>
      <w:numFmt w:val="lowerLetter"/>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C2D27D4"/>
    <w:multiLevelType w:val="hybridMultilevel"/>
    <w:tmpl w:val="45C2BAA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C86698C"/>
    <w:multiLevelType w:val="hybridMultilevel"/>
    <w:tmpl w:val="EDF0A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7"/>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2"/>
  </w:num>
  <w:num w:numId="6">
    <w:abstractNumId w:val="4"/>
  </w:num>
  <w:num w:numId="7">
    <w:abstractNumId w:val="8"/>
  </w:num>
  <w:num w:numId="8">
    <w:abstractNumId w:val="34"/>
  </w:num>
  <w:num w:numId="9">
    <w:abstractNumId w:val="25"/>
  </w:num>
  <w:num w:numId="10">
    <w:abstractNumId w:val="31"/>
  </w:num>
  <w:num w:numId="11">
    <w:abstractNumId w:val="24"/>
  </w:num>
  <w:num w:numId="12">
    <w:abstractNumId w:val="6"/>
  </w:num>
  <w:num w:numId="13">
    <w:abstractNumId w:val="16"/>
  </w:num>
  <w:num w:numId="14">
    <w:abstractNumId w:val="22"/>
  </w:num>
  <w:num w:numId="15">
    <w:abstractNumId w:val="21"/>
  </w:num>
  <w:num w:numId="16">
    <w:abstractNumId w:val="14"/>
  </w:num>
  <w:num w:numId="17">
    <w:abstractNumId w:val="12"/>
  </w:num>
  <w:num w:numId="18">
    <w:abstractNumId w:val="35"/>
  </w:num>
  <w:num w:numId="19">
    <w:abstractNumId w:val="5"/>
  </w:num>
  <w:num w:numId="20">
    <w:abstractNumId w:val="15"/>
  </w:num>
  <w:num w:numId="21">
    <w:abstractNumId w:val="2"/>
  </w:num>
  <w:num w:numId="22">
    <w:abstractNumId w:val="11"/>
  </w:num>
  <w:num w:numId="23">
    <w:abstractNumId w:val="20"/>
  </w:num>
  <w:num w:numId="24">
    <w:abstractNumId w:val="1"/>
  </w:num>
  <w:num w:numId="25">
    <w:abstractNumId w:val="29"/>
  </w:num>
  <w:num w:numId="26">
    <w:abstractNumId w:val="36"/>
  </w:num>
  <w:num w:numId="27">
    <w:abstractNumId w:val="10"/>
  </w:num>
  <w:num w:numId="28">
    <w:abstractNumId w:val="26"/>
  </w:num>
  <w:num w:numId="29">
    <w:abstractNumId w:val="17"/>
  </w:num>
  <w:num w:numId="30">
    <w:abstractNumId w:val="9"/>
  </w:num>
  <w:num w:numId="31">
    <w:abstractNumId w:val="37"/>
  </w:num>
  <w:num w:numId="32">
    <w:abstractNumId w:val="38"/>
  </w:num>
  <w:num w:numId="33">
    <w:abstractNumId w:val="13"/>
  </w:num>
  <w:num w:numId="34">
    <w:abstractNumId w:val="27"/>
  </w:num>
  <w:num w:numId="35">
    <w:abstractNumId w:val="28"/>
  </w:num>
  <w:num w:numId="36">
    <w:abstractNumId w:val="0"/>
  </w:num>
  <w:num w:numId="37">
    <w:abstractNumId w:val="3"/>
  </w:num>
  <w:num w:numId="38">
    <w:abstractNumId w:val="18"/>
  </w:num>
  <w:num w:numId="39">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 - Sentence Case Copy&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2tftt5v2arxd6e9wzr50w2w0rz0epx099ft&quot;&gt;Hospital acquired diagnoses&lt;record-ids&gt;&lt;item&gt;1&lt;/item&gt;&lt;item&gt;3&lt;/item&gt;&lt;item&gt;8&lt;/item&gt;&lt;item&gt;9&lt;/item&gt;&lt;item&gt;13&lt;/item&gt;&lt;item&gt;14&lt;/item&gt;&lt;item&gt;16&lt;/item&gt;&lt;item&gt;20&lt;/item&gt;&lt;item&gt;29&lt;/item&gt;&lt;item&gt;31&lt;/item&gt;&lt;item&gt;34&lt;/item&gt;&lt;item&gt;40&lt;/item&gt;&lt;item&gt;48&lt;/item&gt;&lt;item&gt;57&lt;/item&gt;&lt;item&gt;72&lt;/item&gt;&lt;item&gt;78&lt;/item&gt;&lt;item&gt;81&lt;/item&gt;&lt;item&gt;82&lt;/item&gt;&lt;item&gt;83&lt;/item&gt;&lt;item&gt;88&lt;/item&gt;&lt;item&gt;91&lt;/item&gt;&lt;item&gt;96&lt;/item&gt;&lt;item&gt;104&lt;/item&gt;&lt;item&gt;105&lt;/item&gt;&lt;item&gt;106&lt;/item&gt;&lt;item&gt;108&lt;/item&gt;&lt;item&gt;111&lt;/item&gt;&lt;item&gt;117&lt;/item&gt;&lt;item&gt;118&lt;/item&gt;&lt;item&gt;119&lt;/item&gt;&lt;item&gt;127&lt;/item&gt;&lt;item&gt;131&lt;/item&gt;&lt;item&gt;144&lt;/item&gt;&lt;/record-ids&gt;&lt;/item&gt;&lt;/Libraries&gt;"/>
  </w:docVars>
  <w:rsids>
    <w:rsidRoot w:val="00542C4B"/>
    <w:rsid w:val="00001883"/>
    <w:rsid w:val="000044F6"/>
    <w:rsid w:val="00006A8A"/>
    <w:rsid w:val="00007931"/>
    <w:rsid w:val="00010D12"/>
    <w:rsid w:val="0001466F"/>
    <w:rsid w:val="00015620"/>
    <w:rsid w:val="00015C91"/>
    <w:rsid w:val="000162E2"/>
    <w:rsid w:val="00020095"/>
    <w:rsid w:val="00021199"/>
    <w:rsid w:val="0002164C"/>
    <w:rsid w:val="00021968"/>
    <w:rsid w:val="000219C3"/>
    <w:rsid w:val="0003016A"/>
    <w:rsid w:val="00030C74"/>
    <w:rsid w:val="00034606"/>
    <w:rsid w:val="00035059"/>
    <w:rsid w:val="0003681F"/>
    <w:rsid w:val="00036945"/>
    <w:rsid w:val="00037A2C"/>
    <w:rsid w:val="00041A4D"/>
    <w:rsid w:val="0004335C"/>
    <w:rsid w:val="000434FB"/>
    <w:rsid w:val="00044B57"/>
    <w:rsid w:val="00045FFC"/>
    <w:rsid w:val="000502E0"/>
    <w:rsid w:val="00053212"/>
    <w:rsid w:val="00057B1F"/>
    <w:rsid w:val="0006483B"/>
    <w:rsid w:val="00064F54"/>
    <w:rsid w:val="00065043"/>
    <w:rsid w:val="00070AC4"/>
    <w:rsid w:val="00071084"/>
    <w:rsid w:val="000734BD"/>
    <w:rsid w:val="00073A01"/>
    <w:rsid w:val="000757C8"/>
    <w:rsid w:val="00075CF1"/>
    <w:rsid w:val="0008501D"/>
    <w:rsid w:val="000902B8"/>
    <w:rsid w:val="00097159"/>
    <w:rsid w:val="000A3BE8"/>
    <w:rsid w:val="000A5F32"/>
    <w:rsid w:val="000A7589"/>
    <w:rsid w:val="000B15F4"/>
    <w:rsid w:val="000B3E47"/>
    <w:rsid w:val="000C007A"/>
    <w:rsid w:val="000C1520"/>
    <w:rsid w:val="000C4220"/>
    <w:rsid w:val="000D218D"/>
    <w:rsid w:val="000D2F2C"/>
    <w:rsid w:val="000D405F"/>
    <w:rsid w:val="000D497D"/>
    <w:rsid w:val="000E0A38"/>
    <w:rsid w:val="000E2FFC"/>
    <w:rsid w:val="000E5789"/>
    <w:rsid w:val="000E69EA"/>
    <w:rsid w:val="000E69EE"/>
    <w:rsid w:val="000F1C72"/>
    <w:rsid w:val="000F41CD"/>
    <w:rsid w:val="000F77D6"/>
    <w:rsid w:val="001008AF"/>
    <w:rsid w:val="00100EE0"/>
    <w:rsid w:val="001020E7"/>
    <w:rsid w:val="00106848"/>
    <w:rsid w:val="00107FBB"/>
    <w:rsid w:val="001101C3"/>
    <w:rsid w:val="00111F88"/>
    <w:rsid w:val="00112416"/>
    <w:rsid w:val="00114140"/>
    <w:rsid w:val="00115905"/>
    <w:rsid w:val="00116DD5"/>
    <w:rsid w:val="00120BAC"/>
    <w:rsid w:val="00123996"/>
    <w:rsid w:val="00124FE1"/>
    <w:rsid w:val="00131581"/>
    <w:rsid w:val="00133365"/>
    <w:rsid w:val="00142E42"/>
    <w:rsid w:val="0014329F"/>
    <w:rsid w:val="00152116"/>
    <w:rsid w:val="001601A6"/>
    <w:rsid w:val="0016134A"/>
    <w:rsid w:val="0016214D"/>
    <w:rsid w:val="0016570A"/>
    <w:rsid w:val="00166E8F"/>
    <w:rsid w:val="001708A7"/>
    <w:rsid w:val="00172993"/>
    <w:rsid w:val="00172DE8"/>
    <w:rsid w:val="00173FD4"/>
    <w:rsid w:val="0017561D"/>
    <w:rsid w:val="001765FA"/>
    <w:rsid w:val="00176FC1"/>
    <w:rsid w:val="00177566"/>
    <w:rsid w:val="0018208F"/>
    <w:rsid w:val="00183BBC"/>
    <w:rsid w:val="001853C7"/>
    <w:rsid w:val="001858A1"/>
    <w:rsid w:val="00187443"/>
    <w:rsid w:val="00190002"/>
    <w:rsid w:val="00192B73"/>
    <w:rsid w:val="00193FAD"/>
    <w:rsid w:val="001A0872"/>
    <w:rsid w:val="001A1DB4"/>
    <w:rsid w:val="001A2513"/>
    <w:rsid w:val="001A36BA"/>
    <w:rsid w:val="001A3E71"/>
    <w:rsid w:val="001A4F6A"/>
    <w:rsid w:val="001A6B66"/>
    <w:rsid w:val="001B0AD6"/>
    <w:rsid w:val="001B4D8C"/>
    <w:rsid w:val="001B5067"/>
    <w:rsid w:val="001B66AC"/>
    <w:rsid w:val="001B78D5"/>
    <w:rsid w:val="001C02A3"/>
    <w:rsid w:val="001C0A68"/>
    <w:rsid w:val="001C3093"/>
    <w:rsid w:val="001C616D"/>
    <w:rsid w:val="001C7210"/>
    <w:rsid w:val="001C7922"/>
    <w:rsid w:val="001D4FD3"/>
    <w:rsid w:val="001D523E"/>
    <w:rsid w:val="001D7647"/>
    <w:rsid w:val="001E1937"/>
    <w:rsid w:val="001E5251"/>
    <w:rsid w:val="001E5956"/>
    <w:rsid w:val="001F03A2"/>
    <w:rsid w:val="001F0702"/>
    <w:rsid w:val="001F0888"/>
    <w:rsid w:val="001F150A"/>
    <w:rsid w:val="001F2744"/>
    <w:rsid w:val="001F68F5"/>
    <w:rsid w:val="002002B2"/>
    <w:rsid w:val="0020272A"/>
    <w:rsid w:val="002047F0"/>
    <w:rsid w:val="002059C3"/>
    <w:rsid w:val="00206125"/>
    <w:rsid w:val="00207757"/>
    <w:rsid w:val="00210997"/>
    <w:rsid w:val="002139F4"/>
    <w:rsid w:val="00213DD5"/>
    <w:rsid w:val="00216FAE"/>
    <w:rsid w:val="00223C66"/>
    <w:rsid w:val="002313F3"/>
    <w:rsid w:val="002314DE"/>
    <w:rsid w:val="002347BB"/>
    <w:rsid w:val="00235F6C"/>
    <w:rsid w:val="00237CC0"/>
    <w:rsid w:val="00244E60"/>
    <w:rsid w:val="00251DB5"/>
    <w:rsid w:val="00256FCF"/>
    <w:rsid w:val="00261D99"/>
    <w:rsid w:val="0027433B"/>
    <w:rsid w:val="00276C63"/>
    <w:rsid w:val="00283C65"/>
    <w:rsid w:val="00285ED6"/>
    <w:rsid w:val="00290091"/>
    <w:rsid w:val="002915D5"/>
    <w:rsid w:val="00292BFB"/>
    <w:rsid w:val="00293CE9"/>
    <w:rsid w:val="00294745"/>
    <w:rsid w:val="002A0F49"/>
    <w:rsid w:val="002A1C0E"/>
    <w:rsid w:val="002A25A4"/>
    <w:rsid w:val="002B122F"/>
    <w:rsid w:val="002B304E"/>
    <w:rsid w:val="002B3AAC"/>
    <w:rsid w:val="002B7005"/>
    <w:rsid w:val="002C1473"/>
    <w:rsid w:val="002D04B7"/>
    <w:rsid w:val="002D7098"/>
    <w:rsid w:val="002D7158"/>
    <w:rsid w:val="002E221B"/>
    <w:rsid w:val="002E3332"/>
    <w:rsid w:val="002E4168"/>
    <w:rsid w:val="002E50A2"/>
    <w:rsid w:val="002E6CC6"/>
    <w:rsid w:val="002F3A25"/>
    <w:rsid w:val="002F611A"/>
    <w:rsid w:val="00300A5E"/>
    <w:rsid w:val="00302D69"/>
    <w:rsid w:val="00306EB8"/>
    <w:rsid w:val="0032047B"/>
    <w:rsid w:val="00321BC7"/>
    <w:rsid w:val="00322757"/>
    <w:rsid w:val="00331203"/>
    <w:rsid w:val="003313FE"/>
    <w:rsid w:val="00331916"/>
    <w:rsid w:val="003345F5"/>
    <w:rsid w:val="00342A05"/>
    <w:rsid w:val="003436E6"/>
    <w:rsid w:val="0034459F"/>
    <w:rsid w:val="00344DEC"/>
    <w:rsid w:val="00347B9A"/>
    <w:rsid w:val="00350035"/>
    <w:rsid w:val="00352793"/>
    <w:rsid w:val="0035515E"/>
    <w:rsid w:val="00356D63"/>
    <w:rsid w:val="00360360"/>
    <w:rsid w:val="00361835"/>
    <w:rsid w:val="00363A39"/>
    <w:rsid w:val="00364EEB"/>
    <w:rsid w:val="00366386"/>
    <w:rsid w:val="00367AB1"/>
    <w:rsid w:val="0037417A"/>
    <w:rsid w:val="00376DB9"/>
    <w:rsid w:val="00377038"/>
    <w:rsid w:val="0037796F"/>
    <w:rsid w:val="00381228"/>
    <w:rsid w:val="00386D43"/>
    <w:rsid w:val="003871F2"/>
    <w:rsid w:val="0039278B"/>
    <w:rsid w:val="00393C1A"/>
    <w:rsid w:val="00395F47"/>
    <w:rsid w:val="003968A2"/>
    <w:rsid w:val="003A34B5"/>
    <w:rsid w:val="003A568F"/>
    <w:rsid w:val="003A7969"/>
    <w:rsid w:val="003A7D23"/>
    <w:rsid w:val="003B5BA5"/>
    <w:rsid w:val="003B5E8B"/>
    <w:rsid w:val="003B6A98"/>
    <w:rsid w:val="003B6E75"/>
    <w:rsid w:val="003B74F6"/>
    <w:rsid w:val="003C035F"/>
    <w:rsid w:val="003C23C6"/>
    <w:rsid w:val="003C253A"/>
    <w:rsid w:val="003C3A2C"/>
    <w:rsid w:val="003C4D96"/>
    <w:rsid w:val="003D5AB5"/>
    <w:rsid w:val="003D63AE"/>
    <w:rsid w:val="003E06FA"/>
    <w:rsid w:val="003E768A"/>
    <w:rsid w:val="003F105B"/>
    <w:rsid w:val="003F138A"/>
    <w:rsid w:val="003F3F11"/>
    <w:rsid w:val="003F446D"/>
    <w:rsid w:val="003F45FB"/>
    <w:rsid w:val="003F4ECE"/>
    <w:rsid w:val="004000BE"/>
    <w:rsid w:val="004047B6"/>
    <w:rsid w:val="00404A84"/>
    <w:rsid w:val="0040506F"/>
    <w:rsid w:val="00415B75"/>
    <w:rsid w:val="00417343"/>
    <w:rsid w:val="004222F6"/>
    <w:rsid w:val="004232E0"/>
    <w:rsid w:val="00425BC3"/>
    <w:rsid w:val="004260CF"/>
    <w:rsid w:val="00426B48"/>
    <w:rsid w:val="004273BC"/>
    <w:rsid w:val="00430473"/>
    <w:rsid w:val="004304D0"/>
    <w:rsid w:val="00431175"/>
    <w:rsid w:val="004312E7"/>
    <w:rsid w:val="0043396C"/>
    <w:rsid w:val="00436CD7"/>
    <w:rsid w:val="0044132A"/>
    <w:rsid w:val="00444C46"/>
    <w:rsid w:val="00445F55"/>
    <w:rsid w:val="0044601E"/>
    <w:rsid w:val="00450ABD"/>
    <w:rsid w:val="00455960"/>
    <w:rsid w:val="00465A8D"/>
    <w:rsid w:val="00465C45"/>
    <w:rsid w:val="00466164"/>
    <w:rsid w:val="004674AD"/>
    <w:rsid w:val="0047391A"/>
    <w:rsid w:val="00480718"/>
    <w:rsid w:val="00481800"/>
    <w:rsid w:val="00484358"/>
    <w:rsid w:val="00492C63"/>
    <w:rsid w:val="00493FA0"/>
    <w:rsid w:val="004A04FA"/>
    <w:rsid w:val="004A0C9B"/>
    <w:rsid w:val="004A4C90"/>
    <w:rsid w:val="004A5687"/>
    <w:rsid w:val="004A7D1C"/>
    <w:rsid w:val="004B3ABD"/>
    <w:rsid w:val="004B58EF"/>
    <w:rsid w:val="004B69F3"/>
    <w:rsid w:val="004C114F"/>
    <w:rsid w:val="004C266E"/>
    <w:rsid w:val="004C54EF"/>
    <w:rsid w:val="004C6D74"/>
    <w:rsid w:val="004C6E39"/>
    <w:rsid w:val="004D0A2A"/>
    <w:rsid w:val="004D37F2"/>
    <w:rsid w:val="004D44A8"/>
    <w:rsid w:val="004D519D"/>
    <w:rsid w:val="004D661C"/>
    <w:rsid w:val="004E1E5B"/>
    <w:rsid w:val="004E273A"/>
    <w:rsid w:val="004E2BCE"/>
    <w:rsid w:val="004E435B"/>
    <w:rsid w:val="004E5573"/>
    <w:rsid w:val="004E77BC"/>
    <w:rsid w:val="004F159B"/>
    <w:rsid w:val="004F1665"/>
    <w:rsid w:val="004F1A3A"/>
    <w:rsid w:val="004F22F6"/>
    <w:rsid w:val="004F48A9"/>
    <w:rsid w:val="004F5673"/>
    <w:rsid w:val="004F5A90"/>
    <w:rsid w:val="004F5D35"/>
    <w:rsid w:val="004F7473"/>
    <w:rsid w:val="0050037D"/>
    <w:rsid w:val="00500E27"/>
    <w:rsid w:val="005027FD"/>
    <w:rsid w:val="0050311C"/>
    <w:rsid w:val="0050653B"/>
    <w:rsid w:val="005107C0"/>
    <w:rsid w:val="005216D5"/>
    <w:rsid w:val="00522A97"/>
    <w:rsid w:val="00523C95"/>
    <w:rsid w:val="00524775"/>
    <w:rsid w:val="005268A2"/>
    <w:rsid w:val="00530DFA"/>
    <w:rsid w:val="005317E9"/>
    <w:rsid w:val="005332F3"/>
    <w:rsid w:val="00533ED4"/>
    <w:rsid w:val="00535883"/>
    <w:rsid w:val="0053667B"/>
    <w:rsid w:val="00542C4B"/>
    <w:rsid w:val="00545AC6"/>
    <w:rsid w:val="0054785B"/>
    <w:rsid w:val="005515D5"/>
    <w:rsid w:val="00551754"/>
    <w:rsid w:val="005517EA"/>
    <w:rsid w:val="00551D9A"/>
    <w:rsid w:val="00552913"/>
    <w:rsid w:val="00556630"/>
    <w:rsid w:val="00556D1A"/>
    <w:rsid w:val="0056386C"/>
    <w:rsid w:val="005669AF"/>
    <w:rsid w:val="00572EB0"/>
    <w:rsid w:val="00573BB8"/>
    <w:rsid w:val="005747C5"/>
    <w:rsid w:val="00577329"/>
    <w:rsid w:val="005819D6"/>
    <w:rsid w:val="00582792"/>
    <w:rsid w:val="00587ADD"/>
    <w:rsid w:val="005923EE"/>
    <w:rsid w:val="00592410"/>
    <w:rsid w:val="00592CCC"/>
    <w:rsid w:val="00593E10"/>
    <w:rsid w:val="0059569A"/>
    <w:rsid w:val="005A55AD"/>
    <w:rsid w:val="005A631D"/>
    <w:rsid w:val="005A63C0"/>
    <w:rsid w:val="005A6A1F"/>
    <w:rsid w:val="005B2BC6"/>
    <w:rsid w:val="005B5AD5"/>
    <w:rsid w:val="005B625A"/>
    <w:rsid w:val="005B6CCA"/>
    <w:rsid w:val="005C0E1C"/>
    <w:rsid w:val="005C101B"/>
    <w:rsid w:val="005C280D"/>
    <w:rsid w:val="005C3FCD"/>
    <w:rsid w:val="005C4015"/>
    <w:rsid w:val="005C40D8"/>
    <w:rsid w:val="005C40F8"/>
    <w:rsid w:val="005C5C62"/>
    <w:rsid w:val="005C69CC"/>
    <w:rsid w:val="005D44E2"/>
    <w:rsid w:val="005D4EE3"/>
    <w:rsid w:val="005D5CA6"/>
    <w:rsid w:val="005D693B"/>
    <w:rsid w:val="005E411B"/>
    <w:rsid w:val="005E59B4"/>
    <w:rsid w:val="005F12C7"/>
    <w:rsid w:val="005F63D9"/>
    <w:rsid w:val="00600920"/>
    <w:rsid w:val="00600CBB"/>
    <w:rsid w:val="00601948"/>
    <w:rsid w:val="00602785"/>
    <w:rsid w:val="00602A2F"/>
    <w:rsid w:val="0060342F"/>
    <w:rsid w:val="006066CD"/>
    <w:rsid w:val="00607A03"/>
    <w:rsid w:val="00607C0D"/>
    <w:rsid w:val="006111EC"/>
    <w:rsid w:val="00611284"/>
    <w:rsid w:val="00615BC2"/>
    <w:rsid w:val="00617540"/>
    <w:rsid w:val="00617A1B"/>
    <w:rsid w:val="00620E73"/>
    <w:rsid w:val="00631973"/>
    <w:rsid w:val="00632BEA"/>
    <w:rsid w:val="00637D48"/>
    <w:rsid w:val="00641EF2"/>
    <w:rsid w:val="006434EE"/>
    <w:rsid w:val="00654198"/>
    <w:rsid w:val="00655E1A"/>
    <w:rsid w:val="00655F18"/>
    <w:rsid w:val="00660329"/>
    <w:rsid w:val="006606EA"/>
    <w:rsid w:val="006611F8"/>
    <w:rsid w:val="00661F8C"/>
    <w:rsid w:val="00663593"/>
    <w:rsid w:val="006709EE"/>
    <w:rsid w:val="00670EAA"/>
    <w:rsid w:val="00671605"/>
    <w:rsid w:val="00673887"/>
    <w:rsid w:val="00673CEF"/>
    <w:rsid w:val="006778AB"/>
    <w:rsid w:val="00684921"/>
    <w:rsid w:val="00685199"/>
    <w:rsid w:val="00685826"/>
    <w:rsid w:val="00686E4D"/>
    <w:rsid w:val="00690510"/>
    <w:rsid w:val="006919DD"/>
    <w:rsid w:val="006951ED"/>
    <w:rsid w:val="00695934"/>
    <w:rsid w:val="00696541"/>
    <w:rsid w:val="006972A5"/>
    <w:rsid w:val="00697C7E"/>
    <w:rsid w:val="00697F23"/>
    <w:rsid w:val="006A0B44"/>
    <w:rsid w:val="006A1606"/>
    <w:rsid w:val="006A2B3A"/>
    <w:rsid w:val="006A2F00"/>
    <w:rsid w:val="006A3271"/>
    <w:rsid w:val="006A42DE"/>
    <w:rsid w:val="006A46C9"/>
    <w:rsid w:val="006A4D52"/>
    <w:rsid w:val="006A6326"/>
    <w:rsid w:val="006A6DA1"/>
    <w:rsid w:val="006B0001"/>
    <w:rsid w:val="006B0502"/>
    <w:rsid w:val="006B1C7B"/>
    <w:rsid w:val="006B4CE4"/>
    <w:rsid w:val="006B7179"/>
    <w:rsid w:val="006B7468"/>
    <w:rsid w:val="006C514D"/>
    <w:rsid w:val="006D2745"/>
    <w:rsid w:val="006D3065"/>
    <w:rsid w:val="006D38BA"/>
    <w:rsid w:val="006E2308"/>
    <w:rsid w:val="006E2A56"/>
    <w:rsid w:val="006F0CAA"/>
    <w:rsid w:val="006F0DDD"/>
    <w:rsid w:val="006F19CE"/>
    <w:rsid w:val="006F1FAE"/>
    <w:rsid w:val="006F2274"/>
    <w:rsid w:val="006F3E4E"/>
    <w:rsid w:val="006F4275"/>
    <w:rsid w:val="006F6A2F"/>
    <w:rsid w:val="006F6C74"/>
    <w:rsid w:val="006F71D4"/>
    <w:rsid w:val="00700E77"/>
    <w:rsid w:val="00702569"/>
    <w:rsid w:val="0070470D"/>
    <w:rsid w:val="00704FC5"/>
    <w:rsid w:val="00705FE6"/>
    <w:rsid w:val="0071076D"/>
    <w:rsid w:val="00710D8A"/>
    <w:rsid w:val="00712B7A"/>
    <w:rsid w:val="007133F3"/>
    <w:rsid w:val="0071446B"/>
    <w:rsid w:val="0072259F"/>
    <w:rsid w:val="0072451D"/>
    <w:rsid w:val="00727A88"/>
    <w:rsid w:val="0073237C"/>
    <w:rsid w:val="00735AC3"/>
    <w:rsid w:val="00736AC9"/>
    <w:rsid w:val="00741005"/>
    <w:rsid w:val="007421AC"/>
    <w:rsid w:val="007436AB"/>
    <w:rsid w:val="00743962"/>
    <w:rsid w:val="00743C46"/>
    <w:rsid w:val="0074457D"/>
    <w:rsid w:val="0074655C"/>
    <w:rsid w:val="00747C45"/>
    <w:rsid w:val="00750FDF"/>
    <w:rsid w:val="00752389"/>
    <w:rsid w:val="00756598"/>
    <w:rsid w:val="007612AC"/>
    <w:rsid w:val="007718C7"/>
    <w:rsid w:val="00772640"/>
    <w:rsid w:val="0077376A"/>
    <w:rsid w:val="00774799"/>
    <w:rsid w:val="00775B8D"/>
    <w:rsid w:val="007764ED"/>
    <w:rsid w:val="00780CCC"/>
    <w:rsid w:val="007847F7"/>
    <w:rsid w:val="00787A82"/>
    <w:rsid w:val="00787C7E"/>
    <w:rsid w:val="00790734"/>
    <w:rsid w:val="00794D78"/>
    <w:rsid w:val="00794F93"/>
    <w:rsid w:val="007A5579"/>
    <w:rsid w:val="007B00E4"/>
    <w:rsid w:val="007B0A96"/>
    <w:rsid w:val="007B193A"/>
    <w:rsid w:val="007B1B77"/>
    <w:rsid w:val="007C1A83"/>
    <w:rsid w:val="007C2096"/>
    <w:rsid w:val="007C5A79"/>
    <w:rsid w:val="007C6256"/>
    <w:rsid w:val="007C7E99"/>
    <w:rsid w:val="007D0920"/>
    <w:rsid w:val="007D57CF"/>
    <w:rsid w:val="007D661A"/>
    <w:rsid w:val="007D7029"/>
    <w:rsid w:val="007E07F7"/>
    <w:rsid w:val="007E2FC8"/>
    <w:rsid w:val="007E4B32"/>
    <w:rsid w:val="007E4E1B"/>
    <w:rsid w:val="007E4EF9"/>
    <w:rsid w:val="007E6BAF"/>
    <w:rsid w:val="007F140E"/>
    <w:rsid w:val="007F35A2"/>
    <w:rsid w:val="007F4444"/>
    <w:rsid w:val="007F53CB"/>
    <w:rsid w:val="007F6520"/>
    <w:rsid w:val="007F776F"/>
    <w:rsid w:val="007F790A"/>
    <w:rsid w:val="00801610"/>
    <w:rsid w:val="00804460"/>
    <w:rsid w:val="00806468"/>
    <w:rsid w:val="0081105E"/>
    <w:rsid w:val="008125A6"/>
    <w:rsid w:val="00814CE5"/>
    <w:rsid w:val="00824D95"/>
    <w:rsid w:val="00825485"/>
    <w:rsid w:val="0083092D"/>
    <w:rsid w:val="00831E02"/>
    <w:rsid w:val="00834D77"/>
    <w:rsid w:val="00840816"/>
    <w:rsid w:val="008428D0"/>
    <w:rsid w:val="0084375F"/>
    <w:rsid w:val="0084615C"/>
    <w:rsid w:val="008500CF"/>
    <w:rsid w:val="00850280"/>
    <w:rsid w:val="008511D5"/>
    <w:rsid w:val="00853342"/>
    <w:rsid w:val="008547FD"/>
    <w:rsid w:val="0085545D"/>
    <w:rsid w:val="00855D95"/>
    <w:rsid w:val="00855F2D"/>
    <w:rsid w:val="0085630C"/>
    <w:rsid w:val="008570D3"/>
    <w:rsid w:val="008573B2"/>
    <w:rsid w:val="00861215"/>
    <w:rsid w:val="00861783"/>
    <w:rsid w:val="00861972"/>
    <w:rsid w:val="00862275"/>
    <w:rsid w:val="00862859"/>
    <w:rsid w:val="00864829"/>
    <w:rsid w:val="0086760B"/>
    <w:rsid w:val="0087051E"/>
    <w:rsid w:val="00876AC9"/>
    <w:rsid w:val="00880B3B"/>
    <w:rsid w:val="00880C3E"/>
    <w:rsid w:val="00881A5A"/>
    <w:rsid w:val="00884ABD"/>
    <w:rsid w:val="00886ABA"/>
    <w:rsid w:val="00887AFF"/>
    <w:rsid w:val="00890891"/>
    <w:rsid w:val="00895DF8"/>
    <w:rsid w:val="008A0E6E"/>
    <w:rsid w:val="008A10F3"/>
    <w:rsid w:val="008A13F5"/>
    <w:rsid w:val="008A1D24"/>
    <w:rsid w:val="008A489D"/>
    <w:rsid w:val="008A4CEF"/>
    <w:rsid w:val="008A6A1D"/>
    <w:rsid w:val="008B006B"/>
    <w:rsid w:val="008B0747"/>
    <w:rsid w:val="008B1022"/>
    <w:rsid w:val="008B1933"/>
    <w:rsid w:val="008B2AEA"/>
    <w:rsid w:val="008B33F1"/>
    <w:rsid w:val="008B721C"/>
    <w:rsid w:val="008C0C70"/>
    <w:rsid w:val="008C2BDE"/>
    <w:rsid w:val="008C3D7C"/>
    <w:rsid w:val="008C4704"/>
    <w:rsid w:val="008D01A8"/>
    <w:rsid w:val="008D1138"/>
    <w:rsid w:val="008D1B93"/>
    <w:rsid w:val="008D3BBD"/>
    <w:rsid w:val="008E05F7"/>
    <w:rsid w:val="008E147B"/>
    <w:rsid w:val="008E2D65"/>
    <w:rsid w:val="008E2E80"/>
    <w:rsid w:val="008E2EDD"/>
    <w:rsid w:val="008E351E"/>
    <w:rsid w:val="008E56D8"/>
    <w:rsid w:val="008E624E"/>
    <w:rsid w:val="008F037D"/>
    <w:rsid w:val="008F5BEC"/>
    <w:rsid w:val="008F5F27"/>
    <w:rsid w:val="00903584"/>
    <w:rsid w:val="00904D82"/>
    <w:rsid w:val="00907432"/>
    <w:rsid w:val="00910ED8"/>
    <w:rsid w:val="00911330"/>
    <w:rsid w:val="00915342"/>
    <w:rsid w:val="00916A13"/>
    <w:rsid w:val="00917904"/>
    <w:rsid w:val="009208EB"/>
    <w:rsid w:val="00921189"/>
    <w:rsid w:val="0092164D"/>
    <w:rsid w:val="00921668"/>
    <w:rsid w:val="009236A9"/>
    <w:rsid w:val="009244D5"/>
    <w:rsid w:val="00924955"/>
    <w:rsid w:val="00926775"/>
    <w:rsid w:val="00931A31"/>
    <w:rsid w:val="009328CE"/>
    <w:rsid w:val="00935D4E"/>
    <w:rsid w:val="0093611F"/>
    <w:rsid w:val="00936FE3"/>
    <w:rsid w:val="0094200D"/>
    <w:rsid w:val="00943410"/>
    <w:rsid w:val="00944768"/>
    <w:rsid w:val="00946D18"/>
    <w:rsid w:val="00952213"/>
    <w:rsid w:val="009548D7"/>
    <w:rsid w:val="009551C7"/>
    <w:rsid w:val="00957146"/>
    <w:rsid w:val="00963368"/>
    <w:rsid w:val="009639F3"/>
    <w:rsid w:val="0096762B"/>
    <w:rsid w:val="00974A05"/>
    <w:rsid w:val="00975C4D"/>
    <w:rsid w:val="00976ACB"/>
    <w:rsid w:val="00976D56"/>
    <w:rsid w:val="00976FC6"/>
    <w:rsid w:val="009850C2"/>
    <w:rsid w:val="009905FC"/>
    <w:rsid w:val="00993CD4"/>
    <w:rsid w:val="00994CE7"/>
    <w:rsid w:val="00994FF4"/>
    <w:rsid w:val="0099505B"/>
    <w:rsid w:val="0099528A"/>
    <w:rsid w:val="009A125C"/>
    <w:rsid w:val="009B164C"/>
    <w:rsid w:val="009B2132"/>
    <w:rsid w:val="009B2A06"/>
    <w:rsid w:val="009B3765"/>
    <w:rsid w:val="009B3948"/>
    <w:rsid w:val="009B5C83"/>
    <w:rsid w:val="009B65FE"/>
    <w:rsid w:val="009B6A09"/>
    <w:rsid w:val="009C082D"/>
    <w:rsid w:val="009C1110"/>
    <w:rsid w:val="009C1515"/>
    <w:rsid w:val="009C1EB8"/>
    <w:rsid w:val="009C26A0"/>
    <w:rsid w:val="009C46D4"/>
    <w:rsid w:val="009C5FC2"/>
    <w:rsid w:val="009C7734"/>
    <w:rsid w:val="009D2F90"/>
    <w:rsid w:val="009D3FBD"/>
    <w:rsid w:val="009E2AA4"/>
    <w:rsid w:val="009E2F4B"/>
    <w:rsid w:val="009E36B7"/>
    <w:rsid w:val="009E36FE"/>
    <w:rsid w:val="009E7570"/>
    <w:rsid w:val="009F3795"/>
    <w:rsid w:val="009F47A7"/>
    <w:rsid w:val="00A047F6"/>
    <w:rsid w:val="00A04F1D"/>
    <w:rsid w:val="00A059AC"/>
    <w:rsid w:val="00A06899"/>
    <w:rsid w:val="00A07082"/>
    <w:rsid w:val="00A10197"/>
    <w:rsid w:val="00A10519"/>
    <w:rsid w:val="00A13569"/>
    <w:rsid w:val="00A14428"/>
    <w:rsid w:val="00A203F3"/>
    <w:rsid w:val="00A222CA"/>
    <w:rsid w:val="00A24BC9"/>
    <w:rsid w:val="00A27D48"/>
    <w:rsid w:val="00A32CAD"/>
    <w:rsid w:val="00A3655A"/>
    <w:rsid w:val="00A36AFE"/>
    <w:rsid w:val="00A42D21"/>
    <w:rsid w:val="00A4332C"/>
    <w:rsid w:val="00A435C8"/>
    <w:rsid w:val="00A4468D"/>
    <w:rsid w:val="00A45B5F"/>
    <w:rsid w:val="00A47C4A"/>
    <w:rsid w:val="00A5047D"/>
    <w:rsid w:val="00A51729"/>
    <w:rsid w:val="00A54BAB"/>
    <w:rsid w:val="00A62413"/>
    <w:rsid w:val="00A65A97"/>
    <w:rsid w:val="00A67B65"/>
    <w:rsid w:val="00A70AF8"/>
    <w:rsid w:val="00A719B6"/>
    <w:rsid w:val="00A72712"/>
    <w:rsid w:val="00A7281A"/>
    <w:rsid w:val="00A72922"/>
    <w:rsid w:val="00A75A2D"/>
    <w:rsid w:val="00A75DDD"/>
    <w:rsid w:val="00A76EEC"/>
    <w:rsid w:val="00A830C8"/>
    <w:rsid w:val="00A84654"/>
    <w:rsid w:val="00A86E9C"/>
    <w:rsid w:val="00A93387"/>
    <w:rsid w:val="00A93B6C"/>
    <w:rsid w:val="00A94DE6"/>
    <w:rsid w:val="00A96894"/>
    <w:rsid w:val="00A97602"/>
    <w:rsid w:val="00AA0CA1"/>
    <w:rsid w:val="00AA177A"/>
    <w:rsid w:val="00AA4C89"/>
    <w:rsid w:val="00AC0181"/>
    <w:rsid w:val="00AC21DD"/>
    <w:rsid w:val="00AC2A49"/>
    <w:rsid w:val="00AC40B7"/>
    <w:rsid w:val="00AC4255"/>
    <w:rsid w:val="00AD00B7"/>
    <w:rsid w:val="00AE02A4"/>
    <w:rsid w:val="00AE09F5"/>
    <w:rsid w:val="00AE65C6"/>
    <w:rsid w:val="00AF08D3"/>
    <w:rsid w:val="00AF1C31"/>
    <w:rsid w:val="00AF2B41"/>
    <w:rsid w:val="00AF311C"/>
    <w:rsid w:val="00AF31A7"/>
    <w:rsid w:val="00AF3755"/>
    <w:rsid w:val="00AF5626"/>
    <w:rsid w:val="00AF7E79"/>
    <w:rsid w:val="00B0203D"/>
    <w:rsid w:val="00B04EA0"/>
    <w:rsid w:val="00B052A3"/>
    <w:rsid w:val="00B0797C"/>
    <w:rsid w:val="00B1014F"/>
    <w:rsid w:val="00B10AE6"/>
    <w:rsid w:val="00B11D48"/>
    <w:rsid w:val="00B16072"/>
    <w:rsid w:val="00B20BFB"/>
    <w:rsid w:val="00B2172B"/>
    <w:rsid w:val="00B22EF8"/>
    <w:rsid w:val="00B22F38"/>
    <w:rsid w:val="00B24815"/>
    <w:rsid w:val="00B25903"/>
    <w:rsid w:val="00B270C2"/>
    <w:rsid w:val="00B27E49"/>
    <w:rsid w:val="00B305D5"/>
    <w:rsid w:val="00B30967"/>
    <w:rsid w:val="00B35167"/>
    <w:rsid w:val="00B36326"/>
    <w:rsid w:val="00B36646"/>
    <w:rsid w:val="00B40507"/>
    <w:rsid w:val="00B41831"/>
    <w:rsid w:val="00B50AD1"/>
    <w:rsid w:val="00B51CF7"/>
    <w:rsid w:val="00B51F28"/>
    <w:rsid w:val="00B5378E"/>
    <w:rsid w:val="00B6043C"/>
    <w:rsid w:val="00B61085"/>
    <w:rsid w:val="00B61A04"/>
    <w:rsid w:val="00B66262"/>
    <w:rsid w:val="00B6747A"/>
    <w:rsid w:val="00B75BD7"/>
    <w:rsid w:val="00B80936"/>
    <w:rsid w:val="00B83F64"/>
    <w:rsid w:val="00B846C0"/>
    <w:rsid w:val="00B912D2"/>
    <w:rsid w:val="00B940DE"/>
    <w:rsid w:val="00B95A9B"/>
    <w:rsid w:val="00BA5ECF"/>
    <w:rsid w:val="00BB098C"/>
    <w:rsid w:val="00BB1BC5"/>
    <w:rsid w:val="00BB70F1"/>
    <w:rsid w:val="00BC2487"/>
    <w:rsid w:val="00BC3180"/>
    <w:rsid w:val="00BC3E73"/>
    <w:rsid w:val="00BD0909"/>
    <w:rsid w:val="00BD4506"/>
    <w:rsid w:val="00BD5337"/>
    <w:rsid w:val="00BD6487"/>
    <w:rsid w:val="00BD68BB"/>
    <w:rsid w:val="00BD7384"/>
    <w:rsid w:val="00BE2F24"/>
    <w:rsid w:val="00BE34EC"/>
    <w:rsid w:val="00BE63B4"/>
    <w:rsid w:val="00BE7275"/>
    <w:rsid w:val="00BE78B6"/>
    <w:rsid w:val="00BF1022"/>
    <w:rsid w:val="00BF4EFB"/>
    <w:rsid w:val="00BF6B41"/>
    <w:rsid w:val="00BF7DD0"/>
    <w:rsid w:val="00C00223"/>
    <w:rsid w:val="00C015E8"/>
    <w:rsid w:val="00C02536"/>
    <w:rsid w:val="00C04510"/>
    <w:rsid w:val="00C0614A"/>
    <w:rsid w:val="00C06BDC"/>
    <w:rsid w:val="00C10BBC"/>
    <w:rsid w:val="00C143FF"/>
    <w:rsid w:val="00C15E5B"/>
    <w:rsid w:val="00C20318"/>
    <w:rsid w:val="00C224FC"/>
    <w:rsid w:val="00C24297"/>
    <w:rsid w:val="00C307AC"/>
    <w:rsid w:val="00C3118A"/>
    <w:rsid w:val="00C33CAE"/>
    <w:rsid w:val="00C347A5"/>
    <w:rsid w:val="00C3500D"/>
    <w:rsid w:val="00C43C54"/>
    <w:rsid w:val="00C4491B"/>
    <w:rsid w:val="00C44D42"/>
    <w:rsid w:val="00C4502A"/>
    <w:rsid w:val="00C450E6"/>
    <w:rsid w:val="00C46204"/>
    <w:rsid w:val="00C46B9E"/>
    <w:rsid w:val="00C4727E"/>
    <w:rsid w:val="00C5042E"/>
    <w:rsid w:val="00C504A5"/>
    <w:rsid w:val="00C52848"/>
    <w:rsid w:val="00C52897"/>
    <w:rsid w:val="00C5416F"/>
    <w:rsid w:val="00C57823"/>
    <w:rsid w:val="00C60D1F"/>
    <w:rsid w:val="00C64E4C"/>
    <w:rsid w:val="00C653EC"/>
    <w:rsid w:val="00C67E3D"/>
    <w:rsid w:val="00C70FA3"/>
    <w:rsid w:val="00C72246"/>
    <w:rsid w:val="00C741D5"/>
    <w:rsid w:val="00C74D51"/>
    <w:rsid w:val="00C7518C"/>
    <w:rsid w:val="00C75EB0"/>
    <w:rsid w:val="00C82167"/>
    <w:rsid w:val="00C8292F"/>
    <w:rsid w:val="00C87057"/>
    <w:rsid w:val="00C873A8"/>
    <w:rsid w:val="00C87695"/>
    <w:rsid w:val="00C90D49"/>
    <w:rsid w:val="00C9170D"/>
    <w:rsid w:val="00C95B33"/>
    <w:rsid w:val="00C95C81"/>
    <w:rsid w:val="00C9763C"/>
    <w:rsid w:val="00C977BA"/>
    <w:rsid w:val="00CA376F"/>
    <w:rsid w:val="00CA3F90"/>
    <w:rsid w:val="00CA4DB4"/>
    <w:rsid w:val="00CB18AA"/>
    <w:rsid w:val="00CB1A5E"/>
    <w:rsid w:val="00CB764C"/>
    <w:rsid w:val="00CC4DD1"/>
    <w:rsid w:val="00CC77EE"/>
    <w:rsid w:val="00CC7901"/>
    <w:rsid w:val="00CD1EFC"/>
    <w:rsid w:val="00CD3259"/>
    <w:rsid w:val="00CD45A3"/>
    <w:rsid w:val="00CD6A38"/>
    <w:rsid w:val="00CE0027"/>
    <w:rsid w:val="00CE0179"/>
    <w:rsid w:val="00CE3F69"/>
    <w:rsid w:val="00CE765E"/>
    <w:rsid w:val="00CF41EC"/>
    <w:rsid w:val="00CF5C9C"/>
    <w:rsid w:val="00CF7F39"/>
    <w:rsid w:val="00CF7FB2"/>
    <w:rsid w:val="00D02F26"/>
    <w:rsid w:val="00D128F2"/>
    <w:rsid w:val="00D1390A"/>
    <w:rsid w:val="00D16007"/>
    <w:rsid w:val="00D16A01"/>
    <w:rsid w:val="00D17B8D"/>
    <w:rsid w:val="00D20279"/>
    <w:rsid w:val="00D207EA"/>
    <w:rsid w:val="00D22A61"/>
    <w:rsid w:val="00D23453"/>
    <w:rsid w:val="00D25A14"/>
    <w:rsid w:val="00D2612B"/>
    <w:rsid w:val="00D261E7"/>
    <w:rsid w:val="00D27D84"/>
    <w:rsid w:val="00D3006B"/>
    <w:rsid w:val="00D3240A"/>
    <w:rsid w:val="00D340F6"/>
    <w:rsid w:val="00D37CE4"/>
    <w:rsid w:val="00D404D8"/>
    <w:rsid w:val="00D5101D"/>
    <w:rsid w:val="00D52C2B"/>
    <w:rsid w:val="00D55F07"/>
    <w:rsid w:val="00D5721B"/>
    <w:rsid w:val="00D622A7"/>
    <w:rsid w:val="00D626F4"/>
    <w:rsid w:val="00D65643"/>
    <w:rsid w:val="00D70752"/>
    <w:rsid w:val="00D7742E"/>
    <w:rsid w:val="00D801C2"/>
    <w:rsid w:val="00D82F3F"/>
    <w:rsid w:val="00D8497D"/>
    <w:rsid w:val="00D852EB"/>
    <w:rsid w:val="00D9238E"/>
    <w:rsid w:val="00D94529"/>
    <w:rsid w:val="00D95CEC"/>
    <w:rsid w:val="00DA0C8B"/>
    <w:rsid w:val="00DA483F"/>
    <w:rsid w:val="00DA4DF3"/>
    <w:rsid w:val="00DA6F9F"/>
    <w:rsid w:val="00DB542A"/>
    <w:rsid w:val="00DB54E3"/>
    <w:rsid w:val="00DC01B5"/>
    <w:rsid w:val="00DC0EBF"/>
    <w:rsid w:val="00DC312A"/>
    <w:rsid w:val="00DC39C3"/>
    <w:rsid w:val="00DC44A9"/>
    <w:rsid w:val="00DD3675"/>
    <w:rsid w:val="00DD4F2B"/>
    <w:rsid w:val="00DD6518"/>
    <w:rsid w:val="00DD65E0"/>
    <w:rsid w:val="00DD6D0D"/>
    <w:rsid w:val="00DD7B16"/>
    <w:rsid w:val="00DE3C05"/>
    <w:rsid w:val="00DE463C"/>
    <w:rsid w:val="00DE620A"/>
    <w:rsid w:val="00DF150C"/>
    <w:rsid w:val="00DF15B4"/>
    <w:rsid w:val="00DF3C93"/>
    <w:rsid w:val="00DF6FDD"/>
    <w:rsid w:val="00DF7E70"/>
    <w:rsid w:val="00E01251"/>
    <w:rsid w:val="00E01A63"/>
    <w:rsid w:val="00E056E5"/>
    <w:rsid w:val="00E063B2"/>
    <w:rsid w:val="00E12187"/>
    <w:rsid w:val="00E153E8"/>
    <w:rsid w:val="00E156FF"/>
    <w:rsid w:val="00E2124E"/>
    <w:rsid w:val="00E21509"/>
    <w:rsid w:val="00E244B2"/>
    <w:rsid w:val="00E252B3"/>
    <w:rsid w:val="00E27F02"/>
    <w:rsid w:val="00E3362C"/>
    <w:rsid w:val="00E42F05"/>
    <w:rsid w:val="00E4338A"/>
    <w:rsid w:val="00E4442C"/>
    <w:rsid w:val="00E45C37"/>
    <w:rsid w:val="00E468DA"/>
    <w:rsid w:val="00E4759B"/>
    <w:rsid w:val="00E55035"/>
    <w:rsid w:val="00E5676C"/>
    <w:rsid w:val="00E57F6A"/>
    <w:rsid w:val="00E6023B"/>
    <w:rsid w:val="00E60449"/>
    <w:rsid w:val="00E60963"/>
    <w:rsid w:val="00E612AA"/>
    <w:rsid w:val="00E64502"/>
    <w:rsid w:val="00E664C7"/>
    <w:rsid w:val="00E66D29"/>
    <w:rsid w:val="00E67366"/>
    <w:rsid w:val="00E7505B"/>
    <w:rsid w:val="00E76DC9"/>
    <w:rsid w:val="00E81ED5"/>
    <w:rsid w:val="00E833A2"/>
    <w:rsid w:val="00E835B0"/>
    <w:rsid w:val="00E83D50"/>
    <w:rsid w:val="00E91801"/>
    <w:rsid w:val="00E94626"/>
    <w:rsid w:val="00E947F5"/>
    <w:rsid w:val="00E9659D"/>
    <w:rsid w:val="00E96C3E"/>
    <w:rsid w:val="00E97A3A"/>
    <w:rsid w:val="00EA271C"/>
    <w:rsid w:val="00EA2C70"/>
    <w:rsid w:val="00EA3EEA"/>
    <w:rsid w:val="00EA3FD8"/>
    <w:rsid w:val="00EA5E9A"/>
    <w:rsid w:val="00EA6562"/>
    <w:rsid w:val="00EB2AAB"/>
    <w:rsid w:val="00EB66F1"/>
    <w:rsid w:val="00EB7F29"/>
    <w:rsid w:val="00EC25B0"/>
    <w:rsid w:val="00EC6C03"/>
    <w:rsid w:val="00EC794A"/>
    <w:rsid w:val="00ED186E"/>
    <w:rsid w:val="00ED19E4"/>
    <w:rsid w:val="00ED2AE9"/>
    <w:rsid w:val="00ED4E41"/>
    <w:rsid w:val="00EE0D42"/>
    <w:rsid w:val="00EE25C0"/>
    <w:rsid w:val="00EE287B"/>
    <w:rsid w:val="00EE28ED"/>
    <w:rsid w:val="00EE31AA"/>
    <w:rsid w:val="00EE4C6A"/>
    <w:rsid w:val="00EE5291"/>
    <w:rsid w:val="00EE58B5"/>
    <w:rsid w:val="00EE5AFA"/>
    <w:rsid w:val="00EE6D28"/>
    <w:rsid w:val="00F021B1"/>
    <w:rsid w:val="00F05F29"/>
    <w:rsid w:val="00F05FFD"/>
    <w:rsid w:val="00F1002B"/>
    <w:rsid w:val="00F1033A"/>
    <w:rsid w:val="00F11DFB"/>
    <w:rsid w:val="00F13191"/>
    <w:rsid w:val="00F220A3"/>
    <w:rsid w:val="00F23BEB"/>
    <w:rsid w:val="00F27C32"/>
    <w:rsid w:val="00F30EAF"/>
    <w:rsid w:val="00F344E1"/>
    <w:rsid w:val="00F3582C"/>
    <w:rsid w:val="00F436BD"/>
    <w:rsid w:val="00F448C8"/>
    <w:rsid w:val="00F5001E"/>
    <w:rsid w:val="00F50FB9"/>
    <w:rsid w:val="00F54973"/>
    <w:rsid w:val="00F566F5"/>
    <w:rsid w:val="00F64A2F"/>
    <w:rsid w:val="00F6781B"/>
    <w:rsid w:val="00F72523"/>
    <w:rsid w:val="00F74644"/>
    <w:rsid w:val="00F74E9A"/>
    <w:rsid w:val="00F76E44"/>
    <w:rsid w:val="00F803F4"/>
    <w:rsid w:val="00F81645"/>
    <w:rsid w:val="00F81750"/>
    <w:rsid w:val="00F83C99"/>
    <w:rsid w:val="00F9128A"/>
    <w:rsid w:val="00F91CA8"/>
    <w:rsid w:val="00F92F07"/>
    <w:rsid w:val="00F96CDF"/>
    <w:rsid w:val="00FA04AE"/>
    <w:rsid w:val="00FA4867"/>
    <w:rsid w:val="00FA5144"/>
    <w:rsid w:val="00FA5216"/>
    <w:rsid w:val="00FB1192"/>
    <w:rsid w:val="00FB5E8A"/>
    <w:rsid w:val="00FB637A"/>
    <w:rsid w:val="00FC52C5"/>
    <w:rsid w:val="00FD5F4C"/>
    <w:rsid w:val="00FE7304"/>
    <w:rsid w:val="00FE737B"/>
    <w:rsid w:val="00FF2B0B"/>
    <w:rsid w:val="00FF32AB"/>
    <w:rsid w:val="00FF4709"/>
    <w:rsid w:val="00FF4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MS Mincho" w:hAnsi="Century Gothic"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C83"/>
    <w:pPr>
      <w:spacing w:after="200" w:line="276" w:lineRule="auto"/>
    </w:pPr>
    <w:rPr>
      <w:szCs w:val="22"/>
      <w:lang w:eastAsia="ja-JP"/>
    </w:rPr>
  </w:style>
  <w:style w:type="paragraph" w:styleId="Heading1">
    <w:name w:val="heading 1"/>
    <w:basedOn w:val="Normal"/>
    <w:next w:val="Normal"/>
    <w:link w:val="Heading1Char"/>
    <w:autoRedefine/>
    <w:uiPriority w:val="99"/>
    <w:qFormat/>
    <w:rsid w:val="00BD6487"/>
    <w:pPr>
      <w:keepNext/>
      <w:keepLines/>
      <w:spacing w:line="240" w:lineRule="auto"/>
      <w:outlineLvl w:val="0"/>
    </w:pPr>
    <w:rPr>
      <w:rFonts w:ascii="Gill Sans MT" w:eastAsia="MS Gothic" w:hAnsi="Gill Sans MT"/>
      <w:b/>
      <w:bCs/>
      <w:color w:val="003D79"/>
      <w:sz w:val="48"/>
      <w:szCs w:val="48"/>
      <w:lang w:val="en-US" w:eastAsia="en-US"/>
    </w:rPr>
  </w:style>
  <w:style w:type="paragraph" w:styleId="Heading2">
    <w:name w:val="heading 2"/>
    <w:basedOn w:val="Normal"/>
    <w:link w:val="Heading2Char"/>
    <w:uiPriority w:val="99"/>
    <w:qFormat/>
    <w:rsid w:val="00D852EB"/>
    <w:pPr>
      <w:shd w:val="clear" w:color="auto" w:fill="FFFFFF"/>
      <w:spacing w:before="100" w:beforeAutospacing="1" w:after="100" w:afterAutospacing="1" w:line="240" w:lineRule="auto"/>
      <w:outlineLvl w:val="1"/>
    </w:pPr>
    <w:rPr>
      <w:rFonts w:ascii="Gill Sans MT" w:hAnsi="Gill Sans MT"/>
      <w:b/>
      <w:bCs/>
      <w:color w:val="003D79"/>
      <w:sz w:val="32"/>
      <w:szCs w:val="36"/>
      <w:lang w:val="en-US"/>
    </w:rPr>
  </w:style>
  <w:style w:type="paragraph" w:styleId="Heading3">
    <w:name w:val="heading 3"/>
    <w:basedOn w:val="Normal"/>
    <w:next w:val="Normal"/>
    <w:link w:val="Heading3Char"/>
    <w:uiPriority w:val="99"/>
    <w:qFormat/>
    <w:rsid w:val="00542C4B"/>
    <w:pPr>
      <w:keepNext/>
      <w:keepLines/>
      <w:spacing w:before="200" w:after="0"/>
      <w:outlineLvl w:val="2"/>
    </w:pPr>
    <w:rPr>
      <w:rFonts w:ascii="Gill Sans MT" w:eastAsia="MS Gothic" w:hAnsi="Gill Sans MT"/>
      <w:b/>
      <w:bCs/>
      <w:color w:val="4F81BD"/>
      <w:sz w:val="28"/>
      <w:szCs w:val="20"/>
      <w:lang w:val="en-US" w:eastAsia="en-US"/>
    </w:rPr>
  </w:style>
  <w:style w:type="paragraph" w:styleId="Heading4">
    <w:name w:val="heading 4"/>
    <w:basedOn w:val="Normal"/>
    <w:next w:val="Normal"/>
    <w:link w:val="Heading4Char"/>
    <w:uiPriority w:val="99"/>
    <w:qFormat/>
    <w:rsid w:val="00542C4B"/>
    <w:pPr>
      <w:keepNext/>
      <w:keepLines/>
      <w:spacing w:before="200" w:after="0"/>
      <w:outlineLvl w:val="3"/>
    </w:pPr>
    <w:rPr>
      <w:rFonts w:ascii="Gill Sans MT" w:eastAsia="MS Gothic" w:hAnsi="Gill Sans MT"/>
      <w:b/>
      <w:bCs/>
      <w:i/>
      <w:iCs/>
      <w:color w:val="4F81BD"/>
      <w:sz w:val="24"/>
      <w:szCs w:val="20"/>
      <w:lang w:val="en-US" w:eastAsia="en-US"/>
    </w:rPr>
  </w:style>
  <w:style w:type="paragraph" w:styleId="Heading5">
    <w:name w:val="heading 5"/>
    <w:basedOn w:val="Normal"/>
    <w:next w:val="Normal"/>
    <w:link w:val="Heading5Char"/>
    <w:uiPriority w:val="99"/>
    <w:qFormat/>
    <w:rsid w:val="00556630"/>
    <w:pPr>
      <w:keepNext/>
      <w:keepLines/>
      <w:spacing w:before="200" w:after="0"/>
      <w:outlineLvl w:val="4"/>
    </w:pPr>
    <w:rPr>
      <w:rFonts w:ascii="Cambria" w:eastAsia="MS Gothic" w:hAnsi="Cambria"/>
      <w:color w:val="243F60"/>
      <w:szCs w:val="20"/>
      <w:lang w:val="en-US" w:eastAsia="en-US"/>
    </w:rPr>
  </w:style>
  <w:style w:type="paragraph" w:styleId="Heading6">
    <w:name w:val="heading 6"/>
    <w:basedOn w:val="Normal"/>
    <w:next w:val="Normal"/>
    <w:link w:val="Heading6Char"/>
    <w:uiPriority w:val="99"/>
    <w:qFormat/>
    <w:rsid w:val="00556630"/>
    <w:pPr>
      <w:keepNext/>
      <w:keepLines/>
      <w:spacing w:before="200" w:after="0"/>
      <w:outlineLvl w:val="5"/>
    </w:pPr>
    <w:rPr>
      <w:rFonts w:ascii="Cambria" w:eastAsia="MS Gothic" w:hAnsi="Cambria"/>
      <w:i/>
      <w:iCs/>
      <w:color w:val="243F60"/>
      <w:szCs w:val="20"/>
      <w:lang w:val="en-US" w:eastAsia="en-US"/>
    </w:rPr>
  </w:style>
  <w:style w:type="paragraph" w:styleId="Heading7">
    <w:name w:val="heading 7"/>
    <w:basedOn w:val="Normal"/>
    <w:next w:val="Normal"/>
    <w:link w:val="Heading7Char"/>
    <w:uiPriority w:val="99"/>
    <w:qFormat/>
    <w:rsid w:val="00556630"/>
    <w:pPr>
      <w:keepNext/>
      <w:keepLines/>
      <w:spacing w:before="200" w:after="0"/>
      <w:outlineLvl w:val="6"/>
    </w:pPr>
    <w:rPr>
      <w:rFonts w:ascii="Cambria" w:eastAsia="MS Gothic" w:hAnsi="Cambria"/>
      <w:i/>
      <w:iCs/>
      <w:color w:val="404040"/>
      <w:szCs w:val="20"/>
      <w:lang w:val="en-US" w:eastAsia="en-US"/>
    </w:rPr>
  </w:style>
  <w:style w:type="paragraph" w:styleId="Heading8">
    <w:name w:val="heading 8"/>
    <w:basedOn w:val="Normal"/>
    <w:next w:val="Normal"/>
    <w:link w:val="Heading8Char"/>
    <w:uiPriority w:val="99"/>
    <w:qFormat/>
    <w:rsid w:val="00556630"/>
    <w:pPr>
      <w:keepNext/>
      <w:keepLines/>
      <w:spacing w:before="200" w:after="0"/>
      <w:outlineLvl w:val="7"/>
    </w:pPr>
    <w:rPr>
      <w:rFonts w:ascii="Cambria" w:eastAsia="MS Gothic" w:hAnsi="Cambria"/>
      <w:color w:val="404040"/>
      <w:szCs w:val="20"/>
      <w:lang w:val="en-US" w:eastAsia="en-US"/>
    </w:rPr>
  </w:style>
  <w:style w:type="paragraph" w:styleId="Heading9">
    <w:name w:val="heading 9"/>
    <w:basedOn w:val="Normal"/>
    <w:next w:val="Normal"/>
    <w:link w:val="Heading9Char"/>
    <w:uiPriority w:val="99"/>
    <w:qFormat/>
    <w:rsid w:val="00556630"/>
    <w:pPr>
      <w:keepNext/>
      <w:keepLines/>
      <w:spacing w:before="200" w:after="0"/>
      <w:outlineLvl w:val="8"/>
    </w:pPr>
    <w:rPr>
      <w:rFonts w:ascii="Cambria" w:eastAsia="MS Gothic" w:hAnsi="Cambria"/>
      <w:i/>
      <w:iCs/>
      <w:color w:val="40404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D6487"/>
    <w:rPr>
      <w:rFonts w:ascii="Gill Sans MT" w:eastAsia="MS Gothic" w:hAnsi="Gill Sans MT"/>
      <w:b/>
      <w:color w:val="003D79"/>
      <w:sz w:val="48"/>
      <w:lang w:eastAsia="en-US"/>
    </w:rPr>
  </w:style>
  <w:style w:type="character" w:customStyle="1" w:styleId="Heading2Char">
    <w:name w:val="Heading 2 Char"/>
    <w:link w:val="Heading2"/>
    <w:uiPriority w:val="99"/>
    <w:locked/>
    <w:rsid w:val="00D852EB"/>
    <w:rPr>
      <w:rFonts w:ascii="Gill Sans MT" w:hAnsi="Gill Sans MT"/>
      <w:b/>
      <w:color w:val="003D79"/>
      <w:sz w:val="36"/>
      <w:shd w:val="clear" w:color="auto" w:fill="FFFFFF"/>
    </w:rPr>
  </w:style>
  <w:style w:type="character" w:customStyle="1" w:styleId="Heading3Char">
    <w:name w:val="Heading 3 Char"/>
    <w:link w:val="Heading3"/>
    <w:uiPriority w:val="99"/>
    <w:locked/>
    <w:rsid w:val="00542C4B"/>
    <w:rPr>
      <w:rFonts w:ascii="Gill Sans MT" w:eastAsia="MS Gothic" w:hAnsi="Gill Sans MT"/>
      <w:b/>
      <w:color w:val="4F81BD"/>
      <w:sz w:val="28"/>
      <w:lang w:eastAsia="en-US"/>
    </w:rPr>
  </w:style>
  <w:style w:type="character" w:customStyle="1" w:styleId="Heading4Char">
    <w:name w:val="Heading 4 Char"/>
    <w:link w:val="Heading4"/>
    <w:uiPriority w:val="99"/>
    <w:locked/>
    <w:rsid w:val="00542C4B"/>
    <w:rPr>
      <w:rFonts w:ascii="Gill Sans MT" w:eastAsia="MS Gothic" w:hAnsi="Gill Sans MT"/>
      <w:b/>
      <w:i/>
      <w:color w:val="4F81BD"/>
      <w:sz w:val="24"/>
      <w:lang w:eastAsia="en-US"/>
    </w:rPr>
  </w:style>
  <w:style w:type="character" w:customStyle="1" w:styleId="Heading5Char">
    <w:name w:val="Heading 5 Char"/>
    <w:link w:val="Heading5"/>
    <w:uiPriority w:val="99"/>
    <w:semiHidden/>
    <w:locked/>
    <w:rsid w:val="00556630"/>
    <w:rPr>
      <w:rFonts w:ascii="Cambria" w:eastAsia="MS Gothic" w:hAnsi="Cambria"/>
      <w:color w:val="243F60"/>
      <w:sz w:val="20"/>
      <w:lang w:eastAsia="en-US"/>
    </w:rPr>
  </w:style>
  <w:style w:type="character" w:customStyle="1" w:styleId="Heading6Char">
    <w:name w:val="Heading 6 Char"/>
    <w:link w:val="Heading6"/>
    <w:uiPriority w:val="99"/>
    <w:semiHidden/>
    <w:locked/>
    <w:rsid w:val="00556630"/>
    <w:rPr>
      <w:rFonts w:ascii="Cambria" w:eastAsia="MS Gothic" w:hAnsi="Cambria"/>
      <w:i/>
      <w:color w:val="243F60"/>
      <w:sz w:val="20"/>
      <w:lang w:eastAsia="en-US"/>
    </w:rPr>
  </w:style>
  <w:style w:type="character" w:customStyle="1" w:styleId="Heading7Char">
    <w:name w:val="Heading 7 Char"/>
    <w:link w:val="Heading7"/>
    <w:uiPriority w:val="99"/>
    <w:semiHidden/>
    <w:locked/>
    <w:rsid w:val="00556630"/>
    <w:rPr>
      <w:rFonts w:ascii="Cambria" w:eastAsia="MS Gothic" w:hAnsi="Cambria"/>
      <w:i/>
      <w:color w:val="404040"/>
      <w:sz w:val="20"/>
      <w:lang w:eastAsia="en-US"/>
    </w:rPr>
  </w:style>
  <w:style w:type="character" w:customStyle="1" w:styleId="Heading8Char">
    <w:name w:val="Heading 8 Char"/>
    <w:link w:val="Heading8"/>
    <w:uiPriority w:val="99"/>
    <w:semiHidden/>
    <w:locked/>
    <w:rsid w:val="00556630"/>
    <w:rPr>
      <w:rFonts w:ascii="Cambria" w:eastAsia="MS Gothic" w:hAnsi="Cambria"/>
      <w:color w:val="404040"/>
      <w:sz w:val="20"/>
      <w:lang w:eastAsia="en-US"/>
    </w:rPr>
  </w:style>
  <w:style w:type="character" w:customStyle="1" w:styleId="Heading9Char">
    <w:name w:val="Heading 9 Char"/>
    <w:link w:val="Heading9"/>
    <w:uiPriority w:val="99"/>
    <w:semiHidden/>
    <w:locked/>
    <w:rsid w:val="00556630"/>
    <w:rPr>
      <w:rFonts w:ascii="Cambria" w:eastAsia="MS Gothic" w:hAnsi="Cambria"/>
      <w:i/>
      <w:color w:val="404040"/>
      <w:sz w:val="20"/>
      <w:lang w:eastAsia="en-US"/>
    </w:rPr>
  </w:style>
  <w:style w:type="character" w:styleId="Strong">
    <w:name w:val="Strong"/>
    <w:uiPriority w:val="99"/>
    <w:qFormat/>
    <w:rsid w:val="00542C4B"/>
    <w:rPr>
      <w:rFonts w:cs="Times New Roman"/>
      <w:b/>
    </w:rPr>
  </w:style>
  <w:style w:type="paragraph" w:styleId="Header">
    <w:name w:val="header"/>
    <w:basedOn w:val="Normal"/>
    <w:link w:val="HeaderChar"/>
    <w:uiPriority w:val="99"/>
    <w:rsid w:val="00542C4B"/>
    <w:pPr>
      <w:tabs>
        <w:tab w:val="center" w:pos="4513"/>
        <w:tab w:val="right" w:pos="9026"/>
      </w:tabs>
      <w:spacing w:after="0" w:line="240" w:lineRule="auto"/>
    </w:pPr>
    <w:rPr>
      <w:rFonts w:ascii="Garamond" w:hAnsi="Garamond"/>
      <w:sz w:val="24"/>
      <w:szCs w:val="20"/>
      <w:lang w:val="en-US" w:eastAsia="en-US"/>
    </w:rPr>
  </w:style>
  <w:style w:type="character" w:customStyle="1" w:styleId="HeaderChar">
    <w:name w:val="Header Char"/>
    <w:link w:val="Header"/>
    <w:uiPriority w:val="99"/>
    <w:locked/>
    <w:rsid w:val="00542C4B"/>
    <w:rPr>
      <w:rFonts w:ascii="Garamond" w:hAnsi="Garamond"/>
      <w:sz w:val="24"/>
      <w:lang w:eastAsia="en-US"/>
    </w:rPr>
  </w:style>
  <w:style w:type="paragraph" w:styleId="Footer">
    <w:name w:val="footer"/>
    <w:basedOn w:val="Normal"/>
    <w:link w:val="FooterChar"/>
    <w:uiPriority w:val="99"/>
    <w:rsid w:val="00542C4B"/>
    <w:pPr>
      <w:tabs>
        <w:tab w:val="center" w:pos="4513"/>
        <w:tab w:val="right" w:pos="9026"/>
      </w:tabs>
      <w:spacing w:after="0" w:line="240" w:lineRule="auto"/>
    </w:pPr>
    <w:rPr>
      <w:rFonts w:ascii="Garamond" w:hAnsi="Garamond"/>
      <w:sz w:val="24"/>
      <w:szCs w:val="20"/>
      <w:lang w:val="en-US" w:eastAsia="en-US"/>
    </w:rPr>
  </w:style>
  <w:style w:type="character" w:customStyle="1" w:styleId="FooterChar">
    <w:name w:val="Footer Char"/>
    <w:link w:val="Footer"/>
    <w:uiPriority w:val="99"/>
    <w:locked/>
    <w:rsid w:val="00542C4B"/>
    <w:rPr>
      <w:rFonts w:ascii="Garamond" w:hAnsi="Garamond"/>
      <w:sz w:val="24"/>
      <w:lang w:eastAsia="en-US"/>
    </w:rPr>
  </w:style>
  <w:style w:type="character" w:customStyle="1" w:styleId="Style9">
    <w:name w:val="Style9"/>
    <w:uiPriority w:val="99"/>
    <w:rsid w:val="00542C4B"/>
    <w:rPr>
      <w:rFonts w:ascii="Calibri" w:hAnsi="Calibri"/>
      <w:b/>
      <w:color w:val="7F7F7F"/>
      <w:sz w:val="22"/>
    </w:rPr>
  </w:style>
  <w:style w:type="character" w:customStyle="1" w:styleId="Style2">
    <w:name w:val="Style2"/>
    <w:uiPriority w:val="99"/>
    <w:rsid w:val="00542C4B"/>
    <w:rPr>
      <w:b/>
      <w:sz w:val="72"/>
    </w:rPr>
  </w:style>
  <w:style w:type="character" w:customStyle="1" w:styleId="Style3">
    <w:name w:val="Style3"/>
    <w:uiPriority w:val="99"/>
    <w:rsid w:val="00542C4B"/>
    <w:rPr>
      <w:b/>
      <w:color w:val="1F497D"/>
      <w:sz w:val="40"/>
    </w:rPr>
  </w:style>
  <w:style w:type="paragraph" w:styleId="BalloonText">
    <w:name w:val="Balloon Text"/>
    <w:basedOn w:val="Normal"/>
    <w:link w:val="BalloonTextChar"/>
    <w:uiPriority w:val="99"/>
    <w:semiHidden/>
    <w:rsid w:val="00542C4B"/>
    <w:pPr>
      <w:spacing w:after="0" w:line="240" w:lineRule="auto"/>
    </w:pPr>
    <w:rPr>
      <w:rFonts w:ascii="Tahoma" w:hAnsi="Tahoma"/>
      <w:sz w:val="16"/>
      <w:szCs w:val="16"/>
      <w:lang w:val="en-US" w:eastAsia="en-US"/>
    </w:rPr>
  </w:style>
  <w:style w:type="character" w:customStyle="1" w:styleId="BalloonTextChar">
    <w:name w:val="Balloon Text Char"/>
    <w:link w:val="BalloonText"/>
    <w:uiPriority w:val="99"/>
    <w:semiHidden/>
    <w:locked/>
    <w:rsid w:val="00542C4B"/>
    <w:rPr>
      <w:rFonts w:ascii="Tahoma" w:hAnsi="Tahoma"/>
      <w:sz w:val="16"/>
      <w:lang w:eastAsia="en-US"/>
    </w:rPr>
  </w:style>
  <w:style w:type="paragraph" w:styleId="FootnoteText">
    <w:name w:val="footnote text"/>
    <w:basedOn w:val="Normal"/>
    <w:link w:val="FootnoteTextChar"/>
    <w:uiPriority w:val="99"/>
    <w:rsid w:val="00542C4B"/>
    <w:pPr>
      <w:spacing w:after="0" w:line="240" w:lineRule="auto"/>
    </w:pPr>
    <w:rPr>
      <w:rFonts w:ascii="Garamond" w:hAnsi="Garamond"/>
      <w:szCs w:val="20"/>
      <w:lang w:val="en-US"/>
    </w:rPr>
  </w:style>
  <w:style w:type="character" w:customStyle="1" w:styleId="FootnoteTextChar">
    <w:name w:val="Footnote Text Char"/>
    <w:link w:val="FootnoteText"/>
    <w:uiPriority w:val="99"/>
    <w:locked/>
    <w:rsid w:val="00542C4B"/>
    <w:rPr>
      <w:rFonts w:ascii="Garamond" w:eastAsia="MS Mincho" w:hAnsi="Garamond"/>
      <w:sz w:val="20"/>
    </w:rPr>
  </w:style>
  <w:style w:type="paragraph" w:customStyle="1" w:styleId="Title3">
    <w:name w:val="Title 3"/>
    <w:basedOn w:val="Normal"/>
    <w:uiPriority w:val="99"/>
    <w:rsid w:val="00542C4B"/>
    <w:pPr>
      <w:spacing w:after="0" w:line="240" w:lineRule="auto"/>
    </w:pPr>
    <w:rPr>
      <w:rFonts w:ascii="Arial" w:hAnsi="Arial"/>
      <w:b/>
      <w:sz w:val="28"/>
      <w:szCs w:val="20"/>
    </w:rPr>
  </w:style>
  <w:style w:type="paragraph" w:customStyle="1" w:styleId="Glossary">
    <w:name w:val="Glossary"/>
    <w:basedOn w:val="Normal"/>
    <w:next w:val="NormalIndent"/>
    <w:uiPriority w:val="99"/>
    <w:rsid w:val="00542C4B"/>
    <w:pPr>
      <w:spacing w:after="180" w:line="240" w:lineRule="auto"/>
    </w:pPr>
    <w:rPr>
      <w:rFonts w:ascii="Arial" w:hAnsi="Arial"/>
      <w:b/>
      <w:szCs w:val="20"/>
    </w:rPr>
  </w:style>
  <w:style w:type="paragraph" w:styleId="NormalIndent">
    <w:name w:val="Normal Indent"/>
    <w:basedOn w:val="Normal"/>
    <w:uiPriority w:val="99"/>
    <w:rsid w:val="00542C4B"/>
    <w:pPr>
      <w:spacing w:after="120" w:line="240" w:lineRule="auto"/>
      <w:ind w:left="720"/>
    </w:pPr>
    <w:rPr>
      <w:rFonts w:ascii="Arial" w:hAnsi="Arial"/>
      <w:szCs w:val="20"/>
    </w:rPr>
  </w:style>
  <w:style w:type="paragraph" w:customStyle="1" w:styleId="Table">
    <w:name w:val="Table"/>
    <w:basedOn w:val="Normal"/>
    <w:link w:val="TableChar"/>
    <w:uiPriority w:val="99"/>
    <w:rsid w:val="00542C4B"/>
    <w:pPr>
      <w:keepLines/>
      <w:widowControl w:val="0"/>
      <w:spacing w:before="60" w:after="60" w:line="240" w:lineRule="auto"/>
    </w:pPr>
    <w:rPr>
      <w:rFonts w:ascii="Arial" w:hAnsi="Arial"/>
      <w:sz w:val="18"/>
      <w:szCs w:val="20"/>
    </w:rPr>
  </w:style>
  <w:style w:type="paragraph" w:customStyle="1" w:styleId="TableData">
    <w:name w:val="TableData"/>
    <w:basedOn w:val="Normal"/>
    <w:uiPriority w:val="99"/>
    <w:rsid w:val="00542C4B"/>
    <w:pPr>
      <w:spacing w:before="60" w:after="60" w:line="240" w:lineRule="auto"/>
    </w:pPr>
    <w:rPr>
      <w:rFonts w:ascii="Times New Roman" w:hAnsi="Times New Roman"/>
      <w:szCs w:val="20"/>
    </w:rPr>
  </w:style>
  <w:style w:type="paragraph" w:styleId="TOCHeading">
    <w:name w:val="TOC Heading"/>
    <w:basedOn w:val="Heading1"/>
    <w:next w:val="Normal"/>
    <w:uiPriority w:val="99"/>
    <w:qFormat/>
    <w:rsid w:val="00542C4B"/>
    <w:pPr>
      <w:outlineLvl w:val="9"/>
    </w:pPr>
  </w:style>
  <w:style w:type="paragraph" w:styleId="TOC2">
    <w:name w:val="toc 2"/>
    <w:basedOn w:val="Normal"/>
    <w:next w:val="Normal"/>
    <w:autoRedefine/>
    <w:uiPriority w:val="39"/>
    <w:rsid w:val="00BC2487"/>
    <w:pPr>
      <w:tabs>
        <w:tab w:val="left" w:pos="851"/>
        <w:tab w:val="right" w:leader="dot" w:pos="9350"/>
      </w:tabs>
      <w:spacing w:after="100"/>
      <w:ind w:left="220"/>
    </w:pPr>
    <w:rPr>
      <w:noProof/>
      <w:color w:val="003D79"/>
      <w:lang w:val="en-US"/>
    </w:rPr>
  </w:style>
  <w:style w:type="paragraph" w:styleId="TOC1">
    <w:name w:val="toc 1"/>
    <w:basedOn w:val="Normal"/>
    <w:next w:val="Normal"/>
    <w:autoRedefine/>
    <w:uiPriority w:val="39"/>
    <w:rsid w:val="00BC2487"/>
    <w:pPr>
      <w:tabs>
        <w:tab w:val="left" w:pos="227"/>
        <w:tab w:val="right" w:leader="dot" w:pos="9350"/>
      </w:tabs>
      <w:spacing w:after="100"/>
    </w:pPr>
    <w:rPr>
      <w:i/>
      <w:color w:val="003D79"/>
      <w:lang w:val="en-US"/>
    </w:rPr>
  </w:style>
  <w:style w:type="paragraph" w:styleId="TOC3">
    <w:name w:val="toc 3"/>
    <w:basedOn w:val="Normal"/>
    <w:next w:val="Normal"/>
    <w:autoRedefine/>
    <w:uiPriority w:val="99"/>
    <w:rsid w:val="00BC2487"/>
    <w:pPr>
      <w:spacing w:after="100"/>
      <w:ind w:left="440"/>
    </w:pPr>
    <w:rPr>
      <w:lang w:val="en-US"/>
    </w:rPr>
  </w:style>
  <w:style w:type="character" w:styleId="Hyperlink">
    <w:name w:val="Hyperlink"/>
    <w:uiPriority w:val="99"/>
    <w:rsid w:val="00BC2487"/>
    <w:rPr>
      <w:rFonts w:ascii="Century Gothic" w:hAnsi="Century Gothic" w:cs="Times New Roman"/>
      <w:color w:val="0000FF"/>
      <w:sz w:val="20"/>
      <w:u w:val="none"/>
      <w:vertAlign w:val="baseline"/>
    </w:rPr>
  </w:style>
  <w:style w:type="character" w:styleId="PlaceholderText">
    <w:name w:val="Placeholder Text"/>
    <w:uiPriority w:val="99"/>
    <w:semiHidden/>
    <w:rsid w:val="00542C4B"/>
    <w:rPr>
      <w:color w:val="808080"/>
    </w:rPr>
  </w:style>
  <w:style w:type="paragraph" w:styleId="DocumentMap">
    <w:name w:val="Document Map"/>
    <w:basedOn w:val="Normal"/>
    <w:link w:val="DocumentMapChar"/>
    <w:uiPriority w:val="99"/>
    <w:semiHidden/>
    <w:rsid w:val="00542C4B"/>
    <w:pPr>
      <w:spacing w:after="0" w:line="240" w:lineRule="auto"/>
    </w:pPr>
    <w:rPr>
      <w:rFonts w:ascii="Tahoma" w:hAnsi="Tahoma"/>
      <w:sz w:val="16"/>
      <w:szCs w:val="16"/>
      <w:lang w:val="en-US" w:eastAsia="en-US"/>
    </w:rPr>
  </w:style>
  <w:style w:type="character" w:customStyle="1" w:styleId="DocumentMapChar">
    <w:name w:val="Document Map Char"/>
    <w:link w:val="DocumentMap"/>
    <w:uiPriority w:val="99"/>
    <w:semiHidden/>
    <w:locked/>
    <w:rsid w:val="00542C4B"/>
    <w:rPr>
      <w:rFonts w:ascii="Tahoma" w:hAnsi="Tahoma"/>
      <w:sz w:val="16"/>
      <w:lang w:eastAsia="en-US"/>
    </w:rPr>
  </w:style>
  <w:style w:type="paragraph" w:customStyle="1" w:styleId="ReportTitleTitlePage">
    <w:name w:val="Report Title (Title Page)"/>
    <w:basedOn w:val="Normal"/>
    <w:link w:val="ReportTitleTitlePageChar"/>
    <w:uiPriority w:val="99"/>
    <w:rsid w:val="00542C4B"/>
    <w:pPr>
      <w:jc w:val="right"/>
    </w:pPr>
    <w:rPr>
      <w:rFonts w:ascii="Gill Sans MT" w:hAnsi="Gill Sans MT"/>
      <w:b/>
      <w:bCs/>
      <w:color w:val="808080"/>
      <w:sz w:val="36"/>
      <w:szCs w:val="36"/>
      <w:lang w:val="en-US" w:eastAsia="en-US"/>
    </w:rPr>
  </w:style>
  <w:style w:type="paragraph" w:customStyle="1" w:styleId="Heading1thatdoesnotgetpickedupbyTOC">
    <w:name w:val="Heading 1 that does not get picked up by TOC"/>
    <w:basedOn w:val="Normal"/>
    <w:link w:val="Heading1thatdoesnotgetpickedupbyTOCChar"/>
    <w:uiPriority w:val="99"/>
    <w:rsid w:val="00542C4B"/>
    <w:pPr>
      <w:spacing w:line="240" w:lineRule="auto"/>
      <w:outlineLvl w:val="0"/>
    </w:pPr>
    <w:rPr>
      <w:rFonts w:ascii="Gill Sans MT" w:hAnsi="Gill Sans MT"/>
      <w:color w:val="003D79"/>
      <w:sz w:val="92"/>
      <w:szCs w:val="92"/>
      <w:lang w:val="en-US" w:eastAsia="en-US"/>
    </w:rPr>
  </w:style>
  <w:style w:type="character" w:customStyle="1" w:styleId="ReportTitleTitlePageChar">
    <w:name w:val="Report Title (Title Page) Char"/>
    <w:link w:val="ReportTitleTitlePage"/>
    <w:uiPriority w:val="99"/>
    <w:locked/>
    <w:rsid w:val="00542C4B"/>
    <w:rPr>
      <w:rFonts w:ascii="Gill Sans MT" w:hAnsi="Gill Sans MT"/>
      <w:b/>
      <w:color w:val="808080"/>
      <w:sz w:val="36"/>
      <w:lang w:eastAsia="en-US"/>
    </w:rPr>
  </w:style>
  <w:style w:type="paragraph" w:customStyle="1" w:styleId="Heading1thatdoesgetpickedupbyTOC">
    <w:name w:val="Heading 1 that does get picked up by TOC"/>
    <w:link w:val="Heading1thatdoesgetpickedupbyTOCChar"/>
    <w:uiPriority w:val="99"/>
    <w:rsid w:val="00542C4B"/>
    <w:pPr>
      <w:spacing w:after="200"/>
      <w:outlineLvl w:val="0"/>
    </w:pPr>
    <w:rPr>
      <w:rFonts w:ascii="Gill Sans MT" w:hAnsi="Gill Sans MT" w:cs="Arial"/>
      <w:color w:val="003D79"/>
      <w:sz w:val="92"/>
      <w:szCs w:val="92"/>
      <w:lang w:eastAsia="en-US"/>
    </w:rPr>
  </w:style>
  <w:style w:type="character" w:customStyle="1" w:styleId="Heading1thatdoesnotgetpickedupbyTOCChar">
    <w:name w:val="Heading 1 that does not get picked up by TOC Char"/>
    <w:link w:val="Heading1thatdoesnotgetpickedupbyTOC"/>
    <w:uiPriority w:val="99"/>
    <w:locked/>
    <w:rsid w:val="00542C4B"/>
    <w:rPr>
      <w:rFonts w:ascii="Gill Sans MT" w:hAnsi="Gill Sans MT"/>
      <w:color w:val="003D79"/>
      <w:sz w:val="92"/>
      <w:lang w:eastAsia="en-US"/>
    </w:rPr>
  </w:style>
  <w:style w:type="paragraph" w:customStyle="1" w:styleId="NonnumberedHeading2forAppendix">
    <w:name w:val="Non numbered Heading 2 for Appendix"/>
    <w:link w:val="NonnumberedHeading2forAppendixChar"/>
    <w:uiPriority w:val="99"/>
    <w:rsid w:val="00542C4B"/>
    <w:pPr>
      <w:shd w:val="clear" w:color="auto" w:fill="DDDDDD"/>
      <w:spacing w:after="200" w:line="276" w:lineRule="auto"/>
    </w:pPr>
    <w:rPr>
      <w:rFonts w:ascii="Gill Sans MT" w:hAnsi="Gill Sans MT"/>
      <w:b/>
      <w:bCs/>
      <w:color w:val="003D79"/>
      <w:sz w:val="36"/>
      <w:szCs w:val="36"/>
    </w:rPr>
  </w:style>
  <w:style w:type="character" w:customStyle="1" w:styleId="Heading1thatdoesgetpickedupbyTOCChar">
    <w:name w:val="Heading 1 that does get picked up by TOC Char"/>
    <w:link w:val="Heading1thatdoesgetpickedupbyTOC"/>
    <w:uiPriority w:val="99"/>
    <w:locked/>
    <w:rsid w:val="00542C4B"/>
    <w:rPr>
      <w:rFonts w:ascii="Gill Sans MT" w:hAnsi="Gill Sans MT"/>
      <w:color w:val="003D79"/>
      <w:sz w:val="92"/>
      <w:lang w:val="en-AU" w:eastAsia="en-US"/>
    </w:rPr>
  </w:style>
  <w:style w:type="character" w:customStyle="1" w:styleId="NonnumberedHeading2forAppendixChar">
    <w:name w:val="Non numbered Heading 2 for Appendix Char"/>
    <w:link w:val="NonnumberedHeading2forAppendix"/>
    <w:uiPriority w:val="99"/>
    <w:locked/>
    <w:rsid w:val="00542C4B"/>
    <w:rPr>
      <w:rFonts w:ascii="Gill Sans MT" w:hAnsi="Gill Sans MT"/>
      <w:b/>
      <w:color w:val="003D79"/>
      <w:sz w:val="36"/>
      <w:shd w:val="clear" w:color="auto" w:fill="DDDDDD"/>
      <w:lang w:val="en-AU" w:eastAsia="en-AU"/>
    </w:rPr>
  </w:style>
  <w:style w:type="paragraph" w:customStyle="1" w:styleId="Style14">
    <w:name w:val="Style14"/>
    <w:basedOn w:val="Normal"/>
    <w:link w:val="Style14Char"/>
    <w:uiPriority w:val="99"/>
    <w:rsid w:val="00542C4B"/>
    <w:pPr>
      <w:jc w:val="right"/>
    </w:pPr>
    <w:rPr>
      <w:rFonts w:ascii="Calibri" w:hAnsi="Calibri"/>
      <w:sz w:val="24"/>
      <w:szCs w:val="24"/>
      <w:lang w:val="en-US"/>
    </w:rPr>
  </w:style>
  <w:style w:type="character" w:customStyle="1" w:styleId="Style14Char">
    <w:name w:val="Style14 Char"/>
    <w:link w:val="Style14"/>
    <w:uiPriority w:val="99"/>
    <w:locked/>
    <w:rsid w:val="00542C4B"/>
    <w:rPr>
      <w:rFonts w:ascii="Calibri" w:eastAsia="MS Mincho" w:hAnsi="Calibri"/>
      <w:sz w:val="24"/>
    </w:rPr>
  </w:style>
  <w:style w:type="paragraph" w:customStyle="1" w:styleId="Style11">
    <w:name w:val="Style11"/>
    <w:basedOn w:val="Heading1"/>
    <w:link w:val="Style11Char"/>
    <w:uiPriority w:val="99"/>
    <w:rsid w:val="00542C4B"/>
    <w:pPr>
      <w:keepNext w:val="0"/>
      <w:keepLines w:val="0"/>
      <w:spacing w:line="276" w:lineRule="auto"/>
      <w:contextualSpacing/>
      <w:jc w:val="right"/>
    </w:pPr>
    <w:rPr>
      <w:rFonts w:ascii="Arial" w:eastAsia="MS Mincho" w:hAnsi="Arial"/>
      <w:color w:val="993300"/>
      <w:sz w:val="72"/>
      <w:szCs w:val="72"/>
    </w:rPr>
  </w:style>
  <w:style w:type="character" w:customStyle="1" w:styleId="Style11Char">
    <w:name w:val="Style11 Char"/>
    <w:link w:val="Style11"/>
    <w:uiPriority w:val="99"/>
    <w:locked/>
    <w:rsid w:val="00542C4B"/>
    <w:rPr>
      <w:rFonts w:ascii="Arial" w:eastAsia="MS Mincho" w:hAnsi="Arial"/>
      <w:b/>
      <w:color w:val="993300"/>
      <w:sz w:val="72"/>
      <w:lang w:eastAsia="en-US"/>
    </w:rPr>
  </w:style>
  <w:style w:type="paragraph" w:styleId="ListParagraph">
    <w:name w:val="List Paragraph"/>
    <w:basedOn w:val="Normal"/>
    <w:link w:val="ListParagraphChar"/>
    <w:uiPriority w:val="99"/>
    <w:qFormat/>
    <w:rsid w:val="00A24BC9"/>
    <w:pPr>
      <w:ind w:left="720"/>
      <w:contextualSpacing/>
    </w:pPr>
    <w:rPr>
      <w:szCs w:val="20"/>
      <w:lang w:val="en-US" w:eastAsia="en-US"/>
    </w:rPr>
  </w:style>
  <w:style w:type="paragraph" w:styleId="BodyText">
    <w:name w:val="Body Text"/>
    <w:basedOn w:val="Normal"/>
    <w:link w:val="BodyTextChar"/>
    <w:uiPriority w:val="99"/>
    <w:rsid w:val="00542C4B"/>
    <w:pPr>
      <w:spacing w:before="120" w:after="120" w:line="240" w:lineRule="auto"/>
      <w:jc w:val="both"/>
    </w:pPr>
    <w:rPr>
      <w:rFonts w:ascii="Times New Roman" w:hAnsi="Times New Roman"/>
      <w:szCs w:val="20"/>
      <w:lang w:val="en-US" w:eastAsia="en-US"/>
    </w:rPr>
  </w:style>
  <w:style w:type="character" w:customStyle="1" w:styleId="BodyTextChar">
    <w:name w:val="Body Text Char"/>
    <w:link w:val="BodyText"/>
    <w:uiPriority w:val="99"/>
    <w:locked/>
    <w:rsid w:val="00542C4B"/>
    <w:rPr>
      <w:rFonts w:ascii="Times New Roman" w:hAnsi="Times New Roman"/>
      <w:sz w:val="20"/>
      <w:lang w:eastAsia="en-US"/>
    </w:rPr>
  </w:style>
  <w:style w:type="paragraph" w:styleId="BodyText3">
    <w:name w:val="Body Text 3"/>
    <w:basedOn w:val="Normal"/>
    <w:link w:val="BodyText3Char"/>
    <w:uiPriority w:val="99"/>
    <w:rsid w:val="00542C4B"/>
    <w:pPr>
      <w:spacing w:after="0" w:line="240" w:lineRule="auto"/>
      <w:ind w:right="-6"/>
      <w:jc w:val="both"/>
    </w:pPr>
    <w:rPr>
      <w:rFonts w:ascii="Arial" w:hAnsi="Arial"/>
      <w:bCs/>
      <w:sz w:val="24"/>
      <w:szCs w:val="24"/>
      <w:lang w:val="en-US" w:eastAsia="en-AU"/>
    </w:rPr>
  </w:style>
  <w:style w:type="character" w:customStyle="1" w:styleId="BodyText3Char">
    <w:name w:val="Body Text 3 Char"/>
    <w:link w:val="BodyText3"/>
    <w:uiPriority w:val="99"/>
    <w:locked/>
    <w:rsid w:val="00542C4B"/>
    <w:rPr>
      <w:rFonts w:ascii="Arial" w:hAnsi="Arial"/>
      <w:sz w:val="24"/>
      <w:lang w:eastAsia="en-AU"/>
    </w:rPr>
  </w:style>
  <w:style w:type="paragraph" w:customStyle="1" w:styleId="achievement">
    <w:name w:val="achievement"/>
    <w:basedOn w:val="Normal"/>
    <w:uiPriority w:val="99"/>
    <w:rsid w:val="00542C4B"/>
    <w:pPr>
      <w:spacing w:after="60" w:line="240" w:lineRule="atLeast"/>
      <w:jc w:val="both"/>
    </w:pPr>
    <w:rPr>
      <w:sz w:val="22"/>
    </w:rPr>
  </w:style>
  <w:style w:type="paragraph" w:customStyle="1" w:styleId="BodyText1">
    <w:name w:val="Body Text 1"/>
    <w:basedOn w:val="Normal"/>
    <w:uiPriority w:val="99"/>
    <w:rsid w:val="00542C4B"/>
    <w:pPr>
      <w:tabs>
        <w:tab w:val="left" w:pos="2160"/>
        <w:tab w:val="right" w:pos="6480"/>
      </w:tabs>
      <w:spacing w:before="240" w:after="40" w:line="220" w:lineRule="atLeast"/>
    </w:pPr>
    <w:rPr>
      <w:rFonts w:ascii="Times New Roman" w:hAnsi="Times New Roman"/>
      <w:sz w:val="22"/>
      <w:szCs w:val="20"/>
      <w:lang w:val="en-US"/>
    </w:rPr>
  </w:style>
  <w:style w:type="paragraph" w:customStyle="1" w:styleId="BulletedList">
    <w:name w:val="Bulleted List"/>
    <w:next w:val="Normal"/>
    <w:uiPriority w:val="99"/>
    <w:rsid w:val="00542C4B"/>
    <w:rPr>
      <w:rFonts w:ascii="Times New Roman" w:hAnsi="Times New Roman"/>
      <w:spacing w:val="-5"/>
      <w:lang w:val="en-US" w:eastAsia="en-US"/>
    </w:rPr>
  </w:style>
  <w:style w:type="paragraph" w:customStyle="1" w:styleId="Style12">
    <w:name w:val="Style12"/>
    <w:basedOn w:val="Heading1"/>
    <w:link w:val="Style12Char"/>
    <w:uiPriority w:val="99"/>
    <w:rsid w:val="00542C4B"/>
    <w:pPr>
      <w:keepNext w:val="0"/>
      <w:keepLines w:val="0"/>
      <w:spacing w:line="140" w:lineRule="atLeast"/>
      <w:contextualSpacing/>
      <w:jc w:val="center"/>
    </w:pPr>
    <w:rPr>
      <w:rFonts w:ascii="Tahoma" w:eastAsia="MS Mincho" w:hAnsi="Tahoma"/>
      <w:sz w:val="36"/>
      <w:szCs w:val="36"/>
      <w:lang w:val="en-GB"/>
    </w:rPr>
  </w:style>
  <w:style w:type="character" w:customStyle="1" w:styleId="Style12Char">
    <w:name w:val="Style12 Char"/>
    <w:link w:val="Style12"/>
    <w:uiPriority w:val="99"/>
    <w:locked/>
    <w:rsid w:val="00542C4B"/>
    <w:rPr>
      <w:rFonts w:ascii="Tahoma" w:eastAsia="MS Mincho" w:hAnsi="Tahoma"/>
      <w:b/>
      <w:color w:val="003D79"/>
      <w:sz w:val="36"/>
      <w:lang w:val="en-GB" w:eastAsia="en-US"/>
    </w:rPr>
  </w:style>
  <w:style w:type="paragraph" w:customStyle="1" w:styleId="Style13">
    <w:name w:val="Style13"/>
    <w:basedOn w:val="Heading1"/>
    <w:link w:val="Style13Char"/>
    <w:uiPriority w:val="99"/>
    <w:rsid w:val="00542C4B"/>
    <w:pPr>
      <w:keepNext w:val="0"/>
      <w:keepLines w:val="0"/>
      <w:spacing w:line="140" w:lineRule="atLeast"/>
      <w:contextualSpacing/>
    </w:pPr>
    <w:rPr>
      <w:rFonts w:ascii="Tahoma" w:eastAsia="MS Mincho" w:hAnsi="Tahoma"/>
      <w:sz w:val="24"/>
      <w:szCs w:val="24"/>
      <w:lang w:val="en-GB"/>
    </w:rPr>
  </w:style>
  <w:style w:type="character" w:customStyle="1" w:styleId="Style13Char">
    <w:name w:val="Style13 Char"/>
    <w:link w:val="Style13"/>
    <w:uiPriority w:val="99"/>
    <w:locked/>
    <w:rsid w:val="00542C4B"/>
    <w:rPr>
      <w:rFonts w:ascii="Tahoma" w:eastAsia="MS Mincho" w:hAnsi="Tahoma"/>
      <w:b/>
      <w:color w:val="003D79"/>
      <w:sz w:val="24"/>
      <w:lang w:val="en-GB" w:eastAsia="en-US"/>
    </w:rPr>
  </w:style>
  <w:style w:type="paragraph" w:styleId="Caption">
    <w:name w:val="caption"/>
    <w:basedOn w:val="Normal"/>
    <w:next w:val="Normal"/>
    <w:uiPriority w:val="99"/>
    <w:qFormat/>
    <w:rsid w:val="00542C4B"/>
    <w:pPr>
      <w:spacing w:line="240" w:lineRule="auto"/>
    </w:pPr>
    <w:rPr>
      <w:rFonts w:ascii="Arial" w:hAnsi="Arial"/>
      <w:b/>
      <w:bCs/>
      <w:color w:val="993300"/>
      <w:sz w:val="22"/>
      <w:szCs w:val="18"/>
    </w:rPr>
  </w:style>
  <w:style w:type="character" w:styleId="IntenseEmphasis">
    <w:name w:val="Intense Emphasis"/>
    <w:uiPriority w:val="99"/>
    <w:qFormat/>
    <w:rsid w:val="00542C4B"/>
    <w:rPr>
      <w:b/>
      <w:i/>
      <w:color w:val="4F81BD"/>
    </w:rPr>
  </w:style>
  <w:style w:type="table" w:customStyle="1" w:styleId="LightList-Accent12">
    <w:name w:val="Light List - Accent 12"/>
    <w:uiPriority w:val="99"/>
    <w:rsid w:val="00542C4B"/>
    <w:rPr>
      <w:rFonts w:ascii="Calibri" w:hAnsi="Calibri"/>
      <w:lang w:val="en-US"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
    <w:name w:val="Light List - Accent 13"/>
    <w:uiPriority w:val="99"/>
    <w:rsid w:val="00542C4B"/>
    <w:pPr>
      <w:ind w:left="1077" w:hanging="357"/>
    </w:pPr>
    <w:rPr>
      <w:rFonts w:ascii="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hangindent1">
    <w:name w:val="hang indent 1"/>
    <w:basedOn w:val="Normal"/>
    <w:link w:val="hangindent1Char"/>
    <w:uiPriority w:val="99"/>
    <w:rsid w:val="00542C4B"/>
    <w:pPr>
      <w:spacing w:after="0" w:line="240" w:lineRule="auto"/>
      <w:ind w:left="567" w:hanging="567"/>
      <w:jc w:val="both"/>
    </w:pPr>
    <w:rPr>
      <w:rFonts w:ascii="Times New Roman" w:hAnsi="Times New Roman"/>
      <w:color w:val="000000"/>
      <w:szCs w:val="20"/>
      <w:lang w:val="en-US" w:eastAsia="en-US"/>
    </w:rPr>
  </w:style>
  <w:style w:type="character" w:customStyle="1" w:styleId="hangindent1Char">
    <w:name w:val="hang indent 1 Char"/>
    <w:link w:val="hangindent1"/>
    <w:uiPriority w:val="99"/>
    <w:locked/>
    <w:rsid w:val="00542C4B"/>
    <w:rPr>
      <w:rFonts w:ascii="Times New Roman" w:hAnsi="Times New Roman"/>
      <w:color w:val="000000"/>
      <w:sz w:val="20"/>
      <w:lang w:eastAsia="en-US"/>
    </w:rPr>
  </w:style>
  <w:style w:type="table" w:customStyle="1" w:styleId="LightList-Accent11">
    <w:name w:val="Light List - Accent 11"/>
    <w:uiPriority w:val="99"/>
    <w:rsid w:val="00542C4B"/>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
    <w:name w:val="Light List - Accent 14"/>
    <w:uiPriority w:val="99"/>
    <w:rsid w:val="00542C4B"/>
    <w:rPr>
      <w:rFonts w:ascii="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tobeused">
    <w:name w:val="Table to be used"/>
    <w:uiPriority w:val="99"/>
    <w:rsid w:val="00542C4B"/>
    <w:rPr>
      <w:rFonts w:ascii="Calibri" w:hAnsi="Calibri"/>
      <w:lang w:val="en-US"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otnoteReference">
    <w:name w:val="footnote reference"/>
    <w:uiPriority w:val="99"/>
    <w:rsid w:val="00542C4B"/>
    <w:rPr>
      <w:rFonts w:cs="Times New Roman"/>
      <w:vertAlign w:val="superscript"/>
    </w:rPr>
  </w:style>
  <w:style w:type="paragraph" w:customStyle="1" w:styleId="Bulletlevel1">
    <w:name w:val="Bullet level 1"/>
    <w:basedOn w:val="Normal"/>
    <w:uiPriority w:val="99"/>
    <w:rsid w:val="00542C4B"/>
    <w:pPr>
      <w:numPr>
        <w:numId w:val="1"/>
      </w:numPr>
      <w:spacing w:after="0" w:line="240" w:lineRule="auto"/>
      <w:ind w:left="357" w:hanging="357"/>
      <w:jc w:val="both"/>
    </w:pPr>
    <w:rPr>
      <w:rFonts w:ascii="Times New Roman" w:hAnsi="Times New Roman"/>
      <w:szCs w:val="24"/>
    </w:rPr>
  </w:style>
  <w:style w:type="paragraph" w:customStyle="1" w:styleId="NormalPoint">
    <w:name w:val="NormalPoint"/>
    <w:basedOn w:val="Normal"/>
    <w:uiPriority w:val="99"/>
    <w:rsid w:val="00542C4B"/>
    <w:pPr>
      <w:tabs>
        <w:tab w:val="num" w:pos="360"/>
      </w:tabs>
      <w:spacing w:after="0" w:line="240" w:lineRule="auto"/>
      <w:ind w:left="360" w:hanging="360"/>
    </w:pPr>
    <w:rPr>
      <w:rFonts w:ascii="Times New Roman" w:hAnsi="Times New Roman"/>
      <w:szCs w:val="20"/>
    </w:rPr>
  </w:style>
  <w:style w:type="paragraph" w:customStyle="1" w:styleId="bulletpoint">
    <w:name w:val="bullet point"/>
    <w:basedOn w:val="Normal"/>
    <w:uiPriority w:val="99"/>
    <w:rsid w:val="00542C4B"/>
    <w:pPr>
      <w:numPr>
        <w:numId w:val="2"/>
      </w:numPr>
      <w:spacing w:after="0" w:line="240" w:lineRule="auto"/>
      <w:ind w:left="714" w:hanging="357"/>
      <w:jc w:val="both"/>
    </w:pPr>
    <w:rPr>
      <w:rFonts w:ascii="Times New Roman" w:hAnsi="Times New Roman"/>
      <w:szCs w:val="24"/>
    </w:rPr>
  </w:style>
  <w:style w:type="paragraph" w:customStyle="1" w:styleId="table0">
    <w:name w:val="table"/>
    <w:basedOn w:val="Normal"/>
    <w:uiPriority w:val="99"/>
    <w:rsid w:val="00542C4B"/>
    <w:pPr>
      <w:spacing w:before="60" w:after="60" w:line="240" w:lineRule="auto"/>
    </w:pPr>
    <w:rPr>
      <w:rFonts w:ascii="Arial" w:hAnsi="Arial"/>
      <w:sz w:val="18"/>
      <w:szCs w:val="20"/>
      <w:lang w:eastAsia="en-AU"/>
    </w:rPr>
  </w:style>
  <w:style w:type="table" w:styleId="TableGrid">
    <w:name w:val="Table Grid"/>
    <w:basedOn w:val="TableNormal"/>
    <w:uiPriority w:val="99"/>
    <w:rsid w:val="00542C4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geheading">
    <w:name w:val="Stage heading"/>
    <w:basedOn w:val="Heading4"/>
    <w:link w:val="StageheadingChar"/>
    <w:uiPriority w:val="99"/>
    <w:rsid w:val="008A10F3"/>
    <w:pPr>
      <w:spacing w:after="240"/>
    </w:pPr>
    <w:rPr>
      <w:rFonts w:ascii="Calibri" w:hAnsi="Calibri"/>
      <w:i w:val="0"/>
      <w:color w:val="003D79"/>
      <w:sz w:val="40"/>
      <w:lang w:eastAsia="ja-JP"/>
    </w:rPr>
  </w:style>
  <w:style w:type="character" w:customStyle="1" w:styleId="StageheadingChar">
    <w:name w:val="Stage heading Char"/>
    <w:link w:val="Stageheading"/>
    <w:uiPriority w:val="99"/>
    <w:locked/>
    <w:rsid w:val="008A10F3"/>
    <w:rPr>
      <w:rFonts w:ascii="Calibri" w:eastAsia="MS Gothic" w:hAnsi="Calibri"/>
      <w:b/>
      <w:color w:val="003D79"/>
      <w:sz w:val="40"/>
    </w:rPr>
  </w:style>
  <w:style w:type="table" w:customStyle="1" w:styleId="MediumShading1-Accent11">
    <w:name w:val="Medium Shading 1 - Accent 11"/>
    <w:uiPriority w:val="99"/>
    <w:rsid w:val="00542C4B"/>
    <w:pPr>
      <w:ind w:left="1077" w:hanging="357"/>
    </w:pPr>
    <w:rPr>
      <w:rFonts w:ascii="Calibri" w:hAnsi="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CommentReference">
    <w:name w:val="annotation reference"/>
    <w:uiPriority w:val="99"/>
    <w:semiHidden/>
    <w:rsid w:val="00542C4B"/>
    <w:rPr>
      <w:rFonts w:cs="Times New Roman"/>
      <w:sz w:val="16"/>
    </w:rPr>
  </w:style>
  <w:style w:type="paragraph" w:styleId="CommentText">
    <w:name w:val="annotation text"/>
    <w:basedOn w:val="Normal"/>
    <w:link w:val="CommentTextChar"/>
    <w:uiPriority w:val="99"/>
    <w:semiHidden/>
    <w:rsid w:val="00542C4B"/>
    <w:rPr>
      <w:rFonts w:ascii="Garamond" w:hAnsi="Garamond"/>
      <w:szCs w:val="20"/>
      <w:lang w:val="en-US" w:eastAsia="en-US"/>
    </w:rPr>
  </w:style>
  <w:style w:type="character" w:customStyle="1" w:styleId="CommentTextChar">
    <w:name w:val="Comment Text Char"/>
    <w:link w:val="CommentText"/>
    <w:uiPriority w:val="99"/>
    <w:semiHidden/>
    <w:locked/>
    <w:rsid w:val="00542C4B"/>
    <w:rPr>
      <w:rFonts w:ascii="Garamond" w:hAnsi="Garamond"/>
      <w:sz w:val="20"/>
      <w:lang w:eastAsia="en-US"/>
    </w:rPr>
  </w:style>
  <w:style w:type="paragraph" w:styleId="CommentSubject">
    <w:name w:val="annotation subject"/>
    <w:basedOn w:val="CommentText"/>
    <w:next w:val="CommentText"/>
    <w:link w:val="CommentSubjectChar"/>
    <w:uiPriority w:val="99"/>
    <w:semiHidden/>
    <w:rsid w:val="00542C4B"/>
    <w:rPr>
      <w:b/>
      <w:bCs/>
    </w:rPr>
  </w:style>
  <w:style w:type="character" w:customStyle="1" w:styleId="CommentSubjectChar">
    <w:name w:val="Comment Subject Char"/>
    <w:link w:val="CommentSubject"/>
    <w:uiPriority w:val="99"/>
    <w:semiHidden/>
    <w:locked/>
    <w:rsid w:val="00542C4B"/>
    <w:rPr>
      <w:rFonts w:ascii="Garamond" w:hAnsi="Garamond"/>
      <w:b/>
      <w:sz w:val="20"/>
      <w:lang w:eastAsia="en-US"/>
    </w:rPr>
  </w:style>
  <w:style w:type="character" w:customStyle="1" w:styleId="ListParagraphChar">
    <w:name w:val="List Paragraph Char"/>
    <w:link w:val="ListParagraph"/>
    <w:uiPriority w:val="99"/>
    <w:locked/>
    <w:rsid w:val="00A24BC9"/>
    <w:rPr>
      <w:lang w:val="en-US" w:eastAsia="en-US"/>
    </w:rPr>
  </w:style>
  <w:style w:type="paragraph" w:customStyle="1" w:styleId="MELegal3">
    <w:name w:val="ME Legal 3"/>
    <w:aliases w:val="l3"/>
    <w:basedOn w:val="Normal"/>
    <w:link w:val="MELegal3Char"/>
    <w:uiPriority w:val="99"/>
    <w:rsid w:val="00E67366"/>
    <w:pPr>
      <w:spacing w:after="140" w:line="280" w:lineRule="atLeast"/>
      <w:outlineLvl w:val="2"/>
    </w:pPr>
    <w:rPr>
      <w:rFonts w:ascii="Times New Roman" w:hAnsi="Times New Roman"/>
      <w:szCs w:val="20"/>
      <w:lang w:val="en-US" w:eastAsia="zh-CN"/>
    </w:rPr>
  </w:style>
  <w:style w:type="character" w:customStyle="1" w:styleId="MELegal3Char">
    <w:name w:val="ME Legal 3 Char"/>
    <w:link w:val="MELegal3"/>
    <w:uiPriority w:val="99"/>
    <w:locked/>
    <w:rsid w:val="00E67366"/>
    <w:rPr>
      <w:rFonts w:ascii="Times New Roman" w:hAnsi="Times New Roman"/>
      <w:lang w:eastAsia="zh-CN"/>
    </w:rPr>
  </w:style>
  <w:style w:type="paragraph" w:styleId="Revision">
    <w:name w:val="Revision"/>
    <w:hidden/>
    <w:uiPriority w:val="99"/>
    <w:semiHidden/>
    <w:rsid w:val="00552913"/>
    <w:rPr>
      <w:rFonts w:ascii="Garamond" w:hAnsi="Garamond"/>
      <w:sz w:val="24"/>
      <w:szCs w:val="22"/>
      <w:lang w:eastAsia="en-US"/>
    </w:rPr>
  </w:style>
  <w:style w:type="paragraph" w:customStyle="1" w:styleId="MELegal1">
    <w:name w:val="ME Legal 1"/>
    <w:aliases w:val="l1"/>
    <w:basedOn w:val="Normal"/>
    <w:next w:val="Normal"/>
    <w:uiPriority w:val="99"/>
    <w:rsid w:val="002D7158"/>
    <w:pPr>
      <w:keepNext/>
      <w:numPr>
        <w:numId w:val="3"/>
      </w:numPr>
      <w:spacing w:before="280" w:after="140" w:line="280" w:lineRule="atLeast"/>
      <w:outlineLvl w:val="0"/>
    </w:pPr>
    <w:rPr>
      <w:rFonts w:ascii="Arial" w:hAnsi="Arial" w:cs="Angsana New"/>
      <w:spacing w:val="-10"/>
      <w:w w:val="95"/>
      <w:sz w:val="32"/>
      <w:szCs w:val="32"/>
      <w:lang w:eastAsia="zh-CN" w:bidi="th-TH"/>
    </w:rPr>
  </w:style>
  <w:style w:type="paragraph" w:customStyle="1" w:styleId="MELegal4">
    <w:name w:val="ME Legal 4"/>
    <w:aliases w:val="l4"/>
    <w:basedOn w:val="Normal"/>
    <w:uiPriority w:val="99"/>
    <w:rsid w:val="002D7158"/>
    <w:pPr>
      <w:numPr>
        <w:ilvl w:val="3"/>
        <w:numId w:val="3"/>
      </w:numPr>
      <w:spacing w:after="140" w:line="280" w:lineRule="atLeast"/>
      <w:outlineLvl w:val="3"/>
    </w:pPr>
    <w:rPr>
      <w:rFonts w:ascii="Times New Roman" w:hAnsi="Times New Roman" w:cs="Angsana New"/>
      <w:sz w:val="22"/>
      <w:lang w:eastAsia="zh-CN" w:bidi="th-TH"/>
    </w:rPr>
  </w:style>
  <w:style w:type="paragraph" w:customStyle="1" w:styleId="MELegal5">
    <w:name w:val="ME Legal 5"/>
    <w:aliases w:val="l5"/>
    <w:basedOn w:val="Normal"/>
    <w:uiPriority w:val="99"/>
    <w:rsid w:val="002D7158"/>
    <w:pPr>
      <w:numPr>
        <w:ilvl w:val="4"/>
        <w:numId w:val="3"/>
      </w:numPr>
      <w:spacing w:after="140" w:line="280" w:lineRule="atLeast"/>
      <w:outlineLvl w:val="4"/>
    </w:pPr>
    <w:rPr>
      <w:rFonts w:ascii="Times New Roman" w:hAnsi="Times New Roman" w:cs="Angsana New"/>
      <w:sz w:val="22"/>
      <w:lang w:eastAsia="zh-CN" w:bidi="th-TH"/>
    </w:rPr>
  </w:style>
  <w:style w:type="paragraph" w:customStyle="1" w:styleId="MELegal6">
    <w:name w:val="ME Legal 6"/>
    <w:basedOn w:val="Normal"/>
    <w:uiPriority w:val="99"/>
    <w:rsid w:val="002D7158"/>
    <w:pPr>
      <w:numPr>
        <w:ilvl w:val="5"/>
        <w:numId w:val="3"/>
      </w:numPr>
      <w:spacing w:after="140" w:line="280" w:lineRule="atLeast"/>
      <w:outlineLvl w:val="5"/>
    </w:pPr>
    <w:rPr>
      <w:rFonts w:ascii="Times New Roman" w:hAnsi="Times New Roman" w:cs="Angsana New"/>
      <w:sz w:val="22"/>
      <w:lang w:eastAsia="zh-CN" w:bidi="th-TH"/>
    </w:rPr>
  </w:style>
  <w:style w:type="character" w:customStyle="1" w:styleId="BodyChar">
    <w:name w:val="Body Char"/>
    <w:link w:val="Body"/>
    <w:uiPriority w:val="99"/>
    <w:locked/>
    <w:rsid w:val="002D7158"/>
    <w:rPr>
      <w:rFonts w:ascii="Times New Roman" w:hAnsi="Times New Roman"/>
      <w:b/>
      <w:sz w:val="20"/>
      <w:lang w:val="en-US"/>
    </w:rPr>
  </w:style>
  <w:style w:type="paragraph" w:customStyle="1" w:styleId="Body">
    <w:name w:val="Body"/>
    <w:basedOn w:val="Normal"/>
    <w:link w:val="BodyChar"/>
    <w:uiPriority w:val="99"/>
    <w:rsid w:val="002D7158"/>
    <w:pPr>
      <w:overflowPunct w:val="0"/>
      <w:autoSpaceDE w:val="0"/>
      <w:autoSpaceDN w:val="0"/>
      <w:adjustRightInd w:val="0"/>
      <w:spacing w:after="240" w:line="240" w:lineRule="auto"/>
    </w:pPr>
    <w:rPr>
      <w:rFonts w:ascii="Times New Roman" w:hAnsi="Times New Roman"/>
      <w:b/>
      <w:szCs w:val="20"/>
      <w:lang w:val="en-US"/>
    </w:rPr>
  </w:style>
  <w:style w:type="character" w:customStyle="1" w:styleId="FootnoteTextChar1">
    <w:name w:val="Footnote Text Char1"/>
    <w:uiPriority w:val="99"/>
    <w:semiHidden/>
    <w:locked/>
    <w:rsid w:val="002D7158"/>
    <w:rPr>
      <w:rFonts w:ascii="Century Gothic" w:hAnsi="Century Gothic"/>
      <w:sz w:val="20"/>
      <w:lang w:eastAsia="en-AU"/>
    </w:rPr>
  </w:style>
  <w:style w:type="paragraph" w:customStyle="1" w:styleId="Default">
    <w:name w:val="Default"/>
    <w:link w:val="DefaultChar"/>
    <w:uiPriority w:val="99"/>
    <w:rsid w:val="00787A82"/>
    <w:pPr>
      <w:autoSpaceDE w:val="0"/>
      <w:autoSpaceDN w:val="0"/>
      <w:adjustRightInd w:val="0"/>
    </w:pPr>
    <w:rPr>
      <w:rFonts w:ascii="Times New Roman" w:hAnsi="Times New Roman"/>
      <w:color w:val="000000"/>
      <w:sz w:val="24"/>
      <w:lang w:val="en-US" w:eastAsia="en-US"/>
    </w:rPr>
  </w:style>
  <w:style w:type="character" w:customStyle="1" w:styleId="DefaultChar">
    <w:name w:val="Default Char"/>
    <w:link w:val="Default"/>
    <w:uiPriority w:val="99"/>
    <w:locked/>
    <w:rsid w:val="00787A82"/>
    <w:rPr>
      <w:rFonts w:ascii="Times New Roman" w:hAnsi="Times New Roman"/>
      <w:color w:val="000000"/>
      <w:sz w:val="24"/>
      <w:lang w:val="en-US"/>
    </w:rPr>
  </w:style>
  <w:style w:type="paragraph" w:styleId="TOC4">
    <w:name w:val="toc 4"/>
    <w:basedOn w:val="Normal"/>
    <w:next w:val="Normal"/>
    <w:autoRedefine/>
    <w:uiPriority w:val="99"/>
    <w:rsid w:val="00BC2487"/>
    <w:pPr>
      <w:spacing w:after="100"/>
      <w:ind w:left="600"/>
    </w:pPr>
  </w:style>
  <w:style w:type="paragraph" w:styleId="NormalWeb">
    <w:name w:val="Normal (Web)"/>
    <w:basedOn w:val="Normal"/>
    <w:uiPriority w:val="99"/>
    <w:semiHidden/>
    <w:rsid w:val="0087051E"/>
    <w:pPr>
      <w:spacing w:before="100" w:beforeAutospacing="1" w:after="100" w:afterAutospacing="1" w:line="240" w:lineRule="auto"/>
    </w:pPr>
    <w:rPr>
      <w:rFonts w:ascii="Times New Roman" w:hAnsi="Times New Roman"/>
      <w:sz w:val="24"/>
      <w:szCs w:val="24"/>
      <w:lang w:eastAsia="en-AU"/>
    </w:rPr>
  </w:style>
  <w:style w:type="character" w:styleId="FollowedHyperlink">
    <w:name w:val="FollowedHyperlink"/>
    <w:uiPriority w:val="99"/>
    <w:semiHidden/>
    <w:rsid w:val="00CB18AA"/>
    <w:rPr>
      <w:rFonts w:cs="Times New Roman"/>
      <w:color w:val="800080"/>
      <w:u w:val="single"/>
    </w:rPr>
  </w:style>
  <w:style w:type="paragraph" w:customStyle="1" w:styleId="xl63">
    <w:name w:val="xl63"/>
    <w:basedOn w:val="Normal"/>
    <w:uiPriority w:val="99"/>
    <w:rsid w:val="00CB18AA"/>
    <w:pPr>
      <w:spacing w:before="100" w:beforeAutospacing="1" w:after="100" w:afterAutospacing="1" w:line="240" w:lineRule="auto"/>
      <w:textAlignment w:val="top"/>
    </w:pPr>
    <w:rPr>
      <w:rFonts w:ascii="Times New Roman" w:hAnsi="Times New Roman"/>
      <w:szCs w:val="20"/>
      <w:lang w:eastAsia="en-AU"/>
    </w:rPr>
  </w:style>
  <w:style w:type="paragraph" w:customStyle="1" w:styleId="xl64">
    <w:name w:val="xl64"/>
    <w:basedOn w:val="Normal"/>
    <w:uiPriority w:val="99"/>
    <w:rsid w:val="00CB18AA"/>
    <w:pPr>
      <w:spacing w:before="100" w:beforeAutospacing="1" w:after="100" w:afterAutospacing="1" w:line="240" w:lineRule="auto"/>
      <w:textAlignment w:val="top"/>
    </w:pPr>
    <w:rPr>
      <w:rFonts w:ascii="Times New Roman" w:hAnsi="Times New Roman"/>
      <w:szCs w:val="20"/>
      <w:lang w:eastAsia="en-AU"/>
    </w:rPr>
  </w:style>
  <w:style w:type="paragraph" w:customStyle="1" w:styleId="xl65">
    <w:name w:val="xl65"/>
    <w:basedOn w:val="Normal"/>
    <w:uiPriority w:val="99"/>
    <w:rsid w:val="00CB18AA"/>
    <w:pPr>
      <w:shd w:val="clear" w:color="000000" w:fill="366092"/>
      <w:spacing w:before="100" w:beforeAutospacing="1" w:after="100" w:afterAutospacing="1" w:line="240" w:lineRule="auto"/>
      <w:jc w:val="center"/>
      <w:textAlignment w:val="center"/>
    </w:pPr>
    <w:rPr>
      <w:rFonts w:ascii="Times New Roman" w:hAnsi="Times New Roman"/>
      <w:color w:val="FFFFFF"/>
      <w:szCs w:val="20"/>
      <w:lang w:eastAsia="en-AU"/>
    </w:rPr>
  </w:style>
  <w:style w:type="paragraph" w:customStyle="1" w:styleId="xl66">
    <w:name w:val="xl66"/>
    <w:basedOn w:val="Normal"/>
    <w:uiPriority w:val="99"/>
    <w:rsid w:val="00CB18AA"/>
    <w:pPr>
      <w:spacing w:before="100" w:beforeAutospacing="1" w:after="100" w:afterAutospacing="1" w:line="240" w:lineRule="auto"/>
    </w:pPr>
    <w:rPr>
      <w:rFonts w:ascii="Times New Roman" w:hAnsi="Times New Roman"/>
      <w:sz w:val="18"/>
      <w:szCs w:val="18"/>
      <w:lang w:eastAsia="en-AU"/>
    </w:rPr>
  </w:style>
  <w:style w:type="paragraph" w:customStyle="1" w:styleId="xl67">
    <w:name w:val="xl67"/>
    <w:basedOn w:val="Normal"/>
    <w:uiPriority w:val="99"/>
    <w:rsid w:val="00CB18AA"/>
    <w:pPr>
      <w:spacing w:before="100" w:beforeAutospacing="1" w:after="100" w:afterAutospacing="1" w:line="240" w:lineRule="auto"/>
    </w:pPr>
    <w:rPr>
      <w:rFonts w:ascii="Times New Roman" w:hAnsi="Times New Roman"/>
      <w:sz w:val="18"/>
      <w:szCs w:val="18"/>
      <w:lang w:eastAsia="en-AU"/>
    </w:rPr>
  </w:style>
  <w:style w:type="paragraph" w:customStyle="1" w:styleId="Heading1withoutnumbering">
    <w:name w:val="Heading 1 without numbering"/>
    <w:basedOn w:val="Heading1"/>
    <w:link w:val="Heading1withoutnumberingChar"/>
    <w:uiPriority w:val="99"/>
    <w:rsid w:val="007421AC"/>
    <w:rPr>
      <w:sz w:val="28"/>
      <w:szCs w:val="28"/>
    </w:rPr>
  </w:style>
  <w:style w:type="character" w:customStyle="1" w:styleId="Heading1withoutnumberingChar">
    <w:name w:val="Heading 1 without numbering Char"/>
    <w:link w:val="Heading1withoutnumbering"/>
    <w:uiPriority w:val="99"/>
    <w:locked/>
    <w:rsid w:val="007421AC"/>
    <w:rPr>
      <w:rFonts w:ascii="Gill Sans MT" w:eastAsia="MS Gothic" w:hAnsi="Gill Sans MT"/>
      <w:b/>
      <w:color w:val="003D79"/>
      <w:sz w:val="28"/>
      <w:lang w:eastAsia="en-US"/>
    </w:rPr>
  </w:style>
  <w:style w:type="paragraph" w:customStyle="1" w:styleId="Appendix">
    <w:name w:val="Appendix"/>
    <w:basedOn w:val="Heading1thatdoesgetpickedupbyTOC"/>
    <w:link w:val="AppendixChar"/>
    <w:uiPriority w:val="99"/>
    <w:rsid w:val="00E21509"/>
  </w:style>
  <w:style w:type="character" w:customStyle="1" w:styleId="AppendixChar">
    <w:name w:val="Appendix Char"/>
    <w:link w:val="Appendix"/>
    <w:uiPriority w:val="99"/>
    <w:locked/>
    <w:rsid w:val="00E21509"/>
    <w:rPr>
      <w:rFonts w:ascii="Gill Sans MT" w:hAnsi="Gill Sans MT"/>
      <w:color w:val="003D79"/>
      <w:sz w:val="92"/>
      <w:lang w:val="en-AU" w:eastAsia="en-US"/>
    </w:rPr>
  </w:style>
  <w:style w:type="paragraph" w:styleId="Subtitle">
    <w:name w:val="Subtitle"/>
    <w:basedOn w:val="Normal"/>
    <w:next w:val="Normal"/>
    <w:link w:val="SubtitleChar"/>
    <w:uiPriority w:val="99"/>
    <w:qFormat/>
    <w:rsid w:val="00A93387"/>
    <w:pPr>
      <w:numPr>
        <w:ilvl w:val="1"/>
      </w:numPr>
    </w:pPr>
    <w:rPr>
      <w:rFonts w:ascii="Cambria" w:eastAsia="MS Gothic" w:hAnsi="Cambria"/>
      <w:i/>
      <w:iCs/>
      <w:color w:val="4F81BD"/>
      <w:spacing w:val="15"/>
      <w:sz w:val="24"/>
      <w:szCs w:val="24"/>
      <w:lang w:val="en-US" w:eastAsia="en-US"/>
    </w:rPr>
  </w:style>
  <w:style w:type="character" w:customStyle="1" w:styleId="SubtitleChar">
    <w:name w:val="Subtitle Char"/>
    <w:link w:val="Subtitle"/>
    <w:uiPriority w:val="99"/>
    <w:locked/>
    <w:rsid w:val="00A93387"/>
    <w:rPr>
      <w:rFonts w:ascii="Cambria" w:eastAsia="MS Gothic" w:hAnsi="Cambria"/>
      <w:i/>
      <w:color w:val="4F81BD"/>
      <w:spacing w:val="15"/>
      <w:sz w:val="24"/>
      <w:lang w:eastAsia="en-US"/>
    </w:rPr>
  </w:style>
  <w:style w:type="paragraph" w:styleId="EndnoteText">
    <w:name w:val="endnote text"/>
    <w:basedOn w:val="Normal"/>
    <w:link w:val="EndnoteTextChar"/>
    <w:uiPriority w:val="99"/>
    <w:semiHidden/>
    <w:rsid w:val="00415B75"/>
    <w:rPr>
      <w:szCs w:val="20"/>
    </w:rPr>
  </w:style>
  <w:style w:type="character" w:customStyle="1" w:styleId="EndnoteTextChar">
    <w:name w:val="Endnote Text Char"/>
    <w:link w:val="EndnoteText"/>
    <w:uiPriority w:val="99"/>
    <w:semiHidden/>
    <w:locked/>
    <w:rsid w:val="00415B75"/>
    <w:rPr>
      <w:rFonts w:cs="Times New Roman"/>
      <w:lang w:eastAsia="ja-JP"/>
    </w:rPr>
  </w:style>
  <w:style w:type="character" w:styleId="EndnoteReference">
    <w:name w:val="endnote reference"/>
    <w:uiPriority w:val="99"/>
    <w:semiHidden/>
    <w:rsid w:val="00415B75"/>
    <w:rPr>
      <w:rFonts w:cs="Times New Roman"/>
      <w:vertAlign w:val="superscript"/>
    </w:rPr>
  </w:style>
  <w:style w:type="paragraph" w:customStyle="1" w:styleId="EndNoteBibliographyTitle">
    <w:name w:val="EndNote Bibliography Title"/>
    <w:basedOn w:val="Normal"/>
    <w:link w:val="EndNoteBibliographyTitleChar"/>
    <w:rsid w:val="00290091"/>
    <w:pPr>
      <w:spacing w:after="0"/>
      <w:jc w:val="center"/>
    </w:pPr>
    <w:rPr>
      <w:rFonts w:ascii="Garamond" w:hAnsi="Garamond"/>
      <w:noProof/>
      <w:sz w:val="24"/>
    </w:rPr>
  </w:style>
  <w:style w:type="character" w:customStyle="1" w:styleId="TableChar">
    <w:name w:val="Table Char"/>
    <w:basedOn w:val="DefaultParagraphFont"/>
    <w:link w:val="Table"/>
    <w:uiPriority w:val="99"/>
    <w:rsid w:val="00290091"/>
    <w:rPr>
      <w:rFonts w:ascii="Arial" w:hAnsi="Arial"/>
      <w:sz w:val="18"/>
      <w:lang w:eastAsia="ja-JP"/>
    </w:rPr>
  </w:style>
  <w:style w:type="character" w:customStyle="1" w:styleId="EndNoteBibliographyTitleChar">
    <w:name w:val="EndNote Bibliography Title Char"/>
    <w:basedOn w:val="TableChar"/>
    <w:link w:val="EndNoteBibliographyTitle"/>
    <w:rsid w:val="00290091"/>
    <w:rPr>
      <w:rFonts w:ascii="Garamond" w:hAnsi="Garamond"/>
      <w:noProof/>
      <w:sz w:val="24"/>
      <w:szCs w:val="22"/>
      <w:lang w:eastAsia="ja-JP"/>
    </w:rPr>
  </w:style>
  <w:style w:type="paragraph" w:customStyle="1" w:styleId="EndNoteBibliography">
    <w:name w:val="EndNote Bibliography"/>
    <w:basedOn w:val="Normal"/>
    <w:link w:val="EndNoteBibliographyChar"/>
    <w:rsid w:val="00290091"/>
    <w:pPr>
      <w:spacing w:line="240" w:lineRule="auto"/>
    </w:pPr>
    <w:rPr>
      <w:rFonts w:ascii="Garamond" w:hAnsi="Garamond"/>
      <w:noProof/>
      <w:sz w:val="24"/>
    </w:rPr>
  </w:style>
  <w:style w:type="character" w:customStyle="1" w:styleId="EndNoteBibliographyChar">
    <w:name w:val="EndNote Bibliography Char"/>
    <w:basedOn w:val="TableChar"/>
    <w:link w:val="EndNoteBibliography"/>
    <w:rsid w:val="00290091"/>
    <w:rPr>
      <w:rFonts w:ascii="Garamond" w:hAnsi="Garamond"/>
      <w:noProof/>
      <w:sz w:val="24"/>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MS Mincho" w:hAnsi="Century Gothic"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C83"/>
    <w:pPr>
      <w:spacing w:after="200" w:line="276" w:lineRule="auto"/>
    </w:pPr>
    <w:rPr>
      <w:szCs w:val="22"/>
      <w:lang w:eastAsia="ja-JP"/>
    </w:rPr>
  </w:style>
  <w:style w:type="paragraph" w:styleId="Heading1">
    <w:name w:val="heading 1"/>
    <w:basedOn w:val="Normal"/>
    <w:next w:val="Normal"/>
    <w:link w:val="Heading1Char"/>
    <w:autoRedefine/>
    <w:uiPriority w:val="99"/>
    <w:qFormat/>
    <w:rsid w:val="00BD6487"/>
    <w:pPr>
      <w:keepNext/>
      <w:keepLines/>
      <w:spacing w:line="240" w:lineRule="auto"/>
      <w:outlineLvl w:val="0"/>
    </w:pPr>
    <w:rPr>
      <w:rFonts w:ascii="Gill Sans MT" w:eastAsia="MS Gothic" w:hAnsi="Gill Sans MT"/>
      <w:b/>
      <w:bCs/>
      <w:color w:val="003D79"/>
      <w:sz w:val="48"/>
      <w:szCs w:val="48"/>
      <w:lang w:val="en-US" w:eastAsia="en-US"/>
    </w:rPr>
  </w:style>
  <w:style w:type="paragraph" w:styleId="Heading2">
    <w:name w:val="heading 2"/>
    <w:basedOn w:val="Normal"/>
    <w:link w:val="Heading2Char"/>
    <w:uiPriority w:val="99"/>
    <w:qFormat/>
    <w:rsid w:val="00D852EB"/>
    <w:pPr>
      <w:shd w:val="clear" w:color="auto" w:fill="FFFFFF"/>
      <w:spacing w:before="100" w:beforeAutospacing="1" w:after="100" w:afterAutospacing="1" w:line="240" w:lineRule="auto"/>
      <w:outlineLvl w:val="1"/>
    </w:pPr>
    <w:rPr>
      <w:rFonts w:ascii="Gill Sans MT" w:hAnsi="Gill Sans MT"/>
      <w:b/>
      <w:bCs/>
      <w:color w:val="003D79"/>
      <w:sz w:val="32"/>
      <w:szCs w:val="36"/>
      <w:lang w:val="en-US"/>
    </w:rPr>
  </w:style>
  <w:style w:type="paragraph" w:styleId="Heading3">
    <w:name w:val="heading 3"/>
    <w:basedOn w:val="Normal"/>
    <w:next w:val="Normal"/>
    <w:link w:val="Heading3Char"/>
    <w:uiPriority w:val="99"/>
    <w:qFormat/>
    <w:rsid w:val="00542C4B"/>
    <w:pPr>
      <w:keepNext/>
      <w:keepLines/>
      <w:spacing w:before="200" w:after="0"/>
      <w:outlineLvl w:val="2"/>
    </w:pPr>
    <w:rPr>
      <w:rFonts w:ascii="Gill Sans MT" w:eastAsia="MS Gothic" w:hAnsi="Gill Sans MT"/>
      <w:b/>
      <w:bCs/>
      <w:color w:val="4F81BD"/>
      <w:sz w:val="28"/>
      <w:szCs w:val="20"/>
      <w:lang w:val="en-US" w:eastAsia="en-US"/>
    </w:rPr>
  </w:style>
  <w:style w:type="paragraph" w:styleId="Heading4">
    <w:name w:val="heading 4"/>
    <w:basedOn w:val="Normal"/>
    <w:next w:val="Normal"/>
    <w:link w:val="Heading4Char"/>
    <w:uiPriority w:val="99"/>
    <w:qFormat/>
    <w:rsid w:val="00542C4B"/>
    <w:pPr>
      <w:keepNext/>
      <w:keepLines/>
      <w:spacing w:before="200" w:after="0"/>
      <w:outlineLvl w:val="3"/>
    </w:pPr>
    <w:rPr>
      <w:rFonts w:ascii="Gill Sans MT" w:eastAsia="MS Gothic" w:hAnsi="Gill Sans MT"/>
      <w:b/>
      <w:bCs/>
      <w:i/>
      <w:iCs/>
      <w:color w:val="4F81BD"/>
      <w:sz w:val="24"/>
      <w:szCs w:val="20"/>
      <w:lang w:val="en-US" w:eastAsia="en-US"/>
    </w:rPr>
  </w:style>
  <w:style w:type="paragraph" w:styleId="Heading5">
    <w:name w:val="heading 5"/>
    <w:basedOn w:val="Normal"/>
    <w:next w:val="Normal"/>
    <w:link w:val="Heading5Char"/>
    <w:uiPriority w:val="99"/>
    <w:qFormat/>
    <w:rsid w:val="00556630"/>
    <w:pPr>
      <w:keepNext/>
      <w:keepLines/>
      <w:spacing w:before="200" w:after="0"/>
      <w:outlineLvl w:val="4"/>
    </w:pPr>
    <w:rPr>
      <w:rFonts w:ascii="Cambria" w:eastAsia="MS Gothic" w:hAnsi="Cambria"/>
      <w:color w:val="243F60"/>
      <w:szCs w:val="20"/>
      <w:lang w:val="en-US" w:eastAsia="en-US"/>
    </w:rPr>
  </w:style>
  <w:style w:type="paragraph" w:styleId="Heading6">
    <w:name w:val="heading 6"/>
    <w:basedOn w:val="Normal"/>
    <w:next w:val="Normal"/>
    <w:link w:val="Heading6Char"/>
    <w:uiPriority w:val="99"/>
    <w:qFormat/>
    <w:rsid w:val="00556630"/>
    <w:pPr>
      <w:keepNext/>
      <w:keepLines/>
      <w:spacing w:before="200" w:after="0"/>
      <w:outlineLvl w:val="5"/>
    </w:pPr>
    <w:rPr>
      <w:rFonts w:ascii="Cambria" w:eastAsia="MS Gothic" w:hAnsi="Cambria"/>
      <w:i/>
      <w:iCs/>
      <w:color w:val="243F60"/>
      <w:szCs w:val="20"/>
      <w:lang w:val="en-US" w:eastAsia="en-US"/>
    </w:rPr>
  </w:style>
  <w:style w:type="paragraph" w:styleId="Heading7">
    <w:name w:val="heading 7"/>
    <w:basedOn w:val="Normal"/>
    <w:next w:val="Normal"/>
    <w:link w:val="Heading7Char"/>
    <w:uiPriority w:val="99"/>
    <w:qFormat/>
    <w:rsid w:val="00556630"/>
    <w:pPr>
      <w:keepNext/>
      <w:keepLines/>
      <w:spacing w:before="200" w:after="0"/>
      <w:outlineLvl w:val="6"/>
    </w:pPr>
    <w:rPr>
      <w:rFonts w:ascii="Cambria" w:eastAsia="MS Gothic" w:hAnsi="Cambria"/>
      <w:i/>
      <w:iCs/>
      <w:color w:val="404040"/>
      <w:szCs w:val="20"/>
      <w:lang w:val="en-US" w:eastAsia="en-US"/>
    </w:rPr>
  </w:style>
  <w:style w:type="paragraph" w:styleId="Heading8">
    <w:name w:val="heading 8"/>
    <w:basedOn w:val="Normal"/>
    <w:next w:val="Normal"/>
    <w:link w:val="Heading8Char"/>
    <w:uiPriority w:val="99"/>
    <w:qFormat/>
    <w:rsid w:val="00556630"/>
    <w:pPr>
      <w:keepNext/>
      <w:keepLines/>
      <w:spacing w:before="200" w:after="0"/>
      <w:outlineLvl w:val="7"/>
    </w:pPr>
    <w:rPr>
      <w:rFonts w:ascii="Cambria" w:eastAsia="MS Gothic" w:hAnsi="Cambria"/>
      <w:color w:val="404040"/>
      <w:szCs w:val="20"/>
      <w:lang w:val="en-US" w:eastAsia="en-US"/>
    </w:rPr>
  </w:style>
  <w:style w:type="paragraph" w:styleId="Heading9">
    <w:name w:val="heading 9"/>
    <w:basedOn w:val="Normal"/>
    <w:next w:val="Normal"/>
    <w:link w:val="Heading9Char"/>
    <w:uiPriority w:val="99"/>
    <w:qFormat/>
    <w:rsid w:val="00556630"/>
    <w:pPr>
      <w:keepNext/>
      <w:keepLines/>
      <w:spacing w:before="200" w:after="0"/>
      <w:outlineLvl w:val="8"/>
    </w:pPr>
    <w:rPr>
      <w:rFonts w:ascii="Cambria" w:eastAsia="MS Gothic" w:hAnsi="Cambria"/>
      <w:i/>
      <w:iCs/>
      <w:color w:val="40404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D6487"/>
    <w:rPr>
      <w:rFonts w:ascii="Gill Sans MT" w:eastAsia="MS Gothic" w:hAnsi="Gill Sans MT"/>
      <w:b/>
      <w:color w:val="003D79"/>
      <w:sz w:val="48"/>
      <w:lang w:eastAsia="en-US"/>
    </w:rPr>
  </w:style>
  <w:style w:type="character" w:customStyle="1" w:styleId="Heading2Char">
    <w:name w:val="Heading 2 Char"/>
    <w:link w:val="Heading2"/>
    <w:uiPriority w:val="99"/>
    <w:locked/>
    <w:rsid w:val="00D852EB"/>
    <w:rPr>
      <w:rFonts w:ascii="Gill Sans MT" w:hAnsi="Gill Sans MT"/>
      <w:b/>
      <w:color w:val="003D79"/>
      <w:sz w:val="36"/>
      <w:shd w:val="clear" w:color="auto" w:fill="FFFFFF"/>
    </w:rPr>
  </w:style>
  <w:style w:type="character" w:customStyle="1" w:styleId="Heading3Char">
    <w:name w:val="Heading 3 Char"/>
    <w:link w:val="Heading3"/>
    <w:uiPriority w:val="99"/>
    <w:locked/>
    <w:rsid w:val="00542C4B"/>
    <w:rPr>
      <w:rFonts w:ascii="Gill Sans MT" w:eastAsia="MS Gothic" w:hAnsi="Gill Sans MT"/>
      <w:b/>
      <w:color w:val="4F81BD"/>
      <w:sz w:val="28"/>
      <w:lang w:eastAsia="en-US"/>
    </w:rPr>
  </w:style>
  <w:style w:type="character" w:customStyle="1" w:styleId="Heading4Char">
    <w:name w:val="Heading 4 Char"/>
    <w:link w:val="Heading4"/>
    <w:uiPriority w:val="99"/>
    <w:locked/>
    <w:rsid w:val="00542C4B"/>
    <w:rPr>
      <w:rFonts w:ascii="Gill Sans MT" w:eastAsia="MS Gothic" w:hAnsi="Gill Sans MT"/>
      <w:b/>
      <w:i/>
      <w:color w:val="4F81BD"/>
      <w:sz w:val="24"/>
      <w:lang w:eastAsia="en-US"/>
    </w:rPr>
  </w:style>
  <w:style w:type="character" w:customStyle="1" w:styleId="Heading5Char">
    <w:name w:val="Heading 5 Char"/>
    <w:link w:val="Heading5"/>
    <w:uiPriority w:val="99"/>
    <w:semiHidden/>
    <w:locked/>
    <w:rsid w:val="00556630"/>
    <w:rPr>
      <w:rFonts w:ascii="Cambria" w:eastAsia="MS Gothic" w:hAnsi="Cambria"/>
      <w:color w:val="243F60"/>
      <w:sz w:val="20"/>
      <w:lang w:eastAsia="en-US"/>
    </w:rPr>
  </w:style>
  <w:style w:type="character" w:customStyle="1" w:styleId="Heading6Char">
    <w:name w:val="Heading 6 Char"/>
    <w:link w:val="Heading6"/>
    <w:uiPriority w:val="99"/>
    <w:semiHidden/>
    <w:locked/>
    <w:rsid w:val="00556630"/>
    <w:rPr>
      <w:rFonts w:ascii="Cambria" w:eastAsia="MS Gothic" w:hAnsi="Cambria"/>
      <w:i/>
      <w:color w:val="243F60"/>
      <w:sz w:val="20"/>
      <w:lang w:eastAsia="en-US"/>
    </w:rPr>
  </w:style>
  <w:style w:type="character" w:customStyle="1" w:styleId="Heading7Char">
    <w:name w:val="Heading 7 Char"/>
    <w:link w:val="Heading7"/>
    <w:uiPriority w:val="99"/>
    <w:semiHidden/>
    <w:locked/>
    <w:rsid w:val="00556630"/>
    <w:rPr>
      <w:rFonts w:ascii="Cambria" w:eastAsia="MS Gothic" w:hAnsi="Cambria"/>
      <w:i/>
      <w:color w:val="404040"/>
      <w:sz w:val="20"/>
      <w:lang w:eastAsia="en-US"/>
    </w:rPr>
  </w:style>
  <w:style w:type="character" w:customStyle="1" w:styleId="Heading8Char">
    <w:name w:val="Heading 8 Char"/>
    <w:link w:val="Heading8"/>
    <w:uiPriority w:val="99"/>
    <w:semiHidden/>
    <w:locked/>
    <w:rsid w:val="00556630"/>
    <w:rPr>
      <w:rFonts w:ascii="Cambria" w:eastAsia="MS Gothic" w:hAnsi="Cambria"/>
      <w:color w:val="404040"/>
      <w:sz w:val="20"/>
      <w:lang w:eastAsia="en-US"/>
    </w:rPr>
  </w:style>
  <w:style w:type="character" w:customStyle="1" w:styleId="Heading9Char">
    <w:name w:val="Heading 9 Char"/>
    <w:link w:val="Heading9"/>
    <w:uiPriority w:val="99"/>
    <w:semiHidden/>
    <w:locked/>
    <w:rsid w:val="00556630"/>
    <w:rPr>
      <w:rFonts w:ascii="Cambria" w:eastAsia="MS Gothic" w:hAnsi="Cambria"/>
      <w:i/>
      <w:color w:val="404040"/>
      <w:sz w:val="20"/>
      <w:lang w:eastAsia="en-US"/>
    </w:rPr>
  </w:style>
  <w:style w:type="character" w:styleId="Strong">
    <w:name w:val="Strong"/>
    <w:uiPriority w:val="99"/>
    <w:qFormat/>
    <w:rsid w:val="00542C4B"/>
    <w:rPr>
      <w:rFonts w:cs="Times New Roman"/>
      <w:b/>
    </w:rPr>
  </w:style>
  <w:style w:type="paragraph" w:styleId="Header">
    <w:name w:val="header"/>
    <w:basedOn w:val="Normal"/>
    <w:link w:val="HeaderChar"/>
    <w:uiPriority w:val="99"/>
    <w:rsid w:val="00542C4B"/>
    <w:pPr>
      <w:tabs>
        <w:tab w:val="center" w:pos="4513"/>
        <w:tab w:val="right" w:pos="9026"/>
      </w:tabs>
      <w:spacing w:after="0" w:line="240" w:lineRule="auto"/>
    </w:pPr>
    <w:rPr>
      <w:rFonts w:ascii="Garamond" w:hAnsi="Garamond"/>
      <w:sz w:val="24"/>
      <w:szCs w:val="20"/>
      <w:lang w:val="en-US" w:eastAsia="en-US"/>
    </w:rPr>
  </w:style>
  <w:style w:type="character" w:customStyle="1" w:styleId="HeaderChar">
    <w:name w:val="Header Char"/>
    <w:link w:val="Header"/>
    <w:uiPriority w:val="99"/>
    <w:locked/>
    <w:rsid w:val="00542C4B"/>
    <w:rPr>
      <w:rFonts w:ascii="Garamond" w:hAnsi="Garamond"/>
      <w:sz w:val="24"/>
      <w:lang w:eastAsia="en-US"/>
    </w:rPr>
  </w:style>
  <w:style w:type="paragraph" w:styleId="Footer">
    <w:name w:val="footer"/>
    <w:basedOn w:val="Normal"/>
    <w:link w:val="FooterChar"/>
    <w:uiPriority w:val="99"/>
    <w:rsid w:val="00542C4B"/>
    <w:pPr>
      <w:tabs>
        <w:tab w:val="center" w:pos="4513"/>
        <w:tab w:val="right" w:pos="9026"/>
      </w:tabs>
      <w:spacing w:after="0" w:line="240" w:lineRule="auto"/>
    </w:pPr>
    <w:rPr>
      <w:rFonts w:ascii="Garamond" w:hAnsi="Garamond"/>
      <w:sz w:val="24"/>
      <w:szCs w:val="20"/>
      <w:lang w:val="en-US" w:eastAsia="en-US"/>
    </w:rPr>
  </w:style>
  <w:style w:type="character" w:customStyle="1" w:styleId="FooterChar">
    <w:name w:val="Footer Char"/>
    <w:link w:val="Footer"/>
    <w:uiPriority w:val="99"/>
    <w:locked/>
    <w:rsid w:val="00542C4B"/>
    <w:rPr>
      <w:rFonts w:ascii="Garamond" w:hAnsi="Garamond"/>
      <w:sz w:val="24"/>
      <w:lang w:eastAsia="en-US"/>
    </w:rPr>
  </w:style>
  <w:style w:type="character" w:customStyle="1" w:styleId="Style9">
    <w:name w:val="Style9"/>
    <w:uiPriority w:val="99"/>
    <w:rsid w:val="00542C4B"/>
    <w:rPr>
      <w:rFonts w:ascii="Calibri" w:hAnsi="Calibri"/>
      <w:b/>
      <w:color w:val="7F7F7F"/>
      <w:sz w:val="22"/>
    </w:rPr>
  </w:style>
  <w:style w:type="character" w:customStyle="1" w:styleId="Style2">
    <w:name w:val="Style2"/>
    <w:uiPriority w:val="99"/>
    <w:rsid w:val="00542C4B"/>
    <w:rPr>
      <w:b/>
      <w:sz w:val="72"/>
    </w:rPr>
  </w:style>
  <w:style w:type="character" w:customStyle="1" w:styleId="Style3">
    <w:name w:val="Style3"/>
    <w:uiPriority w:val="99"/>
    <w:rsid w:val="00542C4B"/>
    <w:rPr>
      <w:b/>
      <w:color w:val="1F497D"/>
      <w:sz w:val="40"/>
    </w:rPr>
  </w:style>
  <w:style w:type="paragraph" w:styleId="BalloonText">
    <w:name w:val="Balloon Text"/>
    <w:basedOn w:val="Normal"/>
    <w:link w:val="BalloonTextChar"/>
    <w:uiPriority w:val="99"/>
    <w:semiHidden/>
    <w:rsid w:val="00542C4B"/>
    <w:pPr>
      <w:spacing w:after="0" w:line="240" w:lineRule="auto"/>
    </w:pPr>
    <w:rPr>
      <w:rFonts w:ascii="Tahoma" w:hAnsi="Tahoma"/>
      <w:sz w:val="16"/>
      <w:szCs w:val="16"/>
      <w:lang w:val="en-US" w:eastAsia="en-US"/>
    </w:rPr>
  </w:style>
  <w:style w:type="character" w:customStyle="1" w:styleId="BalloonTextChar">
    <w:name w:val="Balloon Text Char"/>
    <w:link w:val="BalloonText"/>
    <w:uiPriority w:val="99"/>
    <w:semiHidden/>
    <w:locked/>
    <w:rsid w:val="00542C4B"/>
    <w:rPr>
      <w:rFonts w:ascii="Tahoma" w:hAnsi="Tahoma"/>
      <w:sz w:val="16"/>
      <w:lang w:eastAsia="en-US"/>
    </w:rPr>
  </w:style>
  <w:style w:type="paragraph" w:styleId="FootnoteText">
    <w:name w:val="footnote text"/>
    <w:basedOn w:val="Normal"/>
    <w:link w:val="FootnoteTextChar"/>
    <w:uiPriority w:val="99"/>
    <w:rsid w:val="00542C4B"/>
    <w:pPr>
      <w:spacing w:after="0" w:line="240" w:lineRule="auto"/>
    </w:pPr>
    <w:rPr>
      <w:rFonts w:ascii="Garamond" w:hAnsi="Garamond"/>
      <w:szCs w:val="20"/>
      <w:lang w:val="en-US"/>
    </w:rPr>
  </w:style>
  <w:style w:type="character" w:customStyle="1" w:styleId="FootnoteTextChar">
    <w:name w:val="Footnote Text Char"/>
    <w:link w:val="FootnoteText"/>
    <w:uiPriority w:val="99"/>
    <w:locked/>
    <w:rsid w:val="00542C4B"/>
    <w:rPr>
      <w:rFonts w:ascii="Garamond" w:eastAsia="MS Mincho" w:hAnsi="Garamond"/>
      <w:sz w:val="20"/>
    </w:rPr>
  </w:style>
  <w:style w:type="paragraph" w:customStyle="1" w:styleId="Title3">
    <w:name w:val="Title 3"/>
    <w:basedOn w:val="Normal"/>
    <w:uiPriority w:val="99"/>
    <w:rsid w:val="00542C4B"/>
    <w:pPr>
      <w:spacing w:after="0" w:line="240" w:lineRule="auto"/>
    </w:pPr>
    <w:rPr>
      <w:rFonts w:ascii="Arial" w:hAnsi="Arial"/>
      <w:b/>
      <w:sz w:val="28"/>
      <w:szCs w:val="20"/>
    </w:rPr>
  </w:style>
  <w:style w:type="paragraph" w:customStyle="1" w:styleId="Glossary">
    <w:name w:val="Glossary"/>
    <w:basedOn w:val="Normal"/>
    <w:next w:val="NormalIndent"/>
    <w:uiPriority w:val="99"/>
    <w:rsid w:val="00542C4B"/>
    <w:pPr>
      <w:spacing w:after="180" w:line="240" w:lineRule="auto"/>
    </w:pPr>
    <w:rPr>
      <w:rFonts w:ascii="Arial" w:hAnsi="Arial"/>
      <w:b/>
      <w:szCs w:val="20"/>
    </w:rPr>
  </w:style>
  <w:style w:type="paragraph" w:styleId="NormalIndent">
    <w:name w:val="Normal Indent"/>
    <w:basedOn w:val="Normal"/>
    <w:uiPriority w:val="99"/>
    <w:rsid w:val="00542C4B"/>
    <w:pPr>
      <w:spacing w:after="120" w:line="240" w:lineRule="auto"/>
      <w:ind w:left="720"/>
    </w:pPr>
    <w:rPr>
      <w:rFonts w:ascii="Arial" w:hAnsi="Arial"/>
      <w:szCs w:val="20"/>
    </w:rPr>
  </w:style>
  <w:style w:type="paragraph" w:customStyle="1" w:styleId="Table">
    <w:name w:val="Table"/>
    <w:basedOn w:val="Normal"/>
    <w:link w:val="TableChar"/>
    <w:uiPriority w:val="99"/>
    <w:rsid w:val="00542C4B"/>
    <w:pPr>
      <w:keepLines/>
      <w:widowControl w:val="0"/>
      <w:spacing w:before="60" w:after="60" w:line="240" w:lineRule="auto"/>
    </w:pPr>
    <w:rPr>
      <w:rFonts w:ascii="Arial" w:hAnsi="Arial"/>
      <w:sz w:val="18"/>
      <w:szCs w:val="20"/>
    </w:rPr>
  </w:style>
  <w:style w:type="paragraph" w:customStyle="1" w:styleId="TableData">
    <w:name w:val="TableData"/>
    <w:basedOn w:val="Normal"/>
    <w:uiPriority w:val="99"/>
    <w:rsid w:val="00542C4B"/>
    <w:pPr>
      <w:spacing w:before="60" w:after="60" w:line="240" w:lineRule="auto"/>
    </w:pPr>
    <w:rPr>
      <w:rFonts w:ascii="Times New Roman" w:hAnsi="Times New Roman"/>
      <w:szCs w:val="20"/>
    </w:rPr>
  </w:style>
  <w:style w:type="paragraph" w:styleId="TOCHeading">
    <w:name w:val="TOC Heading"/>
    <w:basedOn w:val="Heading1"/>
    <w:next w:val="Normal"/>
    <w:uiPriority w:val="99"/>
    <w:qFormat/>
    <w:rsid w:val="00542C4B"/>
    <w:pPr>
      <w:outlineLvl w:val="9"/>
    </w:pPr>
  </w:style>
  <w:style w:type="paragraph" w:styleId="TOC2">
    <w:name w:val="toc 2"/>
    <w:basedOn w:val="Normal"/>
    <w:next w:val="Normal"/>
    <w:autoRedefine/>
    <w:uiPriority w:val="39"/>
    <w:rsid w:val="00BC2487"/>
    <w:pPr>
      <w:tabs>
        <w:tab w:val="left" w:pos="851"/>
        <w:tab w:val="right" w:leader="dot" w:pos="9350"/>
      </w:tabs>
      <w:spacing w:after="100"/>
      <w:ind w:left="220"/>
    </w:pPr>
    <w:rPr>
      <w:noProof/>
      <w:color w:val="003D79"/>
      <w:lang w:val="en-US"/>
    </w:rPr>
  </w:style>
  <w:style w:type="paragraph" w:styleId="TOC1">
    <w:name w:val="toc 1"/>
    <w:basedOn w:val="Normal"/>
    <w:next w:val="Normal"/>
    <w:autoRedefine/>
    <w:uiPriority w:val="39"/>
    <w:rsid w:val="00BC2487"/>
    <w:pPr>
      <w:tabs>
        <w:tab w:val="left" w:pos="227"/>
        <w:tab w:val="right" w:leader="dot" w:pos="9350"/>
      </w:tabs>
      <w:spacing w:after="100"/>
    </w:pPr>
    <w:rPr>
      <w:i/>
      <w:color w:val="003D79"/>
      <w:lang w:val="en-US"/>
    </w:rPr>
  </w:style>
  <w:style w:type="paragraph" w:styleId="TOC3">
    <w:name w:val="toc 3"/>
    <w:basedOn w:val="Normal"/>
    <w:next w:val="Normal"/>
    <w:autoRedefine/>
    <w:uiPriority w:val="99"/>
    <w:rsid w:val="00BC2487"/>
    <w:pPr>
      <w:spacing w:after="100"/>
      <w:ind w:left="440"/>
    </w:pPr>
    <w:rPr>
      <w:lang w:val="en-US"/>
    </w:rPr>
  </w:style>
  <w:style w:type="character" w:styleId="Hyperlink">
    <w:name w:val="Hyperlink"/>
    <w:uiPriority w:val="99"/>
    <w:rsid w:val="00BC2487"/>
    <w:rPr>
      <w:rFonts w:ascii="Century Gothic" w:hAnsi="Century Gothic" w:cs="Times New Roman"/>
      <w:color w:val="0000FF"/>
      <w:sz w:val="20"/>
      <w:u w:val="none"/>
      <w:vertAlign w:val="baseline"/>
    </w:rPr>
  </w:style>
  <w:style w:type="character" w:styleId="PlaceholderText">
    <w:name w:val="Placeholder Text"/>
    <w:uiPriority w:val="99"/>
    <w:semiHidden/>
    <w:rsid w:val="00542C4B"/>
    <w:rPr>
      <w:color w:val="808080"/>
    </w:rPr>
  </w:style>
  <w:style w:type="paragraph" w:styleId="DocumentMap">
    <w:name w:val="Document Map"/>
    <w:basedOn w:val="Normal"/>
    <w:link w:val="DocumentMapChar"/>
    <w:uiPriority w:val="99"/>
    <w:semiHidden/>
    <w:rsid w:val="00542C4B"/>
    <w:pPr>
      <w:spacing w:after="0" w:line="240" w:lineRule="auto"/>
    </w:pPr>
    <w:rPr>
      <w:rFonts w:ascii="Tahoma" w:hAnsi="Tahoma"/>
      <w:sz w:val="16"/>
      <w:szCs w:val="16"/>
      <w:lang w:val="en-US" w:eastAsia="en-US"/>
    </w:rPr>
  </w:style>
  <w:style w:type="character" w:customStyle="1" w:styleId="DocumentMapChar">
    <w:name w:val="Document Map Char"/>
    <w:link w:val="DocumentMap"/>
    <w:uiPriority w:val="99"/>
    <w:semiHidden/>
    <w:locked/>
    <w:rsid w:val="00542C4B"/>
    <w:rPr>
      <w:rFonts w:ascii="Tahoma" w:hAnsi="Tahoma"/>
      <w:sz w:val="16"/>
      <w:lang w:eastAsia="en-US"/>
    </w:rPr>
  </w:style>
  <w:style w:type="paragraph" w:customStyle="1" w:styleId="ReportTitleTitlePage">
    <w:name w:val="Report Title (Title Page)"/>
    <w:basedOn w:val="Normal"/>
    <w:link w:val="ReportTitleTitlePageChar"/>
    <w:uiPriority w:val="99"/>
    <w:rsid w:val="00542C4B"/>
    <w:pPr>
      <w:jc w:val="right"/>
    </w:pPr>
    <w:rPr>
      <w:rFonts w:ascii="Gill Sans MT" w:hAnsi="Gill Sans MT"/>
      <w:b/>
      <w:bCs/>
      <w:color w:val="808080"/>
      <w:sz w:val="36"/>
      <w:szCs w:val="36"/>
      <w:lang w:val="en-US" w:eastAsia="en-US"/>
    </w:rPr>
  </w:style>
  <w:style w:type="paragraph" w:customStyle="1" w:styleId="Heading1thatdoesnotgetpickedupbyTOC">
    <w:name w:val="Heading 1 that does not get picked up by TOC"/>
    <w:basedOn w:val="Normal"/>
    <w:link w:val="Heading1thatdoesnotgetpickedupbyTOCChar"/>
    <w:uiPriority w:val="99"/>
    <w:rsid w:val="00542C4B"/>
    <w:pPr>
      <w:spacing w:line="240" w:lineRule="auto"/>
      <w:outlineLvl w:val="0"/>
    </w:pPr>
    <w:rPr>
      <w:rFonts w:ascii="Gill Sans MT" w:hAnsi="Gill Sans MT"/>
      <w:color w:val="003D79"/>
      <w:sz w:val="92"/>
      <w:szCs w:val="92"/>
      <w:lang w:val="en-US" w:eastAsia="en-US"/>
    </w:rPr>
  </w:style>
  <w:style w:type="character" w:customStyle="1" w:styleId="ReportTitleTitlePageChar">
    <w:name w:val="Report Title (Title Page) Char"/>
    <w:link w:val="ReportTitleTitlePage"/>
    <w:uiPriority w:val="99"/>
    <w:locked/>
    <w:rsid w:val="00542C4B"/>
    <w:rPr>
      <w:rFonts w:ascii="Gill Sans MT" w:hAnsi="Gill Sans MT"/>
      <w:b/>
      <w:color w:val="808080"/>
      <w:sz w:val="36"/>
      <w:lang w:eastAsia="en-US"/>
    </w:rPr>
  </w:style>
  <w:style w:type="paragraph" w:customStyle="1" w:styleId="Heading1thatdoesgetpickedupbyTOC">
    <w:name w:val="Heading 1 that does get picked up by TOC"/>
    <w:link w:val="Heading1thatdoesgetpickedupbyTOCChar"/>
    <w:uiPriority w:val="99"/>
    <w:rsid w:val="00542C4B"/>
    <w:pPr>
      <w:spacing w:after="200"/>
      <w:outlineLvl w:val="0"/>
    </w:pPr>
    <w:rPr>
      <w:rFonts w:ascii="Gill Sans MT" w:hAnsi="Gill Sans MT" w:cs="Arial"/>
      <w:color w:val="003D79"/>
      <w:sz w:val="92"/>
      <w:szCs w:val="92"/>
      <w:lang w:eastAsia="en-US"/>
    </w:rPr>
  </w:style>
  <w:style w:type="character" w:customStyle="1" w:styleId="Heading1thatdoesnotgetpickedupbyTOCChar">
    <w:name w:val="Heading 1 that does not get picked up by TOC Char"/>
    <w:link w:val="Heading1thatdoesnotgetpickedupbyTOC"/>
    <w:uiPriority w:val="99"/>
    <w:locked/>
    <w:rsid w:val="00542C4B"/>
    <w:rPr>
      <w:rFonts w:ascii="Gill Sans MT" w:hAnsi="Gill Sans MT"/>
      <w:color w:val="003D79"/>
      <w:sz w:val="92"/>
      <w:lang w:eastAsia="en-US"/>
    </w:rPr>
  </w:style>
  <w:style w:type="paragraph" w:customStyle="1" w:styleId="NonnumberedHeading2forAppendix">
    <w:name w:val="Non numbered Heading 2 for Appendix"/>
    <w:link w:val="NonnumberedHeading2forAppendixChar"/>
    <w:uiPriority w:val="99"/>
    <w:rsid w:val="00542C4B"/>
    <w:pPr>
      <w:shd w:val="clear" w:color="auto" w:fill="DDDDDD"/>
      <w:spacing w:after="200" w:line="276" w:lineRule="auto"/>
    </w:pPr>
    <w:rPr>
      <w:rFonts w:ascii="Gill Sans MT" w:hAnsi="Gill Sans MT"/>
      <w:b/>
      <w:bCs/>
      <w:color w:val="003D79"/>
      <w:sz w:val="36"/>
      <w:szCs w:val="36"/>
    </w:rPr>
  </w:style>
  <w:style w:type="character" w:customStyle="1" w:styleId="Heading1thatdoesgetpickedupbyTOCChar">
    <w:name w:val="Heading 1 that does get picked up by TOC Char"/>
    <w:link w:val="Heading1thatdoesgetpickedupbyTOC"/>
    <w:uiPriority w:val="99"/>
    <w:locked/>
    <w:rsid w:val="00542C4B"/>
    <w:rPr>
      <w:rFonts w:ascii="Gill Sans MT" w:hAnsi="Gill Sans MT"/>
      <w:color w:val="003D79"/>
      <w:sz w:val="92"/>
      <w:lang w:val="en-AU" w:eastAsia="en-US"/>
    </w:rPr>
  </w:style>
  <w:style w:type="character" w:customStyle="1" w:styleId="NonnumberedHeading2forAppendixChar">
    <w:name w:val="Non numbered Heading 2 for Appendix Char"/>
    <w:link w:val="NonnumberedHeading2forAppendix"/>
    <w:uiPriority w:val="99"/>
    <w:locked/>
    <w:rsid w:val="00542C4B"/>
    <w:rPr>
      <w:rFonts w:ascii="Gill Sans MT" w:hAnsi="Gill Sans MT"/>
      <w:b/>
      <w:color w:val="003D79"/>
      <w:sz w:val="36"/>
      <w:shd w:val="clear" w:color="auto" w:fill="DDDDDD"/>
      <w:lang w:val="en-AU" w:eastAsia="en-AU"/>
    </w:rPr>
  </w:style>
  <w:style w:type="paragraph" w:customStyle="1" w:styleId="Style14">
    <w:name w:val="Style14"/>
    <w:basedOn w:val="Normal"/>
    <w:link w:val="Style14Char"/>
    <w:uiPriority w:val="99"/>
    <w:rsid w:val="00542C4B"/>
    <w:pPr>
      <w:jc w:val="right"/>
    </w:pPr>
    <w:rPr>
      <w:rFonts w:ascii="Calibri" w:hAnsi="Calibri"/>
      <w:sz w:val="24"/>
      <w:szCs w:val="24"/>
      <w:lang w:val="en-US"/>
    </w:rPr>
  </w:style>
  <w:style w:type="character" w:customStyle="1" w:styleId="Style14Char">
    <w:name w:val="Style14 Char"/>
    <w:link w:val="Style14"/>
    <w:uiPriority w:val="99"/>
    <w:locked/>
    <w:rsid w:val="00542C4B"/>
    <w:rPr>
      <w:rFonts w:ascii="Calibri" w:eastAsia="MS Mincho" w:hAnsi="Calibri"/>
      <w:sz w:val="24"/>
    </w:rPr>
  </w:style>
  <w:style w:type="paragraph" w:customStyle="1" w:styleId="Style11">
    <w:name w:val="Style11"/>
    <w:basedOn w:val="Heading1"/>
    <w:link w:val="Style11Char"/>
    <w:uiPriority w:val="99"/>
    <w:rsid w:val="00542C4B"/>
    <w:pPr>
      <w:keepNext w:val="0"/>
      <w:keepLines w:val="0"/>
      <w:spacing w:line="276" w:lineRule="auto"/>
      <w:contextualSpacing/>
      <w:jc w:val="right"/>
    </w:pPr>
    <w:rPr>
      <w:rFonts w:ascii="Arial" w:eastAsia="MS Mincho" w:hAnsi="Arial"/>
      <w:color w:val="993300"/>
      <w:sz w:val="72"/>
      <w:szCs w:val="72"/>
    </w:rPr>
  </w:style>
  <w:style w:type="character" w:customStyle="1" w:styleId="Style11Char">
    <w:name w:val="Style11 Char"/>
    <w:link w:val="Style11"/>
    <w:uiPriority w:val="99"/>
    <w:locked/>
    <w:rsid w:val="00542C4B"/>
    <w:rPr>
      <w:rFonts w:ascii="Arial" w:eastAsia="MS Mincho" w:hAnsi="Arial"/>
      <w:b/>
      <w:color w:val="993300"/>
      <w:sz w:val="72"/>
      <w:lang w:eastAsia="en-US"/>
    </w:rPr>
  </w:style>
  <w:style w:type="paragraph" w:styleId="ListParagraph">
    <w:name w:val="List Paragraph"/>
    <w:basedOn w:val="Normal"/>
    <w:link w:val="ListParagraphChar"/>
    <w:uiPriority w:val="99"/>
    <w:qFormat/>
    <w:rsid w:val="00A24BC9"/>
    <w:pPr>
      <w:ind w:left="720"/>
      <w:contextualSpacing/>
    </w:pPr>
    <w:rPr>
      <w:szCs w:val="20"/>
      <w:lang w:val="en-US" w:eastAsia="en-US"/>
    </w:rPr>
  </w:style>
  <w:style w:type="paragraph" w:styleId="BodyText">
    <w:name w:val="Body Text"/>
    <w:basedOn w:val="Normal"/>
    <w:link w:val="BodyTextChar"/>
    <w:uiPriority w:val="99"/>
    <w:rsid w:val="00542C4B"/>
    <w:pPr>
      <w:spacing w:before="120" w:after="120" w:line="240" w:lineRule="auto"/>
      <w:jc w:val="both"/>
    </w:pPr>
    <w:rPr>
      <w:rFonts w:ascii="Times New Roman" w:hAnsi="Times New Roman"/>
      <w:szCs w:val="20"/>
      <w:lang w:val="en-US" w:eastAsia="en-US"/>
    </w:rPr>
  </w:style>
  <w:style w:type="character" w:customStyle="1" w:styleId="BodyTextChar">
    <w:name w:val="Body Text Char"/>
    <w:link w:val="BodyText"/>
    <w:uiPriority w:val="99"/>
    <w:locked/>
    <w:rsid w:val="00542C4B"/>
    <w:rPr>
      <w:rFonts w:ascii="Times New Roman" w:hAnsi="Times New Roman"/>
      <w:sz w:val="20"/>
      <w:lang w:eastAsia="en-US"/>
    </w:rPr>
  </w:style>
  <w:style w:type="paragraph" w:styleId="BodyText3">
    <w:name w:val="Body Text 3"/>
    <w:basedOn w:val="Normal"/>
    <w:link w:val="BodyText3Char"/>
    <w:uiPriority w:val="99"/>
    <w:rsid w:val="00542C4B"/>
    <w:pPr>
      <w:spacing w:after="0" w:line="240" w:lineRule="auto"/>
      <w:ind w:right="-6"/>
      <w:jc w:val="both"/>
    </w:pPr>
    <w:rPr>
      <w:rFonts w:ascii="Arial" w:hAnsi="Arial"/>
      <w:bCs/>
      <w:sz w:val="24"/>
      <w:szCs w:val="24"/>
      <w:lang w:val="en-US" w:eastAsia="en-AU"/>
    </w:rPr>
  </w:style>
  <w:style w:type="character" w:customStyle="1" w:styleId="BodyText3Char">
    <w:name w:val="Body Text 3 Char"/>
    <w:link w:val="BodyText3"/>
    <w:uiPriority w:val="99"/>
    <w:locked/>
    <w:rsid w:val="00542C4B"/>
    <w:rPr>
      <w:rFonts w:ascii="Arial" w:hAnsi="Arial"/>
      <w:sz w:val="24"/>
      <w:lang w:eastAsia="en-AU"/>
    </w:rPr>
  </w:style>
  <w:style w:type="paragraph" w:customStyle="1" w:styleId="achievement">
    <w:name w:val="achievement"/>
    <w:basedOn w:val="Normal"/>
    <w:uiPriority w:val="99"/>
    <w:rsid w:val="00542C4B"/>
    <w:pPr>
      <w:spacing w:after="60" w:line="240" w:lineRule="atLeast"/>
      <w:jc w:val="both"/>
    </w:pPr>
    <w:rPr>
      <w:sz w:val="22"/>
    </w:rPr>
  </w:style>
  <w:style w:type="paragraph" w:customStyle="1" w:styleId="BodyText1">
    <w:name w:val="Body Text 1"/>
    <w:basedOn w:val="Normal"/>
    <w:uiPriority w:val="99"/>
    <w:rsid w:val="00542C4B"/>
    <w:pPr>
      <w:tabs>
        <w:tab w:val="left" w:pos="2160"/>
        <w:tab w:val="right" w:pos="6480"/>
      </w:tabs>
      <w:spacing w:before="240" w:after="40" w:line="220" w:lineRule="atLeast"/>
    </w:pPr>
    <w:rPr>
      <w:rFonts w:ascii="Times New Roman" w:hAnsi="Times New Roman"/>
      <w:sz w:val="22"/>
      <w:szCs w:val="20"/>
      <w:lang w:val="en-US"/>
    </w:rPr>
  </w:style>
  <w:style w:type="paragraph" w:customStyle="1" w:styleId="BulletedList">
    <w:name w:val="Bulleted List"/>
    <w:next w:val="Normal"/>
    <w:uiPriority w:val="99"/>
    <w:rsid w:val="00542C4B"/>
    <w:rPr>
      <w:rFonts w:ascii="Times New Roman" w:hAnsi="Times New Roman"/>
      <w:spacing w:val="-5"/>
      <w:lang w:val="en-US" w:eastAsia="en-US"/>
    </w:rPr>
  </w:style>
  <w:style w:type="paragraph" w:customStyle="1" w:styleId="Style12">
    <w:name w:val="Style12"/>
    <w:basedOn w:val="Heading1"/>
    <w:link w:val="Style12Char"/>
    <w:uiPriority w:val="99"/>
    <w:rsid w:val="00542C4B"/>
    <w:pPr>
      <w:keepNext w:val="0"/>
      <w:keepLines w:val="0"/>
      <w:spacing w:line="140" w:lineRule="atLeast"/>
      <w:contextualSpacing/>
      <w:jc w:val="center"/>
    </w:pPr>
    <w:rPr>
      <w:rFonts w:ascii="Tahoma" w:eastAsia="MS Mincho" w:hAnsi="Tahoma"/>
      <w:sz w:val="36"/>
      <w:szCs w:val="36"/>
      <w:lang w:val="en-GB"/>
    </w:rPr>
  </w:style>
  <w:style w:type="character" w:customStyle="1" w:styleId="Style12Char">
    <w:name w:val="Style12 Char"/>
    <w:link w:val="Style12"/>
    <w:uiPriority w:val="99"/>
    <w:locked/>
    <w:rsid w:val="00542C4B"/>
    <w:rPr>
      <w:rFonts w:ascii="Tahoma" w:eastAsia="MS Mincho" w:hAnsi="Tahoma"/>
      <w:b/>
      <w:color w:val="003D79"/>
      <w:sz w:val="36"/>
      <w:lang w:val="en-GB" w:eastAsia="en-US"/>
    </w:rPr>
  </w:style>
  <w:style w:type="paragraph" w:customStyle="1" w:styleId="Style13">
    <w:name w:val="Style13"/>
    <w:basedOn w:val="Heading1"/>
    <w:link w:val="Style13Char"/>
    <w:uiPriority w:val="99"/>
    <w:rsid w:val="00542C4B"/>
    <w:pPr>
      <w:keepNext w:val="0"/>
      <w:keepLines w:val="0"/>
      <w:spacing w:line="140" w:lineRule="atLeast"/>
      <w:contextualSpacing/>
    </w:pPr>
    <w:rPr>
      <w:rFonts w:ascii="Tahoma" w:eastAsia="MS Mincho" w:hAnsi="Tahoma"/>
      <w:sz w:val="24"/>
      <w:szCs w:val="24"/>
      <w:lang w:val="en-GB"/>
    </w:rPr>
  </w:style>
  <w:style w:type="character" w:customStyle="1" w:styleId="Style13Char">
    <w:name w:val="Style13 Char"/>
    <w:link w:val="Style13"/>
    <w:uiPriority w:val="99"/>
    <w:locked/>
    <w:rsid w:val="00542C4B"/>
    <w:rPr>
      <w:rFonts w:ascii="Tahoma" w:eastAsia="MS Mincho" w:hAnsi="Tahoma"/>
      <w:b/>
      <w:color w:val="003D79"/>
      <w:sz w:val="24"/>
      <w:lang w:val="en-GB" w:eastAsia="en-US"/>
    </w:rPr>
  </w:style>
  <w:style w:type="paragraph" w:styleId="Caption">
    <w:name w:val="caption"/>
    <w:basedOn w:val="Normal"/>
    <w:next w:val="Normal"/>
    <w:uiPriority w:val="99"/>
    <w:qFormat/>
    <w:rsid w:val="00542C4B"/>
    <w:pPr>
      <w:spacing w:line="240" w:lineRule="auto"/>
    </w:pPr>
    <w:rPr>
      <w:rFonts w:ascii="Arial" w:hAnsi="Arial"/>
      <w:b/>
      <w:bCs/>
      <w:color w:val="993300"/>
      <w:sz w:val="22"/>
      <w:szCs w:val="18"/>
    </w:rPr>
  </w:style>
  <w:style w:type="character" w:styleId="IntenseEmphasis">
    <w:name w:val="Intense Emphasis"/>
    <w:uiPriority w:val="99"/>
    <w:qFormat/>
    <w:rsid w:val="00542C4B"/>
    <w:rPr>
      <w:b/>
      <w:i/>
      <w:color w:val="4F81BD"/>
    </w:rPr>
  </w:style>
  <w:style w:type="table" w:customStyle="1" w:styleId="LightList-Accent12">
    <w:name w:val="Light List - Accent 12"/>
    <w:uiPriority w:val="99"/>
    <w:rsid w:val="00542C4B"/>
    <w:rPr>
      <w:rFonts w:ascii="Calibri" w:hAnsi="Calibri"/>
      <w:lang w:val="en-US"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
    <w:name w:val="Light List - Accent 13"/>
    <w:uiPriority w:val="99"/>
    <w:rsid w:val="00542C4B"/>
    <w:pPr>
      <w:ind w:left="1077" w:hanging="357"/>
    </w:pPr>
    <w:rPr>
      <w:rFonts w:ascii="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hangindent1">
    <w:name w:val="hang indent 1"/>
    <w:basedOn w:val="Normal"/>
    <w:link w:val="hangindent1Char"/>
    <w:uiPriority w:val="99"/>
    <w:rsid w:val="00542C4B"/>
    <w:pPr>
      <w:spacing w:after="0" w:line="240" w:lineRule="auto"/>
      <w:ind w:left="567" w:hanging="567"/>
      <w:jc w:val="both"/>
    </w:pPr>
    <w:rPr>
      <w:rFonts w:ascii="Times New Roman" w:hAnsi="Times New Roman"/>
      <w:color w:val="000000"/>
      <w:szCs w:val="20"/>
      <w:lang w:val="en-US" w:eastAsia="en-US"/>
    </w:rPr>
  </w:style>
  <w:style w:type="character" w:customStyle="1" w:styleId="hangindent1Char">
    <w:name w:val="hang indent 1 Char"/>
    <w:link w:val="hangindent1"/>
    <w:uiPriority w:val="99"/>
    <w:locked/>
    <w:rsid w:val="00542C4B"/>
    <w:rPr>
      <w:rFonts w:ascii="Times New Roman" w:hAnsi="Times New Roman"/>
      <w:color w:val="000000"/>
      <w:sz w:val="20"/>
      <w:lang w:eastAsia="en-US"/>
    </w:rPr>
  </w:style>
  <w:style w:type="table" w:customStyle="1" w:styleId="LightList-Accent11">
    <w:name w:val="Light List - Accent 11"/>
    <w:uiPriority w:val="99"/>
    <w:rsid w:val="00542C4B"/>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
    <w:name w:val="Light List - Accent 14"/>
    <w:uiPriority w:val="99"/>
    <w:rsid w:val="00542C4B"/>
    <w:rPr>
      <w:rFonts w:ascii="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tobeused">
    <w:name w:val="Table to be used"/>
    <w:uiPriority w:val="99"/>
    <w:rsid w:val="00542C4B"/>
    <w:rPr>
      <w:rFonts w:ascii="Calibri" w:hAnsi="Calibri"/>
      <w:lang w:val="en-US"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otnoteReference">
    <w:name w:val="footnote reference"/>
    <w:uiPriority w:val="99"/>
    <w:rsid w:val="00542C4B"/>
    <w:rPr>
      <w:rFonts w:cs="Times New Roman"/>
      <w:vertAlign w:val="superscript"/>
    </w:rPr>
  </w:style>
  <w:style w:type="paragraph" w:customStyle="1" w:styleId="Bulletlevel1">
    <w:name w:val="Bullet level 1"/>
    <w:basedOn w:val="Normal"/>
    <w:uiPriority w:val="99"/>
    <w:rsid w:val="00542C4B"/>
    <w:pPr>
      <w:numPr>
        <w:numId w:val="1"/>
      </w:numPr>
      <w:spacing w:after="0" w:line="240" w:lineRule="auto"/>
      <w:ind w:left="357" w:hanging="357"/>
      <w:jc w:val="both"/>
    </w:pPr>
    <w:rPr>
      <w:rFonts w:ascii="Times New Roman" w:hAnsi="Times New Roman"/>
      <w:szCs w:val="24"/>
    </w:rPr>
  </w:style>
  <w:style w:type="paragraph" w:customStyle="1" w:styleId="NormalPoint">
    <w:name w:val="NormalPoint"/>
    <w:basedOn w:val="Normal"/>
    <w:uiPriority w:val="99"/>
    <w:rsid w:val="00542C4B"/>
    <w:pPr>
      <w:tabs>
        <w:tab w:val="num" w:pos="360"/>
      </w:tabs>
      <w:spacing w:after="0" w:line="240" w:lineRule="auto"/>
      <w:ind w:left="360" w:hanging="360"/>
    </w:pPr>
    <w:rPr>
      <w:rFonts w:ascii="Times New Roman" w:hAnsi="Times New Roman"/>
      <w:szCs w:val="20"/>
    </w:rPr>
  </w:style>
  <w:style w:type="paragraph" w:customStyle="1" w:styleId="bulletpoint">
    <w:name w:val="bullet point"/>
    <w:basedOn w:val="Normal"/>
    <w:uiPriority w:val="99"/>
    <w:rsid w:val="00542C4B"/>
    <w:pPr>
      <w:numPr>
        <w:numId w:val="2"/>
      </w:numPr>
      <w:spacing w:after="0" w:line="240" w:lineRule="auto"/>
      <w:ind w:left="714" w:hanging="357"/>
      <w:jc w:val="both"/>
    </w:pPr>
    <w:rPr>
      <w:rFonts w:ascii="Times New Roman" w:hAnsi="Times New Roman"/>
      <w:szCs w:val="24"/>
    </w:rPr>
  </w:style>
  <w:style w:type="paragraph" w:customStyle="1" w:styleId="table0">
    <w:name w:val="table"/>
    <w:basedOn w:val="Normal"/>
    <w:uiPriority w:val="99"/>
    <w:rsid w:val="00542C4B"/>
    <w:pPr>
      <w:spacing w:before="60" w:after="60" w:line="240" w:lineRule="auto"/>
    </w:pPr>
    <w:rPr>
      <w:rFonts w:ascii="Arial" w:hAnsi="Arial"/>
      <w:sz w:val="18"/>
      <w:szCs w:val="20"/>
      <w:lang w:eastAsia="en-AU"/>
    </w:rPr>
  </w:style>
  <w:style w:type="table" w:styleId="TableGrid">
    <w:name w:val="Table Grid"/>
    <w:basedOn w:val="TableNormal"/>
    <w:uiPriority w:val="99"/>
    <w:rsid w:val="00542C4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geheading">
    <w:name w:val="Stage heading"/>
    <w:basedOn w:val="Heading4"/>
    <w:link w:val="StageheadingChar"/>
    <w:uiPriority w:val="99"/>
    <w:rsid w:val="008A10F3"/>
    <w:pPr>
      <w:spacing w:after="240"/>
    </w:pPr>
    <w:rPr>
      <w:rFonts w:ascii="Calibri" w:hAnsi="Calibri"/>
      <w:i w:val="0"/>
      <w:color w:val="003D79"/>
      <w:sz w:val="40"/>
      <w:lang w:eastAsia="ja-JP"/>
    </w:rPr>
  </w:style>
  <w:style w:type="character" w:customStyle="1" w:styleId="StageheadingChar">
    <w:name w:val="Stage heading Char"/>
    <w:link w:val="Stageheading"/>
    <w:uiPriority w:val="99"/>
    <w:locked/>
    <w:rsid w:val="008A10F3"/>
    <w:rPr>
      <w:rFonts w:ascii="Calibri" w:eastAsia="MS Gothic" w:hAnsi="Calibri"/>
      <w:b/>
      <w:color w:val="003D79"/>
      <w:sz w:val="40"/>
    </w:rPr>
  </w:style>
  <w:style w:type="table" w:customStyle="1" w:styleId="MediumShading1-Accent11">
    <w:name w:val="Medium Shading 1 - Accent 11"/>
    <w:uiPriority w:val="99"/>
    <w:rsid w:val="00542C4B"/>
    <w:pPr>
      <w:ind w:left="1077" w:hanging="357"/>
    </w:pPr>
    <w:rPr>
      <w:rFonts w:ascii="Calibri" w:hAnsi="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CommentReference">
    <w:name w:val="annotation reference"/>
    <w:uiPriority w:val="99"/>
    <w:semiHidden/>
    <w:rsid w:val="00542C4B"/>
    <w:rPr>
      <w:rFonts w:cs="Times New Roman"/>
      <w:sz w:val="16"/>
    </w:rPr>
  </w:style>
  <w:style w:type="paragraph" w:styleId="CommentText">
    <w:name w:val="annotation text"/>
    <w:basedOn w:val="Normal"/>
    <w:link w:val="CommentTextChar"/>
    <w:uiPriority w:val="99"/>
    <w:semiHidden/>
    <w:rsid w:val="00542C4B"/>
    <w:rPr>
      <w:rFonts w:ascii="Garamond" w:hAnsi="Garamond"/>
      <w:szCs w:val="20"/>
      <w:lang w:val="en-US" w:eastAsia="en-US"/>
    </w:rPr>
  </w:style>
  <w:style w:type="character" w:customStyle="1" w:styleId="CommentTextChar">
    <w:name w:val="Comment Text Char"/>
    <w:link w:val="CommentText"/>
    <w:uiPriority w:val="99"/>
    <w:semiHidden/>
    <w:locked/>
    <w:rsid w:val="00542C4B"/>
    <w:rPr>
      <w:rFonts w:ascii="Garamond" w:hAnsi="Garamond"/>
      <w:sz w:val="20"/>
      <w:lang w:eastAsia="en-US"/>
    </w:rPr>
  </w:style>
  <w:style w:type="paragraph" w:styleId="CommentSubject">
    <w:name w:val="annotation subject"/>
    <w:basedOn w:val="CommentText"/>
    <w:next w:val="CommentText"/>
    <w:link w:val="CommentSubjectChar"/>
    <w:uiPriority w:val="99"/>
    <w:semiHidden/>
    <w:rsid w:val="00542C4B"/>
    <w:rPr>
      <w:b/>
      <w:bCs/>
    </w:rPr>
  </w:style>
  <w:style w:type="character" w:customStyle="1" w:styleId="CommentSubjectChar">
    <w:name w:val="Comment Subject Char"/>
    <w:link w:val="CommentSubject"/>
    <w:uiPriority w:val="99"/>
    <w:semiHidden/>
    <w:locked/>
    <w:rsid w:val="00542C4B"/>
    <w:rPr>
      <w:rFonts w:ascii="Garamond" w:hAnsi="Garamond"/>
      <w:b/>
      <w:sz w:val="20"/>
      <w:lang w:eastAsia="en-US"/>
    </w:rPr>
  </w:style>
  <w:style w:type="character" w:customStyle="1" w:styleId="ListParagraphChar">
    <w:name w:val="List Paragraph Char"/>
    <w:link w:val="ListParagraph"/>
    <w:uiPriority w:val="99"/>
    <w:locked/>
    <w:rsid w:val="00A24BC9"/>
    <w:rPr>
      <w:lang w:val="en-US" w:eastAsia="en-US"/>
    </w:rPr>
  </w:style>
  <w:style w:type="paragraph" w:customStyle="1" w:styleId="MELegal3">
    <w:name w:val="ME Legal 3"/>
    <w:aliases w:val="l3"/>
    <w:basedOn w:val="Normal"/>
    <w:link w:val="MELegal3Char"/>
    <w:uiPriority w:val="99"/>
    <w:rsid w:val="00E67366"/>
    <w:pPr>
      <w:spacing w:after="140" w:line="280" w:lineRule="atLeast"/>
      <w:outlineLvl w:val="2"/>
    </w:pPr>
    <w:rPr>
      <w:rFonts w:ascii="Times New Roman" w:hAnsi="Times New Roman"/>
      <w:szCs w:val="20"/>
      <w:lang w:val="en-US" w:eastAsia="zh-CN"/>
    </w:rPr>
  </w:style>
  <w:style w:type="character" w:customStyle="1" w:styleId="MELegal3Char">
    <w:name w:val="ME Legal 3 Char"/>
    <w:link w:val="MELegal3"/>
    <w:uiPriority w:val="99"/>
    <w:locked/>
    <w:rsid w:val="00E67366"/>
    <w:rPr>
      <w:rFonts w:ascii="Times New Roman" w:hAnsi="Times New Roman"/>
      <w:lang w:eastAsia="zh-CN"/>
    </w:rPr>
  </w:style>
  <w:style w:type="paragraph" w:styleId="Revision">
    <w:name w:val="Revision"/>
    <w:hidden/>
    <w:uiPriority w:val="99"/>
    <w:semiHidden/>
    <w:rsid w:val="00552913"/>
    <w:rPr>
      <w:rFonts w:ascii="Garamond" w:hAnsi="Garamond"/>
      <w:sz w:val="24"/>
      <w:szCs w:val="22"/>
      <w:lang w:eastAsia="en-US"/>
    </w:rPr>
  </w:style>
  <w:style w:type="paragraph" w:customStyle="1" w:styleId="MELegal1">
    <w:name w:val="ME Legal 1"/>
    <w:aliases w:val="l1"/>
    <w:basedOn w:val="Normal"/>
    <w:next w:val="Normal"/>
    <w:uiPriority w:val="99"/>
    <w:rsid w:val="002D7158"/>
    <w:pPr>
      <w:keepNext/>
      <w:numPr>
        <w:numId w:val="3"/>
      </w:numPr>
      <w:spacing w:before="280" w:after="140" w:line="280" w:lineRule="atLeast"/>
      <w:outlineLvl w:val="0"/>
    </w:pPr>
    <w:rPr>
      <w:rFonts w:ascii="Arial" w:hAnsi="Arial" w:cs="Angsana New"/>
      <w:spacing w:val="-10"/>
      <w:w w:val="95"/>
      <w:sz w:val="32"/>
      <w:szCs w:val="32"/>
      <w:lang w:eastAsia="zh-CN" w:bidi="th-TH"/>
    </w:rPr>
  </w:style>
  <w:style w:type="paragraph" w:customStyle="1" w:styleId="MELegal4">
    <w:name w:val="ME Legal 4"/>
    <w:aliases w:val="l4"/>
    <w:basedOn w:val="Normal"/>
    <w:uiPriority w:val="99"/>
    <w:rsid w:val="002D7158"/>
    <w:pPr>
      <w:numPr>
        <w:ilvl w:val="3"/>
        <w:numId w:val="3"/>
      </w:numPr>
      <w:spacing w:after="140" w:line="280" w:lineRule="atLeast"/>
      <w:outlineLvl w:val="3"/>
    </w:pPr>
    <w:rPr>
      <w:rFonts w:ascii="Times New Roman" w:hAnsi="Times New Roman" w:cs="Angsana New"/>
      <w:sz w:val="22"/>
      <w:lang w:eastAsia="zh-CN" w:bidi="th-TH"/>
    </w:rPr>
  </w:style>
  <w:style w:type="paragraph" w:customStyle="1" w:styleId="MELegal5">
    <w:name w:val="ME Legal 5"/>
    <w:aliases w:val="l5"/>
    <w:basedOn w:val="Normal"/>
    <w:uiPriority w:val="99"/>
    <w:rsid w:val="002D7158"/>
    <w:pPr>
      <w:numPr>
        <w:ilvl w:val="4"/>
        <w:numId w:val="3"/>
      </w:numPr>
      <w:spacing w:after="140" w:line="280" w:lineRule="atLeast"/>
      <w:outlineLvl w:val="4"/>
    </w:pPr>
    <w:rPr>
      <w:rFonts w:ascii="Times New Roman" w:hAnsi="Times New Roman" w:cs="Angsana New"/>
      <w:sz w:val="22"/>
      <w:lang w:eastAsia="zh-CN" w:bidi="th-TH"/>
    </w:rPr>
  </w:style>
  <w:style w:type="paragraph" w:customStyle="1" w:styleId="MELegal6">
    <w:name w:val="ME Legal 6"/>
    <w:basedOn w:val="Normal"/>
    <w:uiPriority w:val="99"/>
    <w:rsid w:val="002D7158"/>
    <w:pPr>
      <w:numPr>
        <w:ilvl w:val="5"/>
        <w:numId w:val="3"/>
      </w:numPr>
      <w:spacing w:after="140" w:line="280" w:lineRule="atLeast"/>
      <w:outlineLvl w:val="5"/>
    </w:pPr>
    <w:rPr>
      <w:rFonts w:ascii="Times New Roman" w:hAnsi="Times New Roman" w:cs="Angsana New"/>
      <w:sz w:val="22"/>
      <w:lang w:eastAsia="zh-CN" w:bidi="th-TH"/>
    </w:rPr>
  </w:style>
  <w:style w:type="character" w:customStyle="1" w:styleId="BodyChar">
    <w:name w:val="Body Char"/>
    <w:link w:val="Body"/>
    <w:uiPriority w:val="99"/>
    <w:locked/>
    <w:rsid w:val="002D7158"/>
    <w:rPr>
      <w:rFonts w:ascii="Times New Roman" w:hAnsi="Times New Roman"/>
      <w:b/>
      <w:sz w:val="20"/>
      <w:lang w:val="en-US"/>
    </w:rPr>
  </w:style>
  <w:style w:type="paragraph" w:customStyle="1" w:styleId="Body">
    <w:name w:val="Body"/>
    <w:basedOn w:val="Normal"/>
    <w:link w:val="BodyChar"/>
    <w:uiPriority w:val="99"/>
    <w:rsid w:val="002D7158"/>
    <w:pPr>
      <w:overflowPunct w:val="0"/>
      <w:autoSpaceDE w:val="0"/>
      <w:autoSpaceDN w:val="0"/>
      <w:adjustRightInd w:val="0"/>
      <w:spacing w:after="240" w:line="240" w:lineRule="auto"/>
    </w:pPr>
    <w:rPr>
      <w:rFonts w:ascii="Times New Roman" w:hAnsi="Times New Roman"/>
      <w:b/>
      <w:szCs w:val="20"/>
      <w:lang w:val="en-US"/>
    </w:rPr>
  </w:style>
  <w:style w:type="character" w:customStyle="1" w:styleId="FootnoteTextChar1">
    <w:name w:val="Footnote Text Char1"/>
    <w:uiPriority w:val="99"/>
    <w:semiHidden/>
    <w:locked/>
    <w:rsid w:val="002D7158"/>
    <w:rPr>
      <w:rFonts w:ascii="Century Gothic" w:hAnsi="Century Gothic"/>
      <w:sz w:val="20"/>
      <w:lang w:eastAsia="en-AU"/>
    </w:rPr>
  </w:style>
  <w:style w:type="paragraph" w:customStyle="1" w:styleId="Default">
    <w:name w:val="Default"/>
    <w:link w:val="DefaultChar"/>
    <w:uiPriority w:val="99"/>
    <w:rsid w:val="00787A82"/>
    <w:pPr>
      <w:autoSpaceDE w:val="0"/>
      <w:autoSpaceDN w:val="0"/>
      <w:adjustRightInd w:val="0"/>
    </w:pPr>
    <w:rPr>
      <w:rFonts w:ascii="Times New Roman" w:hAnsi="Times New Roman"/>
      <w:color w:val="000000"/>
      <w:sz w:val="24"/>
      <w:lang w:val="en-US" w:eastAsia="en-US"/>
    </w:rPr>
  </w:style>
  <w:style w:type="character" w:customStyle="1" w:styleId="DefaultChar">
    <w:name w:val="Default Char"/>
    <w:link w:val="Default"/>
    <w:uiPriority w:val="99"/>
    <w:locked/>
    <w:rsid w:val="00787A82"/>
    <w:rPr>
      <w:rFonts w:ascii="Times New Roman" w:hAnsi="Times New Roman"/>
      <w:color w:val="000000"/>
      <w:sz w:val="24"/>
      <w:lang w:val="en-US"/>
    </w:rPr>
  </w:style>
  <w:style w:type="paragraph" w:styleId="TOC4">
    <w:name w:val="toc 4"/>
    <w:basedOn w:val="Normal"/>
    <w:next w:val="Normal"/>
    <w:autoRedefine/>
    <w:uiPriority w:val="99"/>
    <w:rsid w:val="00BC2487"/>
    <w:pPr>
      <w:spacing w:after="100"/>
      <w:ind w:left="600"/>
    </w:pPr>
  </w:style>
  <w:style w:type="paragraph" w:styleId="NormalWeb">
    <w:name w:val="Normal (Web)"/>
    <w:basedOn w:val="Normal"/>
    <w:uiPriority w:val="99"/>
    <w:semiHidden/>
    <w:rsid w:val="0087051E"/>
    <w:pPr>
      <w:spacing w:before="100" w:beforeAutospacing="1" w:after="100" w:afterAutospacing="1" w:line="240" w:lineRule="auto"/>
    </w:pPr>
    <w:rPr>
      <w:rFonts w:ascii="Times New Roman" w:hAnsi="Times New Roman"/>
      <w:sz w:val="24"/>
      <w:szCs w:val="24"/>
      <w:lang w:eastAsia="en-AU"/>
    </w:rPr>
  </w:style>
  <w:style w:type="character" w:styleId="FollowedHyperlink">
    <w:name w:val="FollowedHyperlink"/>
    <w:uiPriority w:val="99"/>
    <w:semiHidden/>
    <w:rsid w:val="00CB18AA"/>
    <w:rPr>
      <w:rFonts w:cs="Times New Roman"/>
      <w:color w:val="800080"/>
      <w:u w:val="single"/>
    </w:rPr>
  </w:style>
  <w:style w:type="paragraph" w:customStyle="1" w:styleId="xl63">
    <w:name w:val="xl63"/>
    <w:basedOn w:val="Normal"/>
    <w:uiPriority w:val="99"/>
    <w:rsid w:val="00CB18AA"/>
    <w:pPr>
      <w:spacing w:before="100" w:beforeAutospacing="1" w:after="100" w:afterAutospacing="1" w:line="240" w:lineRule="auto"/>
      <w:textAlignment w:val="top"/>
    </w:pPr>
    <w:rPr>
      <w:rFonts w:ascii="Times New Roman" w:hAnsi="Times New Roman"/>
      <w:szCs w:val="20"/>
      <w:lang w:eastAsia="en-AU"/>
    </w:rPr>
  </w:style>
  <w:style w:type="paragraph" w:customStyle="1" w:styleId="xl64">
    <w:name w:val="xl64"/>
    <w:basedOn w:val="Normal"/>
    <w:uiPriority w:val="99"/>
    <w:rsid w:val="00CB18AA"/>
    <w:pPr>
      <w:spacing w:before="100" w:beforeAutospacing="1" w:after="100" w:afterAutospacing="1" w:line="240" w:lineRule="auto"/>
      <w:textAlignment w:val="top"/>
    </w:pPr>
    <w:rPr>
      <w:rFonts w:ascii="Times New Roman" w:hAnsi="Times New Roman"/>
      <w:szCs w:val="20"/>
      <w:lang w:eastAsia="en-AU"/>
    </w:rPr>
  </w:style>
  <w:style w:type="paragraph" w:customStyle="1" w:styleId="xl65">
    <w:name w:val="xl65"/>
    <w:basedOn w:val="Normal"/>
    <w:uiPriority w:val="99"/>
    <w:rsid w:val="00CB18AA"/>
    <w:pPr>
      <w:shd w:val="clear" w:color="000000" w:fill="366092"/>
      <w:spacing w:before="100" w:beforeAutospacing="1" w:after="100" w:afterAutospacing="1" w:line="240" w:lineRule="auto"/>
      <w:jc w:val="center"/>
      <w:textAlignment w:val="center"/>
    </w:pPr>
    <w:rPr>
      <w:rFonts w:ascii="Times New Roman" w:hAnsi="Times New Roman"/>
      <w:color w:val="FFFFFF"/>
      <w:szCs w:val="20"/>
      <w:lang w:eastAsia="en-AU"/>
    </w:rPr>
  </w:style>
  <w:style w:type="paragraph" w:customStyle="1" w:styleId="xl66">
    <w:name w:val="xl66"/>
    <w:basedOn w:val="Normal"/>
    <w:uiPriority w:val="99"/>
    <w:rsid w:val="00CB18AA"/>
    <w:pPr>
      <w:spacing w:before="100" w:beforeAutospacing="1" w:after="100" w:afterAutospacing="1" w:line="240" w:lineRule="auto"/>
    </w:pPr>
    <w:rPr>
      <w:rFonts w:ascii="Times New Roman" w:hAnsi="Times New Roman"/>
      <w:sz w:val="18"/>
      <w:szCs w:val="18"/>
      <w:lang w:eastAsia="en-AU"/>
    </w:rPr>
  </w:style>
  <w:style w:type="paragraph" w:customStyle="1" w:styleId="xl67">
    <w:name w:val="xl67"/>
    <w:basedOn w:val="Normal"/>
    <w:uiPriority w:val="99"/>
    <w:rsid w:val="00CB18AA"/>
    <w:pPr>
      <w:spacing w:before="100" w:beforeAutospacing="1" w:after="100" w:afterAutospacing="1" w:line="240" w:lineRule="auto"/>
    </w:pPr>
    <w:rPr>
      <w:rFonts w:ascii="Times New Roman" w:hAnsi="Times New Roman"/>
      <w:sz w:val="18"/>
      <w:szCs w:val="18"/>
      <w:lang w:eastAsia="en-AU"/>
    </w:rPr>
  </w:style>
  <w:style w:type="paragraph" w:customStyle="1" w:styleId="Heading1withoutnumbering">
    <w:name w:val="Heading 1 without numbering"/>
    <w:basedOn w:val="Heading1"/>
    <w:link w:val="Heading1withoutnumberingChar"/>
    <w:uiPriority w:val="99"/>
    <w:rsid w:val="007421AC"/>
    <w:rPr>
      <w:sz w:val="28"/>
      <w:szCs w:val="28"/>
    </w:rPr>
  </w:style>
  <w:style w:type="character" w:customStyle="1" w:styleId="Heading1withoutnumberingChar">
    <w:name w:val="Heading 1 without numbering Char"/>
    <w:link w:val="Heading1withoutnumbering"/>
    <w:uiPriority w:val="99"/>
    <w:locked/>
    <w:rsid w:val="007421AC"/>
    <w:rPr>
      <w:rFonts w:ascii="Gill Sans MT" w:eastAsia="MS Gothic" w:hAnsi="Gill Sans MT"/>
      <w:b/>
      <w:color w:val="003D79"/>
      <w:sz w:val="28"/>
      <w:lang w:eastAsia="en-US"/>
    </w:rPr>
  </w:style>
  <w:style w:type="paragraph" w:customStyle="1" w:styleId="Appendix">
    <w:name w:val="Appendix"/>
    <w:basedOn w:val="Heading1thatdoesgetpickedupbyTOC"/>
    <w:link w:val="AppendixChar"/>
    <w:uiPriority w:val="99"/>
    <w:rsid w:val="00E21509"/>
  </w:style>
  <w:style w:type="character" w:customStyle="1" w:styleId="AppendixChar">
    <w:name w:val="Appendix Char"/>
    <w:link w:val="Appendix"/>
    <w:uiPriority w:val="99"/>
    <w:locked/>
    <w:rsid w:val="00E21509"/>
    <w:rPr>
      <w:rFonts w:ascii="Gill Sans MT" w:hAnsi="Gill Sans MT"/>
      <w:color w:val="003D79"/>
      <w:sz w:val="92"/>
      <w:lang w:val="en-AU" w:eastAsia="en-US"/>
    </w:rPr>
  </w:style>
  <w:style w:type="paragraph" w:styleId="Subtitle">
    <w:name w:val="Subtitle"/>
    <w:basedOn w:val="Normal"/>
    <w:next w:val="Normal"/>
    <w:link w:val="SubtitleChar"/>
    <w:uiPriority w:val="99"/>
    <w:qFormat/>
    <w:rsid w:val="00A93387"/>
    <w:pPr>
      <w:numPr>
        <w:ilvl w:val="1"/>
      </w:numPr>
    </w:pPr>
    <w:rPr>
      <w:rFonts w:ascii="Cambria" w:eastAsia="MS Gothic" w:hAnsi="Cambria"/>
      <w:i/>
      <w:iCs/>
      <w:color w:val="4F81BD"/>
      <w:spacing w:val="15"/>
      <w:sz w:val="24"/>
      <w:szCs w:val="24"/>
      <w:lang w:val="en-US" w:eastAsia="en-US"/>
    </w:rPr>
  </w:style>
  <w:style w:type="character" w:customStyle="1" w:styleId="SubtitleChar">
    <w:name w:val="Subtitle Char"/>
    <w:link w:val="Subtitle"/>
    <w:uiPriority w:val="99"/>
    <w:locked/>
    <w:rsid w:val="00A93387"/>
    <w:rPr>
      <w:rFonts w:ascii="Cambria" w:eastAsia="MS Gothic" w:hAnsi="Cambria"/>
      <w:i/>
      <w:color w:val="4F81BD"/>
      <w:spacing w:val="15"/>
      <w:sz w:val="24"/>
      <w:lang w:eastAsia="en-US"/>
    </w:rPr>
  </w:style>
  <w:style w:type="paragraph" w:styleId="EndnoteText">
    <w:name w:val="endnote text"/>
    <w:basedOn w:val="Normal"/>
    <w:link w:val="EndnoteTextChar"/>
    <w:uiPriority w:val="99"/>
    <w:semiHidden/>
    <w:rsid w:val="00415B75"/>
    <w:rPr>
      <w:szCs w:val="20"/>
    </w:rPr>
  </w:style>
  <w:style w:type="character" w:customStyle="1" w:styleId="EndnoteTextChar">
    <w:name w:val="Endnote Text Char"/>
    <w:link w:val="EndnoteText"/>
    <w:uiPriority w:val="99"/>
    <w:semiHidden/>
    <w:locked/>
    <w:rsid w:val="00415B75"/>
    <w:rPr>
      <w:rFonts w:cs="Times New Roman"/>
      <w:lang w:eastAsia="ja-JP"/>
    </w:rPr>
  </w:style>
  <w:style w:type="character" w:styleId="EndnoteReference">
    <w:name w:val="endnote reference"/>
    <w:uiPriority w:val="99"/>
    <w:semiHidden/>
    <w:rsid w:val="00415B75"/>
    <w:rPr>
      <w:rFonts w:cs="Times New Roman"/>
      <w:vertAlign w:val="superscript"/>
    </w:rPr>
  </w:style>
  <w:style w:type="paragraph" w:customStyle="1" w:styleId="EndNoteBibliographyTitle">
    <w:name w:val="EndNote Bibliography Title"/>
    <w:basedOn w:val="Normal"/>
    <w:link w:val="EndNoteBibliographyTitleChar"/>
    <w:rsid w:val="00290091"/>
    <w:pPr>
      <w:spacing w:after="0"/>
      <w:jc w:val="center"/>
    </w:pPr>
    <w:rPr>
      <w:rFonts w:ascii="Garamond" w:hAnsi="Garamond"/>
      <w:noProof/>
      <w:sz w:val="24"/>
    </w:rPr>
  </w:style>
  <w:style w:type="character" w:customStyle="1" w:styleId="TableChar">
    <w:name w:val="Table Char"/>
    <w:basedOn w:val="DefaultParagraphFont"/>
    <w:link w:val="Table"/>
    <w:uiPriority w:val="99"/>
    <w:rsid w:val="00290091"/>
    <w:rPr>
      <w:rFonts w:ascii="Arial" w:hAnsi="Arial"/>
      <w:sz w:val="18"/>
      <w:lang w:eastAsia="ja-JP"/>
    </w:rPr>
  </w:style>
  <w:style w:type="character" w:customStyle="1" w:styleId="EndNoteBibliographyTitleChar">
    <w:name w:val="EndNote Bibliography Title Char"/>
    <w:basedOn w:val="TableChar"/>
    <w:link w:val="EndNoteBibliographyTitle"/>
    <w:rsid w:val="00290091"/>
    <w:rPr>
      <w:rFonts w:ascii="Garamond" w:hAnsi="Garamond"/>
      <w:noProof/>
      <w:sz w:val="24"/>
      <w:szCs w:val="22"/>
      <w:lang w:eastAsia="ja-JP"/>
    </w:rPr>
  </w:style>
  <w:style w:type="paragraph" w:customStyle="1" w:styleId="EndNoteBibliography">
    <w:name w:val="EndNote Bibliography"/>
    <w:basedOn w:val="Normal"/>
    <w:link w:val="EndNoteBibliographyChar"/>
    <w:rsid w:val="00290091"/>
    <w:pPr>
      <w:spacing w:line="240" w:lineRule="auto"/>
    </w:pPr>
    <w:rPr>
      <w:rFonts w:ascii="Garamond" w:hAnsi="Garamond"/>
      <w:noProof/>
      <w:sz w:val="24"/>
    </w:rPr>
  </w:style>
  <w:style w:type="character" w:customStyle="1" w:styleId="EndNoteBibliographyChar">
    <w:name w:val="EndNote Bibliography Char"/>
    <w:basedOn w:val="TableChar"/>
    <w:link w:val="EndNoteBibliography"/>
    <w:rsid w:val="00290091"/>
    <w:rPr>
      <w:rFonts w:ascii="Garamond" w:hAnsi="Garamond"/>
      <w:noProof/>
      <w:sz w:val="24"/>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190704">
      <w:marLeft w:val="0"/>
      <w:marRight w:val="0"/>
      <w:marTop w:val="0"/>
      <w:marBottom w:val="0"/>
      <w:divBdr>
        <w:top w:val="none" w:sz="0" w:space="0" w:color="auto"/>
        <w:left w:val="none" w:sz="0" w:space="0" w:color="auto"/>
        <w:bottom w:val="none" w:sz="0" w:space="0" w:color="auto"/>
        <w:right w:val="none" w:sz="0" w:space="0" w:color="auto"/>
      </w:divBdr>
    </w:div>
    <w:div w:id="1443190705">
      <w:marLeft w:val="0"/>
      <w:marRight w:val="0"/>
      <w:marTop w:val="0"/>
      <w:marBottom w:val="0"/>
      <w:divBdr>
        <w:top w:val="none" w:sz="0" w:space="0" w:color="auto"/>
        <w:left w:val="none" w:sz="0" w:space="0" w:color="auto"/>
        <w:bottom w:val="none" w:sz="0" w:space="0" w:color="auto"/>
        <w:right w:val="none" w:sz="0" w:space="0" w:color="auto"/>
      </w:divBdr>
    </w:div>
    <w:div w:id="1443190706">
      <w:marLeft w:val="0"/>
      <w:marRight w:val="0"/>
      <w:marTop w:val="0"/>
      <w:marBottom w:val="0"/>
      <w:divBdr>
        <w:top w:val="none" w:sz="0" w:space="0" w:color="auto"/>
        <w:left w:val="none" w:sz="0" w:space="0" w:color="auto"/>
        <w:bottom w:val="none" w:sz="0" w:space="0" w:color="auto"/>
        <w:right w:val="none" w:sz="0" w:space="0" w:color="auto"/>
      </w:divBdr>
    </w:div>
    <w:div w:id="1443190707">
      <w:marLeft w:val="0"/>
      <w:marRight w:val="0"/>
      <w:marTop w:val="0"/>
      <w:marBottom w:val="0"/>
      <w:divBdr>
        <w:top w:val="none" w:sz="0" w:space="0" w:color="auto"/>
        <w:left w:val="none" w:sz="0" w:space="0" w:color="auto"/>
        <w:bottom w:val="none" w:sz="0" w:space="0" w:color="auto"/>
        <w:right w:val="none" w:sz="0" w:space="0" w:color="auto"/>
      </w:divBdr>
    </w:div>
    <w:div w:id="1443190708">
      <w:marLeft w:val="0"/>
      <w:marRight w:val="0"/>
      <w:marTop w:val="0"/>
      <w:marBottom w:val="0"/>
      <w:divBdr>
        <w:top w:val="none" w:sz="0" w:space="0" w:color="auto"/>
        <w:left w:val="none" w:sz="0" w:space="0" w:color="auto"/>
        <w:bottom w:val="none" w:sz="0" w:space="0" w:color="auto"/>
        <w:right w:val="none" w:sz="0" w:space="0" w:color="auto"/>
      </w:divBdr>
    </w:div>
    <w:div w:id="1443190709">
      <w:marLeft w:val="0"/>
      <w:marRight w:val="0"/>
      <w:marTop w:val="0"/>
      <w:marBottom w:val="0"/>
      <w:divBdr>
        <w:top w:val="none" w:sz="0" w:space="0" w:color="auto"/>
        <w:left w:val="none" w:sz="0" w:space="0" w:color="auto"/>
        <w:bottom w:val="none" w:sz="0" w:space="0" w:color="auto"/>
        <w:right w:val="none" w:sz="0" w:space="0" w:color="auto"/>
      </w:divBdr>
    </w:div>
    <w:div w:id="1443190710">
      <w:marLeft w:val="0"/>
      <w:marRight w:val="0"/>
      <w:marTop w:val="0"/>
      <w:marBottom w:val="0"/>
      <w:divBdr>
        <w:top w:val="none" w:sz="0" w:space="0" w:color="auto"/>
        <w:left w:val="none" w:sz="0" w:space="0" w:color="auto"/>
        <w:bottom w:val="none" w:sz="0" w:space="0" w:color="auto"/>
        <w:right w:val="none" w:sz="0" w:space="0" w:color="auto"/>
      </w:divBdr>
    </w:div>
    <w:div w:id="1443190711">
      <w:marLeft w:val="0"/>
      <w:marRight w:val="0"/>
      <w:marTop w:val="0"/>
      <w:marBottom w:val="0"/>
      <w:divBdr>
        <w:top w:val="none" w:sz="0" w:space="0" w:color="auto"/>
        <w:left w:val="none" w:sz="0" w:space="0" w:color="auto"/>
        <w:bottom w:val="none" w:sz="0" w:space="0" w:color="auto"/>
        <w:right w:val="none" w:sz="0" w:space="0" w:color="auto"/>
      </w:divBdr>
    </w:div>
    <w:div w:id="1443190712">
      <w:marLeft w:val="0"/>
      <w:marRight w:val="0"/>
      <w:marTop w:val="0"/>
      <w:marBottom w:val="0"/>
      <w:divBdr>
        <w:top w:val="none" w:sz="0" w:space="0" w:color="auto"/>
        <w:left w:val="none" w:sz="0" w:space="0" w:color="auto"/>
        <w:bottom w:val="none" w:sz="0" w:space="0" w:color="auto"/>
        <w:right w:val="none" w:sz="0" w:space="0" w:color="auto"/>
      </w:divBdr>
    </w:div>
    <w:div w:id="1443190713">
      <w:marLeft w:val="0"/>
      <w:marRight w:val="0"/>
      <w:marTop w:val="0"/>
      <w:marBottom w:val="0"/>
      <w:divBdr>
        <w:top w:val="none" w:sz="0" w:space="0" w:color="auto"/>
        <w:left w:val="none" w:sz="0" w:space="0" w:color="auto"/>
        <w:bottom w:val="none" w:sz="0" w:space="0" w:color="auto"/>
        <w:right w:val="none" w:sz="0" w:space="0" w:color="auto"/>
      </w:divBdr>
    </w:div>
    <w:div w:id="1443190714">
      <w:marLeft w:val="0"/>
      <w:marRight w:val="0"/>
      <w:marTop w:val="0"/>
      <w:marBottom w:val="0"/>
      <w:divBdr>
        <w:top w:val="none" w:sz="0" w:space="0" w:color="auto"/>
        <w:left w:val="none" w:sz="0" w:space="0" w:color="auto"/>
        <w:bottom w:val="none" w:sz="0" w:space="0" w:color="auto"/>
        <w:right w:val="none" w:sz="0" w:space="0" w:color="auto"/>
      </w:divBdr>
    </w:div>
    <w:div w:id="1443190715">
      <w:marLeft w:val="0"/>
      <w:marRight w:val="0"/>
      <w:marTop w:val="0"/>
      <w:marBottom w:val="0"/>
      <w:divBdr>
        <w:top w:val="none" w:sz="0" w:space="0" w:color="auto"/>
        <w:left w:val="none" w:sz="0" w:space="0" w:color="auto"/>
        <w:bottom w:val="none" w:sz="0" w:space="0" w:color="auto"/>
        <w:right w:val="none" w:sz="0" w:space="0" w:color="auto"/>
      </w:divBdr>
    </w:div>
    <w:div w:id="1443190716">
      <w:marLeft w:val="0"/>
      <w:marRight w:val="0"/>
      <w:marTop w:val="0"/>
      <w:marBottom w:val="0"/>
      <w:divBdr>
        <w:top w:val="none" w:sz="0" w:space="0" w:color="auto"/>
        <w:left w:val="none" w:sz="0" w:space="0" w:color="auto"/>
        <w:bottom w:val="none" w:sz="0" w:space="0" w:color="auto"/>
        <w:right w:val="none" w:sz="0" w:space="0" w:color="auto"/>
      </w:divBdr>
    </w:div>
    <w:div w:id="1443190717">
      <w:marLeft w:val="0"/>
      <w:marRight w:val="0"/>
      <w:marTop w:val="0"/>
      <w:marBottom w:val="0"/>
      <w:divBdr>
        <w:top w:val="none" w:sz="0" w:space="0" w:color="auto"/>
        <w:left w:val="none" w:sz="0" w:space="0" w:color="auto"/>
        <w:bottom w:val="none" w:sz="0" w:space="0" w:color="auto"/>
        <w:right w:val="none" w:sz="0" w:space="0" w:color="auto"/>
      </w:divBdr>
    </w:div>
    <w:div w:id="1443190718">
      <w:marLeft w:val="0"/>
      <w:marRight w:val="0"/>
      <w:marTop w:val="0"/>
      <w:marBottom w:val="0"/>
      <w:divBdr>
        <w:top w:val="none" w:sz="0" w:space="0" w:color="auto"/>
        <w:left w:val="none" w:sz="0" w:space="0" w:color="auto"/>
        <w:bottom w:val="none" w:sz="0" w:space="0" w:color="auto"/>
        <w:right w:val="none" w:sz="0" w:space="0" w:color="auto"/>
      </w:divBdr>
    </w:div>
    <w:div w:id="14431907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21.xml"/><Relationship Id="rId21" Type="http://schemas.openxmlformats.org/officeDocument/2006/relationships/footer" Target="footer6.xml"/><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36.emf"/><Relationship Id="rId68" Type="http://schemas.openxmlformats.org/officeDocument/2006/relationships/image" Target="media/image38.png"/><Relationship Id="rId84" Type="http://schemas.openxmlformats.org/officeDocument/2006/relationships/image" Target="media/image51.png"/><Relationship Id="rId89" Type="http://schemas.openxmlformats.org/officeDocument/2006/relationships/image" Target="media/image55.png"/><Relationship Id="rId112" Type="http://schemas.openxmlformats.org/officeDocument/2006/relationships/image" Target="media/image72.png"/><Relationship Id="rId133" Type="http://schemas.openxmlformats.org/officeDocument/2006/relationships/header" Target="header24.xml"/><Relationship Id="rId16" Type="http://schemas.openxmlformats.org/officeDocument/2006/relationships/header" Target="header5.xml"/><Relationship Id="rId107" Type="http://schemas.openxmlformats.org/officeDocument/2006/relationships/image" Target="media/image67.png"/><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footer" Target="footer11.xml"/><Relationship Id="rId79" Type="http://schemas.openxmlformats.org/officeDocument/2006/relationships/image" Target="media/image46.png"/><Relationship Id="rId102" Type="http://schemas.openxmlformats.org/officeDocument/2006/relationships/image" Target="media/image62.png"/><Relationship Id="rId123" Type="http://schemas.openxmlformats.org/officeDocument/2006/relationships/image" Target="media/image79.png"/><Relationship Id="rId128" Type="http://schemas.openxmlformats.org/officeDocument/2006/relationships/header" Target="header23.xml"/><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header" Target="header18.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11.xm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footer" Target="footer9.xml"/><Relationship Id="rId69" Type="http://schemas.openxmlformats.org/officeDocument/2006/relationships/image" Target="media/image39.png"/><Relationship Id="rId77" Type="http://schemas.openxmlformats.org/officeDocument/2006/relationships/image" Target="media/image44.png"/><Relationship Id="rId100" Type="http://schemas.openxmlformats.org/officeDocument/2006/relationships/image" Target="media/image60.png"/><Relationship Id="rId105" Type="http://schemas.openxmlformats.org/officeDocument/2006/relationships/image" Target="media/image65.png"/><Relationship Id="rId113" Type="http://schemas.openxmlformats.org/officeDocument/2006/relationships/image" Target="media/image73.png"/><Relationship Id="rId118" Type="http://schemas.openxmlformats.org/officeDocument/2006/relationships/footer" Target="footer17.xml"/><Relationship Id="rId126" Type="http://schemas.openxmlformats.org/officeDocument/2006/relationships/header" Target="header22.xml"/><Relationship Id="rId134"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2.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header" Target="header17.xml"/><Relationship Id="rId98" Type="http://schemas.openxmlformats.org/officeDocument/2006/relationships/footer" Target="footer15.xml"/><Relationship Id="rId121"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12.xml"/><Relationship Id="rId59" Type="http://schemas.openxmlformats.org/officeDocument/2006/relationships/image" Target="media/image33.emf"/><Relationship Id="rId67" Type="http://schemas.openxmlformats.org/officeDocument/2006/relationships/image" Target="media/image37.png"/><Relationship Id="rId103" Type="http://schemas.openxmlformats.org/officeDocument/2006/relationships/image" Target="media/image63.png"/><Relationship Id="rId108" Type="http://schemas.openxmlformats.org/officeDocument/2006/relationships/image" Target="media/image68.png"/><Relationship Id="rId116" Type="http://schemas.openxmlformats.org/officeDocument/2006/relationships/footer" Target="footer16.xml"/><Relationship Id="rId124" Type="http://schemas.openxmlformats.org/officeDocument/2006/relationships/image" Target="media/image80.png"/><Relationship Id="rId129" Type="http://schemas.openxmlformats.org/officeDocument/2006/relationships/footer" Target="footer19.xml"/><Relationship Id="rId20" Type="http://schemas.openxmlformats.org/officeDocument/2006/relationships/header" Target="header7.xm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header" Target="header13.xml"/><Relationship Id="rId70" Type="http://schemas.openxmlformats.org/officeDocument/2006/relationships/image" Target="media/image40.png"/><Relationship Id="rId75" Type="http://schemas.openxmlformats.org/officeDocument/2006/relationships/header" Target="header15.xml"/><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footer" Target="footer14.xml"/><Relationship Id="rId111" Type="http://schemas.openxmlformats.org/officeDocument/2006/relationships/image" Target="media/image71.png"/><Relationship Id="rId13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66.png"/><Relationship Id="rId114" Type="http://schemas.openxmlformats.org/officeDocument/2006/relationships/image" Target="media/image74.png"/><Relationship Id="rId119" Type="http://schemas.openxmlformats.org/officeDocument/2006/relationships/image" Target="media/image75.png"/><Relationship Id="rId12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4.emf"/><Relationship Id="rId65" Type="http://schemas.openxmlformats.org/officeDocument/2006/relationships/header" Target="header14.xml"/><Relationship Id="rId73" Type="http://schemas.openxmlformats.org/officeDocument/2006/relationships/image" Target="media/image43.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footer" Target="footer13.xml"/><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8.png"/><Relationship Id="rId130" Type="http://schemas.openxmlformats.org/officeDocument/2006/relationships/hyperlink" Target="http://meteor.aihw.gov.au/content/index.phtml/itemId/354816" TargetMode="Externa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5.png"/><Relationship Id="rId109" Type="http://schemas.openxmlformats.org/officeDocument/2006/relationships/image" Target="media/image69.png"/><Relationship Id="rId34" Type="http://schemas.openxmlformats.org/officeDocument/2006/relationships/image" Target="media/image10.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footer" Target="footer12.xml"/><Relationship Id="rId97" Type="http://schemas.openxmlformats.org/officeDocument/2006/relationships/header" Target="header19.xml"/><Relationship Id="rId104" Type="http://schemas.openxmlformats.org/officeDocument/2006/relationships/image" Target="media/image64.png"/><Relationship Id="rId120" Type="http://schemas.openxmlformats.org/officeDocument/2006/relationships/image" Target="media/image76.png"/><Relationship Id="rId125"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5.png"/><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footer" Target="footer10.xml"/><Relationship Id="rId87" Type="http://schemas.openxmlformats.org/officeDocument/2006/relationships/header" Target="header16.xml"/><Relationship Id="rId110" Type="http://schemas.openxmlformats.org/officeDocument/2006/relationships/image" Target="media/image70.png"/><Relationship Id="rId115" Type="http://schemas.openxmlformats.org/officeDocument/2006/relationships/header" Target="header20.xml"/><Relationship Id="rId131" Type="http://schemas.openxmlformats.org/officeDocument/2006/relationships/hyperlink" Target="http://www.iom.edu/Global/News%20Announcements/Crossing-the-Quality-Chasm-The-IOM-Health-Care-Quality-Initiative.aspx" TargetMode="External"/><Relationship Id="rId136"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image" Target="media/image49.png"/><Relationship Id="rId1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CA0B3-DA2F-4790-B565-9520A7C89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30741</Words>
  <Characters>175227</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Manager</dc:creator>
  <cp:lastModifiedBy>Painter Janelle</cp:lastModifiedBy>
  <cp:revision>2</cp:revision>
  <cp:lastPrinted>2014-03-12T03:28:00Z</cp:lastPrinted>
  <dcterms:created xsi:type="dcterms:W3CDTF">2014-03-14T00:36:00Z</dcterms:created>
  <dcterms:modified xsi:type="dcterms:W3CDTF">2014-03-14T00:36:00Z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