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748623" w14:textId="77777777" w:rsidR="008A7534" w:rsidRDefault="008A7534" w:rsidP="00D17316">
      <w:pPr>
        <w:pStyle w:val="Heading1"/>
        <w:pBdr>
          <w:bottom w:val="none" w:sz="0" w:space="0" w:color="auto"/>
        </w:pBdr>
        <w:rPr>
          <w:rStyle w:val="charoverride-5"/>
          <w:rFonts w:eastAsia="Times New Roman" w:cs="Times New Roman"/>
          <w:lang w:val="en-US"/>
        </w:rPr>
      </w:pPr>
    </w:p>
    <w:p w14:paraId="487EAFE5" w14:textId="77777777" w:rsidR="008A7534" w:rsidRDefault="008A7534" w:rsidP="00D17316">
      <w:pPr>
        <w:pStyle w:val="Heading1"/>
        <w:pBdr>
          <w:bottom w:val="none" w:sz="0" w:space="0" w:color="auto"/>
        </w:pBdr>
        <w:rPr>
          <w:rStyle w:val="charoverride-5"/>
          <w:rFonts w:eastAsia="Times New Roman" w:cs="Times New Roman"/>
          <w:lang w:val="en-US"/>
        </w:rPr>
      </w:pPr>
    </w:p>
    <w:p w14:paraId="3F2ECC0B" w14:textId="77777777" w:rsidR="008A7534" w:rsidRDefault="008A7534" w:rsidP="00D17316">
      <w:pPr>
        <w:pStyle w:val="Heading1"/>
        <w:pBdr>
          <w:bottom w:val="none" w:sz="0" w:space="0" w:color="auto"/>
        </w:pBdr>
        <w:rPr>
          <w:rStyle w:val="charoverride-5"/>
          <w:rFonts w:eastAsia="Times New Roman" w:cs="Times New Roman"/>
          <w:lang w:val="en-US"/>
        </w:rPr>
      </w:pPr>
    </w:p>
    <w:p w14:paraId="06420A48" w14:textId="77777777" w:rsidR="008A7534" w:rsidRDefault="008A7534" w:rsidP="00D17316">
      <w:pPr>
        <w:pStyle w:val="Heading1"/>
        <w:pBdr>
          <w:bottom w:val="none" w:sz="0" w:space="0" w:color="auto"/>
        </w:pBdr>
        <w:rPr>
          <w:rStyle w:val="charoverride-5"/>
          <w:rFonts w:eastAsia="Times New Roman" w:cs="Times New Roman"/>
          <w:lang w:val="en-US"/>
        </w:rPr>
      </w:pPr>
    </w:p>
    <w:p w14:paraId="2E911A8A" w14:textId="77777777" w:rsidR="008A7534" w:rsidRPr="0076756B" w:rsidRDefault="008A7534" w:rsidP="008A7534">
      <w:pPr>
        <w:pStyle w:val="00coverH1"/>
        <w:spacing w:after="0"/>
        <w:ind w:left="3969"/>
        <w:rPr>
          <w:lang w:val="en-US"/>
        </w:rPr>
      </w:pPr>
      <w:r>
        <w:rPr>
          <w:rFonts w:eastAsia="Times New Roman" w:cs="Times New Roman"/>
          <w:noProof/>
          <w:lang w:eastAsia="en-AU"/>
        </w:rPr>
        <mc:AlternateContent>
          <mc:Choice Requires="wps">
            <w:drawing>
              <wp:anchor distT="0" distB="0" distL="114300" distR="114300" simplePos="0" relativeHeight="251659264" behindDoc="0" locked="0" layoutInCell="1" allowOverlap="1" wp14:anchorId="73E38758" wp14:editId="51AC7FD5">
                <wp:simplePos x="0" y="0"/>
                <wp:positionH relativeFrom="column">
                  <wp:posOffset>5143500</wp:posOffset>
                </wp:positionH>
                <wp:positionV relativeFrom="paragraph">
                  <wp:posOffset>489585</wp:posOffset>
                </wp:positionV>
                <wp:extent cx="1371600" cy="954405"/>
                <wp:effectExtent l="0" t="0" r="0" b="10795"/>
                <wp:wrapSquare wrapText="bothSides"/>
                <wp:docPr id="21" name="Text Box 21"/>
                <wp:cNvGraphicFramePr/>
                <a:graphic xmlns:a="http://schemas.openxmlformats.org/drawingml/2006/main">
                  <a:graphicData uri="http://schemas.microsoft.com/office/word/2010/wordprocessingShape">
                    <wps:wsp>
                      <wps:cNvSpPr txBox="1"/>
                      <wps:spPr>
                        <a:xfrm>
                          <a:off x="0" y="0"/>
                          <a:ext cx="1371600" cy="954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7B4E38" w14:textId="6FEC14F8" w:rsidR="00F45B70" w:rsidRPr="00A625BF" w:rsidRDefault="00F45B70" w:rsidP="00A625BF">
                            <w:pPr>
                              <w:pStyle w:val="0coverdate"/>
                              <w:rPr>
                                <w:rFonts w:cs="Times New Roman"/>
                                <w:lang w:val="en-US"/>
                              </w:rPr>
                            </w:pPr>
                            <w:r w:rsidRPr="0076756B">
                              <w:rPr>
                                <w:rFonts w:cs="Times New Roman"/>
                                <w:lang w:val="en-US"/>
                              </w:rPr>
                              <w:t>2013/14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405pt;margin-top:38.55pt;width:108pt;height:75.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yMqgIAAKUFAAAOAAAAZHJzL2Uyb0RvYy54bWysVE1v2zAMvQ/YfxB0T21nSdsYdQo3RYYB&#10;RVusHXpWZKkxJouapCTOhv33UbKdZt0uHXaxJfKRIh8/Li7bRpGtsK4GXdDsJKVEaA5VrZ8L+uVx&#10;OTqnxHmmK6ZAi4LuhaOX8/fvLnYmF2NYg6qEJehEu3xnCrr23uRJ4vhaNMydgBEalRJswzxe7XNS&#10;WbZD741Kxml6muzAVsYCF86h9LpT0nn0L6Xg/k5KJzxRBcXYfPza+F2FbzK/YPmzZWZd8z4M9g9R&#10;NKzW+OjB1TXzjGxs/YerpuYWHEh/wqFJQMqai5gDZpOlr7J5WDMjYi5IjjMHmtz/c8tvt/eW1FVB&#10;xxklmjVYo0fRenIFLUER8rMzLkfYg0Ggb1GOdR7kDoUh7VbaJvwxIYJ6ZHp/YDd448How1l2mqKK&#10;o242nUzSaXCTvFgb6/xHAQ0Jh4JarF4klW1vnO+gAyQ8pmFZKxUrqPRvAvTZSURsgc6a5RgJHgMy&#10;xBTL82MxPRuXZ9PZ6LScZqNJlp6PyjIdj66XZVqmk+ViNrn62cc52CeBki71ePJ7JYJXpT8LiWRG&#10;BoIgtrFYKEu2DBuQcS60j+TFCBEdUBKzeIthj495xPzeYtwxMrwM2h+Mm1qDjXy/Crv6OoQsOzwW&#10;7SjvcPTtqu1bZQXVHjvFQjdrzvBljeW8Yc7fM4vDhR2AC8Pf4Ucq2BUU+hMla7Df/yYPeOx51FKy&#10;w2EtqPu2YVZQoj5pnIZZht2E0x0vE6woXuyxZnWs0ZtmAVgObHiMLh4D3qvhKC00T7hXyvAqqpjm&#10;+HZB/XBc+G6F4F7ioiwjCOfZMH+jHwwPrkN1QrM+tk/Mmr6jPXbQLQxjzfJXjd1hg6WGcuNB1rHr&#10;A8Edqz3xuAvi3PR7Kyyb43tEvWzX+S8AAAD//wMAUEsDBBQABgAIAAAAIQBrOPfe3wAAAAsBAAAP&#10;AAAAZHJzL2Rvd25yZXYueG1sTI/NTsMwEITvSH0Haytxo3ai0pSQTVUVcQVRfiRubrxNIuJ1FLtN&#10;eHvcEz3Ozmj2m2Iz2U6cafCtY4RkoUAQV860XCN8vD/frUH4oNnozjEh/JKHTTm7KXRu3MhvdN6H&#10;WsQS9rlGaELocyl91ZDVfuF64ugd3WB1iHKopRn0GMttJ1OlVtLqluOHRve0a6j62Z8swufL8ftr&#10;qV7rJ3vfj25Sku2DRLydT9tHEIGm8B+GC35EhzIyHdyJjRcdwjpRcUtAyLIExCWg0lW8HBDSNFuC&#10;LAt5vaH8AwAA//8DAFBLAQItABQABgAIAAAAIQC2gziS/gAAAOEBAAATAAAAAAAAAAAAAAAAAAAA&#10;AABbQ29udGVudF9UeXBlc10ueG1sUEsBAi0AFAAGAAgAAAAhADj9If/WAAAAlAEAAAsAAAAAAAAA&#10;AAAAAAAALwEAAF9yZWxzLy5yZWxzUEsBAi0AFAAGAAgAAAAhACutfIyqAgAApQUAAA4AAAAAAAAA&#10;AAAAAAAALgIAAGRycy9lMm9Eb2MueG1sUEsBAi0AFAAGAAgAAAAhAGs4997fAAAACwEAAA8AAAAA&#10;AAAAAAAAAAAABAUAAGRycy9kb3ducmV2LnhtbFBLBQYAAAAABAAEAPMAAAAQBgAAAAA=&#10;" filled="f" stroked="f">
                <v:textbox>
                  <w:txbxContent>
                    <w:p w14:paraId="1D7B4E38" w14:textId="6FEC14F8" w:rsidR="00F45B70" w:rsidRPr="00A625BF" w:rsidRDefault="00F45B70" w:rsidP="00A625BF">
                      <w:pPr>
                        <w:pStyle w:val="0coverdate"/>
                        <w:rPr>
                          <w:rFonts w:cs="Times New Roman"/>
                          <w:lang w:val="en-US"/>
                        </w:rPr>
                      </w:pPr>
                      <w:r w:rsidRPr="0076756B">
                        <w:rPr>
                          <w:rFonts w:cs="Times New Roman"/>
                          <w:lang w:val="en-US"/>
                        </w:rPr>
                        <w:t>2013/14</w:t>
                      </w:r>
                    </w:p>
                  </w:txbxContent>
                </v:textbox>
                <w10:wrap type="square"/>
              </v:shape>
            </w:pict>
          </mc:Fallback>
        </mc:AlternateContent>
      </w:r>
      <w:r w:rsidRPr="0076756B">
        <w:rPr>
          <w:rStyle w:val="charoverride-5"/>
          <w:rFonts w:eastAsia="Times New Roman" w:cs="Times New Roman"/>
          <w:lang w:val="en-US"/>
        </w:rPr>
        <w:t>Annual</w:t>
      </w:r>
    </w:p>
    <w:p w14:paraId="0FB3E452" w14:textId="77777777" w:rsidR="008A7534" w:rsidRPr="0076756B" w:rsidRDefault="008A7534" w:rsidP="008A7534">
      <w:pPr>
        <w:pStyle w:val="00coverH1"/>
        <w:spacing w:before="0"/>
        <w:ind w:left="3969"/>
        <w:rPr>
          <w:lang w:val="en-US"/>
        </w:rPr>
      </w:pPr>
      <w:r w:rsidRPr="0076756B">
        <w:rPr>
          <w:rStyle w:val="charoverride-5"/>
          <w:rFonts w:eastAsia="Times New Roman" w:cs="Times New Roman"/>
          <w:lang w:val="en-US"/>
        </w:rPr>
        <w:t>Report</w:t>
      </w:r>
    </w:p>
    <w:p w14:paraId="034ADC82" w14:textId="45102DF2" w:rsidR="008A7534" w:rsidRDefault="008A7534" w:rsidP="008A7534">
      <w:pPr>
        <w:rPr>
          <w:rFonts w:eastAsia="Times New Roman" w:cs="Times New Roman"/>
          <w:lang w:val="en-GB"/>
        </w:rPr>
      </w:pPr>
    </w:p>
    <w:p w14:paraId="69FA1BF9" w14:textId="18BF70D6" w:rsidR="008A7534" w:rsidRDefault="008A7534" w:rsidP="008A7534">
      <w:pPr>
        <w:rPr>
          <w:rFonts w:eastAsia="Times New Roman" w:cs="Times New Roman"/>
          <w:lang w:val="en-GB"/>
        </w:rPr>
      </w:pPr>
    </w:p>
    <w:p w14:paraId="3B101ADE" w14:textId="03588602" w:rsidR="008A7534" w:rsidRDefault="008A7534" w:rsidP="008A7534">
      <w:pPr>
        <w:rPr>
          <w:rFonts w:eastAsia="Times New Roman" w:cs="Times New Roman"/>
          <w:lang w:val="en-GB"/>
        </w:rPr>
      </w:pPr>
    </w:p>
    <w:p w14:paraId="34931862" w14:textId="7922F34C" w:rsidR="008A7534" w:rsidRDefault="008A7534">
      <w:pPr>
        <w:spacing w:after="0"/>
      </w:pPr>
      <w:r>
        <w:br w:type="page"/>
      </w:r>
    </w:p>
    <w:p w14:paraId="009813FD" w14:textId="77777777" w:rsidR="008A7534" w:rsidRDefault="008A7534" w:rsidP="008A7534">
      <w:pPr>
        <w:pStyle w:val="2body-copy"/>
        <w:rPr>
          <w:rFonts w:cs="Times New Roman"/>
          <w:lang w:val="en-GB"/>
        </w:rPr>
      </w:pPr>
    </w:p>
    <w:p w14:paraId="65437CF7" w14:textId="77777777" w:rsidR="008A7534" w:rsidRDefault="008A7534" w:rsidP="008A7534">
      <w:pPr>
        <w:pStyle w:val="2body-copy"/>
        <w:rPr>
          <w:rFonts w:cs="Times New Roman"/>
          <w:lang w:val="en-GB"/>
        </w:rPr>
      </w:pPr>
    </w:p>
    <w:p w14:paraId="691E0870" w14:textId="77777777" w:rsidR="008A7534" w:rsidRDefault="008A7534" w:rsidP="008A7534">
      <w:pPr>
        <w:pStyle w:val="2body-copy"/>
        <w:rPr>
          <w:rFonts w:cs="Times New Roman"/>
          <w:lang w:val="en-GB"/>
        </w:rPr>
      </w:pPr>
    </w:p>
    <w:p w14:paraId="4036ADE5" w14:textId="77777777" w:rsidR="008A7534" w:rsidRDefault="008A7534" w:rsidP="008A7534">
      <w:pPr>
        <w:pStyle w:val="2body-copy"/>
        <w:rPr>
          <w:rFonts w:cs="Times New Roman"/>
          <w:lang w:val="en-GB"/>
        </w:rPr>
      </w:pPr>
    </w:p>
    <w:p w14:paraId="0CB9F1AD" w14:textId="77777777" w:rsidR="008A7534" w:rsidRDefault="008A7534" w:rsidP="008A7534">
      <w:pPr>
        <w:pStyle w:val="2body-copy"/>
        <w:rPr>
          <w:rFonts w:cs="Times New Roman"/>
          <w:lang w:val="en-GB"/>
        </w:rPr>
      </w:pPr>
    </w:p>
    <w:p w14:paraId="54793843" w14:textId="77777777" w:rsidR="008A7534" w:rsidRDefault="008A7534" w:rsidP="008A7534">
      <w:pPr>
        <w:pStyle w:val="2body-copy"/>
        <w:rPr>
          <w:rFonts w:cs="Times New Roman"/>
          <w:lang w:val="en-GB"/>
        </w:rPr>
      </w:pPr>
    </w:p>
    <w:p w14:paraId="497047F1" w14:textId="77777777" w:rsidR="008A7534" w:rsidRDefault="008A7534" w:rsidP="008A7534">
      <w:pPr>
        <w:pStyle w:val="2body-copy"/>
        <w:rPr>
          <w:rFonts w:cs="Times New Roman"/>
          <w:lang w:val="en-GB"/>
        </w:rPr>
      </w:pPr>
    </w:p>
    <w:p w14:paraId="7384CE13" w14:textId="77777777" w:rsidR="008A7534" w:rsidRDefault="008A7534" w:rsidP="008A7534">
      <w:pPr>
        <w:pStyle w:val="2body-copy"/>
        <w:rPr>
          <w:rFonts w:cs="Times New Roman"/>
          <w:lang w:val="en-GB"/>
        </w:rPr>
      </w:pPr>
    </w:p>
    <w:p w14:paraId="48E2B3D3" w14:textId="77777777" w:rsidR="008A7534" w:rsidRDefault="008A7534" w:rsidP="008A7534">
      <w:pPr>
        <w:pStyle w:val="2body-copy"/>
        <w:rPr>
          <w:rFonts w:cs="Times New Roman"/>
          <w:lang w:val="en-GB"/>
        </w:rPr>
      </w:pPr>
    </w:p>
    <w:p w14:paraId="3C19887C" w14:textId="77777777" w:rsidR="008A7534" w:rsidRDefault="008A7534" w:rsidP="008A7534">
      <w:pPr>
        <w:pStyle w:val="2body-copy"/>
        <w:rPr>
          <w:rFonts w:cs="Times New Roman"/>
          <w:lang w:val="en-GB"/>
        </w:rPr>
      </w:pPr>
    </w:p>
    <w:p w14:paraId="3A95C6ED" w14:textId="77777777" w:rsidR="008A7534" w:rsidRDefault="008A7534" w:rsidP="008A7534">
      <w:pPr>
        <w:pStyle w:val="2body-copy"/>
        <w:rPr>
          <w:rFonts w:cs="Times New Roman"/>
          <w:lang w:val="en-GB"/>
        </w:rPr>
      </w:pPr>
    </w:p>
    <w:p w14:paraId="1EFD4FAF" w14:textId="77777777" w:rsidR="008A7534" w:rsidRDefault="008A7534" w:rsidP="008A7534">
      <w:pPr>
        <w:pStyle w:val="2body-copy"/>
        <w:rPr>
          <w:rFonts w:cs="Times New Roman"/>
          <w:lang w:val="en-GB"/>
        </w:rPr>
      </w:pPr>
    </w:p>
    <w:p w14:paraId="76E6C164" w14:textId="77777777" w:rsidR="008A7534" w:rsidRDefault="008A7534" w:rsidP="008A7534">
      <w:pPr>
        <w:pStyle w:val="2body-copy"/>
        <w:rPr>
          <w:rFonts w:cs="Times New Roman"/>
          <w:lang w:val="en-GB"/>
        </w:rPr>
      </w:pPr>
    </w:p>
    <w:p w14:paraId="0D960AD9" w14:textId="77777777" w:rsidR="008A7534" w:rsidRDefault="008A7534" w:rsidP="008A7534">
      <w:pPr>
        <w:pStyle w:val="2body-copy"/>
        <w:rPr>
          <w:rFonts w:cs="Times New Roman"/>
          <w:lang w:val="en-GB"/>
        </w:rPr>
      </w:pPr>
    </w:p>
    <w:p w14:paraId="502AE180" w14:textId="77777777" w:rsidR="008A7534" w:rsidRDefault="008A7534" w:rsidP="008A7534">
      <w:pPr>
        <w:pStyle w:val="2body-copy"/>
        <w:rPr>
          <w:rFonts w:cs="Times New Roman"/>
          <w:lang w:val="en-GB"/>
        </w:rPr>
      </w:pPr>
    </w:p>
    <w:p w14:paraId="1819CDF5" w14:textId="77777777" w:rsidR="008A7534" w:rsidRDefault="008A7534" w:rsidP="008A7534">
      <w:pPr>
        <w:pStyle w:val="2body-copy"/>
        <w:rPr>
          <w:rFonts w:cs="Times New Roman"/>
          <w:lang w:val="en-GB"/>
        </w:rPr>
      </w:pPr>
    </w:p>
    <w:p w14:paraId="26D7159F" w14:textId="77777777" w:rsidR="008A7534" w:rsidRDefault="008A7534" w:rsidP="008A7534">
      <w:pPr>
        <w:pStyle w:val="2body-copy"/>
        <w:rPr>
          <w:rFonts w:cs="Times New Roman"/>
          <w:lang w:val="en-GB"/>
        </w:rPr>
      </w:pPr>
    </w:p>
    <w:p w14:paraId="24652B29" w14:textId="77777777" w:rsidR="008A7534" w:rsidRDefault="008A7534" w:rsidP="008A7534">
      <w:pPr>
        <w:pStyle w:val="2body-copy"/>
        <w:rPr>
          <w:rFonts w:cs="Times New Roman"/>
          <w:lang w:val="en-GB"/>
        </w:rPr>
      </w:pPr>
    </w:p>
    <w:p w14:paraId="583598CA" w14:textId="77777777" w:rsidR="008A7534" w:rsidRDefault="008A7534" w:rsidP="008A7534">
      <w:pPr>
        <w:pStyle w:val="2body-copy"/>
        <w:rPr>
          <w:rFonts w:cs="Times New Roman"/>
          <w:lang w:val="en-GB"/>
        </w:rPr>
      </w:pPr>
    </w:p>
    <w:p w14:paraId="1B334F82" w14:textId="77777777" w:rsidR="008A7534" w:rsidRDefault="008A7534" w:rsidP="008A7534">
      <w:pPr>
        <w:pStyle w:val="2body-copy"/>
        <w:rPr>
          <w:rFonts w:cs="Times New Roman"/>
          <w:lang w:val="en-GB"/>
        </w:rPr>
      </w:pPr>
    </w:p>
    <w:p w14:paraId="1A7DE4B4" w14:textId="77777777" w:rsidR="008A7534" w:rsidRDefault="008A7534" w:rsidP="008A7534">
      <w:pPr>
        <w:pStyle w:val="2body-copy"/>
        <w:rPr>
          <w:rFonts w:cs="Times New Roman"/>
          <w:lang w:val="en-GB"/>
        </w:rPr>
      </w:pPr>
      <w:bookmarkStart w:id="0" w:name="_GoBack"/>
      <w:bookmarkEnd w:id="0"/>
    </w:p>
    <w:p w14:paraId="6ABB82E3" w14:textId="77777777" w:rsidR="008A7534" w:rsidRDefault="008A7534" w:rsidP="008A7534">
      <w:pPr>
        <w:pStyle w:val="2body-copy"/>
        <w:rPr>
          <w:rFonts w:cs="Times New Roman"/>
          <w:lang w:val="en-GB"/>
        </w:rPr>
      </w:pPr>
    </w:p>
    <w:p w14:paraId="369932D4" w14:textId="77777777" w:rsidR="008A7534" w:rsidRDefault="008A7534" w:rsidP="008A7534">
      <w:pPr>
        <w:pStyle w:val="2body-copy"/>
        <w:rPr>
          <w:rFonts w:cs="Times New Roman"/>
          <w:lang w:val="en-GB"/>
        </w:rPr>
      </w:pPr>
    </w:p>
    <w:p w14:paraId="2E3FCC3A" w14:textId="77777777" w:rsidR="008A7534" w:rsidRDefault="008A7534" w:rsidP="008A7534">
      <w:pPr>
        <w:pStyle w:val="2body-copy"/>
        <w:rPr>
          <w:rFonts w:cs="Times New Roman"/>
          <w:lang w:val="en-GB"/>
        </w:rPr>
      </w:pPr>
      <w:r>
        <w:rPr>
          <w:rFonts w:cs="Times New Roman"/>
          <w:lang w:val="en-GB"/>
        </w:rPr>
        <w:t>© Commonwealth of Australia 2014</w:t>
      </w:r>
    </w:p>
    <w:p w14:paraId="608AA569" w14:textId="77777777" w:rsidR="008A7534" w:rsidRDefault="008A7534" w:rsidP="008A7534">
      <w:pPr>
        <w:pStyle w:val="2body-copy"/>
        <w:rPr>
          <w:rFonts w:cs="Times New Roman"/>
          <w:lang w:val="en-GB"/>
        </w:rPr>
      </w:pPr>
      <w:r>
        <w:rPr>
          <w:rFonts w:cs="Times New Roman"/>
          <w:lang w:val="en-GB"/>
        </w:rPr>
        <w:t xml:space="preserve">This work is copyright. It may be reproduced in whole or in part for study or </w:t>
      </w:r>
      <w:r>
        <w:rPr>
          <w:rFonts w:cs="Times New Roman"/>
          <w:lang w:val="en-GB"/>
        </w:rPr>
        <w:br/>
        <w:t xml:space="preserve">training purposes, subject to the inclusion of an acknowledgement of the source. </w:t>
      </w:r>
    </w:p>
    <w:p w14:paraId="41F88CE7" w14:textId="77777777" w:rsidR="008A7534" w:rsidRDefault="008A7534" w:rsidP="008A7534">
      <w:pPr>
        <w:pStyle w:val="2body-copy-before-bullet"/>
        <w:rPr>
          <w:rFonts w:cs="Times New Roman"/>
          <w:lang w:val="en-GB"/>
        </w:rPr>
      </w:pPr>
      <w:r>
        <w:rPr>
          <w:rFonts w:cs="Times New Roman"/>
          <w:lang w:val="en-GB"/>
        </w:rPr>
        <w:t xml:space="preserve">Address requests and inquiries concerning reproduction and rights for purposes </w:t>
      </w:r>
      <w:r>
        <w:rPr>
          <w:rFonts w:cs="Times New Roman"/>
          <w:lang w:val="en-GB"/>
        </w:rPr>
        <w:br/>
        <w:t xml:space="preserve">other than those indicated above in writing to: </w:t>
      </w:r>
    </w:p>
    <w:p w14:paraId="77425900" w14:textId="77777777" w:rsidR="008A7534" w:rsidRDefault="008A7534" w:rsidP="008A7534">
      <w:pPr>
        <w:pStyle w:val="2body-copy"/>
        <w:rPr>
          <w:lang w:val="en-GB"/>
        </w:rPr>
      </w:pPr>
      <w:r>
        <w:rPr>
          <w:lang w:val="en-GB"/>
        </w:rPr>
        <w:t>Erica Hall</w:t>
      </w:r>
      <w:r>
        <w:rPr>
          <w:lang w:val="en-GB"/>
        </w:rPr>
        <w:br/>
        <w:t>Communications Coordinator</w:t>
      </w:r>
      <w:r>
        <w:rPr>
          <w:lang w:val="en-GB"/>
        </w:rPr>
        <w:br/>
        <w:t>Australian Commission on Safety and Quality in Health Care</w:t>
      </w:r>
      <w:r>
        <w:rPr>
          <w:lang w:val="en-GB"/>
        </w:rPr>
        <w:br/>
        <w:t>GPO Box 5480</w:t>
      </w:r>
      <w:r>
        <w:rPr>
          <w:lang w:val="en-GB"/>
        </w:rPr>
        <w:br/>
        <w:t xml:space="preserve">Sydney NSW 2001 </w:t>
      </w:r>
    </w:p>
    <w:p w14:paraId="475D4218" w14:textId="77777777" w:rsidR="008A7534" w:rsidRDefault="008A7534" w:rsidP="008A7534">
      <w:pPr>
        <w:pStyle w:val="2body-copy"/>
        <w:rPr>
          <w:lang w:val="en-GB"/>
        </w:rPr>
      </w:pPr>
      <w:r>
        <w:rPr>
          <w:lang w:val="en-GB"/>
        </w:rPr>
        <w:t>Or email mail@safetyandquality.gov.au</w:t>
      </w:r>
    </w:p>
    <w:p w14:paraId="5FBD7E8A" w14:textId="77777777" w:rsidR="008A7534" w:rsidRDefault="008A7534" w:rsidP="008A7534">
      <w:pPr>
        <w:pStyle w:val="2body-copy"/>
        <w:rPr>
          <w:lang w:val="en-GB"/>
        </w:rPr>
      </w:pPr>
      <w:r>
        <w:rPr>
          <w:lang w:val="en-GB"/>
        </w:rPr>
        <w:t xml:space="preserve">Suggested citation: </w:t>
      </w:r>
      <w:r>
        <w:rPr>
          <w:lang w:val="en-GB"/>
        </w:rPr>
        <w:br/>
        <w:t xml:space="preserve">Australian Commission on Safety and Quality in Health Care (2014), Australian Commission on Safety and Quality in Health Care Annual Report 2013/14, Sydney. </w:t>
      </w:r>
      <w:proofErr w:type="gramStart"/>
      <w:r>
        <w:rPr>
          <w:lang w:val="en-GB"/>
        </w:rPr>
        <w:t>ACSQHC, 2014.</w:t>
      </w:r>
      <w:proofErr w:type="gramEnd"/>
    </w:p>
    <w:p w14:paraId="03AC5C96" w14:textId="77777777" w:rsidR="008A7534" w:rsidRDefault="008A7534" w:rsidP="008A7534">
      <w:pPr>
        <w:pStyle w:val="2body-copy"/>
        <w:rPr>
          <w:lang w:val="en-GB"/>
        </w:rPr>
      </w:pPr>
      <w:r>
        <w:rPr>
          <w:lang w:val="en-GB"/>
        </w:rPr>
        <w:t>An online version of this report can be accessed at www.safetyandquality.gov.au</w:t>
      </w:r>
    </w:p>
    <w:p w14:paraId="0668A1EA" w14:textId="77777777" w:rsidR="008A7534" w:rsidRDefault="008A7534" w:rsidP="008A7534">
      <w:pPr>
        <w:pStyle w:val="2body-copy"/>
        <w:rPr>
          <w:lang w:val="en-GB"/>
        </w:rPr>
      </w:pPr>
      <w:r>
        <w:rPr>
          <w:lang w:val="en-GB"/>
        </w:rPr>
        <w:t>ISSN 2200-3126 (Print)</w:t>
      </w:r>
      <w:r>
        <w:rPr>
          <w:lang w:val="en-GB"/>
        </w:rPr>
        <w:br/>
        <w:t>ISSN 2202-7777 (Online)</w:t>
      </w:r>
    </w:p>
    <w:p w14:paraId="7718430E" w14:textId="77777777" w:rsidR="008A7534" w:rsidRDefault="008A7534" w:rsidP="008A7534">
      <w:pPr>
        <w:pStyle w:val="2body-copy"/>
        <w:rPr>
          <w:lang w:val="en-GB"/>
        </w:rPr>
      </w:pPr>
      <w:r>
        <w:rPr>
          <w:lang w:val="en-GB"/>
        </w:rPr>
        <w:t>ABN 97 250 687 371</w:t>
      </w:r>
    </w:p>
    <w:p w14:paraId="4CDCA5B7" w14:textId="49979E19" w:rsidR="008A7534" w:rsidRDefault="008A7534">
      <w:pPr>
        <w:spacing w:after="0"/>
      </w:pPr>
      <w:r>
        <w:br w:type="page"/>
      </w:r>
    </w:p>
    <w:p w14:paraId="5898FFBE" w14:textId="77777777" w:rsidR="00CD65BF" w:rsidRDefault="00CD65BF"/>
    <w:tbl>
      <w:tblPr>
        <w:tblStyle w:val="TableGrid"/>
        <w:tblW w:w="0" w:type="auto"/>
        <w:tblInd w:w="1049"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none" w:sz="0" w:space="0" w:color="auto"/>
          <w:insideV w:val="none" w:sz="0" w:space="0" w:color="auto"/>
        </w:tblBorders>
        <w:tblLayout w:type="fixed"/>
        <w:tblCellMar>
          <w:top w:w="369" w:type="dxa"/>
          <w:left w:w="765" w:type="dxa"/>
          <w:right w:w="765" w:type="dxa"/>
        </w:tblCellMar>
        <w:tblLook w:val="04A0" w:firstRow="1" w:lastRow="0" w:firstColumn="1" w:lastColumn="0" w:noHBand="0" w:noVBand="1"/>
        <w:tblCaption w:val="Letter of transmittal"/>
        <w:tblDescription w:val="Letter of transmittal"/>
      </w:tblPr>
      <w:tblGrid>
        <w:gridCol w:w="9355"/>
      </w:tblGrid>
      <w:tr w:rsidR="008A4983" w14:paraId="7FA267B9" w14:textId="77777777" w:rsidTr="00CD65BF">
        <w:trPr>
          <w:trHeight w:val="10115"/>
        </w:trPr>
        <w:tc>
          <w:tcPr>
            <w:tcW w:w="9355" w:type="dxa"/>
          </w:tcPr>
          <w:p w14:paraId="0A1B3F45" w14:textId="77777777" w:rsidR="00CD65BF" w:rsidRDefault="00CD65BF" w:rsidP="008A4983">
            <w:pPr>
              <w:pStyle w:val="Heading1"/>
              <w:pBdr>
                <w:bottom w:val="none" w:sz="0" w:space="0" w:color="auto"/>
              </w:pBdr>
              <w:rPr>
                <w:rFonts w:eastAsia="Times New Roman" w:cs="Times New Roman"/>
                <w:lang w:val="en-GB"/>
              </w:rPr>
            </w:pPr>
            <w:bookmarkStart w:id="1" w:name="_Toc414011860"/>
            <w:r>
              <w:rPr>
                <w:rFonts w:eastAsia="Times New Roman" w:cs="Times New Roman"/>
                <w:noProof/>
                <w:lang w:eastAsia="en-AU"/>
              </w:rPr>
              <w:drawing>
                <wp:inline distT="0" distB="0" distL="0" distR="0" wp14:anchorId="135375CB" wp14:editId="78507803">
                  <wp:extent cx="3048000" cy="342900"/>
                  <wp:effectExtent l="0" t="0" r="0" b="0"/>
                  <wp:docPr id="287" name="Picture 287" descr="Australian Commission on Safety and Quality in Health Care logo" title="Australian Commission on Safety and Quality in Health 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342900"/>
                          </a:xfrm>
                          <a:prstGeom prst="rect">
                            <a:avLst/>
                          </a:prstGeom>
                          <a:noFill/>
                          <a:ln>
                            <a:noFill/>
                          </a:ln>
                        </pic:spPr>
                      </pic:pic>
                    </a:graphicData>
                  </a:graphic>
                </wp:inline>
              </w:drawing>
            </w:r>
            <w:bookmarkEnd w:id="1"/>
          </w:p>
          <w:p w14:paraId="52570179" w14:textId="77777777" w:rsidR="008A4983" w:rsidRDefault="008A4983" w:rsidP="00CD65BF">
            <w:pPr>
              <w:pStyle w:val="2body-copy"/>
              <w:spacing w:before="840"/>
              <w:rPr>
                <w:rFonts w:cs="Times New Roman"/>
                <w:lang w:val="en-GB"/>
              </w:rPr>
            </w:pPr>
            <w:r>
              <w:rPr>
                <w:rStyle w:val="2body-medium"/>
                <w:rFonts w:cs="Times New Roman"/>
                <w:lang w:val="en-GB"/>
              </w:rPr>
              <w:t>The Honourable Peter Dutton MP</w:t>
            </w:r>
            <w:r>
              <w:rPr>
                <w:rFonts w:cs="Times New Roman"/>
                <w:lang w:val="en-GB"/>
              </w:rPr>
              <w:br/>
            </w:r>
            <w:r>
              <w:rPr>
                <w:rStyle w:val="2body-medium"/>
                <w:rFonts w:cs="Times New Roman"/>
                <w:lang w:val="en-GB"/>
              </w:rPr>
              <w:t>Minister for Health</w:t>
            </w:r>
            <w:r>
              <w:rPr>
                <w:rFonts w:cs="Times New Roman"/>
                <w:lang w:val="en-GB"/>
              </w:rPr>
              <w:br/>
              <w:t>Parliament House</w:t>
            </w:r>
            <w:r>
              <w:rPr>
                <w:rFonts w:cs="Times New Roman"/>
                <w:lang w:val="en-GB"/>
              </w:rPr>
              <w:br/>
              <w:t>Canberra ACT 2600</w:t>
            </w:r>
          </w:p>
          <w:p w14:paraId="6EE05CC4" w14:textId="77777777" w:rsidR="008A4983" w:rsidRDefault="008A4983" w:rsidP="00CD65BF">
            <w:pPr>
              <w:pStyle w:val="2body-copy"/>
              <w:spacing w:before="720"/>
              <w:rPr>
                <w:rFonts w:cs="Times New Roman"/>
                <w:lang w:val="en-GB"/>
              </w:rPr>
            </w:pPr>
            <w:r>
              <w:rPr>
                <w:rFonts w:cs="Times New Roman"/>
                <w:lang w:val="en-GB"/>
              </w:rPr>
              <w:t>Dear Minister</w:t>
            </w:r>
          </w:p>
          <w:p w14:paraId="3053B4EE" w14:textId="77777777" w:rsidR="008A4983" w:rsidRDefault="008A4983" w:rsidP="008A4983">
            <w:pPr>
              <w:pStyle w:val="2body-copy"/>
              <w:rPr>
                <w:rFonts w:cs="Times New Roman"/>
                <w:lang w:val="en-GB"/>
              </w:rPr>
            </w:pPr>
            <w:r>
              <w:rPr>
                <w:rFonts w:cs="Times New Roman"/>
                <w:lang w:val="en-GB"/>
              </w:rPr>
              <w:t xml:space="preserve">On behalf of the Board of the Australian Commission on Safety and Quality in Health Care (the Commission), I am pleased to submit our annual report for the financial year ending 30 June 2014. </w:t>
            </w:r>
          </w:p>
          <w:p w14:paraId="1650CD54" w14:textId="77777777" w:rsidR="008A4983" w:rsidRDefault="008A4983" w:rsidP="008A4983">
            <w:pPr>
              <w:pStyle w:val="2body-copy"/>
              <w:rPr>
                <w:rFonts w:cs="Times New Roman"/>
                <w:lang w:val="en-GB"/>
              </w:rPr>
            </w:pPr>
            <w:r>
              <w:rPr>
                <w:rFonts w:cs="Times New Roman"/>
                <w:lang w:val="en-GB"/>
              </w:rPr>
              <w:t xml:space="preserve">The report reflects the requirements of the </w:t>
            </w:r>
            <w:r>
              <w:rPr>
                <w:rStyle w:val="2body-italic"/>
                <w:rFonts w:cs="Times New Roman"/>
                <w:lang w:val="en-GB"/>
              </w:rPr>
              <w:t>National Health Reform Act 2011</w:t>
            </w:r>
            <w:r>
              <w:rPr>
                <w:rFonts w:cs="Times New Roman"/>
                <w:lang w:val="en-GB"/>
              </w:rPr>
              <w:t xml:space="preserve"> and section 9 of the </w:t>
            </w:r>
            <w:r>
              <w:rPr>
                <w:rStyle w:val="2body-italic"/>
                <w:rFonts w:cs="Times New Roman"/>
                <w:lang w:val="en-GB"/>
              </w:rPr>
              <w:t>Commonwealth Authorities and Companies Act</w:t>
            </w:r>
            <w:r>
              <w:rPr>
                <w:rFonts w:cs="Times New Roman"/>
                <w:lang w:val="en-GB"/>
              </w:rPr>
              <w:t xml:space="preserve"> </w:t>
            </w:r>
            <w:r>
              <w:rPr>
                <w:rStyle w:val="2body-italic"/>
                <w:rFonts w:cs="Times New Roman"/>
                <w:lang w:val="en-GB"/>
              </w:rPr>
              <w:t>1997</w:t>
            </w:r>
            <w:r>
              <w:rPr>
                <w:rFonts w:cs="Times New Roman"/>
                <w:lang w:val="en-GB"/>
              </w:rPr>
              <w:t xml:space="preserve"> (CAC Act).</w:t>
            </w:r>
          </w:p>
          <w:p w14:paraId="34E1D234" w14:textId="77777777" w:rsidR="008A4983" w:rsidRDefault="008A4983" w:rsidP="008A4983">
            <w:pPr>
              <w:pStyle w:val="2body-copy"/>
              <w:rPr>
                <w:rFonts w:cs="Times New Roman"/>
                <w:lang w:val="en-GB"/>
              </w:rPr>
            </w:pPr>
            <w:r>
              <w:rPr>
                <w:rFonts w:cs="Times New Roman"/>
                <w:lang w:val="en-GB"/>
              </w:rPr>
              <w:t>The report and the audited financial statements were prepared in accordance with the Commonwealth Authorities and Companies Orders (Financial Statements for reporting periods ending on or after 1 July 2011), made by the Finance Minister under the authority of section 48 of the CAC Act.</w:t>
            </w:r>
          </w:p>
          <w:p w14:paraId="5649E1B1" w14:textId="77777777" w:rsidR="008A4983" w:rsidRDefault="008A4983" w:rsidP="008A4983">
            <w:pPr>
              <w:pStyle w:val="2body-copy"/>
              <w:rPr>
                <w:rFonts w:cs="Times New Roman"/>
                <w:lang w:val="en-GB"/>
              </w:rPr>
            </w:pPr>
            <w:r>
              <w:rPr>
                <w:rFonts w:cs="Times New Roman"/>
                <w:lang w:val="en-GB"/>
              </w:rPr>
              <w:t>This report was approved for presentation to you in accordance with a resolution of the board on 18 September 2014.</w:t>
            </w:r>
          </w:p>
          <w:p w14:paraId="6B64241B" w14:textId="77777777" w:rsidR="008A4983" w:rsidRDefault="008A4983" w:rsidP="008A4983">
            <w:pPr>
              <w:pStyle w:val="2body-copy"/>
              <w:rPr>
                <w:rFonts w:cs="Times New Roman"/>
                <w:lang w:val="en-GB"/>
              </w:rPr>
            </w:pPr>
            <w:r>
              <w:rPr>
                <w:rFonts w:cs="Times New Roman"/>
                <w:lang w:val="en-GB"/>
              </w:rPr>
              <w:t>I commend this report to you as a record of our achievements and compliance.</w:t>
            </w:r>
          </w:p>
          <w:p w14:paraId="7BCA13B8" w14:textId="77777777" w:rsidR="008A4983" w:rsidRDefault="008A4983" w:rsidP="008A4983">
            <w:pPr>
              <w:pStyle w:val="2body-copy"/>
              <w:rPr>
                <w:rFonts w:cs="Times New Roman"/>
                <w:lang w:val="en-GB"/>
              </w:rPr>
            </w:pPr>
            <w:r>
              <w:rPr>
                <w:rFonts w:cs="Times New Roman"/>
                <w:lang w:val="en-GB"/>
              </w:rPr>
              <w:t>Yours sincerely</w:t>
            </w:r>
          </w:p>
          <w:p w14:paraId="12637A0D" w14:textId="77777777" w:rsidR="008A4983" w:rsidRDefault="008A4983" w:rsidP="008A4983">
            <w:pPr>
              <w:pStyle w:val="2body-copy"/>
              <w:rPr>
                <w:rFonts w:cs="Times New Roman"/>
                <w:lang w:val="en-GB"/>
              </w:rPr>
            </w:pPr>
            <w:r>
              <w:rPr>
                <w:rFonts w:cs="Times New Roman"/>
                <w:noProof/>
                <w:lang w:eastAsia="en-AU"/>
              </w:rPr>
              <w:drawing>
                <wp:inline distT="0" distB="0" distL="0" distR="0" wp14:anchorId="75C8964C" wp14:editId="130FBC6C">
                  <wp:extent cx="2289810" cy="647700"/>
                  <wp:effectExtent l="0" t="0" r="0" b="0"/>
                  <wp:docPr id="3" name="Picture 3" descr="Signature by Chair Professor Villis Marshall" title="Signature by Chair Professor Villis Mars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is-Signature.png"/>
                          <pic:cNvPicPr/>
                        </pic:nvPicPr>
                        <pic:blipFill>
                          <a:blip r:embed="rId10">
                            <a:extLst>
                              <a:ext uri="{28A0092B-C50C-407E-A947-70E740481C1C}">
                                <a14:useLocalDpi xmlns:a14="http://schemas.microsoft.com/office/drawing/2010/main" val="0"/>
                              </a:ext>
                            </a:extLst>
                          </a:blip>
                          <a:stretch>
                            <a:fillRect/>
                          </a:stretch>
                        </pic:blipFill>
                        <pic:spPr>
                          <a:xfrm>
                            <a:off x="0" y="0"/>
                            <a:ext cx="2289810" cy="647700"/>
                          </a:xfrm>
                          <a:prstGeom prst="rect">
                            <a:avLst/>
                          </a:prstGeom>
                        </pic:spPr>
                      </pic:pic>
                    </a:graphicData>
                  </a:graphic>
                </wp:inline>
              </w:drawing>
            </w:r>
          </w:p>
          <w:p w14:paraId="0D4DF01C" w14:textId="77777777" w:rsidR="008A4983" w:rsidRDefault="008A4983" w:rsidP="008A4983">
            <w:pPr>
              <w:pStyle w:val="2body-copy"/>
              <w:rPr>
                <w:rFonts w:cs="Times New Roman"/>
                <w:lang w:val="en-GB"/>
              </w:rPr>
            </w:pPr>
            <w:r>
              <w:rPr>
                <w:rStyle w:val="2body-medium"/>
                <w:rFonts w:cs="Times New Roman"/>
                <w:lang w:val="en-GB"/>
              </w:rPr>
              <w:t xml:space="preserve">Professor </w:t>
            </w:r>
            <w:proofErr w:type="spellStart"/>
            <w:r>
              <w:rPr>
                <w:rStyle w:val="2body-medium"/>
                <w:rFonts w:cs="Times New Roman"/>
                <w:lang w:val="en-GB"/>
              </w:rPr>
              <w:t>Villis</w:t>
            </w:r>
            <w:proofErr w:type="spellEnd"/>
            <w:r>
              <w:rPr>
                <w:rStyle w:val="2body-medium"/>
                <w:rFonts w:cs="Times New Roman"/>
                <w:lang w:val="en-GB"/>
              </w:rPr>
              <w:t xml:space="preserve"> Marshall AC</w:t>
            </w:r>
            <w:r>
              <w:rPr>
                <w:rFonts w:cs="Times New Roman"/>
                <w:lang w:val="en-GB"/>
              </w:rPr>
              <w:br/>
              <w:t>Chair</w:t>
            </w:r>
            <w:r>
              <w:rPr>
                <w:rFonts w:cs="Times New Roman"/>
                <w:lang w:val="en-GB"/>
              </w:rPr>
              <w:br/>
              <w:t>Australian Commission on Safety and Quality in Health Care</w:t>
            </w:r>
            <w:r>
              <w:rPr>
                <w:rFonts w:cs="Times New Roman"/>
                <w:lang w:val="en-GB"/>
              </w:rPr>
              <w:br/>
              <w:t>22 September 2014</w:t>
            </w:r>
          </w:p>
          <w:p w14:paraId="02011C2C" w14:textId="77777777" w:rsidR="008A4983" w:rsidRDefault="008A4983" w:rsidP="008A4983">
            <w:pPr>
              <w:pStyle w:val="Heading1"/>
              <w:pBdr>
                <w:bottom w:val="none" w:sz="0" w:space="0" w:color="auto"/>
              </w:pBdr>
              <w:rPr>
                <w:rFonts w:eastAsia="Times New Roman" w:cs="Times New Roman"/>
                <w:lang w:val="en-GB"/>
              </w:rPr>
            </w:pPr>
          </w:p>
        </w:tc>
      </w:tr>
    </w:tbl>
    <w:p w14:paraId="147216B4" w14:textId="77777777" w:rsidR="0055179E" w:rsidRPr="008A4983" w:rsidRDefault="0055179E">
      <w:pPr>
        <w:rPr>
          <w:rStyle w:val="colourssaq-dark-blue"/>
          <w:rFonts w:eastAsia="Times New Roman" w:cs="Times New Roman"/>
          <w:b/>
          <w:bCs/>
          <w:kern w:val="36"/>
          <w:sz w:val="48"/>
          <w:szCs w:val="48"/>
          <w:lang w:val="en-GB"/>
        </w:rPr>
      </w:pPr>
      <w:r>
        <w:rPr>
          <w:rStyle w:val="colourssaq-dark-blue"/>
          <w:rFonts w:eastAsia="Times New Roman" w:cs="Times New Roman"/>
          <w:lang w:val="en-GB"/>
        </w:rPr>
        <w:br w:type="page"/>
      </w:r>
    </w:p>
    <w:p w14:paraId="77DDB08F" w14:textId="77777777" w:rsidR="00895CD2" w:rsidRDefault="00AD26F3" w:rsidP="00CC19BB">
      <w:pPr>
        <w:pStyle w:val="Heading1"/>
        <w:rPr>
          <w:rFonts w:eastAsia="Times New Roman" w:cs="Times New Roman"/>
          <w:lang w:val="en-GB"/>
        </w:rPr>
      </w:pPr>
      <w:bookmarkStart w:id="2" w:name="_Toc274247490"/>
      <w:bookmarkStart w:id="3" w:name="_Toc414011861"/>
      <w:r w:rsidRPr="00CC19BB">
        <w:rPr>
          <w:rStyle w:val="colourssaq-dark-blue"/>
          <w:color w:val="5F605F"/>
        </w:rPr>
        <w:lastRenderedPageBreak/>
        <w:t>Contents</w:t>
      </w:r>
      <w:bookmarkEnd w:id="2"/>
      <w:bookmarkEnd w:id="3"/>
    </w:p>
    <w:p w14:paraId="0ECB4E7F" w14:textId="77777777" w:rsidR="00895CD2" w:rsidRDefault="00AD26F3">
      <w:pPr>
        <w:pStyle w:val="2intro"/>
        <w:rPr>
          <w:rStyle w:val="colourssaq-dark-blue"/>
          <w:rFonts w:cs="Times New Roman"/>
          <w:lang w:val="en-GB"/>
        </w:rPr>
      </w:pPr>
      <w:r>
        <w:rPr>
          <w:rStyle w:val="colourssaq-dark-blue"/>
          <w:rFonts w:cs="Times New Roman"/>
          <w:lang w:val="en-GB"/>
        </w:rPr>
        <w:t>This annual report was prepared and submitted in accordance with parliamentary reporting and legislative requirements. It provides an overview of the Australian Commission on Safety and Quality in Health Care’s operations and performance for the financial year ending 30 June 2014.</w:t>
      </w:r>
    </w:p>
    <w:p w14:paraId="235EACA8" w14:textId="4ED75D92" w:rsidR="00CD7015" w:rsidRPr="00C83FFA" w:rsidRDefault="00AD26F3" w:rsidP="00961623">
      <w:pPr>
        <w:pStyle w:val="TOC2"/>
        <w:tabs>
          <w:tab w:val="right" w:pos="10189"/>
        </w:tabs>
        <w:rPr>
          <w:rFonts w:asciiTheme="minorHAnsi" w:hAnsiTheme="minorHAnsi"/>
          <w:noProof/>
          <w:sz w:val="22"/>
          <w:szCs w:val="22"/>
          <w:lang w:eastAsia="en-AU"/>
        </w:rPr>
      </w:pPr>
      <w:r w:rsidRPr="00C83FFA">
        <w:rPr>
          <w:rFonts w:cs="Times New Roman"/>
          <w:lang w:val="en-GB"/>
        </w:rPr>
        <w:fldChar w:fldCharType="begin"/>
      </w:r>
      <w:r w:rsidRPr="00C83FFA">
        <w:rPr>
          <w:rFonts w:cs="Times New Roman"/>
          <w:lang w:val="en-GB"/>
        </w:rPr>
        <w:instrText xml:space="preserve"> TOC \t "Heading 1,2,00_section title H1,1" </w:instrText>
      </w:r>
      <w:r w:rsidRPr="00C83FFA">
        <w:rPr>
          <w:rFonts w:cs="Times New Roman"/>
          <w:lang w:val="en-GB"/>
        </w:rPr>
        <w:fldChar w:fldCharType="separate"/>
      </w:r>
      <w:r w:rsidR="00CD7015" w:rsidRPr="00C83FFA">
        <w:rPr>
          <w:noProof/>
        </w:rPr>
        <w:t>Contents</w:t>
      </w:r>
      <w:r w:rsidR="00CD7015" w:rsidRPr="00C83FFA">
        <w:rPr>
          <w:noProof/>
        </w:rPr>
        <w:tab/>
      </w:r>
      <w:r w:rsidR="00F45B70">
        <w:rPr>
          <w:noProof/>
        </w:rPr>
        <w:t>5</w:t>
      </w:r>
    </w:p>
    <w:p w14:paraId="0212601C" w14:textId="08D9B05A" w:rsidR="00CD7015" w:rsidRPr="00C83FFA" w:rsidRDefault="00CD7015" w:rsidP="00961623">
      <w:pPr>
        <w:pStyle w:val="TOC2"/>
        <w:tabs>
          <w:tab w:val="right" w:pos="10189"/>
        </w:tabs>
        <w:rPr>
          <w:rFonts w:asciiTheme="minorHAnsi" w:hAnsiTheme="minorHAnsi"/>
          <w:noProof/>
          <w:sz w:val="22"/>
          <w:szCs w:val="22"/>
          <w:lang w:eastAsia="en-AU"/>
        </w:rPr>
      </w:pPr>
      <w:r w:rsidRPr="00C83FFA">
        <w:rPr>
          <w:noProof/>
        </w:rPr>
        <w:t>1. Overview</w:t>
      </w:r>
      <w:r w:rsidRPr="00C83FFA">
        <w:rPr>
          <w:noProof/>
        </w:rPr>
        <w:tab/>
      </w:r>
      <w:r w:rsidR="00F45B70">
        <w:rPr>
          <w:noProof/>
        </w:rPr>
        <w:t>7</w:t>
      </w:r>
    </w:p>
    <w:p w14:paraId="15FDB2B2" w14:textId="1BCEDDA8"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About the Commission</w:t>
      </w:r>
      <w:r w:rsidRPr="00C83FFA">
        <w:rPr>
          <w:noProof/>
        </w:rPr>
        <w:tab/>
      </w:r>
      <w:r w:rsidR="00F45B70">
        <w:rPr>
          <w:noProof/>
        </w:rPr>
        <w:t>8</w:t>
      </w:r>
    </w:p>
    <w:p w14:paraId="40BD03B3" w14:textId="6B36FD3B"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Highlights 2013/14</w:t>
      </w:r>
      <w:r w:rsidRPr="00C83FFA">
        <w:rPr>
          <w:noProof/>
        </w:rPr>
        <w:tab/>
      </w:r>
      <w:r w:rsidRPr="00C83FFA">
        <w:rPr>
          <w:noProof/>
        </w:rPr>
        <w:fldChar w:fldCharType="begin"/>
      </w:r>
      <w:r w:rsidRPr="00C83FFA">
        <w:rPr>
          <w:noProof/>
        </w:rPr>
        <w:instrText xml:space="preserve"> PAGEREF _Toc414011864 \h </w:instrText>
      </w:r>
      <w:r w:rsidRPr="00C83FFA">
        <w:rPr>
          <w:noProof/>
        </w:rPr>
      </w:r>
      <w:r w:rsidRPr="00C83FFA">
        <w:rPr>
          <w:noProof/>
        </w:rPr>
        <w:fldChar w:fldCharType="separate"/>
      </w:r>
      <w:r w:rsidRPr="00C83FFA">
        <w:rPr>
          <w:noProof/>
        </w:rPr>
        <w:t>1</w:t>
      </w:r>
      <w:r w:rsidRPr="00C83FFA">
        <w:rPr>
          <w:noProof/>
        </w:rPr>
        <w:fldChar w:fldCharType="end"/>
      </w:r>
      <w:r w:rsidR="00F45B70">
        <w:rPr>
          <w:noProof/>
        </w:rPr>
        <w:t>0</w:t>
      </w:r>
    </w:p>
    <w:p w14:paraId="7764FCD6" w14:textId="38A0CE39"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Health service accreditation 2013/14</w:t>
      </w:r>
      <w:r w:rsidRPr="00C83FFA">
        <w:rPr>
          <w:noProof/>
        </w:rPr>
        <w:tab/>
      </w:r>
      <w:r w:rsidRPr="00C83FFA">
        <w:rPr>
          <w:noProof/>
        </w:rPr>
        <w:fldChar w:fldCharType="begin"/>
      </w:r>
      <w:r w:rsidRPr="00C83FFA">
        <w:rPr>
          <w:noProof/>
        </w:rPr>
        <w:instrText xml:space="preserve"> PAGEREF _Toc414011866 \h </w:instrText>
      </w:r>
      <w:r w:rsidRPr="00C83FFA">
        <w:rPr>
          <w:noProof/>
        </w:rPr>
      </w:r>
      <w:r w:rsidRPr="00C83FFA">
        <w:rPr>
          <w:noProof/>
        </w:rPr>
        <w:fldChar w:fldCharType="separate"/>
      </w:r>
      <w:r w:rsidRPr="00C83FFA">
        <w:rPr>
          <w:noProof/>
        </w:rPr>
        <w:t>1</w:t>
      </w:r>
      <w:r w:rsidRPr="00C83FFA">
        <w:rPr>
          <w:noProof/>
        </w:rPr>
        <w:fldChar w:fldCharType="end"/>
      </w:r>
      <w:r w:rsidR="00F45B70">
        <w:rPr>
          <w:noProof/>
        </w:rPr>
        <w:t>3</w:t>
      </w:r>
    </w:p>
    <w:p w14:paraId="7AB9E6AD" w14:textId="7E33C8BF"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Report from the Chair</w:t>
      </w:r>
      <w:r w:rsidRPr="00C83FFA">
        <w:rPr>
          <w:noProof/>
        </w:rPr>
        <w:tab/>
      </w:r>
      <w:r w:rsidRPr="00C83FFA">
        <w:rPr>
          <w:noProof/>
        </w:rPr>
        <w:fldChar w:fldCharType="begin"/>
      </w:r>
      <w:r w:rsidRPr="00C83FFA">
        <w:rPr>
          <w:noProof/>
        </w:rPr>
        <w:instrText xml:space="preserve"> PAGEREF _Toc414011868 \h </w:instrText>
      </w:r>
      <w:r w:rsidRPr="00C83FFA">
        <w:rPr>
          <w:noProof/>
        </w:rPr>
      </w:r>
      <w:r w:rsidRPr="00C83FFA">
        <w:rPr>
          <w:noProof/>
        </w:rPr>
        <w:fldChar w:fldCharType="separate"/>
      </w:r>
      <w:r w:rsidRPr="00C83FFA">
        <w:rPr>
          <w:noProof/>
        </w:rPr>
        <w:t>1</w:t>
      </w:r>
      <w:r w:rsidR="00F45B70">
        <w:rPr>
          <w:noProof/>
        </w:rPr>
        <w:t>5</w:t>
      </w:r>
      <w:r w:rsidRPr="00C83FFA">
        <w:rPr>
          <w:noProof/>
        </w:rPr>
        <w:fldChar w:fldCharType="end"/>
      </w:r>
    </w:p>
    <w:p w14:paraId="732D3E97" w14:textId="2D270051"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Report from the CEO</w:t>
      </w:r>
      <w:r w:rsidRPr="00C83FFA">
        <w:rPr>
          <w:noProof/>
        </w:rPr>
        <w:tab/>
      </w:r>
      <w:r w:rsidRPr="00C83FFA">
        <w:rPr>
          <w:noProof/>
        </w:rPr>
        <w:fldChar w:fldCharType="begin"/>
      </w:r>
      <w:r w:rsidRPr="00C83FFA">
        <w:rPr>
          <w:noProof/>
        </w:rPr>
        <w:instrText xml:space="preserve"> PAGEREF _Toc414011870 \h </w:instrText>
      </w:r>
      <w:r w:rsidRPr="00C83FFA">
        <w:rPr>
          <w:noProof/>
        </w:rPr>
      </w:r>
      <w:r w:rsidRPr="00C83FFA">
        <w:rPr>
          <w:noProof/>
        </w:rPr>
        <w:fldChar w:fldCharType="separate"/>
      </w:r>
      <w:r w:rsidRPr="00C83FFA">
        <w:rPr>
          <w:noProof/>
        </w:rPr>
        <w:t>1</w:t>
      </w:r>
      <w:r w:rsidR="00F45B70">
        <w:rPr>
          <w:noProof/>
        </w:rPr>
        <w:t>7</w:t>
      </w:r>
      <w:r w:rsidRPr="00C83FFA">
        <w:rPr>
          <w:noProof/>
        </w:rPr>
        <w:fldChar w:fldCharType="end"/>
      </w:r>
    </w:p>
    <w:p w14:paraId="29C7105B" w14:textId="66AE5301" w:rsidR="00CD7015" w:rsidRPr="00C83FFA" w:rsidRDefault="00CD7015" w:rsidP="00961623">
      <w:pPr>
        <w:pStyle w:val="TOC2"/>
        <w:tabs>
          <w:tab w:val="right" w:pos="10189"/>
        </w:tabs>
        <w:rPr>
          <w:rFonts w:asciiTheme="minorHAnsi" w:hAnsiTheme="minorHAnsi"/>
          <w:noProof/>
          <w:sz w:val="22"/>
          <w:szCs w:val="22"/>
          <w:lang w:eastAsia="en-AU"/>
        </w:rPr>
      </w:pPr>
      <w:r w:rsidRPr="00C83FFA">
        <w:rPr>
          <w:noProof/>
        </w:rPr>
        <w:t>2 Our work</w:t>
      </w:r>
      <w:r w:rsidRPr="00C83FFA">
        <w:rPr>
          <w:noProof/>
        </w:rPr>
        <w:tab/>
      </w:r>
      <w:r w:rsidRPr="00C83FFA">
        <w:rPr>
          <w:noProof/>
        </w:rPr>
        <w:fldChar w:fldCharType="begin"/>
      </w:r>
      <w:r w:rsidRPr="00C83FFA">
        <w:rPr>
          <w:noProof/>
        </w:rPr>
        <w:instrText xml:space="preserve"> PAGEREF _Toc414011871 \h </w:instrText>
      </w:r>
      <w:r w:rsidRPr="00C83FFA">
        <w:rPr>
          <w:noProof/>
        </w:rPr>
      </w:r>
      <w:r w:rsidRPr="00C83FFA">
        <w:rPr>
          <w:noProof/>
        </w:rPr>
        <w:fldChar w:fldCharType="separate"/>
      </w:r>
      <w:r w:rsidRPr="00C83FFA">
        <w:rPr>
          <w:noProof/>
        </w:rPr>
        <w:t>2</w:t>
      </w:r>
      <w:r w:rsidR="00F45B70">
        <w:rPr>
          <w:noProof/>
        </w:rPr>
        <w:t>0</w:t>
      </w:r>
      <w:r w:rsidRPr="00C83FFA">
        <w:rPr>
          <w:noProof/>
        </w:rPr>
        <w:fldChar w:fldCharType="end"/>
      </w:r>
    </w:p>
    <w:p w14:paraId="54CB434E" w14:textId="1DD3D1F8"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Our work priorities</w:t>
      </w:r>
      <w:r w:rsidRPr="00C83FFA">
        <w:rPr>
          <w:noProof/>
        </w:rPr>
        <w:tab/>
      </w:r>
      <w:r w:rsidRPr="00C83FFA">
        <w:rPr>
          <w:noProof/>
        </w:rPr>
        <w:fldChar w:fldCharType="begin"/>
      </w:r>
      <w:r w:rsidRPr="00C83FFA">
        <w:rPr>
          <w:noProof/>
        </w:rPr>
        <w:instrText xml:space="preserve"> PAGEREF _Toc414011872 \h </w:instrText>
      </w:r>
      <w:r w:rsidRPr="00C83FFA">
        <w:rPr>
          <w:noProof/>
        </w:rPr>
      </w:r>
      <w:r w:rsidRPr="00C83FFA">
        <w:rPr>
          <w:noProof/>
        </w:rPr>
        <w:fldChar w:fldCharType="separate"/>
      </w:r>
      <w:r w:rsidRPr="00C83FFA">
        <w:rPr>
          <w:noProof/>
        </w:rPr>
        <w:t>2</w:t>
      </w:r>
      <w:r w:rsidR="00F45B70">
        <w:rPr>
          <w:noProof/>
        </w:rPr>
        <w:t>1</w:t>
      </w:r>
      <w:r w:rsidRPr="00C83FFA">
        <w:rPr>
          <w:noProof/>
        </w:rPr>
        <w:fldChar w:fldCharType="end"/>
      </w:r>
    </w:p>
    <w:p w14:paraId="14E1F5C8" w14:textId="1EF1F17B"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National safety and quality standards and accreditation</w:t>
      </w:r>
      <w:r w:rsidRPr="00C83FFA">
        <w:rPr>
          <w:noProof/>
        </w:rPr>
        <w:tab/>
      </w:r>
      <w:r w:rsidRPr="00C83FFA">
        <w:rPr>
          <w:noProof/>
        </w:rPr>
        <w:fldChar w:fldCharType="begin"/>
      </w:r>
      <w:r w:rsidRPr="00C83FFA">
        <w:rPr>
          <w:noProof/>
        </w:rPr>
        <w:instrText xml:space="preserve"> PAGEREF _Toc414011873 \h </w:instrText>
      </w:r>
      <w:r w:rsidRPr="00C83FFA">
        <w:rPr>
          <w:noProof/>
        </w:rPr>
      </w:r>
      <w:r w:rsidRPr="00C83FFA">
        <w:rPr>
          <w:noProof/>
        </w:rPr>
        <w:fldChar w:fldCharType="separate"/>
      </w:r>
      <w:r w:rsidRPr="00C83FFA">
        <w:rPr>
          <w:noProof/>
        </w:rPr>
        <w:t>2</w:t>
      </w:r>
      <w:r w:rsidRPr="00C83FFA">
        <w:rPr>
          <w:noProof/>
        </w:rPr>
        <w:fldChar w:fldCharType="end"/>
      </w:r>
      <w:r w:rsidR="00F45B70">
        <w:rPr>
          <w:noProof/>
        </w:rPr>
        <w:t>2</w:t>
      </w:r>
    </w:p>
    <w:p w14:paraId="3B9EC975" w14:textId="500F1585"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Supporting quality practice and clinical</w:t>
      </w:r>
      <w:r w:rsidRPr="00C83FFA">
        <w:rPr>
          <w:rFonts w:cs="Times New Roman"/>
          <w:noProof/>
          <w:lang w:val="en-GB"/>
        </w:rPr>
        <w:t> </w:t>
      </w:r>
      <w:r w:rsidRPr="00C83FFA">
        <w:rPr>
          <w:noProof/>
          <w:lang w:val="en-GB"/>
        </w:rPr>
        <w:t>standards</w:t>
      </w:r>
      <w:r w:rsidRPr="00C83FFA">
        <w:rPr>
          <w:noProof/>
        </w:rPr>
        <w:tab/>
      </w:r>
      <w:r w:rsidR="00F45B70">
        <w:rPr>
          <w:noProof/>
        </w:rPr>
        <w:t>29</w:t>
      </w:r>
    </w:p>
    <w:p w14:paraId="55A35223" w14:textId="21783471"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Reduction in unwarranted variation</w:t>
      </w:r>
      <w:r w:rsidRPr="00C83FFA">
        <w:rPr>
          <w:noProof/>
        </w:rPr>
        <w:tab/>
      </w:r>
      <w:r w:rsidR="00F45B70">
        <w:rPr>
          <w:noProof/>
        </w:rPr>
        <w:t>39</w:t>
      </w:r>
    </w:p>
    <w:p w14:paraId="7592F13D" w14:textId="1B199FF2"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Data set development</w:t>
      </w:r>
      <w:r w:rsidRPr="00C83FFA">
        <w:rPr>
          <w:noProof/>
        </w:rPr>
        <w:tab/>
      </w:r>
      <w:r w:rsidR="00F45B70">
        <w:rPr>
          <w:noProof/>
        </w:rPr>
        <w:t>44</w:t>
      </w:r>
    </w:p>
    <w:p w14:paraId="213D99EA" w14:textId="16381BAA"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Publishing and reporting</w:t>
      </w:r>
      <w:r w:rsidRPr="00C83FFA">
        <w:rPr>
          <w:noProof/>
        </w:rPr>
        <w:tab/>
      </w:r>
      <w:r w:rsidRPr="00C83FFA">
        <w:rPr>
          <w:noProof/>
        </w:rPr>
        <w:fldChar w:fldCharType="begin"/>
      </w:r>
      <w:r w:rsidRPr="00C83FFA">
        <w:rPr>
          <w:noProof/>
        </w:rPr>
        <w:instrText xml:space="preserve"> PAGEREF _Toc414011877 \h </w:instrText>
      </w:r>
      <w:r w:rsidRPr="00C83FFA">
        <w:rPr>
          <w:noProof/>
        </w:rPr>
      </w:r>
      <w:r w:rsidRPr="00C83FFA">
        <w:rPr>
          <w:noProof/>
        </w:rPr>
        <w:fldChar w:fldCharType="separate"/>
      </w:r>
      <w:r w:rsidRPr="00C83FFA">
        <w:rPr>
          <w:noProof/>
        </w:rPr>
        <w:t>4</w:t>
      </w:r>
      <w:r w:rsidRPr="00C83FFA">
        <w:rPr>
          <w:noProof/>
        </w:rPr>
        <w:fldChar w:fldCharType="end"/>
      </w:r>
      <w:r w:rsidR="00F45B70">
        <w:rPr>
          <w:noProof/>
        </w:rPr>
        <w:t>6</w:t>
      </w:r>
    </w:p>
    <w:p w14:paraId="534656EF" w14:textId="247C0888"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 xml:space="preserve">Knowledge and </w:t>
      </w:r>
      <w:r w:rsidRPr="00C83FFA">
        <w:rPr>
          <w:noProof/>
        </w:rPr>
        <w:t>leadership</w:t>
      </w:r>
      <w:r w:rsidRPr="00C83FFA">
        <w:rPr>
          <w:noProof/>
          <w:lang w:val="en-GB"/>
        </w:rPr>
        <w:t xml:space="preserve"> in safety and quality</w:t>
      </w:r>
      <w:r w:rsidRPr="00C83FFA">
        <w:rPr>
          <w:noProof/>
        </w:rPr>
        <w:tab/>
      </w:r>
      <w:r w:rsidRPr="00C83FFA">
        <w:rPr>
          <w:noProof/>
        </w:rPr>
        <w:fldChar w:fldCharType="begin"/>
      </w:r>
      <w:r w:rsidRPr="00C83FFA">
        <w:rPr>
          <w:noProof/>
        </w:rPr>
        <w:instrText xml:space="preserve"> PAGEREF _Toc414011878 \h </w:instrText>
      </w:r>
      <w:r w:rsidRPr="00C83FFA">
        <w:rPr>
          <w:noProof/>
        </w:rPr>
      </w:r>
      <w:r w:rsidRPr="00C83FFA">
        <w:rPr>
          <w:noProof/>
        </w:rPr>
        <w:fldChar w:fldCharType="separate"/>
      </w:r>
      <w:r w:rsidRPr="00C83FFA">
        <w:rPr>
          <w:noProof/>
        </w:rPr>
        <w:t>4</w:t>
      </w:r>
      <w:r w:rsidRPr="00C83FFA">
        <w:rPr>
          <w:noProof/>
        </w:rPr>
        <w:fldChar w:fldCharType="end"/>
      </w:r>
      <w:r w:rsidR="00F45B70">
        <w:rPr>
          <w:noProof/>
        </w:rPr>
        <w:t>8</w:t>
      </w:r>
    </w:p>
    <w:p w14:paraId="4C82001E" w14:textId="13466FCC" w:rsidR="00CD7015" w:rsidRPr="00C83FFA" w:rsidRDefault="00CD7015" w:rsidP="00961623">
      <w:pPr>
        <w:pStyle w:val="TOC2"/>
        <w:tabs>
          <w:tab w:val="right" w:pos="10189"/>
        </w:tabs>
        <w:rPr>
          <w:rFonts w:asciiTheme="minorHAnsi" w:hAnsiTheme="minorHAnsi"/>
          <w:noProof/>
          <w:sz w:val="22"/>
          <w:szCs w:val="22"/>
          <w:lang w:eastAsia="en-AU"/>
        </w:rPr>
      </w:pPr>
      <w:r w:rsidRPr="00C83FFA">
        <w:rPr>
          <w:rFonts w:cs="Times New Roman"/>
          <w:noProof/>
        </w:rPr>
        <w:t xml:space="preserve">3. </w:t>
      </w:r>
      <w:r w:rsidRPr="00C83FFA">
        <w:rPr>
          <w:noProof/>
        </w:rPr>
        <w:t>Assessment of safety and quality in health care</w:t>
      </w:r>
      <w:r w:rsidRPr="00C83FFA">
        <w:rPr>
          <w:noProof/>
        </w:rPr>
        <w:tab/>
      </w:r>
      <w:r w:rsidR="00F45B70">
        <w:rPr>
          <w:noProof/>
        </w:rPr>
        <w:t>52</w:t>
      </w:r>
    </w:p>
    <w:p w14:paraId="324B4AF4" w14:textId="5B001127" w:rsidR="00CD7015" w:rsidRPr="00C83FFA" w:rsidRDefault="00C83FFA" w:rsidP="00961623">
      <w:pPr>
        <w:pStyle w:val="TOC2"/>
        <w:tabs>
          <w:tab w:val="right" w:pos="10189"/>
        </w:tabs>
        <w:rPr>
          <w:rFonts w:asciiTheme="minorHAnsi" w:hAnsiTheme="minorHAnsi"/>
          <w:noProof/>
          <w:sz w:val="22"/>
          <w:szCs w:val="22"/>
          <w:lang w:eastAsia="en-AU"/>
        </w:rPr>
      </w:pPr>
      <w:r w:rsidRPr="00C83FFA">
        <w:rPr>
          <w:noProof/>
          <w:lang w:val="en-GB"/>
        </w:rPr>
        <w:t xml:space="preserve">    </w:t>
      </w:r>
      <w:r w:rsidR="00CD7015" w:rsidRPr="00C83FFA">
        <w:rPr>
          <w:noProof/>
          <w:lang w:val="en-GB"/>
        </w:rPr>
        <w:t xml:space="preserve">Safety and </w:t>
      </w:r>
      <w:r w:rsidR="00CD7015" w:rsidRPr="00C83FFA">
        <w:rPr>
          <w:noProof/>
        </w:rPr>
        <w:t>quality</w:t>
      </w:r>
      <w:r w:rsidR="00CD7015" w:rsidRPr="00C83FFA">
        <w:rPr>
          <w:noProof/>
          <w:lang w:val="en-GB"/>
        </w:rPr>
        <w:t xml:space="preserve"> in health care in Australia</w:t>
      </w:r>
      <w:r w:rsidR="00CD7015" w:rsidRPr="00C83FFA">
        <w:rPr>
          <w:noProof/>
        </w:rPr>
        <w:tab/>
      </w:r>
      <w:r w:rsidR="00CD7015" w:rsidRPr="00C83FFA">
        <w:rPr>
          <w:noProof/>
        </w:rPr>
        <w:fldChar w:fldCharType="begin"/>
      </w:r>
      <w:r w:rsidR="00CD7015" w:rsidRPr="00C83FFA">
        <w:rPr>
          <w:noProof/>
        </w:rPr>
        <w:instrText xml:space="preserve"> PAGEREF _Toc414011880 \h </w:instrText>
      </w:r>
      <w:r w:rsidR="00CD7015" w:rsidRPr="00C83FFA">
        <w:rPr>
          <w:noProof/>
        </w:rPr>
      </w:r>
      <w:r w:rsidR="00CD7015" w:rsidRPr="00C83FFA">
        <w:rPr>
          <w:noProof/>
        </w:rPr>
        <w:fldChar w:fldCharType="separate"/>
      </w:r>
      <w:r w:rsidR="00CD7015" w:rsidRPr="00C83FFA">
        <w:rPr>
          <w:noProof/>
        </w:rPr>
        <w:t>5</w:t>
      </w:r>
      <w:r w:rsidR="00CD7015" w:rsidRPr="00C83FFA">
        <w:rPr>
          <w:noProof/>
        </w:rPr>
        <w:fldChar w:fldCharType="end"/>
      </w:r>
      <w:r w:rsidR="00F45B70">
        <w:rPr>
          <w:noProof/>
        </w:rPr>
        <w:t>3</w:t>
      </w:r>
    </w:p>
    <w:p w14:paraId="0D873422" w14:textId="67007456" w:rsidR="00CD7015" w:rsidRPr="00C83FFA" w:rsidRDefault="00CD7015" w:rsidP="00961623">
      <w:pPr>
        <w:pStyle w:val="TOC2"/>
        <w:tabs>
          <w:tab w:val="right" w:pos="10189"/>
        </w:tabs>
        <w:rPr>
          <w:rFonts w:asciiTheme="minorHAnsi" w:hAnsiTheme="minorHAnsi"/>
          <w:noProof/>
          <w:sz w:val="22"/>
          <w:szCs w:val="22"/>
          <w:lang w:eastAsia="en-AU"/>
        </w:rPr>
      </w:pPr>
      <w:r w:rsidRPr="00C83FFA">
        <w:rPr>
          <w:rFonts w:cs="Times New Roman"/>
          <w:noProof/>
        </w:rPr>
        <w:t>4.</w:t>
      </w:r>
      <w:r w:rsidRPr="00C83FFA">
        <w:rPr>
          <w:noProof/>
        </w:rPr>
        <w:t xml:space="preserve"> Corporate governance and accountability</w:t>
      </w:r>
      <w:r w:rsidRPr="00C83FFA">
        <w:rPr>
          <w:noProof/>
        </w:rPr>
        <w:tab/>
      </w:r>
      <w:r w:rsidR="00F45B70">
        <w:rPr>
          <w:noProof/>
        </w:rPr>
        <w:t>56</w:t>
      </w:r>
    </w:p>
    <w:p w14:paraId="16E7A664" w14:textId="0742CB1F"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Legislation</w:t>
      </w:r>
      <w:r w:rsidRPr="00C83FFA">
        <w:rPr>
          <w:noProof/>
          <w:lang w:val="en-GB"/>
        </w:rPr>
        <w:t xml:space="preserve"> and requirements</w:t>
      </w:r>
      <w:r w:rsidRPr="00C83FFA">
        <w:rPr>
          <w:noProof/>
        </w:rPr>
        <w:tab/>
      </w:r>
      <w:r w:rsidR="00F45B70">
        <w:rPr>
          <w:noProof/>
        </w:rPr>
        <w:t>57</w:t>
      </w:r>
    </w:p>
    <w:p w14:paraId="4FE6F9FB" w14:textId="1FC23F0B"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Strategic planning</w:t>
      </w:r>
      <w:r w:rsidRPr="00C83FFA">
        <w:rPr>
          <w:noProof/>
        </w:rPr>
        <w:tab/>
      </w:r>
      <w:r w:rsidR="00F45B70">
        <w:rPr>
          <w:noProof/>
        </w:rPr>
        <w:t>57</w:t>
      </w:r>
    </w:p>
    <w:p w14:paraId="6B11001A" w14:textId="3A6814AB"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 xml:space="preserve">Ministerial </w:t>
      </w:r>
      <w:r w:rsidRPr="00C83FFA">
        <w:rPr>
          <w:noProof/>
        </w:rPr>
        <w:t>Directions</w:t>
      </w:r>
      <w:r w:rsidRPr="00C83FFA">
        <w:rPr>
          <w:noProof/>
        </w:rPr>
        <w:tab/>
      </w:r>
      <w:r w:rsidR="00F45B70">
        <w:rPr>
          <w:noProof/>
        </w:rPr>
        <w:t>57</w:t>
      </w:r>
    </w:p>
    <w:p w14:paraId="063DD132" w14:textId="0A15A4C8"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Commission</w:t>
      </w:r>
      <w:r w:rsidRPr="00C83FFA">
        <w:rPr>
          <w:noProof/>
          <w:lang w:val="en-GB"/>
        </w:rPr>
        <w:t xml:space="preserve"> Board</w:t>
      </w:r>
      <w:r w:rsidRPr="00C83FFA">
        <w:rPr>
          <w:noProof/>
        </w:rPr>
        <w:tab/>
      </w:r>
      <w:r w:rsidR="00F45B70">
        <w:rPr>
          <w:noProof/>
        </w:rPr>
        <w:t>57</w:t>
      </w:r>
    </w:p>
    <w:p w14:paraId="0C8F2649" w14:textId="0EF897DD"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Committees</w:t>
      </w:r>
      <w:r w:rsidRPr="00C83FFA">
        <w:rPr>
          <w:noProof/>
        </w:rPr>
        <w:tab/>
      </w:r>
      <w:r w:rsidRPr="00C83FFA">
        <w:rPr>
          <w:noProof/>
        </w:rPr>
        <w:fldChar w:fldCharType="begin"/>
      </w:r>
      <w:r w:rsidRPr="00C83FFA">
        <w:rPr>
          <w:noProof/>
        </w:rPr>
        <w:instrText xml:space="preserve"> PAGEREF _Toc414011886 \h </w:instrText>
      </w:r>
      <w:r w:rsidRPr="00C83FFA">
        <w:rPr>
          <w:noProof/>
        </w:rPr>
      </w:r>
      <w:r w:rsidRPr="00C83FFA">
        <w:rPr>
          <w:noProof/>
        </w:rPr>
        <w:fldChar w:fldCharType="separate"/>
      </w:r>
      <w:r w:rsidRPr="00C83FFA">
        <w:rPr>
          <w:noProof/>
        </w:rPr>
        <w:t>6</w:t>
      </w:r>
      <w:r w:rsidR="00F45B70">
        <w:rPr>
          <w:noProof/>
        </w:rPr>
        <w:t>3</w:t>
      </w:r>
      <w:r w:rsidRPr="00C83FFA">
        <w:rPr>
          <w:noProof/>
        </w:rPr>
        <w:fldChar w:fldCharType="end"/>
      </w:r>
    </w:p>
    <w:p w14:paraId="6ABC7E0E" w14:textId="1A31BDDE"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 xml:space="preserve">Internal </w:t>
      </w:r>
      <w:r w:rsidRPr="00C83FFA">
        <w:rPr>
          <w:noProof/>
        </w:rPr>
        <w:t>governance</w:t>
      </w:r>
      <w:r w:rsidRPr="00C83FFA">
        <w:rPr>
          <w:noProof/>
          <w:lang w:val="en-GB"/>
        </w:rPr>
        <w:t xml:space="preserve"> arrangements</w:t>
      </w:r>
      <w:r w:rsidRPr="00C83FFA">
        <w:rPr>
          <w:noProof/>
        </w:rPr>
        <w:tab/>
      </w:r>
      <w:r w:rsidR="00F45B70">
        <w:rPr>
          <w:noProof/>
        </w:rPr>
        <w:t>65</w:t>
      </w:r>
    </w:p>
    <w:p w14:paraId="5C3CE07C" w14:textId="4963EA55"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External scrutiny</w:t>
      </w:r>
      <w:r w:rsidRPr="00C83FFA">
        <w:rPr>
          <w:noProof/>
        </w:rPr>
        <w:tab/>
      </w:r>
      <w:r w:rsidR="00F45B70">
        <w:rPr>
          <w:noProof/>
        </w:rPr>
        <w:t>66</w:t>
      </w:r>
    </w:p>
    <w:p w14:paraId="267CE97D" w14:textId="17E57F14"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Developments and significant events</w:t>
      </w:r>
      <w:r w:rsidRPr="00C83FFA">
        <w:rPr>
          <w:noProof/>
        </w:rPr>
        <w:tab/>
      </w:r>
      <w:r w:rsidR="00F45B70">
        <w:rPr>
          <w:noProof/>
        </w:rPr>
        <w:t>66</w:t>
      </w:r>
    </w:p>
    <w:p w14:paraId="21161E3A" w14:textId="5EB4650A"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 xml:space="preserve">Environmental </w:t>
      </w:r>
      <w:r w:rsidRPr="00C83FFA">
        <w:rPr>
          <w:noProof/>
        </w:rPr>
        <w:t>performance</w:t>
      </w:r>
      <w:r w:rsidRPr="00C83FFA">
        <w:rPr>
          <w:noProof/>
          <w:lang w:val="en-GB"/>
        </w:rPr>
        <w:t xml:space="preserve"> and ecologically sustainable development</w:t>
      </w:r>
      <w:r w:rsidRPr="00C83FFA">
        <w:rPr>
          <w:noProof/>
        </w:rPr>
        <w:tab/>
      </w:r>
      <w:r w:rsidR="00F45B70">
        <w:rPr>
          <w:noProof/>
        </w:rPr>
        <w:t>66</w:t>
      </w:r>
    </w:p>
    <w:p w14:paraId="68926B4A" w14:textId="02DDBDC3"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i/>
          <w:noProof/>
          <w:lang w:val="en-GB"/>
        </w:rPr>
        <w:t xml:space="preserve">National </w:t>
      </w:r>
      <w:r w:rsidRPr="00C83FFA">
        <w:rPr>
          <w:i/>
          <w:noProof/>
        </w:rPr>
        <w:t>Health</w:t>
      </w:r>
      <w:r w:rsidRPr="00C83FFA">
        <w:rPr>
          <w:rFonts w:eastAsia="Times New Roman" w:cs="Times New Roman"/>
          <w:i/>
          <w:noProof/>
          <w:lang w:val="en-GB"/>
        </w:rPr>
        <w:t xml:space="preserve"> Reform Act</w:t>
      </w:r>
      <w:r w:rsidRPr="00C83FFA">
        <w:rPr>
          <w:rFonts w:eastAsia="Times New Roman" w:cs="Times New Roman"/>
          <w:noProof/>
          <w:lang w:val="en-GB"/>
        </w:rPr>
        <w:t xml:space="preserve"> </w:t>
      </w:r>
      <w:r w:rsidRPr="00C83FFA">
        <w:rPr>
          <w:noProof/>
          <w:lang w:val="en-GB"/>
        </w:rPr>
        <w:t>amendments</w:t>
      </w:r>
      <w:r w:rsidRPr="00C83FFA">
        <w:rPr>
          <w:noProof/>
        </w:rPr>
        <w:tab/>
      </w:r>
      <w:r w:rsidR="00F45B70">
        <w:rPr>
          <w:noProof/>
        </w:rPr>
        <w:t>66</w:t>
      </w:r>
    </w:p>
    <w:p w14:paraId="542AD604" w14:textId="257B60B1" w:rsidR="00CD7015" w:rsidRPr="00C83FFA" w:rsidRDefault="00CD7015" w:rsidP="00961623">
      <w:pPr>
        <w:pStyle w:val="TOC2"/>
        <w:tabs>
          <w:tab w:val="right" w:pos="10189"/>
        </w:tabs>
        <w:rPr>
          <w:rFonts w:asciiTheme="minorHAnsi" w:hAnsiTheme="minorHAnsi"/>
          <w:noProof/>
          <w:sz w:val="22"/>
          <w:szCs w:val="22"/>
          <w:lang w:eastAsia="en-AU"/>
        </w:rPr>
      </w:pPr>
      <w:r w:rsidRPr="00C83FFA">
        <w:rPr>
          <w:noProof/>
        </w:rPr>
        <w:t>5 Our organisation</w:t>
      </w:r>
      <w:r w:rsidRPr="00C83FFA">
        <w:rPr>
          <w:noProof/>
        </w:rPr>
        <w:tab/>
      </w:r>
      <w:r w:rsidR="00F45B70">
        <w:rPr>
          <w:noProof/>
        </w:rPr>
        <w:t>68</w:t>
      </w:r>
    </w:p>
    <w:p w14:paraId="0A613305" w14:textId="69239B6A"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Organisational</w:t>
      </w:r>
      <w:r w:rsidRPr="00C83FFA">
        <w:rPr>
          <w:noProof/>
          <w:lang w:val="en-GB"/>
        </w:rPr>
        <w:t xml:space="preserve"> structure</w:t>
      </w:r>
      <w:r w:rsidRPr="00C83FFA">
        <w:rPr>
          <w:noProof/>
        </w:rPr>
        <w:tab/>
      </w:r>
      <w:r w:rsidR="00F45B70">
        <w:rPr>
          <w:noProof/>
        </w:rPr>
        <w:t>69</w:t>
      </w:r>
    </w:p>
    <w:p w14:paraId="4DEEF8F1" w14:textId="07A89F06"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People management</w:t>
      </w:r>
      <w:r w:rsidRPr="00C83FFA">
        <w:rPr>
          <w:noProof/>
        </w:rPr>
        <w:tab/>
      </w:r>
      <w:r w:rsidR="00F45B70">
        <w:rPr>
          <w:noProof/>
        </w:rPr>
        <w:t>71</w:t>
      </w:r>
    </w:p>
    <w:p w14:paraId="63D1233E" w14:textId="07F85D0E"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 xml:space="preserve">Staff </w:t>
      </w:r>
      <w:r w:rsidRPr="00C83FFA">
        <w:rPr>
          <w:noProof/>
        </w:rPr>
        <w:t>profile</w:t>
      </w:r>
      <w:r w:rsidRPr="00C83FFA">
        <w:rPr>
          <w:noProof/>
        </w:rPr>
        <w:tab/>
      </w:r>
      <w:r w:rsidR="00F45B70">
        <w:rPr>
          <w:noProof/>
        </w:rPr>
        <w:t>71</w:t>
      </w:r>
    </w:p>
    <w:p w14:paraId="6941FEBA" w14:textId="73D75EBA"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Non-salary benefits</w:t>
      </w:r>
      <w:r w:rsidRPr="00C83FFA">
        <w:rPr>
          <w:noProof/>
        </w:rPr>
        <w:tab/>
      </w:r>
      <w:r w:rsidR="00F45B70">
        <w:rPr>
          <w:noProof/>
        </w:rPr>
        <w:t>72</w:t>
      </w:r>
    </w:p>
    <w:p w14:paraId="23D6136B" w14:textId="48D13125"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Workplace health and safety</w:t>
      </w:r>
      <w:r w:rsidRPr="00C83FFA">
        <w:rPr>
          <w:noProof/>
        </w:rPr>
        <w:tab/>
      </w:r>
      <w:r w:rsidR="00F45B70">
        <w:rPr>
          <w:noProof/>
        </w:rPr>
        <w:t>72</w:t>
      </w:r>
    </w:p>
    <w:p w14:paraId="66B3AE49" w14:textId="12E59813"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t>Learning and development</w:t>
      </w:r>
      <w:r w:rsidRPr="00C83FFA">
        <w:rPr>
          <w:noProof/>
        </w:rPr>
        <w:tab/>
      </w:r>
      <w:r w:rsidR="00F45B70">
        <w:rPr>
          <w:noProof/>
        </w:rPr>
        <w:t>72</w:t>
      </w:r>
    </w:p>
    <w:p w14:paraId="16320C20" w14:textId="4BCFB845"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rFonts w:eastAsia="Times New Roman" w:cs="Times New Roman"/>
          <w:noProof/>
          <w:lang w:val="en-GB"/>
        </w:rPr>
        <w:lastRenderedPageBreak/>
        <w:t>Disability strategy</w:t>
      </w:r>
      <w:r w:rsidRPr="00C83FFA">
        <w:rPr>
          <w:noProof/>
        </w:rPr>
        <w:tab/>
      </w:r>
      <w:r w:rsidRPr="00C83FFA">
        <w:rPr>
          <w:noProof/>
        </w:rPr>
        <w:fldChar w:fldCharType="begin"/>
      </w:r>
      <w:r w:rsidRPr="00C83FFA">
        <w:rPr>
          <w:noProof/>
        </w:rPr>
        <w:instrText xml:space="preserve"> PAGEREF _Toc414011899 \h </w:instrText>
      </w:r>
      <w:r w:rsidRPr="00C83FFA">
        <w:rPr>
          <w:noProof/>
        </w:rPr>
      </w:r>
      <w:r w:rsidRPr="00C83FFA">
        <w:rPr>
          <w:noProof/>
        </w:rPr>
        <w:fldChar w:fldCharType="separate"/>
      </w:r>
      <w:r w:rsidRPr="00C83FFA">
        <w:rPr>
          <w:noProof/>
        </w:rPr>
        <w:t>7</w:t>
      </w:r>
      <w:r w:rsidR="00F45B70">
        <w:rPr>
          <w:noProof/>
        </w:rPr>
        <w:t>3</w:t>
      </w:r>
      <w:r w:rsidRPr="00C83FFA">
        <w:rPr>
          <w:noProof/>
        </w:rPr>
        <w:fldChar w:fldCharType="end"/>
      </w:r>
    </w:p>
    <w:p w14:paraId="1907E6CB" w14:textId="0EEA6417" w:rsidR="00CD7015" w:rsidRPr="00C83FFA" w:rsidRDefault="00CD7015" w:rsidP="00961623">
      <w:pPr>
        <w:pStyle w:val="TOC2"/>
        <w:tabs>
          <w:tab w:val="right" w:pos="10189"/>
        </w:tabs>
        <w:rPr>
          <w:rFonts w:asciiTheme="minorHAnsi" w:hAnsiTheme="minorHAnsi"/>
          <w:noProof/>
          <w:sz w:val="22"/>
          <w:szCs w:val="22"/>
          <w:lang w:eastAsia="en-AU"/>
        </w:rPr>
      </w:pPr>
      <w:r w:rsidRPr="00C83FFA">
        <w:rPr>
          <w:rFonts w:cs="Times New Roman"/>
          <w:noProof/>
        </w:rPr>
        <w:t xml:space="preserve">6 </w:t>
      </w:r>
      <w:r w:rsidRPr="00C83FFA">
        <w:rPr>
          <w:noProof/>
        </w:rPr>
        <w:t>Financial statements</w:t>
      </w:r>
      <w:r w:rsidRPr="00C83FFA">
        <w:rPr>
          <w:noProof/>
        </w:rPr>
        <w:tab/>
      </w:r>
      <w:r w:rsidRPr="00C83FFA">
        <w:rPr>
          <w:noProof/>
        </w:rPr>
        <w:fldChar w:fldCharType="begin"/>
      </w:r>
      <w:r w:rsidRPr="00C83FFA">
        <w:rPr>
          <w:noProof/>
        </w:rPr>
        <w:instrText xml:space="preserve"> PAGEREF _Toc414011900 \h </w:instrText>
      </w:r>
      <w:r w:rsidRPr="00C83FFA">
        <w:rPr>
          <w:noProof/>
        </w:rPr>
      </w:r>
      <w:r w:rsidRPr="00C83FFA">
        <w:rPr>
          <w:noProof/>
        </w:rPr>
        <w:fldChar w:fldCharType="separate"/>
      </w:r>
      <w:r w:rsidRPr="00C83FFA">
        <w:rPr>
          <w:noProof/>
        </w:rPr>
        <w:t>7</w:t>
      </w:r>
      <w:r w:rsidR="00F45B70">
        <w:rPr>
          <w:noProof/>
        </w:rPr>
        <w:t>4</w:t>
      </w:r>
      <w:r w:rsidRPr="00C83FFA">
        <w:rPr>
          <w:noProof/>
        </w:rPr>
        <w:fldChar w:fldCharType="end"/>
      </w:r>
    </w:p>
    <w:p w14:paraId="51628288" w14:textId="364A50B0" w:rsidR="00E5354F" w:rsidRPr="00C83FFA" w:rsidRDefault="00E5354F" w:rsidP="00961623">
      <w:pPr>
        <w:pStyle w:val="TOC2"/>
        <w:tabs>
          <w:tab w:val="right" w:pos="10189"/>
        </w:tabs>
        <w:ind w:left="454"/>
        <w:rPr>
          <w:noProof/>
        </w:rPr>
      </w:pPr>
      <w:r w:rsidRPr="00C83FFA">
        <w:rPr>
          <w:noProof/>
        </w:rPr>
        <w:t>Independent auditor's report</w:t>
      </w:r>
      <w:r w:rsidRPr="00C83FFA">
        <w:rPr>
          <w:noProof/>
        </w:rPr>
        <w:tab/>
        <w:t>7</w:t>
      </w:r>
      <w:r w:rsidR="00F45B70">
        <w:rPr>
          <w:noProof/>
        </w:rPr>
        <w:t>5</w:t>
      </w:r>
    </w:p>
    <w:p w14:paraId="03E93BCE" w14:textId="64109921" w:rsidR="00E5354F" w:rsidRPr="00C83FFA" w:rsidRDefault="00E5354F" w:rsidP="00961623">
      <w:pPr>
        <w:ind w:left="454"/>
      </w:pPr>
      <w:r w:rsidRPr="00C83FFA">
        <w:t>Statement by the Directors, Chief Executive Officer and Chief Financial Officer</w:t>
      </w:r>
      <w:r w:rsidRPr="00C83FFA">
        <w:tab/>
      </w:r>
      <w:r w:rsidRPr="00C83FFA">
        <w:tab/>
      </w:r>
      <w:r w:rsidRPr="00C83FFA">
        <w:tab/>
        <w:t xml:space="preserve">          7</w:t>
      </w:r>
      <w:r w:rsidR="00F45B70">
        <w:t>7</w:t>
      </w:r>
    </w:p>
    <w:p w14:paraId="5F2DB1F1" w14:textId="134E76CE"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Statement of Comprehensive Income</w:t>
      </w:r>
      <w:r w:rsidRPr="00C83FFA">
        <w:rPr>
          <w:noProof/>
        </w:rPr>
        <w:tab/>
      </w:r>
      <w:r w:rsidRPr="00C83FFA">
        <w:rPr>
          <w:noProof/>
        </w:rPr>
        <w:fldChar w:fldCharType="begin"/>
      </w:r>
      <w:r w:rsidRPr="00C83FFA">
        <w:rPr>
          <w:noProof/>
        </w:rPr>
        <w:instrText xml:space="preserve"> PAGEREF _Toc414011901 \h </w:instrText>
      </w:r>
      <w:r w:rsidRPr="00C83FFA">
        <w:rPr>
          <w:noProof/>
        </w:rPr>
      </w:r>
      <w:r w:rsidRPr="00C83FFA">
        <w:rPr>
          <w:noProof/>
        </w:rPr>
        <w:fldChar w:fldCharType="separate"/>
      </w:r>
      <w:r w:rsidRPr="00C83FFA">
        <w:rPr>
          <w:noProof/>
        </w:rPr>
        <w:t>7</w:t>
      </w:r>
      <w:r w:rsidR="00F45B70">
        <w:rPr>
          <w:noProof/>
        </w:rPr>
        <w:t>8</w:t>
      </w:r>
      <w:r w:rsidRPr="00C83FFA">
        <w:rPr>
          <w:noProof/>
        </w:rPr>
        <w:fldChar w:fldCharType="end"/>
      </w:r>
    </w:p>
    <w:p w14:paraId="77104D3A" w14:textId="4377400F"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Statement of Financial Position</w:t>
      </w:r>
      <w:r w:rsidRPr="00C83FFA">
        <w:rPr>
          <w:noProof/>
        </w:rPr>
        <w:tab/>
      </w:r>
      <w:r w:rsidR="00F45B70">
        <w:rPr>
          <w:noProof/>
        </w:rPr>
        <w:t>79</w:t>
      </w:r>
    </w:p>
    <w:p w14:paraId="476FB2BD" w14:textId="60CD4A39"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Statement of Changes in Equity</w:t>
      </w:r>
      <w:r w:rsidRPr="00C83FFA">
        <w:rPr>
          <w:noProof/>
        </w:rPr>
        <w:tab/>
      </w:r>
      <w:r w:rsidR="00F45B70">
        <w:rPr>
          <w:noProof/>
        </w:rPr>
        <w:t>80</w:t>
      </w:r>
    </w:p>
    <w:p w14:paraId="2328E27D" w14:textId="78A8A602"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Cash Flow Statement</w:t>
      </w:r>
      <w:r w:rsidRPr="00C83FFA">
        <w:rPr>
          <w:noProof/>
        </w:rPr>
        <w:tab/>
      </w:r>
      <w:r w:rsidR="00F45B70">
        <w:rPr>
          <w:noProof/>
        </w:rPr>
        <w:t>81</w:t>
      </w:r>
    </w:p>
    <w:p w14:paraId="7285A97A" w14:textId="3CC74D22"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Schedule of Commitments</w:t>
      </w:r>
      <w:r w:rsidRPr="00C83FFA">
        <w:rPr>
          <w:noProof/>
        </w:rPr>
        <w:tab/>
      </w:r>
      <w:r w:rsidR="00F45B70">
        <w:rPr>
          <w:noProof/>
        </w:rPr>
        <w:t>82</w:t>
      </w:r>
    </w:p>
    <w:p w14:paraId="0CC3A5E2" w14:textId="703D168A"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rPr>
        <w:t>Notes to and forming part of the Financial Statements  for the period ended 30 June 2014</w:t>
      </w:r>
      <w:r w:rsidRPr="00C83FFA">
        <w:rPr>
          <w:noProof/>
        </w:rPr>
        <w:tab/>
      </w:r>
      <w:r w:rsidR="00F45B70">
        <w:rPr>
          <w:noProof/>
        </w:rPr>
        <w:t>84</w:t>
      </w:r>
    </w:p>
    <w:p w14:paraId="48BF8C9E" w14:textId="16A97016" w:rsidR="00CD7015" w:rsidRPr="00C83FFA" w:rsidRDefault="00CD7015" w:rsidP="00961623">
      <w:pPr>
        <w:pStyle w:val="TOC2"/>
        <w:tabs>
          <w:tab w:val="right" w:pos="10189"/>
        </w:tabs>
        <w:rPr>
          <w:rFonts w:asciiTheme="minorHAnsi" w:hAnsiTheme="minorHAnsi"/>
          <w:noProof/>
          <w:sz w:val="22"/>
          <w:szCs w:val="22"/>
          <w:lang w:eastAsia="en-AU"/>
        </w:rPr>
      </w:pPr>
      <w:r w:rsidRPr="00C83FFA">
        <w:rPr>
          <w:rFonts w:cs="Times New Roman"/>
          <w:noProof/>
        </w:rPr>
        <w:t xml:space="preserve">7 </w:t>
      </w:r>
      <w:r w:rsidRPr="00C83FFA">
        <w:rPr>
          <w:noProof/>
        </w:rPr>
        <w:t>Appendices</w:t>
      </w:r>
      <w:r w:rsidRPr="00C83FFA">
        <w:rPr>
          <w:noProof/>
        </w:rPr>
        <w:tab/>
      </w:r>
      <w:r w:rsidRPr="00C83FFA">
        <w:rPr>
          <w:noProof/>
        </w:rPr>
        <w:fldChar w:fldCharType="begin"/>
      </w:r>
      <w:r w:rsidRPr="00C83FFA">
        <w:rPr>
          <w:noProof/>
        </w:rPr>
        <w:instrText xml:space="preserve"> PAGEREF _Toc414011907 \h </w:instrText>
      </w:r>
      <w:r w:rsidRPr="00C83FFA">
        <w:rPr>
          <w:noProof/>
        </w:rPr>
      </w:r>
      <w:r w:rsidRPr="00C83FFA">
        <w:rPr>
          <w:noProof/>
        </w:rPr>
        <w:fldChar w:fldCharType="separate"/>
      </w:r>
      <w:r w:rsidRPr="00C83FFA">
        <w:rPr>
          <w:noProof/>
        </w:rPr>
        <w:t>11</w:t>
      </w:r>
      <w:r w:rsidR="00F45B70">
        <w:rPr>
          <w:noProof/>
        </w:rPr>
        <w:t>0</w:t>
      </w:r>
      <w:r w:rsidRPr="00C83FFA">
        <w:rPr>
          <w:noProof/>
        </w:rPr>
        <w:fldChar w:fldCharType="end"/>
      </w:r>
    </w:p>
    <w:p w14:paraId="7782681B" w14:textId="41CF2849"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Appendix A</w:t>
      </w:r>
      <w:r w:rsidR="00E5354F" w:rsidRPr="00C83FFA">
        <w:rPr>
          <w:noProof/>
          <w:lang w:val="en-GB"/>
        </w:rPr>
        <w:t>: Publications</w:t>
      </w:r>
      <w:r w:rsidRPr="00C83FFA">
        <w:rPr>
          <w:noProof/>
        </w:rPr>
        <w:tab/>
      </w:r>
      <w:r w:rsidRPr="00C83FFA">
        <w:rPr>
          <w:noProof/>
        </w:rPr>
        <w:fldChar w:fldCharType="begin"/>
      </w:r>
      <w:r w:rsidRPr="00C83FFA">
        <w:rPr>
          <w:noProof/>
        </w:rPr>
        <w:instrText xml:space="preserve"> PAGEREF _Toc414011908 \h </w:instrText>
      </w:r>
      <w:r w:rsidRPr="00C83FFA">
        <w:rPr>
          <w:noProof/>
        </w:rPr>
      </w:r>
      <w:r w:rsidRPr="00C83FFA">
        <w:rPr>
          <w:noProof/>
        </w:rPr>
        <w:fldChar w:fldCharType="separate"/>
      </w:r>
      <w:r w:rsidRPr="00C83FFA">
        <w:rPr>
          <w:noProof/>
        </w:rPr>
        <w:t>11</w:t>
      </w:r>
      <w:r w:rsidR="00F45B70">
        <w:rPr>
          <w:noProof/>
        </w:rPr>
        <w:t>1</w:t>
      </w:r>
      <w:r w:rsidRPr="00C83FFA">
        <w:rPr>
          <w:noProof/>
        </w:rPr>
        <w:fldChar w:fldCharType="end"/>
      </w:r>
    </w:p>
    <w:p w14:paraId="60E0C46D" w14:textId="4F1F52F9"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Appendix B</w:t>
      </w:r>
      <w:r w:rsidR="00E5354F" w:rsidRPr="00C83FFA">
        <w:rPr>
          <w:noProof/>
          <w:lang w:val="en-GB"/>
        </w:rPr>
        <w:t>: Published articles</w:t>
      </w:r>
      <w:r w:rsidRPr="00C83FFA">
        <w:rPr>
          <w:noProof/>
        </w:rPr>
        <w:tab/>
      </w:r>
      <w:r w:rsidRPr="00C83FFA">
        <w:rPr>
          <w:noProof/>
        </w:rPr>
        <w:fldChar w:fldCharType="begin"/>
      </w:r>
      <w:r w:rsidRPr="00C83FFA">
        <w:rPr>
          <w:noProof/>
        </w:rPr>
        <w:instrText xml:space="preserve"> PAGEREF _Toc414011909 \h </w:instrText>
      </w:r>
      <w:r w:rsidRPr="00C83FFA">
        <w:rPr>
          <w:noProof/>
        </w:rPr>
      </w:r>
      <w:r w:rsidRPr="00C83FFA">
        <w:rPr>
          <w:noProof/>
        </w:rPr>
        <w:fldChar w:fldCharType="separate"/>
      </w:r>
      <w:r w:rsidRPr="00C83FFA">
        <w:rPr>
          <w:noProof/>
        </w:rPr>
        <w:t>11</w:t>
      </w:r>
      <w:r w:rsidR="00486CE3">
        <w:rPr>
          <w:noProof/>
        </w:rPr>
        <w:t>3</w:t>
      </w:r>
      <w:r w:rsidRPr="00C83FFA">
        <w:rPr>
          <w:noProof/>
        </w:rPr>
        <w:fldChar w:fldCharType="end"/>
      </w:r>
    </w:p>
    <w:p w14:paraId="29DC63BD" w14:textId="5DA02E5F"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Appendix C</w:t>
      </w:r>
      <w:r w:rsidR="00E5354F" w:rsidRPr="00C83FFA">
        <w:rPr>
          <w:noProof/>
          <w:lang w:val="en-GB"/>
        </w:rPr>
        <w:t>: Engagement in research</w:t>
      </w:r>
      <w:r w:rsidRPr="00C83FFA">
        <w:rPr>
          <w:noProof/>
        </w:rPr>
        <w:tab/>
      </w:r>
      <w:r w:rsidRPr="00C83FFA">
        <w:rPr>
          <w:noProof/>
        </w:rPr>
        <w:fldChar w:fldCharType="begin"/>
      </w:r>
      <w:r w:rsidRPr="00C83FFA">
        <w:rPr>
          <w:noProof/>
        </w:rPr>
        <w:instrText xml:space="preserve"> PAGEREF _Toc414011910 \h </w:instrText>
      </w:r>
      <w:r w:rsidRPr="00C83FFA">
        <w:rPr>
          <w:noProof/>
        </w:rPr>
      </w:r>
      <w:r w:rsidRPr="00C83FFA">
        <w:rPr>
          <w:noProof/>
        </w:rPr>
        <w:fldChar w:fldCharType="separate"/>
      </w:r>
      <w:r w:rsidRPr="00C83FFA">
        <w:rPr>
          <w:noProof/>
        </w:rPr>
        <w:t>11</w:t>
      </w:r>
      <w:r w:rsidR="00486CE3">
        <w:rPr>
          <w:noProof/>
        </w:rPr>
        <w:t>4</w:t>
      </w:r>
      <w:r w:rsidRPr="00C83FFA">
        <w:rPr>
          <w:noProof/>
        </w:rPr>
        <w:fldChar w:fldCharType="end"/>
      </w:r>
    </w:p>
    <w:p w14:paraId="06EB10D9" w14:textId="110EDD70"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Appendix D</w:t>
      </w:r>
      <w:r w:rsidR="00E5354F" w:rsidRPr="00C83FFA">
        <w:rPr>
          <w:noProof/>
          <w:lang w:val="en-GB"/>
        </w:rPr>
        <w:t>: Event sponsorship</w:t>
      </w:r>
      <w:r w:rsidRPr="00C83FFA">
        <w:rPr>
          <w:noProof/>
        </w:rPr>
        <w:tab/>
      </w:r>
      <w:r w:rsidRPr="00C83FFA">
        <w:rPr>
          <w:noProof/>
        </w:rPr>
        <w:fldChar w:fldCharType="begin"/>
      </w:r>
      <w:r w:rsidRPr="00C83FFA">
        <w:rPr>
          <w:noProof/>
        </w:rPr>
        <w:instrText xml:space="preserve"> PAGEREF _Toc414011911 \h </w:instrText>
      </w:r>
      <w:r w:rsidRPr="00C83FFA">
        <w:rPr>
          <w:noProof/>
        </w:rPr>
      </w:r>
      <w:r w:rsidRPr="00C83FFA">
        <w:rPr>
          <w:noProof/>
        </w:rPr>
        <w:fldChar w:fldCharType="separate"/>
      </w:r>
      <w:r w:rsidRPr="00C83FFA">
        <w:rPr>
          <w:noProof/>
        </w:rPr>
        <w:t>11</w:t>
      </w:r>
      <w:r w:rsidR="00486CE3">
        <w:rPr>
          <w:noProof/>
        </w:rPr>
        <w:t>5</w:t>
      </w:r>
      <w:r w:rsidRPr="00C83FFA">
        <w:rPr>
          <w:noProof/>
        </w:rPr>
        <w:fldChar w:fldCharType="end"/>
      </w:r>
    </w:p>
    <w:p w14:paraId="02F1F761" w14:textId="176FDDA3"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Appendix E</w:t>
      </w:r>
      <w:r w:rsidR="00E5354F" w:rsidRPr="00C83FFA">
        <w:rPr>
          <w:noProof/>
          <w:lang w:val="en-GB"/>
        </w:rPr>
        <w:t>: External representations</w:t>
      </w:r>
      <w:r w:rsidRPr="00C83FFA">
        <w:rPr>
          <w:noProof/>
        </w:rPr>
        <w:tab/>
      </w:r>
      <w:r w:rsidRPr="00C83FFA">
        <w:rPr>
          <w:noProof/>
        </w:rPr>
        <w:fldChar w:fldCharType="begin"/>
      </w:r>
      <w:r w:rsidRPr="00C83FFA">
        <w:rPr>
          <w:noProof/>
        </w:rPr>
        <w:instrText xml:space="preserve"> PAGEREF _Toc414011912 \h </w:instrText>
      </w:r>
      <w:r w:rsidRPr="00C83FFA">
        <w:rPr>
          <w:noProof/>
        </w:rPr>
      </w:r>
      <w:r w:rsidRPr="00C83FFA">
        <w:rPr>
          <w:noProof/>
        </w:rPr>
        <w:fldChar w:fldCharType="separate"/>
      </w:r>
      <w:r w:rsidRPr="00C83FFA">
        <w:rPr>
          <w:noProof/>
        </w:rPr>
        <w:t>11</w:t>
      </w:r>
      <w:r w:rsidR="00486CE3">
        <w:rPr>
          <w:noProof/>
        </w:rPr>
        <w:t>6</w:t>
      </w:r>
      <w:r w:rsidRPr="00C83FFA">
        <w:rPr>
          <w:noProof/>
        </w:rPr>
        <w:fldChar w:fldCharType="end"/>
      </w:r>
    </w:p>
    <w:p w14:paraId="17ABED9A" w14:textId="5CFC75F8"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Appendix F</w:t>
      </w:r>
      <w:r w:rsidR="00E5354F" w:rsidRPr="00C83FFA">
        <w:rPr>
          <w:noProof/>
          <w:lang w:val="en-GB"/>
        </w:rPr>
        <w:t>: Formal consultations</w:t>
      </w:r>
      <w:r w:rsidRPr="00C83FFA">
        <w:rPr>
          <w:noProof/>
        </w:rPr>
        <w:tab/>
      </w:r>
      <w:r w:rsidRPr="00C83FFA">
        <w:rPr>
          <w:noProof/>
        </w:rPr>
        <w:fldChar w:fldCharType="begin"/>
      </w:r>
      <w:r w:rsidRPr="00C83FFA">
        <w:rPr>
          <w:noProof/>
        </w:rPr>
        <w:instrText xml:space="preserve"> PAGEREF _Toc414011913 \h </w:instrText>
      </w:r>
      <w:r w:rsidRPr="00C83FFA">
        <w:rPr>
          <w:noProof/>
        </w:rPr>
      </w:r>
      <w:r w:rsidRPr="00C83FFA">
        <w:rPr>
          <w:noProof/>
        </w:rPr>
        <w:fldChar w:fldCharType="separate"/>
      </w:r>
      <w:r w:rsidRPr="00C83FFA">
        <w:rPr>
          <w:noProof/>
        </w:rPr>
        <w:t>11</w:t>
      </w:r>
      <w:r w:rsidR="00486CE3">
        <w:rPr>
          <w:noProof/>
        </w:rPr>
        <w:t>8</w:t>
      </w:r>
      <w:r w:rsidRPr="00C83FFA">
        <w:rPr>
          <w:noProof/>
        </w:rPr>
        <w:fldChar w:fldCharType="end"/>
      </w:r>
    </w:p>
    <w:p w14:paraId="39C6EA9D" w14:textId="1D2C3F89" w:rsidR="00CD7015" w:rsidRPr="00C83FFA" w:rsidRDefault="00CD7015" w:rsidP="00961623">
      <w:pPr>
        <w:pStyle w:val="TOC2"/>
        <w:tabs>
          <w:tab w:val="right" w:pos="10189"/>
        </w:tabs>
        <w:ind w:left="454"/>
        <w:rPr>
          <w:noProof/>
        </w:rPr>
      </w:pPr>
      <w:r w:rsidRPr="00C83FFA">
        <w:rPr>
          <w:noProof/>
          <w:lang w:val="en-GB"/>
        </w:rPr>
        <w:t>Appendix G</w:t>
      </w:r>
      <w:r w:rsidR="00E5354F" w:rsidRPr="00C83FFA">
        <w:rPr>
          <w:noProof/>
          <w:lang w:val="en-GB"/>
        </w:rPr>
        <w:t>: Freedom of information summary</w:t>
      </w:r>
      <w:r w:rsidRPr="00C83FFA">
        <w:rPr>
          <w:noProof/>
        </w:rPr>
        <w:tab/>
      </w:r>
      <w:r w:rsidRPr="00C83FFA">
        <w:rPr>
          <w:noProof/>
        </w:rPr>
        <w:fldChar w:fldCharType="begin"/>
      </w:r>
      <w:r w:rsidRPr="00C83FFA">
        <w:rPr>
          <w:noProof/>
        </w:rPr>
        <w:instrText xml:space="preserve"> PAGEREF _Toc414011914 \h </w:instrText>
      </w:r>
      <w:r w:rsidRPr="00C83FFA">
        <w:rPr>
          <w:noProof/>
        </w:rPr>
      </w:r>
      <w:r w:rsidRPr="00C83FFA">
        <w:rPr>
          <w:noProof/>
        </w:rPr>
        <w:fldChar w:fldCharType="separate"/>
      </w:r>
      <w:r w:rsidRPr="00C83FFA">
        <w:rPr>
          <w:noProof/>
        </w:rPr>
        <w:t>12</w:t>
      </w:r>
      <w:r w:rsidR="00486CE3">
        <w:rPr>
          <w:noProof/>
        </w:rPr>
        <w:t>0</w:t>
      </w:r>
      <w:r w:rsidRPr="00C83FFA">
        <w:rPr>
          <w:noProof/>
        </w:rPr>
        <w:fldChar w:fldCharType="end"/>
      </w:r>
    </w:p>
    <w:p w14:paraId="7E98882C" w14:textId="53C88AA4" w:rsidR="00E5354F" w:rsidRPr="00C83FFA" w:rsidRDefault="00E5354F" w:rsidP="00961623">
      <w:pPr>
        <w:ind w:left="454"/>
      </w:pPr>
      <w:r w:rsidRPr="00C83FFA">
        <w:t>Appendix H: Compliance to ecologically sustainable development</w:t>
      </w:r>
      <w:r w:rsidRPr="00C83FFA">
        <w:tab/>
        <w:t xml:space="preserve"> </w:t>
      </w:r>
      <w:r w:rsidRPr="00C83FFA">
        <w:tab/>
      </w:r>
      <w:r w:rsidRPr="00C83FFA">
        <w:tab/>
      </w:r>
      <w:r w:rsidRPr="00C83FFA">
        <w:tab/>
      </w:r>
      <w:r w:rsidRPr="00C83FFA">
        <w:tab/>
        <w:t xml:space="preserve">        12</w:t>
      </w:r>
      <w:r w:rsidR="00486CE3">
        <w:t>1</w:t>
      </w:r>
    </w:p>
    <w:p w14:paraId="1F236653" w14:textId="5456353B" w:rsidR="00CD7015" w:rsidRPr="00C83FFA" w:rsidRDefault="00CD7015" w:rsidP="00961623">
      <w:pPr>
        <w:pStyle w:val="TOC2"/>
        <w:tabs>
          <w:tab w:val="right" w:pos="10189"/>
        </w:tabs>
        <w:rPr>
          <w:rFonts w:asciiTheme="minorHAnsi" w:hAnsiTheme="minorHAnsi"/>
          <w:noProof/>
          <w:sz w:val="22"/>
          <w:szCs w:val="22"/>
          <w:lang w:eastAsia="en-AU"/>
        </w:rPr>
      </w:pPr>
      <w:r w:rsidRPr="00C83FFA">
        <w:rPr>
          <w:rFonts w:cs="Times New Roman"/>
          <w:noProof/>
        </w:rPr>
        <w:t xml:space="preserve">8 </w:t>
      </w:r>
      <w:r w:rsidRPr="00C83FFA">
        <w:rPr>
          <w:noProof/>
        </w:rPr>
        <w:t>Indexes and references</w:t>
      </w:r>
      <w:r w:rsidRPr="00C83FFA">
        <w:rPr>
          <w:noProof/>
        </w:rPr>
        <w:tab/>
      </w:r>
      <w:r w:rsidRPr="00C83FFA">
        <w:rPr>
          <w:noProof/>
        </w:rPr>
        <w:fldChar w:fldCharType="begin"/>
      </w:r>
      <w:r w:rsidRPr="00C83FFA">
        <w:rPr>
          <w:noProof/>
        </w:rPr>
        <w:instrText xml:space="preserve"> PAGEREF _Toc414011915 \h </w:instrText>
      </w:r>
      <w:r w:rsidRPr="00C83FFA">
        <w:rPr>
          <w:noProof/>
        </w:rPr>
      </w:r>
      <w:r w:rsidRPr="00C83FFA">
        <w:rPr>
          <w:noProof/>
        </w:rPr>
        <w:fldChar w:fldCharType="separate"/>
      </w:r>
      <w:r w:rsidRPr="00C83FFA">
        <w:rPr>
          <w:noProof/>
        </w:rPr>
        <w:t>12</w:t>
      </w:r>
      <w:r w:rsidR="00486CE3">
        <w:rPr>
          <w:noProof/>
        </w:rPr>
        <w:t>2</w:t>
      </w:r>
      <w:r w:rsidRPr="00C83FFA">
        <w:rPr>
          <w:noProof/>
        </w:rPr>
        <w:fldChar w:fldCharType="end"/>
      </w:r>
    </w:p>
    <w:p w14:paraId="2C193719" w14:textId="10DE86D0"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Acronyms and abbreviations</w:t>
      </w:r>
      <w:r w:rsidRPr="00C83FFA">
        <w:rPr>
          <w:noProof/>
        </w:rPr>
        <w:tab/>
      </w:r>
      <w:r w:rsidRPr="00C83FFA">
        <w:rPr>
          <w:noProof/>
        </w:rPr>
        <w:fldChar w:fldCharType="begin"/>
      </w:r>
      <w:r w:rsidRPr="00C83FFA">
        <w:rPr>
          <w:noProof/>
        </w:rPr>
        <w:instrText xml:space="preserve"> PAGEREF _Toc414011916 \h </w:instrText>
      </w:r>
      <w:r w:rsidRPr="00C83FFA">
        <w:rPr>
          <w:noProof/>
        </w:rPr>
      </w:r>
      <w:r w:rsidRPr="00C83FFA">
        <w:rPr>
          <w:noProof/>
        </w:rPr>
        <w:fldChar w:fldCharType="separate"/>
      </w:r>
      <w:r w:rsidRPr="00C83FFA">
        <w:rPr>
          <w:noProof/>
        </w:rPr>
        <w:t>12</w:t>
      </w:r>
      <w:r w:rsidR="00486CE3">
        <w:rPr>
          <w:noProof/>
        </w:rPr>
        <w:t>3</w:t>
      </w:r>
      <w:r w:rsidRPr="00C83FFA">
        <w:rPr>
          <w:noProof/>
        </w:rPr>
        <w:fldChar w:fldCharType="end"/>
      </w:r>
    </w:p>
    <w:p w14:paraId="5E6395B8" w14:textId="00E5717A"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Glossary</w:t>
      </w:r>
      <w:r w:rsidRPr="00C83FFA">
        <w:rPr>
          <w:noProof/>
        </w:rPr>
        <w:tab/>
      </w:r>
      <w:r w:rsidRPr="00C83FFA">
        <w:rPr>
          <w:noProof/>
        </w:rPr>
        <w:fldChar w:fldCharType="begin"/>
      </w:r>
      <w:r w:rsidRPr="00C83FFA">
        <w:rPr>
          <w:noProof/>
        </w:rPr>
        <w:instrText xml:space="preserve"> PAGEREF _Toc414011917 \h </w:instrText>
      </w:r>
      <w:r w:rsidRPr="00C83FFA">
        <w:rPr>
          <w:noProof/>
        </w:rPr>
      </w:r>
      <w:r w:rsidRPr="00C83FFA">
        <w:rPr>
          <w:noProof/>
        </w:rPr>
        <w:fldChar w:fldCharType="separate"/>
      </w:r>
      <w:r w:rsidRPr="00C83FFA">
        <w:rPr>
          <w:noProof/>
        </w:rPr>
        <w:t>12</w:t>
      </w:r>
      <w:r w:rsidR="00486CE3">
        <w:rPr>
          <w:noProof/>
        </w:rPr>
        <w:t>4</w:t>
      </w:r>
      <w:r w:rsidRPr="00C83FFA">
        <w:rPr>
          <w:noProof/>
        </w:rPr>
        <w:fldChar w:fldCharType="end"/>
      </w:r>
    </w:p>
    <w:p w14:paraId="2D73934E" w14:textId="7857F3BA"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Index of tables</w:t>
      </w:r>
      <w:r w:rsidRPr="00C83FFA">
        <w:rPr>
          <w:noProof/>
        </w:rPr>
        <w:tab/>
      </w:r>
      <w:r w:rsidRPr="00C83FFA">
        <w:rPr>
          <w:noProof/>
        </w:rPr>
        <w:fldChar w:fldCharType="begin"/>
      </w:r>
      <w:r w:rsidRPr="00C83FFA">
        <w:rPr>
          <w:noProof/>
        </w:rPr>
        <w:instrText xml:space="preserve"> PAGEREF _Toc414011918 \h </w:instrText>
      </w:r>
      <w:r w:rsidRPr="00C83FFA">
        <w:rPr>
          <w:noProof/>
        </w:rPr>
      </w:r>
      <w:r w:rsidRPr="00C83FFA">
        <w:rPr>
          <w:noProof/>
        </w:rPr>
        <w:fldChar w:fldCharType="separate"/>
      </w:r>
      <w:r w:rsidRPr="00C83FFA">
        <w:rPr>
          <w:noProof/>
        </w:rPr>
        <w:t>12</w:t>
      </w:r>
      <w:r w:rsidR="00486CE3">
        <w:rPr>
          <w:noProof/>
        </w:rPr>
        <w:t>7</w:t>
      </w:r>
      <w:r w:rsidRPr="00C83FFA">
        <w:rPr>
          <w:noProof/>
        </w:rPr>
        <w:fldChar w:fldCharType="end"/>
      </w:r>
    </w:p>
    <w:p w14:paraId="45E6DA8C" w14:textId="3E98B975"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Compliance index</w:t>
      </w:r>
      <w:r w:rsidRPr="00C83FFA">
        <w:rPr>
          <w:noProof/>
        </w:rPr>
        <w:tab/>
      </w:r>
      <w:r w:rsidRPr="00C83FFA">
        <w:rPr>
          <w:noProof/>
        </w:rPr>
        <w:fldChar w:fldCharType="begin"/>
      </w:r>
      <w:r w:rsidRPr="00C83FFA">
        <w:rPr>
          <w:noProof/>
        </w:rPr>
        <w:instrText xml:space="preserve"> PAGEREF _Toc414011919 \h </w:instrText>
      </w:r>
      <w:r w:rsidRPr="00C83FFA">
        <w:rPr>
          <w:noProof/>
        </w:rPr>
      </w:r>
      <w:r w:rsidRPr="00C83FFA">
        <w:rPr>
          <w:noProof/>
        </w:rPr>
        <w:fldChar w:fldCharType="separate"/>
      </w:r>
      <w:r w:rsidRPr="00C83FFA">
        <w:rPr>
          <w:noProof/>
        </w:rPr>
        <w:t>12</w:t>
      </w:r>
      <w:r w:rsidR="00486CE3">
        <w:rPr>
          <w:noProof/>
        </w:rPr>
        <w:t>8</w:t>
      </w:r>
      <w:r w:rsidRPr="00C83FFA">
        <w:rPr>
          <w:noProof/>
        </w:rPr>
        <w:fldChar w:fldCharType="end"/>
      </w:r>
    </w:p>
    <w:p w14:paraId="445B0413" w14:textId="66502F94"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Index</w:t>
      </w:r>
      <w:r w:rsidRPr="00C83FFA">
        <w:rPr>
          <w:noProof/>
        </w:rPr>
        <w:tab/>
      </w:r>
      <w:r w:rsidRPr="00C83FFA">
        <w:rPr>
          <w:noProof/>
        </w:rPr>
        <w:fldChar w:fldCharType="begin"/>
      </w:r>
      <w:r w:rsidRPr="00C83FFA">
        <w:rPr>
          <w:noProof/>
        </w:rPr>
        <w:instrText xml:space="preserve"> PAGEREF _Toc414011920 \h </w:instrText>
      </w:r>
      <w:r w:rsidRPr="00C83FFA">
        <w:rPr>
          <w:noProof/>
        </w:rPr>
      </w:r>
      <w:r w:rsidRPr="00C83FFA">
        <w:rPr>
          <w:noProof/>
        </w:rPr>
        <w:fldChar w:fldCharType="separate"/>
      </w:r>
      <w:r w:rsidRPr="00C83FFA">
        <w:rPr>
          <w:noProof/>
        </w:rPr>
        <w:t>13</w:t>
      </w:r>
      <w:r w:rsidR="00486CE3">
        <w:rPr>
          <w:noProof/>
        </w:rPr>
        <w:t>0</w:t>
      </w:r>
      <w:r w:rsidRPr="00C83FFA">
        <w:rPr>
          <w:noProof/>
        </w:rPr>
        <w:fldChar w:fldCharType="end"/>
      </w:r>
    </w:p>
    <w:p w14:paraId="72B83739" w14:textId="2B683DD0" w:rsidR="00CD7015" w:rsidRPr="00C83FFA" w:rsidRDefault="00CD7015" w:rsidP="00961623">
      <w:pPr>
        <w:pStyle w:val="TOC2"/>
        <w:tabs>
          <w:tab w:val="right" w:pos="10189"/>
        </w:tabs>
        <w:ind w:left="454"/>
        <w:rPr>
          <w:rFonts w:asciiTheme="minorHAnsi" w:hAnsiTheme="minorHAnsi"/>
          <w:noProof/>
          <w:sz w:val="22"/>
          <w:szCs w:val="22"/>
          <w:lang w:eastAsia="en-AU"/>
        </w:rPr>
      </w:pPr>
      <w:r w:rsidRPr="00C83FFA">
        <w:rPr>
          <w:noProof/>
          <w:lang w:val="en-GB"/>
        </w:rPr>
        <w:t>References</w:t>
      </w:r>
      <w:r w:rsidRPr="00C83FFA">
        <w:rPr>
          <w:noProof/>
        </w:rPr>
        <w:tab/>
      </w:r>
      <w:r w:rsidRPr="00C83FFA">
        <w:rPr>
          <w:noProof/>
        </w:rPr>
        <w:fldChar w:fldCharType="begin"/>
      </w:r>
      <w:r w:rsidRPr="00C83FFA">
        <w:rPr>
          <w:noProof/>
        </w:rPr>
        <w:instrText xml:space="preserve"> PAGEREF _Toc414011921 \h </w:instrText>
      </w:r>
      <w:r w:rsidRPr="00C83FFA">
        <w:rPr>
          <w:noProof/>
        </w:rPr>
      </w:r>
      <w:r w:rsidRPr="00C83FFA">
        <w:rPr>
          <w:noProof/>
        </w:rPr>
        <w:fldChar w:fldCharType="separate"/>
      </w:r>
      <w:r w:rsidRPr="00C83FFA">
        <w:rPr>
          <w:noProof/>
        </w:rPr>
        <w:t>1</w:t>
      </w:r>
      <w:r w:rsidR="00486CE3">
        <w:rPr>
          <w:noProof/>
        </w:rPr>
        <w:t>39</w:t>
      </w:r>
      <w:r w:rsidRPr="00C83FFA">
        <w:rPr>
          <w:noProof/>
        </w:rPr>
        <w:fldChar w:fldCharType="end"/>
      </w:r>
    </w:p>
    <w:p w14:paraId="30AB8D35" w14:textId="77777777" w:rsidR="00AD26F3" w:rsidRDefault="00AD26F3" w:rsidP="00961623">
      <w:pPr>
        <w:pStyle w:val="2intro"/>
        <w:rPr>
          <w:rFonts w:cs="Times New Roman"/>
          <w:lang w:val="en-GB"/>
        </w:rPr>
      </w:pPr>
      <w:r w:rsidRPr="00C83FFA">
        <w:rPr>
          <w:rFonts w:cs="Times New Roman"/>
          <w:lang w:val="en-GB"/>
        </w:rPr>
        <w:fldChar w:fldCharType="end"/>
      </w:r>
    </w:p>
    <w:p w14:paraId="4054F33C" w14:textId="77777777" w:rsidR="005F09D2" w:rsidRDefault="005F09D2">
      <w:pPr>
        <w:rPr>
          <w:rFonts w:cs="Times New Roman"/>
          <w:lang w:val="en-GB"/>
        </w:rPr>
      </w:pPr>
      <w:r>
        <w:rPr>
          <w:rFonts w:cs="Times New Roman"/>
          <w:lang w:val="en-GB"/>
        </w:rPr>
        <w:br w:type="page"/>
      </w:r>
    </w:p>
    <w:p w14:paraId="16041B7E" w14:textId="77777777" w:rsidR="00450A12" w:rsidRDefault="00450A12">
      <w:pPr>
        <w:spacing w:after="0"/>
        <w:rPr>
          <w:rStyle w:val="S8colours"/>
          <w:rFonts w:eastAsia="Times New Roman" w:cs="Gotham-Light"/>
          <w:color w:val="54B6C5"/>
          <w:sz w:val="52"/>
          <w:szCs w:val="52"/>
          <w:lang w:val="en-GB"/>
        </w:rPr>
      </w:pPr>
      <w:r>
        <w:rPr>
          <w:noProof/>
          <w:color w:val="54B6C5"/>
          <w:lang w:eastAsia="en-AU"/>
        </w:rPr>
        <w:lastRenderedPageBreak/>
        <w:drawing>
          <wp:inline distT="0" distB="0" distL="0" distR="0" wp14:anchorId="0C9C9E3F" wp14:editId="74688964">
            <wp:extent cx="5676900" cy="8229600"/>
            <wp:effectExtent l="0" t="0" r="0" b="0"/>
            <wp:docPr id="25" name="Picture 25" descr="Images - patients and clinicians" title="Images - patients and clinic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iv.png"/>
                    <pic:cNvPicPr/>
                  </pic:nvPicPr>
                  <pic:blipFill>
                    <a:blip r:embed="rId11">
                      <a:extLst>
                        <a:ext uri="{28A0092B-C50C-407E-A947-70E740481C1C}">
                          <a14:useLocalDpi xmlns:a14="http://schemas.microsoft.com/office/drawing/2010/main" val="0"/>
                        </a:ext>
                      </a:extLst>
                    </a:blip>
                    <a:stretch>
                      <a:fillRect/>
                    </a:stretch>
                  </pic:blipFill>
                  <pic:spPr>
                    <a:xfrm>
                      <a:off x="0" y="0"/>
                      <a:ext cx="5676900" cy="8229600"/>
                    </a:xfrm>
                    <a:prstGeom prst="rect">
                      <a:avLst/>
                    </a:prstGeom>
                  </pic:spPr>
                </pic:pic>
              </a:graphicData>
            </a:graphic>
          </wp:inline>
        </w:drawing>
      </w:r>
      <w:r>
        <w:rPr>
          <w:rStyle w:val="S8colours"/>
          <w:color w:val="54B6C5"/>
        </w:rPr>
        <w:br w:type="page"/>
      </w:r>
    </w:p>
    <w:p w14:paraId="369F6A52" w14:textId="6650A5A2" w:rsidR="00895CD2" w:rsidRPr="00093444" w:rsidRDefault="005F09D2" w:rsidP="00783948">
      <w:pPr>
        <w:pStyle w:val="Heading1"/>
        <w:rPr>
          <w:sz w:val="52"/>
          <w:szCs w:val="52"/>
        </w:rPr>
      </w:pPr>
      <w:bookmarkStart w:id="4" w:name="_Toc414011862"/>
      <w:r w:rsidRPr="00093444">
        <w:rPr>
          <w:rStyle w:val="S8colours"/>
          <w:color w:val="5F605F"/>
          <w:sz w:val="52"/>
          <w:szCs w:val="52"/>
        </w:rPr>
        <w:lastRenderedPageBreak/>
        <w:t>1</w:t>
      </w:r>
      <w:r w:rsidR="00C834FF" w:rsidRPr="00093444">
        <w:rPr>
          <w:rStyle w:val="S8colours"/>
          <w:color w:val="5F605F"/>
          <w:sz w:val="52"/>
          <w:szCs w:val="52"/>
        </w:rPr>
        <w:t>.</w:t>
      </w:r>
      <w:r w:rsidRPr="00093444">
        <w:rPr>
          <w:rStyle w:val="S8colours"/>
          <w:color w:val="5F605F"/>
          <w:sz w:val="52"/>
          <w:szCs w:val="52"/>
        </w:rPr>
        <w:t xml:space="preserve"> Overview</w:t>
      </w:r>
      <w:bookmarkEnd w:id="4"/>
    </w:p>
    <w:p w14:paraId="1CBE9273" w14:textId="02D7A108" w:rsidR="00895CD2" w:rsidRDefault="00AD26F3">
      <w:pPr>
        <w:pStyle w:val="0contents-level-2-section-start"/>
        <w:rPr>
          <w:rFonts w:cs="Times New Roman"/>
          <w:lang w:val="en-GB"/>
        </w:rPr>
      </w:pPr>
      <w:r>
        <w:rPr>
          <w:rStyle w:val="colourss8"/>
          <w:rFonts w:cs="Times New Roman"/>
          <w:lang w:val="en-GB"/>
        </w:rPr>
        <w:t>About the Commission</w:t>
      </w:r>
      <w:r w:rsidR="00450A12">
        <w:rPr>
          <w:rStyle w:val="colourss8"/>
          <w:rFonts w:cs="Times New Roman"/>
          <w:lang w:val="en-GB"/>
        </w:rPr>
        <w:tab/>
      </w:r>
      <w:r w:rsidR="003A337D">
        <w:rPr>
          <w:rStyle w:val="colourss8"/>
          <w:rFonts w:cs="Times New Roman"/>
          <w:lang w:val="en-GB"/>
        </w:rPr>
        <w:t>8</w:t>
      </w:r>
    </w:p>
    <w:p w14:paraId="56050444" w14:textId="07E6A65D" w:rsidR="00895CD2" w:rsidRDefault="00AD26F3">
      <w:pPr>
        <w:pStyle w:val="0contents-level-2-section-start"/>
        <w:rPr>
          <w:rFonts w:cs="Times New Roman"/>
          <w:lang w:val="en-GB"/>
        </w:rPr>
      </w:pPr>
      <w:r>
        <w:rPr>
          <w:rStyle w:val="colourss8"/>
          <w:rFonts w:cs="Times New Roman"/>
          <w:lang w:val="en-GB"/>
        </w:rPr>
        <w:t>Highlights 2013/14</w:t>
      </w:r>
      <w:r w:rsidR="00450A12">
        <w:rPr>
          <w:rStyle w:val="colourss8"/>
          <w:rFonts w:cs="Times New Roman"/>
          <w:lang w:val="en-GB"/>
        </w:rPr>
        <w:tab/>
      </w:r>
      <w:r w:rsidR="003A337D">
        <w:rPr>
          <w:rStyle w:val="colourss8"/>
          <w:rFonts w:cs="Times New Roman"/>
          <w:lang w:val="en-GB"/>
        </w:rPr>
        <w:t>10</w:t>
      </w:r>
    </w:p>
    <w:p w14:paraId="19819147" w14:textId="0183A255" w:rsidR="00895CD2" w:rsidRDefault="00AD26F3">
      <w:pPr>
        <w:pStyle w:val="0contents-level-2-section-start"/>
        <w:rPr>
          <w:rFonts w:cs="Times New Roman"/>
          <w:lang w:val="en-GB"/>
        </w:rPr>
      </w:pPr>
      <w:r>
        <w:rPr>
          <w:rStyle w:val="colourss8"/>
          <w:rFonts w:cs="Times New Roman"/>
          <w:lang w:val="en-GB"/>
        </w:rPr>
        <w:t xml:space="preserve">Health service </w:t>
      </w:r>
      <w:r w:rsidRPr="005F09D2">
        <w:rPr>
          <w:rStyle w:val="colourss8"/>
        </w:rPr>
        <w:t>accreditation</w:t>
      </w:r>
      <w:r>
        <w:rPr>
          <w:rStyle w:val="colourss8"/>
          <w:rFonts w:cs="Times New Roman"/>
          <w:lang w:val="en-GB"/>
        </w:rPr>
        <w:t xml:space="preserve"> 2013/14</w:t>
      </w:r>
      <w:r w:rsidR="00450A12">
        <w:rPr>
          <w:rStyle w:val="colourss8"/>
          <w:rFonts w:cs="Times New Roman"/>
          <w:lang w:val="en-GB"/>
        </w:rPr>
        <w:tab/>
      </w:r>
      <w:r w:rsidR="003A337D">
        <w:rPr>
          <w:rStyle w:val="colourss8"/>
          <w:rFonts w:cs="Times New Roman"/>
          <w:lang w:val="en-GB"/>
        </w:rPr>
        <w:t>13</w:t>
      </w:r>
    </w:p>
    <w:p w14:paraId="1AAF0BD7" w14:textId="429937FE" w:rsidR="00895CD2" w:rsidRDefault="00AD26F3">
      <w:pPr>
        <w:pStyle w:val="0contents-level-2-section-start"/>
        <w:rPr>
          <w:rFonts w:cs="Times New Roman"/>
          <w:lang w:val="en-GB"/>
        </w:rPr>
      </w:pPr>
      <w:r>
        <w:rPr>
          <w:rStyle w:val="colourss8"/>
          <w:rFonts w:cs="Times New Roman"/>
          <w:lang w:val="en-GB"/>
        </w:rPr>
        <w:t>Report from the Chair</w:t>
      </w:r>
      <w:r w:rsidR="00450A12">
        <w:rPr>
          <w:rStyle w:val="colourss8"/>
          <w:rFonts w:cs="Times New Roman"/>
          <w:lang w:val="en-GB"/>
        </w:rPr>
        <w:tab/>
      </w:r>
      <w:r w:rsidR="003A337D">
        <w:rPr>
          <w:rStyle w:val="colourss8"/>
          <w:rFonts w:cs="Times New Roman"/>
          <w:lang w:val="en-GB"/>
        </w:rPr>
        <w:t>15</w:t>
      </w:r>
    </w:p>
    <w:p w14:paraId="4865EFAD" w14:textId="696EE302" w:rsidR="00895CD2" w:rsidRDefault="00AD26F3">
      <w:pPr>
        <w:pStyle w:val="0contents-level-2-section-start"/>
        <w:rPr>
          <w:rFonts w:cs="Times New Roman"/>
          <w:lang w:val="en-GB"/>
        </w:rPr>
      </w:pPr>
      <w:r>
        <w:rPr>
          <w:rStyle w:val="colourss8"/>
          <w:rFonts w:cs="Times New Roman"/>
          <w:lang w:val="en-GB"/>
        </w:rPr>
        <w:t>Report from the CEO</w:t>
      </w:r>
      <w:r w:rsidR="00450A12">
        <w:rPr>
          <w:rStyle w:val="colourss8"/>
          <w:rFonts w:cs="Times New Roman"/>
          <w:lang w:val="en-GB"/>
        </w:rPr>
        <w:tab/>
      </w:r>
      <w:r w:rsidR="003A337D">
        <w:rPr>
          <w:rStyle w:val="colourss8"/>
          <w:rFonts w:cs="Times New Roman"/>
          <w:lang w:val="en-GB"/>
        </w:rPr>
        <w:t>17</w:t>
      </w:r>
    </w:p>
    <w:p w14:paraId="09A89F03" w14:textId="77777777" w:rsidR="00675FF5" w:rsidRDefault="00675FF5">
      <w:pPr>
        <w:spacing w:after="0"/>
        <w:rPr>
          <w:rFonts w:cs="Times New Roman"/>
          <w:sz w:val="38"/>
          <w:lang w:val="en-GB"/>
        </w:rPr>
      </w:pPr>
      <w:r>
        <w:rPr>
          <w:rFonts w:cs="Times New Roman"/>
          <w:lang w:val="en-GB"/>
        </w:rPr>
        <w:br w:type="page"/>
      </w:r>
    </w:p>
    <w:p w14:paraId="24E8DD6E" w14:textId="77777777" w:rsidR="00895CD2" w:rsidRPr="00093444" w:rsidRDefault="00AD26F3" w:rsidP="00783948">
      <w:pPr>
        <w:pStyle w:val="Heading2"/>
        <w:rPr>
          <w:rFonts w:ascii="Arial" w:hAnsi="Arial" w:cs="Arial"/>
          <w:szCs w:val="40"/>
          <w:lang w:val="en-GB"/>
        </w:rPr>
      </w:pPr>
      <w:bookmarkStart w:id="5" w:name="_Toc414011863"/>
      <w:r w:rsidRPr="00093444">
        <w:rPr>
          <w:rFonts w:ascii="Arial" w:hAnsi="Arial" w:cs="Arial"/>
          <w:szCs w:val="40"/>
          <w:lang w:val="en-GB"/>
        </w:rPr>
        <w:lastRenderedPageBreak/>
        <w:t xml:space="preserve">About </w:t>
      </w:r>
      <w:r w:rsidRPr="00093444">
        <w:rPr>
          <w:rFonts w:ascii="Arial" w:hAnsi="Arial" w:cs="Arial"/>
          <w:szCs w:val="40"/>
        </w:rPr>
        <w:t>the</w:t>
      </w:r>
      <w:r w:rsidRPr="00093444">
        <w:rPr>
          <w:rFonts w:ascii="Arial" w:hAnsi="Arial" w:cs="Arial"/>
          <w:szCs w:val="40"/>
          <w:lang w:val="en-GB"/>
        </w:rPr>
        <w:t xml:space="preserve"> Commission</w:t>
      </w:r>
      <w:bookmarkEnd w:id="5"/>
    </w:p>
    <w:p w14:paraId="1483864D" w14:textId="77777777" w:rsidR="00895CD2" w:rsidRDefault="00AD26F3">
      <w:pPr>
        <w:pStyle w:val="2intro"/>
        <w:rPr>
          <w:rFonts w:cs="Times New Roman"/>
          <w:lang w:val="en-GB"/>
        </w:rPr>
      </w:pPr>
      <w:r>
        <w:rPr>
          <w:rStyle w:val="colourss1"/>
          <w:rFonts w:cs="Times New Roman"/>
          <w:lang w:val="en-GB"/>
        </w:rPr>
        <w:t xml:space="preserve">The Australian Commission on Safety and Quality in Health Care (the Commission) commenced as an independent statutory authority on 1 July 2011. The Australian, state and territory governments initially </w:t>
      </w:r>
      <w:r w:rsidRPr="005F09D2">
        <w:rPr>
          <w:rStyle w:val="colourss1"/>
          <w:color w:val="54B6C5"/>
        </w:rPr>
        <w:t>established</w:t>
      </w:r>
      <w:r>
        <w:rPr>
          <w:rStyle w:val="colourss1"/>
          <w:rFonts w:cs="Times New Roman"/>
          <w:lang w:val="en-GB"/>
        </w:rPr>
        <w:t xml:space="preserve"> the Commission in 2006 to lead and coordinate national improvements in healthcare safety and quality. The Commission’s permanent status was confirmed with the assent of the </w:t>
      </w:r>
      <w:r w:rsidRPr="00E375F6">
        <w:rPr>
          <w:rStyle w:val="colourss1"/>
          <w:rFonts w:cs="Times New Roman"/>
          <w:i/>
          <w:lang w:val="en-GB"/>
        </w:rPr>
        <w:t>National Health and Hospitals Network Act 2011</w:t>
      </w:r>
      <w:r>
        <w:rPr>
          <w:rStyle w:val="colourss1"/>
          <w:rFonts w:cs="Times New Roman"/>
          <w:lang w:val="en-GB"/>
        </w:rPr>
        <w:t xml:space="preserve">. The Commission was subsequently included within the </w:t>
      </w:r>
      <w:r w:rsidRPr="00E375F6">
        <w:rPr>
          <w:rStyle w:val="colourss1"/>
          <w:rFonts w:cs="Times New Roman"/>
          <w:i/>
          <w:lang w:val="en-GB"/>
        </w:rPr>
        <w:t>National Health Reform Act 2011</w:t>
      </w:r>
      <w:r>
        <w:rPr>
          <w:rStyle w:val="colourss1"/>
          <w:rFonts w:cs="Times New Roman"/>
          <w:lang w:val="en-GB"/>
        </w:rPr>
        <w:t>.</w:t>
      </w:r>
    </w:p>
    <w:p w14:paraId="14C3FA70" w14:textId="77777777" w:rsidR="00895CD2" w:rsidRDefault="00AD26F3" w:rsidP="00450A12">
      <w:pPr>
        <w:pStyle w:val="1heading-level-2"/>
        <w:rPr>
          <w:lang w:val="en-GB"/>
        </w:rPr>
      </w:pPr>
      <w:r>
        <w:rPr>
          <w:lang w:val="en-GB"/>
        </w:rPr>
        <w:t xml:space="preserve">Our </w:t>
      </w:r>
      <w:r w:rsidRPr="005F09D2">
        <w:rPr>
          <w:lang w:val="en-GB"/>
        </w:rPr>
        <w:t>mission</w:t>
      </w:r>
    </w:p>
    <w:p w14:paraId="3D6B5296" w14:textId="77777777" w:rsidR="00895CD2" w:rsidRDefault="00AD26F3">
      <w:pPr>
        <w:pStyle w:val="2body-copy"/>
        <w:rPr>
          <w:rFonts w:cs="Times New Roman"/>
          <w:lang w:val="en-GB"/>
        </w:rPr>
      </w:pPr>
      <w:r>
        <w:rPr>
          <w:rFonts w:cs="Times New Roman"/>
          <w:lang w:val="en-GB"/>
        </w:rPr>
        <w:t xml:space="preserve">The Commission’s mission is to lead and coordinate national improvements in the safety and quality of health care. </w:t>
      </w:r>
    </w:p>
    <w:p w14:paraId="594C0B4C" w14:textId="77777777" w:rsidR="00895CD2" w:rsidRDefault="00AD26F3">
      <w:pPr>
        <w:pStyle w:val="1heading-level-2"/>
        <w:rPr>
          <w:rFonts w:cs="Times New Roman"/>
          <w:lang w:val="en-GB"/>
        </w:rPr>
      </w:pPr>
      <w:r>
        <w:rPr>
          <w:rFonts w:cs="Times New Roman"/>
          <w:lang w:val="en-GB"/>
        </w:rPr>
        <w:t>Our vision</w:t>
      </w:r>
    </w:p>
    <w:p w14:paraId="555A5566" w14:textId="77777777" w:rsidR="00895CD2" w:rsidRDefault="00AD26F3">
      <w:pPr>
        <w:pStyle w:val="2body-copy-before-bullet"/>
        <w:rPr>
          <w:rFonts w:cs="Times New Roman"/>
          <w:lang w:val="en-GB"/>
        </w:rPr>
      </w:pPr>
      <w:r>
        <w:rPr>
          <w:rFonts w:cs="Times New Roman"/>
          <w:lang w:val="en-GB"/>
        </w:rPr>
        <w:t>The Commission aims to provide a health system that is informed, supported and organised to deliver safe and high-quality health care that contributes to:</w:t>
      </w:r>
    </w:p>
    <w:p w14:paraId="058B0E63" w14:textId="77777777" w:rsidR="00895CD2" w:rsidRDefault="00AD26F3" w:rsidP="004C6B2C">
      <w:pPr>
        <w:pStyle w:val="bullet"/>
      </w:pPr>
      <w:r>
        <w:t>better experiences for patients and consumers</w:t>
      </w:r>
    </w:p>
    <w:p w14:paraId="42B3A7C2" w14:textId="77777777" w:rsidR="00895CD2" w:rsidRDefault="00AD26F3" w:rsidP="004C6B2C">
      <w:pPr>
        <w:pStyle w:val="bullet"/>
      </w:pPr>
      <w:r>
        <w:t>better health outcomes for the population</w:t>
      </w:r>
    </w:p>
    <w:p w14:paraId="0137955F" w14:textId="77777777" w:rsidR="00895CD2" w:rsidRDefault="00AD26F3" w:rsidP="004C6B2C">
      <w:pPr>
        <w:pStyle w:val="bullet"/>
      </w:pPr>
      <w:r>
        <w:t>improved productivity</w:t>
      </w:r>
    </w:p>
    <w:p w14:paraId="4C6A1376" w14:textId="77777777" w:rsidR="00895CD2" w:rsidRDefault="00AD26F3" w:rsidP="004C6B2C">
      <w:pPr>
        <w:pStyle w:val="bullet"/>
      </w:pPr>
      <w:proofErr w:type="gramStart"/>
      <w:r>
        <w:t>greater</w:t>
      </w:r>
      <w:proofErr w:type="gramEnd"/>
      <w:r>
        <w:t xml:space="preserve"> sustainability.</w:t>
      </w:r>
    </w:p>
    <w:p w14:paraId="1C796751" w14:textId="77777777" w:rsidR="00895CD2" w:rsidRDefault="00AD26F3">
      <w:pPr>
        <w:pStyle w:val="1heading-level-2"/>
        <w:rPr>
          <w:rFonts w:cs="Times New Roman"/>
          <w:lang w:val="en-GB"/>
        </w:rPr>
      </w:pPr>
      <w:r>
        <w:rPr>
          <w:rFonts w:cs="Times New Roman"/>
          <w:lang w:val="en-GB"/>
        </w:rPr>
        <w:t>Our role</w:t>
      </w:r>
    </w:p>
    <w:p w14:paraId="787D5E5F" w14:textId="77777777" w:rsidR="00895CD2" w:rsidRDefault="00AD26F3">
      <w:pPr>
        <w:pStyle w:val="2body-copy"/>
        <w:rPr>
          <w:rFonts w:cs="Times New Roman"/>
          <w:lang w:val="en-GB"/>
        </w:rPr>
      </w:pPr>
      <w:r>
        <w:rPr>
          <w:rFonts w:cs="Times New Roman"/>
          <w:lang w:val="en-GB"/>
        </w:rPr>
        <w:t xml:space="preserve">The Council of Australian Governments established the Commission to lead and coordinate national improvements in the safety and quality of health care. Our role is to provide health ministers with strategic advice on best practices to bring about these improvements. The Commission develops and supports national safety and clinical standards; formulates and implements national accreditation schemes; and develops national health-related data sets. The Commission is also working to reduce unwarranted variations in practice and outcomes for individuals and populations, and undertaking nationally coordinated action to address healthcare associated infections and antimicrobial resistance. </w:t>
      </w:r>
    </w:p>
    <w:p w14:paraId="7C9A5B71" w14:textId="77777777" w:rsidR="00895CD2" w:rsidRDefault="00AD26F3">
      <w:pPr>
        <w:pStyle w:val="2body-copy"/>
        <w:rPr>
          <w:rFonts w:cs="Times New Roman"/>
          <w:lang w:val="en-GB"/>
        </w:rPr>
      </w:pPr>
      <w:r>
        <w:rPr>
          <w:rStyle w:val="2body-italic"/>
          <w:rFonts w:cs="Times New Roman"/>
          <w:lang w:val="en-GB"/>
        </w:rPr>
        <w:t>The National Health Reform Act 2011</w:t>
      </w:r>
      <w:r>
        <w:rPr>
          <w:rFonts w:cs="Times New Roman"/>
          <w:lang w:val="en-GB"/>
        </w:rPr>
        <w:t xml:space="preserve"> specifies the Commission’s roles and responsibilities as a permanent independent authority under the </w:t>
      </w:r>
      <w:r>
        <w:rPr>
          <w:rStyle w:val="2body-italic"/>
          <w:rFonts w:cs="Times New Roman"/>
          <w:lang w:val="en-GB"/>
        </w:rPr>
        <w:t xml:space="preserve">Commonwealth Authorities and Companies Act 1997 </w:t>
      </w:r>
      <w:r>
        <w:rPr>
          <w:rFonts w:cs="Times New Roman"/>
          <w:lang w:val="en-GB"/>
        </w:rPr>
        <w:t xml:space="preserve">(CAC Act). For details of the Commission’s specific functions under section 9 of the </w:t>
      </w:r>
      <w:r>
        <w:rPr>
          <w:rStyle w:val="2body-italic"/>
          <w:rFonts w:cs="Times New Roman"/>
          <w:lang w:val="en-GB"/>
        </w:rPr>
        <w:t xml:space="preserve">National Health Reform Act 2011 </w:t>
      </w:r>
      <w:r>
        <w:rPr>
          <w:rFonts w:cs="Times New Roman"/>
          <w:lang w:val="en-GB"/>
        </w:rPr>
        <w:t xml:space="preserve">see page 16. </w:t>
      </w:r>
    </w:p>
    <w:p w14:paraId="48B304D9" w14:textId="77777777" w:rsidR="00895CD2" w:rsidRDefault="00AD26F3">
      <w:pPr>
        <w:pStyle w:val="1heading-level-2"/>
        <w:rPr>
          <w:rFonts w:cs="Times New Roman"/>
          <w:lang w:val="en-GB"/>
        </w:rPr>
      </w:pPr>
      <w:r>
        <w:rPr>
          <w:rFonts w:cs="Times New Roman"/>
          <w:lang w:val="en-GB"/>
        </w:rPr>
        <w:t>Our values</w:t>
      </w:r>
    </w:p>
    <w:p w14:paraId="16CDC9FB" w14:textId="77777777" w:rsidR="00895CD2" w:rsidRDefault="00AD26F3">
      <w:pPr>
        <w:pStyle w:val="2body-copy"/>
        <w:rPr>
          <w:rFonts w:cs="Times New Roman"/>
          <w:lang w:val="en-GB"/>
        </w:rPr>
      </w:pPr>
      <w:r>
        <w:rPr>
          <w:rFonts w:cs="Times New Roman"/>
          <w:lang w:val="en-GB"/>
        </w:rPr>
        <w:t>The Commission values close, collaborative relationships with our partners from across the healthcare sector. These partners include consumers, healthcare providers, governments, and other healthcare organisations and agencies.</w:t>
      </w:r>
    </w:p>
    <w:p w14:paraId="6FCA7128" w14:textId="77777777" w:rsidR="00895CD2" w:rsidRDefault="00AD26F3">
      <w:pPr>
        <w:pStyle w:val="2body-copy"/>
        <w:rPr>
          <w:rFonts w:cs="Times New Roman"/>
          <w:lang w:val="en-GB"/>
        </w:rPr>
      </w:pPr>
      <w:r>
        <w:rPr>
          <w:rFonts w:cs="Times New Roman"/>
          <w:lang w:val="en-GB"/>
        </w:rPr>
        <w:t>The Commission and its people act with independence, transparency, fairness, respect, accuracy and accountability. The Commission is committed to producing high-quality work, making ongoing improvements and enhancing a supportive work culture.</w:t>
      </w:r>
    </w:p>
    <w:p w14:paraId="4463F69B" w14:textId="77777777" w:rsidR="00895CD2" w:rsidRDefault="00AD26F3">
      <w:pPr>
        <w:pStyle w:val="1heading-level-2"/>
        <w:rPr>
          <w:rFonts w:cs="Times New Roman"/>
          <w:lang w:val="en-GB"/>
        </w:rPr>
      </w:pPr>
      <w:r>
        <w:rPr>
          <w:rFonts w:cs="Times New Roman"/>
          <w:lang w:val="en-GB"/>
        </w:rPr>
        <w:t>Our accountability</w:t>
      </w:r>
    </w:p>
    <w:p w14:paraId="49F86183" w14:textId="77777777" w:rsidR="00895CD2" w:rsidRDefault="00AD26F3">
      <w:pPr>
        <w:pStyle w:val="2body-copy"/>
        <w:rPr>
          <w:rFonts w:cs="Times New Roman"/>
          <w:lang w:val="en-GB"/>
        </w:rPr>
      </w:pPr>
      <w:r>
        <w:rPr>
          <w:rFonts w:cs="Times New Roman"/>
          <w:lang w:val="en-GB"/>
        </w:rPr>
        <w:t>As a statutory authority of the Australian Government, the Commission is accountable to the Parliament and the Minister for Health for achieving the outcomes of our agreed work plan and priorities. The Honourable Peter Dutton MP is the Minister for Health and has been the Commission’s responsible Minister since 18 September 2013. The Honourable Tanya Plibersek MP was the Minister for Health and the Commission’s responsible Minister from 1 July 2013 to 17 September 2013.</w:t>
      </w:r>
    </w:p>
    <w:p w14:paraId="58C1CA30" w14:textId="078A66CA" w:rsidR="004C6B2C" w:rsidRDefault="00AD26F3">
      <w:pPr>
        <w:rPr>
          <w:rFonts w:eastAsia="Times New Roman" w:cs="Times New Roman"/>
          <w:lang w:val="en-GB"/>
        </w:rPr>
      </w:pPr>
      <w:r>
        <w:rPr>
          <w:rFonts w:eastAsia="Times New Roman" w:cs="Times New Roman"/>
          <w:lang w:val="en-GB"/>
        </w:rPr>
        <w:fldChar w:fldCharType="begin" w:fldLock="1"/>
      </w:r>
      <w:r w:rsidR="004F6AD4">
        <w:rPr>
          <w:rFonts w:eastAsia="Times New Roman" w:cs="Times New Roman"/>
          <w:lang w:val="en-GB"/>
        </w:rPr>
        <w:instrText xml:space="preserve"> INCLUDEPICTURE "\\\\central.health\\dfsuserenv\\Users\\User_08\\keanky\\Downloads\\impress 3\\10:SAQ148_01_FrontSection_V8_FILM Folder:HTML 1:Untitled-1-web-resources\\image\\Dispensing Drugs 7East1 56328 KPEC Nursing Display WS1_1365.jpg" \* MERGEFORMAT \d </w:instrText>
      </w:r>
      <w:r>
        <w:rPr>
          <w:rFonts w:eastAsia="Times New Roman" w:cs="Times New Roman"/>
          <w:lang w:val="en-GB"/>
        </w:rPr>
        <w:fldChar w:fldCharType="separate"/>
      </w:r>
      <w:r>
        <w:rPr>
          <w:rFonts w:eastAsia="Times New Roman" w:cs="Times New Roman"/>
          <w:lang w:val="en-GB"/>
        </w:rPr>
        <w:fldChar w:fldCharType="begin"/>
      </w:r>
      <w:r>
        <w:rPr>
          <w:rFonts w:eastAsia="Times New Roman" w:cs="Times New Roman"/>
          <w:lang w:val="en-GB"/>
        </w:rPr>
        <w:instrText xml:space="preserve"> INCLUDEPICTURE  \d "\\\\localhost\\Users\\gogadolic\\Desktop\\impress design\\1_SAQ148_01_FrontSection_V8_FILM Folder\\word doc\\:..:..:..:..:..:..:impress 3\\10:SAQ148_01_FrontSection_V8_FILM Folder:word doc:impress 3:10\\SAQ148_01_FrontSection_V8_FILM Folder\\HTML 1\\Untitled-1-web-resources:image:Dispensing Drugs 7East1 56328 KPEC Nursing Display WS1_1365.jpg" \* MERGEFORMATINET </w:instrText>
      </w:r>
      <w:r>
        <w:rPr>
          <w:rFonts w:eastAsia="Times New Roman" w:cs="Times New Roman"/>
          <w:lang w:val="en-GB"/>
        </w:rPr>
        <w:fldChar w:fldCharType="separate"/>
      </w:r>
      <w:r w:rsidR="008A7534">
        <w:rPr>
          <w:rFonts w:eastAsia="Times New Roman" w:cs="Times New Roman"/>
          <w:lang w:val="en-GB"/>
        </w:rPr>
        <w:fldChar w:fldCharType="begin"/>
      </w:r>
      <w:r w:rsidR="008A7534">
        <w:rPr>
          <w:rFonts w:eastAsia="Times New Roman" w:cs="Times New Roman"/>
          <w:lang w:val="en-GB"/>
        </w:rPr>
        <w:instrText xml:space="preserve"> INCLUDEPICTURE  \d "\\\\localhost\\Users\\gogadolic\\Desktop\\impress design\\1_SAQ148_01_FrontSection_V8_FILM Folder\\word doc\\:..:..:..:..:..:..:impress 3\\10:SAQ148_01_FrontSection_V8_FILM Folder:word doc:impress 3:10\\SAQ148_01_FrontSection_V8_FILM Folder\\HTML 1\\Untitled-1-web-resourc" \* MERGEFORMATINET </w:instrText>
      </w:r>
      <w:r w:rsidR="008A7534">
        <w:rPr>
          <w:rFonts w:eastAsia="Times New Roman" w:cs="Times New Roman"/>
          <w:lang w:val="en-GB"/>
        </w:rPr>
        <w:fldChar w:fldCharType="separate"/>
      </w:r>
      <w:r w:rsidR="006F421D">
        <w:rPr>
          <w:rFonts w:eastAsia="Times New Roman" w:cs="Times New Roman"/>
          <w:lang w:val="en-GB"/>
        </w:rPr>
        <w:fldChar w:fldCharType="begin"/>
      </w:r>
      <w:r w:rsidR="006F421D">
        <w:rPr>
          <w:rFonts w:eastAsia="Times New Roman" w:cs="Times New Roman"/>
          <w:lang w:val="en-GB"/>
        </w:rPr>
        <w:instrText xml:space="preserve"> INCLUDEPICTURE  \d "\\\\localhost\\Users\\gogadolic\\Desktop\\impress design\\1_SAQ148_01_FrontSection_V8_FILM Folder\\word doc\\:..:..:..:..:..:..:impress 3\\10:SAQ148_01_FrontSection_V8_FILM Folder:word doc:impress 3:10\\SAQ148_01_FrontSection_V8_FILM Folder\\HTML 1\\Untitled-1-web-resourc" \* MERGEFORMATINET </w:instrText>
      </w:r>
      <w:r w:rsidR="006F421D">
        <w:rPr>
          <w:rFonts w:eastAsia="Times New Roman" w:cs="Times New Roman"/>
          <w:lang w:val="en-GB"/>
        </w:rPr>
        <w:fldChar w:fldCharType="separate"/>
      </w:r>
      <w:r w:rsidR="00580867">
        <w:rPr>
          <w:rFonts w:eastAsia="Times New Roman" w:cs="Times New Roman"/>
          <w:lang w:val="en-GB"/>
        </w:rPr>
        <w:fldChar w:fldCharType="begin"/>
      </w:r>
      <w:r w:rsidR="00580867">
        <w:rPr>
          <w:rFonts w:eastAsia="Times New Roman" w:cs="Times New Roman"/>
          <w:lang w:val="en-GB"/>
        </w:rPr>
        <w:instrText xml:space="preserve"> INCLUDEPICTURE  \d "\\\\localhost\\Users\\gogadolic\\Desktop\\impress design\\1_SAQ148_01_FrontSection_V8_FILM Folder\\word doc\\:..:..:..:..:..:..:impress 3\\10:SAQ148_01_FrontSection_V8_FILM Folder:word doc:impress 3:10\\SAQ148_01_FrontSection_V8_FILM Folder\\HTML 1\\Untitled-1-web-resourc" \* MERGEFORMATINET </w:instrText>
      </w:r>
      <w:r w:rsidR="00580867">
        <w:rPr>
          <w:rFonts w:eastAsia="Times New Roman" w:cs="Times New Roman"/>
          <w:lang w:val="en-GB"/>
        </w:rPr>
        <w:fldChar w:fldCharType="end"/>
      </w:r>
      <w:r w:rsidR="006F421D">
        <w:rPr>
          <w:rFonts w:eastAsia="Times New Roman" w:cs="Times New Roman"/>
          <w:lang w:val="en-GB"/>
        </w:rPr>
        <w:fldChar w:fldCharType="end"/>
      </w:r>
      <w:r w:rsidR="008A7534">
        <w:rPr>
          <w:rFonts w:eastAsia="Times New Roman" w:cs="Times New Roman"/>
          <w:lang w:val="en-GB"/>
        </w:rPr>
        <w:fldChar w:fldCharType="end"/>
      </w:r>
      <w:r>
        <w:rPr>
          <w:rFonts w:eastAsia="Times New Roman" w:cs="Times New Roman"/>
          <w:lang w:val="en-GB"/>
        </w:rPr>
        <w:fldChar w:fldCharType="end"/>
      </w:r>
      <w:r>
        <w:rPr>
          <w:rFonts w:eastAsia="Times New Roman" w:cs="Times New Roman"/>
          <w:lang w:val="en-GB"/>
        </w:rPr>
        <w:fldChar w:fldCharType="end"/>
      </w:r>
    </w:p>
    <w:p w14:paraId="1D7666FC" w14:textId="77777777" w:rsidR="00895CD2" w:rsidRDefault="00450A12" w:rsidP="004C6B2C">
      <w:pPr>
        <w:spacing w:after="0"/>
        <w:rPr>
          <w:rFonts w:eastAsia="Times New Roman" w:cs="Times New Roman"/>
          <w:lang w:val="en-GB"/>
        </w:rPr>
      </w:pPr>
      <w:r>
        <w:rPr>
          <w:rFonts w:eastAsia="Times New Roman" w:cs="Times New Roman"/>
          <w:noProof/>
          <w:lang w:eastAsia="en-AU"/>
        </w:rPr>
        <w:lastRenderedPageBreak/>
        <w:drawing>
          <wp:inline distT="0" distB="0" distL="0" distR="0" wp14:anchorId="70C74525" wp14:editId="5CC48E78">
            <wp:extent cx="5816600" cy="5905500"/>
            <wp:effectExtent l="0" t="0" r="0" b="0"/>
            <wp:docPr id="26" name="Picture 26" descr="Image - healthcare providers" title="Image - healthcare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png"/>
                    <pic:cNvPicPr/>
                  </pic:nvPicPr>
                  <pic:blipFill>
                    <a:blip r:embed="rId12">
                      <a:extLst>
                        <a:ext uri="{28A0092B-C50C-407E-A947-70E740481C1C}">
                          <a14:useLocalDpi xmlns:a14="http://schemas.microsoft.com/office/drawing/2010/main" val="0"/>
                        </a:ext>
                      </a:extLst>
                    </a:blip>
                    <a:stretch>
                      <a:fillRect/>
                    </a:stretch>
                  </pic:blipFill>
                  <pic:spPr>
                    <a:xfrm>
                      <a:off x="0" y="0"/>
                      <a:ext cx="5816600" cy="5905500"/>
                    </a:xfrm>
                    <a:prstGeom prst="rect">
                      <a:avLst/>
                    </a:prstGeom>
                  </pic:spPr>
                </pic:pic>
              </a:graphicData>
            </a:graphic>
          </wp:inline>
        </w:drawing>
      </w:r>
      <w:r w:rsidR="004C6B2C">
        <w:rPr>
          <w:rFonts w:eastAsia="Times New Roman" w:cs="Times New Roman"/>
          <w:lang w:val="en-GB"/>
        </w:rPr>
        <w:br w:type="page"/>
      </w:r>
    </w:p>
    <w:p w14:paraId="62599954" w14:textId="77777777" w:rsidR="00895CD2" w:rsidRPr="00093444" w:rsidRDefault="00AD26F3" w:rsidP="00093444">
      <w:pPr>
        <w:pStyle w:val="Heading2"/>
        <w:rPr>
          <w:szCs w:val="40"/>
          <w:lang w:val="en-GB"/>
        </w:rPr>
      </w:pPr>
      <w:bookmarkStart w:id="6" w:name="_Toc414011864"/>
      <w:r w:rsidRPr="00093444">
        <w:rPr>
          <w:szCs w:val="40"/>
          <w:lang w:val="en-GB"/>
        </w:rPr>
        <w:lastRenderedPageBreak/>
        <w:t>Highlights 2013/14</w:t>
      </w:r>
      <w:bookmarkEnd w:id="6"/>
    </w:p>
    <w:tbl>
      <w:tblPr>
        <w:tblW w:w="0" w:type="auto"/>
        <w:tblCellMar>
          <w:top w:w="57" w:type="dxa"/>
          <w:left w:w="15" w:type="dxa"/>
          <w:bottom w:w="57" w:type="dxa"/>
          <w:right w:w="15" w:type="dxa"/>
        </w:tblCellMar>
        <w:tblLook w:val="04A0" w:firstRow="1" w:lastRow="0" w:firstColumn="1" w:lastColumn="0" w:noHBand="0" w:noVBand="1"/>
      </w:tblPr>
      <w:tblGrid>
        <w:gridCol w:w="1667"/>
        <w:gridCol w:w="8562"/>
      </w:tblGrid>
      <w:tr w:rsidR="00895CD2" w14:paraId="27F34F99" w14:textId="77777777" w:rsidTr="00FD17DE">
        <w:tc>
          <w:tcPr>
            <w:tcW w:w="510" w:type="dxa"/>
            <w:vAlign w:val="center"/>
            <w:hideMark/>
          </w:tcPr>
          <w:p w14:paraId="225C05CE" w14:textId="77777777" w:rsidR="00895CD2" w:rsidRDefault="00675FF5">
            <w:pPr>
              <w:pStyle w:val="2body-copy"/>
              <w:rPr>
                <w:rFonts w:cs="Times New Roman"/>
              </w:rPr>
            </w:pPr>
            <w:r>
              <w:rPr>
                <w:rFonts w:cs="Times New Roman"/>
                <w:noProof/>
                <w:lang w:eastAsia="en-AU"/>
              </w:rPr>
              <w:drawing>
                <wp:inline distT="0" distB="0" distL="0" distR="0" wp14:anchorId="53DF3AA9" wp14:editId="6B214168">
                  <wp:extent cx="1039495" cy="828040"/>
                  <wp:effectExtent l="0" t="0" r="0" b="0"/>
                  <wp:docPr id="78" name="Picture 78" descr="July 2013 icon" title="July 201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39495" cy="828040"/>
                          </a:xfrm>
                          <a:prstGeom prst="rect">
                            <a:avLst/>
                          </a:prstGeom>
                          <a:noFill/>
                          <a:ln>
                            <a:noFill/>
                          </a:ln>
                        </pic:spPr>
                      </pic:pic>
                    </a:graphicData>
                  </a:graphic>
                </wp:inline>
              </w:drawing>
            </w:r>
          </w:p>
        </w:tc>
        <w:tc>
          <w:tcPr>
            <w:tcW w:w="9689" w:type="dxa"/>
            <w:tcBorders>
              <w:bottom w:val="dotted" w:sz="8" w:space="0" w:color="54B6C5"/>
            </w:tcBorders>
            <w:vAlign w:val="center"/>
            <w:hideMark/>
          </w:tcPr>
          <w:p w14:paraId="3F5784F4" w14:textId="77777777" w:rsidR="00895CD2" w:rsidRDefault="00AD26F3">
            <w:pPr>
              <w:pStyle w:val="2body-copy"/>
              <w:rPr>
                <w:rFonts w:cs="Times New Roman"/>
              </w:rPr>
            </w:pPr>
            <w:r>
              <w:rPr>
                <w:rStyle w:val="charoverride-2"/>
                <w:rFonts w:cs="Times New Roman"/>
              </w:rPr>
              <w:t xml:space="preserve">137 hospitals and day procedure services had been assessed against the National Safety and Quality Health Service (NSQHS) Standards since the scheme commenced in January 2013. </w:t>
            </w:r>
          </w:p>
          <w:p w14:paraId="1B946BAB" w14:textId="77777777" w:rsidR="00895CD2" w:rsidRDefault="00AD26F3">
            <w:pPr>
              <w:pStyle w:val="2body-copy"/>
              <w:rPr>
                <w:rFonts w:cs="Times New Roman"/>
              </w:rPr>
            </w:pPr>
            <w:r>
              <w:rPr>
                <w:rStyle w:val="charoverride-2"/>
                <w:rFonts w:cs="Times New Roman"/>
              </w:rPr>
              <w:t>To support the development of a comprehensive National Antimicrobial Resistance (AMR) Strategy for Australia, the Commission convened the Australian One Health AMR Colloquium. The colloquium was convened on behalf of the Australian AMR Prevention and Containment Steering Group and brought together experts and industry representatives from the human and animal health, food, agriculture and academic sectors to discuss key priorities and strategies for addressing AMR in Australia.</w:t>
            </w:r>
          </w:p>
        </w:tc>
      </w:tr>
      <w:tr w:rsidR="00895CD2" w14:paraId="79ECFF0E" w14:textId="77777777" w:rsidTr="00FD17DE">
        <w:tc>
          <w:tcPr>
            <w:tcW w:w="510" w:type="dxa"/>
            <w:vAlign w:val="center"/>
            <w:hideMark/>
          </w:tcPr>
          <w:p w14:paraId="3C415735" w14:textId="77777777" w:rsidR="00895CD2" w:rsidRDefault="00675FF5">
            <w:pPr>
              <w:pStyle w:val="2body-copy"/>
              <w:rPr>
                <w:rFonts w:cs="Times New Roman"/>
              </w:rPr>
            </w:pPr>
            <w:r>
              <w:rPr>
                <w:rFonts w:cs="Times New Roman"/>
                <w:noProof/>
                <w:lang w:eastAsia="en-AU"/>
              </w:rPr>
              <w:drawing>
                <wp:inline distT="0" distB="0" distL="0" distR="0" wp14:anchorId="114B4BE0" wp14:editId="23E41FF0">
                  <wp:extent cx="1039495" cy="828040"/>
                  <wp:effectExtent l="0" t="0" r="0" b="0"/>
                  <wp:docPr id="85" name="Picture 85" descr="August 2013 icon" title="August 201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39495" cy="828040"/>
                          </a:xfrm>
                          <a:prstGeom prst="rect">
                            <a:avLst/>
                          </a:prstGeom>
                          <a:noFill/>
                          <a:ln>
                            <a:noFill/>
                          </a:ln>
                        </pic:spPr>
                      </pic:pic>
                    </a:graphicData>
                  </a:graphic>
                </wp:inline>
              </w:drawing>
            </w:r>
          </w:p>
        </w:tc>
        <w:tc>
          <w:tcPr>
            <w:tcW w:w="9689" w:type="dxa"/>
            <w:tcBorders>
              <w:top w:val="dotted" w:sz="8" w:space="0" w:color="54B6C5"/>
              <w:bottom w:val="dotted" w:sz="8" w:space="0" w:color="54B6C5"/>
            </w:tcBorders>
            <w:vAlign w:val="center"/>
            <w:hideMark/>
          </w:tcPr>
          <w:p w14:paraId="31BB4FB1" w14:textId="77777777" w:rsidR="00895CD2" w:rsidRDefault="00AD26F3">
            <w:pPr>
              <w:pStyle w:val="2body-copy"/>
              <w:rPr>
                <w:rFonts w:cs="Times New Roman"/>
              </w:rPr>
            </w:pPr>
            <w:r>
              <w:rPr>
                <w:rStyle w:val="charoverride-2"/>
                <w:rFonts w:cs="Times New Roman"/>
              </w:rPr>
              <w:t xml:space="preserve">The Commission’s Australian Open Disclosure Framework was officially endorsed by the following professional organisations: Australian College of Nursing; Australian and New Zealand College of Anaesthetists; The Royal Australian and New Zealand Colleges of Obstetricians and Gynaecologists; The Royal Australasian College of Physicians; Royal Australasian College of Surgeons; and The Society of Hospital Pharmacists of Australia. In December 2013, all Australian health ministers also officially endorsed the framework. </w:t>
            </w:r>
          </w:p>
        </w:tc>
      </w:tr>
      <w:tr w:rsidR="00895CD2" w14:paraId="503FC7FA" w14:textId="77777777" w:rsidTr="00FD17DE">
        <w:tc>
          <w:tcPr>
            <w:tcW w:w="510" w:type="dxa"/>
            <w:vAlign w:val="center"/>
            <w:hideMark/>
          </w:tcPr>
          <w:p w14:paraId="1401C06A" w14:textId="77777777" w:rsidR="00895CD2" w:rsidRDefault="00675FF5">
            <w:pPr>
              <w:pStyle w:val="2body-copy"/>
              <w:rPr>
                <w:rFonts w:cs="Times New Roman"/>
              </w:rPr>
            </w:pPr>
            <w:r>
              <w:rPr>
                <w:rFonts w:cs="Times New Roman"/>
                <w:noProof/>
                <w:lang w:eastAsia="en-AU"/>
              </w:rPr>
              <w:drawing>
                <wp:inline distT="0" distB="0" distL="0" distR="0" wp14:anchorId="7B7F521C" wp14:editId="4FDE70B8">
                  <wp:extent cx="1039495" cy="828040"/>
                  <wp:effectExtent l="0" t="0" r="0" b="0"/>
                  <wp:docPr id="88" name="Picture 88" descr="September 2013" title="September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39495" cy="828040"/>
                          </a:xfrm>
                          <a:prstGeom prst="rect">
                            <a:avLst/>
                          </a:prstGeom>
                          <a:noFill/>
                          <a:ln>
                            <a:noFill/>
                          </a:ln>
                        </pic:spPr>
                      </pic:pic>
                    </a:graphicData>
                  </a:graphic>
                </wp:inline>
              </w:drawing>
            </w:r>
          </w:p>
        </w:tc>
        <w:tc>
          <w:tcPr>
            <w:tcW w:w="9689" w:type="dxa"/>
            <w:tcBorders>
              <w:top w:val="dotted" w:sz="8" w:space="0" w:color="54B6C5"/>
              <w:bottom w:val="dotted" w:sz="8" w:space="0" w:color="54B6C5"/>
            </w:tcBorders>
            <w:vAlign w:val="center"/>
            <w:hideMark/>
          </w:tcPr>
          <w:p w14:paraId="223F4D98" w14:textId="77777777" w:rsidR="00895CD2" w:rsidRDefault="00AD26F3">
            <w:pPr>
              <w:pStyle w:val="2body-copy"/>
              <w:rPr>
                <w:rFonts w:cs="Times New Roman"/>
              </w:rPr>
            </w:pPr>
            <w:r>
              <w:rPr>
                <w:rStyle w:val="charoverride-2"/>
                <w:rFonts w:cs="Times New Roman"/>
              </w:rPr>
              <w:t xml:space="preserve">With project funding provided by the Department of Social Services, the Commission finalised the development of a draft </w:t>
            </w:r>
            <w:r>
              <w:rPr>
                <w:rStyle w:val="2body-roman-italic"/>
                <w:rFonts w:cs="Times New Roman"/>
              </w:rPr>
              <w:t>Handbook for improving safety and providing high quality care for people with cognitive impairment in acute care</w:t>
            </w:r>
            <w:r>
              <w:rPr>
                <w:rStyle w:val="charoverride-2"/>
                <w:rFonts w:cs="Times New Roman"/>
              </w:rPr>
              <w:t xml:space="preserve"> and released it for national consultation. From October to December 2013, the Commission consulted extensively with healthcare professionals and consumer representatives across the country.</w:t>
            </w:r>
          </w:p>
          <w:p w14:paraId="719084B3" w14:textId="77777777" w:rsidR="00895CD2" w:rsidRDefault="00AD26F3">
            <w:pPr>
              <w:pStyle w:val="2body-copy"/>
              <w:rPr>
                <w:rFonts w:cs="Times New Roman"/>
              </w:rPr>
            </w:pPr>
            <w:r>
              <w:rPr>
                <w:rStyle w:val="charoverride-2"/>
                <w:rFonts w:cs="Times New Roman"/>
              </w:rPr>
              <w:t xml:space="preserve">The Commission coordinated a series of public lectures and workshops led by an international expert in healthcare variation, Professor Sir Muir </w:t>
            </w:r>
            <w:proofErr w:type="spellStart"/>
            <w:r>
              <w:rPr>
                <w:rStyle w:val="charoverride-2"/>
                <w:rFonts w:cs="Times New Roman"/>
              </w:rPr>
              <w:t>Gray</w:t>
            </w:r>
            <w:proofErr w:type="spellEnd"/>
            <w:r>
              <w:rPr>
                <w:rStyle w:val="charoverride-2"/>
                <w:rFonts w:cs="Times New Roman"/>
              </w:rPr>
              <w:t>. Sir Muir was responsible for developing the National Health Service (NHS, UK) Atlas of Variation in Healthcare series of publications.</w:t>
            </w:r>
          </w:p>
        </w:tc>
      </w:tr>
      <w:tr w:rsidR="00895CD2" w14:paraId="20036CC3" w14:textId="77777777" w:rsidTr="00FD17DE">
        <w:tc>
          <w:tcPr>
            <w:tcW w:w="510" w:type="dxa"/>
            <w:vAlign w:val="center"/>
            <w:hideMark/>
          </w:tcPr>
          <w:p w14:paraId="39E7B2E3" w14:textId="77777777" w:rsidR="00895CD2" w:rsidRDefault="00675FF5">
            <w:pPr>
              <w:pStyle w:val="2body-copy"/>
              <w:rPr>
                <w:rFonts w:cs="Times New Roman"/>
              </w:rPr>
            </w:pPr>
            <w:r>
              <w:rPr>
                <w:rFonts w:cs="Times New Roman"/>
                <w:noProof/>
                <w:lang w:eastAsia="en-AU"/>
              </w:rPr>
              <w:drawing>
                <wp:inline distT="0" distB="0" distL="0" distR="0" wp14:anchorId="21FFE3EF" wp14:editId="0D877D11">
                  <wp:extent cx="1039495" cy="828040"/>
                  <wp:effectExtent l="0" t="0" r="0" b="0"/>
                  <wp:docPr id="94" name="Picture 94" descr="October 2013 icon" title="October 201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9495" cy="828040"/>
                          </a:xfrm>
                          <a:prstGeom prst="rect">
                            <a:avLst/>
                          </a:prstGeom>
                          <a:noFill/>
                          <a:ln>
                            <a:noFill/>
                          </a:ln>
                        </pic:spPr>
                      </pic:pic>
                    </a:graphicData>
                  </a:graphic>
                </wp:inline>
              </w:drawing>
            </w:r>
          </w:p>
        </w:tc>
        <w:tc>
          <w:tcPr>
            <w:tcW w:w="9689" w:type="dxa"/>
            <w:tcBorders>
              <w:top w:val="dotted" w:sz="8" w:space="0" w:color="54B6C5"/>
              <w:bottom w:val="dotted" w:sz="8" w:space="0" w:color="54B6C5"/>
            </w:tcBorders>
            <w:vAlign w:val="center"/>
            <w:hideMark/>
          </w:tcPr>
          <w:p w14:paraId="08C68BFB" w14:textId="77777777" w:rsidR="00895CD2" w:rsidRDefault="00AD26F3">
            <w:pPr>
              <w:pStyle w:val="2body-copy"/>
              <w:rPr>
                <w:rFonts w:cs="Times New Roman"/>
              </w:rPr>
            </w:pPr>
            <w:r>
              <w:rPr>
                <w:rStyle w:val="charoverride-2"/>
                <w:rFonts w:cs="Times New Roman"/>
              </w:rPr>
              <w:t xml:space="preserve">The Commission released its first annual publication detailing the state of safety and quality in Australian health care, </w:t>
            </w:r>
            <w:r>
              <w:rPr>
                <w:rStyle w:val="2body-roman-italic"/>
                <w:rFonts w:cs="Times New Roman"/>
              </w:rPr>
              <w:t>Vital Signs 2013</w:t>
            </w:r>
            <w:r>
              <w:rPr>
                <w:rStyle w:val="charoverride-2"/>
                <w:rFonts w:cs="Times New Roman"/>
              </w:rPr>
              <w:t>.</w:t>
            </w:r>
          </w:p>
          <w:p w14:paraId="43F4C3AC" w14:textId="77777777" w:rsidR="00895CD2" w:rsidRDefault="00AD26F3">
            <w:pPr>
              <w:pStyle w:val="2body-copy"/>
              <w:rPr>
                <w:rFonts w:cs="Times New Roman"/>
              </w:rPr>
            </w:pPr>
            <w:r>
              <w:rPr>
                <w:rStyle w:val="charoverride-2"/>
                <w:rFonts w:cs="Times New Roman"/>
              </w:rPr>
              <w:t xml:space="preserve">Professor France </w:t>
            </w:r>
            <w:proofErr w:type="spellStart"/>
            <w:r>
              <w:rPr>
                <w:rStyle w:val="charoverride-2"/>
                <w:rFonts w:cs="Times New Roman"/>
              </w:rPr>
              <w:t>Légaré</w:t>
            </w:r>
            <w:proofErr w:type="spellEnd"/>
            <w:r>
              <w:rPr>
                <w:rStyle w:val="charoverride-2"/>
                <w:rFonts w:cs="Times New Roman"/>
              </w:rPr>
              <w:t xml:space="preserve">, Chair of Shared Decision Making in Primary Care at the </w:t>
            </w:r>
            <w:proofErr w:type="spellStart"/>
            <w:r>
              <w:rPr>
                <w:rStyle w:val="charoverride-2"/>
                <w:rFonts w:cs="Times New Roman"/>
              </w:rPr>
              <w:t>Université</w:t>
            </w:r>
            <w:proofErr w:type="spellEnd"/>
            <w:r>
              <w:rPr>
                <w:rStyle w:val="charoverride-2"/>
                <w:rFonts w:cs="Times New Roman"/>
              </w:rPr>
              <w:t xml:space="preserve"> Laval Québec, visited Australia to conduct a public lecture on shared decision making in health care. Professor </w:t>
            </w:r>
            <w:proofErr w:type="spellStart"/>
            <w:r>
              <w:rPr>
                <w:rStyle w:val="charoverride-2"/>
                <w:rFonts w:cs="Times New Roman"/>
              </w:rPr>
              <w:t>Légaré</w:t>
            </w:r>
            <w:proofErr w:type="spellEnd"/>
            <w:r>
              <w:rPr>
                <w:rStyle w:val="charoverride-2"/>
                <w:rFonts w:cs="Times New Roman"/>
              </w:rPr>
              <w:t xml:space="preserve"> also led a workshop to identify some key areas where shared decision making could be improved in Australia.</w:t>
            </w:r>
          </w:p>
        </w:tc>
      </w:tr>
      <w:tr w:rsidR="00895CD2" w14:paraId="5D747F81" w14:textId="77777777" w:rsidTr="00FD17DE">
        <w:tc>
          <w:tcPr>
            <w:tcW w:w="510" w:type="dxa"/>
            <w:vAlign w:val="center"/>
            <w:hideMark/>
          </w:tcPr>
          <w:p w14:paraId="3E702F0F" w14:textId="77777777" w:rsidR="00895CD2" w:rsidRDefault="00675FF5">
            <w:pPr>
              <w:pStyle w:val="2body-copy"/>
              <w:rPr>
                <w:rFonts w:cs="Times New Roman"/>
              </w:rPr>
            </w:pPr>
            <w:r>
              <w:rPr>
                <w:rFonts w:cs="Times New Roman"/>
                <w:noProof/>
                <w:lang w:eastAsia="en-AU"/>
              </w:rPr>
              <w:drawing>
                <wp:inline distT="0" distB="0" distL="0" distR="0" wp14:anchorId="29072830" wp14:editId="1669E8F0">
                  <wp:extent cx="1039495" cy="828040"/>
                  <wp:effectExtent l="0" t="0" r="0" b="0"/>
                  <wp:docPr id="96" name="Picture 96" descr="November 2013 icon" title="November 201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39495" cy="828040"/>
                          </a:xfrm>
                          <a:prstGeom prst="rect">
                            <a:avLst/>
                          </a:prstGeom>
                          <a:noFill/>
                          <a:ln>
                            <a:noFill/>
                          </a:ln>
                        </pic:spPr>
                      </pic:pic>
                    </a:graphicData>
                  </a:graphic>
                </wp:inline>
              </w:drawing>
            </w:r>
          </w:p>
        </w:tc>
        <w:tc>
          <w:tcPr>
            <w:tcW w:w="9689" w:type="dxa"/>
            <w:tcBorders>
              <w:top w:val="dotted" w:sz="8" w:space="0" w:color="54B6C5"/>
              <w:bottom w:val="dotted" w:sz="8" w:space="0" w:color="54B6C5"/>
            </w:tcBorders>
            <w:vAlign w:val="center"/>
            <w:hideMark/>
          </w:tcPr>
          <w:p w14:paraId="70CA3175" w14:textId="77777777" w:rsidR="00895CD2" w:rsidRDefault="00AD26F3">
            <w:pPr>
              <w:pStyle w:val="2body-copy"/>
              <w:rPr>
                <w:rFonts w:cs="Times New Roman"/>
              </w:rPr>
            </w:pPr>
            <w:r>
              <w:rPr>
                <w:rStyle w:val="charoverride-2"/>
                <w:rFonts w:cs="Times New Roman"/>
              </w:rPr>
              <w:t>The Commission’s work to develop and implement the National Safety and Quality Health Service (NSQHS) Standards achieved national recognition, receiving two awards at the Prime Minister’s Awards for Excellence in Public Sector Management. The awards recognised excellence in planning and collaboration in an area of considerable significance for public welfare and confidence.</w:t>
            </w:r>
          </w:p>
          <w:p w14:paraId="17D83BA2" w14:textId="77777777" w:rsidR="00895CD2" w:rsidRDefault="00AD26F3">
            <w:pPr>
              <w:pStyle w:val="2body-copy"/>
              <w:rPr>
                <w:rFonts w:cs="Times New Roman"/>
              </w:rPr>
            </w:pPr>
            <w:r>
              <w:rPr>
                <w:rStyle w:val="charoverride-2"/>
                <w:rFonts w:cs="Times New Roman"/>
              </w:rPr>
              <w:t>The Australian Government Chief Medical Officer, Professor Chris </w:t>
            </w:r>
            <w:proofErr w:type="spellStart"/>
            <w:r>
              <w:rPr>
                <w:rStyle w:val="charoverride-2"/>
                <w:rFonts w:cs="Times New Roman"/>
              </w:rPr>
              <w:t>Baggoley</w:t>
            </w:r>
            <w:proofErr w:type="spellEnd"/>
            <w:r>
              <w:rPr>
                <w:rStyle w:val="charoverride-2"/>
                <w:rFonts w:cs="Times New Roman"/>
              </w:rPr>
              <w:t xml:space="preserve">, and the Chief Veterinary Officer, Dr Mark </w:t>
            </w:r>
            <w:proofErr w:type="spellStart"/>
            <w:r>
              <w:rPr>
                <w:rStyle w:val="charoverride-2"/>
                <w:rFonts w:cs="Times New Roman"/>
              </w:rPr>
              <w:t>Schipp</w:t>
            </w:r>
            <w:proofErr w:type="spellEnd"/>
            <w:r>
              <w:rPr>
                <w:rStyle w:val="charoverride-2"/>
                <w:rFonts w:cs="Times New Roman"/>
              </w:rPr>
              <w:t xml:space="preserve">, launched Antibiotic Awareness Week 2013, which took a ‘One Health’ approach to encouraging collaboration across animal health, agriculture and human health. Antibiotic Awareness Week is coordinated annually by the Commission. </w:t>
            </w:r>
          </w:p>
        </w:tc>
      </w:tr>
      <w:tr w:rsidR="00895CD2" w14:paraId="00D08415" w14:textId="77777777" w:rsidTr="00FD17DE">
        <w:tc>
          <w:tcPr>
            <w:tcW w:w="510" w:type="dxa"/>
            <w:vAlign w:val="center"/>
            <w:hideMark/>
          </w:tcPr>
          <w:p w14:paraId="594C66E8" w14:textId="77777777" w:rsidR="00895CD2" w:rsidRDefault="00675FF5">
            <w:pPr>
              <w:pStyle w:val="2body-copy"/>
              <w:rPr>
                <w:rFonts w:cs="Times New Roman"/>
              </w:rPr>
            </w:pPr>
            <w:r>
              <w:rPr>
                <w:rFonts w:cs="Times New Roman"/>
                <w:noProof/>
                <w:lang w:eastAsia="en-AU"/>
              </w:rPr>
              <w:drawing>
                <wp:inline distT="0" distB="0" distL="0" distR="0" wp14:anchorId="41DD1FD4" wp14:editId="7F1BD19D">
                  <wp:extent cx="1039495" cy="828040"/>
                  <wp:effectExtent l="0" t="0" r="0" b="0"/>
                  <wp:docPr id="98" name="Picture 98" descr="December 2013 icon" title="December 201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9495" cy="828040"/>
                          </a:xfrm>
                          <a:prstGeom prst="rect">
                            <a:avLst/>
                          </a:prstGeom>
                          <a:noFill/>
                          <a:ln>
                            <a:noFill/>
                          </a:ln>
                        </pic:spPr>
                      </pic:pic>
                    </a:graphicData>
                  </a:graphic>
                </wp:inline>
              </w:drawing>
            </w:r>
          </w:p>
        </w:tc>
        <w:tc>
          <w:tcPr>
            <w:tcW w:w="9689" w:type="dxa"/>
            <w:tcBorders>
              <w:top w:val="dotted" w:sz="8" w:space="0" w:color="54B6C5"/>
              <w:bottom w:val="dotted" w:sz="8" w:space="0" w:color="54B6C5"/>
            </w:tcBorders>
            <w:vAlign w:val="center"/>
            <w:hideMark/>
          </w:tcPr>
          <w:p w14:paraId="6314B376" w14:textId="77777777" w:rsidR="00895CD2" w:rsidRDefault="00AD26F3">
            <w:pPr>
              <w:pStyle w:val="2body-copy"/>
              <w:rPr>
                <w:rFonts w:cs="Times New Roman"/>
              </w:rPr>
            </w:pPr>
            <w:r>
              <w:rPr>
                <w:rStyle w:val="charoverride-2"/>
                <w:rFonts w:cs="Times New Roman"/>
              </w:rPr>
              <w:t>The Commission released the first drafts of its Clinical Care Standards for antimicrobial stewardship and acute coronary syndromes for public consultation. The aim of the Clinical Care Standards program is to reduce unwarranted healthcare variation, ensure appropriate clinical care, improve patient experiences and enable sharing of decision making between consumers and healthcare providers. The draft Clinical Care Standard for stroke was released in March 2014. Each draft Clinical Care Standard undergoes a process of public consultation. Overall, more than 300 responses were received.</w:t>
            </w:r>
          </w:p>
          <w:p w14:paraId="2C35A643" w14:textId="77777777" w:rsidR="00895CD2" w:rsidRDefault="00AD26F3">
            <w:pPr>
              <w:pStyle w:val="2body-copy"/>
              <w:rPr>
                <w:rFonts w:cs="Times New Roman"/>
              </w:rPr>
            </w:pPr>
            <w:r>
              <w:rPr>
                <w:rStyle w:val="charoverride-2"/>
                <w:rFonts w:cs="Times New Roman"/>
              </w:rPr>
              <w:t xml:space="preserve">The Antimicrobial Utilisation and Resistance in Australia (AURA) Surveillance Project was established by the Commission as the platform for quantifying the prevalence and impact of </w:t>
            </w:r>
            <w:r>
              <w:rPr>
                <w:rStyle w:val="charoverride-2"/>
                <w:rFonts w:cs="Times New Roman"/>
              </w:rPr>
              <w:lastRenderedPageBreak/>
              <w:t>AMR, and informing interventions aimed at reducing its incidence.</w:t>
            </w:r>
          </w:p>
          <w:p w14:paraId="21381D80" w14:textId="77777777" w:rsidR="00895CD2" w:rsidRDefault="00AD26F3">
            <w:pPr>
              <w:pStyle w:val="2body-copy"/>
              <w:rPr>
                <w:rFonts w:cs="Times New Roman"/>
              </w:rPr>
            </w:pPr>
            <w:r>
              <w:rPr>
                <w:rStyle w:val="charoverride-2"/>
                <w:rFonts w:cs="Times New Roman"/>
              </w:rPr>
              <w:t>As of 30 December 2013, 550 hospitals and day procedure services had been assessed against the NSQHS Standards since 1 July 2013.</w:t>
            </w:r>
          </w:p>
        </w:tc>
      </w:tr>
    </w:tbl>
    <w:p w14:paraId="591DAE89" w14:textId="77777777" w:rsidR="00895CD2" w:rsidRPr="00675FF5" w:rsidRDefault="00675FF5" w:rsidP="00675FF5">
      <w:pPr>
        <w:spacing w:after="0"/>
        <w:rPr>
          <w:rFonts w:eastAsia="Times New Roman" w:cs="Times New Roman"/>
          <w:b/>
          <w:bCs/>
          <w:color w:val="5F605F"/>
          <w:kern w:val="36"/>
          <w:sz w:val="40"/>
          <w:szCs w:val="40"/>
          <w:lang w:val="en-GB"/>
        </w:rPr>
      </w:pPr>
      <w:r>
        <w:rPr>
          <w:rFonts w:eastAsia="Times New Roman" w:cs="Times New Roman"/>
          <w:lang w:val="en-GB"/>
        </w:rPr>
        <w:lastRenderedPageBreak/>
        <w:br w:type="page"/>
      </w:r>
    </w:p>
    <w:p w14:paraId="62BDA1DF" w14:textId="77777777" w:rsidR="00895CD2" w:rsidRPr="00093444" w:rsidRDefault="00AD26F3" w:rsidP="00093444">
      <w:pPr>
        <w:pStyle w:val="Heading2"/>
        <w:rPr>
          <w:szCs w:val="40"/>
          <w:lang w:val="en-GB"/>
        </w:rPr>
      </w:pPr>
      <w:bookmarkStart w:id="7" w:name="_Toc414011865"/>
      <w:r w:rsidRPr="00093444">
        <w:rPr>
          <w:szCs w:val="40"/>
          <w:lang w:val="en-GB"/>
        </w:rPr>
        <w:lastRenderedPageBreak/>
        <w:t>Highlights 2013/14</w:t>
      </w:r>
      <w:bookmarkEnd w:id="7"/>
    </w:p>
    <w:tbl>
      <w:tblPr>
        <w:tblW w:w="0" w:type="auto"/>
        <w:tblCellMar>
          <w:top w:w="57" w:type="dxa"/>
          <w:left w:w="15" w:type="dxa"/>
          <w:bottom w:w="57" w:type="dxa"/>
          <w:right w:w="15" w:type="dxa"/>
        </w:tblCellMar>
        <w:tblLook w:val="04A0" w:firstRow="1" w:lastRow="0" w:firstColumn="1" w:lastColumn="0" w:noHBand="0" w:noVBand="1"/>
      </w:tblPr>
      <w:tblGrid>
        <w:gridCol w:w="1985"/>
        <w:gridCol w:w="8214"/>
      </w:tblGrid>
      <w:tr w:rsidR="00895CD2" w14:paraId="6BBDFD6C" w14:textId="77777777" w:rsidTr="00FD17DE">
        <w:tc>
          <w:tcPr>
            <w:tcW w:w="1985" w:type="dxa"/>
            <w:vAlign w:val="center"/>
            <w:hideMark/>
          </w:tcPr>
          <w:p w14:paraId="1FF7DBA1" w14:textId="77777777" w:rsidR="00895CD2" w:rsidRDefault="00675FF5">
            <w:pPr>
              <w:pStyle w:val="2body-copy"/>
              <w:rPr>
                <w:rFonts w:cs="Times New Roman"/>
              </w:rPr>
            </w:pPr>
            <w:r>
              <w:rPr>
                <w:rFonts w:cs="Times New Roman"/>
                <w:noProof/>
                <w:lang w:eastAsia="en-AU"/>
              </w:rPr>
              <w:drawing>
                <wp:inline distT="0" distB="0" distL="0" distR="0" wp14:anchorId="30156EB7" wp14:editId="414F6227">
                  <wp:extent cx="1030605" cy="827405"/>
                  <wp:effectExtent l="0" t="0" r="0" b="0"/>
                  <wp:docPr id="115" name="Picture 115" descr="January 2014 icon" title="January 201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30605" cy="827405"/>
                          </a:xfrm>
                          <a:prstGeom prst="rect">
                            <a:avLst/>
                          </a:prstGeom>
                          <a:noFill/>
                          <a:ln>
                            <a:noFill/>
                          </a:ln>
                        </pic:spPr>
                      </pic:pic>
                    </a:graphicData>
                  </a:graphic>
                </wp:inline>
              </w:drawing>
            </w:r>
          </w:p>
        </w:tc>
        <w:tc>
          <w:tcPr>
            <w:tcW w:w="8214" w:type="dxa"/>
            <w:tcBorders>
              <w:bottom w:val="dotted" w:sz="8" w:space="0" w:color="54B6C5"/>
            </w:tcBorders>
            <w:vAlign w:val="center"/>
            <w:hideMark/>
          </w:tcPr>
          <w:p w14:paraId="02B16D62" w14:textId="77777777" w:rsidR="00895CD2" w:rsidRDefault="00AD26F3">
            <w:pPr>
              <w:pStyle w:val="2body-copy"/>
              <w:rPr>
                <w:rFonts w:cs="Times New Roman"/>
              </w:rPr>
            </w:pPr>
            <w:r>
              <w:rPr>
                <w:rStyle w:val="charoverride-2"/>
                <w:rFonts w:cs="Times New Roman"/>
              </w:rPr>
              <w:t xml:space="preserve">The Commission released the </w:t>
            </w:r>
            <w:r>
              <w:rPr>
                <w:rStyle w:val="2body-roman-italic"/>
                <w:rFonts w:cs="Times New Roman"/>
              </w:rPr>
              <w:t xml:space="preserve">Draft National Consensus Statement: Essential Elements for Safe and High-Quality End-of-Life Care in Acute Hospitals </w:t>
            </w:r>
            <w:r>
              <w:rPr>
                <w:rStyle w:val="charoverride-2"/>
                <w:rFonts w:cs="Times New Roman"/>
              </w:rPr>
              <w:t>and commenced a national consultation including workshops for healthcare professionals and consumers in every state and territory. This high-level consensus statement will detail guiding principles, elements of care and organisational prerequisites for the delivery of end-of-life care.</w:t>
            </w:r>
          </w:p>
        </w:tc>
      </w:tr>
      <w:tr w:rsidR="00895CD2" w14:paraId="5121C3E2" w14:textId="77777777" w:rsidTr="00FD17DE">
        <w:tc>
          <w:tcPr>
            <w:tcW w:w="1985" w:type="dxa"/>
            <w:vAlign w:val="center"/>
            <w:hideMark/>
          </w:tcPr>
          <w:p w14:paraId="72B01A9C" w14:textId="77777777" w:rsidR="00895CD2" w:rsidRDefault="00675FF5">
            <w:pPr>
              <w:pStyle w:val="2body-copy"/>
              <w:rPr>
                <w:rFonts w:cs="Times New Roman"/>
              </w:rPr>
            </w:pPr>
            <w:r>
              <w:rPr>
                <w:rFonts w:cs="Times New Roman"/>
                <w:noProof/>
                <w:lang w:eastAsia="en-AU"/>
              </w:rPr>
              <w:drawing>
                <wp:inline distT="0" distB="0" distL="0" distR="0" wp14:anchorId="1844A62C" wp14:editId="090A31AC">
                  <wp:extent cx="1030605" cy="827405"/>
                  <wp:effectExtent l="0" t="0" r="0" b="0"/>
                  <wp:docPr id="117" name="Picture 117" descr="February 2014 icon" title="February 201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0605" cy="827405"/>
                          </a:xfrm>
                          <a:prstGeom prst="rect">
                            <a:avLst/>
                          </a:prstGeom>
                          <a:noFill/>
                          <a:ln>
                            <a:noFill/>
                          </a:ln>
                        </pic:spPr>
                      </pic:pic>
                    </a:graphicData>
                  </a:graphic>
                </wp:inline>
              </w:drawing>
            </w:r>
          </w:p>
        </w:tc>
        <w:tc>
          <w:tcPr>
            <w:tcW w:w="8214" w:type="dxa"/>
            <w:tcBorders>
              <w:top w:val="dotted" w:sz="8" w:space="0" w:color="54B6C5"/>
              <w:bottom w:val="dotted" w:sz="8" w:space="0" w:color="54B6C5"/>
            </w:tcBorders>
            <w:vAlign w:val="center"/>
            <w:hideMark/>
          </w:tcPr>
          <w:p w14:paraId="68F9C5AF" w14:textId="77777777" w:rsidR="00895CD2" w:rsidRDefault="00AD26F3">
            <w:pPr>
              <w:pStyle w:val="2body-copy"/>
              <w:rPr>
                <w:rFonts w:cs="Times New Roman"/>
              </w:rPr>
            </w:pPr>
            <w:r>
              <w:rPr>
                <w:rStyle w:val="charoverride-2"/>
                <w:rFonts w:cs="Times New Roman"/>
              </w:rPr>
              <w:t>The Commission welcomed Professor John Turnidge, who was appointed to lead the AURA Surveillance Project as a Senior Medical Advisor. Professor Turnidge is eminently qualified in the field of AMR, having been involved in high-profile societies and committees both nationally and internationally dealing with issues of AMR and its management.</w:t>
            </w:r>
          </w:p>
        </w:tc>
      </w:tr>
      <w:tr w:rsidR="00895CD2" w14:paraId="2010C7D8" w14:textId="77777777" w:rsidTr="00FD17DE">
        <w:tc>
          <w:tcPr>
            <w:tcW w:w="1985" w:type="dxa"/>
            <w:vAlign w:val="center"/>
            <w:hideMark/>
          </w:tcPr>
          <w:p w14:paraId="176491DE" w14:textId="77777777" w:rsidR="00895CD2" w:rsidRDefault="00675FF5">
            <w:pPr>
              <w:pStyle w:val="2body-copy"/>
              <w:rPr>
                <w:rFonts w:cs="Times New Roman"/>
              </w:rPr>
            </w:pPr>
            <w:r>
              <w:rPr>
                <w:rFonts w:cs="Times New Roman"/>
                <w:noProof/>
                <w:lang w:eastAsia="en-AU"/>
              </w:rPr>
              <w:drawing>
                <wp:inline distT="0" distB="0" distL="0" distR="0" wp14:anchorId="64389B3A" wp14:editId="2DD6F74D">
                  <wp:extent cx="1030605" cy="827405"/>
                  <wp:effectExtent l="0" t="0" r="0" b="0"/>
                  <wp:docPr id="119" name="Picture 119" descr="March 2014 icon" title="March 201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0605" cy="827405"/>
                          </a:xfrm>
                          <a:prstGeom prst="rect">
                            <a:avLst/>
                          </a:prstGeom>
                          <a:noFill/>
                          <a:ln>
                            <a:noFill/>
                          </a:ln>
                        </pic:spPr>
                      </pic:pic>
                    </a:graphicData>
                  </a:graphic>
                </wp:inline>
              </w:drawing>
            </w:r>
          </w:p>
        </w:tc>
        <w:tc>
          <w:tcPr>
            <w:tcW w:w="8214" w:type="dxa"/>
            <w:tcBorders>
              <w:top w:val="dotted" w:sz="8" w:space="0" w:color="54B6C5"/>
              <w:bottom w:val="dotted" w:sz="8" w:space="0" w:color="54B6C5"/>
            </w:tcBorders>
            <w:vAlign w:val="center"/>
            <w:hideMark/>
          </w:tcPr>
          <w:p w14:paraId="083CA02F" w14:textId="77777777" w:rsidR="00895CD2" w:rsidRDefault="00AD26F3">
            <w:pPr>
              <w:pStyle w:val="2body-copy"/>
              <w:rPr>
                <w:rFonts w:cs="Times New Roman"/>
              </w:rPr>
            </w:pPr>
            <w:r>
              <w:rPr>
                <w:rStyle w:val="charoverride-2"/>
                <w:rFonts w:cs="Times New Roman"/>
              </w:rPr>
              <w:t>The Commission commenced development of a new strategic plan to determine priorities for the following three to five years. The strategic planning process involved a range of activities to determine the current health landscape in Australia and the safety and quality issues that health service organisations, clinicians and consumers may face in the future.</w:t>
            </w:r>
          </w:p>
          <w:p w14:paraId="18D9D6D6" w14:textId="77777777" w:rsidR="00895CD2" w:rsidRDefault="00AD26F3">
            <w:pPr>
              <w:pStyle w:val="2body-copy"/>
              <w:rPr>
                <w:rFonts w:cs="Times New Roman"/>
              </w:rPr>
            </w:pPr>
            <w:r>
              <w:rPr>
                <w:rStyle w:val="charoverride-2"/>
                <w:rFonts w:cs="Times New Roman"/>
              </w:rPr>
              <w:t>The Commission appointed two medical advisors, Professor Anne Duggan and Dr Matthew Anstey, to provide clinical expertise for priority projects aimed at reducing unwarranted healthcare variation.</w:t>
            </w:r>
          </w:p>
          <w:p w14:paraId="78138636" w14:textId="77777777" w:rsidR="00895CD2" w:rsidRDefault="00AD26F3">
            <w:pPr>
              <w:pStyle w:val="2body-copy"/>
              <w:rPr>
                <w:rFonts w:cs="Times New Roman"/>
              </w:rPr>
            </w:pPr>
            <w:r>
              <w:rPr>
                <w:rStyle w:val="charoverride-2"/>
                <w:rFonts w:cs="Times New Roman"/>
              </w:rPr>
              <w:t>The Commission finalised development of a standardised National Residential Medication Chart (NRMC) for use in residential aged-care facilities (RACFs) funded by the Australian Government. The NRMC is designed to be the main communication tool for passing information between those responsible for prescribing, dispensing, administering and reconciling medicines.</w:t>
            </w:r>
          </w:p>
        </w:tc>
      </w:tr>
      <w:tr w:rsidR="00895CD2" w14:paraId="2ABC71F6" w14:textId="77777777" w:rsidTr="00FD17DE">
        <w:tc>
          <w:tcPr>
            <w:tcW w:w="1985" w:type="dxa"/>
            <w:vAlign w:val="center"/>
            <w:hideMark/>
          </w:tcPr>
          <w:p w14:paraId="3ECF779F" w14:textId="77777777" w:rsidR="00895CD2" w:rsidRDefault="00675FF5">
            <w:pPr>
              <w:pStyle w:val="2body-copy"/>
              <w:rPr>
                <w:rFonts w:cs="Times New Roman"/>
              </w:rPr>
            </w:pPr>
            <w:r>
              <w:rPr>
                <w:rFonts w:cs="Times New Roman"/>
                <w:noProof/>
                <w:lang w:eastAsia="en-AU"/>
              </w:rPr>
              <w:drawing>
                <wp:inline distT="0" distB="0" distL="0" distR="0" wp14:anchorId="487BA1FC" wp14:editId="4492179A">
                  <wp:extent cx="1030605" cy="827405"/>
                  <wp:effectExtent l="0" t="0" r="0" b="0"/>
                  <wp:docPr id="121" name="Picture 121" descr="April 2014 icon" title="April 201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30605" cy="827405"/>
                          </a:xfrm>
                          <a:prstGeom prst="rect">
                            <a:avLst/>
                          </a:prstGeom>
                          <a:noFill/>
                          <a:ln>
                            <a:noFill/>
                          </a:ln>
                        </pic:spPr>
                      </pic:pic>
                    </a:graphicData>
                  </a:graphic>
                </wp:inline>
              </w:drawing>
            </w:r>
          </w:p>
        </w:tc>
        <w:tc>
          <w:tcPr>
            <w:tcW w:w="8214" w:type="dxa"/>
            <w:tcBorders>
              <w:top w:val="dotted" w:sz="8" w:space="0" w:color="54B6C5"/>
              <w:bottom w:val="dotted" w:sz="8" w:space="0" w:color="54B6C5"/>
            </w:tcBorders>
            <w:vAlign w:val="center"/>
            <w:hideMark/>
          </w:tcPr>
          <w:p w14:paraId="382CD38C" w14:textId="77777777" w:rsidR="00895CD2" w:rsidRDefault="00AD26F3">
            <w:pPr>
              <w:pStyle w:val="2body-copy"/>
              <w:rPr>
                <w:rFonts w:cs="Times New Roman"/>
              </w:rPr>
            </w:pPr>
            <w:r>
              <w:rPr>
                <w:rStyle w:val="charoverride-2"/>
                <w:rFonts w:cs="Times New Roman"/>
              </w:rPr>
              <w:t xml:space="preserve">The Commission finalised the development of the </w:t>
            </w:r>
            <w:r>
              <w:rPr>
                <w:rStyle w:val="2body-roman-italic"/>
                <w:rFonts w:cs="Times New Roman"/>
              </w:rPr>
              <w:t>Accreditation Workbook for Mental Health Services</w:t>
            </w:r>
            <w:r>
              <w:rPr>
                <w:rStyle w:val="charoverride-2"/>
                <w:rFonts w:cs="Times New Roman"/>
              </w:rPr>
              <w:t>. The workbook was distributed nationally to support health service organisations implementing, and being accredited to, the NSQHS Standards and the National Standards for Mental Health Services.</w:t>
            </w:r>
          </w:p>
        </w:tc>
      </w:tr>
      <w:tr w:rsidR="00895CD2" w14:paraId="1847C3BD" w14:textId="77777777" w:rsidTr="00FD17DE">
        <w:tc>
          <w:tcPr>
            <w:tcW w:w="1985" w:type="dxa"/>
            <w:vAlign w:val="center"/>
            <w:hideMark/>
          </w:tcPr>
          <w:p w14:paraId="1A6CA484" w14:textId="77777777" w:rsidR="00895CD2" w:rsidRDefault="00675FF5">
            <w:pPr>
              <w:pStyle w:val="2body-copy"/>
              <w:rPr>
                <w:rFonts w:cs="Times New Roman"/>
              </w:rPr>
            </w:pPr>
            <w:r>
              <w:rPr>
                <w:rFonts w:cs="Times New Roman"/>
                <w:noProof/>
                <w:lang w:eastAsia="en-AU"/>
              </w:rPr>
              <w:drawing>
                <wp:inline distT="0" distB="0" distL="0" distR="0" wp14:anchorId="4BD82F5D" wp14:editId="35E2DF65">
                  <wp:extent cx="1030605" cy="827405"/>
                  <wp:effectExtent l="0" t="0" r="0" b="0"/>
                  <wp:docPr id="123" name="Picture 123" descr="May 2014 icon" title="May 201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30605" cy="827405"/>
                          </a:xfrm>
                          <a:prstGeom prst="rect">
                            <a:avLst/>
                          </a:prstGeom>
                          <a:noFill/>
                          <a:ln>
                            <a:noFill/>
                          </a:ln>
                        </pic:spPr>
                      </pic:pic>
                    </a:graphicData>
                  </a:graphic>
                </wp:inline>
              </w:drawing>
            </w:r>
          </w:p>
        </w:tc>
        <w:tc>
          <w:tcPr>
            <w:tcW w:w="8214" w:type="dxa"/>
            <w:tcBorders>
              <w:top w:val="dotted" w:sz="8" w:space="0" w:color="54B6C5"/>
              <w:bottom w:val="dotted" w:sz="8" w:space="0" w:color="54B6C5"/>
            </w:tcBorders>
            <w:vAlign w:val="center"/>
            <w:hideMark/>
          </w:tcPr>
          <w:p w14:paraId="54F00DA1" w14:textId="77777777" w:rsidR="00895CD2" w:rsidRDefault="00AD26F3">
            <w:pPr>
              <w:pStyle w:val="2body-copy"/>
              <w:rPr>
                <w:rFonts w:cs="Times New Roman"/>
              </w:rPr>
            </w:pPr>
            <w:r>
              <w:rPr>
                <w:rStyle w:val="charoverride-2"/>
                <w:rFonts w:cs="Times New Roman"/>
              </w:rPr>
              <w:t xml:space="preserve">The Commission and the Australian Institute of Health and Welfare jointly released the report </w:t>
            </w:r>
            <w:r>
              <w:rPr>
                <w:rStyle w:val="2body-roman-italic"/>
                <w:rFonts w:cs="Times New Roman"/>
              </w:rPr>
              <w:t>Exploring Healthcare Variation in Australia: Analyses Resulting from an OECD Study</w:t>
            </w:r>
            <w:r>
              <w:rPr>
                <w:rStyle w:val="charoverride-2"/>
                <w:rFonts w:cs="Times New Roman"/>
              </w:rPr>
              <w:t xml:space="preserve"> for discussion and public feedback. The report examines variation in the rates of several common procedures, such as knee surgery and hysterectomy, undertaken in hospitals during 2010–11.</w:t>
            </w:r>
          </w:p>
        </w:tc>
      </w:tr>
      <w:tr w:rsidR="00895CD2" w14:paraId="6C1CC015" w14:textId="77777777" w:rsidTr="00FD17DE">
        <w:tc>
          <w:tcPr>
            <w:tcW w:w="1985" w:type="dxa"/>
            <w:vAlign w:val="center"/>
            <w:hideMark/>
          </w:tcPr>
          <w:p w14:paraId="142CF2DE" w14:textId="77777777" w:rsidR="00895CD2" w:rsidRDefault="00675FF5">
            <w:pPr>
              <w:pStyle w:val="2body-copy"/>
              <w:rPr>
                <w:rFonts w:cs="Times New Roman"/>
              </w:rPr>
            </w:pPr>
            <w:r>
              <w:rPr>
                <w:rFonts w:cs="Times New Roman"/>
                <w:noProof/>
                <w:lang w:eastAsia="en-AU"/>
              </w:rPr>
              <w:drawing>
                <wp:inline distT="0" distB="0" distL="0" distR="0" wp14:anchorId="26597579" wp14:editId="5CECE051">
                  <wp:extent cx="1030605" cy="827405"/>
                  <wp:effectExtent l="0" t="0" r="0" b="0"/>
                  <wp:docPr id="125" name="Picture 125" descr="June 2014 icon" title="June 201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30605" cy="827405"/>
                          </a:xfrm>
                          <a:prstGeom prst="rect">
                            <a:avLst/>
                          </a:prstGeom>
                          <a:noFill/>
                          <a:ln>
                            <a:noFill/>
                          </a:ln>
                        </pic:spPr>
                      </pic:pic>
                    </a:graphicData>
                  </a:graphic>
                </wp:inline>
              </w:drawing>
            </w:r>
          </w:p>
        </w:tc>
        <w:tc>
          <w:tcPr>
            <w:tcW w:w="8214" w:type="dxa"/>
            <w:tcBorders>
              <w:top w:val="dotted" w:sz="8" w:space="0" w:color="54B6C5"/>
              <w:bottom w:val="dotted" w:sz="8" w:space="0" w:color="54B6C5"/>
            </w:tcBorders>
            <w:vAlign w:val="center"/>
            <w:hideMark/>
          </w:tcPr>
          <w:p w14:paraId="1B6DF3E2" w14:textId="77777777" w:rsidR="00895CD2" w:rsidRDefault="00AD26F3">
            <w:pPr>
              <w:pStyle w:val="2body-copy"/>
              <w:rPr>
                <w:rFonts w:cs="Times New Roman"/>
              </w:rPr>
            </w:pPr>
            <w:r>
              <w:rPr>
                <w:rStyle w:val="charoverride-2"/>
                <w:rFonts w:cs="Times New Roman"/>
              </w:rPr>
              <w:t>Dr Robert Herkes was welcomed as the Commission’s new Clinical Director. Dr Herkes is a highly experienced clinician with a longstanding interest in health system improvement.</w:t>
            </w:r>
          </w:p>
          <w:p w14:paraId="6431F8A5" w14:textId="77777777" w:rsidR="00895CD2" w:rsidRDefault="00AD26F3">
            <w:pPr>
              <w:pStyle w:val="2body-copy"/>
              <w:rPr>
                <w:rFonts w:cs="Times New Roman"/>
              </w:rPr>
            </w:pPr>
            <w:r>
              <w:rPr>
                <w:rStyle w:val="charoverride-2"/>
                <w:rFonts w:cs="Times New Roman"/>
              </w:rPr>
              <w:t>As of 30 June 2014, 897 hospitals and day procedure services had been assessed against the NSQHS Standards since 1 July 2013. To support health service organisations to implement the NSQHS Standards, the Commission held network meetings, conducted mediations and answered 1,565 queries via the Commission’s Accreditation Advice Centre during 2013/14.</w:t>
            </w:r>
          </w:p>
        </w:tc>
      </w:tr>
    </w:tbl>
    <w:p w14:paraId="2601E648" w14:textId="06666AD5" w:rsidR="00895CD2" w:rsidRDefault="00895CD2">
      <w:pPr>
        <w:rPr>
          <w:rFonts w:eastAsia="Times New Roman" w:cs="Times New Roman"/>
          <w:lang w:val="en-GB"/>
        </w:rPr>
      </w:pPr>
    </w:p>
    <w:p w14:paraId="221D13F8" w14:textId="77777777" w:rsidR="00580867" w:rsidRDefault="00580867">
      <w:pPr>
        <w:rPr>
          <w:rFonts w:eastAsia="Times New Roman" w:cs="Times New Roman"/>
          <w:lang w:val="en-GB"/>
        </w:rPr>
      </w:pPr>
    </w:p>
    <w:p w14:paraId="31EC2D5A" w14:textId="77777777" w:rsidR="00895CD2" w:rsidRPr="00093444" w:rsidRDefault="00AD26F3" w:rsidP="00093444">
      <w:pPr>
        <w:pStyle w:val="Heading2"/>
        <w:rPr>
          <w:szCs w:val="40"/>
          <w:lang w:val="en-GB"/>
        </w:rPr>
      </w:pPr>
      <w:bookmarkStart w:id="8" w:name="_Toc414011866"/>
      <w:r w:rsidRPr="00093444">
        <w:rPr>
          <w:szCs w:val="40"/>
          <w:lang w:val="en-GB"/>
        </w:rPr>
        <w:lastRenderedPageBreak/>
        <w:t>Health service accreditation 2013/14</w:t>
      </w:r>
      <w:bookmarkEnd w:id="8"/>
    </w:p>
    <w:p w14:paraId="4C949D54" w14:textId="77777777" w:rsidR="00BB708A" w:rsidRDefault="00FD17DE">
      <w:pPr>
        <w:pStyle w:val="2body-copy"/>
        <w:rPr>
          <w:rStyle w:val="charoverride-5"/>
          <w:rFonts w:cs="Times New Roman"/>
          <w:lang w:val="en-GB"/>
        </w:rPr>
      </w:pPr>
      <w:r>
        <w:rPr>
          <w:rFonts w:cs="Times New Roman"/>
          <w:noProof/>
          <w:lang w:eastAsia="en-AU"/>
        </w:rPr>
        <w:drawing>
          <wp:inline distT="0" distB="0" distL="0" distR="0" wp14:anchorId="6F48F1F6" wp14:editId="79E801B4">
            <wp:extent cx="6476365" cy="7809865"/>
            <wp:effectExtent l="0" t="0" r="635" b="635"/>
            <wp:docPr id="27" name="Picture 27" descr="Process and results of accreditation 2013/14" title="Process and results of accreditation 20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8.png"/>
                    <pic:cNvPicPr/>
                  </pic:nvPicPr>
                  <pic:blipFill>
                    <a:blip r:embed="rId25">
                      <a:extLst>
                        <a:ext uri="{28A0092B-C50C-407E-A947-70E740481C1C}">
                          <a14:useLocalDpi xmlns:a14="http://schemas.microsoft.com/office/drawing/2010/main" val="0"/>
                        </a:ext>
                      </a:extLst>
                    </a:blip>
                    <a:stretch>
                      <a:fillRect/>
                    </a:stretch>
                  </pic:blipFill>
                  <pic:spPr>
                    <a:xfrm>
                      <a:off x="0" y="0"/>
                      <a:ext cx="6476365" cy="7809865"/>
                    </a:xfrm>
                    <a:prstGeom prst="rect">
                      <a:avLst/>
                    </a:prstGeom>
                  </pic:spPr>
                </pic:pic>
              </a:graphicData>
            </a:graphic>
          </wp:inline>
        </w:drawing>
      </w:r>
    </w:p>
    <w:p w14:paraId="7C646BDD" w14:textId="77777777" w:rsidR="00BB708A" w:rsidRDefault="00BB708A">
      <w:pPr>
        <w:spacing w:after="0"/>
        <w:rPr>
          <w:rStyle w:val="charoverride-5"/>
          <w:rFonts w:cs="Times New Roman"/>
          <w:lang w:val="en-GB"/>
        </w:rPr>
      </w:pPr>
      <w:r>
        <w:rPr>
          <w:rStyle w:val="charoverride-5"/>
          <w:rFonts w:cs="Times New Roman"/>
          <w:lang w:val="en-GB"/>
        </w:rPr>
        <w:br w:type="page"/>
      </w:r>
    </w:p>
    <w:tbl>
      <w:tblPr>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113" w:type="dxa"/>
          <w:left w:w="57" w:type="dxa"/>
          <w:bottom w:w="113" w:type="dxa"/>
          <w:right w:w="57" w:type="dxa"/>
        </w:tblCellMar>
        <w:tblLook w:val="04A0" w:firstRow="1" w:lastRow="0" w:firstColumn="1" w:lastColumn="0" w:noHBand="0" w:noVBand="1"/>
      </w:tblPr>
      <w:tblGrid>
        <w:gridCol w:w="2037"/>
        <w:gridCol w:w="997"/>
        <w:gridCol w:w="6920"/>
      </w:tblGrid>
      <w:tr w:rsidR="00FD17DE" w14:paraId="3B510D9F" w14:textId="77777777" w:rsidTr="00FD17DE">
        <w:tc>
          <w:tcPr>
            <w:tcW w:w="3034" w:type="dxa"/>
            <w:gridSpan w:val="2"/>
            <w:shd w:val="clear" w:color="auto" w:fill="C5C0B2"/>
            <w:vAlign w:val="center"/>
            <w:hideMark/>
          </w:tcPr>
          <w:p w14:paraId="338B0103" w14:textId="77777777" w:rsidR="00FD17DE" w:rsidRDefault="00FD17DE" w:rsidP="00FD17DE">
            <w:pPr>
              <w:spacing w:after="0"/>
              <w:rPr>
                <w:rFonts w:ascii="Times" w:eastAsia="Times New Roman" w:hAnsi="Times" w:cs="Times New Roman"/>
              </w:rPr>
            </w:pPr>
          </w:p>
        </w:tc>
        <w:tc>
          <w:tcPr>
            <w:tcW w:w="6920" w:type="dxa"/>
            <w:shd w:val="clear" w:color="auto" w:fill="C5C0B2"/>
            <w:vAlign w:val="center"/>
            <w:hideMark/>
          </w:tcPr>
          <w:p w14:paraId="76B29027" w14:textId="77777777" w:rsidR="00FD17DE" w:rsidRPr="00BB708A" w:rsidRDefault="00FD17DE" w:rsidP="00FD17DE">
            <w:pPr>
              <w:pStyle w:val="3table-header-l"/>
              <w:spacing w:before="0" w:beforeAutospacing="0" w:after="0" w:afterAutospacing="0"/>
              <w:rPr>
                <w:rFonts w:cs="Times New Roman"/>
              </w:rPr>
            </w:pPr>
            <w:r w:rsidRPr="00BB708A">
              <w:rPr>
                <w:rStyle w:val="charoverride-7"/>
                <w:rFonts w:cs="Times New Roman"/>
              </w:rPr>
              <w:t>Actions ranked in order of greatest challenge for health services</w:t>
            </w:r>
          </w:p>
        </w:tc>
      </w:tr>
      <w:tr w:rsidR="008317E1" w14:paraId="72DB28F5" w14:textId="77777777" w:rsidTr="00FD17DE">
        <w:tc>
          <w:tcPr>
            <w:tcW w:w="2037" w:type="dxa"/>
            <w:shd w:val="clear" w:color="auto" w:fill="E7E4E1"/>
            <w:vAlign w:val="center"/>
            <w:hideMark/>
          </w:tcPr>
          <w:p w14:paraId="2F846481" w14:textId="77777777" w:rsidR="00895CD2" w:rsidRDefault="00AD26F3" w:rsidP="00FD17DE">
            <w:pPr>
              <w:pStyle w:val="1h4"/>
              <w:spacing w:before="60" w:beforeAutospacing="0" w:after="60" w:afterAutospacing="0"/>
              <w:rPr>
                <w:rFonts w:cs="Times New Roman"/>
              </w:rPr>
            </w:pPr>
            <w:r>
              <w:rPr>
                <w:rStyle w:val="charoverride-13"/>
                <w:rFonts w:cs="Times New Roman"/>
              </w:rPr>
              <w:t>NSQHS Standard 3</w:t>
            </w:r>
          </w:p>
        </w:tc>
        <w:tc>
          <w:tcPr>
            <w:tcW w:w="997" w:type="dxa"/>
            <w:shd w:val="clear" w:color="auto" w:fill="E7E4E1"/>
            <w:vAlign w:val="center"/>
            <w:hideMark/>
          </w:tcPr>
          <w:p w14:paraId="0510773E" w14:textId="77777777" w:rsidR="00895CD2" w:rsidRDefault="00BB708A" w:rsidP="00FD17DE">
            <w:pPr>
              <w:pStyle w:val="0page-tops"/>
              <w:spacing w:before="60" w:beforeAutospacing="0" w:after="60" w:afterAutospacing="0"/>
              <w:rPr>
                <w:rFonts w:cs="Times New Roman"/>
              </w:rPr>
            </w:pPr>
            <w:r>
              <w:rPr>
                <w:rFonts w:cs="Times New Roman"/>
                <w:noProof/>
                <w:lang w:eastAsia="en-AU"/>
              </w:rPr>
              <w:drawing>
                <wp:inline distT="0" distB="0" distL="0" distR="0" wp14:anchorId="6C17F698" wp14:editId="09E222F8">
                  <wp:extent cx="377952" cy="374904"/>
                  <wp:effectExtent l="0" t="0" r="3175" b="6350"/>
                  <wp:docPr id="6" name="Picture 6" descr="NSQHS Standard 3 icon" title="NSQHS Standard 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3.png"/>
                          <pic:cNvPicPr/>
                        </pic:nvPicPr>
                        <pic:blipFill>
                          <a:blip r:embed="rId26">
                            <a:extLst>
                              <a:ext uri="{28A0092B-C50C-407E-A947-70E740481C1C}">
                                <a14:useLocalDpi xmlns:a14="http://schemas.microsoft.com/office/drawing/2010/main" val="0"/>
                              </a:ext>
                            </a:extLst>
                          </a:blip>
                          <a:stretch>
                            <a:fillRect/>
                          </a:stretch>
                        </pic:blipFill>
                        <pic:spPr>
                          <a:xfrm>
                            <a:off x="0" y="0"/>
                            <a:ext cx="377952" cy="374904"/>
                          </a:xfrm>
                          <a:prstGeom prst="rect">
                            <a:avLst/>
                          </a:prstGeom>
                        </pic:spPr>
                      </pic:pic>
                    </a:graphicData>
                  </a:graphic>
                </wp:inline>
              </w:drawing>
            </w:r>
          </w:p>
        </w:tc>
        <w:tc>
          <w:tcPr>
            <w:tcW w:w="6920" w:type="dxa"/>
            <w:shd w:val="clear" w:color="auto" w:fill="E7E4E1"/>
            <w:vAlign w:val="center"/>
            <w:hideMark/>
          </w:tcPr>
          <w:p w14:paraId="63BB38D9" w14:textId="77777777" w:rsidR="00895CD2" w:rsidRDefault="00AD26F3" w:rsidP="00FD17DE">
            <w:pPr>
              <w:pStyle w:val="bullet"/>
              <w:spacing w:before="60" w:after="60"/>
            </w:pPr>
            <w:r>
              <w:rPr>
                <w:rStyle w:val="charoverride-7"/>
              </w:rPr>
              <w:t>Antimicrobial stewardship monitoring of antimicrobial usage</w:t>
            </w:r>
          </w:p>
          <w:p w14:paraId="2080C6EF" w14:textId="77777777" w:rsidR="00895CD2" w:rsidRDefault="00AD26F3" w:rsidP="00FD17DE">
            <w:pPr>
              <w:pStyle w:val="bullet"/>
              <w:spacing w:before="60" w:after="60"/>
            </w:pPr>
            <w:r>
              <w:rPr>
                <w:rStyle w:val="charoverride-7"/>
              </w:rPr>
              <w:t>Auditing aseptic technique</w:t>
            </w:r>
          </w:p>
          <w:p w14:paraId="075C7A19" w14:textId="77777777" w:rsidR="00895CD2" w:rsidRDefault="00AD26F3" w:rsidP="00FD17DE">
            <w:pPr>
              <w:pStyle w:val="bullet"/>
              <w:spacing w:before="60" w:after="60"/>
            </w:pPr>
            <w:r>
              <w:rPr>
                <w:rStyle w:val="charoverride-7"/>
              </w:rPr>
              <w:t>Improving the effectiveness of antimicrobial stewardship</w:t>
            </w:r>
          </w:p>
          <w:p w14:paraId="01C4B833" w14:textId="77777777" w:rsidR="00895CD2" w:rsidRDefault="00AD26F3" w:rsidP="00FD17DE">
            <w:pPr>
              <w:pStyle w:val="bullet"/>
              <w:spacing w:before="60" w:after="60"/>
              <w:rPr>
                <w:rFonts w:ascii="Times" w:hAnsi="Times"/>
              </w:rPr>
            </w:pPr>
            <w:r>
              <w:rPr>
                <w:rStyle w:val="charoverride-7"/>
              </w:rPr>
              <w:t>Training the clinical workforce in aseptic technique</w:t>
            </w:r>
          </w:p>
        </w:tc>
      </w:tr>
      <w:tr w:rsidR="008317E1" w14:paraId="6BDF3827" w14:textId="77777777" w:rsidTr="00FD17DE">
        <w:tc>
          <w:tcPr>
            <w:tcW w:w="2037" w:type="dxa"/>
            <w:shd w:val="clear" w:color="auto" w:fill="E7E4E1"/>
            <w:vAlign w:val="center"/>
            <w:hideMark/>
          </w:tcPr>
          <w:p w14:paraId="5CBF3431" w14:textId="77777777" w:rsidR="00895CD2" w:rsidRDefault="00AD26F3" w:rsidP="00FD17DE">
            <w:pPr>
              <w:pStyle w:val="1h4"/>
              <w:spacing w:before="60" w:beforeAutospacing="0" w:after="60" w:afterAutospacing="0"/>
              <w:rPr>
                <w:rFonts w:cs="Times New Roman"/>
              </w:rPr>
            </w:pPr>
            <w:r>
              <w:rPr>
                <w:rStyle w:val="charoverride-13"/>
                <w:rFonts w:cs="Times New Roman"/>
              </w:rPr>
              <w:t>NSQHS Standard 2</w:t>
            </w:r>
          </w:p>
        </w:tc>
        <w:tc>
          <w:tcPr>
            <w:tcW w:w="997" w:type="dxa"/>
            <w:shd w:val="clear" w:color="auto" w:fill="E7E4E1"/>
            <w:vAlign w:val="center"/>
            <w:hideMark/>
          </w:tcPr>
          <w:p w14:paraId="2E423004" w14:textId="77777777" w:rsidR="00895CD2" w:rsidRDefault="00BB708A" w:rsidP="00FD17DE">
            <w:pPr>
              <w:pStyle w:val="0page-tops"/>
              <w:spacing w:before="60" w:beforeAutospacing="0" w:after="60" w:afterAutospacing="0"/>
              <w:rPr>
                <w:rFonts w:cs="Times New Roman"/>
              </w:rPr>
            </w:pPr>
            <w:r>
              <w:rPr>
                <w:rFonts w:cs="Times New Roman"/>
                <w:noProof/>
                <w:lang w:eastAsia="en-AU"/>
              </w:rPr>
              <w:drawing>
                <wp:inline distT="0" distB="0" distL="0" distR="0" wp14:anchorId="5E346781" wp14:editId="509692FA">
                  <wp:extent cx="376428" cy="377952"/>
                  <wp:effectExtent l="0" t="0" r="5080" b="3175"/>
                  <wp:docPr id="7" name="Picture 7" descr="NSQHS Standard 2 icon" title="NSQHS Standard 2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2.png"/>
                          <pic:cNvPicPr/>
                        </pic:nvPicPr>
                        <pic:blipFill>
                          <a:blip r:embed="rId27">
                            <a:extLst>
                              <a:ext uri="{28A0092B-C50C-407E-A947-70E740481C1C}">
                                <a14:useLocalDpi xmlns:a14="http://schemas.microsoft.com/office/drawing/2010/main" val="0"/>
                              </a:ext>
                            </a:extLst>
                          </a:blip>
                          <a:stretch>
                            <a:fillRect/>
                          </a:stretch>
                        </pic:blipFill>
                        <pic:spPr>
                          <a:xfrm>
                            <a:off x="0" y="0"/>
                            <a:ext cx="376428" cy="377952"/>
                          </a:xfrm>
                          <a:prstGeom prst="rect">
                            <a:avLst/>
                          </a:prstGeom>
                        </pic:spPr>
                      </pic:pic>
                    </a:graphicData>
                  </a:graphic>
                </wp:inline>
              </w:drawing>
            </w:r>
          </w:p>
        </w:tc>
        <w:tc>
          <w:tcPr>
            <w:tcW w:w="6920" w:type="dxa"/>
            <w:shd w:val="clear" w:color="auto" w:fill="E7E4E1"/>
            <w:vAlign w:val="center"/>
            <w:hideMark/>
          </w:tcPr>
          <w:p w14:paraId="3C38D8BA" w14:textId="77777777" w:rsidR="00895CD2" w:rsidRDefault="00AD26F3" w:rsidP="00FD17DE">
            <w:pPr>
              <w:pStyle w:val="bullet"/>
              <w:spacing w:before="60" w:after="60"/>
              <w:rPr>
                <w:rFonts w:ascii="Times" w:hAnsi="Times"/>
              </w:rPr>
            </w:pPr>
            <w:r>
              <w:rPr>
                <w:rStyle w:val="charoverride-7"/>
              </w:rPr>
              <w:t>Training clinical leaders, senior managers and the work force in patient-centred care</w:t>
            </w:r>
          </w:p>
        </w:tc>
      </w:tr>
      <w:tr w:rsidR="008317E1" w14:paraId="0C9B7B94" w14:textId="77777777" w:rsidTr="00FD17DE">
        <w:tc>
          <w:tcPr>
            <w:tcW w:w="2037" w:type="dxa"/>
            <w:shd w:val="clear" w:color="auto" w:fill="E7E4E1"/>
            <w:vAlign w:val="center"/>
            <w:hideMark/>
          </w:tcPr>
          <w:p w14:paraId="6D7A0F2D" w14:textId="77777777" w:rsidR="00895CD2" w:rsidRDefault="00AD26F3" w:rsidP="00FD17DE">
            <w:pPr>
              <w:pStyle w:val="1h4"/>
              <w:spacing w:before="60" w:beforeAutospacing="0" w:after="60" w:afterAutospacing="0"/>
              <w:rPr>
                <w:rFonts w:cs="Times New Roman"/>
              </w:rPr>
            </w:pPr>
            <w:r>
              <w:rPr>
                <w:rStyle w:val="charoverride-13"/>
                <w:rFonts w:cs="Times New Roman"/>
              </w:rPr>
              <w:t>NSQHS Standard 3</w:t>
            </w:r>
          </w:p>
        </w:tc>
        <w:tc>
          <w:tcPr>
            <w:tcW w:w="997" w:type="dxa"/>
            <w:shd w:val="clear" w:color="auto" w:fill="E7E4E1"/>
            <w:vAlign w:val="center"/>
            <w:hideMark/>
          </w:tcPr>
          <w:p w14:paraId="7EA51779" w14:textId="77777777" w:rsidR="00895CD2" w:rsidRDefault="00BB708A" w:rsidP="00FD17DE">
            <w:pPr>
              <w:pStyle w:val="0page-tops"/>
              <w:spacing w:before="60" w:beforeAutospacing="0" w:after="60" w:afterAutospacing="0"/>
              <w:rPr>
                <w:rFonts w:cs="Times New Roman"/>
              </w:rPr>
            </w:pPr>
            <w:r>
              <w:rPr>
                <w:rFonts w:cs="Times New Roman"/>
                <w:noProof/>
                <w:lang w:eastAsia="en-AU"/>
              </w:rPr>
              <w:drawing>
                <wp:inline distT="0" distB="0" distL="0" distR="0" wp14:anchorId="3C74E4B8" wp14:editId="755BBD3A">
                  <wp:extent cx="377952" cy="374904"/>
                  <wp:effectExtent l="0" t="0" r="3175" b="6350"/>
                  <wp:docPr id="8" name="Picture 8" descr="NSQHS Standard 3 icon" title="NSQHS Standard 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3.png"/>
                          <pic:cNvPicPr/>
                        </pic:nvPicPr>
                        <pic:blipFill>
                          <a:blip r:embed="rId26">
                            <a:extLst>
                              <a:ext uri="{28A0092B-C50C-407E-A947-70E740481C1C}">
                                <a14:useLocalDpi xmlns:a14="http://schemas.microsoft.com/office/drawing/2010/main" val="0"/>
                              </a:ext>
                            </a:extLst>
                          </a:blip>
                          <a:stretch>
                            <a:fillRect/>
                          </a:stretch>
                        </pic:blipFill>
                        <pic:spPr>
                          <a:xfrm>
                            <a:off x="0" y="0"/>
                            <a:ext cx="377952" cy="374904"/>
                          </a:xfrm>
                          <a:prstGeom prst="rect">
                            <a:avLst/>
                          </a:prstGeom>
                        </pic:spPr>
                      </pic:pic>
                    </a:graphicData>
                  </a:graphic>
                </wp:inline>
              </w:drawing>
            </w:r>
          </w:p>
        </w:tc>
        <w:tc>
          <w:tcPr>
            <w:tcW w:w="6920" w:type="dxa"/>
            <w:shd w:val="clear" w:color="auto" w:fill="E7E4E1"/>
            <w:vAlign w:val="center"/>
            <w:hideMark/>
          </w:tcPr>
          <w:p w14:paraId="1E826CFA" w14:textId="77777777" w:rsidR="00895CD2" w:rsidRDefault="00AD26F3" w:rsidP="00FD17DE">
            <w:pPr>
              <w:pStyle w:val="bullet"/>
              <w:spacing w:before="60" w:after="60"/>
              <w:rPr>
                <w:rFonts w:ascii="Times" w:hAnsi="Times"/>
              </w:rPr>
            </w:pPr>
            <w:r>
              <w:rPr>
                <w:rStyle w:val="charoverride-7"/>
              </w:rPr>
              <w:t>Increasing compliance with aseptic technique protocols</w:t>
            </w:r>
          </w:p>
        </w:tc>
      </w:tr>
      <w:tr w:rsidR="008317E1" w14:paraId="5B4A538A" w14:textId="77777777" w:rsidTr="00FD17DE">
        <w:tc>
          <w:tcPr>
            <w:tcW w:w="2037" w:type="dxa"/>
            <w:shd w:val="clear" w:color="auto" w:fill="E7E4E1"/>
            <w:vAlign w:val="center"/>
            <w:hideMark/>
          </w:tcPr>
          <w:p w14:paraId="43E09E8E" w14:textId="77777777" w:rsidR="00895CD2" w:rsidRDefault="00AD26F3" w:rsidP="00FD17DE">
            <w:pPr>
              <w:pStyle w:val="1h4"/>
              <w:spacing w:before="60" w:beforeAutospacing="0" w:after="60" w:afterAutospacing="0"/>
              <w:rPr>
                <w:rFonts w:cs="Times New Roman"/>
              </w:rPr>
            </w:pPr>
            <w:r>
              <w:rPr>
                <w:rStyle w:val="charoverride-13"/>
                <w:rFonts w:cs="Times New Roman"/>
              </w:rPr>
              <w:t>NSQHS Standard 1</w:t>
            </w:r>
          </w:p>
        </w:tc>
        <w:tc>
          <w:tcPr>
            <w:tcW w:w="997" w:type="dxa"/>
            <w:shd w:val="clear" w:color="auto" w:fill="E7E4E1"/>
            <w:vAlign w:val="center"/>
            <w:hideMark/>
          </w:tcPr>
          <w:p w14:paraId="1B2F737F" w14:textId="77777777" w:rsidR="00895CD2" w:rsidRDefault="00BB708A" w:rsidP="00FD17DE">
            <w:pPr>
              <w:pStyle w:val="0page-tops"/>
              <w:spacing w:before="60" w:beforeAutospacing="0" w:after="60" w:afterAutospacing="0"/>
              <w:rPr>
                <w:rFonts w:cs="Times New Roman"/>
              </w:rPr>
            </w:pPr>
            <w:r>
              <w:rPr>
                <w:rFonts w:cs="Times New Roman"/>
                <w:noProof/>
                <w:lang w:eastAsia="en-AU"/>
              </w:rPr>
              <w:drawing>
                <wp:inline distT="0" distB="0" distL="0" distR="0" wp14:anchorId="582494D1" wp14:editId="692B9FE7">
                  <wp:extent cx="377952" cy="379476"/>
                  <wp:effectExtent l="0" t="0" r="3175" b="1905"/>
                  <wp:docPr id="9" name="Picture 9" descr="NSQHS Standard 1 icon" title="NSQHS Standard 1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1.png"/>
                          <pic:cNvPicPr/>
                        </pic:nvPicPr>
                        <pic:blipFill>
                          <a:blip r:embed="rId28">
                            <a:extLst>
                              <a:ext uri="{28A0092B-C50C-407E-A947-70E740481C1C}">
                                <a14:useLocalDpi xmlns:a14="http://schemas.microsoft.com/office/drawing/2010/main" val="0"/>
                              </a:ext>
                            </a:extLst>
                          </a:blip>
                          <a:stretch>
                            <a:fillRect/>
                          </a:stretch>
                        </pic:blipFill>
                        <pic:spPr>
                          <a:xfrm>
                            <a:off x="0" y="0"/>
                            <a:ext cx="377952" cy="379476"/>
                          </a:xfrm>
                          <a:prstGeom prst="rect">
                            <a:avLst/>
                          </a:prstGeom>
                        </pic:spPr>
                      </pic:pic>
                    </a:graphicData>
                  </a:graphic>
                </wp:inline>
              </w:drawing>
            </w:r>
          </w:p>
        </w:tc>
        <w:tc>
          <w:tcPr>
            <w:tcW w:w="6920" w:type="dxa"/>
            <w:shd w:val="clear" w:color="auto" w:fill="E7E4E1"/>
            <w:vAlign w:val="center"/>
            <w:hideMark/>
          </w:tcPr>
          <w:p w14:paraId="066E94AD" w14:textId="77777777" w:rsidR="00895CD2" w:rsidRDefault="00AD26F3" w:rsidP="00FD17DE">
            <w:pPr>
              <w:pStyle w:val="bullet"/>
              <w:spacing w:before="60" w:after="60"/>
              <w:rPr>
                <w:rFonts w:ascii="Times" w:hAnsi="Times"/>
              </w:rPr>
            </w:pPr>
            <w:r>
              <w:rPr>
                <w:rStyle w:val="charoverride-7"/>
              </w:rPr>
              <w:t>Monitoring and improving informed consent compliance</w:t>
            </w:r>
          </w:p>
        </w:tc>
      </w:tr>
      <w:tr w:rsidR="008317E1" w14:paraId="6CD73EE0" w14:textId="77777777" w:rsidTr="00FD17DE">
        <w:tc>
          <w:tcPr>
            <w:tcW w:w="2037" w:type="dxa"/>
            <w:shd w:val="clear" w:color="auto" w:fill="E7E4E1"/>
            <w:vAlign w:val="center"/>
            <w:hideMark/>
          </w:tcPr>
          <w:p w14:paraId="4D73B2CB" w14:textId="77777777" w:rsidR="00895CD2" w:rsidRDefault="00AD26F3" w:rsidP="00FD17DE">
            <w:pPr>
              <w:pStyle w:val="1h4"/>
              <w:spacing w:before="60" w:beforeAutospacing="0" w:after="60" w:afterAutospacing="0"/>
              <w:rPr>
                <w:rFonts w:cs="Times New Roman"/>
              </w:rPr>
            </w:pPr>
            <w:r>
              <w:rPr>
                <w:rStyle w:val="charoverride-13"/>
                <w:rFonts w:cs="Times New Roman"/>
              </w:rPr>
              <w:t>NSQHS Standard 3</w:t>
            </w:r>
          </w:p>
        </w:tc>
        <w:tc>
          <w:tcPr>
            <w:tcW w:w="997" w:type="dxa"/>
            <w:shd w:val="clear" w:color="auto" w:fill="E7E4E1"/>
            <w:vAlign w:val="center"/>
            <w:hideMark/>
          </w:tcPr>
          <w:p w14:paraId="6A9EF188" w14:textId="77777777" w:rsidR="00895CD2" w:rsidRDefault="00BB708A" w:rsidP="00FD17DE">
            <w:pPr>
              <w:pStyle w:val="0page-tops"/>
              <w:spacing w:before="60" w:beforeAutospacing="0" w:after="60" w:afterAutospacing="0"/>
              <w:rPr>
                <w:rFonts w:cs="Times New Roman"/>
              </w:rPr>
            </w:pPr>
            <w:r>
              <w:rPr>
                <w:rFonts w:cs="Times New Roman"/>
                <w:noProof/>
                <w:lang w:eastAsia="en-AU"/>
              </w:rPr>
              <w:drawing>
                <wp:inline distT="0" distB="0" distL="0" distR="0" wp14:anchorId="2A380804" wp14:editId="0C1CC933">
                  <wp:extent cx="377952" cy="374904"/>
                  <wp:effectExtent l="0" t="0" r="3175" b="6350"/>
                  <wp:docPr id="10" name="Picture 10" descr="NSQHS Standard 3 icon" title="NSQHS Standard 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3.png"/>
                          <pic:cNvPicPr/>
                        </pic:nvPicPr>
                        <pic:blipFill>
                          <a:blip r:embed="rId26">
                            <a:extLst>
                              <a:ext uri="{28A0092B-C50C-407E-A947-70E740481C1C}">
                                <a14:useLocalDpi xmlns:a14="http://schemas.microsoft.com/office/drawing/2010/main" val="0"/>
                              </a:ext>
                            </a:extLst>
                          </a:blip>
                          <a:stretch>
                            <a:fillRect/>
                          </a:stretch>
                        </pic:blipFill>
                        <pic:spPr>
                          <a:xfrm>
                            <a:off x="0" y="0"/>
                            <a:ext cx="377952" cy="374904"/>
                          </a:xfrm>
                          <a:prstGeom prst="rect">
                            <a:avLst/>
                          </a:prstGeom>
                        </pic:spPr>
                      </pic:pic>
                    </a:graphicData>
                  </a:graphic>
                </wp:inline>
              </w:drawing>
            </w:r>
          </w:p>
        </w:tc>
        <w:tc>
          <w:tcPr>
            <w:tcW w:w="6920" w:type="dxa"/>
            <w:shd w:val="clear" w:color="auto" w:fill="E7E4E1"/>
            <w:vAlign w:val="center"/>
            <w:hideMark/>
          </w:tcPr>
          <w:p w14:paraId="6EA4DBCD" w14:textId="77777777" w:rsidR="00895CD2" w:rsidRDefault="00AD26F3" w:rsidP="00FD17DE">
            <w:pPr>
              <w:pStyle w:val="bullet"/>
              <w:spacing w:before="60" w:after="60"/>
            </w:pPr>
            <w:r>
              <w:rPr>
                <w:rStyle w:val="charoverride-7"/>
              </w:rPr>
              <w:t>Antimicrobial stewardship program is in place</w:t>
            </w:r>
          </w:p>
          <w:p w14:paraId="459128CE" w14:textId="77777777" w:rsidR="00895CD2" w:rsidRDefault="00AD26F3" w:rsidP="00FD17DE">
            <w:pPr>
              <w:pStyle w:val="bullet"/>
              <w:spacing w:before="60" w:after="60"/>
              <w:rPr>
                <w:rFonts w:ascii="Times" w:hAnsi="Times"/>
              </w:rPr>
            </w:pPr>
            <w:r>
              <w:rPr>
                <w:rStyle w:val="charoverride-7"/>
              </w:rPr>
              <w:t>Training in invasive device protocols</w:t>
            </w:r>
          </w:p>
        </w:tc>
      </w:tr>
      <w:tr w:rsidR="008317E1" w14:paraId="78AE59DC" w14:textId="77777777" w:rsidTr="00FD17DE">
        <w:trPr>
          <w:trHeight w:val="787"/>
        </w:trPr>
        <w:tc>
          <w:tcPr>
            <w:tcW w:w="2037" w:type="dxa"/>
            <w:shd w:val="clear" w:color="auto" w:fill="E7E4E1"/>
            <w:vAlign w:val="center"/>
            <w:hideMark/>
          </w:tcPr>
          <w:p w14:paraId="189401A0" w14:textId="77777777" w:rsidR="00895CD2" w:rsidRDefault="00AD26F3" w:rsidP="00FD17DE">
            <w:pPr>
              <w:pStyle w:val="1h4"/>
              <w:spacing w:before="60" w:beforeAutospacing="0" w:after="60" w:afterAutospacing="0"/>
              <w:rPr>
                <w:rFonts w:cs="Times New Roman"/>
              </w:rPr>
            </w:pPr>
            <w:r>
              <w:rPr>
                <w:rStyle w:val="charoverride-13"/>
                <w:rFonts w:cs="Times New Roman"/>
              </w:rPr>
              <w:t>NSQHS Standard 1</w:t>
            </w:r>
          </w:p>
        </w:tc>
        <w:tc>
          <w:tcPr>
            <w:tcW w:w="997" w:type="dxa"/>
            <w:shd w:val="clear" w:color="auto" w:fill="E7E4E1"/>
            <w:vAlign w:val="center"/>
            <w:hideMark/>
          </w:tcPr>
          <w:p w14:paraId="010F207C" w14:textId="77777777" w:rsidR="00895CD2" w:rsidRDefault="00BB708A" w:rsidP="00FD17DE">
            <w:pPr>
              <w:pStyle w:val="0page-tops"/>
              <w:spacing w:before="60" w:beforeAutospacing="0" w:after="60" w:afterAutospacing="0"/>
              <w:rPr>
                <w:rFonts w:cs="Times New Roman"/>
              </w:rPr>
            </w:pPr>
            <w:r>
              <w:rPr>
                <w:rFonts w:cs="Times New Roman"/>
                <w:noProof/>
                <w:lang w:eastAsia="en-AU"/>
              </w:rPr>
              <w:drawing>
                <wp:inline distT="0" distB="0" distL="0" distR="0" wp14:anchorId="66A603F0" wp14:editId="744401A4">
                  <wp:extent cx="377952" cy="379476"/>
                  <wp:effectExtent l="0" t="0" r="3175" b="1905"/>
                  <wp:docPr id="11" name="Picture 11" descr="NSQHS Standard 1 icon" title="NSQHS Standard 1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1.png"/>
                          <pic:cNvPicPr/>
                        </pic:nvPicPr>
                        <pic:blipFill>
                          <a:blip r:embed="rId28">
                            <a:extLst>
                              <a:ext uri="{28A0092B-C50C-407E-A947-70E740481C1C}">
                                <a14:useLocalDpi xmlns:a14="http://schemas.microsoft.com/office/drawing/2010/main" val="0"/>
                              </a:ext>
                            </a:extLst>
                          </a:blip>
                          <a:stretch>
                            <a:fillRect/>
                          </a:stretch>
                        </pic:blipFill>
                        <pic:spPr>
                          <a:xfrm>
                            <a:off x="0" y="0"/>
                            <a:ext cx="377952" cy="379476"/>
                          </a:xfrm>
                          <a:prstGeom prst="rect">
                            <a:avLst/>
                          </a:prstGeom>
                        </pic:spPr>
                      </pic:pic>
                    </a:graphicData>
                  </a:graphic>
                </wp:inline>
              </w:drawing>
            </w:r>
          </w:p>
        </w:tc>
        <w:tc>
          <w:tcPr>
            <w:tcW w:w="6920" w:type="dxa"/>
            <w:shd w:val="clear" w:color="auto" w:fill="E7E4E1"/>
            <w:vAlign w:val="center"/>
            <w:hideMark/>
          </w:tcPr>
          <w:p w14:paraId="3C5DE1DB" w14:textId="77777777" w:rsidR="00895CD2" w:rsidRDefault="00AD26F3" w:rsidP="00FD17DE">
            <w:pPr>
              <w:pStyle w:val="bullet"/>
              <w:spacing w:before="60" w:after="60"/>
              <w:rPr>
                <w:rFonts w:ascii="Times" w:hAnsi="Times"/>
              </w:rPr>
            </w:pPr>
            <w:r>
              <w:rPr>
                <w:rStyle w:val="charoverride-7"/>
              </w:rPr>
              <w:t>Use of an organisation-wide risk register</w:t>
            </w:r>
          </w:p>
        </w:tc>
      </w:tr>
    </w:tbl>
    <w:p w14:paraId="53BA4747" w14:textId="77777777" w:rsidR="00895CD2" w:rsidRDefault="00895CD2">
      <w:pPr>
        <w:rPr>
          <w:rFonts w:eastAsia="Times New Roman" w:cs="Times New Roman"/>
          <w:vanish/>
          <w:lang w:val="en-GB"/>
        </w:rPr>
      </w:pPr>
    </w:p>
    <w:tbl>
      <w:tblPr>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85" w:type="dxa"/>
          <w:left w:w="57" w:type="dxa"/>
          <w:bottom w:w="85" w:type="dxa"/>
          <w:right w:w="57" w:type="dxa"/>
        </w:tblCellMar>
        <w:tblLook w:val="04A0" w:firstRow="1" w:lastRow="0" w:firstColumn="1" w:lastColumn="0" w:noHBand="0" w:noVBand="1"/>
      </w:tblPr>
      <w:tblGrid>
        <w:gridCol w:w="2042"/>
        <w:gridCol w:w="992"/>
        <w:gridCol w:w="6966"/>
      </w:tblGrid>
      <w:tr w:rsidR="00FD17DE" w14:paraId="0377B74E" w14:textId="77777777" w:rsidTr="00FD17DE">
        <w:tc>
          <w:tcPr>
            <w:tcW w:w="3034" w:type="dxa"/>
            <w:gridSpan w:val="2"/>
            <w:tcBorders>
              <w:bottom w:val="single" w:sz="12" w:space="0" w:color="FFFFFF" w:themeColor="background1"/>
            </w:tcBorders>
            <w:shd w:val="clear" w:color="auto" w:fill="C5C0B2"/>
            <w:vAlign w:val="center"/>
            <w:hideMark/>
          </w:tcPr>
          <w:p w14:paraId="2C4D6076" w14:textId="77777777" w:rsidR="00FD17DE" w:rsidRDefault="00FD17DE" w:rsidP="00FD17DE">
            <w:pPr>
              <w:spacing w:after="0"/>
              <w:rPr>
                <w:rFonts w:ascii="Times" w:eastAsia="Times New Roman" w:hAnsi="Times" w:cs="Times New Roman"/>
              </w:rPr>
            </w:pPr>
          </w:p>
        </w:tc>
        <w:tc>
          <w:tcPr>
            <w:tcW w:w="6966" w:type="dxa"/>
            <w:tcBorders>
              <w:bottom w:val="single" w:sz="12" w:space="0" w:color="FFFFFF" w:themeColor="background1"/>
            </w:tcBorders>
            <w:shd w:val="clear" w:color="auto" w:fill="C5C0B2"/>
            <w:vAlign w:val="center"/>
            <w:hideMark/>
          </w:tcPr>
          <w:p w14:paraId="2F7A5766" w14:textId="77777777" w:rsidR="00FD17DE" w:rsidRPr="008317E1" w:rsidRDefault="00FD17DE" w:rsidP="00FD17DE">
            <w:pPr>
              <w:pStyle w:val="3table-header-l"/>
              <w:spacing w:before="0" w:beforeAutospacing="0" w:after="0" w:afterAutospacing="0"/>
              <w:rPr>
                <w:rFonts w:cs="Times New Roman"/>
              </w:rPr>
            </w:pPr>
            <w:r w:rsidRPr="008317E1">
              <w:rPr>
                <w:rStyle w:val="charoverride-7"/>
                <w:rFonts w:cs="Times New Roman"/>
              </w:rPr>
              <w:t>Actions where there was exceptional performance</w:t>
            </w:r>
          </w:p>
        </w:tc>
      </w:tr>
      <w:tr w:rsidR="008317E1" w14:paraId="5629EE3E" w14:textId="77777777" w:rsidTr="00FD17DE">
        <w:tc>
          <w:tcPr>
            <w:tcW w:w="2042" w:type="dxa"/>
            <w:shd w:val="clear" w:color="auto" w:fill="E7E4E1"/>
            <w:vAlign w:val="center"/>
            <w:hideMark/>
          </w:tcPr>
          <w:p w14:paraId="22BFD73F" w14:textId="77777777" w:rsidR="00895CD2" w:rsidRDefault="00AD26F3">
            <w:pPr>
              <w:pStyle w:val="1h4"/>
              <w:rPr>
                <w:rFonts w:cs="Times New Roman"/>
              </w:rPr>
            </w:pPr>
            <w:r>
              <w:rPr>
                <w:rStyle w:val="charoverride-13"/>
                <w:rFonts w:cs="Times New Roman"/>
              </w:rPr>
              <w:t>NSQHS Standard 1</w:t>
            </w:r>
          </w:p>
        </w:tc>
        <w:tc>
          <w:tcPr>
            <w:tcW w:w="992" w:type="dxa"/>
            <w:shd w:val="clear" w:color="auto" w:fill="E7E4E1"/>
            <w:vAlign w:val="center"/>
            <w:hideMark/>
          </w:tcPr>
          <w:p w14:paraId="34B1504C" w14:textId="77777777" w:rsidR="00895CD2" w:rsidRDefault="008317E1">
            <w:pPr>
              <w:pStyle w:val="0page-tops"/>
              <w:rPr>
                <w:rFonts w:cs="Times New Roman"/>
              </w:rPr>
            </w:pPr>
            <w:r>
              <w:rPr>
                <w:rFonts w:cs="Times New Roman"/>
                <w:noProof/>
                <w:lang w:eastAsia="en-AU"/>
              </w:rPr>
              <w:drawing>
                <wp:inline distT="0" distB="0" distL="0" distR="0" wp14:anchorId="23A68074" wp14:editId="452D23CA">
                  <wp:extent cx="377952" cy="379476"/>
                  <wp:effectExtent l="0" t="0" r="3175" b="1905"/>
                  <wp:docPr id="12" name="Picture 12" descr="NSQHS Standard 1 icon" title="NSQHS Standard 1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1.png"/>
                          <pic:cNvPicPr/>
                        </pic:nvPicPr>
                        <pic:blipFill>
                          <a:blip r:embed="rId28">
                            <a:extLst>
                              <a:ext uri="{28A0092B-C50C-407E-A947-70E740481C1C}">
                                <a14:useLocalDpi xmlns:a14="http://schemas.microsoft.com/office/drawing/2010/main" val="0"/>
                              </a:ext>
                            </a:extLst>
                          </a:blip>
                          <a:stretch>
                            <a:fillRect/>
                          </a:stretch>
                        </pic:blipFill>
                        <pic:spPr>
                          <a:xfrm>
                            <a:off x="0" y="0"/>
                            <a:ext cx="377952" cy="379476"/>
                          </a:xfrm>
                          <a:prstGeom prst="rect">
                            <a:avLst/>
                          </a:prstGeom>
                        </pic:spPr>
                      </pic:pic>
                    </a:graphicData>
                  </a:graphic>
                </wp:inline>
              </w:drawing>
            </w:r>
          </w:p>
        </w:tc>
        <w:tc>
          <w:tcPr>
            <w:tcW w:w="6966" w:type="dxa"/>
            <w:shd w:val="clear" w:color="auto" w:fill="E7E4E1"/>
            <w:vAlign w:val="center"/>
            <w:hideMark/>
          </w:tcPr>
          <w:p w14:paraId="1162473C" w14:textId="77777777" w:rsidR="00895CD2" w:rsidRDefault="00AD26F3" w:rsidP="008317E1">
            <w:pPr>
              <w:pStyle w:val="bullet"/>
            </w:pPr>
            <w:r>
              <w:rPr>
                <w:rStyle w:val="charoverride-7"/>
              </w:rPr>
              <w:t>Managing safety and quality across an organisation</w:t>
            </w:r>
          </w:p>
          <w:p w14:paraId="02537130" w14:textId="77777777" w:rsidR="00895CD2" w:rsidRDefault="00AD26F3" w:rsidP="008317E1">
            <w:pPr>
              <w:pStyle w:val="bullet"/>
              <w:rPr>
                <w:rFonts w:ascii="Times" w:hAnsi="Times"/>
              </w:rPr>
            </w:pPr>
            <w:r>
              <w:rPr>
                <w:rStyle w:val="charoverride-7"/>
              </w:rPr>
              <w:t>Effective incident management, complaints and investigation systems</w:t>
            </w:r>
          </w:p>
        </w:tc>
      </w:tr>
      <w:tr w:rsidR="008317E1" w14:paraId="74CFB816" w14:textId="77777777" w:rsidTr="00FD17DE">
        <w:tc>
          <w:tcPr>
            <w:tcW w:w="2042" w:type="dxa"/>
            <w:shd w:val="clear" w:color="auto" w:fill="E7E4E1"/>
            <w:vAlign w:val="center"/>
            <w:hideMark/>
          </w:tcPr>
          <w:p w14:paraId="21A59605" w14:textId="77777777" w:rsidR="00895CD2" w:rsidRDefault="00AD26F3">
            <w:pPr>
              <w:pStyle w:val="1h4"/>
              <w:rPr>
                <w:rFonts w:cs="Times New Roman"/>
              </w:rPr>
            </w:pPr>
            <w:r>
              <w:rPr>
                <w:rStyle w:val="charoverride-13"/>
                <w:rFonts w:cs="Times New Roman"/>
              </w:rPr>
              <w:t>NSQHS Standard 4</w:t>
            </w:r>
          </w:p>
        </w:tc>
        <w:tc>
          <w:tcPr>
            <w:tcW w:w="992" w:type="dxa"/>
            <w:shd w:val="clear" w:color="auto" w:fill="E7E4E1"/>
            <w:vAlign w:val="center"/>
            <w:hideMark/>
          </w:tcPr>
          <w:p w14:paraId="687911F5" w14:textId="77777777" w:rsidR="00895CD2" w:rsidRDefault="008317E1">
            <w:pPr>
              <w:pStyle w:val="0page-tops"/>
              <w:rPr>
                <w:rFonts w:cs="Times New Roman"/>
              </w:rPr>
            </w:pPr>
            <w:r>
              <w:rPr>
                <w:rFonts w:cs="Times New Roman"/>
                <w:noProof/>
                <w:lang w:eastAsia="en-AU"/>
              </w:rPr>
              <w:drawing>
                <wp:inline distT="0" distB="0" distL="0" distR="0" wp14:anchorId="59FCB6F2" wp14:editId="7C72F49F">
                  <wp:extent cx="377952" cy="373380"/>
                  <wp:effectExtent l="0" t="0" r="3175" b="7620"/>
                  <wp:docPr id="13" name="Picture 13" descr="NSQHS Standard 4 icon" title="NSQHS Standard 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4.png"/>
                          <pic:cNvPicPr/>
                        </pic:nvPicPr>
                        <pic:blipFill>
                          <a:blip r:embed="rId29">
                            <a:extLst>
                              <a:ext uri="{28A0092B-C50C-407E-A947-70E740481C1C}">
                                <a14:useLocalDpi xmlns:a14="http://schemas.microsoft.com/office/drawing/2010/main" val="0"/>
                              </a:ext>
                            </a:extLst>
                          </a:blip>
                          <a:stretch>
                            <a:fillRect/>
                          </a:stretch>
                        </pic:blipFill>
                        <pic:spPr>
                          <a:xfrm>
                            <a:off x="0" y="0"/>
                            <a:ext cx="377952" cy="373380"/>
                          </a:xfrm>
                          <a:prstGeom prst="rect">
                            <a:avLst/>
                          </a:prstGeom>
                        </pic:spPr>
                      </pic:pic>
                    </a:graphicData>
                  </a:graphic>
                </wp:inline>
              </w:drawing>
            </w:r>
          </w:p>
        </w:tc>
        <w:tc>
          <w:tcPr>
            <w:tcW w:w="6966" w:type="dxa"/>
            <w:shd w:val="clear" w:color="auto" w:fill="E7E4E1"/>
            <w:vAlign w:val="center"/>
            <w:hideMark/>
          </w:tcPr>
          <w:p w14:paraId="07B2E389" w14:textId="77777777" w:rsidR="00895CD2" w:rsidRDefault="00AD26F3" w:rsidP="008317E1">
            <w:pPr>
              <w:pStyle w:val="bullet"/>
              <w:rPr>
                <w:rFonts w:ascii="Times" w:hAnsi="Times"/>
              </w:rPr>
            </w:pPr>
            <w:r>
              <w:rPr>
                <w:rStyle w:val="charoverride-7"/>
              </w:rPr>
              <w:t>Establishing robust systems to respond to medication incidents</w:t>
            </w:r>
          </w:p>
        </w:tc>
      </w:tr>
      <w:tr w:rsidR="008317E1" w14:paraId="62FDCBE9" w14:textId="77777777" w:rsidTr="00FD17DE">
        <w:tc>
          <w:tcPr>
            <w:tcW w:w="2042" w:type="dxa"/>
            <w:shd w:val="clear" w:color="auto" w:fill="E7E4E1"/>
            <w:vAlign w:val="center"/>
            <w:hideMark/>
          </w:tcPr>
          <w:p w14:paraId="5FD62278" w14:textId="77777777" w:rsidR="00895CD2" w:rsidRDefault="00AD26F3">
            <w:pPr>
              <w:pStyle w:val="1h4"/>
              <w:rPr>
                <w:rFonts w:cs="Times New Roman"/>
              </w:rPr>
            </w:pPr>
            <w:r>
              <w:rPr>
                <w:rStyle w:val="charoverride-13"/>
                <w:rFonts w:cs="Times New Roman"/>
              </w:rPr>
              <w:t>NSQHS Standard 6</w:t>
            </w:r>
          </w:p>
        </w:tc>
        <w:tc>
          <w:tcPr>
            <w:tcW w:w="992" w:type="dxa"/>
            <w:shd w:val="clear" w:color="auto" w:fill="E7E4E1"/>
            <w:vAlign w:val="center"/>
            <w:hideMark/>
          </w:tcPr>
          <w:p w14:paraId="34F546D0" w14:textId="77777777" w:rsidR="00895CD2" w:rsidRDefault="008317E1">
            <w:pPr>
              <w:pStyle w:val="0page-tops"/>
              <w:rPr>
                <w:rFonts w:cs="Times New Roman"/>
              </w:rPr>
            </w:pPr>
            <w:r>
              <w:rPr>
                <w:rFonts w:cs="Times New Roman"/>
                <w:noProof/>
                <w:lang w:eastAsia="en-AU"/>
              </w:rPr>
              <w:drawing>
                <wp:inline distT="0" distB="0" distL="0" distR="0" wp14:anchorId="491B382A" wp14:editId="4A9BEAAF">
                  <wp:extent cx="371856" cy="377952"/>
                  <wp:effectExtent l="0" t="0" r="9525" b="3175"/>
                  <wp:docPr id="14" name="Picture 14" descr="NSQHS Standard 6 icon" title="NSQHS Standard 6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6.png"/>
                          <pic:cNvPicPr/>
                        </pic:nvPicPr>
                        <pic:blipFill>
                          <a:blip r:embed="rId30">
                            <a:extLst>
                              <a:ext uri="{28A0092B-C50C-407E-A947-70E740481C1C}">
                                <a14:useLocalDpi xmlns:a14="http://schemas.microsoft.com/office/drawing/2010/main" val="0"/>
                              </a:ext>
                            </a:extLst>
                          </a:blip>
                          <a:stretch>
                            <a:fillRect/>
                          </a:stretch>
                        </pic:blipFill>
                        <pic:spPr>
                          <a:xfrm>
                            <a:off x="0" y="0"/>
                            <a:ext cx="371856" cy="377952"/>
                          </a:xfrm>
                          <a:prstGeom prst="rect">
                            <a:avLst/>
                          </a:prstGeom>
                        </pic:spPr>
                      </pic:pic>
                    </a:graphicData>
                  </a:graphic>
                </wp:inline>
              </w:drawing>
            </w:r>
          </w:p>
        </w:tc>
        <w:tc>
          <w:tcPr>
            <w:tcW w:w="6966" w:type="dxa"/>
            <w:shd w:val="clear" w:color="auto" w:fill="E7E4E1"/>
            <w:vAlign w:val="center"/>
            <w:hideMark/>
          </w:tcPr>
          <w:p w14:paraId="40AA5EA6" w14:textId="77777777" w:rsidR="00895CD2" w:rsidRDefault="00AD26F3" w:rsidP="008317E1">
            <w:pPr>
              <w:pStyle w:val="bullet"/>
              <w:rPr>
                <w:rFonts w:ascii="Times" w:hAnsi="Times"/>
              </w:rPr>
            </w:pPr>
            <w:r>
              <w:rPr>
                <w:rStyle w:val="charoverride-7"/>
              </w:rPr>
              <w:t>Implementing structured and documented processes for clinical handover</w:t>
            </w:r>
          </w:p>
        </w:tc>
      </w:tr>
      <w:tr w:rsidR="008317E1" w14:paraId="28440A47" w14:textId="77777777" w:rsidTr="00FD17DE">
        <w:tc>
          <w:tcPr>
            <w:tcW w:w="2042" w:type="dxa"/>
            <w:shd w:val="clear" w:color="auto" w:fill="E7E4E1"/>
            <w:vAlign w:val="center"/>
            <w:hideMark/>
          </w:tcPr>
          <w:p w14:paraId="3D84A008" w14:textId="77777777" w:rsidR="00895CD2" w:rsidRDefault="00AD26F3">
            <w:pPr>
              <w:pStyle w:val="1h4"/>
              <w:rPr>
                <w:rFonts w:cs="Times New Roman"/>
              </w:rPr>
            </w:pPr>
            <w:r>
              <w:rPr>
                <w:rStyle w:val="charoverride-13"/>
                <w:rFonts w:cs="Times New Roman"/>
              </w:rPr>
              <w:t>NSQHS Standard 7</w:t>
            </w:r>
          </w:p>
        </w:tc>
        <w:tc>
          <w:tcPr>
            <w:tcW w:w="992" w:type="dxa"/>
            <w:shd w:val="clear" w:color="auto" w:fill="E7E4E1"/>
            <w:vAlign w:val="center"/>
            <w:hideMark/>
          </w:tcPr>
          <w:p w14:paraId="23FC2C73" w14:textId="77777777" w:rsidR="00895CD2" w:rsidRDefault="008317E1">
            <w:pPr>
              <w:pStyle w:val="0page-tops"/>
              <w:rPr>
                <w:rFonts w:cs="Times New Roman"/>
              </w:rPr>
            </w:pPr>
            <w:r>
              <w:rPr>
                <w:rFonts w:cs="Times New Roman"/>
                <w:noProof/>
                <w:lang w:eastAsia="en-AU"/>
              </w:rPr>
              <w:drawing>
                <wp:inline distT="0" distB="0" distL="0" distR="0" wp14:anchorId="11C39C88" wp14:editId="3377C60B">
                  <wp:extent cx="387096" cy="377952"/>
                  <wp:effectExtent l="0" t="0" r="0" b="3175"/>
                  <wp:docPr id="15" name="Picture 15" descr="NSQHS Standard 7 icon" title="NSQHS Standard 7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7.png"/>
                          <pic:cNvPicPr/>
                        </pic:nvPicPr>
                        <pic:blipFill>
                          <a:blip r:embed="rId31">
                            <a:extLst>
                              <a:ext uri="{28A0092B-C50C-407E-A947-70E740481C1C}">
                                <a14:useLocalDpi xmlns:a14="http://schemas.microsoft.com/office/drawing/2010/main" val="0"/>
                              </a:ext>
                            </a:extLst>
                          </a:blip>
                          <a:stretch>
                            <a:fillRect/>
                          </a:stretch>
                        </pic:blipFill>
                        <pic:spPr>
                          <a:xfrm>
                            <a:off x="0" y="0"/>
                            <a:ext cx="387096" cy="377952"/>
                          </a:xfrm>
                          <a:prstGeom prst="rect">
                            <a:avLst/>
                          </a:prstGeom>
                        </pic:spPr>
                      </pic:pic>
                    </a:graphicData>
                  </a:graphic>
                </wp:inline>
              </w:drawing>
            </w:r>
          </w:p>
        </w:tc>
        <w:tc>
          <w:tcPr>
            <w:tcW w:w="6966" w:type="dxa"/>
            <w:shd w:val="clear" w:color="auto" w:fill="E7E4E1"/>
            <w:vAlign w:val="center"/>
            <w:hideMark/>
          </w:tcPr>
          <w:p w14:paraId="1C41ED94" w14:textId="77777777" w:rsidR="00895CD2" w:rsidRDefault="00AD26F3" w:rsidP="008317E1">
            <w:pPr>
              <w:pStyle w:val="bullet"/>
              <w:rPr>
                <w:rFonts w:ascii="Times" w:hAnsi="Times"/>
              </w:rPr>
            </w:pPr>
            <w:r>
              <w:rPr>
                <w:rStyle w:val="charoverride-7"/>
              </w:rPr>
              <w:t>Minimising wastage of blood and blood products</w:t>
            </w:r>
          </w:p>
        </w:tc>
      </w:tr>
      <w:tr w:rsidR="008317E1" w14:paraId="1AB69648" w14:textId="77777777" w:rsidTr="00FD17DE">
        <w:tc>
          <w:tcPr>
            <w:tcW w:w="2042" w:type="dxa"/>
            <w:shd w:val="clear" w:color="auto" w:fill="E7E4E1"/>
            <w:vAlign w:val="center"/>
            <w:hideMark/>
          </w:tcPr>
          <w:p w14:paraId="554B1285" w14:textId="77777777" w:rsidR="00895CD2" w:rsidRDefault="00AD26F3">
            <w:pPr>
              <w:pStyle w:val="1h4"/>
              <w:rPr>
                <w:rFonts w:cs="Times New Roman"/>
              </w:rPr>
            </w:pPr>
            <w:r>
              <w:rPr>
                <w:rStyle w:val="charoverride-13"/>
                <w:rFonts w:cs="Times New Roman"/>
              </w:rPr>
              <w:t>NSQHS Standard 8</w:t>
            </w:r>
          </w:p>
        </w:tc>
        <w:tc>
          <w:tcPr>
            <w:tcW w:w="992" w:type="dxa"/>
            <w:shd w:val="clear" w:color="auto" w:fill="E7E4E1"/>
            <w:vAlign w:val="center"/>
            <w:hideMark/>
          </w:tcPr>
          <w:p w14:paraId="3C125228" w14:textId="77777777" w:rsidR="00895CD2" w:rsidRDefault="008317E1">
            <w:pPr>
              <w:pStyle w:val="0page-tops"/>
              <w:rPr>
                <w:rFonts w:cs="Times New Roman"/>
              </w:rPr>
            </w:pPr>
            <w:r>
              <w:rPr>
                <w:rFonts w:cs="Times New Roman"/>
                <w:noProof/>
                <w:lang w:eastAsia="en-AU"/>
              </w:rPr>
              <w:drawing>
                <wp:inline distT="0" distB="0" distL="0" distR="0" wp14:anchorId="1E4302EA" wp14:editId="1A9B4169">
                  <wp:extent cx="388620" cy="381000"/>
                  <wp:effectExtent l="0" t="0" r="0" b="0"/>
                  <wp:docPr id="18" name="Picture 18" descr="NSQHS Standard 8 icon" title="NSQHS Standard 8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8.png"/>
                          <pic:cNvPicPr/>
                        </pic:nvPicPr>
                        <pic:blipFill>
                          <a:blip r:embed="rId32">
                            <a:extLst>
                              <a:ext uri="{28A0092B-C50C-407E-A947-70E740481C1C}">
                                <a14:useLocalDpi xmlns:a14="http://schemas.microsoft.com/office/drawing/2010/main" val="0"/>
                              </a:ext>
                            </a:extLst>
                          </a:blip>
                          <a:stretch>
                            <a:fillRect/>
                          </a:stretch>
                        </pic:blipFill>
                        <pic:spPr>
                          <a:xfrm>
                            <a:off x="0" y="0"/>
                            <a:ext cx="388620" cy="381000"/>
                          </a:xfrm>
                          <a:prstGeom prst="rect">
                            <a:avLst/>
                          </a:prstGeom>
                        </pic:spPr>
                      </pic:pic>
                    </a:graphicData>
                  </a:graphic>
                </wp:inline>
              </w:drawing>
            </w:r>
          </w:p>
        </w:tc>
        <w:tc>
          <w:tcPr>
            <w:tcW w:w="6966" w:type="dxa"/>
            <w:shd w:val="clear" w:color="auto" w:fill="E7E4E1"/>
            <w:vAlign w:val="center"/>
            <w:hideMark/>
          </w:tcPr>
          <w:p w14:paraId="25E69A34" w14:textId="77777777" w:rsidR="00895CD2" w:rsidRDefault="00AD26F3" w:rsidP="008317E1">
            <w:pPr>
              <w:pStyle w:val="bullet"/>
              <w:rPr>
                <w:rFonts w:ascii="Times" w:hAnsi="Times"/>
              </w:rPr>
            </w:pPr>
            <w:r>
              <w:rPr>
                <w:rStyle w:val="charoverride-7"/>
              </w:rPr>
              <w:t>Ongoing monitoring of pressure injuries</w:t>
            </w:r>
          </w:p>
        </w:tc>
      </w:tr>
      <w:tr w:rsidR="008317E1" w14:paraId="7B258E26" w14:textId="77777777" w:rsidTr="00FD17DE">
        <w:tc>
          <w:tcPr>
            <w:tcW w:w="2042" w:type="dxa"/>
            <w:shd w:val="clear" w:color="auto" w:fill="E7E4E1"/>
            <w:vAlign w:val="center"/>
            <w:hideMark/>
          </w:tcPr>
          <w:p w14:paraId="69B01661" w14:textId="77777777" w:rsidR="00895CD2" w:rsidRDefault="00AD26F3">
            <w:pPr>
              <w:pStyle w:val="1h4"/>
              <w:rPr>
                <w:rFonts w:cs="Times New Roman"/>
              </w:rPr>
            </w:pPr>
            <w:r>
              <w:rPr>
                <w:rStyle w:val="charoverride-13"/>
                <w:rFonts w:cs="Times New Roman"/>
              </w:rPr>
              <w:t>NSQHS Standard 9</w:t>
            </w:r>
          </w:p>
        </w:tc>
        <w:tc>
          <w:tcPr>
            <w:tcW w:w="992" w:type="dxa"/>
            <w:shd w:val="clear" w:color="auto" w:fill="E7E4E1"/>
            <w:vAlign w:val="center"/>
            <w:hideMark/>
          </w:tcPr>
          <w:p w14:paraId="2357795B" w14:textId="77777777" w:rsidR="00895CD2" w:rsidRDefault="008317E1">
            <w:pPr>
              <w:pStyle w:val="0page-tops"/>
              <w:rPr>
                <w:rFonts w:cs="Times New Roman"/>
              </w:rPr>
            </w:pPr>
            <w:r>
              <w:rPr>
                <w:rFonts w:cs="Times New Roman"/>
                <w:noProof/>
                <w:lang w:eastAsia="en-AU"/>
              </w:rPr>
              <w:drawing>
                <wp:inline distT="0" distB="0" distL="0" distR="0" wp14:anchorId="50C13201" wp14:editId="0AFC9DA9">
                  <wp:extent cx="374904" cy="377952"/>
                  <wp:effectExtent l="0" t="0" r="6350" b="3175"/>
                  <wp:docPr id="16" name="Picture 16" descr="NSQHS Standard 9 icon" title="NSQHS Standard 9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9.png"/>
                          <pic:cNvPicPr/>
                        </pic:nvPicPr>
                        <pic:blipFill>
                          <a:blip r:embed="rId33">
                            <a:extLst>
                              <a:ext uri="{28A0092B-C50C-407E-A947-70E740481C1C}">
                                <a14:useLocalDpi xmlns:a14="http://schemas.microsoft.com/office/drawing/2010/main" val="0"/>
                              </a:ext>
                            </a:extLst>
                          </a:blip>
                          <a:stretch>
                            <a:fillRect/>
                          </a:stretch>
                        </pic:blipFill>
                        <pic:spPr>
                          <a:xfrm>
                            <a:off x="0" y="0"/>
                            <a:ext cx="374904" cy="377952"/>
                          </a:xfrm>
                          <a:prstGeom prst="rect">
                            <a:avLst/>
                          </a:prstGeom>
                        </pic:spPr>
                      </pic:pic>
                    </a:graphicData>
                  </a:graphic>
                </wp:inline>
              </w:drawing>
            </w:r>
          </w:p>
        </w:tc>
        <w:tc>
          <w:tcPr>
            <w:tcW w:w="6966" w:type="dxa"/>
            <w:shd w:val="clear" w:color="auto" w:fill="E7E4E1"/>
            <w:vAlign w:val="center"/>
            <w:hideMark/>
          </w:tcPr>
          <w:p w14:paraId="6DD76409" w14:textId="77777777" w:rsidR="00895CD2" w:rsidRDefault="00AD26F3" w:rsidP="008317E1">
            <w:pPr>
              <w:pStyle w:val="bullet"/>
              <w:rPr>
                <w:rFonts w:ascii="Times" w:hAnsi="Times"/>
              </w:rPr>
            </w:pPr>
            <w:r>
              <w:rPr>
                <w:rStyle w:val="charoverride-7"/>
              </w:rPr>
              <w:t>Reviewing the circumstances and outcomes of emergency calls</w:t>
            </w:r>
          </w:p>
        </w:tc>
      </w:tr>
      <w:tr w:rsidR="008317E1" w14:paraId="35788F35" w14:textId="77777777" w:rsidTr="00FD17DE">
        <w:tc>
          <w:tcPr>
            <w:tcW w:w="2042" w:type="dxa"/>
            <w:shd w:val="clear" w:color="auto" w:fill="E7E4E1"/>
            <w:vAlign w:val="center"/>
            <w:hideMark/>
          </w:tcPr>
          <w:p w14:paraId="6ACB42C2" w14:textId="77777777" w:rsidR="00895CD2" w:rsidRDefault="00AD26F3">
            <w:pPr>
              <w:pStyle w:val="1h4"/>
              <w:rPr>
                <w:rFonts w:cs="Times New Roman"/>
              </w:rPr>
            </w:pPr>
            <w:r>
              <w:rPr>
                <w:rStyle w:val="charoverride-13"/>
                <w:rFonts w:cs="Times New Roman"/>
              </w:rPr>
              <w:t>NSQHS Standard 10</w:t>
            </w:r>
          </w:p>
        </w:tc>
        <w:tc>
          <w:tcPr>
            <w:tcW w:w="992" w:type="dxa"/>
            <w:shd w:val="clear" w:color="auto" w:fill="E7E4E1"/>
            <w:vAlign w:val="center"/>
            <w:hideMark/>
          </w:tcPr>
          <w:p w14:paraId="12CD0F87" w14:textId="77777777" w:rsidR="00895CD2" w:rsidRDefault="008317E1">
            <w:pPr>
              <w:pStyle w:val="0page-tops"/>
              <w:rPr>
                <w:rFonts w:cs="Times New Roman"/>
              </w:rPr>
            </w:pPr>
            <w:r>
              <w:rPr>
                <w:rFonts w:cs="Times New Roman"/>
                <w:noProof/>
                <w:lang w:eastAsia="en-AU"/>
              </w:rPr>
              <w:drawing>
                <wp:inline distT="0" distB="0" distL="0" distR="0" wp14:anchorId="35A9D014" wp14:editId="4901C14C">
                  <wp:extent cx="390144" cy="379476"/>
                  <wp:effectExtent l="0" t="0" r="0" b="1905"/>
                  <wp:docPr id="17" name="Picture 17" descr="NSQHS Standard 10 icon" title="NSQHS Standard 10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10.png"/>
                          <pic:cNvPicPr/>
                        </pic:nvPicPr>
                        <pic:blipFill>
                          <a:blip r:embed="rId34">
                            <a:extLst>
                              <a:ext uri="{28A0092B-C50C-407E-A947-70E740481C1C}">
                                <a14:useLocalDpi xmlns:a14="http://schemas.microsoft.com/office/drawing/2010/main" val="0"/>
                              </a:ext>
                            </a:extLst>
                          </a:blip>
                          <a:stretch>
                            <a:fillRect/>
                          </a:stretch>
                        </pic:blipFill>
                        <pic:spPr>
                          <a:xfrm>
                            <a:off x="0" y="0"/>
                            <a:ext cx="390144" cy="379476"/>
                          </a:xfrm>
                          <a:prstGeom prst="rect">
                            <a:avLst/>
                          </a:prstGeom>
                        </pic:spPr>
                      </pic:pic>
                    </a:graphicData>
                  </a:graphic>
                </wp:inline>
              </w:drawing>
            </w:r>
          </w:p>
        </w:tc>
        <w:tc>
          <w:tcPr>
            <w:tcW w:w="6966" w:type="dxa"/>
            <w:shd w:val="clear" w:color="auto" w:fill="E7E4E1"/>
            <w:vAlign w:val="center"/>
            <w:hideMark/>
          </w:tcPr>
          <w:p w14:paraId="5FD97C0B" w14:textId="77777777" w:rsidR="00895CD2" w:rsidRDefault="00AD26F3" w:rsidP="008317E1">
            <w:pPr>
              <w:pStyle w:val="bullet"/>
              <w:rPr>
                <w:rFonts w:ascii="Times" w:hAnsi="Times"/>
              </w:rPr>
            </w:pPr>
            <w:r>
              <w:rPr>
                <w:rStyle w:val="charoverride-7"/>
              </w:rPr>
              <w:t>Implementing robust systems to respond to falls incidents</w:t>
            </w:r>
          </w:p>
        </w:tc>
      </w:tr>
    </w:tbl>
    <w:p w14:paraId="6D1ABC98" w14:textId="77777777" w:rsidR="00895CD2" w:rsidRDefault="00895CD2">
      <w:pPr>
        <w:rPr>
          <w:rFonts w:eastAsia="Times New Roman" w:cs="Times New Roman"/>
          <w:lang w:val="en-GB"/>
        </w:rPr>
      </w:pPr>
    </w:p>
    <w:p w14:paraId="35C1F2FA" w14:textId="77777777" w:rsidR="008317E1" w:rsidRDefault="00FD17DE" w:rsidP="00C83FFA">
      <w:pPr>
        <w:rPr>
          <w:lang w:val="en-GB"/>
        </w:rPr>
      </w:pPr>
      <w:bookmarkStart w:id="9" w:name="_Toc414011867"/>
      <w:r>
        <w:rPr>
          <w:noProof/>
          <w:lang w:eastAsia="en-AU"/>
        </w:rPr>
        <w:drawing>
          <wp:inline distT="0" distB="0" distL="0" distR="0" wp14:anchorId="7AADC553" wp14:editId="29EF1082">
            <wp:extent cx="6476365" cy="2241550"/>
            <wp:effectExtent l="0" t="0" r="635" b="6350"/>
            <wp:docPr id="28" name="Picture 28" descr="Picture of Commission Chair Professor Villis Marshall" title="Picture of Commission Chair Professor Villis Mars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0.png"/>
                    <pic:cNvPicPr/>
                  </pic:nvPicPr>
                  <pic:blipFill>
                    <a:blip r:embed="rId35">
                      <a:extLst>
                        <a:ext uri="{28A0092B-C50C-407E-A947-70E740481C1C}">
                          <a14:useLocalDpi xmlns:a14="http://schemas.microsoft.com/office/drawing/2010/main" val="0"/>
                        </a:ext>
                      </a:extLst>
                    </a:blip>
                    <a:stretch>
                      <a:fillRect/>
                    </a:stretch>
                  </pic:blipFill>
                  <pic:spPr>
                    <a:xfrm>
                      <a:off x="0" y="0"/>
                      <a:ext cx="6476365" cy="2241550"/>
                    </a:xfrm>
                    <a:prstGeom prst="rect">
                      <a:avLst/>
                    </a:prstGeom>
                  </pic:spPr>
                </pic:pic>
              </a:graphicData>
            </a:graphic>
          </wp:inline>
        </w:drawing>
      </w:r>
      <w:bookmarkEnd w:id="9"/>
    </w:p>
    <w:p w14:paraId="6C93400D" w14:textId="77777777" w:rsidR="00675FF5" w:rsidRPr="00093444" w:rsidRDefault="00675FF5" w:rsidP="00093444">
      <w:pPr>
        <w:pStyle w:val="Heading2"/>
        <w:rPr>
          <w:szCs w:val="40"/>
          <w:lang w:val="en-GB"/>
        </w:rPr>
      </w:pPr>
      <w:bookmarkStart w:id="10" w:name="_Toc414011868"/>
      <w:r w:rsidRPr="00093444">
        <w:rPr>
          <w:szCs w:val="40"/>
          <w:lang w:val="en-GB"/>
        </w:rPr>
        <w:t>Report from the Chair</w:t>
      </w:r>
      <w:bookmarkEnd w:id="10"/>
    </w:p>
    <w:p w14:paraId="680D2DC1" w14:textId="77777777" w:rsidR="00675FF5" w:rsidRDefault="00675FF5" w:rsidP="00675FF5">
      <w:pPr>
        <w:pStyle w:val="1heading-level-2"/>
        <w:rPr>
          <w:rFonts w:cs="Times New Roman"/>
          <w:lang w:val="en-GB"/>
        </w:rPr>
      </w:pPr>
      <w:r>
        <w:rPr>
          <w:rStyle w:val="charoverride-4"/>
          <w:rFonts w:cs="Times New Roman"/>
          <w:lang w:val="en-GB"/>
        </w:rPr>
        <w:t xml:space="preserve">Professor </w:t>
      </w:r>
      <w:proofErr w:type="spellStart"/>
      <w:r>
        <w:rPr>
          <w:rStyle w:val="charoverride-4"/>
          <w:rFonts w:cs="Times New Roman"/>
          <w:lang w:val="en-GB"/>
        </w:rPr>
        <w:t>Villis</w:t>
      </w:r>
      <w:proofErr w:type="spellEnd"/>
      <w:r>
        <w:rPr>
          <w:rStyle w:val="charoverride-4"/>
          <w:rFonts w:cs="Times New Roman"/>
          <w:lang w:val="en-GB"/>
        </w:rPr>
        <w:t xml:space="preserve"> Marshall AC</w:t>
      </w:r>
    </w:p>
    <w:p w14:paraId="5CA128D7" w14:textId="77777777" w:rsidR="00675FF5" w:rsidRDefault="00675FF5" w:rsidP="00675FF5">
      <w:pPr>
        <w:pStyle w:val="2body-copy"/>
        <w:rPr>
          <w:rFonts w:cs="Times New Roman"/>
          <w:lang w:val="en-GB"/>
        </w:rPr>
      </w:pPr>
      <w:r>
        <w:rPr>
          <w:rFonts w:cs="Times New Roman"/>
          <w:lang w:val="en-GB"/>
        </w:rPr>
        <w:t>Australia has one of the safest health systems in the world. Our care to patients is generally of high quality, providing the best possible health outcomes. However, lapses in the safety and quality of care can occur and may have significant impact on people’s lives, as well as financial implications for the health system.</w:t>
      </w:r>
    </w:p>
    <w:p w14:paraId="2DA8B73E" w14:textId="77777777" w:rsidR="00675FF5" w:rsidRDefault="00675FF5" w:rsidP="00675FF5">
      <w:pPr>
        <w:pStyle w:val="2body-copy"/>
        <w:rPr>
          <w:rFonts w:cs="Times New Roman"/>
          <w:lang w:val="en-GB"/>
        </w:rPr>
      </w:pPr>
      <w:r>
        <w:rPr>
          <w:rFonts w:cs="Times New Roman"/>
          <w:lang w:val="en-GB"/>
        </w:rPr>
        <w:t>Throughout 2013/14, the Commission made significant progress towards its vision for a health system that is better informed, supported and organised to deliver safe and high-quality care.</w:t>
      </w:r>
    </w:p>
    <w:p w14:paraId="3C8A9805" w14:textId="77777777" w:rsidR="00675FF5" w:rsidRDefault="00675FF5" w:rsidP="00675FF5">
      <w:pPr>
        <w:pStyle w:val="2body-copy"/>
        <w:rPr>
          <w:rFonts w:cs="Times New Roman"/>
          <w:lang w:val="en-GB"/>
        </w:rPr>
      </w:pPr>
      <w:r>
        <w:rPr>
          <w:rFonts w:cs="Times New Roman"/>
          <w:lang w:val="en-GB"/>
        </w:rPr>
        <w:t>Some of the highlights of the year included:</w:t>
      </w:r>
    </w:p>
    <w:p w14:paraId="2BF6D122" w14:textId="77777777" w:rsidR="00675FF5" w:rsidRDefault="00675FF5" w:rsidP="00675FF5">
      <w:pPr>
        <w:pStyle w:val="2body-copy"/>
        <w:rPr>
          <w:rFonts w:cs="Times New Roman"/>
          <w:lang w:val="en-GB"/>
        </w:rPr>
      </w:pPr>
      <w:r>
        <w:rPr>
          <w:rStyle w:val="2body-medium"/>
          <w:rFonts w:cs="Times New Roman"/>
          <w:lang w:val="en-GB"/>
        </w:rPr>
        <w:t>Ongoing implementation of the</w:t>
      </w:r>
      <w:r w:rsidR="008317E1">
        <w:rPr>
          <w:rStyle w:val="2body-medium"/>
          <w:rFonts w:cs="Times New Roman"/>
          <w:lang w:val="en-GB"/>
        </w:rPr>
        <w:t xml:space="preserve"> </w:t>
      </w:r>
      <w:r>
        <w:rPr>
          <w:rStyle w:val="2body-medium"/>
          <w:rFonts w:cs="Times New Roman"/>
          <w:lang w:val="en-GB"/>
        </w:rPr>
        <w:t>NSQHS Standards</w:t>
      </w:r>
    </w:p>
    <w:p w14:paraId="36C1CC9C" w14:textId="77777777" w:rsidR="00675FF5" w:rsidRDefault="00675FF5" w:rsidP="00675FF5">
      <w:pPr>
        <w:pStyle w:val="2body-copy"/>
        <w:rPr>
          <w:rFonts w:cs="Times New Roman"/>
          <w:lang w:val="en-GB"/>
        </w:rPr>
      </w:pPr>
      <w:r>
        <w:rPr>
          <w:rFonts w:cs="Times New Roman"/>
          <w:lang w:val="en-GB"/>
        </w:rPr>
        <w:t>Phased implementation of the NSQHS Standards began 18 months ago. During 2013/14, accreditation of hospitals and day procedure centres against the NSQHS Standards has progressed ahead of schedule. Early indications suggest the NSQHS Standards are achieving their aim of reducing the risk of harm to patients. Almost half of the hospitals and day procedure centres that had been assessed had to implement improvements to achieve accreditation. Those hospitals and day procedure centres are now safer for patients.</w:t>
      </w:r>
    </w:p>
    <w:p w14:paraId="43D34C8C" w14:textId="77777777" w:rsidR="00675FF5" w:rsidRDefault="00675FF5" w:rsidP="00675FF5">
      <w:pPr>
        <w:pStyle w:val="2body-copy"/>
        <w:rPr>
          <w:rFonts w:cs="Times New Roman"/>
          <w:lang w:val="en-GB"/>
        </w:rPr>
      </w:pPr>
      <w:r>
        <w:rPr>
          <w:rFonts w:cs="Times New Roman"/>
          <w:lang w:val="en-GB"/>
        </w:rPr>
        <w:t>Anecdotal feedback from health service organisations that have undergone accreditation also suggests that the NSQHS Standards are being well received by healthcare providers and having a positive impact on patient care.</w:t>
      </w:r>
    </w:p>
    <w:p w14:paraId="1C2C6277" w14:textId="77777777" w:rsidR="00675FF5" w:rsidRDefault="00675FF5" w:rsidP="00675FF5">
      <w:pPr>
        <w:pStyle w:val="2body-copy"/>
        <w:rPr>
          <w:rFonts w:cs="Times New Roman"/>
          <w:lang w:val="en-GB"/>
        </w:rPr>
      </w:pPr>
      <w:r>
        <w:rPr>
          <w:rStyle w:val="2body-medium"/>
          <w:rFonts w:cs="Times New Roman"/>
          <w:lang w:val="en-GB"/>
        </w:rPr>
        <w:t>Development of the first Clinical Care Standards</w:t>
      </w:r>
    </w:p>
    <w:p w14:paraId="6DCA2D45" w14:textId="77777777" w:rsidR="00675FF5" w:rsidRDefault="00675FF5" w:rsidP="00675FF5">
      <w:pPr>
        <w:pStyle w:val="2body-copy"/>
        <w:rPr>
          <w:rFonts w:cs="Times New Roman"/>
          <w:lang w:val="en-GB"/>
        </w:rPr>
      </w:pPr>
      <w:r>
        <w:rPr>
          <w:rFonts w:cs="Times New Roman"/>
          <w:lang w:val="en-GB"/>
        </w:rPr>
        <w:t>The Clinical Care Standards team and the topic working groups for acute coronary syndromes, antimicrobial stewardship and stroke have made tremendous strides towards the first sets of Clinical Care Standards. Drafts of the Clinical Care Standards for acute coronary syndromes, antimicrobial stewardship and stroke were released for public consultation during 2013/14.</w:t>
      </w:r>
    </w:p>
    <w:p w14:paraId="00379932" w14:textId="77777777" w:rsidR="00675FF5" w:rsidRDefault="00675FF5" w:rsidP="00675FF5">
      <w:pPr>
        <w:pStyle w:val="2body-copy"/>
        <w:rPr>
          <w:rFonts w:cs="Times New Roman"/>
          <w:lang w:val="en-GB"/>
        </w:rPr>
      </w:pPr>
      <w:r>
        <w:rPr>
          <w:rFonts w:cs="Times New Roman"/>
          <w:lang w:val="en-GB"/>
        </w:rPr>
        <w:t>Work has already commenced to identify the next set of Clinical Care Standards. It is envisaged these will link to current Commission work on unwarranted variation.</w:t>
      </w:r>
    </w:p>
    <w:p w14:paraId="6FFCC0A5" w14:textId="77777777" w:rsidR="00675FF5" w:rsidRDefault="00675FF5" w:rsidP="00675FF5">
      <w:pPr>
        <w:pStyle w:val="2body-copy"/>
        <w:rPr>
          <w:rFonts w:cs="Times New Roman"/>
          <w:lang w:val="en-GB"/>
        </w:rPr>
      </w:pPr>
      <w:r>
        <w:rPr>
          <w:rStyle w:val="2body-medium"/>
          <w:rFonts w:cs="Times New Roman"/>
          <w:lang w:val="en-GB"/>
        </w:rPr>
        <w:t>Exploring healthcare variation in Australia</w:t>
      </w:r>
    </w:p>
    <w:p w14:paraId="4E775D99" w14:textId="77777777" w:rsidR="00675FF5" w:rsidRDefault="00675FF5" w:rsidP="00675FF5">
      <w:pPr>
        <w:pStyle w:val="2body-copy"/>
        <w:rPr>
          <w:rFonts w:cs="Times New Roman"/>
          <w:lang w:val="en-GB"/>
        </w:rPr>
      </w:pPr>
      <w:r>
        <w:rPr>
          <w:rFonts w:cs="Times New Roman"/>
          <w:lang w:val="en-GB"/>
        </w:rPr>
        <w:t xml:space="preserve">In 2013/14, the Commission established a new priority program to reduce unwarranted variation in clinical practice and in healthcare use. Unwarranted variation – or variation that cannot be attributed to a patient’s preference – raises serious questions about healthcare quality, efficiency and value. </w:t>
      </w:r>
    </w:p>
    <w:p w14:paraId="544E8EC6" w14:textId="77777777" w:rsidR="00675FF5" w:rsidRDefault="00675FF5" w:rsidP="00675FF5">
      <w:pPr>
        <w:pStyle w:val="2body-copy"/>
        <w:rPr>
          <w:rFonts w:cs="Times New Roman"/>
          <w:lang w:val="en-GB"/>
        </w:rPr>
      </w:pPr>
      <w:r>
        <w:rPr>
          <w:rFonts w:cs="Times New Roman"/>
          <w:lang w:val="en-GB"/>
        </w:rPr>
        <w:t>The first phase of the Commission’s work was an exploration of the current rates of variation for common procedures across the country. This study, and the resulting discussion paper, is useful for health services and clinicians seeking to improve quality of care. The paper also highlights areas where it might be possible to achieve better value for the healthcare dollar.</w:t>
      </w:r>
    </w:p>
    <w:p w14:paraId="64C813C0" w14:textId="77777777" w:rsidR="00B164D1" w:rsidRDefault="00B164D1">
      <w:pPr>
        <w:spacing w:after="0"/>
        <w:rPr>
          <w:rStyle w:val="2body-medium"/>
          <w:rFonts w:cs="Times New Roman"/>
          <w:lang w:val="en-GB"/>
        </w:rPr>
      </w:pPr>
      <w:r>
        <w:rPr>
          <w:rStyle w:val="2body-medium"/>
          <w:rFonts w:cs="Times New Roman"/>
          <w:lang w:val="en-GB"/>
        </w:rPr>
        <w:br w:type="page"/>
      </w:r>
    </w:p>
    <w:p w14:paraId="6AAA9413" w14:textId="77777777" w:rsidR="00675FF5" w:rsidRDefault="00675FF5" w:rsidP="00675FF5">
      <w:pPr>
        <w:pStyle w:val="2body-copy"/>
        <w:rPr>
          <w:rFonts w:cs="Times New Roman"/>
          <w:lang w:val="en-GB"/>
        </w:rPr>
      </w:pPr>
      <w:r>
        <w:rPr>
          <w:rStyle w:val="2body-medium"/>
          <w:rFonts w:cs="Times New Roman"/>
          <w:lang w:val="en-GB"/>
        </w:rPr>
        <w:lastRenderedPageBreak/>
        <w:t>Acknowledgments</w:t>
      </w:r>
    </w:p>
    <w:p w14:paraId="2CFF8940" w14:textId="77777777" w:rsidR="00675FF5" w:rsidRDefault="00675FF5" w:rsidP="00675FF5">
      <w:pPr>
        <w:pStyle w:val="2body-copy"/>
        <w:rPr>
          <w:rFonts w:cs="Times New Roman"/>
          <w:lang w:val="en-GB"/>
        </w:rPr>
      </w:pPr>
      <w:proofErr w:type="gramStart"/>
      <w:r>
        <w:rPr>
          <w:rFonts w:cs="Times New Roman"/>
          <w:lang w:val="en-GB"/>
        </w:rPr>
        <w:t xml:space="preserve">In March 2014, the Board </w:t>
      </w:r>
      <w:proofErr w:type="spellStart"/>
      <w:r>
        <w:rPr>
          <w:rFonts w:cs="Times New Roman"/>
          <w:lang w:val="en-GB"/>
        </w:rPr>
        <w:t>farewelled</w:t>
      </w:r>
      <w:proofErr w:type="spellEnd"/>
      <w:r>
        <w:rPr>
          <w:rFonts w:cs="Times New Roman"/>
          <w:lang w:val="en-GB"/>
        </w:rPr>
        <w:t xml:space="preserve"> two long standing members, Russell McGowan and Shelly Park.</w:t>
      </w:r>
      <w:proofErr w:type="gramEnd"/>
      <w:r>
        <w:rPr>
          <w:rFonts w:cs="Times New Roman"/>
          <w:lang w:val="en-GB"/>
        </w:rPr>
        <w:t xml:space="preserve"> I’d like to thank them both for their valuable contributions to the Commission over the years of their appointment.</w:t>
      </w:r>
    </w:p>
    <w:p w14:paraId="624128C0" w14:textId="77777777" w:rsidR="00675FF5" w:rsidRDefault="00675FF5" w:rsidP="00675FF5">
      <w:pPr>
        <w:pStyle w:val="2body-copy"/>
        <w:rPr>
          <w:rFonts w:cs="Times New Roman"/>
          <w:lang w:val="en-GB"/>
        </w:rPr>
      </w:pPr>
      <w:r>
        <w:rPr>
          <w:rFonts w:cs="Times New Roman"/>
          <w:lang w:val="en-GB"/>
        </w:rPr>
        <w:t>I would also like to take this opportunity to thank the Standing Council on Health, Board members, the Commission’s Executive Management team and staff members for their continued commitment to the Commission’s vision. Their significant achievements are described in detail throughout this report.</w:t>
      </w:r>
    </w:p>
    <w:p w14:paraId="78C5390B" w14:textId="77777777" w:rsidR="00FB2AA9" w:rsidRDefault="00B164D1" w:rsidP="00B164D1">
      <w:pPr>
        <w:spacing w:after="0"/>
        <w:rPr>
          <w:rFonts w:cs="Times New Roman"/>
          <w:lang w:val="en-GB"/>
        </w:rPr>
      </w:pPr>
      <w:r>
        <w:rPr>
          <w:rFonts w:cs="Times New Roman"/>
          <w:lang w:val="en-GB"/>
        </w:rPr>
        <w:br w:type="page"/>
      </w:r>
    </w:p>
    <w:p w14:paraId="412A5F65" w14:textId="77777777" w:rsidR="00FB2AA9" w:rsidRDefault="00B164D1" w:rsidP="00C83FFA">
      <w:pPr>
        <w:rPr>
          <w:lang w:val="en-GB"/>
        </w:rPr>
      </w:pPr>
      <w:bookmarkStart w:id="11" w:name="_Toc414011869"/>
      <w:r>
        <w:rPr>
          <w:noProof/>
          <w:lang w:eastAsia="en-AU"/>
        </w:rPr>
        <w:lastRenderedPageBreak/>
        <w:drawing>
          <wp:inline distT="0" distB="0" distL="0" distR="0" wp14:anchorId="4E1E7CBE" wp14:editId="7FA35BF1">
            <wp:extent cx="6476365" cy="2301875"/>
            <wp:effectExtent l="0" t="0" r="635" b="3175"/>
            <wp:docPr id="29" name="Picture 29" descr="Picture of Commission CEO Professor Debora Picone" title="Picture of Commission CEO Professor Debora Pi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2.png"/>
                    <pic:cNvPicPr/>
                  </pic:nvPicPr>
                  <pic:blipFill>
                    <a:blip r:embed="rId36">
                      <a:extLst>
                        <a:ext uri="{28A0092B-C50C-407E-A947-70E740481C1C}">
                          <a14:useLocalDpi xmlns:a14="http://schemas.microsoft.com/office/drawing/2010/main" val="0"/>
                        </a:ext>
                      </a:extLst>
                    </a:blip>
                    <a:stretch>
                      <a:fillRect/>
                    </a:stretch>
                  </pic:blipFill>
                  <pic:spPr>
                    <a:xfrm>
                      <a:off x="0" y="0"/>
                      <a:ext cx="6476365" cy="2301875"/>
                    </a:xfrm>
                    <a:prstGeom prst="rect">
                      <a:avLst/>
                    </a:prstGeom>
                  </pic:spPr>
                </pic:pic>
              </a:graphicData>
            </a:graphic>
          </wp:inline>
        </w:drawing>
      </w:r>
      <w:bookmarkEnd w:id="11"/>
    </w:p>
    <w:p w14:paraId="119A7E09" w14:textId="77777777" w:rsidR="00FB2AA9" w:rsidRPr="00093444" w:rsidRDefault="00FB2AA9" w:rsidP="00093444">
      <w:pPr>
        <w:pStyle w:val="Heading2"/>
        <w:rPr>
          <w:szCs w:val="40"/>
          <w:lang w:val="en-GB"/>
        </w:rPr>
      </w:pPr>
      <w:bookmarkStart w:id="12" w:name="_Toc414011870"/>
      <w:r w:rsidRPr="00093444">
        <w:rPr>
          <w:szCs w:val="40"/>
          <w:lang w:val="en-GB"/>
        </w:rPr>
        <w:t>Report from the CEO</w:t>
      </w:r>
      <w:bookmarkEnd w:id="12"/>
    </w:p>
    <w:p w14:paraId="6EE1D8A9" w14:textId="77777777" w:rsidR="00FB2AA9" w:rsidRDefault="00FB2AA9" w:rsidP="00FB2AA9">
      <w:pPr>
        <w:pStyle w:val="1heading-level-2"/>
        <w:rPr>
          <w:rFonts w:cs="Times New Roman"/>
          <w:lang w:val="en-GB"/>
        </w:rPr>
      </w:pPr>
      <w:r>
        <w:rPr>
          <w:rStyle w:val="charoverride-4"/>
          <w:rFonts w:cs="Times New Roman"/>
          <w:lang w:val="en-GB"/>
        </w:rPr>
        <w:t>Professor Debora Picone AM</w:t>
      </w:r>
    </w:p>
    <w:p w14:paraId="6941D0D7" w14:textId="77777777" w:rsidR="00675FF5" w:rsidRDefault="00675FF5" w:rsidP="00675FF5">
      <w:pPr>
        <w:pStyle w:val="2body-copy"/>
        <w:rPr>
          <w:rFonts w:cs="Times New Roman"/>
          <w:lang w:val="en-GB"/>
        </w:rPr>
      </w:pPr>
      <w:r>
        <w:rPr>
          <w:rFonts w:cs="Times New Roman"/>
          <w:lang w:val="en-GB"/>
        </w:rPr>
        <w:t>It was another busy and successful year, during which the Commission worked with our partners to improve the safety and quality of patient care in the Australian health system.</w:t>
      </w:r>
    </w:p>
    <w:p w14:paraId="1CF5B547" w14:textId="77777777" w:rsidR="00675FF5" w:rsidRDefault="00675FF5" w:rsidP="00675FF5">
      <w:pPr>
        <w:pStyle w:val="2body-copy"/>
        <w:rPr>
          <w:rFonts w:cs="Times New Roman"/>
          <w:lang w:val="en-GB"/>
        </w:rPr>
      </w:pPr>
      <w:r>
        <w:rPr>
          <w:rFonts w:cs="Times New Roman"/>
          <w:lang w:val="en-GB"/>
        </w:rPr>
        <w:t>Some of our many notable achievements included:</w:t>
      </w:r>
    </w:p>
    <w:p w14:paraId="19383139" w14:textId="77777777" w:rsidR="00675FF5" w:rsidRDefault="00675FF5" w:rsidP="00675FF5">
      <w:pPr>
        <w:pStyle w:val="2body-copy"/>
        <w:rPr>
          <w:rFonts w:cs="Times New Roman"/>
          <w:lang w:val="en-GB"/>
        </w:rPr>
      </w:pPr>
      <w:r>
        <w:rPr>
          <w:rStyle w:val="2body-medium"/>
          <w:rFonts w:cs="Times New Roman"/>
          <w:lang w:val="en-GB"/>
        </w:rPr>
        <w:t>Recognition for the NSQHS Standards</w:t>
      </w:r>
      <w:r>
        <w:rPr>
          <w:rFonts w:cs="Times New Roman"/>
          <w:lang w:val="en-GB"/>
        </w:rPr>
        <w:t xml:space="preserve"> </w:t>
      </w:r>
    </w:p>
    <w:p w14:paraId="1BC515AD" w14:textId="77777777" w:rsidR="00675FF5" w:rsidRDefault="00675FF5" w:rsidP="00675FF5">
      <w:pPr>
        <w:pStyle w:val="2body-copy"/>
        <w:rPr>
          <w:rFonts w:cs="Times New Roman"/>
          <w:lang w:val="en-GB"/>
        </w:rPr>
      </w:pPr>
      <w:r>
        <w:rPr>
          <w:rFonts w:cs="Times New Roman"/>
          <w:lang w:val="en-GB"/>
        </w:rPr>
        <w:t>In November 2013, the Commission was pleased to receive two Prime Minister’s Awards for Excellence in Public Sector Management for the development and implementation of the National Safety and Quality Health Service Standards (NSQHS Standards). The awards recognised the Commission’s considerable planning and collaborative efforts in an area of significance for public welfare and confidence.</w:t>
      </w:r>
    </w:p>
    <w:p w14:paraId="72DD49A3" w14:textId="77777777" w:rsidR="00675FF5" w:rsidRDefault="00675FF5" w:rsidP="00675FF5">
      <w:pPr>
        <w:pStyle w:val="2body-copy"/>
        <w:rPr>
          <w:rFonts w:cs="Times New Roman"/>
          <w:lang w:val="en-GB"/>
        </w:rPr>
      </w:pPr>
      <w:r>
        <w:rPr>
          <w:rFonts w:cs="Times New Roman"/>
          <w:lang w:val="en-GB"/>
        </w:rPr>
        <w:t>This national recognition came in addition to a stream of positive feedback on the NSQHS Standards. Health services across Australia have indicated that implementation of the NSQHS Standards has been effective in driving improvements and increasing engagement of clinical staff and board members alike in safety and quality initiatives.</w:t>
      </w:r>
    </w:p>
    <w:p w14:paraId="2E5EF078" w14:textId="77777777" w:rsidR="00675FF5" w:rsidRDefault="00675FF5" w:rsidP="00675FF5">
      <w:pPr>
        <w:pStyle w:val="2body-copy"/>
        <w:rPr>
          <w:rFonts w:cs="Times New Roman"/>
          <w:lang w:val="en-GB"/>
        </w:rPr>
      </w:pPr>
      <w:r>
        <w:rPr>
          <w:rStyle w:val="2body-medium"/>
          <w:rFonts w:cs="Times New Roman"/>
          <w:lang w:val="en-GB"/>
        </w:rPr>
        <w:t>Surveillance of antimicrobial resistance and usage</w:t>
      </w:r>
    </w:p>
    <w:p w14:paraId="0B3C07FC" w14:textId="77777777" w:rsidR="00675FF5" w:rsidRDefault="00675FF5" w:rsidP="00675FF5">
      <w:pPr>
        <w:pStyle w:val="2body-copy"/>
        <w:rPr>
          <w:rFonts w:cs="Times New Roman"/>
          <w:lang w:val="en-GB"/>
        </w:rPr>
      </w:pPr>
      <w:r>
        <w:rPr>
          <w:rFonts w:cs="Times New Roman"/>
          <w:lang w:val="en-GB"/>
        </w:rPr>
        <w:t xml:space="preserve">Antimicrobial resistance (AMR) is a critical health issue, with urgent action being called for by the World Health Organization. In Australia, some resistant bacterial pathogens that were primarily the concern of hospitals are now seen with increasing frequency in the community. </w:t>
      </w:r>
    </w:p>
    <w:p w14:paraId="190B009A" w14:textId="77777777" w:rsidR="00675FF5" w:rsidRDefault="00675FF5" w:rsidP="00675FF5">
      <w:pPr>
        <w:pStyle w:val="2body-copy"/>
        <w:rPr>
          <w:rFonts w:cs="Times New Roman"/>
          <w:lang w:val="en-GB"/>
        </w:rPr>
      </w:pPr>
      <w:r>
        <w:rPr>
          <w:rFonts w:cs="Times New Roman"/>
          <w:lang w:val="en-GB"/>
        </w:rPr>
        <w:t xml:space="preserve">In the 2013/14 Australian Federal Budget, the Commission received funding for a three-year project to coordinate national surveillance of AMR and antibiotic usage in human health, to support the prevention and containment of AMR. The Commission has established a highly qualified team to lead this priority program which builds on many achievements to date and will continue to use the technical and clinical advisory expertise available through its existing committees. In addition, the Commission has been working with Australian Government agencies, state and territory governments, professional organisations, the private healthcare sector and key experts to establish the nationally coordinated AMR and antimicrobial utilisation surveillance system. </w:t>
      </w:r>
    </w:p>
    <w:p w14:paraId="5622D44F" w14:textId="77777777" w:rsidR="00675FF5" w:rsidRDefault="00675FF5" w:rsidP="00675FF5">
      <w:pPr>
        <w:pStyle w:val="2body-copy"/>
        <w:rPr>
          <w:rFonts w:cs="Times New Roman"/>
          <w:lang w:val="en-GB"/>
        </w:rPr>
      </w:pPr>
      <w:r>
        <w:rPr>
          <w:rStyle w:val="2body-medium"/>
          <w:rFonts w:cs="Times New Roman"/>
          <w:lang w:val="en-GB"/>
        </w:rPr>
        <w:t>Future work</w:t>
      </w:r>
    </w:p>
    <w:p w14:paraId="1137B5AA" w14:textId="77777777" w:rsidR="00675FF5" w:rsidRDefault="00675FF5" w:rsidP="00675FF5">
      <w:pPr>
        <w:pStyle w:val="2body-copy"/>
        <w:rPr>
          <w:rFonts w:cs="Times New Roman"/>
          <w:lang w:val="en-GB"/>
        </w:rPr>
      </w:pPr>
      <w:r>
        <w:rPr>
          <w:rFonts w:cs="Times New Roman"/>
          <w:lang w:val="en-GB"/>
        </w:rPr>
        <w:t>The Commission will continue to support the implementation of the NSQHS Standards and coordinate the Australian Health Services Safety and Quality Accreditation Scheme. During 2014/15, the Commission will also commence a review of the NSQHS Standards and an evaluation of the impact they are having on the safety and quality of care in Australian hospitals.</w:t>
      </w:r>
    </w:p>
    <w:p w14:paraId="214101DE" w14:textId="77777777" w:rsidR="00675FF5" w:rsidRDefault="00675FF5" w:rsidP="00675FF5">
      <w:pPr>
        <w:pStyle w:val="2body-copy"/>
        <w:rPr>
          <w:rFonts w:cs="Times New Roman"/>
          <w:lang w:val="en-GB"/>
        </w:rPr>
      </w:pPr>
      <w:r>
        <w:rPr>
          <w:rFonts w:cs="Times New Roman"/>
          <w:lang w:val="en-GB"/>
        </w:rPr>
        <w:t>The Commission will continue to ensure that consumers, patients, families and carers are at the centre all of our work programs. Once finalised, the five-year strategic plan will underpin the Commission’s future priority areas.</w:t>
      </w:r>
    </w:p>
    <w:p w14:paraId="55F16396" w14:textId="77777777" w:rsidR="00B164D1" w:rsidRDefault="00B164D1">
      <w:pPr>
        <w:spacing w:after="0"/>
        <w:rPr>
          <w:rStyle w:val="2body-medium"/>
          <w:rFonts w:cs="Times New Roman"/>
          <w:lang w:val="en-GB"/>
        </w:rPr>
      </w:pPr>
      <w:r>
        <w:rPr>
          <w:rStyle w:val="2body-medium"/>
          <w:rFonts w:cs="Times New Roman"/>
          <w:lang w:val="en-GB"/>
        </w:rPr>
        <w:br w:type="page"/>
      </w:r>
    </w:p>
    <w:p w14:paraId="28864557" w14:textId="77777777" w:rsidR="00675FF5" w:rsidRDefault="00675FF5" w:rsidP="00675FF5">
      <w:pPr>
        <w:pStyle w:val="2body-copy"/>
        <w:rPr>
          <w:rFonts w:cs="Times New Roman"/>
          <w:lang w:val="en-GB"/>
        </w:rPr>
      </w:pPr>
      <w:r>
        <w:rPr>
          <w:rStyle w:val="2body-medium"/>
          <w:rFonts w:cs="Times New Roman"/>
          <w:lang w:val="en-GB"/>
        </w:rPr>
        <w:lastRenderedPageBreak/>
        <w:t>Acknowledgements</w:t>
      </w:r>
    </w:p>
    <w:p w14:paraId="421ED7E6" w14:textId="77777777" w:rsidR="00675FF5" w:rsidRDefault="00675FF5" w:rsidP="00675FF5">
      <w:pPr>
        <w:pStyle w:val="2body-copy"/>
        <w:rPr>
          <w:rFonts w:cs="Times New Roman"/>
          <w:lang w:val="en-GB"/>
        </w:rPr>
      </w:pPr>
      <w:r>
        <w:rPr>
          <w:rFonts w:cs="Times New Roman"/>
          <w:lang w:val="en-GB"/>
        </w:rPr>
        <w:t>I would like to acknowledge and thank the Standing Council on Health, jurisdictional Chief Executives, the Department of Health, Inter-jurisdictional Committee and our many committee members for contributing their insights and expertise to the Commission’s work.</w:t>
      </w:r>
    </w:p>
    <w:p w14:paraId="344D5C5C" w14:textId="77777777" w:rsidR="00895CD2" w:rsidRDefault="00675FF5" w:rsidP="00675FF5">
      <w:pPr>
        <w:rPr>
          <w:rFonts w:eastAsia="Times New Roman" w:cs="Times New Roman"/>
          <w:lang w:val="en-GB"/>
        </w:rPr>
      </w:pPr>
      <w:r>
        <w:rPr>
          <w:rFonts w:cs="Times New Roman"/>
          <w:lang w:val="en-GB"/>
        </w:rPr>
        <w:t>Finally, I would like to acknowledge the commitment of the Commission’s staff members. It’s a privilege to lead such a hardworking group of individuals. Their achievements are presented throughout this report</w:t>
      </w:r>
    </w:p>
    <w:p w14:paraId="16DD0C0B" w14:textId="77777777" w:rsidR="008317E1" w:rsidRPr="00B164D1" w:rsidRDefault="00B164D1">
      <w:pPr>
        <w:spacing w:after="0"/>
        <w:rPr>
          <w:rFonts w:eastAsia="Times New Roman" w:cs="Times New Roman"/>
          <w:lang w:val="en-GB"/>
        </w:rPr>
      </w:pPr>
      <w:r>
        <w:rPr>
          <w:rFonts w:eastAsia="Times New Roman" w:cs="Times New Roman"/>
          <w:noProof/>
          <w:lang w:eastAsia="en-AU"/>
        </w:rPr>
        <w:lastRenderedPageBreak/>
        <w:drawing>
          <wp:inline distT="0" distB="0" distL="0" distR="0" wp14:anchorId="75E6A0D1" wp14:editId="36939252">
            <wp:extent cx="6476365" cy="8851900"/>
            <wp:effectExtent l="0" t="0" r="635" b="6350"/>
            <wp:docPr id="30" name="Picture 30" descr="Images - clinicians and patients" title="Images - clinicians an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4.png"/>
                    <pic:cNvPicPr/>
                  </pic:nvPicPr>
                  <pic:blipFill>
                    <a:blip r:embed="rId37">
                      <a:extLst>
                        <a:ext uri="{28A0092B-C50C-407E-A947-70E740481C1C}">
                          <a14:useLocalDpi xmlns:a14="http://schemas.microsoft.com/office/drawing/2010/main" val="0"/>
                        </a:ext>
                      </a:extLst>
                    </a:blip>
                    <a:stretch>
                      <a:fillRect/>
                    </a:stretch>
                  </pic:blipFill>
                  <pic:spPr>
                    <a:xfrm>
                      <a:off x="0" y="0"/>
                      <a:ext cx="6476365" cy="8851900"/>
                    </a:xfrm>
                    <a:prstGeom prst="rect">
                      <a:avLst/>
                    </a:prstGeom>
                  </pic:spPr>
                </pic:pic>
              </a:graphicData>
            </a:graphic>
          </wp:inline>
        </w:drawing>
      </w:r>
    </w:p>
    <w:p w14:paraId="3923B493" w14:textId="77777777" w:rsidR="00FB2AA9" w:rsidRPr="00093444" w:rsidRDefault="00FB2AA9" w:rsidP="00093444">
      <w:pPr>
        <w:pStyle w:val="Heading1"/>
        <w:rPr>
          <w:rStyle w:val="S8colours"/>
          <w:color w:val="5F605F"/>
        </w:rPr>
      </w:pPr>
      <w:bookmarkStart w:id="13" w:name="_Toc414011871"/>
      <w:r w:rsidRPr="00093444">
        <w:rPr>
          <w:rStyle w:val="S8colours"/>
          <w:color w:val="5F605F"/>
        </w:rPr>
        <w:lastRenderedPageBreak/>
        <w:t>2 Our work</w:t>
      </w:r>
      <w:bookmarkEnd w:id="13"/>
    </w:p>
    <w:p w14:paraId="29D3362F" w14:textId="4E622473" w:rsidR="00895CD2" w:rsidRDefault="00AD26F3">
      <w:pPr>
        <w:pStyle w:val="0contents-level-2-section-start"/>
        <w:rPr>
          <w:rFonts w:cs="Times New Roman"/>
          <w:lang w:val="en-GB"/>
        </w:rPr>
      </w:pPr>
      <w:r>
        <w:rPr>
          <w:rStyle w:val="colourss8"/>
          <w:rFonts w:cs="Times New Roman"/>
          <w:lang w:val="en-GB"/>
        </w:rPr>
        <w:t>Our work priorities</w:t>
      </w:r>
      <w:r w:rsidR="00B164D1">
        <w:rPr>
          <w:rStyle w:val="colourss8"/>
          <w:rFonts w:cs="Times New Roman"/>
          <w:lang w:val="en-GB"/>
        </w:rPr>
        <w:tab/>
      </w:r>
      <w:r w:rsidR="003A337D">
        <w:rPr>
          <w:rStyle w:val="colourss8"/>
          <w:rFonts w:cs="Times New Roman"/>
          <w:lang w:val="en-GB"/>
        </w:rPr>
        <w:t>21</w:t>
      </w:r>
    </w:p>
    <w:p w14:paraId="26D26731" w14:textId="345B5579" w:rsidR="00895CD2" w:rsidRDefault="00AD26F3">
      <w:pPr>
        <w:pStyle w:val="0contents-level-2-section-start"/>
        <w:rPr>
          <w:rFonts w:cs="Times New Roman"/>
          <w:lang w:val="en-GB"/>
        </w:rPr>
      </w:pPr>
      <w:r>
        <w:rPr>
          <w:rStyle w:val="colourss8"/>
          <w:rFonts w:cs="Times New Roman"/>
          <w:lang w:val="en-GB"/>
        </w:rPr>
        <w:t>National safety and quality standards and accreditation</w:t>
      </w:r>
      <w:r w:rsidR="00B164D1">
        <w:rPr>
          <w:rStyle w:val="colourss8"/>
          <w:rFonts w:cs="Times New Roman"/>
          <w:lang w:val="en-GB"/>
        </w:rPr>
        <w:tab/>
      </w:r>
      <w:r w:rsidR="003A337D">
        <w:rPr>
          <w:rStyle w:val="colourss8"/>
          <w:rFonts w:cs="Times New Roman"/>
          <w:lang w:val="en-GB"/>
        </w:rPr>
        <w:t>22</w:t>
      </w:r>
    </w:p>
    <w:p w14:paraId="70CD8C87" w14:textId="0347CE3C" w:rsidR="00895CD2" w:rsidRDefault="00AD26F3">
      <w:pPr>
        <w:pStyle w:val="0contents-level-2-section-start"/>
        <w:rPr>
          <w:rFonts w:cs="Times New Roman"/>
          <w:lang w:val="en-GB"/>
        </w:rPr>
      </w:pPr>
      <w:r>
        <w:rPr>
          <w:rStyle w:val="colourss8"/>
          <w:rFonts w:cs="Times New Roman"/>
          <w:lang w:val="en-GB"/>
        </w:rPr>
        <w:t>Supporting quality practice and clinical standards</w:t>
      </w:r>
      <w:r w:rsidR="00B164D1">
        <w:rPr>
          <w:rStyle w:val="colourss8"/>
          <w:rFonts w:cs="Times New Roman"/>
          <w:lang w:val="en-GB"/>
        </w:rPr>
        <w:tab/>
      </w:r>
      <w:r>
        <w:rPr>
          <w:rStyle w:val="colourss8"/>
          <w:rFonts w:cs="Times New Roman"/>
          <w:lang w:val="en-GB"/>
        </w:rPr>
        <w:t>2</w:t>
      </w:r>
      <w:r w:rsidR="003A337D">
        <w:rPr>
          <w:rStyle w:val="colourss8"/>
          <w:rFonts w:cs="Times New Roman"/>
          <w:lang w:val="en-GB"/>
        </w:rPr>
        <w:t>9</w:t>
      </w:r>
    </w:p>
    <w:p w14:paraId="18950D0F" w14:textId="5BF2D499" w:rsidR="00895CD2" w:rsidRDefault="00AD26F3">
      <w:pPr>
        <w:pStyle w:val="0contents-level-2-section-start"/>
        <w:rPr>
          <w:rFonts w:cs="Times New Roman"/>
          <w:lang w:val="en-GB"/>
        </w:rPr>
      </w:pPr>
      <w:r>
        <w:rPr>
          <w:rStyle w:val="colourss8"/>
          <w:rFonts w:cs="Times New Roman"/>
          <w:lang w:val="en-GB"/>
        </w:rPr>
        <w:t>Reduction in unwarranted variation</w:t>
      </w:r>
      <w:r w:rsidR="00B164D1">
        <w:rPr>
          <w:rStyle w:val="colourss8"/>
          <w:rFonts w:cs="Times New Roman"/>
          <w:lang w:val="en-GB"/>
        </w:rPr>
        <w:tab/>
      </w:r>
      <w:r w:rsidR="003A337D">
        <w:rPr>
          <w:rStyle w:val="colourss8"/>
          <w:rFonts w:cs="Times New Roman"/>
          <w:lang w:val="en-GB"/>
        </w:rPr>
        <w:t>39</w:t>
      </w:r>
    </w:p>
    <w:p w14:paraId="2922AF39" w14:textId="2391A128" w:rsidR="00895CD2" w:rsidRDefault="00AD26F3">
      <w:pPr>
        <w:pStyle w:val="0contents-level-2-section-start"/>
        <w:rPr>
          <w:rFonts w:cs="Times New Roman"/>
          <w:lang w:val="en-GB"/>
        </w:rPr>
      </w:pPr>
      <w:r>
        <w:rPr>
          <w:rStyle w:val="colourss8"/>
          <w:rFonts w:cs="Times New Roman"/>
          <w:lang w:val="en-GB"/>
        </w:rPr>
        <w:t>Data set development</w:t>
      </w:r>
      <w:r w:rsidR="00B164D1">
        <w:rPr>
          <w:rStyle w:val="colourss8"/>
          <w:rFonts w:cs="Times New Roman"/>
          <w:lang w:val="en-GB"/>
        </w:rPr>
        <w:tab/>
      </w:r>
      <w:r w:rsidR="003A337D">
        <w:rPr>
          <w:rStyle w:val="colourss8"/>
          <w:rFonts w:cs="Times New Roman"/>
          <w:lang w:val="en-GB"/>
        </w:rPr>
        <w:t>44</w:t>
      </w:r>
    </w:p>
    <w:p w14:paraId="32A8EF15" w14:textId="239006A5" w:rsidR="00895CD2" w:rsidRDefault="00AD26F3">
      <w:pPr>
        <w:pStyle w:val="0contents-level-2-section-start"/>
        <w:rPr>
          <w:rFonts w:cs="Times New Roman"/>
          <w:lang w:val="en-GB"/>
        </w:rPr>
      </w:pPr>
      <w:r>
        <w:rPr>
          <w:rStyle w:val="colourss8"/>
          <w:rFonts w:cs="Times New Roman"/>
          <w:lang w:val="en-GB"/>
        </w:rPr>
        <w:t>Publishing and reporting</w:t>
      </w:r>
      <w:r w:rsidR="00B164D1">
        <w:rPr>
          <w:rStyle w:val="colourss8"/>
          <w:rFonts w:cs="Times New Roman"/>
          <w:lang w:val="en-GB"/>
        </w:rPr>
        <w:tab/>
      </w:r>
      <w:r w:rsidR="003A337D">
        <w:rPr>
          <w:rStyle w:val="colourss8"/>
          <w:rFonts w:cs="Times New Roman"/>
          <w:lang w:val="en-GB"/>
        </w:rPr>
        <w:t>46</w:t>
      </w:r>
    </w:p>
    <w:p w14:paraId="15E8B626" w14:textId="709F59C9" w:rsidR="00895CD2" w:rsidRDefault="00AD26F3">
      <w:pPr>
        <w:pStyle w:val="0contents-level-2-section-start"/>
        <w:rPr>
          <w:rFonts w:cs="Times New Roman"/>
          <w:lang w:val="en-GB"/>
        </w:rPr>
      </w:pPr>
      <w:r>
        <w:rPr>
          <w:rStyle w:val="colourss8"/>
          <w:rFonts w:cs="Times New Roman"/>
          <w:lang w:val="en-GB"/>
        </w:rPr>
        <w:t>Knowledge and leadership in safety and quality</w:t>
      </w:r>
      <w:r w:rsidR="00B164D1">
        <w:rPr>
          <w:rStyle w:val="colourss8"/>
          <w:rFonts w:cs="Times New Roman"/>
          <w:lang w:val="en-GB"/>
        </w:rPr>
        <w:tab/>
      </w:r>
      <w:r w:rsidR="003A337D">
        <w:rPr>
          <w:rStyle w:val="colourss8"/>
          <w:rFonts w:cs="Times New Roman"/>
          <w:lang w:val="en-GB"/>
        </w:rPr>
        <w:t>48</w:t>
      </w:r>
    </w:p>
    <w:p w14:paraId="1BA08827" w14:textId="77777777" w:rsidR="00FB2AA9" w:rsidRDefault="00FB2AA9">
      <w:pPr>
        <w:spacing w:after="0"/>
        <w:rPr>
          <w:rFonts w:eastAsia="Times New Roman" w:cs="Times New Roman"/>
          <w:b/>
          <w:bCs/>
          <w:color w:val="5F605F"/>
          <w:kern w:val="36"/>
          <w:sz w:val="40"/>
          <w:szCs w:val="40"/>
          <w:lang w:val="en-GB"/>
        </w:rPr>
      </w:pPr>
      <w:r>
        <w:rPr>
          <w:rFonts w:eastAsia="Times New Roman" w:cs="Times New Roman"/>
          <w:lang w:val="en-GB"/>
        </w:rPr>
        <w:br w:type="page"/>
      </w:r>
    </w:p>
    <w:p w14:paraId="78940A6B" w14:textId="77777777" w:rsidR="00895CD2" w:rsidRPr="00093444" w:rsidRDefault="00AD26F3" w:rsidP="00093444">
      <w:pPr>
        <w:pStyle w:val="Heading2"/>
        <w:rPr>
          <w:szCs w:val="40"/>
          <w:lang w:val="en-GB"/>
        </w:rPr>
      </w:pPr>
      <w:bookmarkStart w:id="14" w:name="_Toc414011872"/>
      <w:r w:rsidRPr="00093444">
        <w:rPr>
          <w:szCs w:val="40"/>
          <w:lang w:val="en-GB"/>
        </w:rPr>
        <w:lastRenderedPageBreak/>
        <w:t>Our work priorities</w:t>
      </w:r>
      <w:bookmarkEnd w:id="14"/>
    </w:p>
    <w:p w14:paraId="6260AB4C" w14:textId="77777777" w:rsidR="00895CD2" w:rsidRPr="00FB2AA9" w:rsidRDefault="00AD26F3">
      <w:pPr>
        <w:pStyle w:val="2intro"/>
        <w:rPr>
          <w:rFonts w:cs="Times New Roman"/>
          <w:color w:val="00837D"/>
          <w:lang w:val="en-GB"/>
        </w:rPr>
      </w:pPr>
      <w:r w:rsidRPr="00FB2AA9">
        <w:rPr>
          <w:rStyle w:val="colourss2"/>
          <w:rFonts w:cs="Times New Roman"/>
          <w:lang w:val="en-GB"/>
        </w:rPr>
        <w:t xml:space="preserve">The Commission leads and coordinates improvements in the safety and quality of health care in Australia by identifying issues and priority areas that require action, and determining policy directions. </w:t>
      </w:r>
    </w:p>
    <w:p w14:paraId="31986956" w14:textId="77777777" w:rsidR="00895CD2" w:rsidRDefault="00AD26F3">
      <w:pPr>
        <w:pStyle w:val="2body-copy"/>
        <w:rPr>
          <w:rFonts w:cs="Times New Roman"/>
          <w:lang w:val="en-GB"/>
        </w:rPr>
      </w:pPr>
      <w:r>
        <w:rPr>
          <w:rFonts w:cs="Times New Roman"/>
          <w:lang w:val="en-GB"/>
        </w:rPr>
        <w:t xml:space="preserve">Section 9 of the </w:t>
      </w:r>
      <w:r>
        <w:rPr>
          <w:rStyle w:val="2body-italic"/>
          <w:rFonts w:cs="Times New Roman"/>
          <w:lang w:val="en-GB"/>
        </w:rPr>
        <w:t xml:space="preserve">National Health Reform Act 2011 </w:t>
      </w:r>
      <w:r>
        <w:rPr>
          <w:rFonts w:cs="Times New Roman"/>
          <w:lang w:val="en-GB"/>
        </w:rPr>
        <w:t>details the Commission’s specific functions as:</w:t>
      </w:r>
    </w:p>
    <w:p w14:paraId="3F0DE335" w14:textId="77777777" w:rsidR="00895CD2" w:rsidRDefault="00AD26F3" w:rsidP="00FB2AA9">
      <w:pPr>
        <w:pStyle w:val="bullet"/>
      </w:pPr>
      <w:r>
        <w:t>formulating standards, guidelines and indicators relating to healthcare safety and quality matters</w:t>
      </w:r>
    </w:p>
    <w:p w14:paraId="12D22F5D" w14:textId="77777777" w:rsidR="00895CD2" w:rsidRDefault="00AD26F3" w:rsidP="00FB2AA9">
      <w:pPr>
        <w:pStyle w:val="bullet"/>
      </w:pPr>
      <w:r>
        <w:t>advising health ministers on national clinical standards</w:t>
      </w:r>
    </w:p>
    <w:p w14:paraId="246FC4B9" w14:textId="77777777" w:rsidR="00895CD2" w:rsidRDefault="00AD26F3" w:rsidP="00FB2AA9">
      <w:pPr>
        <w:pStyle w:val="bullet"/>
      </w:pPr>
      <w:r>
        <w:t>promoting, supporting and encouraging the implementation of these standards, and related guidelines and indicators</w:t>
      </w:r>
    </w:p>
    <w:p w14:paraId="6EDAC10D" w14:textId="77777777" w:rsidR="00895CD2" w:rsidRDefault="00AD26F3" w:rsidP="00FB2AA9">
      <w:pPr>
        <w:pStyle w:val="bullet"/>
      </w:pPr>
      <w:r>
        <w:t>monitoring the implementation and impact of these standards</w:t>
      </w:r>
    </w:p>
    <w:p w14:paraId="592CF360" w14:textId="77777777" w:rsidR="00895CD2" w:rsidRDefault="00AD26F3" w:rsidP="00FB2AA9">
      <w:pPr>
        <w:pStyle w:val="bullet"/>
      </w:pPr>
      <w:r>
        <w:t>promoting, supporting and encouraging the implementation of programs and initiatives relating to healthcare safety and quality matters</w:t>
      </w:r>
    </w:p>
    <w:p w14:paraId="2C819A32" w14:textId="77777777" w:rsidR="00895CD2" w:rsidRDefault="00AD26F3" w:rsidP="00FB2AA9">
      <w:pPr>
        <w:pStyle w:val="bullet"/>
      </w:pPr>
      <w:r>
        <w:t>formulating model national schemes that provide for the accreditation of organisations that provide healthcare services and relate to healthcare safety and quality matters</w:t>
      </w:r>
    </w:p>
    <w:p w14:paraId="03052E5C" w14:textId="77777777" w:rsidR="00895CD2" w:rsidRDefault="00AD26F3" w:rsidP="00FB2AA9">
      <w:pPr>
        <w:pStyle w:val="bullet"/>
      </w:pPr>
      <w:r>
        <w:t>collecting, analysing, interpreting and disseminating information relating to healthcare safety and quality matters</w:t>
      </w:r>
    </w:p>
    <w:p w14:paraId="78D029C1" w14:textId="77777777" w:rsidR="00895CD2" w:rsidRDefault="00AD26F3" w:rsidP="00FB2AA9">
      <w:pPr>
        <w:pStyle w:val="bullet"/>
      </w:pPr>
      <w:proofErr w:type="gramStart"/>
      <w:r>
        <w:t>publishing</w:t>
      </w:r>
      <w:proofErr w:type="gramEnd"/>
      <w:r>
        <w:t xml:space="preserve"> reports and papers relating to healthcare safety and quality matters.</w:t>
      </w:r>
    </w:p>
    <w:p w14:paraId="64DEC301" w14:textId="77777777" w:rsidR="00895CD2" w:rsidRDefault="00AD26F3">
      <w:pPr>
        <w:pStyle w:val="2body-copy"/>
        <w:rPr>
          <w:rFonts w:cs="Times New Roman"/>
          <w:lang w:val="en-GB"/>
        </w:rPr>
      </w:pPr>
      <w:r>
        <w:rPr>
          <w:rFonts w:cs="Times New Roman"/>
          <w:lang w:val="en-GB"/>
        </w:rPr>
        <w:t xml:space="preserve">There were no changes to the </w:t>
      </w:r>
      <w:r>
        <w:rPr>
          <w:rStyle w:val="2body-italic"/>
          <w:rFonts w:cs="Times New Roman"/>
          <w:lang w:val="en-GB"/>
        </w:rPr>
        <w:t>National Health Reform Act 2011</w:t>
      </w:r>
      <w:r>
        <w:rPr>
          <w:rFonts w:cs="Times New Roman"/>
          <w:lang w:val="en-GB"/>
        </w:rPr>
        <w:t xml:space="preserve"> or the Commission’s legislative functions during the 2013/14 financial year.</w:t>
      </w:r>
    </w:p>
    <w:p w14:paraId="50EBF1E0" w14:textId="77777777" w:rsidR="00895CD2" w:rsidRDefault="00AD26F3">
      <w:pPr>
        <w:pStyle w:val="2body-copy"/>
        <w:rPr>
          <w:rFonts w:cs="Times New Roman"/>
          <w:lang w:val="en-GB"/>
        </w:rPr>
      </w:pPr>
      <w:r>
        <w:rPr>
          <w:rFonts w:cs="Times New Roman"/>
          <w:lang w:val="en-GB"/>
        </w:rPr>
        <w:t>In line with these functions, the Commission set the following work priorities for 2013/14:</w:t>
      </w:r>
    </w:p>
    <w:p w14:paraId="06AB0987" w14:textId="77777777" w:rsidR="00895CD2" w:rsidRDefault="00AD26F3" w:rsidP="00FB2AA9">
      <w:pPr>
        <w:numPr>
          <w:ilvl w:val="0"/>
          <w:numId w:val="49"/>
        </w:numPr>
        <w:ind w:left="284" w:hanging="284"/>
        <w:rPr>
          <w:rFonts w:eastAsia="Times New Roman" w:cs="Times New Roman"/>
          <w:lang w:val="en-GB"/>
        </w:rPr>
      </w:pPr>
      <w:r>
        <w:rPr>
          <w:rFonts w:eastAsia="Times New Roman" w:cs="Times New Roman"/>
          <w:lang w:val="en-GB"/>
        </w:rPr>
        <w:t>National safety and clinical standards.</w:t>
      </w:r>
    </w:p>
    <w:p w14:paraId="6A9929C7" w14:textId="77777777" w:rsidR="00895CD2" w:rsidRDefault="00AD26F3" w:rsidP="00FB2AA9">
      <w:pPr>
        <w:numPr>
          <w:ilvl w:val="0"/>
          <w:numId w:val="49"/>
        </w:numPr>
        <w:ind w:left="284" w:hanging="284"/>
        <w:rPr>
          <w:rFonts w:eastAsia="Times New Roman" w:cs="Times New Roman"/>
          <w:lang w:val="en-GB"/>
        </w:rPr>
      </w:pPr>
      <w:r>
        <w:rPr>
          <w:rFonts w:eastAsia="Times New Roman" w:cs="Times New Roman"/>
          <w:lang w:val="en-GB"/>
        </w:rPr>
        <w:t>Formulation and implementation of national accreditation schemes.</w:t>
      </w:r>
    </w:p>
    <w:p w14:paraId="10E497CE" w14:textId="77777777" w:rsidR="00895CD2" w:rsidRDefault="00AD26F3" w:rsidP="00FB2AA9">
      <w:pPr>
        <w:numPr>
          <w:ilvl w:val="0"/>
          <w:numId w:val="49"/>
        </w:numPr>
        <w:ind w:left="284" w:hanging="284"/>
        <w:rPr>
          <w:rFonts w:eastAsia="Times New Roman" w:cs="Times New Roman"/>
          <w:lang w:val="en-GB"/>
        </w:rPr>
      </w:pPr>
      <w:r>
        <w:rPr>
          <w:rFonts w:eastAsia="Times New Roman" w:cs="Times New Roman"/>
          <w:lang w:val="en-GB"/>
        </w:rPr>
        <w:t>Reduction in unwarranted variation.</w:t>
      </w:r>
    </w:p>
    <w:p w14:paraId="2CA06B84" w14:textId="77777777" w:rsidR="00895CD2" w:rsidRDefault="00AD26F3" w:rsidP="00FB2AA9">
      <w:pPr>
        <w:numPr>
          <w:ilvl w:val="0"/>
          <w:numId w:val="49"/>
        </w:numPr>
        <w:ind w:left="284" w:hanging="284"/>
        <w:rPr>
          <w:rFonts w:eastAsia="Times New Roman" w:cs="Times New Roman"/>
          <w:lang w:val="en-GB"/>
        </w:rPr>
      </w:pPr>
      <w:r>
        <w:rPr>
          <w:rFonts w:eastAsia="Times New Roman" w:cs="Times New Roman"/>
          <w:lang w:val="en-GB"/>
        </w:rPr>
        <w:t>Nationally coordinated action to address healthcare associated infections and antimicrobial resistance.</w:t>
      </w:r>
    </w:p>
    <w:p w14:paraId="21496AD7" w14:textId="77777777" w:rsidR="00895CD2" w:rsidRDefault="00AD26F3" w:rsidP="00FB2AA9">
      <w:pPr>
        <w:numPr>
          <w:ilvl w:val="0"/>
          <w:numId w:val="49"/>
        </w:numPr>
        <w:ind w:left="284" w:hanging="284"/>
        <w:rPr>
          <w:rFonts w:eastAsia="Times New Roman" w:cs="Times New Roman"/>
          <w:lang w:val="en-GB"/>
        </w:rPr>
      </w:pPr>
      <w:r>
        <w:rPr>
          <w:rFonts w:eastAsia="Times New Roman" w:cs="Times New Roman"/>
          <w:lang w:val="en-GB"/>
        </w:rPr>
        <w:t>National data set development.</w:t>
      </w:r>
    </w:p>
    <w:p w14:paraId="18948350" w14:textId="77777777" w:rsidR="00895CD2" w:rsidRDefault="00AD26F3" w:rsidP="00FB2AA9">
      <w:pPr>
        <w:numPr>
          <w:ilvl w:val="0"/>
          <w:numId w:val="49"/>
        </w:numPr>
        <w:ind w:left="284" w:hanging="284"/>
        <w:rPr>
          <w:rFonts w:eastAsia="Times New Roman" w:cs="Times New Roman"/>
          <w:lang w:val="en-GB"/>
        </w:rPr>
      </w:pPr>
      <w:r>
        <w:rPr>
          <w:rFonts w:eastAsia="Times New Roman" w:cs="Times New Roman"/>
          <w:lang w:val="en-GB"/>
        </w:rPr>
        <w:t>Publishing and reporting.</w:t>
      </w:r>
    </w:p>
    <w:p w14:paraId="147E594D" w14:textId="77777777" w:rsidR="00895CD2" w:rsidRDefault="00AD26F3" w:rsidP="00FB2AA9">
      <w:pPr>
        <w:numPr>
          <w:ilvl w:val="0"/>
          <w:numId w:val="49"/>
        </w:numPr>
        <w:ind w:left="284" w:hanging="284"/>
        <w:rPr>
          <w:rFonts w:eastAsia="Times New Roman" w:cs="Times New Roman"/>
          <w:lang w:val="en-GB"/>
        </w:rPr>
      </w:pPr>
      <w:r>
        <w:rPr>
          <w:rFonts w:eastAsia="Times New Roman" w:cs="Times New Roman"/>
          <w:lang w:val="en-GB"/>
        </w:rPr>
        <w:t>Knowledge and leadership for safety and quality.</w:t>
      </w:r>
    </w:p>
    <w:p w14:paraId="4E348C27" w14:textId="77777777" w:rsidR="00895CD2" w:rsidRDefault="00AD26F3">
      <w:pPr>
        <w:pStyle w:val="2body-copy"/>
        <w:rPr>
          <w:rFonts w:cs="Times New Roman"/>
          <w:lang w:val="en-GB"/>
        </w:rPr>
      </w:pPr>
      <w:r>
        <w:rPr>
          <w:rFonts w:cs="Times New Roman"/>
          <w:lang w:val="en-GB"/>
        </w:rPr>
        <w:t xml:space="preserve">These priorities also take into account functions spelt out in the </w:t>
      </w:r>
      <w:r>
        <w:rPr>
          <w:rStyle w:val="2body-italic"/>
          <w:rFonts w:cs="Times New Roman"/>
          <w:lang w:val="en-GB"/>
        </w:rPr>
        <w:t>National Health Reform Agreement</w:t>
      </w:r>
      <w:r>
        <w:rPr>
          <w:rFonts w:cs="Times New Roman"/>
          <w:lang w:val="en-GB"/>
        </w:rPr>
        <w:t xml:space="preserve"> signed by the state, territory and Australian governments, and the work that health ministers identified for the Commission, including the Australian Safety and Quality Goals for Health Care. The projects and deliverables for each of these priority areas are detailed in the following pages.</w:t>
      </w:r>
    </w:p>
    <w:p w14:paraId="50F1A250" w14:textId="77777777" w:rsidR="00FB2AA9" w:rsidRDefault="00FB2AA9">
      <w:pPr>
        <w:spacing w:after="0"/>
        <w:rPr>
          <w:rFonts w:eastAsia="Times New Roman" w:cs="Times New Roman"/>
          <w:b/>
          <w:bCs/>
          <w:color w:val="5F605F"/>
          <w:kern w:val="36"/>
          <w:sz w:val="40"/>
          <w:szCs w:val="40"/>
          <w:lang w:val="en-GB"/>
        </w:rPr>
      </w:pPr>
      <w:r>
        <w:rPr>
          <w:rFonts w:eastAsia="Times New Roman" w:cs="Times New Roman"/>
          <w:lang w:val="en-GB"/>
        </w:rPr>
        <w:br w:type="page"/>
      </w:r>
    </w:p>
    <w:p w14:paraId="60ECB159" w14:textId="77777777" w:rsidR="00895CD2" w:rsidRDefault="00AD26F3" w:rsidP="00093444">
      <w:pPr>
        <w:pStyle w:val="Heading2"/>
        <w:rPr>
          <w:lang w:val="en-GB"/>
        </w:rPr>
      </w:pPr>
      <w:bookmarkStart w:id="15" w:name="_Toc414011873"/>
      <w:r>
        <w:rPr>
          <w:lang w:val="en-GB"/>
        </w:rPr>
        <w:lastRenderedPageBreak/>
        <w:t>National safety and quality standards and accreditation</w:t>
      </w:r>
      <w:bookmarkEnd w:id="15"/>
    </w:p>
    <w:p w14:paraId="735C9ED0" w14:textId="77777777" w:rsidR="00895CD2" w:rsidRDefault="00AD26F3">
      <w:pPr>
        <w:pStyle w:val="2body-copy"/>
        <w:rPr>
          <w:rFonts w:cs="Times New Roman"/>
          <w:lang w:val="en-GB"/>
        </w:rPr>
      </w:pPr>
      <w:r>
        <w:rPr>
          <w:rFonts w:cs="Times New Roman"/>
          <w:lang w:val="en-GB"/>
        </w:rPr>
        <w:t>At the request of health ministers, the Commission developed 10 National Safety and Quality Health Service (NSQHS) Standards in collaboration with healthcare providers, consumers and governments. Nationally, 1,352 hospitals and day procedure services will be required to undergo accreditation against all NSQHS Standards by 2016. The Commission continues to support the use of the NSQHS Standards by developing and promoting resources that facilitate their implementation.</w:t>
      </w:r>
    </w:p>
    <w:p w14:paraId="43457897" w14:textId="77777777" w:rsidR="00895CD2" w:rsidRDefault="00AD26F3">
      <w:pPr>
        <w:pStyle w:val="2body-copy"/>
        <w:rPr>
          <w:rFonts w:cs="Times New Roman"/>
          <w:lang w:val="en-GB"/>
        </w:rPr>
      </w:pPr>
      <w:r>
        <w:rPr>
          <w:rFonts w:cs="Times New Roman"/>
          <w:lang w:val="en-GB"/>
        </w:rPr>
        <w:t xml:space="preserve">The Commission is coordinating national accreditation reforms for health system regulators, accrediting agencies and health services in line with the Australian Health Service Safety and Quality Accreditation (AHSSQA) Scheme. </w:t>
      </w:r>
    </w:p>
    <w:p w14:paraId="5B300967" w14:textId="77777777" w:rsidR="00895CD2" w:rsidRDefault="00AD26F3">
      <w:pPr>
        <w:pStyle w:val="2body-copy"/>
        <w:rPr>
          <w:rFonts w:cs="Times New Roman"/>
          <w:lang w:val="en-GB"/>
        </w:rPr>
      </w:pPr>
      <w:r>
        <w:rPr>
          <w:rFonts w:cs="Times New Roman"/>
          <w:lang w:val="en-GB"/>
        </w:rPr>
        <w:t>During 2013/14, the Commission continued a program of work to help mental health service providers apply safety and quality standards in mental healthcare settings. A new body of work focused on improving the management of cognitive impairment using the NSQHS Standards.</w:t>
      </w:r>
    </w:p>
    <w:p w14:paraId="5CE5985F" w14:textId="77777777" w:rsidR="00895CD2" w:rsidRDefault="00AD26F3">
      <w:pPr>
        <w:pStyle w:val="2body-copy"/>
        <w:rPr>
          <w:rFonts w:cs="Times New Roman"/>
          <w:lang w:val="en-GB"/>
        </w:rPr>
      </w:pPr>
      <w:r>
        <w:rPr>
          <w:rFonts w:cs="Times New Roman"/>
          <w:lang w:val="en-GB"/>
        </w:rPr>
        <w:t xml:space="preserve">In addition, the Commission is developing national Clinical Care Standards to improve patient care outcomes. The Commission is progressing this work for the priority areas identified in the Australian Safety and Quality Goals for Health Care. </w:t>
      </w:r>
    </w:p>
    <w:p w14:paraId="6F135A30" w14:textId="77777777" w:rsidR="00895CD2" w:rsidRDefault="00AD26F3">
      <w:pPr>
        <w:pStyle w:val="2body-copy"/>
        <w:rPr>
          <w:rFonts w:cs="Times New Roman"/>
          <w:lang w:val="en-GB"/>
        </w:rPr>
      </w:pPr>
      <w:r>
        <w:rPr>
          <w:rFonts w:cs="Times New Roman"/>
          <w:lang w:val="en-GB"/>
        </w:rPr>
        <w:t>The Commission is also finalising its commitment to the Australian Health Ministers’ Advisory Council (AHMAC) to develop national standards for clinical quality registries.</w:t>
      </w:r>
    </w:p>
    <w:p w14:paraId="5477CFEF" w14:textId="77777777" w:rsidR="00895CD2" w:rsidRDefault="00AD26F3">
      <w:pPr>
        <w:pStyle w:val="1heading-level-2"/>
        <w:rPr>
          <w:rFonts w:cs="Times New Roman"/>
          <w:lang w:val="en-GB"/>
        </w:rPr>
      </w:pPr>
      <w:r>
        <w:rPr>
          <w:rFonts w:cs="Times New Roman"/>
          <w:lang w:val="en-GB"/>
        </w:rPr>
        <w:t xml:space="preserve">The NSQHS Standards </w:t>
      </w:r>
    </w:p>
    <w:p w14:paraId="1370DE44" w14:textId="77777777" w:rsidR="00895CD2" w:rsidRDefault="00AD26F3" w:rsidP="00B164D1">
      <w:pPr>
        <w:pStyle w:val="2body-copy"/>
        <w:rPr>
          <w:lang w:val="en-GB"/>
        </w:rPr>
      </w:pPr>
      <w:r>
        <w:rPr>
          <w:lang w:val="en-GB"/>
        </w:rPr>
        <w:t>The aim of the NSQHS Standards accreditation process is to promote and support safe patient care and quality improvements across all care settings.</w:t>
      </w:r>
    </w:p>
    <w:p w14:paraId="6C0B9365" w14:textId="77777777" w:rsidR="00895CD2" w:rsidRDefault="00AD26F3" w:rsidP="00B164D1">
      <w:pPr>
        <w:pStyle w:val="2body-copy"/>
        <w:rPr>
          <w:lang w:val="en-GB"/>
        </w:rPr>
      </w:pPr>
      <w:r>
        <w:rPr>
          <w:lang w:val="en-GB"/>
        </w:rPr>
        <w:t xml:space="preserve">The NSQHS Standards provide a framework for health services to improve patient care and to implement relevant safety and quality systems. The NSQHS Standards are the basis for accrediting Australian hospitals and day procedure services, as they determine how, and against what criteria, a health service’s performance will be assessed. </w:t>
      </w:r>
    </w:p>
    <w:p w14:paraId="1322687B" w14:textId="77777777" w:rsidR="00895CD2" w:rsidRDefault="00AD26F3">
      <w:pPr>
        <w:pStyle w:val="2body-copy-before-bullet"/>
        <w:rPr>
          <w:rFonts w:cs="Times New Roman"/>
          <w:lang w:val="en-GB"/>
        </w:rPr>
      </w:pPr>
      <w:r>
        <w:rPr>
          <w:rFonts w:cs="Times New Roman"/>
          <w:lang w:val="en-GB"/>
        </w:rPr>
        <w:t>The 10 NSQHS Standards are:</w:t>
      </w:r>
    </w:p>
    <w:p w14:paraId="2A0EE19F" w14:textId="77777777" w:rsidR="00895CD2" w:rsidRDefault="00AD26F3" w:rsidP="00FB2AA9">
      <w:pPr>
        <w:pStyle w:val="bullet"/>
      </w:pPr>
      <w:r w:rsidRPr="00FB2AA9">
        <w:rPr>
          <w:rStyle w:val="2body-medium"/>
          <w:bCs/>
          <w:color w:val="005C7E"/>
        </w:rPr>
        <w:t>Standard 1</w:t>
      </w:r>
      <w:r>
        <w:t>: Governance for Safety and Quality in Health Service Organisations</w:t>
      </w:r>
    </w:p>
    <w:p w14:paraId="17F24750" w14:textId="77777777" w:rsidR="00895CD2" w:rsidRDefault="00AD26F3" w:rsidP="00FB2AA9">
      <w:pPr>
        <w:pStyle w:val="bullet"/>
      </w:pPr>
      <w:r w:rsidRPr="00FB2AA9">
        <w:rPr>
          <w:rStyle w:val="2body-medium"/>
          <w:bCs/>
          <w:color w:val="54B6C5"/>
        </w:rPr>
        <w:t>Standard 2</w:t>
      </w:r>
      <w:r>
        <w:t>: Partnering with Consumers</w:t>
      </w:r>
    </w:p>
    <w:p w14:paraId="44A68488" w14:textId="77777777" w:rsidR="00895CD2" w:rsidRDefault="00AD26F3" w:rsidP="00FB2AA9">
      <w:pPr>
        <w:pStyle w:val="bullet"/>
      </w:pPr>
      <w:r w:rsidRPr="00FB2AA9">
        <w:rPr>
          <w:rStyle w:val="2body-medium"/>
          <w:bCs/>
          <w:color w:val="D28C21"/>
        </w:rPr>
        <w:t>Standard 3</w:t>
      </w:r>
      <w:r>
        <w:t>: Preventing and Controlling Healthcare-Associated Infections</w:t>
      </w:r>
    </w:p>
    <w:p w14:paraId="43371F49" w14:textId="77777777" w:rsidR="00895CD2" w:rsidRDefault="00AD26F3" w:rsidP="00FB2AA9">
      <w:pPr>
        <w:pStyle w:val="bullet"/>
      </w:pPr>
      <w:r w:rsidRPr="00FB2AA9">
        <w:rPr>
          <w:rStyle w:val="2body-medium"/>
          <w:bCs/>
          <w:color w:val="7BB93A"/>
        </w:rPr>
        <w:t>Standard 4</w:t>
      </w:r>
      <w:r>
        <w:t>: Medication Safety</w:t>
      </w:r>
    </w:p>
    <w:p w14:paraId="34B8111B" w14:textId="77777777" w:rsidR="00895CD2" w:rsidRDefault="00AD26F3" w:rsidP="00FB2AA9">
      <w:pPr>
        <w:pStyle w:val="bullet"/>
      </w:pPr>
      <w:r w:rsidRPr="001F06F5">
        <w:rPr>
          <w:rStyle w:val="2body-medium"/>
          <w:bCs/>
          <w:color w:val="3A72AB"/>
        </w:rPr>
        <w:t>Standard 5</w:t>
      </w:r>
      <w:r>
        <w:t>: Patient Identification and Procedure Matching</w:t>
      </w:r>
    </w:p>
    <w:p w14:paraId="14750DA1" w14:textId="77777777" w:rsidR="00895CD2" w:rsidRDefault="00AD26F3" w:rsidP="00FB2AA9">
      <w:pPr>
        <w:pStyle w:val="bullet"/>
      </w:pPr>
      <w:r w:rsidRPr="001F06F5">
        <w:rPr>
          <w:rStyle w:val="2body-medium"/>
          <w:bCs/>
          <w:color w:val="008C59"/>
        </w:rPr>
        <w:t>Standard 6</w:t>
      </w:r>
      <w:r>
        <w:t>: Clinical Handover</w:t>
      </w:r>
    </w:p>
    <w:p w14:paraId="6998A4A4" w14:textId="77777777" w:rsidR="00895CD2" w:rsidRDefault="00AD26F3" w:rsidP="00FB2AA9">
      <w:pPr>
        <w:pStyle w:val="bullet"/>
      </w:pPr>
      <w:r w:rsidRPr="001F06F5">
        <w:rPr>
          <w:rStyle w:val="2body-medium"/>
          <w:bCs/>
          <w:color w:val="8C0532"/>
        </w:rPr>
        <w:t>Standard 7</w:t>
      </w:r>
      <w:r>
        <w:t>: Blood and Blood Products</w:t>
      </w:r>
    </w:p>
    <w:p w14:paraId="1FF1088A" w14:textId="77777777" w:rsidR="00895CD2" w:rsidRDefault="00AD26F3" w:rsidP="00FB2AA9">
      <w:pPr>
        <w:pStyle w:val="bullet"/>
      </w:pPr>
      <w:r w:rsidRPr="001F06F5">
        <w:rPr>
          <w:rStyle w:val="2body-medium"/>
          <w:bCs/>
          <w:color w:val="DB5522"/>
        </w:rPr>
        <w:t>Standard 8</w:t>
      </w:r>
      <w:r>
        <w:t>: Preventing and Managing Pressure Injuries</w:t>
      </w:r>
    </w:p>
    <w:p w14:paraId="7CE14B41" w14:textId="77777777" w:rsidR="00895CD2" w:rsidRDefault="00AD26F3" w:rsidP="00FB2AA9">
      <w:pPr>
        <w:pStyle w:val="bullet"/>
      </w:pPr>
      <w:r w:rsidRPr="001F06F5">
        <w:rPr>
          <w:rStyle w:val="2body-medium"/>
          <w:bCs/>
          <w:color w:val="4F1866"/>
        </w:rPr>
        <w:t>Standard 9</w:t>
      </w:r>
      <w:r>
        <w:t>: Recognising and Responding to Clinical Deterioration in Acute Health Care</w:t>
      </w:r>
    </w:p>
    <w:p w14:paraId="6A10F47F" w14:textId="77777777" w:rsidR="00895CD2" w:rsidRDefault="00AD26F3" w:rsidP="00FB2AA9">
      <w:pPr>
        <w:pStyle w:val="bullet"/>
      </w:pPr>
      <w:r w:rsidRPr="001F06F5">
        <w:rPr>
          <w:rStyle w:val="2body-medium"/>
          <w:bCs/>
          <w:color w:val="005467"/>
        </w:rPr>
        <w:t>Standard 10</w:t>
      </w:r>
      <w:r>
        <w:t xml:space="preserve">: Preventing Falls and Harm from </w:t>
      </w:r>
      <w:proofErr w:type="gramStart"/>
      <w:r>
        <w:t>Falls</w:t>
      </w:r>
      <w:proofErr w:type="gramEnd"/>
      <w:r>
        <w:t>.</w:t>
      </w:r>
    </w:p>
    <w:p w14:paraId="27809DF4" w14:textId="77777777" w:rsidR="00895CD2" w:rsidRDefault="00AD26F3">
      <w:pPr>
        <w:pStyle w:val="1heading-level-3"/>
        <w:rPr>
          <w:rFonts w:cs="Times New Roman"/>
          <w:lang w:val="en-GB"/>
        </w:rPr>
      </w:pPr>
      <w:r>
        <w:rPr>
          <w:rFonts w:cs="Times New Roman"/>
          <w:lang w:val="en-GB"/>
        </w:rPr>
        <w:t xml:space="preserve">Supporting </w:t>
      </w:r>
      <w:r w:rsidRPr="001F06F5">
        <w:rPr>
          <w:rFonts w:cs="Times New Roman"/>
          <w:lang w:val="en-GB"/>
        </w:rPr>
        <w:t>implementation</w:t>
      </w:r>
    </w:p>
    <w:p w14:paraId="0C38701D" w14:textId="77777777" w:rsidR="00895CD2" w:rsidRDefault="00AD26F3">
      <w:pPr>
        <w:pStyle w:val="2body-copy"/>
        <w:rPr>
          <w:rFonts w:cs="Times New Roman"/>
          <w:lang w:val="en-GB"/>
        </w:rPr>
      </w:pPr>
      <w:r>
        <w:rPr>
          <w:rFonts w:cs="Times New Roman"/>
          <w:lang w:val="en-GB"/>
        </w:rPr>
        <w:t>The Commission’s NSQHS Standards Accreditation Advice Centre provides significant guidance and support for health service organisations, surveyors and accrediting agencies.</w:t>
      </w:r>
    </w:p>
    <w:p w14:paraId="6C31AD2C" w14:textId="77777777" w:rsidR="00895CD2" w:rsidRDefault="00AD26F3">
      <w:pPr>
        <w:pStyle w:val="2body-copy"/>
        <w:rPr>
          <w:rFonts w:cs="Times New Roman"/>
          <w:lang w:val="en-GB"/>
        </w:rPr>
      </w:pPr>
      <w:r>
        <w:rPr>
          <w:rFonts w:cs="Times New Roman"/>
          <w:lang w:val="en-GB"/>
        </w:rPr>
        <w:t>As of 30 June 2014, the Advice Centre had received more than 1,565 enquiries. The most common queries related to individual standards and their requirements (most commonly NSQHS Standards 4, 3 and 9). Users also requested implementation resources, particularly high-resolution NSQHS Standards icons for reproduction in service-specific documents.</w:t>
      </w:r>
    </w:p>
    <w:p w14:paraId="48CD6A5E" w14:textId="77777777" w:rsidR="00895CD2" w:rsidRDefault="00AD26F3">
      <w:pPr>
        <w:pStyle w:val="2body-copy"/>
        <w:rPr>
          <w:rFonts w:cs="Times New Roman"/>
          <w:lang w:val="en-GB"/>
        </w:rPr>
      </w:pPr>
      <w:r>
        <w:rPr>
          <w:rFonts w:cs="Times New Roman"/>
          <w:lang w:val="en-GB"/>
        </w:rPr>
        <w:t>The Advice Centre also coordinated network meetings to provide information to address local implementation issues. During 2013/14, the Commission convened more than 34 network meetings with approximately 1,978 healthcare representatives from public and private hospitals, day procedure centres and community services.</w:t>
      </w:r>
    </w:p>
    <w:p w14:paraId="0B767BE2" w14:textId="77777777" w:rsidR="00895CD2" w:rsidRDefault="00AD26F3">
      <w:pPr>
        <w:pStyle w:val="2body-copy"/>
        <w:rPr>
          <w:rFonts w:cs="Times New Roman"/>
          <w:lang w:val="en-GB"/>
        </w:rPr>
      </w:pPr>
      <w:r>
        <w:rPr>
          <w:rFonts w:cs="Times New Roman"/>
          <w:lang w:val="en-GB"/>
        </w:rPr>
        <w:lastRenderedPageBreak/>
        <w:t>The Commission also provides a service to mediate unresolved issues between health services and surveyors during accreditation visits. Mediation was sought on nine occasions during 2013/14. In each incidence, the issues that led to mediation were resolved.</w:t>
      </w:r>
    </w:p>
    <w:tbl>
      <w:tblPr>
        <w:tblW w:w="0" w:type="auto"/>
        <w:tblCellMar>
          <w:top w:w="57" w:type="dxa"/>
          <w:left w:w="113" w:type="dxa"/>
          <w:bottom w:w="57" w:type="dxa"/>
          <w:right w:w="113" w:type="dxa"/>
        </w:tblCellMar>
        <w:tblLook w:val="04A0" w:firstRow="1" w:lastRow="0" w:firstColumn="1" w:lastColumn="0" w:noHBand="0" w:noVBand="1"/>
      </w:tblPr>
      <w:tblGrid>
        <w:gridCol w:w="10425"/>
      </w:tblGrid>
      <w:tr w:rsidR="00895CD2" w14:paraId="210D6F17" w14:textId="77777777" w:rsidTr="007F4D2B">
        <w:tc>
          <w:tcPr>
            <w:tcW w:w="0" w:type="auto"/>
            <w:shd w:val="clear" w:color="auto" w:fill="00837D"/>
            <w:vAlign w:val="center"/>
            <w:hideMark/>
          </w:tcPr>
          <w:p w14:paraId="5B7B3782" w14:textId="77777777" w:rsidR="00895CD2" w:rsidRDefault="00AD26F3">
            <w:pPr>
              <w:pStyle w:val="3table-header-l"/>
              <w:rPr>
                <w:rFonts w:cs="Times New Roman"/>
              </w:rPr>
            </w:pPr>
            <w:r>
              <w:rPr>
                <w:rFonts w:cs="Times New Roman"/>
              </w:rPr>
              <w:t xml:space="preserve">Key </w:t>
            </w:r>
            <w:r w:rsidRPr="001F06F5">
              <w:rPr>
                <w:rFonts w:cs="Times New Roman"/>
              </w:rPr>
              <w:t>achievements</w:t>
            </w:r>
            <w:r>
              <w:rPr>
                <w:rFonts w:cs="Times New Roman"/>
              </w:rPr>
              <w:t xml:space="preserve"> 2013/14</w:t>
            </w:r>
          </w:p>
        </w:tc>
      </w:tr>
      <w:tr w:rsidR="00895CD2" w14:paraId="04F335F6" w14:textId="77777777" w:rsidTr="007F4D2B">
        <w:tc>
          <w:tcPr>
            <w:tcW w:w="0" w:type="auto"/>
            <w:tcBorders>
              <w:left w:val="dotted" w:sz="8" w:space="0" w:color="00837D"/>
              <w:bottom w:val="dotted" w:sz="8" w:space="0" w:color="00837D"/>
              <w:right w:val="dotted" w:sz="8" w:space="0" w:color="00837D"/>
            </w:tcBorders>
            <w:vAlign w:val="center"/>
            <w:hideMark/>
          </w:tcPr>
          <w:p w14:paraId="1B6B784F" w14:textId="77777777" w:rsidR="00895CD2" w:rsidRDefault="00AD26F3">
            <w:pPr>
              <w:pStyle w:val="2body-copy"/>
              <w:rPr>
                <w:rFonts w:cs="Times New Roman"/>
              </w:rPr>
            </w:pPr>
            <w:r>
              <w:rPr>
                <w:rFonts w:cs="Times New Roman"/>
              </w:rPr>
              <w:t>The Commission received two Prime Minister’s Awards for Excellence in Public Sector Management for the development and implementation of the NSQHS Standards.</w:t>
            </w:r>
          </w:p>
        </w:tc>
      </w:tr>
    </w:tbl>
    <w:p w14:paraId="0169C7E2" w14:textId="77777777" w:rsidR="00895CD2" w:rsidRDefault="00AD26F3">
      <w:pPr>
        <w:pStyle w:val="2body-copy"/>
        <w:rPr>
          <w:rFonts w:cs="Times New Roman"/>
          <w:lang w:val="en-GB"/>
        </w:rPr>
      </w:pPr>
      <w:r>
        <w:rPr>
          <w:rFonts w:cs="Times New Roman"/>
          <w:lang w:val="en-GB"/>
        </w:rPr>
        <w:t>The Commission issues advisories to accrediting agencies and health service organisations to clarify assessment processes and interpretation of the NSQHS Standards and ensure the accreditation process is consistent and reliable. During 2013/14, seven advisories were issued on topics such as the collection and reporting of accreditation evidence by accrediting agencies; the assessment of training requirements for credentialed medical and other clinical practitioners and visiting medical officers; cessation of flexible transition arrangements; and assessing ‘not applicable’ and developmental actions.</w:t>
      </w:r>
    </w:p>
    <w:p w14:paraId="5225CE57" w14:textId="77777777" w:rsidR="00895CD2" w:rsidRDefault="00AD26F3">
      <w:pPr>
        <w:pStyle w:val="1heading-level-3"/>
        <w:rPr>
          <w:rFonts w:cs="Times New Roman"/>
          <w:lang w:val="en-GB"/>
        </w:rPr>
      </w:pPr>
      <w:r>
        <w:rPr>
          <w:rFonts w:cs="Times New Roman"/>
          <w:lang w:val="en-GB"/>
        </w:rPr>
        <w:t>Implementation progress</w:t>
      </w:r>
    </w:p>
    <w:p w14:paraId="0F69C404" w14:textId="77777777" w:rsidR="00895CD2" w:rsidRDefault="00AD26F3" w:rsidP="001F06F5">
      <w:pPr>
        <w:pStyle w:val="bullet"/>
      </w:pPr>
      <w:r>
        <w:t xml:space="preserve">Nationally, 1,352 hospitals and day procedure services will be required to undergo accreditation against all NSQHS Standards by 2016. </w:t>
      </w:r>
    </w:p>
    <w:p w14:paraId="67917550" w14:textId="77777777" w:rsidR="00895CD2" w:rsidRDefault="00AD26F3" w:rsidP="001F06F5">
      <w:pPr>
        <w:pStyle w:val="bullet"/>
      </w:pPr>
      <w:r>
        <w:t>In 2013/14, 624 hospitals and day procedure services were scheduled to be assessed against the standards. As of 30 June 2014, 897 had been assessed. Of these, 388 were assessed against all 10 NSQHS Standards as part of their accreditation cycle, while 490 hospitals and day procedure services were assessed against standards 1 to 3. There were also 19 new health services that underwent interim assessment to the NSQHS Standards in 2013/14.</w:t>
      </w:r>
    </w:p>
    <w:p w14:paraId="524E702D" w14:textId="77777777" w:rsidR="00895CD2" w:rsidRDefault="00AD26F3" w:rsidP="001F06F5">
      <w:pPr>
        <w:pStyle w:val="bullet"/>
      </w:pPr>
      <w:r>
        <w:t>In 2013/14, 43% of those assessed needed to implement improvements in order to achieve accreditation. This means assessment against the NSQHS Standards reduced risks to patients in the care of these health service organisations.</w:t>
      </w:r>
    </w:p>
    <w:tbl>
      <w:tblPr>
        <w:tblW w:w="0" w:type="auto"/>
        <w:tblInd w:w="-97" w:type="dxa"/>
        <w:tblCellMar>
          <w:top w:w="57" w:type="dxa"/>
          <w:left w:w="113" w:type="dxa"/>
          <w:bottom w:w="57" w:type="dxa"/>
          <w:right w:w="113" w:type="dxa"/>
        </w:tblCellMar>
        <w:tblLook w:val="04A0" w:firstRow="1" w:lastRow="0" w:firstColumn="1" w:lastColumn="0" w:noHBand="0" w:noVBand="1"/>
      </w:tblPr>
      <w:tblGrid>
        <w:gridCol w:w="10326"/>
      </w:tblGrid>
      <w:tr w:rsidR="00895CD2" w14:paraId="75B420D1" w14:textId="77777777" w:rsidTr="007F4D2B">
        <w:tc>
          <w:tcPr>
            <w:tcW w:w="10326" w:type="dxa"/>
            <w:shd w:val="clear" w:color="auto" w:fill="00837D"/>
            <w:vAlign w:val="center"/>
            <w:hideMark/>
          </w:tcPr>
          <w:p w14:paraId="263260B1" w14:textId="77777777" w:rsidR="00895CD2" w:rsidRDefault="00AD26F3">
            <w:pPr>
              <w:pStyle w:val="3table-header-l"/>
              <w:rPr>
                <w:rFonts w:cs="Times New Roman"/>
              </w:rPr>
            </w:pPr>
            <w:r>
              <w:rPr>
                <w:rFonts w:cs="Times New Roman"/>
              </w:rPr>
              <w:t>Key achievements 2013/14</w:t>
            </w:r>
          </w:p>
        </w:tc>
      </w:tr>
      <w:tr w:rsidR="00895CD2" w14:paraId="539896D7" w14:textId="77777777" w:rsidTr="007F4D2B">
        <w:tc>
          <w:tcPr>
            <w:tcW w:w="10326" w:type="dxa"/>
            <w:tcBorders>
              <w:left w:val="dotted" w:sz="8" w:space="0" w:color="00837D"/>
              <w:bottom w:val="dotted" w:sz="8" w:space="0" w:color="00837D"/>
              <w:right w:val="dotted" w:sz="8" w:space="0" w:color="00837D"/>
            </w:tcBorders>
            <w:vAlign w:val="center"/>
            <w:hideMark/>
          </w:tcPr>
          <w:p w14:paraId="1A5BECD0" w14:textId="77777777" w:rsidR="00895CD2" w:rsidRDefault="00AD26F3">
            <w:pPr>
              <w:pStyle w:val="2body-copy"/>
              <w:rPr>
                <w:rFonts w:cs="Times New Roman"/>
              </w:rPr>
            </w:pPr>
            <w:r w:rsidRPr="001F06F5">
              <w:rPr>
                <w:rStyle w:val="s2-pull-out-numbers"/>
                <w:rFonts w:cs="Times New Roman"/>
              </w:rPr>
              <w:t>43%</w:t>
            </w:r>
            <w:r w:rsidRPr="001F06F5">
              <w:rPr>
                <w:rFonts w:cs="Times New Roman"/>
                <w:color w:val="00837D"/>
              </w:rPr>
              <w:t xml:space="preserve"> </w:t>
            </w:r>
            <w:r>
              <w:rPr>
                <w:rFonts w:cs="Times New Roman"/>
              </w:rPr>
              <w:t>of health services are now accredited against all 10 NSQHS Standards.</w:t>
            </w:r>
          </w:p>
        </w:tc>
      </w:tr>
      <w:tr w:rsidR="00895CD2" w14:paraId="622B7FD9" w14:textId="77777777" w:rsidTr="007F4D2B">
        <w:tc>
          <w:tcPr>
            <w:tcW w:w="10326" w:type="dxa"/>
            <w:tcBorders>
              <w:top w:val="dotted" w:sz="8" w:space="0" w:color="00837D"/>
              <w:left w:val="dotted" w:sz="8" w:space="0" w:color="00837D"/>
              <w:bottom w:val="dotted" w:sz="8" w:space="0" w:color="00837D"/>
              <w:right w:val="dotted" w:sz="8" w:space="0" w:color="00837D"/>
            </w:tcBorders>
            <w:vAlign w:val="center"/>
            <w:hideMark/>
          </w:tcPr>
          <w:p w14:paraId="1FDFA78D" w14:textId="77777777" w:rsidR="00895CD2" w:rsidRDefault="00AD26F3">
            <w:pPr>
              <w:pStyle w:val="2body-copy"/>
              <w:rPr>
                <w:rFonts w:cs="Times New Roman"/>
              </w:rPr>
            </w:pPr>
            <w:r w:rsidRPr="001F06F5">
              <w:rPr>
                <w:rStyle w:val="s2-pull-out-numbers"/>
                <w:rFonts w:cs="Times New Roman"/>
              </w:rPr>
              <w:t>55%</w:t>
            </w:r>
            <w:r w:rsidRPr="001F06F5">
              <w:rPr>
                <w:rFonts w:cs="Times New Roman"/>
                <w:color w:val="00837D"/>
              </w:rPr>
              <w:t xml:space="preserve"> </w:t>
            </w:r>
            <w:r>
              <w:rPr>
                <w:rFonts w:cs="Times New Roman"/>
              </w:rPr>
              <w:t>of health services have been assessed against NSQHS Standards 1, 2 and 3.</w:t>
            </w:r>
          </w:p>
        </w:tc>
      </w:tr>
      <w:tr w:rsidR="00895CD2" w14:paraId="295CCB33" w14:textId="77777777" w:rsidTr="007F4D2B">
        <w:tc>
          <w:tcPr>
            <w:tcW w:w="10326" w:type="dxa"/>
            <w:tcBorders>
              <w:top w:val="dotted" w:sz="8" w:space="0" w:color="00837D"/>
              <w:left w:val="dotted" w:sz="8" w:space="0" w:color="00837D"/>
              <w:bottom w:val="dotted" w:sz="8" w:space="0" w:color="00837D"/>
              <w:right w:val="dotted" w:sz="8" w:space="0" w:color="00837D"/>
            </w:tcBorders>
            <w:vAlign w:val="center"/>
            <w:hideMark/>
          </w:tcPr>
          <w:p w14:paraId="39D48771" w14:textId="77777777" w:rsidR="00895CD2" w:rsidRDefault="00AD26F3">
            <w:pPr>
              <w:pStyle w:val="2body-copy"/>
              <w:rPr>
                <w:rFonts w:cs="Times New Roman"/>
              </w:rPr>
            </w:pPr>
            <w:r w:rsidRPr="001F06F5">
              <w:rPr>
                <w:rStyle w:val="s2-pull-out-numbers"/>
                <w:rFonts w:cs="Times New Roman"/>
              </w:rPr>
              <w:t xml:space="preserve">2% </w:t>
            </w:r>
            <w:r>
              <w:rPr>
                <w:rFonts w:cs="Times New Roman"/>
              </w:rPr>
              <w:t>of health services were newly established and underwent interim accreditation to the NSQHS Standards.</w:t>
            </w:r>
          </w:p>
        </w:tc>
      </w:tr>
    </w:tbl>
    <w:p w14:paraId="67EC3280" w14:textId="77777777" w:rsidR="00895CD2" w:rsidRDefault="00AD26F3">
      <w:pPr>
        <w:pStyle w:val="1heading-level-3"/>
        <w:rPr>
          <w:rFonts w:cs="Times New Roman"/>
          <w:lang w:val="en-GB"/>
        </w:rPr>
      </w:pPr>
      <w:r>
        <w:rPr>
          <w:rFonts w:cs="Times New Roman"/>
          <w:lang w:val="en-GB"/>
        </w:rPr>
        <w:t>NSQHS Standard 2 implementation survey</w:t>
      </w:r>
    </w:p>
    <w:p w14:paraId="6B5A4392" w14:textId="77777777" w:rsidR="00895CD2" w:rsidRDefault="00AD26F3">
      <w:pPr>
        <w:pStyle w:val="2body-copy"/>
        <w:rPr>
          <w:rFonts w:cs="Times New Roman"/>
          <w:lang w:val="en-GB"/>
        </w:rPr>
      </w:pPr>
      <w:r>
        <w:rPr>
          <w:rFonts w:cs="Times New Roman"/>
          <w:lang w:val="en-GB"/>
        </w:rPr>
        <w:t>NSQHS Standard 2: Partnering with Consumers aims to ensure health services are responsive to patient, carer and consumer needs. It requires consumers to be engaged in the development and review of health services. During 2013, it was reported that some health services found the actions within NSQHS Standard 2 challenging to implement.</w:t>
      </w:r>
    </w:p>
    <w:p w14:paraId="00DF2789" w14:textId="77777777" w:rsidR="00895CD2" w:rsidRDefault="00AD26F3">
      <w:pPr>
        <w:pStyle w:val="2body-copy"/>
        <w:rPr>
          <w:rFonts w:cs="Times New Roman"/>
          <w:lang w:val="en-GB"/>
        </w:rPr>
      </w:pPr>
      <w:r>
        <w:rPr>
          <w:rFonts w:cs="Times New Roman"/>
          <w:lang w:val="en-GB"/>
        </w:rPr>
        <w:t>In July 2013, the Commission developed a survey to identify the greatest areas of difficulty in complying with NSQHS Standard 2 and the types of resources that could be developed to support specific actions. The survey was targeted at health services undergoing or preparing for accreditation.</w:t>
      </w:r>
    </w:p>
    <w:p w14:paraId="0BFC710A" w14:textId="77777777" w:rsidR="00895CD2" w:rsidRDefault="00AD26F3">
      <w:pPr>
        <w:pStyle w:val="2body-copy"/>
        <w:rPr>
          <w:rFonts w:cs="Times New Roman"/>
          <w:lang w:val="en-GB"/>
        </w:rPr>
      </w:pPr>
      <w:r>
        <w:rPr>
          <w:rFonts w:cs="Times New Roman"/>
          <w:lang w:val="en-GB"/>
        </w:rPr>
        <w:t>There were 415 respondents to the survey, most of whom worked in public hospitals, private hospitals, day procedure services and community-based services.</w:t>
      </w:r>
    </w:p>
    <w:p w14:paraId="6E893DEF" w14:textId="77777777" w:rsidR="00895CD2" w:rsidRDefault="00AD26F3">
      <w:pPr>
        <w:pStyle w:val="2body-copy"/>
        <w:rPr>
          <w:rFonts w:cs="Times New Roman"/>
          <w:lang w:val="en-GB"/>
        </w:rPr>
      </w:pPr>
      <w:r>
        <w:rPr>
          <w:rFonts w:cs="Times New Roman"/>
          <w:lang w:val="en-GB"/>
        </w:rPr>
        <w:t xml:space="preserve">Respondents indicated that the most difficult actions to implement were those that involved consumers and carers in clinical training (action 2.6.2) and in governance (action 2.1.1). In private hospitals and day procedure services, difficulties appeared to occur at the organisational level (such as in setting up systems and processes to engage </w:t>
      </w:r>
      <w:r>
        <w:rPr>
          <w:rFonts w:cs="Times New Roman"/>
          <w:lang w:val="en-GB"/>
        </w:rPr>
        <w:lastRenderedPageBreak/>
        <w:t>with consumers), while public hospitals experienced more difficulties with the way staff members understood the intent of and need for the standard. Most concerns within community-based services were related to the initial engagement of consumers.</w:t>
      </w:r>
    </w:p>
    <w:p w14:paraId="2219F319" w14:textId="77777777" w:rsidR="00895CD2" w:rsidRDefault="00AD26F3">
      <w:pPr>
        <w:pStyle w:val="2body-copy"/>
        <w:rPr>
          <w:rFonts w:cs="Times New Roman"/>
          <w:lang w:val="en-GB"/>
        </w:rPr>
      </w:pPr>
      <w:r>
        <w:rPr>
          <w:rFonts w:cs="Times New Roman"/>
          <w:lang w:val="en-GB"/>
        </w:rPr>
        <w:t xml:space="preserve">The Commission is developing fact sheets to help health service organisations engage consumers and carers in governance and in training for the clinical workforce. Additional fact sheets will provide specific information on how day procedure, small or stand-alone services can meet the requirements of NSQHS Standard 2. </w:t>
      </w:r>
    </w:p>
    <w:p w14:paraId="588FCC4A" w14:textId="77777777" w:rsidR="00895CD2" w:rsidRDefault="00AD26F3">
      <w:pPr>
        <w:pStyle w:val="1heading-level-2"/>
        <w:rPr>
          <w:rFonts w:cs="Times New Roman"/>
          <w:lang w:val="en-GB"/>
        </w:rPr>
      </w:pPr>
      <w:r>
        <w:rPr>
          <w:rFonts w:cs="Times New Roman"/>
          <w:lang w:val="en-GB"/>
        </w:rPr>
        <w:t>AHSSQA Scheme</w:t>
      </w:r>
    </w:p>
    <w:p w14:paraId="1F9D144B" w14:textId="77777777" w:rsidR="00895CD2" w:rsidRDefault="00AD26F3">
      <w:pPr>
        <w:pStyle w:val="2body-copy"/>
        <w:rPr>
          <w:rFonts w:cs="Times New Roman"/>
          <w:lang w:val="en-GB"/>
        </w:rPr>
      </w:pPr>
      <w:r>
        <w:rPr>
          <w:rFonts w:cs="Times New Roman"/>
          <w:lang w:val="en-GB"/>
        </w:rPr>
        <w:t xml:space="preserve">The Australian Health Services Safety and Quality Accreditation (AHSSQA) Scheme coordinates accreditation nationally and monitors safety and quality improvements across the health system. All Australian hospitals and day procedure centres must be accredited, and other health services are increasingly using the accreditation scheme to ensure quality of care. </w:t>
      </w:r>
    </w:p>
    <w:p w14:paraId="682039D1" w14:textId="77777777" w:rsidR="00895CD2" w:rsidRDefault="00AD26F3">
      <w:pPr>
        <w:pStyle w:val="2body-copy"/>
        <w:rPr>
          <w:rFonts w:cs="Times New Roman"/>
          <w:lang w:val="en-GB"/>
        </w:rPr>
      </w:pPr>
      <w:r>
        <w:rPr>
          <w:rFonts w:cs="Times New Roman"/>
          <w:lang w:val="en-GB"/>
        </w:rPr>
        <w:t>The Commission coordinates the AHSSQA Scheme and provides support to state and territory health departments that regulate the scheme, health services undergoing accreditation and the accrediting agencies that assess health services.</w:t>
      </w:r>
    </w:p>
    <w:p w14:paraId="3756E616" w14:textId="77777777" w:rsidR="00895CD2" w:rsidRDefault="00AD26F3">
      <w:pPr>
        <w:pStyle w:val="2body-copy"/>
        <w:rPr>
          <w:rFonts w:cs="Times New Roman"/>
          <w:lang w:val="en-GB"/>
        </w:rPr>
      </w:pPr>
      <w:r>
        <w:rPr>
          <w:rFonts w:cs="Times New Roman"/>
          <w:lang w:val="en-GB"/>
        </w:rPr>
        <w:t xml:space="preserve">Accrediting agencies provide the Commission and regulators with data that show whether health services comply with NSQHS Standards. During 2013/14, the Commission convened two panels to assess four applications from accrediting agencies for approval. This included two applications resulting from merges and two from agencies that had previously not held approvals to assess health services. The Commission participated in five training workshops for surveyors from these agencies involved in the accreditation assessment of health services. </w:t>
      </w:r>
    </w:p>
    <w:p w14:paraId="1BC5A7B2" w14:textId="77777777" w:rsidR="00895CD2" w:rsidRDefault="00AD26F3">
      <w:pPr>
        <w:pStyle w:val="2pull-out"/>
        <w:rPr>
          <w:rFonts w:cs="Times New Roman"/>
          <w:lang w:val="en-GB"/>
        </w:rPr>
      </w:pPr>
      <w:r>
        <w:rPr>
          <w:rFonts w:cs="Times New Roman"/>
          <w:lang w:val="en-GB"/>
        </w:rPr>
        <w:t xml:space="preserve">In 2014/15, a review of the effectiveness of the approvals process will be undertaken prior to accrediting agencies seeking re-approval of their </w:t>
      </w:r>
      <w:r w:rsidRPr="00966604">
        <w:rPr>
          <w:rFonts w:cs="Times New Roman"/>
          <w:lang w:val="en-GB"/>
        </w:rPr>
        <w:t>accrediting</w:t>
      </w:r>
      <w:r>
        <w:rPr>
          <w:rFonts w:cs="Times New Roman"/>
          <w:lang w:val="en-GB"/>
        </w:rPr>
        <w:t xml:space="preserve"> role. Collaboration with regulators and accrediting agencies is essential to ensure accrediting processes are consistently applied.</w:t>
      </w:r>
    </w:p>
    <w:p w14:paraId="08BF1901" w14:textId="77777777" w:rsidR="00895CD2" w:rsidRDefault="00AD26F3">
      <w:pPr>
        <w:pStyle w:val="2body-copy"/>
        <w:rPr>
          <w:rFonts w:cs="Times New Roman"/>
          <w:lang w:val="en-GB"/>
        </w:rPr>
      </w:pPr>
      <w:r>
        <w:rPr>
          <w:rFonts w:cs="Times New Roman"/>
          <w:lang w:val="en-GB"/>
        </w:rPr>
        <w:t>The Commission is working with the Department of Health’s Enterprise Data Warehouse team to build a secure system that will hold and report on health service assessment data. It is informing accrediting agencies about the data that needs to be submitted and the establishment of collection systems and tools. The data collection and reporting systems are expected to be fully operational by the end of 2014.</w:t>
      </w:r>
    </w:p>
    <w:tbl>
      <w:tblPr>
        <w:tblW w:w="0" w:type="auto"/>
        <w:tblCellMar>
          <w:top w:w="57" w:type="dxa"/>
          <w:left w:w="113" w:type="dxa"/>
          <w:bottom w:w="57" w:type="dxa"/>
          <w:right w:w="113" w:type="dxa"/>
        </w:tblCellMar>
        <w:tblLook w:val="04A0" w:firstRow="1" w:lastRow="0" w:firstColumn="1" w:lastColumn="0" w:noHBand="0" w:noVBand="1"/>
      </w:tblPr>
      <w:tblGrid>
        <w:gridCol w:w="8653"/>
      </w:tblGrid>
      <w:tr w:rsidR="00895CD2" w14:paraId="73CC65E9" w14:textId="77777777" w:rsidTr="007F4D2B">
        <w:tc>
          <w:tcPr>
            <w:tcW w:w="0" w:type="auto"/>
            <w:shd w:val="clear" w:color="auto" w:fill="00837D"/>
            <w:vAlign w:val="center"/>
            <w:hideMark/>
          </w:tcPr>
          <w:p w14:paraId="262EFDD4" w14:textId="77777777" w:rsidR="00895CD2" w:rsidRDefault="00AD26F3">
            <w:pPr>
              <w:pStyle w:val="3table-header-l"/>
              <w:rPr>
                <w:rFonts w:cs="Times New Roman"/>
              </w:rPr>
            </w:pPr>
            <w:r>
              <w:rPr>
                <w:rFonts w:cs="Times New Roman"/>
              </w:rPr>
              <w:t>Key achievements 2013/14</w:t>
            </w:r>
          </w:p>
        </w:tc>
      </w:tr>
      <w:tr w:rsidR="00895CD2" w14:paraId="4283866E" w14:textId="77777777" w:rsidTr="007F4D2B">
        <w:tc>
          <w:tcPr>
            <w:tcW w:w="0" w:type="auto"/>
            <w:tcBorders>
              <w:left w:val="dotted" w:sz="8" w:space="0" w:color="00837D"/>
              <w:bottom w:val="dotted" w:sz="8" w:space="0" w:color="00837D"/>
              <w:right w:val="dotted" w:sz="8" w:space="0" w:color="00837D"/>
            </w:tcBorders>
            <w:vAlign w:val="center"/>
            <w:hideMark/>
          </w:tcPr>
          <w:p w14:paraId="036E88D2" w14:textId="77777777" w:rsidR="00895CD2" w:rsidRDefault="00AD26F3">
            <w:pPr>
              <w:pStyle w:val="2body-copy"/>
              <w:rPr>
                <w:rFonts w:cs="Times New Roman"/>
              </w:rPr>
            </w:pPr>
            <w:r w:rsidRPr="00966604">
              <w:rPr>
                <w:rStyle w:val="s2-pull-out-numbers"/>
                <w:rFonts w:cs="Times New Roman"/>
              </w:rPr>
              <w:t>10</w:t>
            </w:r>
            <w:r>
              <w:rPr>
                <w:rFonts w:cs="Times New Roman"/>
              </w:rPr>
              <w:t xml:space="preserve"> accrediting agencies were approved to assess health services to the NSQHS Standards.</w:t>
            </w:r>
          </w:p>
        </w:tc>
      </w:tr>
    </w:tbl>
    <w:p w14:paraId="4AC8EEE5" w14:textId="77777777" w:rsidR="00895CD2" w:rsidRDefault="00AD26F3">
      <w:pPr>
        <w:pStyle w:val="1heading-level-3"/>
        <w:rPr>
          <w:rFonts w:cs="Times New Roman"/>
          <w:lang w:val="en-GB"/>
        </w:rPr>
      </w:pPr>
      <w:r>
        <w:rPr>
          <w:rFonts w:cs="Times New Roman"/>
          <w:lang w:val="en-GB"/>
        </w:rPr>
        <w:t>Evaluating the impact of the NSQHS Standards</w:t>
      </w:r>
    </w:p>
    <w:p w14:paraId="1981A53B" w14:textId="77777777" w:rsidR="00895CD2" w:rsidRDefault="00AD26F3">
      <w:pPr>
        <w:pStyle w:val="2body-copy"/>
        <w:rPr>
          <w:rFonts w:cs="Times New Roman"/>
          <w:lang w:val="en-GB"/>
        </w:rPr>
      </w:pPr>
      <w:r>
        <w:rPr>
          <w:rFonts w:cs="Times New Roman"/>
          <w:lang w:val="en-GB"/>
        </w:rPr>
        <w:t>The Department of Health is funding the Commission to evaluate the impact of the NSQHS Standards. The Commission is working with states and territories to identify and analyse relevant data sources and has commissioned work to determine patient and carer perceptions of care in the context of the NSQHS Standards.</w:t>
      </w:r>
    </w:p>
    <w:p w14:paraId="1DAC7A57" w14:textId="77777777" w:rsidR="00895CD2" w:rsidRDefault="00AD26F3">
      <w:pPr>
        <w:pStyle w:val="2body-copy"/>
        <w:rPr>
          <w:rFonts w:cs="Times New Roman"/>
          <w:lang w:val="en-GB"/>
        </w:rPr>
      </w:pPr>
      <w:r>
        <w:rPr>
          <w:rFonts w:cs="Times New Roman"/>
          <w:lang w:val="en-GB"/>
        </w:rPr>
        <w:t>The Commission will obtain advice from advisory groups, health service organisations and state and territory jurisdictions on the safety and quality impacts of the NSQHS Standards, as these groups implement the AHSSQA Scheme.</w:t>
      </w:r>
    </w:p>
    <w:p w14:paraId="7CDE0E07" w14:textId="77777777" w:rsidR="00895CD2" w:rsidRDefault="00AD26F3">
      <w:pPr>
        <w:pStyle w:val="2body-copy"/>
        <w:rPr>
          <w:rFonts w:cs="Times New Roman"/>
          <w:lang w:val="en-GB"/>
        </w:rPr>
      </w:pPr>
      <w:r>
        <w:rPr>
          <w:rFonts w:cs="Times New Roman"/>
          <w:lang w:val="en-GB"/>
        </w:rPr>
        <w:t xml:space="preserve">Early indications suggest the NSQHS Standards are achieving their aim of reducing the risk of harm to patients. For instance, the recognition and response systems for clinical deterioration and the New South Wales Between the Flags program have resulted in a 38% decrease in cardiac arrests, which translates to approximately 800 fewer deaths since 2010. </w:t>
      </w:r>
    </w:p>
    <w:p w14:paraId="6DCD2C1C" w14:textId="77777777" w:rsidR="00895CD2" w:rsidRDefault="00AD26F3">
      <w:pPr>
        <w:pStyle w:val="2body-copy"/>
        <w:rPr>
          <w:rFonts w:cs="Times New Roman"/>
          <w:lang w:val="en-GB"/>
        </w:rPr>
      </w:pPr>
      <w:r>
        <w:rPr>
          <w:rFonts w:cs="Times New Roman"/>
          <w:lang w:val="en-GB"/>
        </w:rPr>
        <w:t xml:space="preserve">In addition, a combination of strategies developed by the Commission – including the hand hygiene and antimicrobial stewardship programs and the introduction of NSQHS Standard 3: Preventing and Controlling Healthcare-Associated Infections – have resulted in a steady decrease in the incidence of healthcare associated multi-resistant </w:t>
      </w:r>
      <w:r>
        <w:rPr>
          <w:rStyle w:val="2body-italic"/>
          <w:rFonts w:cs="Times New Roman"/>
          <w:lang w:val="en-GB"/>
        </w:rPr>
        <w:t>Staphylococcus aureus</w:t>
      </w:r>
      <w:r>
        <w:rPr>
          <w:rFonts w:cs="Times New Roman"/>
          <w:lang w:val="en-GB"/>
        </w:rPr>
        <w:t xml:space="preserve"> bacteraemia in hospitals. The national rate of </w:t>
      </w:r>
      <w:r>
        <w:rPr>
          <w:rStyle w:val="2body-italic"/>
          <w:rFonts w:cs="Times New Roman"/>
          <w:lang w:val="en-GB"/>
        </w:rPr>
        <w:t>Staphylococcus aureus</w:t>
      </w:r>
      <w:r>
        <w:rPr>
          <w:rFonts w:cs="Times New Roman"/>
          <w:lang w:val="en-GB"/>
        </w:rPr>
        <w:t xml:space="preserve"> bacteraemia has decreased from 1.1 cases per 10,000 patient days to 0.9 cases per 10,000 patient days. </w:t>
      </w:r>
    </w:p>
    <w:p w14:paraId="73221AE4" w14:textId="77777777" w:rsidR="00895CD2" w:rsidRDefault="00AD26F3">
      <w:pPr>
        <w:pStyle w:val="2body-copy"/>
        <w:rPr>
          <w:rFonts w:cs="Times New Roman"/>
          <w:lang w:val="en-GB"/>
        </w:rPr>
      </w:pPr>
      <w:r>
        <w:rPr>
          <w:rFonts w:cs="Times New Roman"/>
          <w:lang w:val="en-GB"/>
        </w:rPr>
        <w:t>The project to evaluate the effects of the NSQHS Standards is expected to be finalised by the end of 2015.</w:t>
      </w:r>
    </w:p>
    <w:tbl>
      <w:tblPr>
        <w:tblW w:w="0" w:type="auto"/>
        <w:shd w:val="clear" w:color="auto" w:fill="DEEEEA"/>
        <w:tblCellMar>
          <w:top w:w="113" w:type="dxa"/>
          <w:left w:w="113" w:type="dxa"/>
          <w:bottom w:w="113" w:type="dxa"/>
          <w:right w:w="113" w:type="dxa"/>
        </w:tblCellMar>
        <w:tblLook w:val="04A0" w:firstRow="1" w:lastRow="0" w:firstColumn="1" w:lastColumn="0" w:noHBand="0" w:noVBand="1"/>
      </w:tblPr>
      <w:tblGrid>
        <w:gridCol w:w="10425"/>
      </w:tblGrid>
      <w:tr w:rsidR="00895CD2" w14:paraId="073E3BD6" w14:textId="77777777" w:rsidTr="00966604">
        <w:tc>
          <w:tcPr>
            <w:tcW w:w="0" w:type="auto"/>
            <w:shd w:val="clear" w:color="auto" w:fill="DEEEEA"/>
            <w:vAlign w:val="center"/>
            <w:hideMark/>
          </w:tcPr>
          <w:p w14:paraId="7E6E8C3E" w14:textId="77777777" w:rsidR="00895CD2" w:rsidRPr="00966604" w:rsidRDefault="00AD26F3">
            <w:pPr>
              <w:pStyle w:val="1h4"/>
              <w:rPr>
                <w:rFonts w:cs="Times New Roman"/>
                <w:b/>
              </w:rPr>
            </w:pPr>
            <w:r w:rsidRPr="00966604">
              <w:rPr>
                <w:rStyle w:val="colourss2"/>
                <w:rFonts w:cs="Times New Roman"/>
                <w:b/>
              </w:rPr>
              <w:lastRenderedPageBreak/>
              <w:t>Feedback from health service organisations on the NSQHS Standards</w:t>
            </w:r>
          </w:p>
          <w:p w14:paraId="72072A9F" w14:textId="77777777" w:rsidR="00895CD2" w:rsidRDefault="00AD26F3">
            <w:pPr>
              <w:pStyle w:val="2body-copy"/>
              <w:rPr>
                <w:rFonts w:cs="Times New Roman"/>
              </w:rPr>
            </w:pPr>
            <w:r>
              <w:rPr>
                <w:rStyle w:val="2body-roman"/>
                <w:rFonts w:cs="Times New Roman"/>
              </w:rPr>
              <w:t>‘Despite the challenges, I found the overall accreditation experience rewarding and reassuring, knowing that our organisation is committed to provide safe and high-quality healthcare services to our patients. I am actually looking forward to the next periodic review!’</w:t>
            </w:r>
          </w:p>
          <w:p w14:paraId="17FAF898" w14:textId="77777777" w:rsidR="00895CD2" w:rsidRPr="00966604" w:rsidRDefault="00AD26F3">
            <w:pPr>
              <w:pStyle w:val="2quoted-by"/>
              <w:rPr>
                <w:rStyle w:val="colourss2"/>
                <w:b/>
              </w:rPr>
            </w:pPr>
            <w:r w:rsidRPr="00966604">
              <w:rPr>
                <w:rStyle w:val="colourss2"/>
                <w:b/>
              </w:rPr>
              <w:t>Acting Assistant Director of Pharmacy, The Prince Charles Hospital, Queensland</w:t>
            </w:r>
          </w:p>
          <w:p w14:paraId="121FA92D" w14:textId="77777777" w:rsidR="00895CD2" w:rsidRDefault="00AD26F3">
            <w:pPr>
              <w:pStyle w:val="2body-copy"/>
              <w:rPr>
                <w:rFonts w:cs="Times New Roman"/>
              </w:rPr>
            </w:pPr>
            <w:r>
              <w:rPr>
                <w:rStyle w:val="2body-roman"/>
                <w:rFonts w:cs="Times New Roman"/>
              </w:rPr>
              <w:t>‘I want to say “well done” on the NSQHS Standards. I think that some of the work that we have done around pressure injury, falls and deteriorating patients as a result of this new framework has really made a tangible impact on the quality of our care and the outcomes for our patients. I think that’s a really good start.’</w:t>
            </w:r>
          </w:p>
          <w:p w14:paraId="63A9E189" w14:textId="77777777" w:rsidR="00895CD2" w:rsidRPr="00966604" w:rsidRDefault="00AD26F3" w:rsidP="00966604">
            <w:pPr>
              <w:pStyle w:val="2quoted-by"/>
              <w:rPr>
                <w:rStyle w:val="colourss2"/>
                <w:b/>
              </w:rPr>
            </w:pPr>
            <w:r w:rsidRPr="00966604">
              <w:rPr>
                <w:rStyle w:val="colourss2"/>
                <w:b/>
              </w:rPr>
              <w:t>Health Service Executive, Horsham, Victoria</w:t>
            </w:r>
          </w:p>
        </w:tc>
      </w:tr>
    </w:tbl>
    <w:p w14:paraId="798A25E7" w14:textId="77777777" w:rsidR="00895CD2" w:rsidRDefault="00AD26F3">
      <w:pPr>
        <w:pStyle w:val="1heading-level-2"/>
        <w:rPr>
          <w:rFonts w:cs="Times New Roman"/>
          <w:lang w:val="en-GB"/>
        </w:rPr>
      </w:pPr>
      <w:r>
        <w:rPr>
          <w:rFonts w:cs="Times New Roman"/>
          <w:lang w:val="en-GB"/>
        </w:rPr>
        <w:t xml:space="preserve">Safety and quality in primary care </w:t>
      </w:r>
    </w:p>
    <w:p w14:paraId="43DD12B8" w14:textId="77777777" w:rsidR="00895CD2" w:rsidRDefault="00AD26F3">
      <w:pPr>
        <w:pStyle w:val="2body-copy"/>
        <w:rPr>
          <w:rFonts w:cs="Times New Roman"/>
          <w:lang w:val="en-GB"/>
        </w:rPr>
      </w:pPr>
      <w:r>
        <w:rPr>
          <w:rFonts w:cs="Times New Roman"/>
          <w:lang w:val="en-GB"/>
        </w:rPr>
        <w:t>The primary care sector is diverse and complex covering a range of services across numerous settings of care. During 2013/14, the Commission has been working with community health services, dental practices and general practices to improve the safety and quality of the care they provide.</w:t>
      </w:r>
    </w:p>
    <w:p w14:paraId="1323E3CE" w14:textId="77777777" w:rsidR="00895CD2" w:rsidRDefault="00AD26F3">
      <w:pPr>
        <w:pStyle w:val="1heading-level-3"/>
        <w:rPr>
          <w:rFonts w:cs="Times New Roman"/>
          <w:lang w:val="en-GB"/>
        </w:rPr>
      </w:pPr>
      <w:r>
        <w:rPr>
          <w:rFonts w:cs="Times New Roman"/>
          <w:lang w:val="en-GB"/>
        </w:rPr>
        <w:t>Community health services</w:t>
      </w:r>
    </w:p>
    <w:p w14:paraId="62E709D6" w14:textId="77777777" w:rsidR="00895CD2" w:rsidRDefault="00AD26F3">
      <w:pPr>
        <w:pStyle w:val="2body-copy"/>
        <w:rPr>
          <w:rFonts w:cs="Times New Roman"/>
          <w:lang w:val="en-GB"/>
        </w:rPr>
      </w:pPr>
      <w:r>
        <w:rPr>
          <w:rFonts w:cs="Times New Roman"/>
          <w:lang w:val="en-GB"/>
        </w:rPr>
        <w:t>The NSQHS Standards are being implemented in a range of community health services, particularly where they form part of a continuum of care provided by a local health district or private hospital ownership group. During 2013/14, the Commission worked with the community health sector to develop resources that describe the intent of the NSQHS Standards and provide strategies for meeting their requirements. An electronic monitoring tool is also being developed to enable community health services to track their progress with implementation of the NSQHS Standards.</w:t>
      </w:r>
    </w:p>
    <w:p w14:paraId="547132D4" w14:textId="77777777" w:rsidR="00895CD2" w:rsidRDefault="00AD26F3">
      <w:pPr>
        <w:pStyle w:val="2body-copy"/>
        <w:rPr>
          <w:rFonts w:cs="Times New Roman"/>
          <w:lang w:val="en-GB"/>
        </w:rPr>
      </w:pPr>
      <w:r>
        <w:rPr>
          <w:rFonts w:cs="Times New Roman"/>
          <w:lang w:val="en-GB"/>
        </w:rPr>
        <w:t xml:space="preserve">Piloting of these resources will commence in the second half for 2014. </w:t>
      </w:r>
    </w:p>
    <w:p w14:paraId="15B7D1ED" w14:textId="77777777" w:rsidR="00895CD2" w:rsidRDefault="00AD26F3">
      <w:pPr>
        <w:pStyle w:val="1heading-level-3"/>
        <w:rPr>
          <w:rFonts w:cs="Times New Roman"/>
          <w:lang w:val="en-GB"/>
        </w:rPr>
      </w:pPr>
      <w:r>
        <w:rPr>
          <w:rFonts w:cs="Times New Roman"/>
          <w:lang w:val="en-GB"/>
        </w:rPr>
        <w:t xml:space="preserve">Dental practice </w:t>
      </w:r>
    </w:p>
    <w:p w14:paraId="47FD1B95" w14:textId="77777777" w:rsidR="00895CD2" w:rsidRDefault="00AD26F3">
      <w:pPr>
        <w:pStyle w:val="2body-copy"/>
        <w:rPr>
          <w:rFonts w:cs="Times New Roman"/>
          <w:lang w:val="en-GB"/>
        </w:rPr>
      </w:pPr>
      <w:r>
        <w:rPr>
          <w:rFonts w:cs="Times New Roman"/>
          <w:lang w:val="en-GB"/>
        </w:rPr>
        <w:t xml:space="preserve">The majority of public dental practices in Australia are required to be accredited to the NSQHS Standards. While accreditation for private dental practices is voluntary, the Australian Dental Association supports their participation. </w:t>
      </w:r>
    </w:p>
    <w:p w14:paraId="5417FC98" w14:textId="77777777" w:rsidR="00895CD2" w:rsidRDefault="00AD26F3">
      <w:pPr>
        <w:pStyle w:val="2body-copy"/>
        <w:rPr>
          <w:rFonts w:cs="Times New Roman"/>
          <w:lang w:val="en-GB"/>
        </w:rPr>
      </w:pPr>
      <w:r>
        <w:rPr>
          <w:rFonts w:cs="Times New Roman"/>
          <w:lang w:val="en-GB"/>
        </w:rPr>
        <w:t xml:space="preserve">To facilitate the application of the NSQHS Standards in dental practices, the Commission is developing a resource that outlines continuous quality improvement strategies and guidance on improving </w:t>
      </w:r>
    </w:p>
    <w:p w14:paraId="3742286A" w14:textId="77777777" w:rsidR="00895CD2" w:rsidRDefault="00AD26F3">
      <w:pPr>
        <w:pStyle w:val="2body-copy"/>
        <w:rPr>
          <w:rFonts w:cs="Times New Roman"/>
          <w:lang w:val="en-GB"/>
        </w:rPr>
      </w:pPr>
      <w:proofErr w:type="gramStart"/>
      <w:r>
        <w:rPr>
          <w:rFonts w:cs="Times New Roman"/>
          <w:lang w:val="en-GB"/>
        </w:rPr>
        <w:t>safety</w:t>
      </w:r>
      <w:proofErr w:type="gramEnd"/>
      <w:r>
        <w:rPr>
          <w:rFonts w:cs="Times New Roman"/>
          <w:lang w:val="en-GB"/>
        </w:rPr>
        <w:t xml:space="preserve"> and quality in dental practices. This resource will be released for consultation later in 2014.</w:t>
      </w:r>
    </w:p>
    <w:p w14:paraId="00153225" w14:textId="77777777" w:rsidR="00895CD2" w:rsidRDefault="00AD26F3">
      <w:pPr>
        <w:pStyle w:val="1heading-level-3"/>
        <w:rPr>
          <w:rFonts w:cs="Times New Roman"/>
          <w:lang w:val="en-GB"/>
        </w:rPr>
      </w:pPr>
      <w:r>
        <w:rPr>
          <w:rFonts w:cs="Times New Roman"/>
          <w:lang w:val="en-GB"/>
        </w:rPr>
        <w:t>General practice accreditation</w:t>
      </w:r>
    </w:p>
    <w:p w14:paraId="48315B6E" w14:textId="77777777" w:rsidR="00895CD2" w:rsidRDefault="00AD26F3">
      <w:pPr>
        <w:pStyle w:val="2body-copy-before-bullet"/>
        <w:rPr>
          <w:rFonts w:cs="Times New Roman"/>
          <w:lang w:val="en-GB"/>
        </w:rPr>
      </w:pPr>
      <w:r>
        <w:rPr>
          <w:rFonts w:cs="Times New Roman"/>
          <w:lang w:val="en-GB"/>
        </w:rPr>
        <w:t>In 2013, the Royal Australian College of General Practitioners (RACGP) and the Commission embarked on a project to develop a governance and reporting framework for general practice accreditation in Australia. The aim of this project is to:</w:t>
      </w:r>
    </w:p>
    <w:p w14:paraId="288D6853" w14:textId="77777777" w:rsidR="00895CD2" w:rsidRDefault="00AD26F3" w:rsidP="00966604">
      <w:pPr>
        <w:pStyle w:val="bullet"/>
      </w:pPr>
      <w:r>
        <w:t>identify any issues general practices have with the existing accreditation scheme</w:t>
      </w:r>
    </w:p>
    <w:p w14:paraId="53E805B4" w14:textId="77777777" w:rsidR="00895CD2" w:rsidRDefault="00AD26F3" w:rsidP="00966604">
      <w:pPr>
        <w:pStyle w:val="bullet"/>
      </w:pPr>
      <w:r>
        <w:t>maximise safety and quality of patient care through the application of accreditation</w:t>
      </w:r>
    </w:p>
    <w:p w14:paraId="072FA429" w14:textId="77777777" w:rsidR="00895CD2" w:rsidRDefault="00AD26F3" w:rsidP="00966604">
      <w:pPr>
        <w:pStyle w:val="bullet"/>
      </w:pPr>
      <w:proofErr w:type="gramStart"/>
      <w:r>
        <w:t>coordinate</w:t>
      </w:r>
      <w:proofErr w:type="gramEnd"/>
      <w:r>
        <w:t xml:space="preserve"> general practice accreditation nationally.</w:t>
      </w:r>
    </w:p>
    <w:p w14:paraId="49B95D3C" w14:textId="77777777" w:rsidR="00895CD2" w:rsidRDefault="00AD26F3">
      <w:pPr>
        <w:pStyle w:val="2body-copy"/>
        <w:rPr>
          <w:rFonts w:cs="Times New Roman"/>
          <w:lang w:val="en-GB"/>
        </w:rPr>
      </w:pPr>
      <w:r>
        <w:rPr>
          <w:rFonts w:cs="Times New Roman"/>
          <w:lang w:val="en-GB"/>
        </w:rPr>
        <w:t>During the initial consultation process from August to September 2013, the Commission interviewed 15 general practice based organisations.</w:t>
      </w:r>
    </w:p>
    <w:p w14:paraId="673AA44E" w14:textId="77777777" w:rsidR="00966604" w:rsidRPr="00B164D1" w:rsidRDefault="00AD26F3" w:rsidP="00B164D1">
      <w:pPr>
        <w:pStyle w:val="2body-copy"/>
        <w:rPr>
          <w:rFonts w:cs="Times New Roman"/>
          <w:lang w:val="en-GB"/>
        </w:rPr>
      </w:pPr>
      <w:r>
        <w:rPr>
          <w:rFonts w:cs="Times New Roman"/>
          <w:lang w:val="en-GB"/>
        </w:rPr>
        <w:t>During July and August 2014, the Commission will consult with General Practitioners and Practice Managers across the country to inform the development of a framework for accreditation in general practices. A literature review and further consultations with the sector will follow.</w:t>
      </w:r>
    </w:p>
    <w:p w14:paraId="67B1E518" w14:textId="77777777" w:rsidR="00912C3D" w:rsidRDefault="00912C3D">
      <w:pPr>
        <w:pStyle w:val="1heading-level-2"/>
        <w:rPr>
          <w:rFonts w:cs="Times New Roman"/>
          <w:lang w:val="en-GB"/>
        </w:rPr>
      </w:pPr>
    </w:p>
    <w:p w14:paraId="4FBE388D" w14:textId="77777777" w:rsidR="00895CD2" w:rsidRDefault="00AD26F3">
      <w:pPr>
        <w:pStyle w:val="1heading-level-2"/>
        <w:rPr>
          <w:rFonts w:cs="Times New Roman"/>
          <w:lang w:val="en-GB"/>
        </w:rPr>
      </w:pPr>
      <w:r>
        <w:rPr>
          <w:rFonts w:cs="Times New Roman"/>
          <w:lang w:val="en-GB"/>
        </w:rPr>
        <w:lastRenderedPageBreak/>
        <w:t>Clinical Care Standards</w:t>
      </w:r>
    </w:p>
    <w:p w14:paraId="4F8C487F" w14:textId="77777777" w:rsidR="00895CD2" w:rsidRDefault="00AD26F3">
      <w:pPr>
        <w:pStyle w:val="2body-copy"/>
        <w:rPr>
          <w:rFonts w:cs="Times New Roman"/>
          <w:lang w:val="en-GB"/>
        </w:rPr>
      </w:pPr>
      <w:r>
        <w:rPr>
          <w:rFonts w:cs="Times New Roman"/>
          <w:lang w:val="en-GB"/>
        </w:rPr>
        <w:t>The Clinical Care Standards program aims to facilitate the provision of appropriate clinical care to people by addressing clinical areas where unwarranted variation in health care exists. Thus improving patient experiences, and enabling decision making to be shared between consumers and healthcare providers.</w:t>
      </w:r>
    </w:p>
    <w:p w14:paraId="53C610B8" w14:textId="77777777" w:rsidR="00895CD2" w:rsidRDefault="00AD26F3">
      <w:pPr>
        <w:pStyle w:val="2body-copy"/>
        <w:rPr>
          <w:rFonts w:cs="Times New Roman"/>
          <w:lang w:val="en-GB"/>
        </w:rPr>
      </w:pPr>
      <w:r>
        <w:rPr>
          <w:rFonts w:cs="Times New Roman"/>
          <w:lang w:val="en-GB"/>
        </w:rPr>
        <w:t>Clinical Care Standards comprise a set of quality statements that describe key components of the clinical care a person should be offered for a specified part of their patient journey.</w:t>
      </w:r>
    </w:p>
    <w:p w14:paraId="707C41DA" w14:textId="77777777" w:rsidR="00895CD2" w:rsidRDefault="00AD26F3">
      <w:pPr>
        <w:pStyle w:val="2body-copy"/>
        <w:rPr>
          <w:rFonts w:cs="Times New Roman"/>
          <w:lang w:val="en-GB"/>
        </w:rPr>
      </w:pPr>
      <w:r>
        <w:rPr>
          <w:rFonts w:cs="Times New Roman"/>
          <w:lang w:val="en-GB"/>
        </w:rPr>
        <w:t>During 2013/14, the Commission collaborated with established working groups comprised of consumers, clinicians and other healthcare experts to develop the initial sets of Clinical Care Standards for acute coronary syndromes, antimicrobial stewardship and stroke. These Clinical Care Standards focus on the care people should receive from the onset of their symptoms and throughout their care in the hospital. The Clinical Care Standards highlight the need for communication with primary care providers prior to a patient being sent home.</w:t>
      </w:r>
    </w:p>
    <w:p w14:paraId="69F72E52" w14:textId="77777777" w:rsidR="00895CD2" w:rsidRDefault="00AD26F3">
      <w:pPr>
        <w:pStyle w:val="2body-copy"/>
        <w:rPr>
          <w:rFonts w:cs="Times New Roman"/>
          <w:lang w:val="en-GB"/>
        </w:rPr>
      </w:pPr>
      <w:r>
        <w:rPr>
          <w:rFonts w:cs="Times New Roman"/>
          <w:lang w:val="en-GB"/>
        </w:rPr>
        <w:t>The draft Clinical Care Standards for acute coronary syndromes and antimicrobial stewardship were released for public consultation from December 2013 to March 2014. Consultation on the draft Clinical Care Standard for stroke took place from March to May 2014. Across the three consultations, more than 300 responses were received.</w:t>
      </w:r>
    </w:p>
    <w:p w14:paraId="4AB8EFCE" w14:textId="77777777" w:rsidR="00895CD2" w:rsidRDefault="00AD26F3">
      <w:pPr>
        <w:pStyle w:val="2body-copy"/>
        <w:rPr>
          <w:rFonts w:cs="Times New Roman"/>
          <w:lang w:val="en-GB"/>
        </w:rPr>
      </w:pPr>
      <w:r>
        <w:rPr>
          <w:rFonts w:cs="Times New Roman"/>
          <w:lang w:val="en-GB"/>
        </w:rPr>
        <w:t xml:space="preserve">Feedback from formal submissions was broadly supportive of the Clinical Care Standards. A report on the findings from the consultation process will be released later in 2014. </w:t>
      </w:r>
    </w:p>
    <w:p w14:paraId="33D4A0E1" w14:textId="77777777" w:rsidR="00895CD2" w:rsidRDefault="00AD26F3">
      <w:pPr>
        <w:pStyle w:val="2body-copy"/>
        <w:rPr>
          <w:rFonts w:cs="Times New Roman"/>
          <w:lang w:val="en-GB"/>
        </w:rPr>
      </w:pPr>
      <w:r>
        <w:rPr>
          <w:rFonts w:cs="Times New Roman"/>
          <w:lang w:val="en-GB"/>
        </w:rPr>
        <w:t>Based on the consultation feedback, further work will be undertaken to improve the Clinical Care Standards ahead of their release for implementation in early 2015.</w:t>
      </w:r>
    </w:p>
    <w:p w14:paraId="7F2CB8EB" w14:textId="77777777" w:rsidR="00895CD2" w:rsidRDefault="00AD26F3">
      <w:pPr>
        <w:pStyle w:val="2body-copy"/>
        <w:rPr>
          <w:rFonts w:cs="Times New Roman"/>
          <w:lang w:val="en-GB"/>
        </w:rPr>
      </w:pPr>
      <w:r>
        <w:rPr>
          <w:rFonts w:cs="Times New Roman"/>
          <w:lang w:val="en-GB"/>
        </w:rPr>
        <w:t>The Commission has begun work on an implementation plan for the Clinical Care Standards, working with representatives from across the sector to investigate ways of integrating the standards into current clinical practice and policies and programs.</w:t>
      </w:r>
    </w:p>
    <w:tbl>
      <w:tblPr>
        <w:tblW w:w="0" w:type="auto"/>
        <w:shd w:val="clear" w:color="auto" w:fill="DEEEEA"/>
        <w:tblCellMar>
          <w:top w:w="113" w:type="dxa"/>
          <w:left w:w="113" w:type="dxa"/>
          <w:bottom w:w="113" w:type="dxa"/>
          <w:right w:w="113" w:type="dxa"/>
        </w:tblCellMar>
        <w:tblLook w:val="04A0" w:firstRow="1" w:lastRow="0" w:firstColumn="1" w:lastColumn="0" w:noHBand="0" w:noVBand="1"/>
      </w:tblPr>
      <w:tblGrid>
        <w:gridCol w:w="10425"/>
      </w:tblGrid>
      <w:tr w:rsidR="00895CD2" w14:paraId="3A9A7F0A" w14:textId="77777777" w:rsidTr="00966604">
        <w:tc>
          <w:tcPr>
            <w:tcW w:w="0" w:type="auto"/>
            <w:shd w:val="clear" w:color="auto" w:fill="DEEEEA"/>
            <w:vAlign w:val="center"/>
            <w:hideMark/>
          </w:tcPr>
          <w:p w14:paraId="71BEFFC3" w14:textId="77777777" w:rsidR="00895CD2" w:rsidRPr="00966604" w:rsidRDefault="00AD26F3">
            <w:pPr>
              <w:pStyle w:val="1h4"/>
              <w:rPr>
                <w:rFonts w:cs="Times New Roman"/>
                <w:b/>
              </w:rPr>
            </w:pPr>
            <w:r w:rsidRPr="00966604">
              <w:rPr>
                <w:rStyle w:val="colourss2"/>
                <w:rFonts w:cs="Times New Roman"/>
                <w:b/>
              </w:rPr>
              <w:t>Feedback on the draft Clinical Care Standards</w:t>
            </w:r>
          </w:p>
          <w:p w14:paraId="4766C75D" w14:textId="77777777" w:rsidR="00895CD2" w:rsidRDefault="00AD26F3">
            <w:pPr>
              <w:pStyle w:val="2body-copy"/>
              <w:rPr>
                <w:rFonts w:cs="Times New Roman"/>
              </w:rPr>
            </w:pPr>
            <w:r>
              <w:rPr>
                <w:rFonts w:cs="Times New Roman"/>
              </w:rPr>
              <w:t>‘We recognise the importance of national Clinical Care Standards in improving the delivery of Australian healthcare services by aiding in the reduction of inappropriate variation in clinical practice. The Clinical Care Standards will also serve as a valuable tool to improve patient understanding of and satisfaction with care provided, by enhancing the communication and decision-making process between patients and their health professionals.’</w:t>
            </w:r>
          </w:p>
          <w:p w14:paraId="4CFB0770" w14:textId="77777777" w:rsidR="00895CD2" w:rsidRDefault="00AD26F3">
            <w:pPr>
              <w:pStyle w:val="2body-copy"/>
              <w:rPr>
                <w:rFonts w:cs="Times New Roman"/>
              </w:rPr>
            </w:pPr>
            <w:r>
              <w:rPr>
                <w:rFonts w:cs="Times New Roman"/>
              </w:rPr>
              <w:t>‘Overall, we commend the Commission on the development of the Clinical Care Standards, which bring together best practice in clinical care and support health practitioners, consumers and health organisations in providing high-quality and safe clinical care.’</w:t>
            </w:r>
          </w:p>
          <w:p w14:paraId="5559268F" w14:textId="77777777" w:rsidR="00895CD2" w:rsidRDefault="00AD26F3">
            <w:pPr>
              <w:pStyle w:val="2body-copy"/>
              <w:rPr>
                <w:rFonts w:cs="Times New Roman"/>
              </w:rPr>
            </w:pPr>
            <w:r>
              <w:rPr>
                <w:rFonts w:cs="Times New Roman"/>
              </w:rPr>
              <w:t>‘We understand that the aim of the draft Clinical Care Standards is to support delivery of appropriate care, reduce unwarranted variation in care, and aid shared decision making between patients, carers and clinicians. As such, we are pleased to note that work on the standards was guided by the inclusion of consumer representatives on each of the working groups responsible for developing these standards.’</w:t>
            </w:r>
          </w:p>
          <w:p w14:paraId="582911BE" w14:textId="77777777" w:rsidR="00895CD2" w:rsidRPr="00966604" w:rsidRDefault="00AD26F3">
            <w:pPr>
              <w:pStyle w:val="2quoted-by"/>
              <w:rPr>
                <w:rStyle w:val="colourss2"/>
                <w:b/>
              </w:rPr>
            </w:pPr>
            <w:r w:rsidRPr="00966604">
              <w:rPr>
                <w:rStyle w:val="colourss2"/>
                <w:b/>
              </w:rPr>
              <w:t>Comments received from participants in consultations on the draft Clinical Care Standards</w:t>
            </w:r>
          </w:p>
        </w:tc>
      </w:tr>
    </w:tbl>
    <w:p w14:paraId="54087461" w14:textId="77777777" w:rsidR="00895CD2" w:rsidRDefault="00AD26F3">
      <w:pPr>
        <w:pStyle w:val="1heading-level-2"/>
        <w:rPr>
          <w:rFonts w:cs="Times New Roman"/>
          <w:lang w:val="en-GB"/>
        </w:rPr>
      </w:pPr>
      <w:r>
        <w:rPr>
          <w:rFonts w:cs="Times New Roman"/>
          <w:lang w:val="en-GB"/>
        </w:rPr>
        <w:t xml:space="preserve">National standards for mental health services </w:t>
      </w:r>
    </w:p>
    <w:p w14:paraId="63658D98" w14:textId="77777777" w:rsidR="00895CD2" w:rsidRDefault="00AD26F3">
      <w:pPr>
        <w:pStyle w:val="2body-copy"/>
        <w:rPr>
          <w:rFonts w:cs="Times New Roman"/>
          <w:lang w:val="en-GB"/>
        </w:rPr>
      </w:pPr>
      <w:r>
        <w:rPr>
          <w:rFonts w:cs="Times New Roman"/>
          <w:lang w:val="en-GB"/>
        </w:rPr>
        <w:t>The Commission has undertaken a number of initiatives to support the implementation of national standards in mental healthcare settings. This work has included the development of networks and links with other agencies, including the National Mental Health Commission, the Department of Health, Safety and Quality Partnership Standing Committee and Private Mental Health Alliance.</w:t>
      </w:r>
    </w:p>
    <w:p w14:paraId="49F5F0B0" w14:textId="77777777" w:rsidR="00895CD2" w:rsidRDefault="00AD26F3">
      <w:pPr>
        <w:pStyle w:val="2body-copy"/>
        <w:rPr>
          <w:rFonts w:cs="Times New Roman"/>
          <w:lang w:val="en-GB"/>
        </w:rPr>
      </w:pPr>
      <w:r>
        <w:rPr>
          <w:rFonts w:cs="Times New Roman"/>
          <w:lang w:val="en-GB"/>
        </w:rPr>
        <w:t xml:space="preserve">In March 2014, the Commission released the </w:t>
      </w:r>
      <w:r>
        <w:rPr>
          <w:rStyle w:val="2body-italic"/>
          <w:rFonts w:cs="Times New Roman"/>
          <w:lang w:val="en-GB"/>
        </w:rPr>
        <w:t>Accreditation Workbook for Mental Health Services</w:t>
      </w:r>
      <w:r>
        <w:rPr>
          <w:rFonts w:cs="Times New Roman"/>
          <w:lang w:val="en-GB"/>
        </w:rPr>
        <w:t>. The workbook will help mental health services to understand and comply with both the NSQHS Standards and the National Standards for Mental Health Services (NSMHS). The idea for the workbook arose from collaborations between the Commission, the Department of Health, and the Safety and Quality Partnership Standing Committee (Mental Health and Drug and Alcohol Principal Committee). National consultation on a draft of the workbook took place during 2012/13. Feedback from several service providers noted that the draft workbook was a useful tool for working through implementation.</w:t>
      </w:r>
    </w:p>
    <w:p w14:paraId="7B1F5C10" w14:textId="77777777" w:rsidR="00895CD2" w:rsidRDefault="00AD26F3">
      <w:pPr>
        <w:pStyle w:val="2body-copy"/>
        <w:rPr>
          <w:rFonts w:cs="Times New Roman"/>
          <w:lang w:val="en-GB"/>
        </w:rPr>
      </w:pPr>
      <w:r>
        <w:rPr>
          <w:rFonts w:cs="Times New Roman"/>
          <w:lang w:val="en-GB"/>
        </w:rPr>
        <w:lastRenderedPageBreak/>
        <w:t xml:space="preserve">During 2013/14, the Commission continued work on a scoping study with the National Mental Health Commission on implementing the NSQHS Standards and the NSMHS. The study involved both service users and service providers around Australia and focused on compliance with the two sets of standards in the public, private and community-managed mental health sectors. The study also aimed to identify the enablers, barriers and challenges health services face in complying with the standards and pinpoint gaps in the standards’ framework with respect to safety and quality. </w:t>
      </w:r>
    </w:p>
    <w:p w14:paraId="7D1BC0A1" w14:textId="77777777" w:rsidR="00895CD2" w:rsidRDefault="00AD26F3">
      <w:pPr>
        <w:pStyle w:val="2body-copy"/>
        <w:rPr>
          <w:rFonts w:cs="Times New Roman"/>
          <w:lang w:val="en-GB"/>
        </w:rPr>
      </w:pPr>
      <w:r>
        <w:rPr>
          <w:rFonts w:cs="Times New Roman"/>
          <w:lang w:val="en-GB"/>
        </w:rPr>
        <w:t xml:space="preserve">From July to September 2013, the Commission’s mental health team travelled around Australia and talked with 150 mental health service providers and consumers in 22 focus groups and interviews. The focus groups enabled the Commission to further explore the views of service providers and service users and focus on the issues raised by the 425 participants in the national survey conducted earlier in the study. </w:t>
      </w:r>
    </w:p>
    <w:p w14:paraId="2CB9D334" w14:textId="77777777" w:rsidR="00895CD2" w:rsidRDefault="00AD26F3">
      <w:pPr>
        <w:pStyle w:val="2body-copy"/>
        <w:rPr>
          <w:rFonts w:cs="Times New Roman"/>
          <w:lang w:val="en-GB"/>
        </w:rPr>
      </w:pPr>
      <w:r>
        <w:rPr>
          <w:rFonts w:cs="Times New Roman"/>
          <w:lang w:val="en-GB"/>
        </w:rPr>
        <w:t xml:space="preserve">The report on the scoping study is expected to be finalised in July 2014. The Commission will confer with the National Mental Health Commission on the recommendations arising from the report. </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3E381066" w14:textId="77777777" w:rsidTr="007F4D2B">
        <w:tc>
          <w:tcPr>
            <w:tcW w:w="0" w:type="auto"/>
            <w:shd w:val="clear" w:color="auto" w:fill="00837D"/>
            <w:vAlign w:val="center"/>
            <w:hideMark/>
          </w:tcPr>
          <w:p w14:paraId="6FE84F53" w14:textId="77777777" w:rsidR="00895CD2" w:rsidRDefault="00AD26F3">
            <w:pPr>
              <w:pStyle w:val="3table-header-l"/>
              <w:rPr>
                <w:rFonts w:cs="Times New Roman"/>
              </w:rPr>
            </w:pPr>
            <w:r>
              <w:rPr>
                <w:rFonts w:cs="Times New Roman"/>
              </w:rPr>
              <w:t>Key achievements 2013/14</w:t>
            </w:r>
          </w:p>
        </w:tc>
      </w:tr>
      <w:tr w:rsidR="00895CD2" w14:paraId="4E5697BA" w14:textId="77777777" w:rsidTr="007F4D2B">
        <w:tc>
          <w:tcPr>
            <w:tcW w:w="0" w:type="auto"/>
            <w:vAlign w:val="center"/>
            <w:hideMark/>
          </w:tcPr>
          <w:p w14:paraId="07D9EC9A" w14:textId="77777777" w:rsidR="00895CD2" w:rsidRDefault="00AD26F3">
            <w:pPr>
              <w:pStyle w:val="2body-copy"/>
              <w:rPr>
                <w:rFonts w:cs="Times New Roman"/>
              </w:rPr>
            </w:pPr>
            <w:r>
              <w:rPr>
                <w:rStyle w:val="s2-pull-out-numbers"/>
                <w:rFonts w:cs="Times New Roman"/>
              </w:rPr>
              <w:t xml:space="preserve">1,400 </w:t>
            </w:r>
            <w:r>
              <w:rPr>
                <w:rFonts w:cs="Times New Roman"/>
              </w:rPr>
              <w:t xml:space="preserve">copies of the </w:t>
            </w:r>
            <w:r>
              <w:rPr>
                <w:rStyle w:val="2body-italic"/>
                <w:rFonts w:cs="Times New Roman"/>
              </w:rPr>
              <w:t>Accreditation Workbook for Mental Health Services</w:t>
            </w:r>
            <w:r>
              <w:rPr>
                <w:rFonts w:cs="Times New Roman"/>
              </w:rPr>
              <w:t xml:space="preserve"> were distributed to hospitals and mental health services across Australia.</w:t>
            </w:r>
          </w:p>
        </w:tc>
      </w:tr>
      <w:tr w:rsidR="00895CD2" w14:paraId="1CE6910B" w14:textId="77777777" w:rsidTr="007F4D2B">
        <w:tc>
          <w:tcPr>
            <w:tcW w:w="0" w:type="auto"/>
            <w:vAlign w:val="center"/>
            <w:hideMark/>
          </w:tcPr>
          <w:p w14:paraId="6B0794DB" w14:textId="77777777" w:rsidR="00895CD2" w:rsidRDefault="00AD26F3">
            <w:pPr>
              <w:pStyle w:val="2body-copy"/>
              <w:rPr>
                <w:rFonts w:cs="Times New Roman"/>
              </w:rPr>
            </w:pPr>
            <w:r>
              <w:rPr>
                <w:rFonts w:cs="Times New Roman"/>
              </w:rPr>
              <w:t xml:space="preserve">More than </w:t>
            </w:r>
            <w:r>
              <w:rPr>
                <w:rStyle w:val="s2-pull-out-numbers"/>
                <w:rFonts w:cs="Times New Roman"/>
              </w:rPr>
              <w:t>2,000</w:t>
            </w:r>
            <w:r>
              <w:rPr>
                <w:rFonts w:cs="Times New Roman"/>
              </w:rPr>
              <w:t xml:space="preserve"> </w:t>
            </w:r>
            <w:proofErr w:type="gramStart"/>
            <w:r>
              <w:rPr>
                <w:rFonts w:cs="Times New Roman"/>
              </w:rPr>
              <w:t>downloads</w:t>
            </w:r>
            <w:proofErr w:type="gramEnd"/>
            <w:r>
              <w:rPr>
                <w:rFonts w:cs="Times New Roman"/>
              </w:rPr>
              <w:t xml:space="preserve"> of the </w:t>
            </w:r>
            <w:r>
              <w:rPr>
                <w:rStyle w:val="2body-italic"/>
                <w:rFonts w:cs="Times New Roman"/>
              </w:rPr>
              <w:t>Accreditation Workbook for Mental Health Services</w:t>
            </w:r>
            <w:r>
              <w:rPr>
                <w:rFonts w:cs="Times New Roman"/>
              </w:rPr>
              <w:t xml:space="preserve"> were made from the Commission’s web site.</w:t>
            </w:r>
          </w:p>
        </w:tc>
      </w:tr>
      <w:tr w:rsidR="00895CD2" w14:paraId="2B9A0ADE" w14:textId="77777777" w:rsidTr="007F4D2B">
        <w:tc>
          <w:tcPr>
            <w:tcW w:w="0" w:type="auto"/>
            <w:vAlign w:val="center"/>
            <w:hideMark/>
          </w:tcPr>
          <w:p w14:paraId="545713A9" w14:textId="77777777" w:rsidR="00895CD2" w:rsidRDefault="00AD26F3">
            <w:pPr>
              <w:pStyle w:val="2body-copy"/>
              <w:rPr>
                <w:rFonts w:cs="Times New Roman"/>
              </w:rPr>
            </w:pPr>
            <w:r>
              <w:rPr>
                <w:rStyle w:val="s2-pull-out-numbers"/>
                <w:rFonts w:cs="Times New Roman"/>
              </w:rPr>
              <w:t xml:space="preserve">575 </w:t>
            </w:r>
            <w:r>
              <w:rPr>
                <w:rFonts w:cs="Times New Roman"/>
              </w:rPr>
              <w:t>service providers and consumers were consulted as part of the scoping study on national standards for mental health.</w:t>
            </w:r>
          </w:p>
        </w:tc>
      </w:tr>
    </w:tbl>
    <w:p w14:paraId="4F9FC3A2" w14:textId="77777777" w:rsidR="00895CD2" w:rsidRDefault="00AD26F3">
      <w:pPr>
        <w:pStyle w:val="1heading-level-2"/>
        <w:rPr>
          <w:rFonts w:cs="Times New Roman"/>
          <w:lang w:val="en-GB"/>
        </w:rPr>
      </w:pPr>
      <w:r>
        <w:rPr>
          <w:rFonts w:cs="Times New Roman"/>
          <w:lang w:val="en-GB"/>
        </w:rPr>
        <w:t>Improving the management of cognitive impairment using the NSQHS Standards</w:t>
      </w:r>
    </w:p>
    <w:p w14:paraId="3F2107A7" w14:textId="77777777" w:rsidR="00895CD2" w:rsidRDefault="00AD26F3">
      <w:pPr>
        <w:pStyle w:val="2body-copy"/>
        <w:rPr>
          <w:rFonts w:cs="Times New Roman"/>
          <w:lang w:val="en-GB"/>
        </w:rPr>
      </w:pPr>
      <w:r>
        <w:rPr>
          <w:rFonts w:cs="Times New Roman"/>
          <w:lang w:val="en-GB"/>
        </w:rPr>
        <w:t>During 2013/14, the Commission received funding from the Department of Social Services to use the NSQHS Standards and other mechanisms to coordinate national improvement in the care of patients with cognitive impairment (including dementia and delirium) in acute care.</w:t>
      </w:r>
    </w:p>
    <w:p w14:paraId="712F576C" w14:textId="77777777" w:rsidR="00895CD2" w:rsidRDefault="00AD26F3">
      <w:pPr>
        <w:pStyle w:val="2body-copy"/>
        <w:rPr>
          <w:rFonts w:cs="Times New Roman"/>
          <w:lang w:val="en-GB"/>
        </w:rPr>
      </w:pPr>
      <w:r>
        <w:rPr>
          <w:rFonts w:cs="Times New Roman"/>
          <w:lang w:val="en-GB"/>
        </w:rPr>
        <w:t>The project began in June 2013, guided by an oversight committee. The first phase involved drafting a handbook on improving the care of people with cognitive impairment within the context of the NSQHS Standards. Safety and quality issues specific to caring for patients with cognitive impairment were identified during the development of the handbook.</w:t>
      </w:r>
    </w:p>
    <w:p w14:paraId="4039CE8F" w14:textId="77777777" w:rsidR="00895CD2" w:rsidRDefault="00AD26F3">
      <w:pPr>
        <w:pStyle w:val="2body-copy"/>
        <w:rPr>
          <w:rFonts w:cs="Times New Roman"/>
          <w:lang w:val="en-GB"/>
        </w:rPr>
      </w:pPr>
      <w:r>
        <w:rPr>
          <w:rStyle w:val="2body-italic"/>
          <w:rFonts w:cs="Times New Roman"/>
          <w:lang w:val="en-GB"/>
        </w:rPr>
        <w:t>The Handbook for improving safety and providing high quality care for people with cognitive impairment in acute care: A consultation paper</w:t>
      </w:r>
      <w:r>
        <w:rPr>
          <w:rFonts w:cs="Times New Roman"/>
          <w:lang w:val="en-GB"/>
        </w:rPr>
        <w:t xml:space="preserve"> was released in September 2013. The Commission consulted extensively with health service providers, consumers and carers around Australia between October and December 2013. The national consultation consisted of 16 health service organisation forums, 10 focus groups with consumers and an online survey. The consultation not only enabled feedback on the draft handbook but also allowed those living with and caring for people with cognitive impairment to raise issues and make recommendations on improving care. The Commission is incorporating this feedback into a revised handbook and will launch an e-resource in September 2014, targeting health service managers, clinicians and consumers. </w:t>
      </w:r>
    </w:p>
    <w:p w14:paraId="04B61566" w14:textId="77777777" w:rsidR="00895CD2" w:rsidRDefault="00AD26F3">
      <w:pPr>
        <w:pStyle w:val="2body-copy"/>
        <w:rPr>
          <w:rFonts w:cs="Times New Roman"/>
          <w:lang w:val="en-GB"/>
        </w:rPr>
      </w:pPr>
      <w:r>
        <w:rPr>
          <w:rFonts w:cs="Times New Roman"/>
          <w:lang w:val="en-GB"/>
        </w:rPr>
        <w:t>This resource has been developed to apply across the diverse range of hospital facilities in Australia, from major tertiary teaching hospitals to small rural multipurpose services. While the resource focuses on the acute and sub-acute care settings, there is recognition that people with cognitive impairment are also managed in primary care, community and residential care. For the best possible outcome for patients, these services need to be seamlessly linked. As such, the resource includes strategies to be effected at the point of transitions in care. These address information exchange and communication between hospitals and general practice, primary care, aged community and residential care.</w:t>
      </w:r>
    </w:p>
    <w:p w14:paraId="585FAE8A" w14:textId="77777777" w:rsidR="00895CD2" w:rsidRDefault="00AD26F3">
      <w:pPr>
        <w:pStyle w:val="2body-copy"/>
        <w:rPr>
          <w:rFonts w:cs="Times New Roman"/>
          <w:lang w:val="en-GB"/>
        </w:rPr>
      </w:pPr>
      <w:r>
        <w:rPr>
          <w:rFonts w:cs="Times New Roman"/>
          <w:lang w:val="en-GB"/>
        </w:rPr>
        <w:lastRenderedPageBreak/>
        <w:t xml:space="preserve">The second phase of the project to improve the care of people with cognitive impairment involves developing solutions for safety and quality issues that have not been adequately addressed within the NSQHS Standards. This includes setting a new Clinical Care Standard for delirium and developing recommendations to address cognitive impairment in the Commission’s 2015 review of the NSQHS Standards. The project is due to be completed in June 2015. </w:t>
      </w:r>
    </w:p>
    <w:tbl>
      <w:tblPr>
        <w:tblW w:w="0" w:type="auto"/>
        <w:tblCellMar>
          <w:top w:w="57" w:type="dxa"/>
          <w:left w:w="113" w:type="dxa"/>
          <w:bottom w:w="57" w:type="dxa"/>
          <w:right w:w="113" w:type="dxa"/>
        </w:tblCellMar>
        <w:tblLook w:val="04A0" w:firstRow="1" w:lastRow="0" w:firstColumn="1" w:lastColumn="0" w:noHBand="0" w:noVBand="1"/>
      </w:tblPr>
      <w:tblGrid>
        <w:gridCol w:w="10425"/>
      </w:tblGrid>
      <w:tr w:rsidR="00895CD2" w14:paraId="491C89D6" w14:textId="77777777" w:rsidTr="007F4D2B">
        <w:tc>
          <w:tcPr>
            <w:tcW w:w="0" w:type="auto"/>
            <w:tcBorders>
              <w:bottom w:val="dotted" w:sz="8" w:space="0" w:color="00837D"/>
            </w:tcBorders>
            <w:shd w:val="clear" w:color="auto" w:fill="00837D"/>
            <w:vAlign w:val="center"/>
            <w:hideMark/>
          </w:tcPr>
          <w:p w14:paraId="69B7BEB8" w14:textId="77777777" w:rsidR="00895CD2" w:rsidRDefault="00AD26F3">
            <w:pPr>
              <w:pStyle w:val="3table-header-l"/>
              <w:rPr>
                <w:rFonts w:cs="Times New Roman"/>
              </w:rPr>
            </w:pPr>
            <w:r>
              <w:rPr>
                <w:rFonts w:cs="Times New Roman"/>
              </w:rPr>
              <w:t>Key achievements 2013/14</w:t>
            </w:r>
          </w:p>
        </w:tc>
      </w:tr>
      <w:tr w:rsidR="00895CD2" w14:paraId="54649B7D" w14:textId="77777777" w:rsidTr="007F4D2B">
        <w:tc>
          <w:tcPr>
            <w:tcW w:w="0" w:type="auto"/>
            <w:tcBorders>
              <w:top w:val="dotted" w:sz="8" w:space="0" w:color="00837D"/>
              <w:left w:val="dotted" w:sz="8" w:space="0" w:color="00837D"/>
              <w:right w:val="dotted" w:sz="8" w:space="0" w:color="00837D"/>
            </w:tcBorders>
            <w:vAlign w:val="center"/>
            <w:hideMark/>
          </w:tcPr>
          <w:p w14:paraId="66E0AD48" w14:textId="77777777" w:rsidR="00895CD2" w:rsidRDefault="00AD26F3">
            <w:pPr>
              <w:pStyle w:val="2body-copy"/>
              <w:rPr>
                <w:rFonts w:cs="Times New Roman"/>
              </w:rPr>
            </w:pPr>
            <w:r>
              <w:rPr>
                <w:rStyle w:val="s2-pull-out-numbers"/>
                <w:rFonts w:cs="Times New Roman"/>
              </w:rPr>
              <w:t xml:space="preserve">299 </w:t>
            </w:r>
            <w:r>
              <w:rPr>
                <w:rFonts w:cs="Times New Roman"/>
              </w:rPr>
              <w:t xml:space="preserve">health service providers participated in consultation forums on the </w:t>
            </w:r>
            <w:r>
              <w:rPr>
                <w:rStyle w:val="2body-italic"/>
                <w:rFonts w:cs="Times New Roman"/>
              </w:rPr>
              <w:t>Handbook for improving safety and providing high quality care for people with cognitive impairment in acute care: A consultation paper.</w:t>
            </w:r>
          </w:p>
        </w:tc>
      </w:tr>
      <w:tr w:rsidR="00895CD2" w14:paraId="58364D96" w14:textId="77777777" w:rsidTr="007F4D2B">
        <w:tc>
          <w:tcPr>
            <w:tcW w:w="0" w:type="auto"/>
            <w:tcBorders>
              <w:left w:val="dotted" w:sz="8" w:space="0" w:color="00837D"/>
              <w:bottom w:val="dotted" w:sz="8" w:space="0" w:color="00837D"/>
              <w:right w:val="dotted" w:sz="8" w:space="0" w:color="00837D"/>
            </w:tcBorders>
            <w:vAlign w:val="center"/>
            <w:hideMark/>
          </w:tcPr>
          <w:p w14:paraId="32ADFFAD" w14:textId="77777777" w:rsidR="00895CD2" w:rsidRDefault="00AD26F3">
            <w:pPr>
              <w:pStyle w:val="2body-copy"/>
              <w:rPr>
                <w:rFonts w:cs="Times New Roman"/>
              </w:rPr>
            </w:pPr>
            <w:r>
              <w:rPr>
                <w:rStyle w:val="s2-pull-out-numbers"/>
                <w:rFonts w:cs="Times New Roman"/>
              </w:rPr>
              <w:t>78</w:t>
            </w:r>
            <w:r>
              <w:rPr>
                <w:rFonts w:cs="Times New Roman"/>
              </w:rPr>
              <w:t xml:space="preserve"> consumers attended focus groups, 178 individuals completed an online survey and 18 written submissions were received from individuals and organisations.</w:t>
            </w:r>
          </w:p>
        </w:tc>
      </w:tr>
    </w:tbl>
    <w:p w14:paraId="364B671C" w14:textId="77777777" w:rsidR="00895CD2" w:rsidRDefault="00AD26F3">
      <w:pPr>
        <w:pStyle w:val="1heading-level-2"/>
        <w:rPr>
          <w:rFonts w:cs="Times New Roman"/>
          <w:lang w:val="en-GB"/>
        </w:rPr>
      </w:pPr>
      <w:r>
        <w:rPr>
          <w:rFonts w:cs="Times New Roman"/>
          <w:lang w:val="en-GB"/>
        </w:rPr>
        <w:t>National clinical quality</w:t>
      </w:r>
      <w:r>
        <w:rPr>
          <w:rStyle w:val="charoverride-24"/>
          <w:rFonts w:cs="Times New Roman"/>
          <w:lang w:val="en-GB"/>
        </w:rPr>
        <w:t> </w:t>
      </w:r>
      <w:r>
        <w:rPr>
          <w:rFonts w:cs="Times New Roman"/>
          <w:lang w:val="en-GB"/>
        </w:rPr>
        <w:t>registries</w:t>
      </w:r>
    </w:p>
    <w:p w14:paraId="05BF5B11" w14:textId="77777777" w:rsidR="00895CD2" w:rsidRDefault="00AD26F3">
      <w:pPr>
        <w:pStyle w:val="2body-copy-before-bullet"/>
        <w:rPr>
          <w:rFonts w:cs="Times New Roman"/>
          <w:lang w:val="en-GB"/>
        </w:rPr>
      </w:pPr>
      <w:r>
        <w:rPr>
          <w:rFonts w:cs="Times New Roman"/>
          <w:lang w:val="en-GB"/>
        </w:rPr>
        <w:t>Clinical quality registries collect, analyse and report on patient-related information to help improve the quality and safety of health care. In particular, clinical quality registries provide information about:</w:t>
      </w:r>
    </w:p>
    <w:p w14:paraId="19155001" w14:textId="77777777" w:rsidR="00895CD2" w:rsidRDefault="00AD26F3" w:rsidP="00CF6235">
      <w:pPr>
        <w:pStyle w:val="bullet"/>
      </w:pPr>
      <w:r>
        <w:t>the appropriateness of health care (whether the care delivered to patients is based on the best available evidence)</w:t>
      </w:r>
    </w:p>
    <w:p w14:paraId="61AAEC03" w14:textId="77777777" w:rsidR="00895CD2" w:rsidRDefault="00AD26F3" w:rsidP="00CF6235">
      <w:pPr>
        <w:pStyle w:val="bullet"/>
      </w:pPr>
      <w:proofErr w:type="gramStart"/>
      <w:r>
        <w:t>the</w:t>
      </w:r>
      <w:proofErr w:type="gramEnd"/>
      <w:r>
        <w:t xml:space="preserve"> effectiveness of health care, measured by the degree to which the care benefits the patient.</w:t>
      </w:r>
    </w:p>
    <w:p w14:paraId="752D0B06" w14:textId="77777777" w:rsidR="00895CD2" w:rsidRDefault="00AD26F3">
      <w:pPr>
        <w:pStyle w:val="2pull-out"/>
        <w:rPr>
          <w:rFonts w:cs="Times New Roman"/>
          <w:lang w:val="en-GB"/>
        </w:rPr>
      </w:pPr>
      <w:r>
        <w:rPr>
          <w:rFonts w:cs="Times New Roman"/>
          <w:lang w:val="en-GB"/>
        </w:rPr>
        <w:t xml:space="preserve">Developing standardised national registries of the quality of clinical care is a cost-effective way to monitor the degree to which health care benefits the patient and how closely the care aligns with evidence-based practice. </w:t>
      </w:r>
    </w:p>
    <w:p w14:paraId="5C0CE083" w14:textId="77777777" w:rsidR="00895CD2" w:rsidRDefault="00AD26F3">
      <w:pPr>
        <w:pStyle w:val="2body-copy"/>
        <w:rPr>
          <w:rFonts w:cs="Times New Roman"/>
          <w:lang w:val="en-GB"/>
        </w:rPr>
      </w:pPr>
      <w:r>
        <w:rPr>
          <w:rFonts w:cs="Times New Roman"/>
          <w:lang w:val="en-GB"/>
        </w:rPr>
        <w:t>Clinical quality registries add to historical research information by monitoring the quality of health care on a routine basis and reporting in a timely manner. Registry reports can be compared against peers, standards and benchmarks, thereby driving improvements in care. However, few clinical quality registries achieve national coverage, and most operate under varying arrangements with mixed buy-in from health system funders and operators.</w:t>
      </w:r>
    </w:p>
    <w:p w14:paraId="750DDAD4" w14:textId="77777777" w:rsidR="00895CD2" w:rsidRDefault="00AD26F3">
      <w:pPr>
        <w:pStyle w:val="2body-copy"/>
        <w:rPr>
          <w:rFonts w:cs="Times New Roman"/>
          <w:lang w:val="en-GB"/>
        </w:rPr>
      </w:pPr>
      <w:r>
        <w:rPr>
          <w:rFonts w:cs="Times New Roman"/>
          <w:lang w:val="en-GB"/>
        </w:rPr>
        <w:t xml:space="preserve">During 2013/14, the Commission developed a </w:t>
      </w:r>
      <w:r>
        <w:rPr>
          <w:rStyle w:val="2body-italic"/>
          <w:rFonts w:cs="Times New Roman"/>
          <w:lang w:val="en-GB"/>
        </w:rPr>
        <w:t>Framework for Australian clinical quality registries</w:t>
      </w:r>
      <w:r>
        <w:rPr>
          <w:rFonts w:cs="Times New Roman"/>
          <w:lang w:val="en-GB"/>
        </w:rPr>
        <w:t>, working with state and territory jurisdictions and the registries community. The framework specifies national arrangements under which hospitals and clinical quality registries can partner with the hospital sector and peak clinical groups to monitor and report on the appropriateness and effectiveness of health care. The framework also provides extensive technical guidance on best-practice building and operation of national registries.</w:t>
      </w:r>
    </w:p>
    <w:p w14:paraId="2F90DDAB" w14:textId="77777777" w:rsidR="00895CD2" w:rsidRDefault="00AD26F3">
      <w:pPr>
        <w:pStyle w:val="2body-copy"/>
        <w:rPr>
          <w:rFonts w:cs="Times New Roman"/>
          <w:lang w:val="en-GB"/>
        </w:rPr>
      </w:pPr>
      <w:r>
        <w:rPr>
          <w:rFonts w:cs="Times New Roman"/>
          <w:lang w:val="en-GB"/>
        </w:rPr>
        <w:t xml:space="preserve">The </w:t>
      </w:r>
      <w:r>
        <w:rPr>
          <w:rStyle w:val="2body-italic"/>
          <w:rFonts w:cs="Times New Roman"/>
          <w:lang w:val="en-GB"/>
        </w:rPr>
        <w:t>Framework for Australian clinical quality registries</w:t>
      </w:r>
      <w:r>
        <w:rPr>
          <w:rFonts w:cs="Times New Roman"/>
          <w:lang w:val="en-GB"/>
        </w:rPr>
        <w:t xml:space="preserve"> was endorsed by the AHMAC in March 2014. State and territory health departments have also agreed to use the framework.</w:t>
      </w:r>
    </w:p>
    <w:p w14:paraId="6394BD44" w14:textId="77777777" w:rsidR="00895CD2" w:rsidRDefault="00AD26F3">
      <w:pPr>
        <w:pStyle w:val="2body-copy"/>
        <w:rPr>
          <w:rFonts w:cs="Times New Roman"/>
          <w:lang w:val="en-GB"/>
        </w:rPr>
      </w:pPr>
      <w:r>
        <w:rPr>
          <w:rFonts w:cs="Times New Roman"/>
          <w:lang w:val="en-GB"/>
        </w:rPr>
        <w:t>In 2014/15, the Commission will work with states and territories to identify high-priority clinical domains for the development of national clinical quality registries within the framework.</w:t>
      </w:r>
    </w:p>
    <w:p w14:paraId="5C2DB2DE" w14:textId="77777777" w:rsidR="00CF6235" w:rsidRDefault="00CF6235">
      <w:pPr>
        <w:spacing w:after="0"/>
        <w:rPr>
          <w:rFonts w:cs="Times New Roman"/>
          <w:sz w:val="38"/>
          <w:lang w:val="en-GB"/>
        </w:rPr>
      </w:pPr>
      <w:r>
        <w:rPr>
          <w:rFonts w:cs="Times New Roman"/>
          <w:lang w:val="en-GB"/>
        </w:rPr>
        <w:br w:type="page"/>
      </w:r>
    </w:p>
    <w:p w14:paraId="6033CE55" w14:textId="77777777" w:rsidR="00895CD2" w:rsidRDefault="00AD26F3" w:rsidP="00093444">
      <w:pPr>
        <w:pStyle w:val="Heading2"/>
        <w:rPr>
          <w:lang w:val="en-GB"/>
        </w:rPr>
      </w:pPr>
      <w:bookmarkStart w:id="16" w:name="_Toc414011874"/>
      <w:r>
        <w:rPr>
          <w:lang w:val="en-GB"/>
        </w:rPr>
        <w:lastRenderedPageBreak/>
        <w:t>Supporting quality practice and clinical</w:t>
      </w:r>
      <w:r>
        <w:rPr>
          <w:rStyle w:val="charoverride-24"/>
          <w:rFonts w:cs="Times New Roman"/>
          <w:lang w:val="en-GB"/>
        </w:rPr>
        <w:t> </w:t>
      </w:r>
      <w:r>
        <w:rPr>
          <w:lang w:val="en-GB"/>
        </w:rPr>
        <w:t>standards</w:t>
      </w:r>
      <w:bookmarkEnd w:id="16"/>
    </w:p>
    <w:p w14:paraId="3E7F6AFF" w14:textId="77777777" w:rsidR="00895CD2" w:rsidRDefault="00AD26F3">
      <w:pPr>
        <w:pStyle w:val="2body-copy-before-bullet"/>
        <w:rPr>
          <w:rFonts w:cs="Times New Roman"/>
          <w:lang w:val="en-GB"/>
        </w:rPr>
      </w:pPr>
      <w:r>
        <w:rPr>
          <w:rFonts w:cs="Times New Roman"/>
          <w:lang w:val="en-GB"/>
        </w:rPr>
        <w:t>The Commission is continuing its work to develop and enhance a range of programs and initiatives to support high-quality clinical practice. While the development of Clinical Care Standards (detailed on page 22) was a priority this year, the Commission’s work for other clinical areas includes:</w:t>
      </w:r>
    </w:p>
    <w:p w14:paraId="3938837E" w14:textId="77777777" w:rsidR="00895CD2" w:rsidRDefault="00AD26F3" w:rsidP="00CF6235">
      <w:pPr>
        <w:pStyle w:val="bullet"/>
      </w:pPr>
      <w:r>
        <w:t>clinical communications</w:t>
      </w:r>
    </w:p>
    <w:p w14:paraId="48193DDB" w14:textId="77777777" w:rsidR="00895CD2" w:rsidRDefault="00AD26F3" w:rsidP="00CF6235">
      <w:pPr>
        <w:pStyle w:val="bullet"/>
      </w:pPr>
      <w:r>
        <w:t>end-of-life care</w:t>
      </w:r>
    </w:p>
    <w:p w14:paraId="0B66E689" w14:textId="77777777" w:rsidR="00895CD2" w:rsidRDefault="00AD26F3" w:rsidP="00CF6235">
      <w:pPr>
        <w:pStyle w:val="bullet"/>
      </w:pPr>
      <w:r>
        <w:t>falls prevention</w:t>
      </w:r>
    </w:p>
    <w:p w14:paraId="05A6BF6F" w14:textId="77777777" w:rsidR="00895CD2" w:rsidRDefault="00AD26F3" w:rsidP="00CF6235">
      <w:pPr>
        <w:pStyle w:val="bullet"/>
      </w:pPr>
      <w:r>
        <w:t>health literacy</w:t>
      </w:r>
    </w:p>
    <w:p w14:paraId="690AB880" w14:textId="77777777" w:rsidR="00895CD2" w:rsidRDefault="00AD26F3" w:rsidP="00CF6235">
      <w:pPr>
        <w:pStyle w:val="bullet"/>
      </w:pPr>
      <w:r>
        <w:t>medication safety</w:t>
      </w:r>
    </w:p>
    <w:p w14:paraId="5B54E2A9" w14:textId="77777777" w:rsidR="00895CD2" w:rsidRDefault="00AD26F3" w:rsidP="00CF6235">
      <w:pPr>
        <w:pStyle w:val="bullet"/>
      </w:pPr>
      <w:r>
        <w:t>a National Patient Contact Protocol</w:t>
      </w:r>
    </w:p>
    <w:p w14:paraId="62885744" w14:textId="77777777" w:rsidR="00895CD2" w:rsidRDefault="00AD26F3" w:rsidP="00CF6235">
      <w:pPr>
        <w:pStyle w:val="bullet"/>
      </w:pPr>
      <w:r>
        <w:t>open disclosure</w:t>
      </w:r>
    </w:p>
    <w:p w14:paraId="2388BECC" w14:textId="77777777" w:rsidR="00895CD2" w:rsidRDefault="00AD26F3" w:rsidP="00CF6235">
      <w:pPr>
        <w:pStyle w:val="bullet"/>
      </w:pPr>
      <w:r>
        <w:t>recognising and responding to clinical deterioration in mental state</w:t>
      </w:r>
    </w:p>
    <w:p w14:paraId="500C4B96" w14:textId="77777777" w:rsidR="00895CD2" w:rsidRDefault="00AD26F3" w:rsidP="00CF6235">
      <w:pPr>
        <w:pStyle w:val="bullet"/>
      </w:pPr>
      <w:proofErr w:type="gramStart"/>
      <w:r>
        <w:t>reducing</w:t>
      </w:r>
      <w:proofErr w:type="gramEnd"/>
      <w:r>
        <w:t xml:space="preserve"> children’s radiation exposure from CT scans.</w:t>
      </w:r>
    </w:p>
    <w:p w14:paraId="02BC8B2B" w14:textId="77777777" w:rsidR="00895CD2" w:rsidRDefault="00AD26F3">
      <w:pPr>
        <w:pStyle w:val="1heading-level-2"/>
        <w:rPr>
          <w:rFonts w:cs="Times New Roman"/>
          <w:lang w:val="en-GB"/>
        </w:rPr>
      </w:pPr>
      <w:r>
        <w:rPr>
          <w:rFonts w:cs="Times New Roman"/>
          <w:lang w:val="en-GB"/>
        </w:rPr>
        <w:t>Clinical communications</w:t>
      </w:r>
    </w:p>
    <w:p w14:paraId="1633A3A6" w14:textId="77777777" w:rsidR="00895CD2" w:rsidRDefault="00AD26F3">
      <w:pPr>
        <w:pStyle w:val="2body-copy"/>
        <w:rPr>
          <w:rFonts w:cs="Times New Roman"/>
          <w:lang w:val="en-GB"/>
        </w:rPr>
      </w:pPr>
      <w:r>
        <w:rPr>
          <w:rFonts w:cs="Times New Roman"/>
          <w:lang w:val="en-GB"/>
        </w:rPr>
        <w:t>The Commission’s Clinical Communication program is applied to the key areas known to influence quality and safety outcomes throughout the patient journey and transitions in care. This includes supporting the implementation of the NSQHS Standard 6: Clinical Handover.</w:t>
      </w:r>
    </w:p>
    <w:p w14:paraId="5619E588" w14:textId="77777777" w:rsidR="00895CD2" w:rsidRDefault="00AD26F3">
      <w:pPr>
        <w:pStyle w:val="2body-copy"/>
        <w:rPr>
          <w:rFonts w:cs="Times New Roman"/>
          <w:lang w:val="en-GB"/>
        </w:rPr>
      </w:pPr>
      <w:r>
        <w:rPr>
          <w:rFonts w:cs="Times New Roman"/>
          <w:lang w:val="en-GB"/>
        </w:rPr>
        <w:t>Effective patient–clinician communication is particularly important to ensure the coordination and continuity of care as patients transfer within and between services. Communicating with patients at transitions of care is new for many healthcare providers. Information and resources to guide and support clinicians in effectively engaging patients in this type of communication are limited.</w:t>
      </w:r>
    </w:p>
    <w:p w14:paraId="3A87752A" w14:textId="77777777" w:rsidR="00895CD2" w:rsidRDefault="00AD26F3">
      <w:pPr>
        <w:pStyle w:val="2body-copy"/>
        <w:rPr>
          <w:rFonts w:cs="Times New Roman"/>
          <w:lang w:val="en-GB"/>
        </w:rPr>
      </w:pPr>
      <w:r>
        <w:rPr>
          <w:rFonts w:cs="Times New Roman"/>
          <w:lang w:val="en-GB"/>
        </w:rPr>
        <w:t>The role and potential benefits of engaging patients in this form of communication are also not widely recognised. This lack of understanding has been identified as a barrier and disincentive to change healthcare practice and implementation. A strong case for change must be presented to healthcare providers, along with supporting tools and resources that will help them engage more effectively with patients, families and carers at transitions in care.</w:t>
      </w:r>
    </w:p>
    <w:p w14:paraId="79A68F2A" w14:textId="77777777" w:rsidR="00895CD2" w:rsidRDefault="00AD26F3">
      <w:pPr>
        <w:pStyle w:val="2body-copy"/>
        <w:rPr>
          <w:rFonts w:cs="Times New Roman"/>
          <w:lang w:val="en-GB"/>
        </w:rPr>
      </w:pPr>
      <w:r>
        <w:rPr>
          <w:rFonts w:cs="Times New Roman"/>
          <w:lang w:val="en-GB"/>
        </w:rPr>
        <w:t xml:space="preserve">In 2013/14, the Commission expanded the Clinical Communication program to focus on communication that engages clinicians, patients and their families and carers during transitions of care in acute health facilities. This work will support the implementation of NSQHS Standard 6 and other Commission programs focusing on health literacy, cognitive impairment and open disclosure. It will also inform other NSQHS Standards dealing with effective communication. </w:t>
      </w:r>
    </w:p>
    <w:p w14:paraId="05CF4655" w14:textId="77777777" w:rsidR="00895CD2" w:rsidRDefault="00AD26F3">
      <w:pPr>
        <w:pStyle w:val="2body-copy"/>
        <w:rPr>
          <w:rFonts w:cs="Times New Roman"/>
          <w:lang w:val="en-GB"/>
        </w:rPr>
      </w:pPr>
      <w:r>
        <w:rPr>
          <w:rFonts w:cs="Times New Roman"/>
          <w:lang w:val="en-GB"/>
        </w:rPr>
        <w:t xml:space="preserve">To progress this work, the Commission contracted a consortium of researchers to conduct a scoping review on engaging patients in communication at transitions of care. The review will identify which communications strategies work in healthcare settings including acute care facilities, and which tools and resources are available or required to help healthcare providers apply these strategies. </w:t>
      </w:r>
    </w:p>
    <w:p w14:paraId="7BC9D8F5" w14:textId="77777777" w:rsidR="00895CD2" w:rsidRDefault="00AD26F3">
      <w:pPr>
        <w:pStyle w:val="2body-copy"/>
        <w:rPr>
          <w:rFonts w:cs="Times New Roman"/>
          <w:lang w:val="en-GB"/>
        </w:rPr>
      </w:pPr>
      <w:r>
        <w:rPr>
          <w:rFonts w:cs="Times New Roman"/>
          <w:lang w:val="en-GB"/>
        </w:rPr>
        <w:t>The review is scheduled to be completed in August 2014.</w:t>
      </w:r>
    </w:p>
    <w:p w14:paraId="0995240C" w14:textId="77777777" w:rsidR="00895CD2" w:rsidRDefault="00AD26F3">
      <w:pPr>
        <w:pStyle w:val="1heading-level-2"/>
        <w:rPr>
          <w:rFonts w:cs="Times New Roman"/>
          <w:lang w:val="en-GB"/>
        </w:rPr>
      </w:pPr>
      <w:r>
        <w:rPr>
          <w:rFonts w:cs="Times New Roman"/>
          <w:lang w:val="en-GB"/>
        </w:rPr>
        <w:t>End-of-life care</w:t>
      </w:r>
    </w:p>
    <w:p w14:paraId="39948959" w14:textId="77777777" w:rsidR="00895CD2" w:rsidRDefault="00AD26F3">
      <w:pPr>
        <w:pStyle w:val="2body-copy"/>
        <w:rPr>
          <w:rFonts w:cs="Times New Roman"/>
          <w:lang w:val="en-GB"/>
        </w:rPr>
      </w:pPr>
      <w:r>
        <w:rPr>
          <w:rFonts w:cs="Times New Roman"/>
          <w:lang w:val="en-GB"/>
        </w:rPr>
        <w:t>More than half the people who die in Australia each year do so in acute hospitals where the quality and safety of end-of-life care can vary greatly.</w:t>
      </w:r>
    </w:p>
    <w:p w14:paraId="1265DC86" w14:textId="77777777" w:rsidR="00895CD2" w:rsidRDefault="00AD26F3">
      <w:pPr>
        <w:pStyle w:val="2body-copy"/>
        <w:rPr>
          <w:rFonts w:cs="Times New Roman"/>
          <w:lang w:val="en-GB"/>
        </w:rPr>
      </w:pPr>
      <w:r>
        <w:rPr>
          <w:rFonts w:cs="Times New Roman"/>
          <w:lang w:val="en-GB"/>
        </w:rPr>
        <w:t xml:space="preserve">In August 2013, the Commission released the findings of scoping work and preliminary consultations on the safety and quality of end-of-life care in acute hospitals. It showed that, despite considerable work to improve end-of-life care across Australia, there are significant gaps and opportunities for improvement. One key gap is the lack of an agreed statement about the standard of end-of-life care that patients, families and carers should expect. </w:t>
      </w:r>
    </w:p>
    <w:p w14:paraId="68C9B534" w14:textId="77777777" w:rsidR="00895CD2" w:rsidRDefault="00AD26F3">
      <w:pPr>
        <w:pStyle w:val="2body-copy"/>
        <w:rPr>
          <w:rFonts w:cs="Times New Roman"/>
          <w:lang w:val="en-GB"/>
        </w:rPr>
      </w:pPr>
      <w:r>
        <w:rPr>
          <w:rFonts w:cs="Times New Roman"/>
          <w:lang w:val="en-GB"/>
        </w:rPr>
        <w:t xml:space="preserve">In mid-2013, the Commission began working with consumers, healthcare providers and other experts to develop a national consensus statement on the essential elements of end-of-life care in acute hospitals. The draft consensus </w:t>
      </w:r>
      <w:r>
        <w:rPr>
          <w:rFonts w:cs="Times New Roman"/>
          <w:lang w:val="en-GB"/>
        </w:rPr>
        <w:lastRenderedPageBreak/>
        <w:t xml:space="preserve">statement was released in January 2014. It is a high-level statement on the guiding principles, elements of care and organisational prerequisites that shape the way care should be delivered. </w:t>
      </w:r>
    </w:p>
    <w:p w14:paraId="1D397265" w14:textId="77777777" w:rsidR="00895CD2" w:rsidRDefault="00AD26F3">
      <w:pPr>
        <w:pStyle w:val="2body-copy"/>
        <w:rPr>
          <w:rFonts w:cs="Times New Roman"/>
          <w:lang w:val="en-GB"/>
        </w:rPr>
      </w:pPr>
      <w:r>
        <w:rPr>
          <w:rFonts w:cs="Times New Roman"/>
          <w:lang w:val="en-GB"/>
        </w:rPr>
        <w:t>Although the consensus statement is primarily focused on care that people receive in hospitals, it is also relevant for people at the end of their life who are being cared for in other settings, such as remote clinics, hospital in the home services or aged care facilities. The links between acute and primary care services are particularly important for ensuring that people receive the care that they need at the end of their life.</w:t>
      </w:r>
    </w:p>
    <w:p w14:paraId="3FE652C0" w14:textId="77777777" w:rsidR="00895CD2" w:rsidRDefault="00AD26F3">
      <w:pPr>
        <w:pStyle w:val="2body-copy"/>
        <w:rPr>
          <w:rFonts w:cs="Times New Roman"/>
          <w:lang w:val="en-GB"/>
        </w:rPr>
      </w:pPr>
      <w:r>
        <w:rPr>
          <w:rFonts w:cs="Times New Roman"/>
          <w:lang w:val="en-GB"/>
        </w:rPr>
        <w:t>Consultation workshops were held in every state to hear the views of health consumers and healthcare professionals, and 75 formal submissions were also received. The feedback from these formal submissions and consultation workshops was broadly supportive of the document.</w:t>
      </w:r>
    </w:p>
    <w:p w14:paraId="02016339" w14:textId="77777777" w:rsidR="00895CD2" w:rsidRDefault="00AD26F3">
      <w:pPr>
        <w:pStyle w:val="2body-copy"/>
        <w:rPr>
          <w:rFonts w:cs="Times New Roman"/>
          <w:lang w:val="en-GB"/>
        </w:rPr>
      </w:pPr>
      <w:r>
        <w:rPr>
          <w:rFonts w:cs="Times New Roman"/>
          <w:lang w:val="en-GB"/>
        </w:rPr>
        <w:t>A consultation report will be prepared and further work undertaken to examine the scope and application of the consensus statement among specific populations, such as children. The revised consensus statement will be submitted for endorsement by the Australian Health Ministers’ Advisory Council in November 2014.</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112CC6BB" w14:textId="77777777" w:rsidTr="007F4D2B">
        <w:tc>
          <w:tcPr>
            <w:tcW w:w="0" w:type="auto"/>
            <w:shd w:val="clear" w:color="auto" w:fill="00837D"/>
            <w:vAlign w:val="center"/>
            <w:hideMark/>
          </w:tcPr>
          <w:p w14:paraId="0A484286" w14:textId="77777777" w:rsidR="00895CD2" w:rsidRDefault="00AD26F3">
            <w:pPr>
              <w:pStyle w:val="3table-header-l"/>
              <w:rPr>
                <w:rFonts w:cs="Times New Roman"/>
              </w:rPr>
            </w:pPr>
            <w:r>
              <w:rPr>
                <w:rFonts w:cs="Times New Roman"/>
              </w:rPr>
              <w:t>Key achievements 2013/14</w:t>
            </w:r>
          </w:p>
        </w:tc>
      </w:tr>
      <w:tr w:rsidR="00895CD2" w14:paraId="4B61DDEF" w14:textId="77777777" w:rsidTr="007F4D2B">
        <w:tc>
          <w:tcPr>
            <w:tcW w:w="0" w:type="auto"/>
            <w:vAlign w:val="center"/>
            <w:hideMark/>
          </w:tcPr>
          <w:p w14:paraId="7DD0B94E" w14:textId="77777777" w:rsidR="00895CD2" w:rsidRDefault="00AD26F3">
            <w:pPr>
              <w:pStyle w:val="2body-copy"/>
              <w:rPr>
                <w:rFonts w:cs="Times New Roman"/>
              </w:rPr>
            </w:pPr>
            <w:r>
              <w:rPr>
                <w:rStyle w:val="2body-italic"/>
                <w:rFonts w:cs="Times New Roman"/>
              </w:rPr>
              <w:t>The Safety and Quality of End-of-Life Care in Acute Hospitals</w:t>
            </w:r>
            <w:r>
              <w:rPr>
                <w:rFonts w:cs="Times New Roman"/>
              </w:rPr>
              <w:t xml:space="preserve"> background paper was released and distributed to all hospitals, and state and territory jurisdictions.</w:t>
            </w:r>
          </w:p>
        </w:tc>
      </w:tr>
      <w:tr w:rsidR="00895CD2" w14:paraId="07351C43" w14:textId="77777777" w:rsidTr="007F4D2B">
        <w:tc>
          <w:tcPr>
            <w:tcW w:w="0" w:type="auto"/>
            <w:vAlign w:val="center"/>
            <w:hideMark/>
          </w:tcPr>
          <w:p w14:paraId="048BEDF9" w14:textId="77777777" w:rsidR="00895CD2" w:rsidRDefault="00AD26F3">
            <w:pPr>
              <w:pStyle w:val="2body-copy"/>
              <w:rPr>
                <w:rFonts w:cs="Times New Roman"/>
              </w:rPr>
            </w:pPr>
            <w:r>
              <w:rPr>
                <w:rStyle w:val="2body-italic"/>
                <w:rFonts w:cs="Times New Roman"/>
              </w:rPr>
              <w:t xml:space="preserve">The Draft National Consensus Statement: Essential Elements of Safe and High-Quality End-of-Life Care in Acute Hospitals </w:t>
            </w:r>
            <w:r>
              <w:rPr>
                <w:rFonts w:cs="Times New Roman"/>
              </w:rPr>
              <w:t>was released for consultation.</w:t>
            </w:r>
          </w:p>
        </w:tc>
      </w:tr>
      <w:tr w:rsidR="00895CD2" w14:paraId="15BBFE83" w14:textId="77777777" w:rsidTr="007F4D2B">
        <w:tc>
          <w:tcPr>
            <w:tcW w:w="0" w:type="auto"/>
            <w:vAlign w:val="center"/>
            <w:hideMark/>
          </w:tcPr>
          <w:p w14:paraId="1B89EFAA" w14:textId="77777777" w:rsidR="00895CD2" w:rsidRDefault="00AD26F3">
            <w:pPr>
              <w:pStyle w:val="2body-copy"/>
              <w:rPr>
                <w:rFonts w:cs="Times New Roman"/>
              </w:rPr>
            </w:pPr>
            <w:r>
              <w:rPr>
                <w:rStyle w:val="s2-pull-out-numbers"/>
                <w:rFonts w:cs="Times New Roman"/>
              </w:rPr>
              <w:t>75</w:t>
            </w:r>
            <w:r>
              <w:rPr>
                <w:rFonts w:cs="Times New Roman"/>
              </w:rPr>
              <w:t xml:space="preserve"> formal submissions were received regarding the consensus statement, and consultation workshops held around Australia gathered input from 350 participants.</w:t>
            </w:r>
          </w:p>
        </w:tc>
      </w:tr>
    </w:tbl>
    <w:p w14:paraId="681FB271" w14:textId="77777777" w:rsidR="00895CD2" w:rsidRDefault="00895CD2">
      <w:pPr>
        <w:rPr>
          <w:rFonts w:eastAsia="Times New Roman" w:cs="Times New Roman"/>
          <w:vanish/>
          <w:lang w:val="en-GB"/>
        </w:rPr>
      </w:pPr>
    </w:p>
    <w:tbl>
      <w:tblPr>
        <w:tblW w:w="0" w:type="auto"/>
        <w:shd w:val="clear" w:color="auto" w:fill="DEEEEA"/>
        <w:tblCellMar>
          <w:top w:w="113" w:type="dxa"/>
          <w:left w:w="113" w:type="dxa"/>
          <w:bottom w:w="113" w:type="dxa"/>
          <w:right w:w="113" w:type="dxa"/>
        </w:tblCellMar>
        <w:tblLook w:val="04A0" w:firstRow="1" w:lastRow="0" w:firstColumn="1" w:lastColumn="0" w:noHBand="0" w:noVBand="1"/>
      </w:tblPr>
      <w:tblGrid>
        <w:gridCol w:w="10425"/>
      </w:tblGrid>
      <w:tr w:rsidR="00895CD2" w14:paraId="702C39B3" w14:textId="77777777" w:rsidTr="00CF6235">
        <w:tc>
          <w:tcPr>
            <w:tcW w:w="0" w:type="auto"/>
            <w:shd w:val="clear" w:color="auto" w:fill="DEEEEA"/>
            <w:vAlign w:val="center"/>
            <w:hideMark/>
          </w:tcPr>
          <w:p w14:paraId="230D8480" w14:textId="77777777" w:rsidR="00895CD2" w:rsidRPr="00CF6235" w:rsidRDefault="00AD26F3">
            <w:pPr>
              <w:pStyle w:val="1h4"/>
              <w:rPr>
                <w:rFonts w:cs="Times New Roman"/>
                <w:b/>
              </w:rPr>
            </w:pPr>
            <w:r w:rsidRPr="00CF6235">
              <w:rPr>
                <w:rStyle w:val="colourss2"/>
                <w:rFonts w:cs="Times New Roman"/>
                <w:b/>
              </w:rPr>
              <w:t>Feedback on the draft consensus statement</w:t>
            </w:r>
          </w:p>
          <w:p w14:paraId="58A0E81B" w14:textId="77777777" w:rsidR="00895CD2" w:rsidRDefault="00AD26F3">
            <w:pPr>
              <w:pStyle w:val="2body-copy"/>
              <w:rPr>
                <w:rFonts w:cs="Times New Roman"/>
              </w:rPr>
            </w:pPr>
            <w:r>
              <w:rPr>
                <w:rFonts w:cs="Times New Roman"/>
              </w:rPr>
              <w:t>‘The [draft] consensus statement</w:t>
            </w:r>
            <w:r>
              <w:rPr>
                <w:rFonts w:cs="Times New Roman"/>
              </w:rPr>
              <w:br/>
              <w:t>can be used as an impetus for change in end-of-life care delivery. We have already been using the draft to give us the push to do this.’</w:t>
            </w:r>
          </w:p>
          <w:p w14:paraId="2FF54A32" w14:textId="77777777" w:rsidR="00895CD2" w:rsidRPr="007F4D2B" w:rsidRDefault="00AD26F3">
            <w:pPr>
              <w:pStyle w:val="2quoted-by"/>
              <w:rPr>
                <w:rStyle w:val="colourss2"/>
                <w:b/>
              </w:rPr>
            </w:pPr>
            <w:r w:rsidRPr="007F4D2B">
              <w:rPr>
                <w:rStyle w:val="colourss2"/>
                <w:b/>
              </w:rPr>
              <w:t>Nurse Consultant, Tasmania</w:t>
            </w:r>
          </w:p>
        </w:tc>
      </w:tr>
    </w:tbl>
    <w:p w14:paraId="6BAE8A8D" w14:textId="77777777" w:rsidR="00895CD2" w:rsidRDefault="00AD26F3">
      <w:pPr>
        <w:pStyle w:val="1heading-level-2"/>
        <w:rPr>
          <w:rFonts w:cs="Times New Roman"/>
          <w:lang w:val="en-GB"/>
        </w:rPr>
      </w:pPr>
      <w:r>
        <w:rPr>
          <w:rFonts w:cs="Times New Roman"/>
          <w:lang w:val="en-GB"/>
        </w:rPr>
        <w:t>Falls prevention</w:t>
      </w:r>
    </w:p>
    <w:p w14:paraId="22062D40" w14:textId="77777777" w:rsidR="00895CD2" w:rsidRDefault="00AD26F3">
      <w:pPr>
        <w:pStyle w:val="2body-copy"/>
        <w:rPr>
          <w:rFonts w:cs="Times New Roman"/>
          <w:lang w:val="en-GB"/>
        </w:rPr>
      </w:pPr>
      <w:r>
        <w:rPr>
          <w:rFonts w:cs="Times New Roman"/>
          <w:lang w:val="en-GB"/>
        </w:rPr>
        <w:t>Falls, and injuries from falls, remain the largest reported causes of harm in Australian health care.</w:t>
      </w:r>
      <w:r>
        <w:rPr>
          <w:rStyle w:val="superscript"/>
          <w:rFonts w:cs="Times New Roman"/>
          <w:lang w:val="en-GB"/>
        </w:rPr>
        <w:t>1</w:t>
      </w:r>
      <w:r>
        <w:rPr>
          <w:rFonts w:cs="Times New Roman"/>
          <w:lang w:val="en-GB"/>
        </w:rPr>
        <w:t xml:space="preserve"> The Commission has convened a group of experts to advise how best to support the implementation of evidence-based strategies to achieve the requirements of NSQHS Standard 10: Preventing Falls and Harm from Falls. This group met three times during 2013/14. </w:t>
      </w:r>
    </w:p>
    <w:p w14:paraId="6202A4A0" w14:textId="77777777" w:rsidR="00895CD2" w:rsidRDefault="00AD26F3">
      <w:pPr>
        <w:pStyle w:val="2body-copy"/>
        <w:rPr>
          <w:rFonts w:cs="Times New Roman"/>
          <w:lang w:val="en-GB"/>
        </w:rPr>
      </w:pPr>
      <w:r>
        <w:rPr>
          <w:rFonts w:cs="Times New Roman"/>
          <w:lang w:val="en-GB"/>
        </w:rPr>
        <w:t xml:space="preserve">The group also considered how to monitor progress against NSQHS Standard 10 and identify emerging falls issues. The experts’ recommended a range of strategies that can be implemented by health services and jurisdictions. </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6597"/>
      </w:tblGrid>
      <w:tr w:rsidR="00895CD2" w14:paraId="31DA629A" w14:textId="77777777" w:rsidTr="007F4D2B">
        <w:tc>
          <w:tcPr>
            <w:tcW w:w="0" w:type="auto"/>
            <w:shd w:val="clear" w:color="auto" w:fill="00837D"/>
            <w:vAlign w:val="center"/>
            <w:hideMark/>
          </w:tcPr>
          <w:p w14:paraId="1A7266B1" w14:textId="77777777" w:rsidR="00895CD2" w:rsidRDefault="00AD26F3">
            <w:pPr>
              <w:pStyle w:val="3table-header-l"/>
              <w:rPr>
                <w:rFonts w:cs="Times New Roman"/>
              </w:rPr>
            </w:pPr>
            <w:r>
              <w:rPr>
                <w:rFonts w:cs="Times New Roman"/>
              </w:rPr>
              <w:t>Key achievements 2013/14</w:t>
            </w:r>
          </w:p>
        </w:tc>
      </w:tr>
      <w:tr w:rsidR="00895CD2" w14:paraId="4825E7FA" w14:textId="77777777" w:rsidTr="007F4D2B">
        <w:tc>
          <w:tcPr>
            <w:tcW w:w="0" w:type="auto"/>
            <w:vAlign w:val="center"/>
            <w:hideMark/>
          </w:tcPr>
          <w:p w14:paraId="220580AB" w14:textId="77777777" w:rsidR="00895CD2" w:rsidRDefault="00AD26F3">
            <w:pPr>
              <w:pStyle w:val="2body-copy"/>
              <w:rPr>
                <w:rFonts w:cs="Times New Roman"/>
              </w:rPr>
            </w:pPr>
            <w:r>
              <w:rPr>
                <w:rStyle w:val="s2-pull-out-numbers"/>
                <w:rFonts w:cs="Times New Roman"/>
              </w:rPr>
              <w:t xml:space="preserve">205 </w:t>
            </w:r>
            <w:r>
              <w:rPr>
                <w:rFonts w:cs="Times New Roman"/>
              </w:rPr>
              <w:t>individuals participated in Falls Prevention Network meetings.</w:t>
            </w:r>
          </w:p>
        </w:tc>
      </w:tr>
    </w:tbl>
    <w:p w14:paraId="71414313" w14:textId="77777777" w:rsidR="00AD26F3" w:rsidRDefault="00AD26F3">
      <w:pPr>
        <w:pStyle w:val="1heading-level-2"/>
        <w:rPr>
          <w:rFonts w:cs="Times New Roman"/>
          <w:lang w:val="en-GB"/>
        </w:rPr>
      </w:pPr>
    </w:p>
    <w:p w14:paraId="6FB72743" w14:textId="77777777" w:rsidR="00AD26F3" w:rsidRDefault="00AD26F3">
      <w:pPr>
        <w:spacing w:after="0"/>
        <w:rPr>
          <w:rFonts w:cs="Times New Roman"/>
          <w:color w:val="5F605F"/>
          <w:sz w:val="30"/>
          <w:szCs w:val="30"/>
          <w:lang w:val="en-GB"/>
        </w:rPr>
      </w:pPr>
      <w:r>
        <w:rPr>
          <w:rFonts w:cs="Times New Roman"/>
          <w:lang w:val="en-GB"/>
        </w:rPr>
        <w:br w:type="page"/>
      </w:r>
    </w:p>
    <w:p w14:paraId="606A1CD0" w14:textId="77777777" w:rsidR="00895CD2" w:rsidRDefault="00AD26F3">
      <w:pPr>
        <w:pStyle w:val="1heading-level-2"/>
        <w:rPr>
          <w:rFonts w:cs="Times New Roman"/>
          <w:lang w:val="en-GB"/>
        </w:rPr>
      </w:pPr>
      <w:r>
        <w:rPr>
          <w:rFonts w:cs="Times New Roman"/>
          <w:lang w:val="en-GB"/>
        </w:rPr>
        <w:lastRenderedPageBreak/>
        <w:t>Health literacy</w:t>
      </w:r>
    </w:p>
    <w:p w14:paraId="61E051EB" w14:textId="77777777" w:rsidR="00895CD2" w:rsidRDefault="00AD26F3">
      <w:pPr>
        <w:pStyle w:val="2body-copy"/>
        <w:rPr>
          <w:rFonts w:cs="Times New Roman"/>
          <w:lang w:val="en-GB"/>
        </w:rPr>
      </w:pPr>
      <w:r>
        <w:rPr>
          <w:rFonts w:cs="Times New Roman"/>
          <w:lang w:val="en-GB"/>
        </w:rPr>
        <w:t>‘Health literacy’ refers to how people understand information about health and health care, and how they can apply that information to their lives. Health literacy is important because it shapes people’s health and the safety and quality of health care.</w:t>
      </w:r>
    </w:p>
    <w:p w14:paraId="75B395F6" w14:textId="77777777" w:rsidR="00895CD2" w:rsidRDefault="00AD26F3">
      <w:pPr>
        <w:pStyle w:val="2body-copy-before-bullet"/>
        <w:rPr>
          <w:rFonts w:cs="Times New Roman"/>
          <w:lang w:val="en-GB"/>
        </w:rPr>
      </w:pPr>
      <w:r>
        <w:rPr>
          <w:rFonts w:cs="Times New Roman"/>
          <w:lang w:val="en-GB"/>
        </w:rPr>
        <w:t>The Commission separates health literacy into two components:</w:t>
      </w:r>
    </w:p>
    <w:p w14:paraId="058CE64C" w14:textId="77777777" w:rsidR="00895CD2" w:rsidRDefault="00AD26F3" w:rsidP="00CF6235">
      <w:pPr>
        <w:pStyle w:val="bullet"/>
      </w:pPr>
      <w:r>
        <w:t>Individual health literacy refers to the skills, knowledge, motivation and capacity of a person to access, understand, appraise and apply information to make effective decisions about health and health care, and take appropriate action.</w:t>
      </w:r>
    </w:p>
    <w:p w14:paraId="096BA2B1" w14:textId="77777777" w:rsidR="00895CD2" w:rsidRDefault="00AD26F3" w:rsidP="00CF6235">
      <w:pPr>
        <w:pStyle w:val="bullet"/>
      </w:pPr>
      <w:r>
        <w:t xml:space="preserve">The health literacy environment comprises the infrastructure, policies, processes, materials, people and relationships that make up the health system and have an impact on the way people access, understand, appraise and apply health-related information and services. </w:t>
      </w:r>
    </w:p>
    <w:p w14:paraId="014D12CE" w14:textId="77777777" w:rsidR="00895CD2" w:rsidRDefault="00AD26F3">
      <w:pPr>
        <w:pStyle w:val="2body-copy"/>
        <w:rPr>
          <w:rFonts w:cs="Times New Roman"/>
          <w:lang w:val="en-GB"/>
        </w:rPr>
      </w:pPr>
      <w:r>
        <w:rPr>
          <w:rFonts w:cs="Times New Roman"/>
          <w:lang w:val="en-GB"/>
        </w:rPr>
        <w:t xml:space="preserve">Health literacy is a significant issue for Australia. Health-related information and services need to be easy for consumers to understand and use if they are to meaningfully engage with the system. </w:t>
      </w:r>
    </w:p>
    <w:p w14:paraId="04D72CA6" w14:textId="77777777" w:rsidR="00895CD2" w:rsidRDefault="00AD26F3">
      <w:pPr>
        <w:pStyle w:val="2body-copy"/>
        <w:rPr>
          <w:rFonts w:cs="Times New Roman"/>
          <w:lang w:val="en-GB"/>
        </w:rPr>
      </w:pPr>
      <w:r>
        <w:rPr>
          <w:rFonts w:cs="Times New Roman"/>
          <w:lang w:val="en-GB"/>
        </w:rPr>
        <w:t>However, healthcare information and systems have become increasingly complex.</w:t>
      </w:r>
      <w:r>
        <w:rPr>
          <w:rStyle w:val="superscript"/>
          <w:rFonts w:cs="Times New Roman"/>
          <w:lang w:val="en-GB"/>
        </w:rPr>
        <w:t>2 3</w:t>
      </w:r>
      <w:r>
        <w:rPr>
          <w:rFonts w:cs="Times New Roman"/>
          <w:lang w:val="en-GB"/>
        </w:rPr>
        <w:t xml:space="preserve"> A number of studies support the need for action, given only about 40% of Australian adults have the level of individual health literacy needed to effectively understand information and make decisions about health care.</w:t>
      </w:r>
      <w:r>
        <w:rPr>
          <w:rStyle w:val="superscript"/>
          <w:rFonts w:cs="Times New Roman"/>
          <w:lang w:val="en-GB"/>
        </w:rPr>
        <w:t>4</w:t>
      </w:r>
      <w:r>
        <w:rPr>
          <w:rFonts w:cs="Times New Roman"/>
          <w:lang w:val="en-GB"/>
        </w:rPr>
        <w:t xml:space="preserve"> This combination of complex health information and low individual levels of health literacy can contribute to poorer health and lower quality of care.</w:t>
      </w:r>
      <w:r>
        <w:rPr>
          <w:rStyle w:val="superscript"/>
          <w:rFonts w:cs="Times New Roman"/>
          <w:lang w:val="en-GB"/>
        </w:rPr>
        <w:t>5</w:t>
      </w:r>
    </w:p>
    <w:p w14:paraId="4DD89E8B" w14:textId="77777777" w:rsidR="00895CD2" w:rsidRDefault="00AD26F3">
      <w:pPr>
        <w:pStyle w:val="2body-copy"/>
        <w:rPr>
          <w:rFonts w:cs="Times New Roman"/>
          <w:lang w:val="en-GB"/>
        </w:rPr>
      </w:pPr>
      <w:r>
        <w:rPr>
          <w:rFonts w:cs="Times New Roman"/>
          <w:lang w:val="en-GB"/>
        </w:rPr>
        <w:t xml:space="preserve">From June to September 2013, the Commission conducted a public consultation on the draft discussion paper </w:t>
      </w:r>
      <w:r>
        <w:rPr>
          <w:rStyle w:val="2body-italic"/>
          <w:rFonts w:cs="Times New Roman"/>
          <w:lang w:val="en-GB"/>
        </w:rPr>
        <w:t>Consumers, the health system and health literacy: Taking action to improve safety and quality</w:t>
      </w:r>
      <w:r>
        <w:rPr>
          <w:rFonts w:cs="Times New Roman"/>
          <w:lang w:val="en-GB"/>
        </w:rPr>
        <w:t>. Over 100 written submissions were received from a range of organisations and individuals. Overall, those who provided submissions strongly supported the Commission undertaking work in health literacy, and were satisfied with the approach of the paper and proposed future work in this area.</w:t>
      </w:r>
    </w:p>
    <w:p w14:paraId="0A470F5A" w14:textId="77777777" w:rsidR="00895CD2" w:rsidRDefault="00AD26F3">
      <w:pPr>
        <w:pStyle w:val="2body-copy"/>
        <w:rPr>
          <w:rFonts w:cs="Times New Roman"/>
          <w:lang w:val="en-GB"/>
        </w:rPr>
      </w:pPr>
      <w:r>
        <w:rPr>
          <w:rFonts w:cs="Times New Roman"/>
          <w:lang w:val="en-GB"/>
        </w:rPr>
        <w:t xml:space="preserve">In June 2014, the Commission finalised the </w:t>
      </w:r>
      <w:r>
        <w:rPr>
          <w:rStyle w:val="2body-italic"/>
          <w:rFonts w:cs="Times New Roman"/>
          <w:lang w:val="en-GB"/>
        </w:rPr>
        <w:t>Health literacy: Taking action for safety and quality</w:t>
      </w:r>
      <w:r>
        <w:rPr>
          <w:rFonts w:cs="Times New Roman"/>
          <w:lang w:val="en-GB"/>
        </w:rPr>
        <w:t xml:space="preserve"> paper and developed an accompanying national statement on health literacy. These documents provide information about the concept of health literacy, how it relates to partnerships with consumers and the rationale for taking action. </w:t>
      </w:r>
    </w:p>
    <w:p w14:paraId="6324A38B" w14:textId="77777777" w:rsidR="00895CD2" w:rsidRDefault="00AD26F3">
      <w:pPr>
        <w:pStyle w:val="2body-copy-before-bullet"/>
        <w:rPr>
          <w:rFonts w:cs="Times New Roman"/>
          <w:lang w:val="en-GB"/>
        </w:rPr>
      </w:pPr>
      <w:r>
        <w:rPr>
          <w:rFonts w:cs="Times New Roman"/>
          <w:lang w:val="en-GB"/>
        </w:rPr>
        <w:t>In these papers, the Commission has also stated that effectively addressing health literacy requires a coordinated and collaborative approach across all healthcare settings focusing on:</w:t>
      </w:r>
    </w:p>
    <w:p w14:paraId="0FA30003" w14:textId="77777777" w:rsidR="00895CD2" w:rsidRDefault="00AD26F3" w:rsidP="00CF6235">
      <w:pPr>
        <w:pStyle w:val="bullet"/>
      </w:pPr>
      <w:r>
        <w:t>embedding health literacy into systems, including developing and implementing systems and policies at an organisational and societal level that support action to address health literacy</w:t>
      </w:r>
    </w:p>
    <w:p w14:paraId="7B4437DF" w14:textId="77777777" w:rsidR="00895CD2" w:rsidRDefault="00AD26F3" w:rsidP="00CF6235">
      <w:pPr>
        <w:pStyle w:val="bullet"/>
      </w:pPr>
      <w:r>
        <w:t>ensuring effective communication, including providing print, electronic or other communication that is appropriate to the needs of consumers; as well as supporting effective partnerships, communication and interpersonal relationships between consumers and people working within the health system</w:t>
      </w:r>
    </w:p>
    <w:p w14:paraId="03205C7A" w14:textId="77777777" w:rsidR="00895CD2" w:rsidRDefault="00AD26F3" w:rsidP="00CF6235">
      <w:pPr>
        <w:pStyle w:val="bullet"/>
      </w:pPr>
      <w:proofErr w:type="gramStart"/>
      <w:r>
        <w:t>integrating</w:t>
      </w:r>
      <w:proofErr w:type="gramEnd"/>
      <w:r>
        <w:t xml:space="preserve"> health literacy into education, including educating consumers and healthcare providers. </w:t>
      </w:r>
    </w:p>
    <w:p w14:paraId="0B886E8B" w14:textId="77777777" w:rsidR="00895CD2" w:rsidRDefault="00AD26F3">
      <w:pPr>
        <w:pStyle w:val="2body-copy"/>
        <w:rPr>
          <w:rFonts w:cs="Times New Roman"/>
          <w:lang w:val="en-GB"/>
        </w:rPr>
      </w:pPr>
      <w:r>
        <w:rPr>
          <w:rFonts w:cs="Times New Roman"/>
          <w:lang w:val="en-GB"/>
        </w:rPr>
        <w:t>The papers are scheduled to be sent to health ministers for endorsement in late 2014.</w:t>
      </w:r>
    </w:p>
    <w:p w14:paraId="0C058326" w14:textId="77777777" w:rsidR="00895CD2" w:rsidRDefault="00AD26F3">
      <w:pPr>
        <w:pStyle w:val="2body-copy"/>
        <w:rPr>
          <w:rFonts w:cs="Times New Roman"/>
          <w:lang w:val="en-GB"/>
        </w:rPr>
      </w:pPr>
      <w:r>
        <w:rPr>
          <w:rFonts w:cs="Times New Roman"/>
          <w:lang w:val="en-GB"/>
        </w:rPr>
        <w:t xml:space="preserve">Following the release of the final paper and national statement, the Commission aims to address health literacy by fostering action nationally. The need to address health literacy is fundamental to a range of actions within the NSQHS Standards. </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036"/>
      </w:tblGrid>
      <w:tr w:rsidR="00895CD2" w14:paraId="6A58F125" w14:textId="77777777" w:rsidTr="00AD26F3">
        <w:tc>
          <w:tcPr>
            <w:tcW w:w="10036" w:type="dxa"/>
            <w:shd w:val="clear" w:color="auto" w:fill="00837D"/>
            <w:vAlign w:val="center"/>
            <w:hideMark/>
          </w:tcPr>
          <w:p w14:paraId="4A84F933" w14:textId="77777777" w:rsidR="00895CD2" w:rsidRDefault="00AD26F3">
            <w:pPr>
              <w:pStyle w:val="3table-header-l"/>
              <w:rPr>
                <w:rFonts w:cs="Times New Roman"/>
              </w:rPr>
            </w:pPr>
            <w:r>
              <w:rPr>
                <w:rFonts w:cs="Times New Roman"/>
              </w:rPr>
              <w:t>Key achievements 2013/14</w:t>
            </w:r>
          </w:p>
        </w:tc>
      </w:tr>
      <w:tr w:rsidR="00895CD2" w14:paraId="279462A7" w14:textId="77777777" w:rsidTr="00AD26F3">
        <w:tc>
          <w:tcPr>
            <w:tcW w:w="10036" w:type="dxa"/>
            <w:vAlign w:val="center"/>
            <w:hideMark/>
          </w:tcPr>
          <w:p w14:paraId="712806A9" w14:textId="77777777" w:rsidR="00895CD2" w:rsidRDefault="00AD26F3">
            <w:pPr>
              <w:pStyle w:val="2body-copy"/>
              <w:rPr>
                <w:rFonts w:cs="Times New Roman"/>
              </w:rPr>
            </w:pPr>
            <w:r>
              <w:rPr>
                <w:rStyle w:val="s2-pull-out-numbers"/>
                <w:rFonts w:cs="Times New Roman"/>
              </w:rPr>
              <w:t xml:space="preserve">114 </w:t>
            </w:r>
            <w:r>
              <w:rPr>
                <w:rFonts w:cs="Times New Roman"/>
              </w:rPr>
              <w:t>submissions were received during public consultation on a health literacy discussion paper.</w:t>
            </w:r>
          </w:p>
        </w:tc>
      </w:tr>
    </w:tbl>
    <w:p w14:paraId="029971D2" w14:textId="77777777" w:rsidR="00416913" w:rsidRDefault="00416913">
      <w:pPr>
        <w:pStyle w:val="1heading-level-2"/>
        <w:rPr>
          <w:rFonts w:cs="Times New Roman"/>
          <w:lang w:val="en-GB"/>
        </w:rPr>
      </w:pPr>
    </w:p>
    <w:p w14:paraId="53B02DE6" w14:textId="77777777" w:rsidR="00416913" w:rsidRDefault="00416913">
      <w:pPr>
        <w:spacing w:after="0"/>
        <w:rPr>
          <w:rFonts w:cs="Times New Roman"/>
          <w:color w:val="5F605F"/>
          <w:sz w:val="30"/>
          <w:szCs w:val="30"/>
          <w:lang w:val="en-GB"/>
        </w:rPr>
      </w:pPr>
      <w:r>
        <w:rPr>
          <w:rFonts w:cs="Times New Roman"/>
          <w:lang w:val="en-GB"/>
        </w:rPr>
        <w:br w:type="page"/>
      </w:r>
    </w:p>
    <w:p w14:paraId="28DDBBA2" w14:textId="77777777" w:rsidR="00895CD2" w:rsidRDefault="00AD26F3">
      <w:pPr>
        <w:pStyle w:val="1heading-level-2"/>
        <w:rPr>
          <w:rFonts w:cs="Times New Roman"/>
          <w:lang w:val="en-GB"/>
        </w:rPr>
      </w:pPr>
      <w:r>
        <w:rPr>
          <w:rFonts w:cs="Times New Roman"/>
          <w:lang w:val="en-GB"/>
        </w:rPr>
        <w:lastRenderedPageBreak/>
        <w:t>Medication safety</w:t>
      </w:r>
    </w:p>
    <w:p w14:paraId="5D73EF9F" w14:textId="77777777" w:rsidR="00895CD2" w:rsidRDefault="00AD26F3">
      <w:pPr>
        <w:pStyle w:val="2body-copy"/>
        <w:rPr>
          <w:rFonts w:cs="Times New Roman"/>
          <w:lang w:val="en-GB"/>
        </w:rPr>
      </w:pPr>
      <w:r>
        <w:rPr>
          <w:rFonts w:cs="Times New Roman"/>
          <w:lang w:val="en-GB"/>
        </w:rPr>
        <w:t xml:space="preserve">Medicines are the most common treatment used in health care and contribute to significant improvements in preventing and treating disease. However, mistakes can happen when medicines are prescribed, dispensed, administered or taken by consumers, which may result in harm. </w:t>
      </w:r>
    </w:p>
    <w:p w14:paraId="43BC8253" w14:textId="77777777" w:rsidR="00895CD2" w:rsidRDefault="00AD26F3">
      <w:pPr>
        <w:pStyle w:val="2pull-out"/>
        <w:rPr>
          <w:rFonts w:cs="Times New Roman"/>
          <w:lang w:val="en-GB"/>
        </w:rPr>
      </w:pPr>
      <w:r>
        <w:rPr>
          <w:rFonts w:cs="Times New Roman"/>
          <w:lang w:val="en-GB"/>
        </w:rPr>
        <w:t>The majority of medication errors are preventable. Reducing harm to people through safe and effective medication management is a key safety and quality priority fo</w:t>
      </w:r>
      <w:r w:rsidR="00416913">
        <w:rPr>
          <w:rFonts w:cs="Times New Roman"/>
          <w:lang w:val="en-GB"/>
        </w:rPr>
        <w:t xml:space="preserve">r the Commission, as recognise </w:t>
      </w:r>
      <w:r>
        <w:rPr>
          <w:rFonts w:cs="Times New Roman"/>
          <w:lang w:val="en-GB"/>
        </w:rPr>
        <w:t xml:space="preserve">in NSQHS Standard 4: Medication Safety. </w:t>
      </w:r>
    </w:p>
    <w:p w14:paraId="31E082A5" w14:textId="77777777" w:rsidR="00895CD2" w:rsidRDefault="00AD26F3">
      <w:pPr>
        <w:pStyle w:val="2body-copy"/>
        <w:rPr>
          <w:rFonts w:cs="Times New Roman"/>
          <w:lang w:val="en-GB"/>
        </w:rPr>
      </w:pPr>
      <w:r>
        <w:rPr>
          <w:rFonts w:cs="Times New Roman"/>
          <w:lang w:val="en-GB"/>
        </w:rPr>
        <w:t xml:space="preserve">In December 2013, the Commission published a literature review, </w:t>
      </w:r>
      <w:r>
        <w:rPr>
          <w:rStyle w:val="2body-italic"/>
          <w:rFonts w:cs="Times New Roman"/>
          <w:lang w:val="en-GB"/>
        </w:rPr>
        <w:t>Medication Safety in Australia</w:t>
      </w:r>
      <w:r>
        <w:rPr>
          <w:rFonts w:cs="Times New Roman"/>
          <w:lang w:val="en-GB"/>
        </w:rPr>
        <w:t>, which provides the latest information on the extent and nature of medication errors in Australia and the effectiveness of prevention strategies.</w:t>
      </w:r>
      <w:r>
        <w:rPr>
          <w:rStyle w:val="superscript"/>
          <w:rFonts w:cs="Times New Roman"/>
          <w:lang w:val="en-GB"/>
        </w:rPr>
        <w:t>6</w:t>
      </w:r>
      <w:r>
        <w:rPr>
          <w:rFonts w:cs="Times New Roman"/>
          <w:lang w:val="en-GB"/>
        </w:rPr>
        <w:t xml:space="preserve"> The evidence supports the use of standardised medication charts, improved medication distribution systems, electronic medication management systems for prescribing medicines and medication reconciliation at transitions of care. </w:t>
      </w:r>
    </w:p>
    <w:p w14:paraId="0D00BB47" w14:textId="77777777" w:rsidR="00895CD2" w:rsidRDefault="00AD26F3">
      <w:pPr>
        <w:pStyle w:val="2body-copy-before-bullet"/>
        <w:rPr>
          <w:rFonts w:cs="Times New Roman"/>
          <w:lang w:val="en-GB"/>
        </w:rPr>
      </w:pPr>
      <w:r>
        <w:rPr>
          <w:rFonts w:cs="Times New Roman"/>
          <w:lang w:val="en-GB"/>
        </w:rPr>
        <w:t>This data also supports the Commission’s approach of focusing on five streams of work in medication safety, including:</w:t>
      </w:r>
    </w:p>
    <w:p w14:paraId="701D4345" w14:textId="77777777" w:rsidR="00895CD2" w:rsidRDefault="00AD26F3" w:rsidP="00416913">
      <w:pPr>
        <w:pStyle w:val="bullet"/>
      </w:pPr>
      <w:r>
        <w:t>standardisation and systems improvement</w:t>
      </w:r>
    </w:p>
    <w:p w14:paraId="2DAA9BEA" w14:textId="77777777" w:rsidR="00895CD2" w:rsidRDefault="00AD26F3" w:rsidP="00416913">
      <w:pPr>
        <w:pStyle w:val="bullet"/>
      </w:pPr>
      <w:r>
        <w:t>continuity of care to improve the accuracy of medicines information communicated during transitions of care</w:t>
      </w:r>
    </w:p>
    <w:p w14:paraId="052C1E94" w14:textId="77777777" w:rsidR="00895CD2" w:rsidRDefault="00AD26F3" w:rsidP="00416913">
      <w:pPr>
        <w:pStyle w:val="bullet"/>
      </w:pPr>
      <w:r>
        <w:t>reducing gaps in practice by encouraging evidence-based approaches</w:t>
      </w:r>
    </w:p>
    <w:p w14:paraId="089DBA95" w14:textId="77777777" w:rsidR="00895CD2" w:rsidRDefault="00AD26F3" w:rsidP="00416913">
      <w:pPr>
        <w:pStyle w:val="bullet"/>
      </w:pPr>
      <w:r>
        <w:t>ensuring the safety of electronic medication initiatives</w:t>
      </w:r>
    </w:p>
    <w:p w14:paraId="260B9D0E" w14:textId="77777777" w:rsidR="00895CD2" w:rsidRDefault="00AD26F3" w:rsidP="00416913">
      <w:pPr>
        <w:pStyle w:val="bullet"/>
      </w:pPr>
      <w:proofErr w:type="gramStart"/>
      <w:r>
        <w:t>advocating</w:t>
      </w:r>
      <w:proofErr w:type="gramEnd"/>
      <w:r>
        <w:t xml:space="preserve"> safety and quality of care in the use of medicines. </w:t>
      </w:r>
    </w:p>
    <w:p w14:paraId="2694DB09" w14:textId="77777777" w:rsidR="007F4D2B" w:rsidRDefault="00AD26F3">
      <w:pPr>
        <w:pStyle w:val="2body-copy"/>
        <w:rPr>
          <w:rFonts w:cs="Times New Roman"/>
          <w:lang w:val="en-GB"/>
        </w:rPr>
      </w:pPr>
      <w:r>
        <w:rPr>
          <w:rFonts w:cs="Times New Roman"/>
          <w:lang w:val="en-GB"/>
        </w:rPr>
        <w:t>Knowledge about who is most at risk of adverse medicines events, where the errors are occurring and which interventions are most successful in reducing the risk of these events can be used by individual practitioners, healthcare facilities and policy makers to improve the quality of care and safety in the use of medicines. This information will also guide the Commission’s future medication safety work.</w:t>
      </w:r>
    </w:p>
    <w:p w14:paraId="37A39D8B" w14:textId="77777777" w:rsidR="007F4D2B" w:rsidRDefault="007F4D2B" w:rsidP="007F4D2B">
      <w:pPr>
        <w:spacing w:after="0"/>
        <w:jc w:val="right"/>
        <w:rPr>
          <w:rFonts w:cs="Times New Roman"/>
          <w:lang w:val="en-GB"/>
        </w:rPr>
      </w:pPr>
      <w:r>
        <w:rPr>
          <w:rFonts w:cs="Times New Roman"/>
          <w:noProof/>
          <w:lang w:eastAsia="en-AU"/>
        </w:rPr>
        <w:drawing>
          <wp:inline distT="0" distB="0" distL="0" distR="0" wp14:anchorId="449C83E3" wp14:editId="7CCE8E80">
            <wp:extent cx="4004891" cy="3944026"/>
            <wp:effectExtent l="0" t="0" r="0" b="0"/>
            <wp:docPr id="31" name="Picture 31" descr="Image - patient and carer" title="Image - patient and ca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1.png"/>
                    <pic:cNvPicPr/>
                  </pic:nvPicPr>
                  <pic:blipFill>
                    <a:blip r:embed="rId38">
                      <a:extLst>
                        <a:ext uri="{28A0092B-C50C-407E-A947-70E740481C1C}">
                          <a14:useLocalDpi xmlns:a14="http://schemas.microsoft.com/office/drawing/2010/main" val="0"/>
                        </a:ext>
                      </a:extLst>
                    </a:blip>
                    <a:stretch>
                      <a:fillRect/>
                    </a:stretch>
                  </pic:blipFill>
                  <pic:spPr>
                    <a:xfrm>
                      <a:off x="0" y="0"/>
                      <a:ext cx="4004891" cy="3944026"/>
                    </a:xfrm>
                    <a:prstGeom prst="rect">
                      <a:avLst/>
                    </a:prstGeom>
                  </pic:spPr>
                </pic:pic>
              </a:graphicData>
            </a:graphic>
          </wp:inline>
        </w:drawing>
      </w:r>
    </w:p>
    <w:p w14:paraId="1ADFBCF5" w14:textId="77777777" w:rsidR="007F4D2B" w:rsidRDefault="007F4D2B">
      <w:pPr>
        <w:spacing w:after="0"/>
        <w:rPr>
          <w:rFonts w:cs="Times New Roman"/>
          <w:lang w:val="en-GB"/>
        </w:rPr>
      </w:pPr>
      <w:r>
        <w:rPr>
          <w:rFonts w:cs="Times New Roman"/>
          <w:lang w:val="en-GB"/>
        </w:rPr>
        <w:br w:type="page"/>
      </w:r>
    </w:p>
    <w:p w14:paraId="1460C638" w14:textId="77777777" w:rsidR="00895CD2" w:rsidRDefault="00AD26F3">
      <w:pPr>
        <w:pStyle w:val="1heading-level-3"/>
        <w:rPr>
          <w:rFonts w:cs="Times New Roman"/>
          <w:lang w:val="en-GB"/>
        </w:rPr>
      </w:pPr>
      <w:r>
        <w:rPr>
          <w:rFonts w:cs="Times New Roman"/>
          <w:lang w:val="en-GB"/>
        </w:rPr>
        <w:lastRenderedPageBreak/>
        <w:t>Standardisation to reduce the risk of medication errors and patient harm</w:t>
      </w:r>
    </w:p>
    <w:p w14:paraId="5FA10332" w14:textId="77777777" w:rsidR="00895CD2" w:rsidRDefault="00AD26F3">
      <w:pPr>
        <w:pStyle w:val="2body-copy"/>
        <w:rPr>
          <w:rFonts w:cs="Times New Roman"/>
          <w:lang w:val="en-GB"/>
        </w:rPr>
      </w:pPr>
      <w:r>
        <w:rPr>
          <w:rFonts w:cs="Times New Roman"/>
          <w:lang w:val="en-GB"/>
        </w:rPr>
        <w:t>The risk of medication errors and other adverse medication events can be reduced by standardising the presentation of medicines information through the use of medication charts. This has been demonstrated in the acute care sector with the implementation of the National Inpatient Medication Chart (NIMC).</w:t>
      </w:r>
      <w:r>
        <w:rPr>
          <w:rStyle w:val="superscript"/>
          <w:rFonts w:cs="Times New Roman"/>
          <w:lang w:val="en-GB"/>
        </w:rPr>
        <w:t>7</w:t>
      </w:r>
    </w:p>
    <w:p w14:paraId="3F047F7D" w14:textId="77777777" w:rsidR="00895CD2" w:rsidRDefault="00AD26F3">
      <w:pPr>
        <w:pStyle w:val="2body-copy-before-bullet"/>
        <w:rPr>
          <w:rFonts w:cs="Times New Roman"/>
          <w:lang w:val="en-GB"/>
        </w:rPr>
      </w:pPr>
      <w:r>
        <w:rPr>
          <w:rFonts w:cs="Times New Roman"/>
          <w:lang w:val="en-GB"/>
        </w:rPr>
        <w:t>During 2013/14, the Commission continued to support and promote the use of the NIMC. This work included:</w:t>
      </w:r>
    </w:p>
    <w:p w14:paraId="2A9BAE96" w14:textId="77777777" w:rsidR="00895CD2" w:rsidRDefault="00AD26F3" w:rsidP="00416913">
      <w:pPr>
        <w:pStyle w:val="bullet"/>
      </w:pPr>
      <w:r>
        <w:t>the release of new versions of the NIMC incorporating a venous thromboembolism prophylaxis section</w:t>
      </w:r>
    </w:p>
    <w:p w14:paraId="3185719B" w14:textId="77777777" w:rsidR="00895CD2" w:rsidRDefault="00AD26F3" w:rsidP="00416913">
      <w:pPr>
        <w:pStyle w:val="bullet"/>
      </w:pPr>
      <w:r>
        <w:t>updates to the NIMC online training tool to incorporate the venous thromboembolism prophylaxis section</w:t>
      </w:r>
    </w:p>
    <w:p w14:paraId="67641B3A" w14:textId="77777777" w:rsidR="00895CD2" w:rsidRDefault="00AD26F3" w:rsidP="00416913">
      <w:pPr>
        <w:pStyle w:val="bullet"/>
      </w:pPr>
      <w:r>
        <w:t>the release of private hospital versions of the NIMC for paediatric settings</w:t>
      </w:r>
    </w:p>
    <w:p w14:paraId="06756AB2" w14:textId="77777777" w:rsidR="00895CD2" w:rsidRDefault="00AD26F3" w:rsidP="00416913">
      <w:pPr>
        <w:pStyle w:val="bullet"/>
      </w:pPr>
      <w:r>
        <w:t>the release of educational resource materials and an electronic audit tool to help health services implement the new NIMC versions</w:t>
      </w:r>
    </w:p>
    <w:p w14:paraId="618AF458" w14:textId="77777777" w:rsidR="00895CD2" w:rsidRDefault="00AD26F3" w:rsidP="00416913">
      <w:pPr>
        <w:pStyle w:val="bullet"/>
      </w:pPr>
      <w:r>
        <w:t xml:space="preserve">the publishing of the 2012 </w:t>
      </w:r>
      <w:r>
        <w:rPr>
          <w:rStyle w:val="2body-italic"/>
        </w:rPr>
        <w:t xml:space="preserve">NIMC National Audit Report Supplement: From measurement to action </w:t>
      </w:r>
      <w:r>
        <w:t>to help health services improve the safety and quality of prescribing and documentation on the NIMC</w:t>
      </w:r>
    </w:p>
    <w:p w14:paraId="2ACCD153" w14:textId="77777777" w:rsidR="00895CD2" w:rsidRDefault="00AD26F3" w:rsidP="00416913">
      <w:pPr>
        <w:pStyle w:val="bullet"/>
      </w:pPr>
      <w:proofErr w:type="gramStart"/>
      <w:r>
        <w:t>the</w:t>
      </w:r>
      <w:proofErr w:type="gramEnd"/>
      <w:r>
        <w:t xml:space="preserve"> addition of two new reports to the NIMC audit system to provide hospitals with access to additional information on medication errors.</w:t>
      </w:r>
    </w:p>
    <w:p w14:paraId="0E873293" w14:textId="77777777" w:rsidR="00895CD2" w:rsidRDefault="00AD26F3">
      <w:pPr>
        <w:pStyle w:val="2body-copy"/>
        <w:rPr>
          <w:rFonts w:cs="Times New Roman"/>
          <w:lang w:val="en-GB"/>
        </w:rPr>
      </w:pPr>
      <w:r>
        <w:rPr>
          <w:rFonts w:cs="Times New Roman"/>
          <w:lang w:val="en-GB"/>
        </w:rPr>
        <w:t>The use of medicines and the incidence of medication-related problems are significant in aged-care facilities given the high numbers of comorbidities that require complex medicine regimens. Most residents of aged-care facilities require multiple medicines.</w:t>
      </w:r>
      <w:r>
        <w:rPr>
          <w:rStyle w:val="superscript"/>
          <w:rFonts w:cs="Times New Roman"/>
          <w:lang w:val="en-GB"/>
        </w:rPr>
        <w:t>8 9</w:t>
      </w:r>
      <w:r>
        <w:rPr>
          <w:rFonts w:cs="Times New Roman"/>
          <w:lang w:val="en-GB"/>
        </w:rPr>
        <w:t xml:space="preserve"> In March 2014, the Commission finalised the development of a standardised National Residential Medication Chart (NRMC) for use in residential aged-care facilities (RACFs) funded by the Australian Government through the Fifth Community Pharmacy Agreement.</w:t>
      </w:r>
    </w:p>
    <w:p w14:paraId="73ABE793" w14:textId="77777777" w:rsidR="00895CD2" w:rsidRDefault="00AD26F3">
      <w:pPr>
        <w:pStyle w:val="2body-copy"/>
        <w:rPr>
          <w:rFonts w:cs="Times New Roman"/>
          <w:lang w:val="en-GB"/>
        </w:rPr>
      </w:pPr>
      <w:r>
        <w:rPr>
          <w:rFonts w:cs="Times New Roman"/>
          <w:lang w:val="en-GB"/>
        </w:rPr>
        <w:t xml:space="preserve">The NRMC defines the standard requirements for medication charts to be used in RACFs. It is designed to be the main communication tool for the transfer of medicines information between those responsible for prescribing, dispensing, administering and reconciling medicines in RACFs, including general practitioners, community pharmacists and RACF staff. It is also designed to facilitate the supply of medicines and allows for Pharmaceutical Benefit Scheme (PBS) and Repatriation Pharmaceutical Benefit Scheme (RPBS) claiming directly from the chart, reducing the need for individual prescriptions for most PBS and RPBS medicines. </w:t>
      </w:r>
    </w:p>
    <w:p w14:paraId="24DFD8C2" w14:textId="77777777" w:rsidR="00895CD2" w:rsidRDefault="00AD26F3">
      <w:pPr>
        <w:pStyle w:val="2body-copy"/>
        <w:rPr>
          <w:rFonts w:cs="Times New Roman"/>
          <w:lang w:val="en-GB"/>
        </w:rPr>
      </w:pPr>
      <w:r>
        <w:rPr>
          <w:rFonts w:cs="Times New Roman"/>
          <w:lang w:val="en-GB"/>
        </w:rPr>
        <w:t>From April to November 2013, the Commission conducted a phased implementation of the NRMC in 22 RACFs in New South Wales to test its functionality and usability. An audit of the phased implementation revealed a reduction in the number of medicines prescribed, fewer administration errors, fewer errors in the supply of medicines via drug administration aids, and improved documentation of the medicines administered.</w:t>
      </w:r>
    </w:p>
    <w:p w14:paraId="3A8B42C0" w14:textId="77777777" w:rsidR="00895CD2" w:rsidRDefault="00AD26F3">
      <w:pPr>
        <w:pStyle w:val="2body-copy"/>
        <w:rPr>
          <w:rFonts w:cs="Times New Roman"/>
          <w:lang w:val="en-GB"/>
        </w:rPr>
      </w:pPr>
      <w:r>
        <w:rPr>
          <w:rFonts w:cs="Times New Roman"/>
          <w:lang w:val="en-GB"/>
        </w:rPr>
        <w:t xml:space="preserve">Pharmacy supply errors were reduced by the removal of separate signing sheets and improvements in version control of medication charts, enabling pharmacies to pack medicines from the most recent medication orders. </w:t>
      </w:r>
    </w:p>
    <w:p w14:paraId="0B8C830A" w14:textId="77777777" w:rsidR="00895CD2" w:rsidRDefault="00AD26F3">
      <w:pPr>
        <w:pStyle w:val="2body-copy"/>
        <w:rPr>
          <w:rFonts w:cs="Times New Roman"/>
          <w:lang w:val="en-GB"/>
        </w:rPr>
      </w:pPr>
      <w:r>
        <w:rPr>
          <w:rFonts w:cs="Times New Roman"/>
          <w:lang w:val="en-GB"/>
        </w:rPr>
        <w:t>Direct claiming of rebates for PBS and RPBS prescriptions from the NRMC reduced the administrative workload for prescribers, pharmacists and RACF staff. This workload reduction occurred gradually as personnel became used to using the new chart.</w:t>
      </w:r>
    </w:p>
    <w:p w14:paraId="288BCE75" w14:textId="77777777" w:rsidR="00895CD2" w:rsidRDefault="00AD26F3">
      <w:pPr>
        <w:pStyle w:val="2body-copy"/>
        <w:rPr>
          <w:rFonts w:cs="Times New Roman"/>
          <w:lang w:val="en-GB"/>
        </w:rPr>
      </w:pPr>
      <w:r>
        <w:rPr>
          <w:rFonts w:cs="Times New Roman"/>
          <w:lang w:val="en-GB"/>
        </w:rPr>
        <w:t xml:space="preserve">Another important standardisation piloted throughout 2013 was a national subcutaneous insulin chart that combines records of insulin prescribed, dispensed and administered with documentation of patient blood glucose levels and clinical decision support. </w:t>
      </w:r>
    </w:p>
    <w:p w14:paraId="167C1E58" w14:textId="77777777" w:rsidR="00895CD2" w:rsidRDefault="00AD26F3">
      <w:pPr>
        <w:pStyle w:val="2body-copy-before-bullet"/>
        <w:rPr>
          <w:rFonts w:cs="Times New Roman"/>
          <w:lang w:val="en-GB"/>
        </w:rPr>
      </w:pPr>
      <w:r>
        <w:rPr>
          <w:rFonts w:cs="Times New Roman"/>
          <w:lang w:val="en-GB"/>
        </w:rPr>
        <w:t xml:space="preserve">The pilot, conducted in eight hospitals across Australia, demonstrated that this new chart improved: </w:t>
      </w:r>
    </w:p>
    <w:p w14:paraId="32A4E685" w14:textId="77777777" w:rsidR="00895CD2" w:rsidRDefault="00AD26F3" w:rsidP="00416913">
      <w:pPr>
        <w:pStyle w:val="bullet"/>
      </w:pPr>
      <w:r>
        <w:t>monitoring and documentation of blood glucose levels</w:t>
      </w:r>
    </w:p>
    <w:p w14:paraId="7B2C39E7" w14:textId="77777777" w:rsidR="00895CD2" w:rsidRDefault="00AD26F3" w:rsidP="00416913">
      <w:pPr>
        <w:pStyle w:val="bullet"/>
      </w:pPr>
      <w:r>
        <w:t>clarity of insulin prescribing</w:t>
      </w:r>
    </w:p>
    <w:p w14:paraId="6AB65EF5" w14:textId="77777777" w:rsidR="00895CD2" w:rsidRDefault="00AD26F3" w:rsidP="00416913">
      <w:pPr>
        <w:pStyle w:val="bullet"/>
      </w:pPr>
      <w:r>
        <w:t>notification documentation</w:t>
      </w:r>
    </w:p>
    <w:p w14:paraId="7165C993" w14:textId="77777777" w:rsidR="00895CD2" w:rsidRDefault="00AD26F3" w:rsidP="00416913">
      <w:pPr>
        <w:pStyle w:val="bullet"/>
      </w:pPr>
      <w:proofErr w:type="gramStart"/>
      <w:r>
        <w:t>follow-up</w:t>
      </w:r>
      <w:proofErr w:type="gramEnd"/>
      <w:r>
        <w:t xml:space="preserve"> management of hypoglycaemia and hyperglycaemia.</w:t>
      </w:r>
    </w:p>
    <w:p w14:paraId="68F2EDCF" w14:textId="77777777" w:rsidR="007F4D2B" w:rsidRDefault="007F4D2B">
      <w:pPr>
        <w:spacing w:after="0"/>
        <w:rPr>
          <w:rFonts w:cs="Times New Roman"/>
          <w:lang w:val="en-GB"/>
        </w:rPr>
      </w:pPr>
    </w:p>
    <w:p w14:paraId="4A99FD22" w14:textId="77777777" w:rsidR="007F4D2B" w:rsidRDefault="007F4D2B">
      <w:pPr>
        <w:spacing w:after="0"/>
        <w:rPr>
          <w:rFonts w:cs="Times New Roman"/>
          <w:lang w:val="en-GB"/>
        </w:rPr>
      </w:pPr>
      <w:r>
        <w:rPr>
          <w:rFonts w:cs="Times New Roman"/>
          <w:lang w:val="en-GB"/>
        </w:rPr>
        <w:br w:type="page"/>
      </w:r>
    </w:p>
    <w:p w14:paraId="1090E084" w14:textId="77777777" w:rsidR="00895CD2" w:rsidRDefault="00AD26F3">
      <w:pPr>
        <w:pStyle w:val="2body-copy"/>
        <w:rPr>
          <w:rFonts w:cs="Times New Roman"/>
          <w:lang w:val="en-GB"/>
        </w:rPr>
      </w:pPr>
      <w:r>
        <w:rPr>
          <w:rFonts w:cs="Times New Roman"/>
          <w:lang w:val="en-GB"/>
        </w:rPr>
        <w:lastRenderedPageBreak/>
        <w:t>Throughout 2013/14, the Commission also published enhancements to the National Labelling Recommendations for User-Applied Labelling of Injectable Medicines, Fluids and Lines, and issued a joint statement with the Australian and New Zealand College of Anaesthetists supporting user-applied labelling standardisation of injectable medicines and fluids.</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5D7A3195" w14:textId="77777777" w:rsidTr="007F4D2B">
        <w:tc>
          <w:tcPr>
            <w:tcW w:w="0" w:type="auto"/>
            <w:shd w:val="clear" w:color="auto" w:fill="00837D"/>
            <w:vAlign w:val="center"/>
            <w:hideMark/>
          </w:tcPr>
          <w:p w14:paraId="2101CF4B" w14:textId="77777777" w:rsidR="00895CD2" w:rsidRDefault="00AD26F3">
            <w:pPr>
              <w:pStyle w:val="3table-header-l"/>
              <w:rPr>
                <w:rFonts w:cs="Times New Roman"/>
              </w:rPr>
            </w:pPr>
            <w:r>
              <w:rPr>
                <w:rFonts w:cs="Times New Roman"/>
              </w:rPr>
              <w:t>Key achievements 2013/14</w:t>
            </w:r>
          </w:p>
        </w:tc>
      </w:tr>
      <w:tr w:rsidR="00895CD2" w14:paraId="5C03B3E6" w14:textId="77777777" w:rsidTr="007F4D2B">
        <w:tc>
          <w:tcPr>
            <w:tcW w:w="0" w:type="auto"/>
            <w:vAlign w:val="center"/>
            <w:hideMark/>
          </w:tcPr>
          <w:p w14:paraId="33CD09F4" w14:textId="77777777" w:rsidR="00895CD2" w:rsidRDefault="00AD26F3">
            <w:pPr>
              <w:pStyle w:val="2body-copy"/>
              <w:rPr>
                <w:rFonts w:cs="Times New Roman"/>
              </w:rPr>
            </w:pPr>
            <w:r>
              <w:rPr>
                <w:rStyle w:val="s2-pull-out-numbers"/>
                <w:rFonts w:cs="Times New Roman"/>
              </w:rPr>
              <w:t xml:space="preserve">4,673 </w:t>
            </w:r>
            <w:r>
              <w:rPr>
                <w:rFonts w:cs="Times New Roman"/>
              </w:rPr>
              <w:t>charts were audited as part of the phased implementation of the NRMC.</w:t>
            </w:r>
          </w:p>
        </w:tc>
      </w:tr>
      <w:tr w:rsidR="00895CD2" w14:paraId="0B468B00" w14:textId="77777777" w:rsidTr="007F4D2B">
        <w:tc>
          <w:tcPr>
            <w:tcW w:w="0" w:type="auto"/>
            <w:vAlign w:val="center"/>
            <w:hideMark/>
          </w:tcPr>
          <w:p w14:paraId="15196BBA" w14:textId="77777777" w:rsidR="00895CD2" w:rsidRDefault="00AD26F3">
            <w:pPr>
              <w:pStyle w:val="2body-copy"/>
              <w:rPr>
                <w:rFonts w:cs="Times New Roman"/>
              </w:rPr>
            </w:pPr>
            <w:r>
              <w:rPr>
                <w:rFonts w:cs="Times New Roman"/>
              </w:rPr>
              <w:t>27% reduction in pharmacy supply errors during the phased implementation of the NRMC.</w:t>
            </w:r>
          </w:p>
        </w:tc>
      </w:tr>
      <w:tr w:rsidR="00895CD2" w14:paraId="76E2B1E2" w14:textId="77777777" w:rsidTr="007F4D2B">
        <w:tc>
          <w:tcPr>
            <w:tcW w:w="0" w:type="auto"/>
            <w:vAlign w:val="center"/>
            <w:hideMark/>
          </w:tcPr>
          <w:p w14:paraId="2C4F3CF8" w14:textId="77777777" w:rsidR="00895CD2" w:rsidRDefault="00AD26F3">
            <w:pPr>
              <w:pStyle w:val="2body-copy"/>
              <w:rPr>
                <w:rFonts w:cs="Times New Roman"/>
              </w:rPr>
            </w:pPr>
            <w:r>
              <w:rPr>
                <w:rFonts w:cs="Times New Roman"/>
              </w:rPr>
              <w:t xml:space="preserve">The incidence of blood glucose levels </w:t>
            </w:r>
            <w:proofErr w:type="gramStart"/>
            <w:r>
              <w:rPr>
                <w:rFonts w:cs="Times New Roman"/>
              </w:rPr>
              <w:t xml:space="preserve">of less than 4 </w:t>
            </w:r>
            <w:proofErr w:type="spellStart"/>
            <w:r>
              <w:rPr>
                <w:rFonts w:cs="Times New Roman"/>
              </w:rPr>
              <w:t>mmol</w:t>
            </w:r>
            <w:proofErr w:type="spellEnd"/>
            <w:r>
              <w:rPr>
                <w:rFonts w:cs="Times New Roman"/>
              </w:rPr>
              <w:t>/L</w:t>
            </w:r>
            <w:proofErr w:type="gramEnd"/>
            <w:r>
              <w:rPr>
                <w:rFonts w:cs="Times New Roman"/>
              </w:rPr>
              <w:t xml:space="preserve"> were reduced by 29% during the pilot of the new insulin chart.</w:t>
            </w:r>
          </w:p>
        </w:tc>
      </w:tr>
      <w:tr w:rsidR="00895CD2" w14:paraId="33726472" w14:textId="77777777" w:rsidTr="007F4D2B">
        <w:tc>
          <w:tcPr>
            <w:tcW w:w="0" w:type="auto"/>
            <w:vAlign w:val="center"/>
            <w:hideMark/>
          </w:tcPr>
          <w:p w14:paraId="71CF295A" w14:textId="77777777" w:rsidR="00895CD2" w:rsidRDefault="00AD26F3">
            <w:pPr>
              <w:pStyle w:val="2body-copy"/>
              <w:rPr>
                <w:rFonts w:cs="Times New Roman"/>
              </w:rPr>
            </w:pPr>
            <w:r>
              <w:rPr>
                <w:rFonts w:cs="Times New Roman"/>
              </w:rPr>
              <w:t xml:space="preserve">The </w:t>
            </w:r>
            <w:proofErr w:type="gramStart"/>
            <w:r>
              <w:rPr>
                <w:rFonts w:cs="Times New Roman"/>
              </w:rPr>
              <w:t xml:space="preserve">incidence of blood glucose levels greater than 20 </w:t>
            </w:r>
            <w:proofErr w:type="spellStart"/>
            <w:r>
              <w:rPr>
                <w:rFonts w:cs="Times New Roman"/>
              </w:rPr>
              <w:t>mmol</w:t>
            </w:r>
            <w:proofErr w:type="spellEnd"/>
            <w:r>
              <w:rPr>
                <w:rFonts w:cs="Times New Roman"/>
              </w:rPr>
              <w:t>/L were</w:t>
            </w:r>
            <w:proofErr w:type="gramEnd"/>
            <w:r>
              <w:rPr>
                <w:rFonts w:cs="Times New Roman"/>
              </w:rPr>
              <w:t xml:space="preserve"> reduced by 28% during the pilot of the new insulin chart.</w:t>
            </w:r>
          </w:p>
        </w:tc>
      </w:tr>
    </w:tbl>
    <w:p w14:paraId="468441E8" w14:textId="77777777" w:rsidR="00895CD2" w:rsidRDefault="00AD26F3">
      <w:pPr>
        <w:pStyle w:val="1heading-level-3"/>
        <w:rPr>
          <w:rFonts w:cs="Times New Roman"/>
          <w:lang w:val="en-GB"/>
        </w:rPr>
      </w:pPr>
      <w:r>
        <w:rPr>
          <w:rFonts w:cs="Times New Roman"/>
          <w:lang w:val="en-GB"/>
        </w:rPr>
        <w:t>Improving the quality of communication about medicines</w:t>
      </w:r>
    </w:p>
    <w:p w14:paraId="5AE1289D" w14:textId="77777777" w:rsidR="00895CD2" w:rsidRDefault="00AD26F3">
      <w:pPr>
        <w:pStyle w:val="2body-copy"/>
        <w:rPr>
          <w:rFonts w:cs="Times New Roman"/>
          <w:lang w:val="en-GB"/>
        </w:rPr>
      </w:pPr>
      <w:r>
        <w:rPr>
          <w:rFonts w:cs="Times New Roman"/>
          <w:lang w:val="en-GB"/>
        </w:rPr>
        <w:t>Improving the accuracy of information on patients’ medicines reduces the risk of medication errors and adverse medicine events. This can occur when patients are admitted to or discharged from hospital, and especially when they are transferred within or between health service organisations.</w:t>
      </w:r>
    </w:p>
    <w:p w14:paraId="0ADFE5E1" w14:textId="77777777" w:rsidR="00895CD2" w:rsidRDefault="00AD26F3">
      <w:pPr>
        <w:pStyle w:val="2body-copy"/>
        <w:rPr>
          <w:rFonts w:cs="Times New Roman"/>
          <w:lang w:val="en-GB"/>
        </w:rPr>
      </w:pPr>
      <w:r>
        <w:rPr>
          <w:rFonts w:cs="Times New Roman"/>
          <w:lang w:val="en-GB"/>
        </w:rPr>
        <w:t>As many as 60% to 80% of patients have at least one error recorded in their medication history on admission to hospital. Error rates range from one to 2.5 per patient, with the most common error – an omitted medicine – accounting for 40% to 60% of errors.</w:t>
      </w:r>
      <w:r>
        <w:rPr>
          <w:rStyle w:val="superscript"/>
          <w:rFonts w:cs="Times New Roman"/>
          <w:lang w:val="en-GB"/>
        </w:rPr>
        <w:t>6</w:t>
      </w:r>
      <w:r>
        <w:rPr>
          <w:rFonts w:cs="Times New Roman"/>
          <w:lang w:val="en-GB"/>
        </w:rPr>
        <w:t xml:space="preserve"> The most accurate medication history is achieved when using a structured process for interviewing patients and/or their carers and families about the medicines the patient is taking, and verifying with one or more other sources (such as the patients’ medicines, medicines list or community pharmacy records). In July 2013, the Commission released a training video, </w:t>
      </w:r>
      <w:r>
        <w:rPr>
          <w:rStyle w:val="2body-italic"/>
          <w:rFonts w:cs="Times New Roman"/>
          <w:lang w:val="en-GB"/>
        </w:rPr>
        <w:t>Get it right! Taking a Best Possible Medication History</w:t>
      </w:r>
      <w:r>
        <w:rPr>
          <w:rFonts w:cs="Times New Roman"/>
          <w:lang w:val="en-GB"/>
        </w:rPr>
        <w:t xml:space="preserve">, for health services and universities to use in training medical, nursing and pharmacy students and practitioners. </w:t>
      </w:r>
    </w:p>
    <w:p w14:paraId="4A82B038" w14:textId="77777777" w:rsidR="00895CD2" w:rsidRDefault="00AD26F3">
      <w:pPr>
        <w:pStyle w:val="2body-copy"/>
        <w:rPr>
          <w:rFonts w:cs="Times New Roman"/>
          <w:lang w:val="en-GB"/>
        </w:rPr>
      </w:pPr>
      <w:r>
        <w:rPr>
          <w:rFonts w:cs="Times New Roman"/>
          <w:lang w:val="en-GB"/>
        </w:rPr>
        <w:t xml:space="preserve">Throughout 2013/14, the Commission coordinated Australia’s involvement in the World Health Organization (WHO) High 5s Medication Reconciliation Project. This five-year project involving 12 Australian health service organisations aims to assess the feasibility and effectiveness of implementing a standard operating protocol for medication reconciliation – a process for improving the accuracy of medicines information communicated across the continuum of care. </w:t>
      </w:r>
    </w:p>
    <w:p w14:paraId="12AF3920" w14:textId="77777777" w:rsidR="00895CD2" w:rsidRDefault="00AD26F3">
      <w:pPr>
        <w:pStyle w:val="2body-copy"/>
        <w:rPr>
          <w:rFonts w:cs="Times New Roman"/>
          <w:lang w:val="en-GB"/>
        </w:rPr>
      </w:pPr>
      <w:r>
        <w:rPr>
          <w:rFonts w:cs="Times New Roman"/>
          <w:lang w:val="en-GB"/>
        </w:rPr>
        <w:t>An interim report on the project was published by WHO is due to be released later in 2014. The Commission is also developing an Australian interim report which shows that in hospitals involved in the project, the average rate of medication errors on admission was less than the benchmark 0.3 per patient since reporting commenced in December 2010.</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1AB1E6D1" w14:textId="77777777" w:rsidTr="007F4D2B">
        <w:tc>
          <w:tcPr>
            <w:tcW w:w="0" w:type="auto"/>
            <w:shd w:val="clear" w:color="auto" w:fill="00837D"/>
            <w:vAlign w:val="center"/>
            <w:hideMark/>
          </w:tcPr>
          <w:p w14:paraId="672F3FDD" w14:textId="77777777" w:rsidR="00895CD2" w:rsidRDefault="00AD26F3">
            <w:pPr>
              <w:pStyle w:val="3table-header-l"/>
              <w:rPr>
                <w:rFonts w:cs="Times New Roman"/>
              </w:rPr>
            </w:pPr>
            <w:r>
              <w:rPr>
                <w:rFonts w:cs="Times New Roman"/>
              </w:rPr>
              <w:t>Key achievements 2013/14</w:t>
            </w:r>
          </w:p>
        </w:tc>
      </w:tr>
      <w:tr w:rsidR="00895CD2" w14:paraId="6A08BFF1" w14:textId="77777777" w:rsidTr="007F4D2B">
        <w:tc>
          <w:tcPr>
            <w:tcW w:w="0" w:type="auto"/>
            <w:vAlign w:val="center"/>
            <w:hideMark/>
          </w:tcPr>
          <w:p w14:paraId="35F0981F" w14:textId="77777777" w:rsidR="00895CD2" w:rsidRDefault="00AD26F3">
            <w:pPr>
              <w:pStyle w:val="2body-copy"/>
              <w:rPr>
                <w:rFonts w:cs="Times New Roman"/>
              </w:rPr>
            </w:pPr>
            <w:r>
              <w:rPr>
                <w:rStyle w:val="s2-pull-out-numbers"/>
                <w:rFonts w:cs="Times New Roman"/>
              </w:rPr>
              <w:t xml:space="preserve">5,080 </w:t>
            </w:r>
            <w:r>
              <w:rPr>
                <w:rFonts w:cs="Times New Roman"/>
              </w:rPr>
              <w:t xml:space="preserve">people viewed the </w:t>
            </w:r>
            <w:r>
              <w:rPr>
                <w:rStyle w:val="2body-italic"/>
                <w:rFonts w:cs="Times New Roman"/>
              </w:rPr>
              <w:t>Get it right! Taking a Best Possible Medication History</w:t>
            </w:r>
            <w:r>
              <w:rPr>
                <w:rFonts w:cs="Times New Roman"/>
              </w:rPr>
              <w:t xml:space="preserve"> video.</w:t>
            </w:r>
          </w:p>
        </w:tc>
      </w:tr>
      <w:tr w:rsidR="00895CD2" w14:paraId="78B55162" w14:textId="77777777" w:rsidTr="007F4D2B">
        <w:tc>
          <w:tcPr>
            <w:tcW w:w="0" w:type="auto"/>
            <w:vAlign w:val="center"/>
            <w:hideMark/>
          </w:tcPr>
          <w:p w14:paraId="6CB862DB" w14:textId="77777777" w:rsidR="00895CD2" w:rsidRDefault="00AD26F3">
            <w:pPr>
              <w:pStyle w:val="2body-copy"/>
              <w:rPr>
                <w:rFonts w:cs="Times New Roman"/>
              </w:rPr>
            </w:pPr>
            <w:r>
              <w:rPr>
                <w:rFonts w:cs="Times New Roman"/>
              </w:rPr>
              <w:t>Medications errors on admission were less than the benchmark of 0.3 per patient in hospitals participating in the High 5s project.</w:t>
            </w:r>
          </w:p>
        </w:tc>
      </w:tr>
    </w:tbl>
    <w:p w14:paraId="5F00171C" w14:textId="77777777" w:rsidR="007F4D2B" w:rsidRDefault="007F4D2B">
      <w:pPr>
        <w:pStyle w:val="1heading-level-3"/>
        <w:rPr>
          <w:rFonts w:cs="Times New Roman"/>
          <w:lang w:val="en-GB"/>
        </w:rPr>
      </w:pPr>
    </w:p>
    <w:p w14:paraId="2183666A" w14:textId="77777777" w:rsidR="007F4D2B" w:rsidRDefault="007F4D2B">
      <w:pPr>
        <w:spacing w:after="0"/>
        <w:rPr>
          <w:rFonts w:cs="Times New Roman"/>
          <w:b/>
          <w:bCs/>
          <w:color w:val="5F605F"/>
          <w:sz w:val="24"/>
          <w:szCs w:val="24"/>
          <w:lang w:val="en-GB"/>
        </w:rPr>
      </w:pPr>
      <w:r>
        <w:rPr>
          <w:rFonts w:cs="Times New Roman"/>
          <w:lang w:val="en-GB"/>
        </w:rPr>
        <w:br w:type="page"/>
      </w:r>
    </w:p>
    <w:p w14:paraId="48FCB0CC" w14:textId="77777777" w:rsidR="00895CD2" w:rsidRDefault="00AD26F3">
      <w:pPr>
        <w:pStyle w:val="1heading-level-3"/>
        <w:rPr>
          <w:rFonts w:cs="Times New Roman"/>
          <w:lang w:val="en-GB"/>
        </w:rPr>
      </w:pPr>
      <w:r>
        <w:rPr>
          <w:rFonts w:cs="Times New Roman"/>
          <w:lang w:val="en-GB"/>
        </w:rPr>
        <w:lastRenderedPageBreak/>
        <w:t>Reducing gaps in practice by encouraging evidence-based approaches</w:t>
      </w:r>
    </w:p>
    <w:p w14:paraId="2117561B" w14:textId="77777777" w:rsidR="00895CD2" w:rsidRDefault="00AD26F3">
      <w:pPr>
        <w:pStyle w:val="2body-copy"/>
        <w:rPr>
          <w:rFonts w:cs="Times New Roman"/>
          <w:lang w:val="en-GB"/>
        </w:rPr>
      </w:pPr>
      <w:r>
        <w:rPr>
          <w:rFonts w:cs="Times New Roman"/>
          <w:lang w:val="en-GB"/>
        </w:rPr>
        <w:t>Medication administration in acute care continues to have a significant risk of error. Direct observational studies report estimated error rates of 19% to 27% in medicines administered to patients.</w:t>
      </w:r>
      <w:r>
        <w:rPr>
          <w:rStyle w:val="superscript"/>
          <w:rFonts w:cs="Times New Roman"/>
          <w:lang w:val="en-GB"/>
        </w:rPr>
        <w:t>10</w:t>
      </w:r>
    </w:p>
    <w:p w14:paraId="174F150A" w14:textId="77777777" w:rsidR="00895CD2" w:rsidRDefault="00AD26F3">
      <w:pPr>
        <w:pStyle w:val="2body-copy"/>
        <w:rPr>
          <w:rFonts w:cs="Times New Roman"/>
          <w:lang w:val="en-GB"/>
        </w:rPr>
      </w:pPr>
      <w:r>
        <w:rPr>
          <w:rFonts w:cs="Times New Roman"/>
          <w:lang w:val="en-GB"/>
        </w:rPr>
        <w:t xml:space="preserve">In 2013/14, the Commission published five evidence briefings on interventions to reduce medication administration and dispensing errors and improve the efficiency of medication distribution systems. </w:t>
      </w:r>
    </w:p>
    <w:p w14:paraId="4FE6E232" w14:textId="77777777" w:rsidR="00895CD2" w:rsidRDefault="00AD26F3">
      <w:pPr>
        <w:pStyle w:val="2body-copy-before-bullet"/>
        <w:rPr>
          <w:rFonts w:cs="Times New Roman"/>
          <w:lang w:val="en-GB"/>
        </w:rPr>
      </w:pPr>
      <w:r>
        <w:rPr>
          <w:rFonts w:cs="Times New Roman"/>
          <w:lang w:val="en-GB"/>
        </w:rPr>
        <w:t>The evidence briefings consider:</w:t>
      </w:r>
    </w:p>
    <w:p w14:paraId="67806F87" w14:textId="77777777" w:rsidR="00895CD2" w:rsidRDefault="00AD26F3" w:rsidP="00416913">
      <w:pPr>
        <w:pStyle w:val="bullet"/>
      </w:pPr>
      <w:r>
        <w:t>automated dispensing systems</w:t>
      </w:r>
    </w:p>
    <w:p w14:paraId="4543864E" w14:textId="77777777" w:rsidR="00895CD2" w:rsidRDefault="00AD26F3" w:rsidP="00416913">
      <w:pPr>
        <w:pStyle w:val="bullet"/>
      </w:pPr>
      <w:r>
        <w:t>barcode medicine administration systems</w:t>
      </w:r>
    </w:p>
    <w:p w14:paraId="4A842644" w14:textId="77777777" w:rsidR="00895CD2" w:rsidRDefault="00AD26F3" w:rsidP="00416913">
      <w:pPr>
        <w:pStyle w:val="bullet"/>
      </w:pPr>
      <w:r>
        <w:t>electronic medication administration records</w:t>
      </w:r>
    </w:p>
    <w:p w14:paraId="4ABCE6EE" w14:textId="77777777" w:rsidR="00895CD2" w:rsidRDefault="00AD26F3" w:rsidP="00416913">
      <w:pPr>
        <w:pStyle w:val="bullet"/>
      </w:pPr>
      <w:r>
        <w:t>double-checking medicine administration</w:t>
      </w:r>
    </w:p>
    <w:p w14:paraId="4BF40556" w14:textId="77777777" w:rsidR="00895CD2" w:rsidRDefault="00AD26F3" w:rsidP="00416913">
      <w:pPr>
        <w:pStyle w:val="bullet"/>
      </w:pPr>
      <w:proofErr w:type="gramStart"/>
      <w:r>
        <w:t>interventions</w:t>
      </w:r>
      <w:proofErr w:type="gramEnd"/>
      <w:r>
        <w:t xml:space="preserve"> to reduce interruptions during medicines preparation and administration.</w:t>
      </w:r>
    </w:p>
    <w:p w14:paraId="6B7D9C04" w14:textId="77777777" w:rsidR="00895CD2" w:rsidRDefault="00AD26F3">
      <w:pPr>
        <w:pStyle w:val="2body-copy"/>
        <w:rPr>
          <w:rFonts w:cs="Times New Roman"/>
          <w:lang w:val="en-GB"/>
        </w:rPr>
      </w:pPr>
      <w:r>
        <w:rPr>
          <w:rFonts w:cs="Times New Roman"/>
          <w:lang w:val="en-GB"/>
        </w:rPr>
        <w:t>The briefings provide the basis for a comparative analysis of the relative effectiveness of the different interventions and will help individual health services to identify the most appropriate intervention for their service.</w:t>
      </w:r>
    </w:p>
    <w:p w14:paraId="4CD7353F" w14:textId="77777777" w:rsidR="00895CD2" w:rsidRDefault="00AD26F3">
      <w:pPr>
        <w:pStyle w:val="2body-copy"/>
        <w:rPr>
          <w:rFonts w:cs="Times New Roman"/>
          <w:lang w:val="en-GB"/>
        </w:rPr>
      </w:pPr>
      <w:r>
        <w:rPr>
          <w:rFonts w:cs="Times New Roman"/>
          <w:lang w:val="en-GB"/>
        </w:rPr>
        <w:t xml:space="preserve">It is estimated that 60% of Australians aged 15–74 do not have the basic health literacy skills needed to understand information such as the instructions on a medication dispensing label. However, the pharmacy label is often the only individually tailored information that a consumer receives about their medicines. </w:t>
      </w:r>
    </w:p>
    <w:p w14:paraId="77228C06" w14:textId="77777777" w:rsidR="00895CD2" w:rsidRDefault="00AD26F3">
      <w:pPr>
        <w:pStyle w:val="2body-copy"/>
        <w:rPr>
          <w:rFonts w:cs="Times New Roman"/>
          <w:lang w:val="en-GB"/>
        </w:rPr>
      </w:pPr>
      <w:r>
        <w:rPr>
          <w:rFonts w:cs="Times New Roman"/>
          <w:lang w:val="en-GB"/>
        </w:rPr>
        <w:t>In November 2013, the Commission co-hosted a national roundtable discussion on improving the safety and quality of pharmacy dispensing labels with the Clinical Excellence Commission (NSW). The purpose was to engage pharmacy organisations, consumers, educators, software vendors, health literacy experts and patient safety agencies to formulate a set of priorities for improving pharmacy labels and identify appropriate agencies to lead the work required.</w:t>
      </w:r>
    </w:p>
    <w:p w14:paraId="0362AFBB" w14:textId="77777777" w:rsidR="00416913" w:rsidRDefault="00AD26F3" w:rsidP="007F4D2B">
      <w:pPr>
        <w:pStyle w:val="2body-copy"/>
        <w:rPr>
          <w:rFonts w:cs="Times New Roman"/>
          <w:lang w:val="en-GB"/>
        </w:rPr>
      </w:pPr>
      <w:r>
        <w:rPr>
          <w:rFonts w:cs="Times New Roman"/>
          <w:lang w:val="en-GB"/>
        </w:rPr>
        <w:t xml:space="preserve">Clinical indicators are useful tools to measure gaps in practice. A revised version of </w:t>
      </w:r>
      <w:r>
        <w:rPr>
          <w:rStyle w:val="2body-italic"/>
          <w:rFonts w:cs="Times New Roman"/>
          <w:lang w:val="en-GB"/>
        </w:rPr>
        <w:t>Indicators for Quality Use of Medicines in Australian Hospitals</w:t>
      </w:r>
      <w:r>
        <w:rPr>
          <w:rFonts w:cs="Times New Roman"/>
          <w:lang w:val="en-GB"/>
        </w:rPr>
        <w:t xml:space="preserve"> is due to be released in August 2014. These indicators help clinicians and health service organisations measure improvements in the quality and safety of medicine use and medication management systems. The revised version includes two new indicators for medication reconciliation at discharge and five indicators for mental health. The indicators have been mapped to the NSQHS Standards. Data collection tools for each indicator were also developed.</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168846CA" w14:textId="77777777" w:rsidTr="007F4D2B">
        <w:tc>
          <w:tcPr>
            <w:tcW w:w="0" w:type="auto"/>
            <w:shd w:val="clear" w:color="auto" w:fill="00837D"/>
            <w:vAlign w:val="center"/>
            <w:hideMark/>
          </w:tcPr>
          <w:p w14:paraId="7BFC3B9F" w14:textId="77777777" w:rsidR="00895CD2" w:rsidRDefault="00AD26F3">
            <w:pPr>
              <w:pStyle w:val="3table-header-l"/>
              <w:rPr>
                <w:rFonts w:cs="Times New Roman"/>
              </w:rPr>
            </w:pPr>
            <w:r>
              <w:rPr>
                <w:rFonts w:cs="Times New Roman"/>
              </w:rPr>
              <w:t>Key achievements 2013/14</w:t>
            </w:r>
          </w:p>
        </w:tc>
      </w:tr>
      <w:tr w:rsidR="00895CD2" w14:paraId="619753F9" w14:textId="77777777" w:rsidTr="007F4D2B">
        <w:tc>
          <w:tcPr>
            <w:tcW w:w="0" w:type="auto"/>
            <w:vAlign w:val="center"/>
            <w:hideMark/>
          </w:tcPr>
          <w:p w14:paraId="051068F6" w14:textId="77777777" w:rsidR="00895CD2" w:rsidRDefault="00AD26F3">
            <w:pPr>
              <w:pStyle w:val="2body-copy"/>
              <w:rPr>
                <w:rFonts w:cs="Times New Roman"/>
              </w:rPr>
            </w:pPr>
            <w:r>
              <w:rPr>
                <w:rStyle w:val="s2-pull-out-numbers"/>
                <w:rFonts w:cs="Times New Roman"/>
              </w:rPr>
              <w:t>5</w:t>
            </w:r>
            <w:r>
              <w:rPr>
                <w:rFonts w:cs="Times New Roman"/>
              </w:rPr>
              <w:t xml:space="preserve"> evidence briefings were released on interventions to reduce medication administration and dispensing errors and improve the efficiency of medication distribution systems.</w:t>
            </w:r>
          </w:p>
        </w:tc>
      </w:tr>
    </w:tbl>
    <w:p w14:paraId="057D508D" w14:textId="77777777" w:rsidR="00895CD2" w:rsidRDefault="00AD26F3">
      <w:pPr>
        <w:pStyle w:val="1heading-level-3"/>
        <w:rPr>
          <w:rFonts w:cs="Times New Roman"/>
          <w:lang w:val="en-GB"/>
        </w:rPr>
      </w:pPr>
      <w:r>
        <w:rPr>
          <w:rFonts w:cs="Times New Roman"/>
          <w:lang w:val="en-GB"/>
        </w:rPr>
        <w:t>Ensuring the safety of electronic medication initiatives</w:t>
      </w:r>
    </w:p>
    <w:p w14:paraId="3387E393" w14:textId="77777777" w:rsidR="00895CD2" w:rsidRDefault="00AD26F3">
      <w:pPr>
        <w:pStyle w:val="2body-copy"/>
        <w:rPr>
          <w:rFonts w:cs="Times New Roman"/>
          <w:lang w:val="en-GB"/>
        </w:rPr>
      </w:pPr>
      <w:r>
        <w:rPr>
          <w:rFonts w:cs="Times New Roman"/>
          <w:lang w:val="en-GB"/>
        </w:rPr>
        <w:t>Electronic medication management systems can help health service organisations improve the safety and quality of their services. However, they can also introduce new errors and risks.</w:t>
      </w:r>
    </w:p>
    <w:p w14:paraId="7F325AA3" w14:textId="77777777" w:rsidR="00895CD2" w:rsidRDefault="00AD26F3">
      <w:pPr>
        <w:pStyle w:val="2body-copy"/>
        <w:rPr>
          <w:rFonts w:cs="Times New Roman"/>
          <w:lang w:val="en-GB"/>
        </w:rPr>
      </w:pPr>
      <w:r>
        <w:rPr>
          <w:rFonts w:cs="Times New Roman"/>
          <w:lang w:val="en-GB"/>
        </w:rPr>
        <w:t xml:space="preserve">The Commission has started work on guidelines for the safe display of medicines information on screens in electronic health records. This includes the Personally Controlled Electronic Health Record (PCEHR), electronic medication management systems, medicines lists and electronic discharge systems. </w:t>
      </w:r>
    </w:p>
    <w:p w14:paraId="49CC100E" w14:textId="77777777" w:rsidR="00895CD2" w:rsidRDefault="00AD26F3">
      <w:pPr>
        <w:pStyle w:val="2body-copy"/>
        <w:rPr>
          <w:rFonts w:cs="Times New Roman"/>
          <w:lang w:val="en-GB"/>
        </w:rPr>
      </w:pPr>
      <w:r>
        <w:rPr>
          <w:rFonts w:cs="Times New Roman"/>
          <w:lang w:val="en-GB"/>
        </w:rPr>
        <w:t>The objectives are to enhance the safety of the PCEHR and clinical information systems, ensure medicines are displayed safely onscreen, standardise onscreen display of medicines and migrate existing standardised medicines information into the electronic environment.</w:t>
      </w:r>
    </w:p>
    <w:p w14:paraId="3490D835" w14:textId="77777777" w:rsidR="00895CD2" w:rsidRDefault="00AD26F3">
      <w:pPr>
        <w:pStyle w:val="2body-copy"/>
        <w:rPr>
          <w:rFonts w:cs="Times New Roman"/>
          <w:lang w:val="en-GB"/>
        </w:rPr>
      </w:pPr>
      <w:r>
        <w:rPr>
          <w:rFonts w:cs="Times New Roman"/>
          <w:lang w:val="en-GB"/>
        </w:rPr>
        <w:t>The guidelines on the safe display of medicines information on screens in electronic health records are expected to be completed later in 2014.</w:t>
      </w:r>
    </w:p>
    <w:p w14:paraId="33C32B0B" w14:textId="77777777" w:rsidR="007F4D2B" w:rsidRDefault="007F4D2B">
      <w:pPr>
        <w:spacing w:after="0"/>
        <w:rPr>
          <w:rFonts w:cs="Times New Roman"/>
          <w:b/>
          <w:bCs/>
          <w:color w:val="5F605F"/>
          <w:sz w:val="24"/>
          <w:szCs w:val="24"/>
          <w:lang w:val="en-GB"/>
        </w:rPr>
      </w:pPr>
      <w:r>
        <w:rPr>
          <w:rFonts w:cs="Times New Roman"/>
          <w:lang w:val="en-GB"/>
        </w:rPr>
        <w:br w:type="page"/>
      </w:r>
    </w:p>
    <w:p w14:paraId="61570AE7" w14:textId="77777777" w:rsidR="00895CD2" w:rsidRDefault="00AD26F3">
      <w:pPr>
        <w:pStyle w:val="1heading-level-3"/>
        <w:rPr>
          <w:rFonts w:cs="Times New Roman"/>
          <w:lang w:val="en-GB"/>
        </w:rPr>
      </w:pPr>
      <w:r>
        <w:rPr>
          <w:rFonts w:cs="Times New Roman"/>
          <w:lang w:val="en-GB"/>
        </w:rPr>
        <w:lastRenderedPageBreak/>
        <w:t>Advocating for medication safety and quality</w:t>
      </w:r>
    </w:p>
    <w:p w14:paraId="634A2BD0" w14:textId="77777777" w:rsidR="00895CD2" w:rsidRDefault="00AD26F3">
      <w:pPr>
        <w:pStyle w:val="2body-copy"/>
        <w:rPr>
          <w:rFonts w:cs="Times New Roman"/>
          <w:lang w:val="en-GB"/>
        </w:rPr>
      </w:pPr>
      <w:r>
        <w:rPr>
          <w:rFonts w:cs="Times New Roman"/>
          <w:lang w:val="en-GB"/>
        </w:rPr>
        <w:t xml:space="preserve">The Commission collaborates with other organisations to advocate medication safety and quality. In 2013/14, the Commission worked with NPS </w:t>
      </w:r>
      <w:proofErr w:type="spellStart"/>
      <w:r>
        <w:rPr>
          <w:rFonts w:cs="Times New Roman"/>
          <w:lang w:val="en-GB"/>
        </w:rPr>
        <w:t>MedicineWise</w:t>
      </w:r>
      <w:proofErr w:type="spellEnd"/>
      <w:r>
        <w:rPr>
          <w:rFonts w:cs="Times New Roman"/>
          <w:lang w:val="en-GB"/>
        </w:rPr>
        <w:t xml:space="preserve"> to develop consumer information resources under the banner </w:t>
      </w:r>
      <w:r>
        <w:rPr>
          <w:rStyle w:val="2body-italic"/>
          <w:rFonts w:cs="Times New Roman"/>
          <w:lang w:val="en-GB"/>
        </w:rPr>
        <w:t>Mistakes can happen with your medicines</w:t>
      </w:r>
      <w:r>
        <w:rPr>
          <w:rFonts w:cs="Times New Roman"/>
          <w:lang w:val="en-GB"/>
        </w:rPr>
        <w:t xml:space="preserve"> to encourage consumers to keep a current list of medicines. </w:t>
      </w:r>
    </w:p>
    <w:p w14:paraId="2F7FB9FB" w14:textId="77777777" w:rsidR="00895CD2" w:rsidRDefault="00AD26F3">
      <w:pPr>
        <w:pStyle w:val="2pull-out"/>
        <w:rPr>
          <w:rFonts w:cs="Times New Roman"/>
          <w:lang w:val="en-GB"/>
        </w:rPr>
      </w:pPr>
      <w:r>
        <w:rPr>
          <w:rFonts w:cs="Times New Roman"/>
          <w:lang w:val="en-GB"/>
        </w:rPr>
        <w:t xml:space="preserve">The aim was to help prevent medication errors when patients go in and out of hospital or consult different health professionals. NPS </w:t>
      </w:r>
      <w:proofErr w:type="spellStart"/>
      <w:r>
        <w:rPr>
          <w:rFonts w:cs="Times New Roman"/>
          <w:lang w:val="en-GB"/>
        </w:rPr>
        <w:t>MedicineWise</w:t>
      </w:r>
      <w:proofErr w:type="spellEnd"/>
      <w:r>
        <w:rPr>
          <w:rFonts w:cs="Times New Roman"/>
          <w:lang w:val="en-GB"/>
        </w:rPr>
        <w:t xml:space="preserve"> has adapted the information into brochures and is distributing them to general practices, hospitals and community pharmacies.</w:t>
      </w:r>
    </w:p>
    <w:p w14:paraId="520EAFD8" w14:textId="77777777" w:rsidR="00895CD2" w:rsidRDefault="00AD26F3">
      <w:pPr>
        <w:pStyle w:val="1heading-level-2"/>
        <w:rPr>
          <w:rFonts w:cs="Times New Roman"/>
          <w:lang w:val="en-GB"/>
        </w:rPr>
      </w:pPr>
      <w:r>
        <w:rPr>
          <w:rFonts w:cs="Times New Roman"/>
          <w:lang w:val="en-GB"/>
        </w:rPr>
        <w:t>National Patient Contact</w:t>
      </w:r>
      <w:r>
        <w:rPr>
          <w:rStyle w:val="charoverride-24"/>
          <w:rFonts w:cs="Times New Roman"/>
          <w:lang w:val="en-GB"/>
        </w:rPr>
        <w:t> </w:t>
      </w:r>
      <w:r>
        <w:rPr>
          <w:rFonts w:cs="Times New Roman"/>
          <w:lang w:val="en-GB"/>
        </w:rPr>
        <w:t xml:space="preserve">Protocol </w:t>
      </w:r>
    </w:p>
    <w:p w14:paraId="187CCD42" w14:textId="77777777" w:rsidR="00895CD2" w:rsidRDefault="00AD26F3">
      <w:pPr>
        <w:pStyle w:val="2body-copy-before-bullet"/>
        <w:rPr>
          <w:rFonts w:cs="Times New Roman"/>
          <w:lang w:val="en-GB"/>
        </w:rPr>
      </w:pPr>
      <w:r>
        <w:rPr>
          <w:rFonts w:cs="Times New Roman"/>
          <w:lang w:val="en-GB"/>
        </w:rPr>
        <w:t>Various Australian inquiries have identified significant deficiencies in arrangements for contacting patients with implanted medical devices – such as breast and hip implants – when a hazard alert is issued due to serious safety concerns about those devices. Contacting individuals in such incidents is:</w:t>
      </w:r>
    </w:p>
    <w:p w14:paraId="06DB2403" w14:textId="77777777" w:rsidR="00895CD2" w:rsidRDefault="00AD26F3" w:rsidP="00416913">
      <w:pPr>
        <w:pStyle w:val="bullet"/>
      </w:pPr>
      <w:r>
        <w:t>a patient and consumer right</w:t>
      </w:r>
    </w:p>
    <w:p w14:paraId="20014210" w14:textId="77777777" w:rsidR="00895CD2" w:rsidRDefault="00AD26F3" w:rsidP="00416913">
      <w:pPr>
        <w:pStyle w:val="bullet"/>
      </w:pPr>
      <w:r>
        <w:t>a core responsibility of the healthcare system</w:t>
      </w:r>
    </w:p>
    <w:p w14:paraId="6B50116A" w14:textId="77777777" w:rsidR="00895CD2" w:rsidRDefault="00AD26F3" w:rsidP="00416913">
      <w:pPr>
        <w:pStyle w:val="bullet"/>
      </w:pPr>
      <w:r>
        <w:t>a normal part of an episode of care should the unexpected occur</w:t>
      </w:r>
    </w:p>
    <w:p w14:paraId="79B8F2C9" w14:textId="77777777" w:rsidR="00895CD2" w:rsidRDefault="00AD26F3" w:rsidP="00416913">
      <w:pPr>
        <w:pStyle w:val="bullet"/>
      </w:pPr>
      <w:proofErr w:type="gramStart"/>
      <w:r>
        <w:t>a</w:t>
      </w:r>
      <w:proofErr w:type="gramEnd"/>
      <w:r>
        <w:t xml:space="preserve"> critical element of clinical communications.</w:t>
      </w:r>
    </w:p>
    <w:p w14:paraId="4746FCC9" w14:textId="77777777" w:rsidR="00895CD2" w:rsidRDefault="00AD26F3">
      <w:pPr>
        <w:pStyle w:val="2body-copy"/>
        <w:rPr>
          <w:rFonts w:cs="Times New Roman"/>
          <w:lang w:val="en-GB"/>
        </w:rPr>
      </w:pPr>
      <w:r>
        <w:rPr>
          <w:rFonts w:cs="Times New Roman"/>
          <w:lang w:val="en-GB"/>
        </w:rPr>
        <w:t>To address the deficiencies identified, the Commission has been working with the Department of Health, state and territory jurisdictions and the private healthcare sector to develop a national protocol for contacting patients with implanted medical devices in the event of a hazard alert.</w:t>
      </w:r>
    </w:p>
    <w:p w14:paraId="095C76ED" w14:textId="77777777" w:rsidR="00895CD2" w:rsidRDefault="00AD26F3">
      <w:pPr>
        <w:pStyle w:val="2body-copy"/>
        <w:rPr>
          <w:rFonts w:cs="Times New Roman"/>
          <w:lang w:val="en-GB"/>
        </w:rPr>
      </w:pPr>
      <w:r>
        <w:rPr>
          <w:rFonts w:cs="Times New Roman"/>
          <w:lang w:val="en-GB"/>
        </w:rPr>
        <w:t xml:space="preserve">A draft of the protocol, </w:t>
      </w:r>
      <w:r>
        <w:rPr>
          <w:rStyle w:val="2body-italic"/>
          <w:rFonts w:cs="Times New Roman"/>
          <w:lang w:val="en-GB"/>
        </w:rPr>
        <w:t>National patient contact protocol for patients with Implanted Medical Devices subject to Hazard Alerts</w:t>
      </w:r>
      <w:r>
        <w:rPr>
          <w:rFonts w:cs="Times New Roman"/>
          <w:lang w:val="en-GB"/>
        </w:rPr>
        <w:t>, was provided to three hospital pilot sites in May 2014 for testing.</w:t>
      </w:r>
    </w:p>
    <w:p w14:paraId="3B4B15A6" w14:textId="77777777" w:rsidR="00895CD2" w:rsidRDefault="00AD26F3">
      <w:pPr>
        <w:pStyle w:val="2body-copy"/>
        <w:rPr>
          <w:rFonts w:cs="Times New Roman"/>
          <w:lang w:val="en-GB"/>
        </w:rPr>
      </w:pPr>
      <w:r>
        <w:rPr>
          <w:rFonts w:cs="Times New Roman"/>
          <w:lang w:val="en-GB"/>
        </w:rPr>
        <w:t>The draft protocol defines the procedures that should be implemented when medical devices that have been implanted in patients in public and private hospitals, day procedure centres and professional consulting suites are subject to Class I (potentially life-threatening) or Class II (serious) Hazard Alerts. The management and governance responsibilities defined are consistent with the requirements of NSQHS Standard 1: Governance for Safety and Quality in Health Service Organisations, which requires integrated systems of governance to actively manage patient safety and quality risks.</w:t>
      </w:r>
    </w:p>
    <w:p w14:paraId="4A8A59F2" w14:textId="77777777" w:rsidR="00895CD2" w:rsidRDefault="00AD26F3">
      <w:pPr>
        <w:pStyle w:val="2body-copy"/>
        <w:rPr>
          <w:rFonts w:cs="Times New Roman"/>
          <w:lang w:val="en-GB"/>
        </w:rPr>
      </w:pPr>
      <w:r>
        <w:rPr>
          <w:rFonts w:cs="Times New Roman"/>
          <w:lang w:val="en-GB"/>
        </w:rPr>
        <w:t>The protocol complements the Uniform Recall Procedure for Therapeutic Goods – an agreement between the therapeutic goods industry and Australian, state and territory health departments – and will support reliable, sensitive and timely contact with patients when hazard alerts are issued.</w:t>
      </w:r>
    </w:p>
    <w:p w14:paraId="38A96E2F" w14:textId="77777777" w:rsidR="00895CD2" w:rsidRDefault="00AD26F3">
      <w:pPr>
        <w:pStyle w:val="2body-copy"/>
        <w:rPr>
          <w:rFonts w:cs="Times New Roman"/>
          <w:lang w:val="en-GB"/>
        </w:rPr>
      </w:pPr>
      <w:r>
        <w:rPr>
          <w:rFonts w:cs="Times New Roman"/>
          <w:lang w:val="en-GB"/>
        </w:rPr>
        <w:t xml:space="preserve">The draft protocol and a guide to support its implementation will be submitted for endorsement by the AHMAC after further consultation and testing. An evaluation framework has been provided to monitor the effectiveness of the protocol over the first year of use. </w:t>
      </w:r>
    </w:p>
    <w:p w14:paraId="56F4CFAC" w14:textId="77777777" w:rsidR="00895CD2" w:rsidRDefault="00AD26F3">
      <w:pPr>
        <w:pStyle w:val="1heading-level-2"/>
        <w:rPr>
          <w:rFonts w:cs="Times New Roman"/>
          <w:lang w:val="en-GB"/>
        </w:rPr>
      </w:pPr>
      <w:r>
        <w:rPr>
          <w:rFonts w:cs="Times New Roman"/>
          <w:lang w:val="en-GB"/>
        </w:rPr>
        <w:t>Open disclosure</w:t>
      </w:r>
    </w:p>
    <w:p w14:paraId="08CFE815" w14:textId="77777777" w:rsidR="00895CD2" w:rsidRDefault="00AD26F3">
      <w:pPr>
        <w:pStyle w:val="2body-copy"/>
        <w:rPr>
          <w:rFonts w:cs="Times New Roman"/>
          <w:lang w:val="en-GB"/>
        </w:rPr>
      </w:pPr>
      <w:r>
        <w:rPr>
          <w:rFonts w:cs="Times New Roman"/>
          <w:lang w:val="en-GB"/>
        </w:rPr>
        <w:t>Open disclosure is a discussion between a healthcare provider and a patient, their family, carers and other support persons about the incidents that took place in cases where harm occurred to a patient while receiving health care. Open disclosure is an important element of quality health care and is recognised as an accreditation requirement under NSQHS Standard 1: Governance for Safety and Quality in Health Service Organisations.</w:t>
      </w:r>
    </w:p>
    <w:p w14:paraId="2B072501" w14:textId="77777777" w:rsidR="00895CD2" w:rsidRDefault="00AD26F3">
      <w:pPr>
        <w:pStyle w:val="2body-copy"/>
        <w:rPr>
          <w:rFonts w:cs="Times New Roman"/>
          <w:lang w:val="en-GB"/>
        </w:rPr>
      </w:pPr>
      <w:r>
        <w:rPr>
          <w:rFonts w:cs="Times New Roman"/>
          <w:lang w:val="en-GB"/>
        </w:rPr>
        <w:t>The objective of the Commission’s Open Disclosure program is to increase the extent, quality and consistency of open disclosure in Australia. In 2013, the Commission released the Australian Open Disclosure Framework following a comprehensive review of evidence and a national consultation process.</w:t>
      </w:r>
    </w:p>
    <w:p w14:paraId="4C2353C1" w14:textId="77777777" w:rsidR="00895CD2" w:rsidRDefault="00AD26F3">
      <w:pPr>
        <w:pStyle w:val="2body-copy-before-bullet"/>
        <w:rPr>
          <w:rFonts w:cs="Times New Roman"/>
          <w:lang w:val="en-GB"/>
        </w:rPr>
      </w:pPr>
      <w:r>
        <w:rPr>
          <w:rFonts w:cs="Times New Roman"/>
          <w:lang w:val="en-GB"/>
        </w:rPr>
        <w:t xml:space="preserve">The framework was endorsed by Australian health ministers in December 2013. During 2013/14, the framework was also formally supported by the following professional organisations: </w:t>
      </w:r>
    </w:p>
    <w:p w14:paraId="0250FC64" w14:textId="77777777" w:rsidR="00895CD2" w:rsidRDefault="00AD26F3" w:rsidP="00416913">
      <w:pPr>
        <w:pStyle w:val="bullet"/>
      </w:pPr>
      <w:r>
        <w:t xml:space="preserve">Australian College of Nursing </w:t>
      </w:r>
    </w:p>
    <w:p w14:paraId="77EF43AB" w14:textId="77777777" w:rsidR="00895CD2" w:rsidRDefault="00AD26F3" w:rsidP="00416913">
      <w:pPr>
        <w:pStyle w:val="bullet"/>
      </w:pPr>
      <w:r>
        <w:t xml:space="preserve">Australian and New Zealand College of Anaesthetists </w:t>
      </w:r>
    </w:p>
    <w:p w14:paraId="3103F1EF" w14:textId="77777777" w:rsidR="00895CD2" w:rsidRDefault="00AD26F3" w:rsidP="00416913">
      <w:pPr>
        <w:pStyle w:val="bullet"/>
      </w:pPr>
      <w:r>
        <w:t xml:space="preserve">The Royal Australian and New Zealand Colleges of Obstetricians and Gynaecologists </w:t>
      </w:r>
    </w:p>
    <w:p w14:paraId="7F651D23" w14:textId="77777777" w:rsidR="00895CD2" w:rsidRDefault="00AD26F3" w:rsidP="00416913">
      <w:pPr>
        <w:pStyle w:val="bullet"/>
      </w:pPr>
      <w:r>
        <w:lastRenderedPageBreak/>
        <w:t xml:space="preserve">The Royal Australasian College of Physicians </w:t>
      </w:r>
    </w:p>
    <w:p w14:paraId="651BB436" w14:textId="77777777" w:rsidR="00895CD2" w:rsidRDefault="00AD26F3" w:rsidP="00416913">
      <w:pPr>
        <w:pStyle w:val="bullet"/>
      </w:pPr>
      <w:r>
        <w:t xml:space="preserve">Royal Australasian College of Surgeons </w:t>
      </w:r>
    </w:p>
    <w:p w14:paraId="72DD560E" w14:textId="77777777" w:rsidR="00895CD2" w:rsidRDefault="00AD26F3" w:rsidP="00416913">
      <w:pPr>
        <w:pStyle w:val="bullet"/>
      </w:pPr>
      <w:r>
        <w:t xml:space="preserve">The Society of Hospital Pharmacists of Australia </w:t>
      </w:r>
    </w:p>
    <w:p w14:paraId="303B3A24" w14:textId="77777777" w:rsidR="00895CD2" w:rsidRDefault="00AD26F3" w:rsidP="00416913">
      <w:pPr>
        <w:pStyle w:val="bullet"/>
      </w:pPr>
      <w:r>
        <w:t xml:space="preserve">Australasian College of Emergency Medicine </w:t>
      </w:r>
    </w:p>
    <w:p w14:paraId="6B325603" w14:textId="77777777" w:rsidR="00895CD2" w:rsidRDefault="00AD26F3" w:rsidP="00416913">
      <w:pPr>
        <w:pStyle w:val="bullet"/>
      </w:pPr>
      <w:r>
        <w:t>The Royal College of Pathologists of Australasia.</w:t>
      </w:r>
    </w:p>
    <w:p w14:paraId="051A9041" w14:textId="77777777" w:rsidR="00895CD2" w:rsidRDefault="00AD26F3">
      <w:pPr>
        <w:pStyle w:val="2body-copy"/>
        <w:rPr>
          <w:rFonts w:cs="Times New Roman"/>
          <w:lang w:val="en-GB"/>
        </w:rPr>
      </w:pPr>
      <w:r>
        <w:rPr>
          <w:rFonts w:cs="Times New Roman"/>
          <w:lang w:val="en-GB"/>
        </w:rPr>
        <w:t>State and territory health departments have indicated they are moving towards adopting the Australian Open Disclosure Framework in their localised Open Disclosure policies and procedures. The Department of Health, Victoria, is using the framework as its guiding policy for open disclosure and has developed a suite of resources on the Commission’s tools and resources. Health departments in New South Wales, South Australia and Western Australia are finalising revisions of their existing Open Disclosure policies to align with the Australian Open Disclosure Framework.</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535C75B8" w14:textId="77777777" w:rsidTr="007F4D2B">
        <w:tc>
          <w:tcPr>
            <w:tcW w:w="0" w:type="auto"/>
            <w:shd w:val="clear" w:color="auto" w:fill="00837D"/>
            <w:vAlign w:val="center"/>
            <w:hideMark/>
          </w:tcPr>
          <w:p w14:paraId="671CB519" w14:textId="77777777" w:rsidR="00895CD2" w:rsidRDefault="00AD26F3">
            <w:pPr>
              <w:pStyle w:val="3table-header-l"/>
              <w:rPr>
                <w:rFonts w:cs="Times New Roman"/>
              </w:rPr>
            </w:pPr>
            <w:r>
              <w:rPr>
                <w:rFonts w:cs="Times New Roman"/>
              </w:rPr>
              <w:t>Key achievements 2013/14</w:t>
            </w:r>
          </w:p>
        </w:tc>
      </w:tr>
      <w:tr w:rsidR="00895CD2" w14:paraId="7AD9D89A" w14:textId="77777777" w:rsidTr="007F4D2B">
        <w:tc>
          <w:tcPr>
            <w:tcW w:w="0" w:type="auto"/>
            <w:vAlign w:val="center"/>
            <w:hideMark/>
          </w:tcPr>
          <w:p w14:paraId="1D1CF46E" w14:textId="77777777" w:rsidR="00895CD2" w:rsidRDefault="00AD26F3">
            <w:pPr>
              <w:pStyle w:val="2body-copy"/>
              <w:rPr>
                <w:rFonts w:cs="Times New Roman"/>
              </w:rPr>
            </w:pPr>
            <w:r>
              <w:rPr>
                <w:rFonts w:cs="Times New Roman"/>
              </w:rPr>
              <w:t>The Australian Open Disclosure Framework was endorsed by all Australian health ministers.</w:t>
            </w:r>
          </w:p>
        </w:tc>
      </w:tr>
      <w:tr w:rsidR="00895CD2" w14:paraId="457FCA58" w14:textId="77777777" w:rsidTr="007F4D2B">
        <w:tc>
          <w:tcPr>
            <w:tcW w:w="0" w:type="auto"/>
            <w:vAlign w:val="center"/>
            <w:hideMark/>
          </w:tcPr>
          <w:p w14:paraId="12579870" w14:textId="77777777" w:rsidR="00895CD2" w:rsidRDefault="00AD26F3">
            <w:pPr>
              <w:pStyle w:val="2body-copy"/>
              <w:rPr>
                <w:rFonts w:cs="Times New Roman"/>
              </w:rPr>
            </w:pPr>
            <w:r>
              <w:rPr>
                <w:rFonts w:cs="Times New Roman"/>
              </w:rPr>
              <w:t>States and territories are revising localised Open Disclosure policies to align with the Australian Open Disclosure Framework.</w:t>
            </w:r>
          </w:p>
        </w:tc>
      </w:tr>
    </w:tbl>
    <w:p w14:paraId="52825AA6" w14:textId="77777777" w:rsidR="00895CD2" w:rsidRDefault="00AD26F3">
      <w:pPr>
        <w:pStyle w:val="1heading-level-2"/>
        <w:rPr>
          <w:rFonts w:cs="Times New Roman"/>
          <w:lang w:val="en-GB"/>
        </w:rPr>
      </w:pPr>
      <w:r>
        <w:rPr>
          <w:rFonts w:cs="Times New Roman"/>
          <w:lang w:val="en-GB"/>
        </w:rPr>
        <w:t>Recognising and responding to deterioration in mental state</w:t>
      </w:r>
    </w:p>
    <w:p w14:paraId="6DDC737C" w14:textId="77777777" w:rsidR="00895CD2" w:rsidRDefault="00AD26F3">
      <w:pPr>
        <w:pStyle w:val="2body-copy-before-bullet"/>
        <w:rPr>
          <w:rFonts w:cs="Times New Roman"/>
          <w:lang w:val="en-GB"/>
        </w:rPr>
      </w:pPr>
      <w:r>
        <w:rPr>
          <w:rFonts w:cs="Times New Roman"/>
          <w:lang w:val="en-GB"/>
        </w:rPr>
        <w:t>Since its inception in 2009, the Commission’s Recognising and Responding to Clinical Deterioration program has focused on physical deterioration of patients. In April 2013, the Commission began scoping a new area of work for recognising and responding to deterioration in mental state. The scoping review was commissioned to explore and report on:</w:t>
      </w:r>
    </w:p>
    <w:p w14:paraId="3D474C71" w14:textId="77777777" w:rsidR="00895CD2" w:rsidRDefault="00AD26F3" w:rsidP="00416913">
      <w:pPr>
        <w:pStyle w:val="bullet"/>
      </w:pPr>
      <w:r>
        <w:t>the current knowledge base for recognising and responding to deterioration in mental state for inpatients in acute care settings</w:t>
      </w:r>
    </w:p>
    <w:p w14:paraId="734C5035" w14:textId="77777777" w:rsidR="00895CD2" w:rsidRDefault="00AD26F3" w:rsidP="00416913">
      <w:pPr>
        <w:pStyle w:val="bullet"/>
      </w:pPr>
      <w:r>
        <w:t>gaps that could be addressed by the Commission</w:t>
      </w:r>
    </w:p>
    <w:p w14:paraId="51ADF431" w14:textId="77777777" w:rsidR="00895CD2" w:rsidRDefault="00AD26F3" w:rsidP="00416913">
      <w:pPr>
        <w:pStyle w:val="bullet"/>
      </w:pPr>
      <w:proofErr w:type="gramStart"/>
      <w:r>
        <w:t>whether</w:t>
      </w:r>
      <w:proofErr w:type="gramEnd"/>
      <w:r>
        <w:t xml:space="preserve"> and how the existing framework for recognising and responding to physiological deterioration could be usefully applied to deterioration in a person’s mental state. </w:t>
      </w:r>
    </w:p>
    <w:p w14:paraId="197DEE38" w14:textId="77777777" w:rsidR="00895CD2" w:rsidRDefault="00AD26F3">
      <w:pPr>
        <w:pStyle w:val="2body-copy"/>
        <w:rPr>
          <w:rFonts w:cs="Times New Roman"/>
          <w:lang w:val="en-GB"/>
        </w:rPr>
      </w:pPr>
      <w:r>
        <w:rPr>
          <w:rFonts w:cs="Times New Roman"/>
          <w:lang w:val="en-GB"/>
        </w:rPr>
        <w:t xml:space="preserve">As part of the scoping review, a review of the relevant literature was undertaken along with broad consultation with a range of stakeholders, including people with lived experience of mental health issues and their carers, families and friends; managers and health professionals from both the public and private sectors; and policy and academic experts. </w:t>
      </w:r>
    </w:p>
    <w:p w14:paraId="0F289BD6" w14:textId="77777777" w:rsidR="00895CD2" w:rsidRDefault="00AD26F3">
      <w:pPr>
        <w:pStyle w:val="2body-copy"/>
        <w:rPr>
          <w:rFonts w:cs="Times New Roman"/>
          <w:lang w:val="en-GB"/>
        </w:rPr>
      </w:pPr>
      <w:r>
        <w:rPr>
          <w:rFonts w:cs="Times New Roman"/>
          <w:lang w:val="en-GB"/>
        </w:rPr>
        <w:t xml:space="preserve">The findings of the scoping review reflect the complexity of the issues and situations that can cause deterioration in mental state and how these might be managed. Patients can experience deterioration in their mental state for a range of reasons and in a range of care settings. </w:t>
      </w:r>
    </w:p>
    <w:p w14:paraId="23EF0AC7" w14:textId="77777777" w:rsidR="00895CD2" w:rsidRDefault="00AD26F3">
      <w:pPr>
        <w:pStyle w:val="2pull-out"/>
        <w:rPr>
          <w:rFonts w:cs="Times New Roman"/>
          <w:lang w:val="en-GB"/>
        </w:rPr>
      </w:pPr>
      <w:r>
        <w:rPr>
          <w:rFonts w:cs="Times New Roman"/>
          <w:lang w:val="en-GB"/>
        </w:rPr>
        <w:t xml:space="preserve">Healthcare professionals are also likely to have varied levels of expertise in recognising and responding to deterioration in a person’s mental state. </w:t>
      </w:r>
    </w:p>
    <w:p w14:paraId="247D4A50" w14:textId="77777777" w:rsidR="00895CD2" w:rsidRDefault="00AD26F3">
      <w:pPr>
        <w:pStyle w:val="2body-copy"/>
        <w:rPr>
          <w:rFonts w:cs="Times New Roman"/>
          <w:lang w:val="en-GB"/>
        </w:rPr>
      </w:pPr>
      <w:r>
        <w:rPr>
          <w:rFonts w:cs="Times New Roman"/>
          <w:lang w:val="en-GB"/>
        </w:rPr>
        <w:t xml:space="preserve">For example, patients with pre-existing mental health conditions may be admitted to acute care services for physical health care, may present to an emergency department because of an acute deterioration in mental state, or may severely deteriorate while being treated in an acute inpatient mental health unit. The systems and resources available to manage deterioration in mental state in each of these settings may vary considerably. </w:t>
      </w:r>
    </w:p>
    <w:p w14:paraId="7598A69E" w14:textId="77777777" w:rsidR="00895CD2" w:rsidRDefault="00AD26F3">
      <w:pPr>
        <w:pStyle w:val="2body-copy"/>
        <w:rPr>
          <w:rFonts w:cs="Times New Roman"/>
          <w:lang w:val="en-GB"/>
        </w:rPr>
      </w:pPr>
      <w:r>
        <w:rPr>
          <w:rFonts w:cs="Times New Roman"/>
          <w:lang w:val="en-GB"/>
        </w:rPr>
        <w:t xml:space="preserve">The scoping review provides useful context for future work in this area and identifies a number of gaps in current systems for recognising and responding to deterioration in mental state. </w:t>
      </w:r>
    </w:p>
    <w:p w14:paraId="7C3CE724" w14:textId="77777777" w:rsidR="00AF5B76" w:rsidRDefault="00AF5B76">
      <w:pPr>
        <w:spacing w:after="0"/>
        <w:rPr>
          <w:rFonts w:cs="Times New Roman"/>
          <w:lang w:val="en-GB"/>
        </w:rPr>
      </w:pPr>
      <w:r>
        <w:rPr>
          <w:rFonts w:cs="Times New Roman"/>
          <w:lang w:val="en-GB"/>
        </w:rPr>
        <w:br w:type="page"/>
      </w:r>
    </w:p>
    <w:p w14:paraId="477C5813" w14:textId="77777777" w:rsidR="00895CD2" w:rsidRDefault="00AD26F3">
      <w:pPr>
        <w:pStyle w:val="2body-copy-before-bullet"/>
        <w:rPr>
          <w:rFonts w:cs="Times New Roman"/>
          <w:lang w:val="en-GB"/>
        </w:rPr>
      </w:pPr>
      <w:r>
        <w:rPr>
          <w:rFonts w:cs="Times New Roman"/>
          <w:lang w:val="en-GB"/>
        </w:rPr>
        <w:lastRenderedPageBreak/>
        <w:t xml:space="preserve">These include: </w:t>
      </w:r>
    </w:p>
    <w:p w14:paraId="084B9E75" w14:textId="77777777" w:rsidR="00895CD2" w:rsidRDefault="00AD26F3" w:rsidP="00416913">
      <w:pPr>
        <w:pStyle w:val="bullet"/>
      </w:pPr>
      <w:r>
        <w:t xml:space="preserve">understanding the nature, scale and consequences of failures to effectively recognise and respond to deterioration in mental state </w:t>
      </w:r>
    </w:p>
    <w:p w14:paraId="580AA1E7" w14:textId="77777777" w:rsidR="00895CD2" w:rsidRDefault="00AD26F3" w:rsidP="00416913">
      <w:pPr>
        <w:pStyle w:val="bullet"/>
      </w:pPr>
      <w:r>
        <w:t>standardised markers, tools, processes and systems for recognising deterioration</w:t>
      </w:r>
    </w:p>
    <w:p w14:paraId="2AF20BFD" w14:textId="77777777" w:rsidR="00895CD2" w:rsidRDefault="00AD26F3" w:rsidP="00416913">
      <w:pPr>
        <w:pStyle w:val="bullet"/>
      </w:pPr>
      <w:proofErr w:type="gramStart"/>
      <w:r>
        <w:t>agreement</w:t>
      </w:r>
      <w:proofErr w:type="gramEnd"/>
      <w:r>
        <w:t xml:space="preserve"> on the key competencies required for clinicians to recognise and respond to deterioration in mental state.</w:t>
      </w:r>
    </w:p>
    <w:p w14:paraId="22C2A00F" w14:textId="77777777" w:rsidR="00895CD2" w:rsidRDefault="00AD26F3">
      <w:pPr>
        <w:pStyle w:val="2body-copy"/>
        <w:rPr>
          <w:rFonts w:cs="Times New Roman"/>
          <w:lang w:val="en-GB"/>
        </w:rPr>
      </w:pPr>
      <w:r>
        <w:rPr>
          <w:rFonts w:cs="Times New Roman"/>
          <w:lang w:val="en-GB"/>
        </w:rPr>
        <w:t>Although the scoping review focused on deterioration in acute care settings, the way in which care is provided in the community is particularly important for deterioration in mental state, and the issues identified in the review also apply in community settings.</w:t>
      </w:r>
    </w:p>
    <w:p w14:paraId="1F832D4D" w14:textId="77777777" w:rsidR="00895CD2" w:rsidRDefault="00AD26F3">
      <w:pPr>
        <w:pStyle w:val="2body-copy"/>
        <w:rPr>
          <w:rFonts w:cs="Times New Roman"/>
          <w:lang w:val="en-GB"/>
        </w:rPr>
      </w:pPr>
      <w:r>
        <w:rPr>
          <w:rFonts w:cs="Times New Roman"/>
          <w:lang w:val="en-GB"/>
        </w:rPr>
        <w:t>The report on the scoping review will be released in July 2014. Future work in this area will include targeted consultation focused on two of the recommended actions in the scoping report: identification of the key adverse events associated with deterioration in mental state and reaching agreement on markers of deterioration in mental state.</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395BFB78" w14:textId="77777777" w:rsidTr="00AF5B76">
        <w:tc>
          <w:tcPr>
            <w:tcW w:w="0" w:type="auto"/>
            <w:shd w:val="clear" w:color="auto" w:fill="00837D"/>
            <w:vAlign w:val="center"/>
            <w:hideMark/>
          </w:tcPr>
          <w:p w14:paraId="066DB240" w14:textId="77777777" w:rsidR="00895CD2" w:rsidRDefault="00AD26F3">
            <w:pPr>
              <w:pStyle w:val="3table-header-l"/>
              <w:rPr>
                <w:rFonts w:cs="Times New Roman"/>
              </w:rPr>
            </w:pPr>
            <w:r>
              <w:rPr>
                <w:rFonts w:cs="Times New Roman"/>
              </w:rPr>
              <w:t>Key achievements 2013/14</w:t>
            </w:r>
          </w:p>
        </w:tc>
      </w:tr>
      <w:tr w:rsidR="00895CD2" w14:paraId="403C3F13" w14:textId="77777777" w:rsidTr="00AF5B76">
        <w:tc>
          <w:tcPr>
            <w:tcW w:w="0" w:type="auto"/>
            <w:vAlign w:val="center"/>
            <w:hideMark/>
          </w:tcPr>
          <w:p w14:paraId="18CB099B" w14:textId="77777777" w:rsidR="00895CD2" w:rsidRDefault="00AD26F3">
            <w:pPr>
              <w:pStyle w:val="2body-copy"/>
              <w:rPr>
                <w:rFonts w:cs="Times New Roman"/>
              </w:rPr>
            </w:pPr>
            <w:r>
              <w:rPr>
                <w:rStyle w:val="s2-pull-out-numbers"/>
                <w:rFonts w:cs="Times New Roman"/>
              </w:rPr>
              <w:t>167</w:t>
            </w:r>
            <w:r>
              <w:rPr>
                <w:rFonts w:cs="Times New Roman"/>
              </w:rPr>
              <w:t xml:space="preserve"> individuals, nine organisations and 48 survey respondents contributed to the scoping review for recognising and responding to deterioration in mental state.</w:t>
            </w:r>
          </w:p>
        </w:tc>
      </w:tr>
    </w:tbl>
    <w:p w14:paraId="624C857B" w14:textId="77777777" w:rsidR="00895CD2" w:rsidRDefault="00AD26F3">
      <w:pPr>
        <w:pStyle w:val="1heading-level-2"/>
        <w:rPr>
          <w:rFonts w:cs="Times New Roman"/>
          <w:lang w:val="en-GB"/>
        </w:rPr>
      </w:pPr>
      <w:r>
        <w:rPr>
          <w:rFonts w:cs="Times New Roman"/>
          <w:lang w:val="en-GB"/>
        </w:rPr>
        <w:t>Reduction in children’s radiation exposure from CT scans</w:t>
      </w:r>
    </w:p>
    <w:p w14:paraId="2CA9A7C3" w14:textId="77777777" w:rsidR="00895CD2" w:rsidRDefault="00AD26F3">
      <w:pPr>
        <w:pStyle w:val="2body-copy"/>
        <w:rPr>
          <w:rFonts w:cs="Times New Roman"/>
          <w:lang w:val="en-GB"/>
        </w:rPr>
      </w:pPr>
      <w:r>
        <w:rPr>
          <w:rFonts w:cs="Times New Roman"/>
          <w:lang w:val="en-GB"/>
        </w:rPr>
        <w:t xml:space="preserve">More than 60,000 computed tomography (CT) scans are performed on children and adolescents (0–19 years) in Australia each year. CT scans are an essential diagnostic tool, particularly in emergency situations such as head trauma where the CT provides vital information to inform time-critical treatment for children. </w:t>
      </w:r>
    </w:p>
    <w:p w14:paraId="0395A2C9" w14:textId="77777777" w:rsidR="00895CD2" w:rsidRDefault="00AD26F3">
      <w:pPr>
        <w:pStyle w:val="2body-copy"/>
        <w:rPr>
          <w:rFonts w:cs="Times New Roman"/>
          <w:lang w:val="en-GB"/>
        </w:rPr>
      </w:pPr>
      <w:r>
        <w:rPr>
          <w:rFonts w:cs="Times New Roman"/>
          <w:lang w:val="en-GB"/>
        </w:rPr>
        <w:t>Recent Australian research indicates that the incidence of cancer is higher in people who have been exposed to radiation from CT scans as children, particularly where multiple scans have occurred. It is therefore essential to use the best available evidence to assist clinicians and parents in decisions about the risks and benefits of CT scans as part of diagnostic and treatment options.</w:t>
      </w:r>
    </w:p>
    <w:p w14:paraId="1E929C50" w14:textId="77777777" w:rsidR="00895CD2" w:rsidRDefault="00AD26F3">
      <w:pPr>
        <w:pStyle w:val="2pull-out"/>
        <w:rPr>
          <w:rFonts w:cs="Times New Roman"/>
          <w:lang w:val="en-GB"/>
        </w:rPr>
      </w:pPr>
      <w:r>
        <w:rPr>
          <w:rFonts w:cs="Times New Roman"/>
          <w:lang w:val="en-GB"/>
        </w:rPr>
        <w:t xml:space="preserve">In April 2014, the Department of Health provided funding to the Commission for a project to support the reduction of inappropriate referrals and unnecessary radiation exposure from CT scans for children. This will be achieved through the development of enhanced decision-making tools and referral guidance for clinicians, as well as information resources for parents and carers. </w:t>
      </w:r>
    </w:p>
    <w:p w14:paraId="798371BD" w14:textId="77777777" w:rsidR="00895CD2" w:rsidRDefault="00AD26F3">
      <w:pPr>
        <w:pStyle w:val="2body-copy"/>
        <w:rPr>
          <w:rFonts w:cs="Times New Roman"/>
          <w:lang w:val="en-GB"/>
        </w:rPr>
      </w:pPr>
      <w:r>
        <w:rPr>
          <w:rFonts w:cs="Times New Roman"/>
          <w:lang w:val="en-GB"/>
        </w:rPr>
        <w:t xml:space="preserve">The work will complement and build on a number of initiatives already underway, most notably a series of roundtable discussions chaired by Australia’s Chief Medical Officer, Professor Chris </w:t>
      </w:r>
      <w:proofErr w:type="spellStart"/>
      <w:r>
        <w:rPr>
          <w:rFonts w:cs="Times New Roman"/>
          <w:lang w:val="en-GB"/>
        </w:rPr>
        <w:t>Baggoley</w:t>
      </w:r>
      <w:proofErr w:type="spellEnd"/>
      <w:r>
        <w:rPr>
          <w:rFonts w:cs="Times New Roman"/>
          <w:lang w:val="en-GB"/>
        </w:rPr>
        <w:t>, resulting in two fact sheets available through the Australian Radiation Protection and Nuclear Safety Agency (ARPANSA). The project is being undertaken in conjunction with the Department of Health, states and territories, ARPANSA and other relevant medical colleges and professional bodies.</w:t>
      </w:r>
    </w:p>
    <w:p w14:paraId="42AF6735" w14:textId="77777777" w:rsidR="00895CD2" w:rsidRDefault="00AD26F3">
      <w:pPr>
        <w:pStyle w:val="2body-copy"/>
        <w:rPr>
          <w:rFonts w:cs="Times New Roman"/>
          <w:lang w:val="en-GB"/>
        </w:rPr>
      </w:pPr>
      <w:r>
        <w:rPr>
          <w:rFonts w:cs="Times New Roman"/>
          <w:lang w:val="en-GB"/>
        </w:rPr>
        <w:t xml:space="preserve">The work will involve a review of existing data systems for CT scans and the types of CT scanners used in Australia; an assessment of the materials and resources that currently guide clinicians and the need for new or enhanced guidance materials; and the development of an effective mechanism to maintain and promulgate the resource materials. A Project Reference Group of relevant experts has been convened to advise on the types of materials of value to patients, carers and referring clinicians. </w:t>
      </w:r>
    </w:p>
    <w:p w14:paraId="5E17265B" w14:textId="77777777" w:rsidR="00AF5B76" w:rsidRDefault="00AF5B76">
      <w:pPr>
        <w:spacing w:after="0"/>
        <w:rPr>
          <w:rFonts w:cs="Times New Roman"/>
          <w:sz w:val="38"/>
          <w:lang w:val="en-GB"/>
        </w:rPr>
      </w:pPr>
      <w:r>
        <w:rPr>
          <w:rFonts w:cs="Times New Roman"/>
          <w:lang w:val="en-GB"/>
        </w:rPr>
        <w:br w:type="page"/>
      </w:r>
    </w:p>
    <w:p w14:paraId="3927638D" w14:textId="77777777" w:rsidR="00895CD2" w:rsidRDefault="00AD26F3" w:rsidP="00093444">
      <w:pPr>
        <w:pStyle w:val="Heading2"/>
        <w:rPr>
          <w:lang w:val="en-GB"/>
        </w:rPr>
      </w:pPr>
      <w:bookmarkStart w:id="17" w:name="_Toc414011875"/>
      <w:r>
        <w:rPr>
          <w:lang w:val="en-GB"/>
        </w:rPr>
        <w:lastRenderedPageBreak/>
        <w:t>Reduction in unwarranted variation</w:t>
      </w:r>
      <w:bookmarkEnd w:id="17"/>
    </w:p>
    <w:p w14:paraId="3722E0AE" w14:textId="77777777" w:rsidR="00895CD2" w:rsidRDefault="00AD26F3">
      <w:pPr>
        <w:pStyle w:val="2body-copy"/>
        <w:rPr>
          <w:rFonts w:cs="Times New Roman"/>
          <w:lang w:val="en-GB"/>
        </w:rPr>
      </w:pPr>
      <w:r>
        <w:rPr>
          <w:rFonts w:cs="Times New Roman"/>
          <w:lang w:val="en-GB"/>
        </w:rPr>
        <w:t>Variation in clinical practice and healthcare use is an emerging priority area in Australia and overseas. While some variation is desirable, variation that is not related to patient need or preference – often referred to as unwarranted variation – raises questions about healthcare quality, efficiency and value. Unwarranted variation may also mean that scarce health resources are not being put to best use.</w:t>
      </w:r>
    </w:p>
    <w:p w14:paraId="50123F7D" w14:textId="77777777" w:rsidR="00895CD2" w:rsidRDefault="00AD26F3">
      <w:pPr>
        <w:pStyle w:val="2body-copy"/>
        <w:rPr>
          <w:rFonts w:cs="Times New Roman"/>
          <w:lang w:val="en-GB"/>
        </w:rPr>
      </w:pPr>
      <w:r>
        <w:rPr>
          <w:rFonts w:cs="Times New Roman"/>
          <w:lang w:val="en-GB"/>
        </w:rPr>
        <w:t xml:space="preserve">The Commission’s healthcare variation program aims to reduce unwarranted variation and improve patients’ care and outcomes while ensuring value for Australia’s healthcare spending. During 2013/14, the focus of this work was a study of healthcare variation by the Organisation for Economic Cooperation and Development (OECD), and the development of an </w:t>
      </w:r>
      <w:r>
        <w:rPr>
          <w:rStyle w:val="2body-italic"/>
          <w:rFonts w:cs="Times New Roman"/>
          <w:lang w:val="en-GB"/>
        </w:rPr>
        <w:t>Australian Atlas of Healthcare Variation</w:t>
      </w:r>
      <w:r>
        <w:rPr>
          <w:rFonts w:cs="Times New Roman"/>
          <w:lang w:val="en-GB"/>
        </w:rPr>
        <w:t>.</w:t>
      </w:r>
    </w:p>
    <w:p w14:paraId="671A74CD" w14:textId="77777777" w:rsidR="00895CD2" w:rsidRDefault="00AD26F3">
      <w:pPr>
        <w:pStyle w:val="1heading-level-2"/>
        <w:rPr>
          <w:rFonts w:cs="Times New Roman"/>
          <w:lang w:val="en-GB"/>
        </w:rPr>
      </w:pPr>
      <w:r>
        <w:rPr>
          <w:rFonts w:cs="Times New Roman"/>
          <w:lang w:val="en-GB"/>
        </w:rPr>
        <w:t xml:space="preserve">OECD study of healthcare variation </w:t>
      </w:r>
    </w:p>
    <w:p w14:paraId="7CFFC6DE" w14:textId="77777777" w:rsidR="00895CD2" w:rsidRDefault="00AD26F3">
      <w:pPr>
        <w:pStyle w:val="2body-copy-before-bullet"/>
        <w:rPr>
          <w:rFonts w:cs="Times New Roman"/>
          <w:lang w:val="en-GB"/>
        </w:rPr>
      </w:pPr>
      <w:r>
        <w:rPr>
          <w:rFonts w:cs="Times New Roman"/>
          <w:lang w:val="en-GB"/>
        </w:rPr>
        <w:t xml:space="preserve">In 2012, the Commission began a program of work to coordinate Australia’s contribution to the study of healthcare variation by the OECD. Australia is one of 13 countries participating in the OECD project, </w:t>
      </w:r>
      <w:r>
        <w:rPr>
          <w:rFonts w:cs="Times New Roman"/>
          <w:lang w:val="en-GB"/>
        </w:rPr>
        <w:br/>
        <w:t>which aims to:</w:t>
      </w:r>
    </w:p>
    <w:p w14:paraId="7B7D3026" w14:textId="77777777" w:rsidR="00895CD2" w:rsidRDefault="00AD26F3" w:rsidP="00416913">
      <w:pPr>
        <w:pStyle w:val="bullet"/>
      </w:pPr>
      <w:r>
        <w:t>document healthcare variations, with a focus on variations within countries</w:t>
      </w:r>
    </w:p>
    <w:p w14:paraId="0CAD2B9A" w14:textId="77777777" w:rsidR="00895CD2" w:rsidRDefault="00AD26F3" w:rsidP="00416913">
      <w:pPr>
        <w:pStyle w:val="bullet"/>
      </w:pPr>
      <w:r>
        <w:t>analyse the possible causes of healthcare variations</w:t>
      </w:r>
    </w:p>
    <w:p w14:paraId="6A6E67EB" w14:textId="77777777" w:rsidR="00895CD2" w:rsidRDefault="00AD26F3" w:rsidP="00416913">
      <w:pPr>
        <w:pStyle w:val="bullet"/>
      </w:pPr>
      <w:proofErr w:type="gramStart"/>
      <w:r>
        <w:t>explore</w:t>
      </w:r>
      <w:proofErr w:type="gramEnd"/>
      <w:r>
        <w:t xml:space="preserve"> policy options to reduce unwarranted variations and improve resource allocation.</w:t>
      </w:r>
    </w:p>
    <w:p w14:paraId="28958C52" w14:textId="77777777" w:rsidR="00895CD2" w:rsidRDefault="00AD26F3">
      <w:pPr>
        <w:pStyle w:val="2body-copy"/>
        <w:rPr>
          <w:rFonts w:cs="Times New Roman"/>
          <w:lang w:val="en-GB"/>
        </w:rPr>
      </w:pPr>
      <w:r>
        <w:rPr>
          <w:rFonts w:cs="Times New Roman"/>
          <w:lang w:val="en-GB"/>
        </w:rPr>
        <w:t xml:space="preserve">The project was undertaken with support from all state and territory governments and the Australian Government, with technical input from the Australian Institute of Health and Welfare. A number of clinical experts also provided advice and commentary. </w:t>
      </w:r>
    </w:p>
    <w:p w14:paraId="0C34F97D" w14:textId="77777777" w:rsidR="00895CD2" w:rsidRDefault="00AD26F3">
      <w:pPr>
        <w:pStyle w:val="2body-copy"/>
        <w:rPr>
          <w:rFonts w:cs="Times New Roman"/>
          <w:lang w:val="en-GB"/>
        </w:rPr>
      </w:pPr>
      <w:r>
        <w:rPr>
          <w:rFonts w:cs="Times New Roman"/>
          <w:lang w:val="en-GB"/>
        </w:rPr>
        <w:t xml:space="preserve">In May 2014, the Commission published the results of the Australian study in a discussion paper, </w:t>
      </w:r>
      <w:r>
        <w:rPr>
          <w:rStyle w:val="2body-italic"/>
          <w:rFonts w:cs="Times New Roman"/>
          <w:lang w:val="en-GB"/>
        </w:rPr>
        <w:t>Exploring Healthcare Variation in Australia: Analyses Resulting from an OECD Study</w:t>
      </w:r>
      <w:r>
        <w:rPr>
          <w:rFonts w:cs="Times New Roman"/>
          <w:lang w:val="en-GB"/>
        </w:rPr>
        <w:t xml:space="preserve">. The paper examined variation in the rates of several common procedures nominated for study by the OECD, including knee surgery (knee arthroscopy and knee replacement), cardiac procedures (cardiac catheterisation, percutaneous coronary intervention and coronary artery bypass grafting), caesarean section and hysterectomy. </w:t>
      </w:r>
    </w:p>
    <w:p w14:paraId="6753DFC3" w14:textId="77777777" w:rsidR="00895CD2" w:rsidRDefault="00AD26F3">
      <w:pPr>
        <w:pStyle w:val="2body-copy"/>
        <w:rPr>
          <w:rFonts w:cs="Times New Roman"/>
          <w:lang w:val="en-GB"/>
        </w:rPr>
      </w:pPr>
      <w:r>
        <w:rPr>
          <w:rFonts w:cs="Times New Roman"/>
          <w:lang w:val="en-GB"/>
        </w:rPr>
        <w:t xml:space="preserve">Procedures were undertaken in hospitals and day procedure centres, both public and private, during 2010-11. Variation was measured according to the Medicare Local area where patients lived. Variations occurred with all interventions, although it is not possible to know how much of this was unwarranted or to comment on the relative performance of health services in one Medicare Local compared with another. </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2A2D511F" w14:textId="77777777" w:rsidTr="00AF5B76">
        <w:tc>
          <w:tcPr>
            <w:tcW w:w="0" w:type="auto"/>
            <w:shd w:val="clear" w:color="auto" w:fill="00837D"/>
            <w:vAlign w:val="center"/>
            <w:hideMark/>
          </w:tcPr>
          <w:p w14:paraId="17BC3441" w14:textId="77777777" w:rsidR="00895CD2" w:rsidRDefault="00AD26F3">
            <w:pPr>
              <w:pStyle w:val="3table-header-l"/>
              <w:rPr>
                <w:rFonts w:cs="Times New Roman"/>
              </w:rPr>
            </w:pPr>
            <w:r>
              <w:rPr>
                <w:rFonts w:cs="Times New Roman"/>
              </w:rPr>
              <w:t>Key achievements 2013/14</w:t>
            </w:r>
          </w:p>
        </w:tc>
      </w:tr>
      <w:tr w:rsidR="00895CD2" w14:paraId="05D36ABB" w14:textId="77777777" w:rsidTr="00AF5B76">
        <w:tc>
          <w:tcPr>
            <w:tcW w:w="0" w:type="auto"/>
            <w:vAlign w:val="center"/>
            <w:hideMark/>
          </w:tcPr>
          <w:p w14:paraId="278DCBE2" w14:textId="77777777" w:rsidR="00895CD2" w:rsidRDefault="00AD26F3">
            <w:pPr>
              <w:pStyle w:val="2body-copy"/>
              <w:rPr>
                <w:rFonts w:cs="Times New Roman"/>
              </w:rPr>
            </w:pPr>
            <w:r>
              <w:rPr>
                <w:rFonts w:cs="Times New Roman"/>
              </w:rPr>
              <w:t xml:space="preserve">The discussion paper </w:t>
            </w:r>
            <w:r>
              <w:rPr>
                <w:rStyle w:val="2body-italic"/>
                <w:rFonts w:cs="Times New Roman"/>
              </w:rPr>
              <w:t>Exploring Healthcare Variation in Australia: Analyses Resulting From an OECD Study</w:t>
            </w:r>
            <w:r>
              <w:rPr>
                <w:rFonts w:cs="Times New Roman"/>
              </w:rPr>
              <w:t xml:space="preserve"> was released for public consultation.</w:t>
            </w:r>
          </w:p>
        </w:tc>
      </w:tr>
    </w:tbl>
    <w:p w14:paraId="1AB2424E" w14:textId="77777777" w:rsidR="00AF5B76" w:rsidRDefault="00AF5B76">
      <w:pPr>
        <w:pStyle w:val="1heading-level-2"/>
        <w:rPr>
          <w:rFonts w:cs="Times New Roman"/>
          <w:lang w:val="en-GB"/>
        </w:rPr>
      </w:pPr>
    </w:p>
    <w:p w14:paraId="43A670EB" w14:textId="77777777" w:rsidR="00AF5B76" w:rsidRDefault="00AF5B76">
      <w:pPr>
        <w:spacing w:after="0"/>
        <w:rPr>
          <w:rFonts w:cs="Times New Roman"/>
          <w:color w:val="5F605F"/>
          <w:sz w:val="30"/>
          <w:szCs w:val="30"/>
          <w:lang w:val="en-GB"/>
        </w:rPr>
      </w:pPr>
      <w:r>
        <w:rPr>
          <w:rFonts w:cs="Times New Roman"/>
          <w:lang w:val="en-GB"/>
        </w:rPr>
        <w:br w:type="page"/>
      </w:r>
    </w:p>
    <w:p w14:paraId="6346C541" w14:textId="77777777" w:rsidR="00895CD2" w:rsidRDefault="00AD26F3">
      <w:pPr>
        <w:pStyle w:val="1heading-level-2"/>
        <w:rPr>
          <w:rFonts w:cs="Times New Roman"/>
          <w:lang w:val="en-GB"/>
        </w:rPr>
      </w:pPr>
      <w:r>
        <w:rPr>
          <w:rFonts w:cs="Times New Roman"/>
          <w:lang w:val="en-GB"/>
        </w:rPr>
        <w:lastRenderedPageBreak/>
        <w:t>Australian Atlas of Healthcare Variation</w:t>
      </w:r>
    </w:p>
    <w:p w14:paraId="2D0A3F4F" w14:textId="77777777" w:rsidR="00895CD2" w:rsidRDefault="00AD26F3">
      <w:pPr>
        <w:pStyle w:val="2body-copy"/>
        <w:rPr>
          <w:rFonts w:cs="Times New Roman"/>
          <w:lang w:val="en-GB"/>
        </w:rPr>
      </w:pPr>
      <w:r>
        <w:rPr>
          <w:rFonts w:cs="Times New Roman"/>
          <w:lang w:val="en-GB"/>
        </w:rPr>
        <w:t xml:space="preserve">Building on the work of the OECD healthcare variation project, in January 2014 the Commission started developing an </w:t>
      </w:r>
      <w:r>
        <w:rPr>
          <w:rStyle w:val="2body-italic"/>
          <w:rFonts w:cs="Times New Roman"/>
          <w:lang w:val="en-GB"/>
        </w:rPr>
        <w:t>Australian Atlas of Healthcare Variation</w:t>
      </w:r>
      <w:r>
        <w:rPr>
          <w:rFonts w:cs="Times New Roman"/>
          <w:lang w:val="en-GB"/>
        </w:rPr>
        <w:t xml:space="preserve"> (the Atlas). The Australian Government has provided funding for the project, which will enable additional areas of variation to be examined and approaches to reducing unwarranted variation to be identified. </w:t>
      </w:r>
    </w:p>
    <w:p w14:paraId="7D2B745D" w14:textId="77777777" w:rsidR="00895CD2" w:rsidRDefault="00AD26F3">
      <w:pPr>
        <w:pStyle w:val="2body-copy"/>
        <w:rPr>
          <w:rFonts w:cs="Times New Roman"/>
          <w:lang w:val="en-GB"/>
        </w:rPr>
      </w:pPr>
      <w:r>
        <w:rPr>
          <w:rFonts w:cs="Times New Roman"/>
          <w:lang w:val="en-GB"/>
        </w:rPr>
        <w:t>An advisory group has been established to select and refine a broad range of topics for inclusion in the Atlas. National data will be collated to identify areas of variation in care. Areas where substantial variation is identified will be further investigated to explore the extent to which the variation is warranted. Strategies, tools and resources that aim to reduce unwarranted variation will be developed at the local and national level.</w:t>
      </w:r>
    </w:p>
    <w:p w14:paraId="071C1C9C" w14:textId="77777777" w:rsidR="00895CD2" w:rsidRDefault="00AD26F3">
      <w:pPr>
        <w:pStyle w:val="2body-copy"/>
        <w:rPr>
          <w:rFonts w:cs="Times New Roman"/>
          <w:lang w:val="en-GB"/>
        </w:rPr>
      </w:pPr>
      <w:r>
        <w:rPr>
          <w:rFonts w:cs="Times New Roman"/>
          <w:lang w:val="en-GB"/>
        </w:rPr>
        <w:t xml:space="preserve">Developing the </w:t>
      </w:r>
      <w:r>
        <w:rPr>
          <w:rStyle w:val="2body-italic"/>
          <w:rFonts w:cs="Times New Roman"/>
          <w:lang w:val="en-GB"/>
        </w:rPr>
        <w:t>Australian Atlas of Healthcare Variation</w:t>
      </w:r>
      <w:r>
        <w:rPr>
          <w:rFonts w:cs="Times New Roman"/>
          <w:lang w:val="en-GB"/>
        </w:rPr>
        <w:t xml:space="preserve"> is an important first step to providing more appropriate care to patients.</w:t>
      </w:r>
      <w:r>
        <w:rPr>
          <w:rStyle w:val="superscript"/>
          <w:rFonts w:cs="Times New Roman"/>
          <w:lang w:val="en-GB"/>
        </w:rPr>
        <w:t>11</w:t>
      </w:r>
      <w:r>
        <w:rPr>
          <w:rFonts w:cs="Times New Roman"/>
          <w:lang w:val="en-GB"/>
        </w:rPr>
        <w:t xml:space="preserve"> The Atlas is expected to be released in 2016.</w:t>
      </w:r>
    </w:p>
    <w:p w14:paraId="5C8233DC" w14:textId="77777777" w:rsidR="00895CD2" w:rsidRDefault="00AD26F3">
      <w:pPr>
        <w:pStyle w:val="2pull-out"/>
        <w:rPr>
          <w:rFonts w:cs="Times New Roman"/>
          <w:lang w:val="en-GB"/>
        </w:rPr>
      </w:pPr>
      <w:r>
        <w:rPr>
          <w:rFonts w:cs="Times New Roman"/>
          <w:lang w:val="en-GB"/>
        </w:rPr>
        <w:t>By world standards, Australia has excellent healthcare services staffed by highly qualified, dedicated and hard-working people. Yet Australians who have the same health conditions, concerns or problems do not necessarily receive the same health care.</w:t>
      </w:r>
    </w:p>
    <w:p w14:paraId="0A0C58B1" w14:textId="77777777" w:rsidR="00895CD2" w:rsidRDefault="00AD26F3">
      <w:pPr>
        <w:pStyle w:val="1heading-level-1-span"/>
        <w:rPr>
          <w:rFonts w:cs="Times New Roman"/>
          <w:lang w:val="en-GB"/>
        </w:rPr>
      </w:pPr>
      <w:r>
        <w:rPr>
          <w:rFonts w:cs="Times New Roman"/>
          <w:lang w:val="en-GB"/>
        </w:rPr>
        <w:t>Nationally coordinated action to prevent and contain antimicrobial resistance</w:t>
      </w:r>
    </w:p>
    <w:p w14:paraId="16B322A5" w14:textId="77777777" w:rsidR="00895CD2" w:rsidRDefault="00AD26F3">
      <w:pPr>
        <w:pStyle w:val="2body-copy"/>
        <w:rPr>
          <w:rFonts w:cs="Times New Roman"/>
          <w:lang w:val="en-GB"/>
        </w:rPr>
      </w:pPr>
      <w:r>
        <w:rPr>
          <w:rFonts w:cs="Times New Roman"/>
          <w:lang w:val="en-GB"/>
        </w:rPr>
        <w:t>The Commission recognises the challenge that antimicrobial resistance (AMR) presents to the effective delivery of health care and has responded by initiating a range of programs and activities to prevent and contain AMR.</w:t>
      </w:r>
    </w:p>
    <w:p w14:paraId="7144CB16" w14:textId="77777777" w:rsidR="00895CD2" w:rsidRDefault="00AD26F3">
      <w:pPr>
        <w:pStyle w:val="2body-copy"/>
        <w:rPr>
          <w:rFonts w:cs="Times New Roman"/>
          <w:lang w:val="en-GB"/>
        </w:rPr>
      </w:pPr>
      <w:r>
        <w:rPr>
          <w:rFonts w:cs="Times New Roman"/>
          <w:lang w:val="en-GB"/>
        </w:rPr>
        <w:t>When bacteria that are resistant to multiple antimicrobials are prevalent, healthcare providers need to use broader spectrum and usually more expensive agents to treat seriously ill patients. This contributes to increasing healthcare and societal costs.</w:t>
      </w:r>
      <w:r>
        <w:rPr>
          <w:rStyle w:val="superscript"/>
          <w:rFonts w:cs="Times New Roman"/>
          <w:lang w:val="en-GB"/>
        </w:rPr>
        <w:t>12 13</w:t>
      </w:r>
    </w:p>
    <w:p w14:paraId="772FFF34" w14:textId="77777777" w:rsidR="00895CD2" w:rsidRDefault="00AD26F3">
      <w:pPr>
        <w:pStyle w:val="2body-copy"/>
        <w:rPr>
          <w:rFonts w:cs="Times New Roman"/>
          <w:lang w:val="en-GB"/>
        </w:rPr>
      </w:pPr>
      <w:r>
        <w:rPr>
          <w:rFonts w:cs="Times New Roman"/>
          <w:lang w:val="en-GB"/>
        </w:rPr>
        <w:t>There is growing global concern about the emergence of AMR. The World Health Organization (WHO) has encouraged countries to commit to comprehensive national plans to combat AMR.</w:t>
      </w:r>
      <w:r>
        <w:rPr>
          <w:rStyle w:val="superscript"/>
          <w:rFonts w:cs="Times New Roman"/>
          <w:lang w:val="en-GB"/>
        </w:rPr>
        <w:t>14 15</w:t>
      </w:r>
      <w:r>
        <w:rPr>
          <w:rFonts w:cs="Times New Roman"/>
          <w:lang w:val="en-GB"/>
        </w:rPr>
        <w:t xml:space="preserve"> </w:t>
      </w:r>
    </w:p>
    <w:p w14:paraId="075E639B" w14:textId="77777777" w:rsidR="00895CD2" w:rsidRDefault="00AD26F3">
      <w:pPr>
        <w:pStyle w:val="1heading-level-2"/>
        <w:rPr>
          <w:rFonts w:cs="Times New Roman"/>
          <w:lang w:val="en-GB"/>
        </w:rPr>
      </w:pPr>
      <w:r>
        <w:rPr>
          <w:rFonts w:cs="Times New Roman"/>
          <w:lang w:val="en-GB"/>
        </w:rPr>
        <w:t>Healthcare associated infection</w:t>
      </w:r>
    </w:p>
    <w:p w14:paraId="4B1FF292" w14:textId="77777777" w:rsidR="00895CD2" w:rsidRDefault="00AD26F3">
      <w:pPr>
        <w:pStyle w:val="2body-copy"/>
        <w:rPr>
          <w:rFonts w:cs="Times New Roman"/>
          <w:lang w:val="en-GB"/>
        </w:rPr>
      </w:pPr>
      <w:r>
        <w:rPr>
          <w:rFonts w:cs="Times New Roman"/>
          <w:lang w:val="en-GB"/>
        </w:rPr>
        <w:t>The Commission’s national healthcare associated infection prevention program provides a coordinated suite of initiatives to promote a sustainable national approach to reducing preventable healthcare associated infections. The Commission continues to support health service organisations with the implementation of NSQHS Standard 3: Preventing and Controlling Healthcare Associated Infections.</w:t>
      </w:r>
    </w:p>
    <w:p w14:paraId="23A9ACE6" w14:textId="77777777" w:rsidR="00895CD2" w:rsidRDefault="00AD26F3">
      <w:pPr>
        <w:pStyle w:val="1heading-level-3"/>
        <w:rPr>
          <w:rFonts w:cs="Times New Roman"/>
          <w:lang w:val="en-GB"/>
        </w:rPr>
      </w:pPr>
      <w:r>
        <w:rPr>
          <w:rFonts w:cs="Times New Roman"/>
          <w:lang w:val="en-GB"/>
        </w:rPr>
        <w:t>National Hand Hygiene Initiative</w:t>
      </w:r>
    </w:p>
    <w:p w14:paraId="3F5AAF93" w14:textId="77777777" w:rsidR="00895CD2" w:rsidRDefault="00AD26F3">
      <w:pPr>
        <w:pStyle w:val="2body-copy"/>
        <w:rPr>
          <w:rFonts w:cs="Times New Roman"/>
          <w:lang w:val="en-GB"/>
        </w:rPr>
      </w:pPr>
      <w:r>
        <w:rPr>
          <w:rFonts w:cs="Times New Roman"/>
          <w:lang w:val="en-GB"/>
        </w:rPr>
        <w:t xml:space="preserve">The hands of healthcare workers are the single most important sources of preventable hospital-acquired infections. The Commission contracted Hand Hygiene Australia (HHA) to implement the National Hand Hygiene Initiative (NHHI), a program based on WHO’s </w:t>
      </w:r>
      <w:r>
        <w:rPr>
          <w:rStyle w:val="2body-italic"/>
          <w:rFonts w:cs="Times New Roman"/>
          <w:lang w:val="en-GB"/>
        </w:rPr>
        <w:t>5 Moments for Hand</w:t>
      </w:r>
      <w:r>
        <w:rPr>
          <w:rFonts w:cs="Times New Roman"/>
          <w:lang w:val="en-GB"/>
        </w:rPr>
        <w:t> </w:t>
      </w:r>
      <w:r>
        <w:rPr>
          <w:rStyle w:val="2body-italic"/>
          <w:rFonts w:cs="Times New Roman"/>
          <w:lang w:val="en-GB"/>
        </w:rPr>
        <w:t>Hygiene</w:t>
      </w:r>
      <w:r>
        <w:rPr>
          <w:rFonts w:cs="Times New Roman"/>
          <w:lang w:val="en-GB"/>
        </w:rPr>
        <w:t>.</w:t>
      </w:r>
    </w:p>
    <w:p w14:paraId="150E60D6" w14:textId="77777777" w:rsidR="00895CD2" w:rsidRDefault="00AD26F3">
      <w:pPr>
        <w:pStyle w:val="2body-copy"/>
        <w:rPr>
          <w:rFonts w:cs="Times New Roman"/>
          <w:lang w:val="en-GB"/>
        </w:rPr>
      </w:pPr>
      <w:r>
        <w:rPr>
          <w:rFonts w:cs="Times New Roman"/>
          <w:lang w:val="en-GB"/>
        </w:rPr>
        <w:t>During 2013/14, the NHHI regularly audited and assessed hand hygiene compliance in Australian hospitals. An audit conducted in April 2014 demonstrated that hand hygiene compliance rates continue to improve across all jurisdictions and the private sector, with a national compliance rate of over 80%.</w:t>
      </w:r>
    </w:p>
    <w:p w14:paraId="63A5C1B0" w14:textId="77777777" w:rsidR="00895CD2" w:rsidRDefault="00AD26F3">
      <w:pPr>
        <w:pStyle w:val="2body-copy"/>
        <w:rPr>
          <w:rFonts w:cs="Times New Roman"/>
          <w:lang w:val="en-GB"/>
        </w:rPr>
      </w:pPr>
      <w:r>
        <w:rPr>
          <w:rFonts w:cs="Times New Roman"/>
          <w:lang w:val="en-GB"/>
        </w:rPr>
        <w:t>Participation in the NHHI continued to increase during 2013/14. More than 95% of public hospital and over 50% of private hospital beds are regularly audited.</w:t>
      </w:r>
    </w:p>
    <w:p w14:paraId="690475DF" w14:textId="77777777" w:rsidR="00AF5B76" w:rsidRDefault="00AD26F3">
      <w:pPr>
        <w:pStyle w:val="2body-copy"/>
        <w:rPr>
          <w:rFonts w:cs="Times New Roman"/>
          <w:lang w:val="en-GB"/>
        </w:rPr>
      </w:pPr>
      <w:r>
        <w:rPr>
          <w:rFonts w:cs="Times New Roman"/>
          <w:lang w:val="en-GB"/>
        </w:rPr>
        <w:t>In 2014/15, the Commission will identify further opportunities for that standardisation of data to improve the quality of reporting, ensure ongoing review and to enhance a hand hygiene database. This will reduce the time taken to gather audit data, and provide additional resources and opportunities for education of the workforce. The inclusion of standardised hand hygiene assessments in the curricula of postgraduate training organisations will further highlight the importance of hand hygiene in reducing preventable healthcare associated infections.</w:t>
      </w:r>
    </w:p>
    <w:p w14:paraId="6B2ACC4B" w14:textId="77777777" w:rsidR="00AF5B76" w:rsidRDefault="00AF5B76">
      <w:pPr>
        <w:spacing w:after="0"/>
        <w:rPr>
          <w:rFonts w:cs="Times New Roman"/>
          <w:lang w:val="en-GB"/>
        </w:rPr>
      </w:pPr>
      <w:r>
        <w:rPr>
          <w:rFonts w:cs="Times New Roman"/>
          <w:lang w:val="en-GB"/>
        </w:rPr>
        <w:br w:type="page"/>
      </w:r>
    </w:p>
    <w:p w14:paraId="63EC42BE" w14:textId="77777777" w:rsidR="00895CD2" w:rsidRDefault="00895CD2">
      <w:pPr>
        <w:pStyle w:val="2body-copy"/>
        <w:rPr>
          <w:rFonts w:cs="Times New Roman"/>
          <w:lang w:val="en-GB"/>
        </w:rPr>
      </w:pP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178"/>
      </w:tblGrid>
      <w:tr w:rsidR="00895CD2" w14:paraId="3EE65A4C" w14:textId="77777777" w:rsidTr="00AD26F3">
        <w:tc>
          <w:tcPr>
            <w:tcW w:w="10178" w:type="dxa"/>
            <w:shd w:val="clear" w:color="auto" w:fill="00837D"/>
            <w:vAlign w:val="center"/>
            <w:hideMark/>
          </w:tcPr>
          <w:p w14:paraId="79C969A2" w14:textId="77777777" w:rsidR="00895CD2" w:rsidRDefault="00AD26F3">
            <w:pPr>
              <w:pStyle w:val="3table-header-l"/>
              <w:rPr>
                <w:rFonts w:cs="Times New Roman"/>
              </w:rPr>
            </w:pPr>
            <w:r>
              <w:rPr>
                <w:rFonts w:cs="Times New Roman"/>
              </w:rPr>
              <w:t>Key achievements 2013/14</w:t>
            </w:r>
          </w:p>
        </w:tc>
      </w:tr>
      <w:tr w:rsidR="00895CD2" w14:paraId="23CD7186" w14:textId="77777777" w:rsidTr="00AD26F3">
        <w:tc>
          <w:tcPr>
            <w:tcW w:w="10178" w:type="dxa"/>
            <w:vAlign w:val="center"/>
            <w:hideMark/>
          </w:tcPr>
          <w:p w14:paraId="2622E58F" w14:textId="77777777" w:rsidR="00895CD2" w:rsidRDefault="00AD26F3">
            <w:pPr>
              <w:pStyle w:val="2body-copy"/>
              <w:rPr>
                <w:rFonts w:cs="Times New Roman"/>
              </w:rPr>
            </w:pPr>
            <w:r>
              <w:rPr>
                <w:rStyle w:val="s2-pull-out-numbers"/>
                <w:rFonts w:cs="Times New Roman"/>
              </w:rPr>
              <w:t>80%</w:t>
            </w:r>
            <w:r>
              <w:rPr>
                <w:rFonts w:cs="Times New Roman"/>
              </w:rPr>
              <w:t xml:space="preserve"> compliance to hand hygiene standards in Australian hospitals.</w:t>
            </w:r>
          </w:p>
        </w:tc>
      </w:tr>
      <w:tr w:rsidR="00895CD2" w14:paraId="6C5D6614" w14:textId="77777777" w:rsidTr="00AD26F3">
        <w:tc>
          <w:tcPr>
            <w:tcW w:w="10178" w:type="dxa"/>
            <w:vAlign w:val="center"/>
            <w:hideMark/>
          </w:tcPr>
          <w:p w14:paraId="1B88DB9A" w14:textId="77777777" w:rsidR="00895CD2" w:rsidRDefault="00AD26F3">
            <w:pPr>
              <w:pStyle w:val="2body-copy"/>
              <w:rPr>
                <w:rFonts w:cs="Times New Roman"/>
              </w:rPr>
            </w:pPr>
            <w:r>
              <w:rPr>
                <w:rFonts w:cs="Times New Roman"/>
              </w:rPr>
              <w:t xml:space="preserve">Over </w:t>
            </w:r>
            <w:r>
              <w:rPr>
                <w:rStyle w:val="s2-pull-out-numbers"/>
                <w:rFonts w:cs="Times New Roman"/>
              </w:rPr>
              <w:t>750</w:t>
            </w:r>
            <w:r>
              <w:rPr>
                <w:rFonts w:cs="Times New Roman"/>
              </w:rPr>
              <w:t xml:space="preserve"> hospitals regularly submit data about hand hygiene.</w:t>
            </w:r>
          </w:p>
        </w:tc>
      </w:tr>
      <w:tr w:rsidR="00895CD2" w14:paraId="71FB96E4" w14:textId="77777777" w:rsidTr="00AD26F3">
        <w:tc>
          <w:tcPr>
            <w:tcW w:w="10178" w:type="dxa"/>
            <w:vAlign w:val="center"/>
            <w:hideMark/>
          </w:tcPr>
          <w:p w14:paraId="562203E0" w14:textId="77777777" w:rsidR="00895CD2" w:rsidRDefault="00AD26F3">
            <w:pPr>
              <w:pStyle w:val="2body-copy"/>
              <w:rPr>
                <w:rFonts w:cs="Times New Roman"/>
              </w:rPr>
            </w:pPr>
            <w:r>
              <w:rPr>
                <w:rFonts w:cs="Times New Roman"/>
              </w:rPr>
              <w:t xml:space="preserve">Over </w:t>
            </w:r>
            <w:r>
              <w:rPr>
                <w:rStyle w:val="s2-pull-out-numbers"/>
                <w:rFonts w:cs="Times New Roman"/>
              </w:rPr>
              <w:t>700,000</w:t>
            </w:r>
            <w:r>
              <w:rPr>
                <w:rFonts w:cs="Times New Roman"/>
              </w:rPr>
              <w:t xml:space="preserve"> healthcare providers have been trained and assessed in hand hygiene.</w:t>
            </w:r>
          </w:p>
        </w:tc>
      </w:tr>
    </w:tbl>
    <w:p w14:paraId="5BD8A5F5" w14:textId="77777777" w:rsidR="00895CD2" w:rsidRDefault="00AD26F3">
      <w:pPr>
        <w:pStyle w:val="1heading-level-3"/>
        <w:rPr>
          <w:rFonts w:cs="Times New Roman"/>
          <w:lang w:val="en-GB"/>
        </w:rPr>
      </w:pPr>
      <w:r>
        <w:rPr>
          <w:rFonts w:cs="Times New Roman"/>
          <w:lang w:val="en-GB"/>
        </w:rPr>
        <w:t xml:space="preserve">Standardised national surveillance </w:t>
      </w:r>
    </w:p>
    <w:p w14:paraId="21638F08" w14:textId="77777777" w:rsidR="00895CD2" w:rsidRDefault="00AD26F3">
      <w:pPr>
        <w:pStyle w:val="2body-copy"/>
        <w:rPr>
          <w:rFonts w:cs="Times New Roman"/>
          <w:lang w:val="en-GB"/>
        </w:rPr>
      </w:pPr>
      <w:r>
        <w:rPr>
          <w:rFonts w:cs="Times New Roman"/>
          <w:lang w:val="en-GB"/>
        </w:rPr>
        <w:t xml:space="preserve">The Commission’s National Surveillance Initiative continues to explore opportunities to monitor healthcare associated infection, improve the quality of surveillance data and provide timely feedback to state and territory jurisdictions and clinicians. </w:t>
      </w:r>
    </w:p>
    <w:p w14:paraId="0372F662" w14:textId="77777777" w:rsidR="00895CD2" w:rsidRDefault="00AD26F3">
      <w:pPr>
        <w:pStyle w:val="2body-copy"/>
        <w:rPr>
          <w:rFonts w:cs="Times New Roman"/>
          <w:lang w:val="en-GB"/>
        </w:rPr>
      </w:pPr>
      <w:r>
        <w:rPr>
          <w:rFonts w:cs="Times New Roman"/>
          <w:lang w:val="en-GB"/>
        </w:rPr>
        <w:t xml:space="preserve">During 2013/14, the Commission worked with states and territories on implementation guides to assist health service organisations and surveillance units to collect and report on the incidence of </w:t>
      </w:r>
      <w:r>
        <w:rPr>
          <w:rStyle w:val="2body-italic"/>
          <w:rFonts w:cs="Times New Roman"/>
          <w:lang w:val="en-GB"/>
        </w:rPr>
        <w:t>Staphylococcus aureus</w:t>
      </w:r>
      <w:r>
        <w:rPr>
          <w:rFonts w:cs="Times New Roman"/>
          <w:lang w:val="en-GB"/>
        </w:rPr>
        <w:t xml:space="preserve"> bacteraemia (SAB) and </w:t>
      </w:r>
      <w:r>
        <w:rPr>
          <w:rStyle w:val="2body-italic"/>
          <w:rFonts w:cs="Times New Roman"/>
          <w:lang w:val="en-GB"/>
        </w:rPr>
        <w:t>Clostridium difficile</w:t>
      </w:r>
      <w:r>
        <w:rPr>
          <w:rFonts w:cs="Times New Roman"/>
          <w:lang w:val="en-GB"/>
        </w:rPr>
        <w:t xml:space="preserve"> infection (CDI). These implementation guides were released in February 2014.</w:t>
      </w:r>
    </w:p>
    <w:p w14:paraId="6C62C439" w14:textId="77777777" w:rsidR="00895CD2" w:rsidRDefault="00AD26F3">
      <w:pPr>
        <w:pStyle w:val="2body-copy"/>
        <w:rPr>
          <w:rFonts w:cs="Times New Roman"/>
          <w:lang w:val="en-GB"/>
        </w:rPr>
      </w:pPr>
      <w:r>
        <w:rPr>
          <w:rFonts w:cs="Times New Roman"/>
          <w:lang w:val="en-GB"/>
        </w:rPr>
        <w:t>In October 2013, the Commission undertook a review of SAB and CDI surveillance definitions used across state and territory jurisdictions. The Commission found that, while systems and processes vary widely, the widespread implementation of national surveillance definitions has led to improved consistency in the collection and reporting of data on SAB and CDI.</w:t>
      </w:r>
    </w:p>
    <w:p w14:paraId="240EA882" w14:textId="77777777" w:rsidR="00895CD2" w:rsidRDefault="00AD26F3">
      <w:pPr>
        <w:pStyle w:val="2body-copy"/>
        <w:rPr>
          <w:rFonts w:cs="Times New Roman"/>
          <w:lang w:val="en-GB"/>
        </w:rPr>
      </w:pPr>
      <w:r>
        <w:rPr>
          <w:rFonts w:cs="Times New Roman"/>
          <w:lang w:val="en-GB"/>
        </w:rPr>
        <w:t xml:space="preserve">All state and territory jurisdictions are using the Commission’s national surveillance case definition for healthcare associated SAB. Those jurisdictions with an active healthcare associated infection surveillance unit and a state-based surveillance information system are able to support data validation, comply with national surveillance definitions, provide education and support for hospital infection prevention and control practitioners, and provide hospital-level reports. </w:t>
      </w:r>
    </w:p>
    <w:p w14:paraId="616348FC" w14:textId="77777777" w:rsidR="007923D4" w:rsidRDefault="00AD26F3" w:rsidP="00AF5B76">
      <w:pPr>
        <w:pStyle w:val="2body-copy"/>
        <w:rPr>
          <w:rFonts w:cs="Times New Roman"/>
          <w:lang w:val="en-GB"/>
        </w:rPr>
      </w:pPr>
      <w:r>
        <w:rPr>
          <w:rFonts w:cs="Times New Roman"/>
          <w:lang w:val="en-GB"/>
        </w:rPr>
        <w:t>The Commission is exploring other areas where standardised national surveillance can be used to monitor healthcare associated infection, improve the quality of surveillance data and provide timely feedback to jurisdictions and clinicians.</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425"/>
      </w:tblGrid>
      <w:tr w:rsidR="00895CD2" w14:paraId="7B865185" w14:textId="77777777" w:rsidTr="00AF5B76">
        <w:tc>
          <w:tcPr>
            <w:tcW w:w="0" w:type="auto"/>
            <w:shd w:val="clear" w:color="auto" w:fill="00837D"/>
            <w:vAlign w:val="center"/>
            <w:hideMark/>
          </w:tcPr>
          <w:p w14:paraId="38F3C982" w14:textId="77777777" w:rsidR="00895CD2" w:rsidRDefault="00AD26F3">
            <w:pPr>
              <w:pStyle w:val="3table-header-l"/>
              <w:rPr>
                <w:rFonts w:cs="Times New Roman"/>
              </w:rPr>
            </w:pPr>
            <w:r>
              <w:rPr>
                <w:rFonts w:cs="Times New Roman"/>
              </w:rPr>
              <w:t>Key achievements 2013/14</w:t>
            </w:r>
          </w:p>
        </w:tc>
      </w:tr>
      <w:tr w:rsidR="00895CD2" w14:paraId="6F23A9AF" w14:textId="77777777" w:rsidTr="00AF5B76">
        <w:tc>
          <w:tcPr>
            <w:tcW w:w="0" w:type="auto"/>
            <w:vAlign w:val="center"/>
            <w:hideMark/>
          </w:tcPr>
          <w:p w14:paraId="6AF25E97" w14:textId="77777777" w:rsidR="00895CD2" w:rsidRDefault="00AD26F3">
            <w:pPr>
              <w:pStyle w:val="2body-copy"/>
              <w:rPr>
                <w:rFonts w:cs="Times New Roman"/>
              </w:rPr>
            </w:pPr>
            <w:r>
              <w:rPr>
                <w:rFonts w:cs="Times New Roman"/>
              </w:rPr>
              <w:t>The rate of SAB infections has dropped from 1.2 per 10,000 bed days in 2009/10 to 0.9 per 10,000 bed days in 2012/13.</w:t>
            </w:r>
          </w:p>
        </w:tc>
      </w:tr>
      <w:tr w:rsidR="00895CD2" w14:paraId="7643A574" w14:textId="77777777" w:rsidTr="00AF5B76">
        <w:tc>
          <w:tcPr>
            <w:tcW w:w="0" w:type="auto"/>
            <w:vAlign w:val="center"/>
            <w:hideMark/>
          </w:tcPr>
          <w:p w14:paraId="46318EE4" w14:textId="77777777" w:rsidR="00895CD2" w:rsidRDefault="00AD26F3">
            <w:pPr>
              <w:pStyle w:val="2body-copy"/>
              <w:rPr>
                <w:rFonts w:cs="Times New Roman"/>
              </w:rPr>
            </w:pPr>
            <w:r>
              <w:rPr>
                <w:rStyle w:val="s2-pull-out-numbers"/>
                <w:rFonts w:cs="Times New Roman"/>
              </w:rPr>
              <w:t>66%</w:t>
            </w:r>
            <w:r>
              <w:rPr>
                <w:rFonts w:cs="Times New Roman"/>
              </w:rPr>
              <w:t xml:space="preserve"> increase in hospitals providing data on SAB infections.</w:t>
            </w:r>
          </w:p>
        </w:tc>
      </w:tr>
    </w:tbl>
    <w:p w14:paraId="1C2F512C" w14:textId="77777777" w:rsidR="00AF5B76" w:rsidRDefault="00AF5B76">
      <w:pPr>
        <w:pStyle w:val="1heading-level-3"/>
        <w:rPr>
          <w:rFonts w:cs="Times New Roman"/>
          <w:lang w:val="en-GB"/>
        </w:rPr>
      </w:pPr>
    </w:p>
    <w:p w14:paraId="5E49CC8A" w14:textId="77777777" w:rsidR="00AF5B76" w:rsidRDefault="00AF5B76">
      <w:pPr>
        <w:spacing w:after="0"/>
        <w:rPr>
          <w:rFonts w:cs="Times New Roman"/>
          <w:b/>
          <w:bCs/>
          <w:color w:val="5F605F"/>
          <w:sz w:val="24"/>
          <w:szCs w:val="24"/>
          <w:lang w:val="en-GB"/>
        </w:rPr>
      </w:pPr>
      <w:r>
        <w:rPr>
          <w:rFonts w:cs="Times New Roman"/>
          <w:lang w:val="en-GB"/>
        </w:rPr>
        <w:br w:type="page"/>
      </w:r>
    </w:p>
    <w:p w14:paraId="5038B5E1" w14:textId="77777777" w:rsidR="00895CD2" w:rsidRDefault="00AD26F3">
      <w:pPr>
        <w:pStyle w:val="1heading-level-3"/>
        <w:rPr>
          <w:rFonts w:cs="Times New Roman"/>
          <w:lang w:val="en-GB"/>
        </w:rPr>
      </w:pPr>
      <w:r>
        <w:rPr>
          <w:rFonts w:cs="Times New Roman"/>
          <w:lang w:val="en-GB"/>
        </w:rPr>
        <w:lastRenderedPageBreak/>
        <w:t xml:space="preserve">Antimicrobial stewardship </w:t>
      </w:r>
    </w:p>
    <w:p w14:paraId="2AA65A39" w14:textId="77777777" w:rsidR="00895CD2" w:rsidRDefault="00AD26F3">
      <w:pPr>
        <w:pStyle w:val="2body-copy"/>
        <w:rPr>
          <w:rFonts w:cs="Times New Roman"/>
          <w:lang w:val="en-GB"/>
        </w:rPr>
      </w:pPr>
      <w:r>
        <w:rPr>
          <w:rFonts w:cs="Times New Roman"/>
          <w:lang w:val="en-GB"/>
        </w:rPr>
        <w:t>Interventions to promote responsible use of antimicrobials are essential to reduce the development and spread of AMR. Health service organisations can improve antimicrobial use through organised antimicrobial management programs, known as antimicrobial stewardship (AMS).</w:t>
      </w:r>
    </w:p>
    <w:p w14:paraId="4ADFFC3F" w14:textId="77777777" w:rsidR="00895CD2" w:rsidRDefault="00AD26F3">
      <w:pPr>
        <w:pStyle w:val="2body-copy"/>
        <w:rPr>
          <w:rFonts w:cs="Times New Roman"/>
          <w:lang w:val="en-GB"/>
        </w:rPr>
      </w:pPr>
      <w:r>
        <w:rPr>
          <w:rFonts w:cs="Times New Roman"/>
          <w:lang w:val="en-GB"/>
        </w:rPr>
        <w:t xml:space="preserve">These programs involve a range of complementary strategies, including the use of treatment guidelines to inform local prescribing, formulary management, the auditing of prescribing practices, the monitoring of antimicrobial usage and resistance, and the education of clinicians and patients. These strategies work together to ensure appropriate antimicrobial prescribing. </w:t>
      </w:r>
    </w:p>
    <w:p w14:paraId="0DDCD7EE" w14:textId="77777777" w:rsidR="00895CD2" w:rsidRDefault="00AD26F3">
      <w:pPr>
        <w:pStyle w:val="2body-copy"/>
        <w:rPr>
          <w:rFonts w:cs="Times New Roman"/>
          <w:lang w:val="en-GB"/>
        </w:rPr>
      </w:pPr>
      <w:r>
        <w:rPr>
          <w:rFonts w:cs="Times New Roman"/>
          <w:lang w:val="en-GB"/>
        </w:rPr>
        <w:t xml:space="preserve">The Commission’s work in this area promotes a national approach to AMS and supports compliance with NSQHS Standard 3, which requires all hospitals and day procedure services to have an AMS program in place. </w:t>
      </w:r>
    </w:p>
    <w:p w14:paraId="6C546D2C" w14:textId="77777777" w:rsidR="00895CD2" w:rsidRDefault="00AD26F3">
      <w:pPr>
        <w:pStyle w:val="2body-copy"/>
        <w:rPr>
          <w:rFonts w:cs="Times New Roman"/>
          <w:lang w:val="en-GB"/>
        </w:rPr>
      </w:pPr>
      <w:r>
        <w:rPr>
          <w:rFonts w:cs="Times New Roman"/>
          <w:lang w:val="en-GB"/>
        </w:rPr>
        <w:t>During 2013/14, AMS work focused on supporting small hospitals that may have fewer specialist resources. In September 2013, the Commission conducted an AMS workshop specifically for small hospitals at the annual conference of the Australasian College for Infection Prevention and Control. This workshop enabled participants to share experiences and discuss practical ideas for AMS implementation in smaller hospitals.</w:t>
      </w:r>
    </w:p>
    <w:p w14:paraId="7DED1529" w14:textId="77777777" w:rsidR="00895CD2" w:rsidRDefault="00AD26F3">
      <w:pPr>
        <w:pStyle w:val="1heading-level-3"/>
        <w:rPr>
          <w:rFonts w:cs="Times New Roman"/>
          <w:lang w:val="en-GB"/>
        </w:rPr>
      </w:pPr>
      <w:r>
        <w:rPr>
          <w:rFonts w:cs="Times New Roman"/>
          <w:lang w:val="en-GB"/>
        </w:rPr>
        <w:t>Antibiotic Awareness Week 2013</w:t>
      </w:r>
    </w:p>
    <w:p w14:paraId="0B51C08E" w14:textId="77777777" w:rsidR="00895CD2" w:rsidRDefault="00AD26F3">
      <w:pPr>
        <w:pStyle w:val="2body-copy"/>
        <w:rPr>
          <w:rFonts w:cs="Times New Roman"/>
          <w:lang w:val="en-GB"/>
        </w:rPr>
      </w:pPr>
      <w:r>
        <w:rPr>
          <w:rFonts w:cs="Times New Roman"/>
          <w:lang w:val="en-GB"/>
        </w:rPr>
        <w:t>Antibiotic Awareness Week (AAW) is another means of raising awareness about the problem of AMR and programs to address resistance.</w:t>
      </w:r>
    </w:p>
    <w:p w14:paraId="5A54C866" w14:textId="77777777" w:rsidR="00895CD2" w:rsidRDefault="00AD26F3">
      <w:pPr>
        <w:pStyle w:val="2body-copy"/>
        <w:rPr>
          <w:rFonts w:cs="Times New Roman"/>
          <w:lang w:val="en-GB"/>
        </w:rPr>
      </w:pPr>
      <w:r>
        <w:rPr>
          <w:rFonts w:cs="Times New Roman"/>
          <w:lang w:val="en-GB"/>
        </w:rPr>
        <w:t>As AMR is an issue that extends across both human and animal health, the Commission coordinated a ‘One Health’ approach to AAW in November 2013, with collaboration across animal health, agriculture and human health.</w:t>
      </w:r>
    </w:p>
    <w:p w14:paraId="0198CF78" w14:textId="77777777" w:rsidR="00895CD2" w:rsidRDefault="00AD26F3">
      <w:pPr>
        <w:pStyle w:val="2body-copy"/>
        <w:rPr>
          <w:rFonts w:cs="Times New Roman"/>
          <w:lang w:val="en-GB"/>
        </w:rPr>
      </w:pPr>
      <w:r>
        <w:rPr>
          <w:rFonts w:cs="Times New Roman"/>
          <w:lang w:val="en-GB"/>
        </w:rPr>
        <w:t xml:space="preserve">The Commission’s activities targeted hospital-based clinicians and focused on the theme of </w:t>
      </w:r>
      <w:r>
        <w:rPr>
          <w:rStyle w:val="2body-italic"/>
          <w:rFonts w:cs="Times New Roman"/>
          <w:lang w:val="en-GB"/>
        </w:rPr>
        <w:t>No action today, no cure tomorrow</w:t>
      </w:r>
      <w:r>
        <w:rPr>
          <w:rFonts w:cs="Times New Roman"/>
          <w:lang w:val="en-GB"/>
        </w:rPr>
        <w:t xml:space="preserve"> (adapted from WHO work). The Commission developed a range of resources and promotional materials to help health service organisations highlight </w:t>
      </w:r>
    </w:p>
    <w:p w14:paraId="5E5BDCF9" w14:textId="77777777" w:rsidR="00895CD2" w:rsidRDefault="00AD26F3">
      <w:pPr>
        <w:pStyle w:val="2body-copy"/>
        <w:rPr>
          <w:rFonts w:cs="Times New Roman"/>
          <w:lang w:val="en-GB"/>
        </w:rPr>
      </w:pPr>
      <w:proofErr w:type="gramStart"/>
      <w:r>
        <w:rPr>
          <w:rFonts w:cs="Times New Roman"/>
          <w:lang w:val="en-GB"/>
        </w:rPr>
        <w:t>the</w:t>
      </w:r>
      <w:proofErr w:type="gramEnd"/>
      <w:r>
        <w:rPr>
          <w:rFonts w:cs="Times New Roman"/>
          <w:lang w:val="en-GB"/>
        </w:rPr>
        <w:t xml:space="preserve"> problem of AMR and promote the importance of appropriate antibiotic use among staff members.</w:t>
      </w:r>
    </w:p>
    <w:p w14:paraId="05392703" w14:textId="77777777" w:rsidR="00895CD2" w:rsidRDefault="00AD26F3">
      <w:pPr>
        <w:pStyle w:val="2body-copy"/>
        <w:rPr>
          <w:rFonts w:cs="Times New Roman"/>
          <w:lang w:val="en-GB"/>
        </w:rPr>
      </w:pPr>
      <w:r>
        <w:rPr>
          <w:rFonts w:cs="Times New Roman"/>
          <w:lang w:val="en-GB"/>
        </w:rPr>
        <w:t xml:space="preserve">To jointly launch AAW 2013, Australia’s Chief Medical Officer, Professor Chris </w:t>
      </w:r>
      <w:proofErr w:type="spellStart"/>
      <w:r>
        <w:rPr>
          <w:rFonts w:cs="Times New Roman"/>
          <w:lang w:val="en-GB"/>
        </w:rPr>
        <w:t>Baggoley</w:t>
      </w:r>
      <w:proofErr w:type="spellEnd"/>
      <w:r>
        <w:rPr>
          <w:rFonts w:cs="Times New Roman"/>
          <w:lang w:val="en-GB"/>
        </w:rPr>
        <w:t xml:space="preserve">, and Chief Veterinary Officer, Dr Mark </w:t>
      </w:r>
      <w:proofErr w:type="spellStart"/>
      <w:r>
        <w:rPr>
          <w:rFonts w:cs="Times New Roman"/>
          <w:lang w:val="en-GB"/>
        </w:rPr>
        <w:t>Schipp</w:t>
      </w:r>
      <w:proofErr w:type="spellEnd"/>
      <w:r>
        <w:rPr>
          <w:rFonts w:cs="Times New Roman"/>
          <w:lang w:val="en-GB"/>
        </w:rPr>
        <w:t>, were interviewed. They highlighted the importance of responsible antimicrobial use across agriculture, animal health and human health. The interview was promoted via the Commission’s YouTube channel.</w:t>
      </w:r>
    </w:p>
    <w:p w14:paraId="7C9A41E7" w14:textId="77777777" w:rsidR="00895CD2" w:rsidRDefault="00AD26F3">
      <w:pPr>
        <w:pStyle w:val="2body-copy"/>
        <w:rPr>
          <w:rFonts w:cs="Times New Roman"/>
          <w:lang w:val="en-GB"/>
        </w:rPr>
      </w:pPr>
      <w:r>
        <w:rPr>
          <w:rFonts w:cs="Times New Roman"/>
          <w:lang w:val="en-GB"/>
        </w:rPr>
        <w:t xml:space="preserve">To coincide with AAW 2013, Melbourne Health’s National Health and Medical Research Council Antimicrobial Stewardship Research team coordinated the National Antimicrobial Prescribing Survey (NAPS) with support from the Commission. Over 150 health service organisations participated in the NAPS, which provided hospitals with a valuable opportunity to audit their antimicrobial prescribing patterns and identify strengths and opportunities for improvement. </w:t>
      </w:r>
    </w:p>
    <w:p w14:paraId="44DF3460" w14:textId="77777777" w:rsidR="007923D4" w:rsidRDefault="00AD26F3" w:rsidP="00AF5B76">
      <w:pPr>
        <w:pStyle w:val="2body-copy"/>
        <w:rPr>
          <w:rFonts w:cs="Times New Roman"/>
          <w:lang w:val="en-GB"/>
        </w:rPr>
      </w:pPr>
      <w:r>
        <w:rPr>
          <w:rFonts w:cs="Times New Roman"/>
          <w:lang w:val="en-GB"/>
        </w:rPr>
        <w:t xml:space="preserve">As part of AAW 2013, the Commission also published articles and participated in a global Twitter chat to raise the profile of AMR and to promote strategies for dealing with it. </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7709"/>
      </w:tblGrid>
      <w:tr w:rsidR="00895CD2" w14:paraId="2A2280ED" w14:textId="77777777" w:rsidTr="00AD26F3">
        <w:tc>
          <w:tcPr>
            <w:tcW w:w="7709" w:type="dxa"/>
            <w:shd w:val="clear" w:color="auto" w:fill="00837D"/>
            <w:vAlign w:val="center"/>
            <w:hideMark/>
          </w:tcPr>
          <w:p w14:paraId="41E931A6" w14:textId="77777777" w:rsidR="00895CD2" w:rsidRDefault="00AD26F3" w:rsidP="00AD26F3">
            <w:pPr>
              <w:pStyle w:val="3table-header-l"/>
              <w:ind w:right="-2440"/>
              <w:rPr>
                <w:rFonts w:cs="Times New Roman"/>
              </w:rPr>
            </w:pPr>
            <w:r>
              <w:rPr>
                <w:rFonts w:cs="Times New Roman"/>
              </w:rPr>
              <w:t>Key achievements 2013/14</w:t>
            </w:r>
          </w:p>
        </w:tc>
      </w:tr>
      <w:tr w:rsidR="00895CD2" w14:paraId="357DA500" w14:textId="77777777" w:rsidTr="00AD26F3">
        <w:tc>
          <w:tcPr>
            <w:tcW w:w="7709" w:type="dxa"/>
            <w:vAlign w:val="center"/>
            <w:hideMark/>
          </w:tcPr>
          <w:p w14:paraId="08B8D2DA" w14:textId="77777777" w:rsidR="00895CD2" w:rsidRDefault="00AD26F3" w:rsidP="00AD26F3">
            <w:pPr>
              <w:pStyle w:val="2body-copy"/>
              <w:ind w:right="-2440"/>
              <w:rPr>
                <w:rFonts w:cs="Times New Roman"/>
              </w:rPr>
            </w:pPr>
            <w:r>
              <w:rPr>
                <w:rFonts w:cs="Times New Roman"/>
              </w:rPr>
              <w:t>Australian Antibiotic Awareness Week takes a ‘One Health’ approach.</w:t>
            </w:r>
          </w:p>
        </w:tc>
      </w:tr>
      <w:tr w:rsidR="00895CD2" w14:paraId="33DEB347" w14:textId="77777777" w:rsidTr="00AD26F3">
        <w:tc>
          <w:tcPr>
            <w:tcW w:w="7709" w:type="dxa"/>
            <w:vAlign w:val="center"/>
            <w:hideMark/>
          </w:tcPr>
          <w:p w14:paraId="302FC67F" w14:textId="77777777" w:rsidR="00895CD2" w:rsidRDefault="00AD26F3" w:rsidP="00AD26F3">
            <w:pPr>
              <w:pStyle w:val="2body-copy"/>
              <w:ind w:right="-2440"/>
              <w:rPr>
                <w:rFonts w:cs="Times New Roman"/>
              </w:rPr>
            </w:pPr>
            <w:r>
              <w:rPr>
                <w:rFonts w:cs="Times New Roman"/>
              </w:rPr>
              <w:t>The Commission’s AAW web page received 7,910 visits during the campaign period.</w:t>
            </w:r>
          </w:p>
        </w:tc>
      </w:tr>
      <w:tr w:rsidR="00895CD2" w14:paraId="217EFE0B" w14:textId="77777777" w:rsidTr="00AD26F3">
        <w:tc>
          <w:tcPr>
            <w:tcW w:w="7709" w:type="dxa"/>
            <w:vAlign w:val="center"/>
            <w:hideMark/>
          </w:tcPr>
          <w:p w14:paraId="01908D07" w14:textId="77777777" w:rsidR="00895CD2" w:rsidRDefault="00AD26F3" w:rsidP="00AD26F3">
            <w:pPr>
              <w:pStyle w:val="2body-copy"/>
              <w:ind w:right="-2440"/>
              <w:rPr>
                <w:rFonts w:cs="Times New Roman"/>
              </w:rPr>
            </w:pPr>
            <w:r>
              <w:rPr>
                <w:rFonts w:cs="Times New Roman"/>
              </w:rPr>
              <w:t>AAW posters were downloaded 1,194 times.</w:t>
            </w:r>
          </w:p>
        </w:tc>
      </w:tr>
      <w:tr w:rsidR="00895CD2" w14:paraId="208784FA" w14:textId="77777777" w:rsidTr="00AD26F3">
        <w:tc>
          <w:tcPr>
            <w:tcW w:w="7709" w:type="dxa"/>
            <w:vAlign w:val="center"/>
            <w:hideMark/>
          </w:tcPr>
          <w:p w14:paraId="1FE49DD4" w14:textId="77777777" w:rsidR="00895CD2" w:rsidRDefault="00AD26F3" w:rsidP="00AD26F3">
            <w:pPr>
              <w:pStyle w:val="2body-copy"/>
              <w:ind w:right="-2440"/>
              <w:rPr>
                <w:rFonts w:cs="Times New Roman"/>
              </w:rPr>
            </w:pPr>
            <w:r>
              <w:rPr>
                <w:rFonts w:cs="Times New Roman"/>
              </w:rPr>
              <w:t>150 hospitals participated in the National Antimicrobial Prescribing Survey.</w:t>
            </w:r>
          </w:p>
        </w:tc>
      </w:tr>
    </w:tbl>
    <w:p w14:paraId="0A053A6F" w14:textId="77777777" w:rsidR="00AF5B76" w:rsidRDefault="00AF5B76">
      <w:pPr>
        <w:pStyle w:val="1heading-level-3"/>
        <w:rPr>
          <w:rFonts w:cs="Times New Roman"/>
          <w:lang w:val="en-GB"/>
        </w:rPr>
      </w:pPr>
    </w:p>
    <w:p w14:paraId="059F7AB9" w14:textId="77777777" w:rsidR="00AF5B76" w:rsidRDefault="00AF5B76">
      <w:pPr>
        <w:spacing w:after="0"/>
        <w:rPr>
          <w:rFonts w:cs="Times New Roman"/>
          <w:b/>
          <w:bCs/>
          <w:color w:val="5F605F"/>
          <w:sz w:val="24"/>
          <w:szCs w:val="24"/>
          <w:lang w:val="en-GB"/>
        </w:rPr>
      </w:pPr>
      <w:r>
        <w:rPr>
          <w:rFonts w:cs="Times New Roman"/>
          <w:lang w:val="en-GB"/>
        </w:rPr>
        <w:br w:type="page"/>
      </w:r>
    </w:p>
    <w:p w14:paraId="5233C47D" w14:textId="77777777" w:rsidR="00895CD2" w:rsidRDefault="00AD26F3">
      <w:pPr>
        <w:pStyle w:val="1heading-level-3"/>
        <w:rPr>
          <w:rFonts w:cs="Times New Roman"/>
          <w:lang w:val="en-GB"/>
        </w:rPr>
      </w:pPr>
      <w:r>
        <w:rPr>
          <w:rFonts w:cs="Times New Roman"/>
          <w:lang w:val="en-GB"/>
        </w:rPr>
        <w:lastRenderedPageBreak/>
        <w:t>Multi-drug resistant gram-negative guidance</w:t>
      </w:r>
    </w:p>
    <w:p w14:paraId="2705D73A" w14:textId="77777777" w:rsidR="00895CD2" w:rsidRDefault="00AD26F3">
      <w:pPr>
        <w:pStyle w:val="2body-copy"/>
        <w:rPr>
          <w:rFonts w:cs="Times New Roman"/>
          <w:lang w:val="en-GB"/>
        </w:rPr>
      </w:pPr>
      <w:r>
        <w:rPr>
          <w:rFonts w:cs="Times New Roman"/>
          <w:lang w:val="en-GB"/>
        </w:rPr>
        <w:t xml:space="preserve">An emerging threat worldwide is gram-negative bacteria, which have developed high levels of resistance to a wide range of antibiotics. Of particular concern are a group of organisms called </w:t>
      </w:r>
      <w:proofErr w:type="spellStart"/>
      <w:r>
        <w:rPr>
          <w:rFonts w:cs="Times New Roman"/>
          <w:lang w:val="en-GB"/>
        </w:rPr>
        <w:t>carbapenem</w:t>
      </w:r>
      <w:proofErr w:type="spellEnd"/>
      <w:r>
        <w:rPr>
          <w:rFonts w:cs="Times New Roman"/>
          <w:lang w:val="en-GB"/>
        </w:rPr>
        <w:t xml:space="preserve">-resistant </w:t>
      </w:r>
      <w:proofErr w:type="spellStart"/>
      <w:r>
        <w:rPr>
          <w:rFonts w:cs="Times New Roman"/>
          <w:lang w:val="en-GB"/>
        </w:rPr>
        <w:t>enterobacteriaceae</w:t>
      </w:r>
      <w:proofErr w:type="spellEnd"/>
      <w:r>
        <w:rPr>
          <w:rFonts w:cs="Times New Roman"/>
          <w:lang w:val="en-GB"/>
        </w:rPr>
        <w:t xml:space="preserve"> (CRE). These bacteria have been a major cause of illness and death in a number of countries, and there are early signs of their emergence and spread in Australia.</w:t>
      </w:r>
    </w:p>
    <w:p w14:paraId="261E85C4" w14:textId="77777777" w:rsidR="00895CD2" w:rsidRDefault="00AD26F3">
      <w:pPr>
        <w:pStyle w:val="2body-copy"/>
        <w:rPr>
          <w:rFonts w:cs="Times New Roman"/>
          <w:lang w:val="en-GB"/>
        </w:rPr>
      </w:pPr>
      <w:r>
        <w:rPr>
          <w:rFonts w:cs="Times New Roman"/>
          <w:lang w:val="en-GB"/>
        </w:rPr>
        <w:t>CRE place patients at greater risk of potentially untreatable infection following invasive procedures or other components of modern hospital care. Patients in residential care are also potentially at increased risk.</w:t>
      </w:r>
    </w:p>
    <w:p w14:paraId="7BFE84CB" w14:textId="77777777" w:rsidR="00895CD2" w:rsidRDefault="00AD26F3">
      <w:pPr>
        <w:pStyle w:val="2body-copy"/>
        <w:rPr>
          <w:rFonts w:cs="Times New Roman"/>
          <w:lang w:val="en-GB"/>
        </w:rPr>
      </w:pPr>
      <w:r>
        <w:rPr>
          <w:rFonts w:cs="Times New Roman"/>
          <w:lang w:val="en-GB"/>
        </w:rPr>
        <w:t xml:space="preserve">To assist health service organisations in the prevention and containment of this group of bacteria, the Commission, in consultation with professional organisations and colleges, finalised the </w:t>
      </w:r>
      <w:r>
        <w:rPr>
          <w:rStyle w:val="2body-italic"/>
          <w:rFonts w:cs="Times New Roman"/>
          <w:lang w:val="en-GB"/>
        </w:rPr>
        <w:t xml:space="preserve">Recommendations for the control of Multi-drug resistant Gram-negatives: </w:t>
      </w:r>
      <w:proofErr w:type="spellStart"/>
      <w:r>
        <w:rPr>
          <w:rStyle w:val="2body-italic"/>
          <w:rFonts w:cs="Times New Roman"/>
          <w:lang w:val="en-GB"/>
        </w:rPr>
        <w:t>carbapenem</w:t>
      </w:r>
      <w:proofErr w:type="spellEnd"/>
      <w:r>
        <w:rPr>
          <w:rStyle w:val="2body-italic"/>
          <w:rFonts w:cs="Times New Roman"/>
          <w:lang w:val="en-GB"/>
        </w:rPr>
        <w:t xml:space="preserve"> resistant </w:t>
      </w:r>
      <w:proofErr w:type="spellStart"/>
      <w:r>
        <w:rPr>
          <w:rStyle w:val="2body-italic"/>
          <w:rFonts w:cs="Times New Roman"/>
          <w:lang w:val="en-GB"/>
        </w:rPr>
        <w:t>Enterobacteriaceae</w:t>
      </w:r>
      <w:proofErr w:type="spellEnd"/>
      <w:r>
        <w:rPr>
          <w:rFonts w:cs="Times New Roman"/>
          <w:lang w:val="en-GB"/>
        </w:rPr>
        <w:t xml:space="preserve"> report. Their purpose is to alert healthcare professionals and communities to the emerging threat represented by CRE in Australia and provide recommendations and resources to assist healthcare professionals in preventing, detecting and containing CRE. </w:t>
      </w:r>
    </w:p>
    <w:p w14:paraId="6E3962B8" w14:textId="77777777" w:rsidR="00895CD2" w:rsidRDefault="00AD26F3">
      <w:pPr>
        <w:pStyle w:val="2body-copy"/>
        <w:rPr>
          <w:rFonts w:cs="Times New Roman"/>
          <w:lang w:val="en-GB"/>
        </w:rPr>
      </w:pPr>
      <w:r>
        <w:rPr>
          <w:rFonts w:cs="Times New Roman"/>
          <w:lang w:val="en-GB"/>
        </w:rPr>
        <w:t>In December 2013, the recommendations were issued to all hospitals in Australia, as well as state and territory health departments, for use at the local level.</w:t>
      </w:r>
    </w:p>
    <w:p w14:paraId="2A8D1A2A" w14:textId="77777777" w:rsidR="00895CD2" w:rsidRDefault="00AD26F3">
      <w:pPr>
        <w:pStyle w:val="1heading-level-2"/>
        <w:rPr>
          <w:rFonts w:cs="Times New Roman"/>
          <w:lang w:val="en-GB"/>
        </w:rPr>
      </w:pPr>
      <w:r>
        <w:rPr>
          <w:rFonts w:cs="Times New Roman"/>
          <w:lang w:val="en-GB"/>
        </w:rPr>
        <w:t>Antimicrobial utilisation and resistance</w:t>
      </w:r>
    </w:p>
    <w:p w14:paraId="023197B3" w14:textId="77777777" w:rsidR="00895CD2" w:rsidRDefault="00AD26F3">
      <w:pPr>
        <w:pStyle w:val="2body-copy"/>
        <w:rPr>
          <w:rFonts w:cs="Times New Roman"/>
          <w:lang w:val="en-GB"/>
        </w:rPr>
      </w:pPr>
      <w:r>
        <w:rPr>
          <w:rFonts w:cs="Times New Roman"/>
          <w:lang w:val="en-GB"/>
        </w:rPr>
        <w:t>The Commission was engaged by the Department of Health to develop a national antimicrobial utilisation and resistance surveillance system – the AURA Surveillance Project – as the platform for quantifying the AMR problem and informing interventions to reduce its prevalence and impact. The AURA Surveillance Project commenced in December 2013 with the establishment of an AMR surveillance coordination unit within the Commission. Professor John Turnidge joined the Commission in February 2014 to provide dedicated clinical leadership and advice to the project.</w:t>
      </w:r>
    </w:p>
    <w:p w14:paraId="43956AB8" w14:textId="77777777" w:rsidR="00895CD2" w:rsidRDefault="00AD26F3">
      <w:pPr>
        <w:pStyle w:val="2body-copy"/>
        <w:rPr>
          <w:rFonts w:cs="Times New Roman"/>
          <w:lang w:val="en-GB"/>
        </w:rPr>
      </w:pPr>
      <w:r>
        <w:rPr>
          <w:rFonts w:cs="Times New Roman"/>
          <w:lang w:val="en-GB"/>
        </w:rPr>
        <w:t xml:space="preserve">The Commission’s work builds on many achievements to date and will continue to use the technical and clinical advisory expertise available through its existing committees. In addition, the Commission has been working with Australian Government agencies, state and territory government bodies, professional organisations, the private healthcare sector and key experts to establish the nationally coordinated AMR and antimicrobial utilisation (AU) surveillance system. A number of preliminary steps are required to ensure the system is well defined and does not unnecessarily duplicate existing systems. </w:t>
      </w:r>
    </w:p>
    <w:p w14:paraId="562BF3A1" w14:textId="77777777" w:rsidR="00895CD2" w:rsidRDefault="00AD26F3">
      <w:pPr>
        <w:pStyle w:val="2body-copy"/>
        <w:rPr>
          <w:rFonts w:cs="Times New Roman"/>
          <w:lang w:val="en-GB"/>
        </w:rPr>
      </w:pPr>
      <w:r>
        <w:rPr>
          <w:rFonts w:cs="Times New Roman"/>
          <w:lang w:val="en-GB"/>
        </w:rPr>
        <w:t>In the first half of 2014, the Commission commenced its first three pieces of work for the AURA Project:</w:t>
      </w:r>
    </w:p>
    <w:p w14:paraId="6F2E4FB6" w14:textId="77777777" w:rsidR="00895CD2" w:rsidRDefault="00AD26F3" w:rsidP="007923D4">
      <w:pPr>
        <w:pStyle w:val="bullet"/>
      </w:pPr>
      <w:r>
        <w:t xml:space="preserve">The </w:t>
      </w:r>
      <w:r>
        <w:rPr>
          <w:rStyle w:val="2body-italic"/>
        </w:rPr>
        <w:t>Preliminary Report on AMR and AU Surveillance in Australia</w:t>
      </w:r>
      <w:r>
        <w:t xml:space="preserve"> is a contemporary assessment of both AMR and AU in Australia, based on the analysis of data sets, literature, reports and other information currently available.</w:t>
      </w:r>
    </w:p>
    <w:p w14:paraId="5EB4EC5B" w14:textId="77777777" w:rsidR="00895CD2" w:rsidRDefault="00AD26F3" w:rsidP="007923D4">
      <w:pPr>
        <w:pStyle w:val="bullet"/>
      </w:pPr>
      <w:r>
        <w:t>A</w:t>
      </w:r>
      <w:r>
        <w:rPr>
          <w:rStyle w:val="2body-italic"/>
        </w:rPr>
        <w:t xml:space="preserve"> Scoping Study Report on AMR and AU Surveillance </w:t>
      </w:r>
      <w:r>
        <w:t xml:space="preserve">analyses current procedures, laboratory and pharmacy systems, surveillance reporting systems, and data for AMR and AU to determine gaps and propose ways of enhancing, expanding and integrating surveillance systems. </w:t>
      </w:r>
    </w:p>
    <w:p w14:paraId="5DDC46FC" w14:textId="77777777" w:rsidR="00895CD2" w:rsidRDefault="00AD26F3" w:rsidP="007923D4">
      <w:pPr>
        <w:pStyle w:val="bullet"/>
      </w:pPr>
      <w:r>
        <w:t>A feasibility study aimed at assessing the potential to use existing passive resistance surveillance systems will serve as an initial platform for a national passive surveillance system.</w:t>
      </w:r>
    </w:p>
    <w:p w14:paraId="669C08E9" w14:textId="77777777" w:rsidR="00895CD2" w:rsidRDefault="00AD26F3">
      <w:pPr>
        <w:pStyle w:val="2body-copy"/>
        <w:rPr>
          <w:rFonts w:cs="Times New Roman"/>
          <w:lang w:val="en-GB"/>
        </w:rPr>
      </w:pPr>
      <w:r>
        <w:rPr>
          <w:rFonts w:cs="Times New Roman"/>
          <w:lang w:val="en-GB"/>
        </w:rPr>
        <w:t>The Commission will continue to build the national AMR and AU surveillance system through to 2015/16.</w:t>
      </w:r>
    </w:p>
    <w:p w14:paraId="0B0ECAE8" w14:textId="77777777" w:rsidR="00895CD2" w:rsidRDefault="00AD26F3">
      <w:pPr>
        <w:pStyle w:val="1heading-level-2"/>
        <w:rPr>
          <w:rFonts w:cs="Times New Roman"/>
          <w:lang w:val="en-GB"/>
        </w:rPr>
      </w:pPr>
      <w:r>
        <w:rPr>
          <w:rFonts w:cs="Times New Roman"/>
          <w:lang w:val="en-GB"/>
        </w:rPr>
        <w:t xml:space="preserve">A national standard for hospital cumulative </w:t>
      </w:r>
      <w:proofErr w:type="spellStart"/>
      <w:r>
        <w:rPr>
          <w:rFonts w:cs="Times New Roman"/>
          <w:lang w:val="en-GB"/>
        </w:rPr>
        <w:t>antibiograms</w:t>
      </w:r>
      <w:proofErr w:type="spellEnd"/>
    </w:p>
    <w:p w14:paraId="518AEE36" w14:textId="77777777" w:rsidR="00895CD2" w:rsidRDefault="00AD26F3">
      <w:pPr>
        <w:pStyle w:val="2body-copy"/>
        <w:rPr>
          <w:rFonts w:cs="Times New Roman"/>
          <w:lang w:val="en-GB"/>
        </w:rPr>
      </w:pPr>
      <w:r>
        <w:rPr>
          <w:rFonts w:cs="Times New Roman"/>
          <w:lang w:val="en-GB"/>
        </w:rPr>
        <w:t xml:space="preserve">Efforts by the Commission to reduce the inappropriate use of antimicrobials that lead to the emergence of resistant bacteria have been supported by the development of a standard for cumulative </w:t>
      </w:r>
      <w:proofErr w:type="spellStart"/>
      <w:r>
        <w:rPr>
          <w:rFonts w:cs="Times New Roman"/>
          <w:lang w:val="en-GB"/>
        </w:rPr>
        <w:t>antibiograms</w:t>
      </w:r>
      <w:proofErr w:type="spellEnd"/>
      <w:r>
        <w:rPr>
          <w:rFonts w:cs="Times New Roman"/>
          <w:lang w:val="en-GB"/>
        </w:rPr>
        <w:t xml:space="preserve">. The NSQHS Standard 3: Antimicrobial Stewardship requires health services to monitor resistance to antibiotics. Microbiology laboratories produce antimicrobial susceptibility summary tables, known as cumulative </w:t>
      </w:r>
      <w:proofErr w:type="spellStart"/>
      <w:r>
        <w:rPr>
          <w:rFonts w:cs="Times New Roman"/>
          <w:lang w:val="en-GB"/>
        </w:rPr>
        <w:t>antibiograms</w:t>
      </w:r>
      <w:proofErr w:type="spellEnd"/>
      <w:r>
        <w:rPr>
          <w:rFonts w:cs="Times New Roman"/>
          <w:lang w:val="en-GB"/>
        </w:rPr>
        <w:t xml:space="preserve">, to inform the prescribing of antimicrobials as part of antimicrobial stewardship. </w:t>
      </w:r>
    </w:p>
    <w:p w14:paraId="59E175D7" w14:textId="77777777" w:rsidR="00895CD2" w:rsidRDefault="00AD26F3">
      <w:pPr>
        <w:pStyle w:val="2body-copy"/>
        <w:rPr>
          <w:rFonts w:cs="Times New Roman"/>
          <w:lang w:val="en-GB"/>
        </w:rPr>
      </w:pPr>
      <w:r>
        <w:rPr>
          <w:rFonts w:cs="Times New Roman"/>
          <w:lang w:val="en-GB"/>
        </w:rPr>
        <w:t xml:space="preserve">In September 2012, the Commission initiated this work through the development of a standard approach to testing antimicrobial susceptibility, and cumulative analysis and reporting of </w:t>
      </w:r>
      <w:proofErr w:type="spellStart"/>
      <w:r>
        <w:rPr>
          <w:rFonts w:cs="Times New Roman"/>
          <w:lang w:val="en-GB"/>
        </w:rPr>
        <w:t>antibiograms</w:t>
      </w:r>
      <w:proofErr w:type="spellEnd"/>
      <w:r>
        <w:rPr>
          <w:rFonts w:cs="Times New Roman"/>
          <w:lang w:val="en-GB"/>
        </w:rPr>
        <w:t>. The intent was to provide a minimum specification for hospital-level monitoring of antimicrobial susceptibility in patients with infections.</w:t>
      </w:r>
    </w:p>
    <w:p w14:paraId="3972AC59" w14:textId="77777777" w:rsidR="00895CD2" w:rsidRDefault="00AD26F3">
      <w:pPr>
        <w:pStyle w:val="2body-copy"/>
        <w:rPr>
          <w:rFonts w:cs="Times New Roman"/>
          <w:lang w:val="en-GB"/>
        </w:rPr>
      </w:pPr>
      <w:r>
        <w:rPr>
          <w:rFonts w:cs="Times New Roman"/>
          <w:lang w:val="en-GB"/>
        </w:rPr>
        <w:t xml:space="preserve">A working group of clinical experts, informed by expert roundtable discussions, developed the </w:t>
      </w:r>
      <w:r>
        <w:rPr>
          <w:rStyle w:val="2body-italic"/>
          <w:rFonts w:cs="Times New Roman"/>
          <w:lang w:val="en-GB"/>
        </w:rPr>
        <w:t xml:space="preserve">Specification for a Hospital-Level Cumulative </w:t>
      </w:r>
      <w:proofErr w:type="spellStart"/>
      <w:r>
        <w:rPr>
          <w:rStyle w:val="2body-italic"/>
          <w:rFonts w:cs="Times New Roman"/>
          <w:lang w:val="en-GB"/>
        </w:rPr>
        <w:t>Antibiogram</w:t>
      </w:r>
      <w:proofErr w:type="spellEnd"/>
      <w:r>
        <w:rPr>
          <w:rFonts w:cs="Times New Roman"/>
          <w:lang w:val="en-GB"/>
        </w:rPr>
        <w:t xml:space="preserve">. The specification was published in October 2013 following endorsement </w:t>
      </w:r>
      <w:r>
        <w:rPr>
          <w:rFonts w:cs="Times New Roman"/>
          <w:lang w:val="en-GB"/>
        </w:rPr>
        <w:lastRenderedPageBreak/>
        <w:t xml:space="preserve">from state and territory jurisdictions. It recommends an </w:t>
      </w:r>
      <w:proofErr w:type="spellStart"/>
      <w:r>
        <w:rPr>
          <w:rFonts w:cs="Times New Roman"/>
          <w:lang w:val="en-GB"/>
        </w:rPr>
        <w:t>antibiogram</w:t>
      </w:r>
      <w:proofErr w:type="spellEnd"/>
      <w:r>
        <w:rPr>
          <w:rFonts w:cs="Times New Roman"/>
          <w:lang w:val="en-GB"/>
        </w:rPr>
        <w:t xml:space="preserve"> be produced each calendar year for hospitals or hospital networks.</w:t>
      </w:r>
    </w:p>
    <w:tbl>
      <w:tblPr>
        <w:tblW w:w="0" w:type="auto"/>
        <w:tblBorders>
          <w:left w:val="dotted" w:sz="8" w:space="0" w:color="00837D"/>
          <w:bottom w:val="dotted" w:sz="8" w:space="0" w:color="00837D"/>
          <w:right w:val="dotted" w:sz="8" w:space="0" w:color="00837D"/>
          <w:insideH w:val="dotted" w:sz="8" w:space="0" w:color="00837D"/>
        </w:tblBorders>
        <w:tblCellMar>
          <w:top w:w="113" w:type="dxa"/>
          <w:left w:w="113" w:type="dxa"/>
          <w:bottom w:w="113" w:type="dxa"/>
          <w:right w:w="113" w:type="dxa"/>
        </w:tblCellMar>
        <w:tblLook w:val="04A0" w:firstRow="1" w:lastRow="0" w:firstColumn="1" w:lastColumn="0" w:noHBand="0" w:noVBand="1"/>
      </w:tblPr>
      <w:tblGrid>
        <w:gridCol w:w="10036"/>
      </w:tblGrid>
      <w:tr w:rsidR="00895CD2" w14:paraId="6B12CFD0" w14:textId="77777777" w:rsidTr="00AD26F3">
        <w:tc>
          <w:tcPr>
            <w:tcW w:w="10036" w:type="dxa"/>
            <w:shd w:val="clear" w:color="auto" w:fill="00837D"/>
            <w:vAlign w:val="center"/>
            <w:hideMark/>
          </w:tcPr>
          <w:p w14:paraId="7F4A93BE" w14:textId="77777777" w:rsidR="00895CD2" w:rsidRDefault="00AD26F3">
            <w:pPr>
              <w:pStyle w:val="3table-header-l"/>
              <w:rPr>
                <w:rFonts w:cs="Times New Roman"/>
              </w:rPr>
            </w:pPr>
            <w:r>
              <w:rPr>
                <w:rFonts w:cs="Times New Roman"/>
              </w:rPr>
              <w:t>Key achievements 2013/14</w:t>
            </w:r>
          </w:p>
        </w:tc>
      </w:tr>
      <w:tr w:rsidR="00895CD2" w14:paraId="6E3AD66E" w14:textId="77777777" w:rsidTr="00AD26F3">
        <w:trPr>
          <w:trHeight w:val="255"/>
        </w:trPr>
        <w:tc>
          <w:tcPr>
            <w:tcW w:w="10036" w:type="dxa"/>
            <w:vAlign w:val="center"/>
            <w:hideMark/>
          </w:tcPr>
          <w:p w14:paraId="4BBB5F10" w14:textId="77777777" w:rsidR="00895CD2" w:rsidRDefault="00AD26F3">
            <w:pPr>
              <w:pStyle w:val="2body-copy"/>
              <w:rPr>
                <w:rFonts w:cs="Times New Roman"/>
              </w:rPr>
            </w:pPr>
            <w:r>
              <w:rPr>
                <w:rStyle w:val="2body-italic"/>
                <w:rFonts w:cs="Times New Roman"/>
              </w:rPr>
              <w:t xml:space="preserve">Specification for a Hospital-Level Cumulative </w:t>
            </w:r>
            <w:proofErr w:type="spellStart"/>
            <w:r>
              <w:rPr>
                <w:rStyle w:val="2body-italic"/>
                <w:rFonts w:cs="Times New Roman"/>
              </w:rPr>
              <w:t>Antibiogram</w:t>
            </w:r>
            <w:proofErr w:type="spellEnd"/>
            <w:r>
              <w:rPr>
                <w:rFonts w:cs="Times New Roman"/>
              </w:rPr>
              <w:t xml:space="preserve"> was endorsed by jurisdictions.</w:t>
            </w:r>
          </w:p>
        </w:tc>
      </w:tr>
    </w:tbl>
    <w:p w14:paraId="62413032" w14:textId="77777777" w:rsidR="00895CD2" w:rsidRDefault="00AD26F3" w:rsidP="00093444">
      <w:pPr>
        <w:pStyle w:val="Heading2"/>
        <w:rPr>
          <w:lang w:val="en-GB"/>
        </w:rPr>
      </w:pPr>
      <w:bookmarkStart w:id="18" w:name="_Toc414011876"/>
      <w:r>
        <w:rPr>
          <w:lang w:val="en-GB"/>
        </w:rPr>
        <w:t>Data set development</w:t>
      </w:r>
      <w:bookmarkEnd w:id="18"/>
    </w:p>
    <w:p w14:paraId="79E2E047" w14:textId="77777777" w:rsidR="00895CD2" w:rsidRDefault="00AD26F3">
      <w:pPr>
        <w:pStyle w:val="2body-copy"/>
        <w:rPr>
          <w:rFonts w:cs="Times New Roman"/>
          <w:lang w:val="en-GB"/>
        </w:rPr>
      </w:pPr>
      <w:r>
        <w:rPr>
          <w:rFonts w:cs="Times New Roman"/>
          <w:lang w:val="en-GB"/>
        </w:rPr>
        <w:t xml:space="preserve">The Commission is required to formulate indicators under </w:t>
      </w:r>
      <w:r>
        <w:rPr>
          <w:rStyle w:val="charoverride-1"/>
          <w:rFonts w:cs="Times New Roman"/>
          <w:lang w:val="en-GB"/>
        </w:rPr>
        <w:t>The National Health Reform Act 2011</w:t>
      </w:r>
      <w:r>
        <w:rPr>
          <w:rFonts w:cs="Times New Roman"/>
          <w:lang w:val="en-GB"/>
        </w:rPr>
        <w:t xml:space="preserve"> and to recommend datasets that will assist the improvement of safety and quality under the National Health Reform Agreement.</w:t>
      </w:r>
    </w:p>
    <w:p w14:paraId="0FC2F623" w14:textId="77777777" w:rsidR="00895CD2" w:rsidRDefault="00AD26F3">
      <w:pPr>
        <w:pStyle w:val="2body-copy"/>
        <w:rPr>
          <w:rFonts w:cs="Times New Roman"/>
          <w:lang w:val="en-GB"/>
        </w:rPr>
      </w:pPr>
      <w:r>
        <w:rPr>
          <w:rFonts w:cs="Times New Roman"/>
          <w:lang w:val="en-GB"/>
        </w:rPr>
        <w:t>During 2013/14, the Commission continued to develop core, hospital-based outcome indicators and hospital mortality indicators to underpin a national model for reporting on patient safety in hospitals.</w:t>
      </w:r>
    </w:p>
    <w:p w14:paraId="45695762" w14:textId="77777777" w:rsidR="00895CD2" w:rsidRDefault="00AD26F3">
      <w:pPr>
        <w:pStyle w:val="2body-copy"/>
        <w:rPr>
          <w:rFonts w:cs="Times New Roman"/>
          <w:lang w:val="en-GB"/>
        </w:rPr>
      </w:pPr>
      <w:r>
        <w:rPr>
          <w:rFonts w:cs="Times New Roman"/>
          <w:lang w:val="en-GB"/>
        </w:rPr>
        <w:t xml:space="preserve">The Commission has also been progressing health information strategies to create a national standard for hospital-cumulative </w:t>
      </w:r>
      <w:proofErr w:type="spellStart"/>
      <w:r>
        <w:rPr>
          <w:rFonts w:cs="Times New Roman"/>
          <w:lang w:val="en-GB"/>
        </w:rPr>
        <w:t>antibiograms</w:t>
      </w:r>
      <w:proofErr w:type="spellEnd"/>
      <w:r>
        <w:rPr>
          <w:rFonts w:cs="Times New Roman"/>
          <w:lang w:val="en-GB"/>
        </w:rPr>
        <w:t xml:space="preserve"> and a national set of core, common patient experience questions for hospitals. These projects feed into the Commission’s broader work programs, such as the NSQHS Standards.</w:t>
      </w:r>
    </w:p>
    <w:p w14:paraId="754A2D0E" w14:textId="77777777" w:rsidR="00895CD2" w:rsidRDefault="00AD26F3">
      <w:pPr>
        <w:pStyle w:val="2body-copy"/>
        <w:rPr>
          <w:rFonts w:cs="Times New Roman"/>
          <w:lang w:val="en-GB"/>
        </w:rPr>
      </w:pPr>
      <w:r>
        <w:rPr>
          <w:rFonts w:cs="Times New Roman"/>
          <w:lang w:val="en-GB"/>
        </w:rPr>
        <w:t>In 2013/14, the Commission also started a project addressing issues with the reporting of maternal sentinel events and post-partum haemorrhage.</w:t>
      </w:r>
    </w:p>
    <w:p w14:paraId="39AF65DA" w14:textId="77777777" w:rsidR="00895CD2" w:rsidRDefault="00AD26F3">
      <w:pPr>
        <w:pStyle w:val="2pull-out"/>
        <w:rPr>
          <w:rFonts w:cs="Times New Roman"/>
          <w:lang w:val="en-GB"/>
        </w:rPr>
      </w:pPr>
      <w:r>
        <w:rPr>
          <w:rFonts w:cs="Times New Roman"/>
          <w:lang w:val="en-GB"/>
        </w:rPr>
        <w:t xml:space="preserve">The Commission has developed a data plan for 2014–17 to underpin its work plan and articulate its data functions with reference to the </w:t>
      </w:r>
      <w:r>
        <w:rPr>
          <w:rStyle w:val="charoverride-1"/>
          <w:rFonts w:cs="Times New Roman"/>
          <w:lang w:val="en-GB"/>
        </w:rPr>
        <w:t>National Health Reform Act 2011</w:t>
      </w:r>
      <w:r>
        <w:rPr>
          <w:rFonts w:cs="Times New Roman"/>
          <w:lang w:val="en-GB"/>
        </w:rPr>
        <w:t xml:space="preserve"> and National Health Reform Agreement. These include indicator formulation, dataset specification, and the analysis and interpretation of heath datasets to report on the state of</w:t>
      </w:r>
      <w:r>
        <w:rPr>
          <w:rStyle w:val="charoverride-24"/>
          <w:rFonts w:cs="Times New Roman"/>
          <w:lang w:val="en-GB"/>
        </w:rPr>
        <w:t> </w:t>
      </w:r>
      <w:r>
        <w:rPr>
          <w:rFonts w:cs="Times New Roman"/>
          <w:lang w:val="en-GB"/>
        </w:rPr>
        <w:t>safety and quality in Australian</w:t>
      </w:r>
      <w:r>
        <w:rPr>
          <w:rStyle w:val="charoverride-24"/>
          <w:rFonts w:cs="Times New Roman"/>
          <w:lang w:val="en-GB"/>
        </w:rPr>
        <w:t> </w:t>
      </w:r>
      <w:r>
        <w:rPr>
          <w:rFonts w:cs="Times New Roman"/>
          <w:lang w:val="en-GB"/>
        </w:rPr>
        <w:t>health care.</w:t>
      </w:r>
    </w:p>
    <w:p w14:paraId="18E3281A" w14:textId="77777777" w:rsidR="00895CD2" w:rsidRDefault="00AD26F3">
      <w:pPr>
        <w:pStyle w:val="1heading-level-2"/>
        <w:rPr>
          <w:rFonts w:cs="Times New Roman"/>
          <w:lang w:val="en-GB"/>
        </w:rPr>
      </w:pPr>
      <w:r>
        <w:rPr>
          <w:rFonts w:cs="Times New Roman"/>
          <w:lang w:val="en-GB"/>
        </w:rPr>
        <w:t>Core, hospital-based outcome indicators and hospital mortality indicators</w:t>
      </w:r>
    </w:p>
    <w:p w14:paraId="5D8620FF" w14:textId="77777777" w:rsidR="00895CD2" w:rsidRDefault="00AD26F3">
      <w:pPr>
        <w:pStyle w:val="2body-copy"/>
        <w:rPr>
          <w:rFonts w:cs="Times New Roman"/>
          <w:lang w:val="en-GB"/>
        </w:rPr>
      </w:pPr>
      <w:r>
        <w:rPr>
          <w:rFonts w:cs="Times New Roman"/>
          <w:lang w:val="en-GB"/>
        </w:rPr>
        <w:t>The provision of clinical indicators to hospital managers and clinical groups is an essential element of quality improvement. When hospitals regularly monitor and review a set of outcome-based indicators, significant variance in the results can draw attention to quality-of-care issues.</w:t>
      </w:r>
    </w:p>
    <w:p w14:paraId="7DACAF46" w14:textId="77777777" w:rsidR="00895CD2" w:rsidRDefault="00AD26F3">
      <w:pPr>
        <w:pStyle w:val="2body-copy"/>
        <w:rPr>
          <w:rFonts w:cs="Times New Roman"/>
          <w:lang w:val="en-GB"/>
        </w:rPr>
      </w:pPr>
      <w:r>
        <w:rPr>
          <w:rFonts w:cs="Times New Roman"/>
          <w:lang w:val="en-GB"/>
        </w:rPr>
        <w:t xml:space="preserve">During 2013/14, the Commission maintained and developed the use of locally generated hospital mortality indicators with support from the National Core Indicators Working Party (CIWP). The CIWP has worked with the private and public sectors to develop and refine a toolkit for a core hospital-based outcome indicator suite, comprising hospital mortality measures, re-admission rates and infection rates. </w:t>
      </w:r>
    </w:p>
    <w:p w14:paraId="64CD0C0F" w14:textId="77777777" w:rsidR="00895CD2" w:rsidRDefault="00AD26F3">
      <w:pPr>
        <w:pStyle w:val="2body-copy"/>
        <w:rPr>
          <w:rFonts w:cs="Times New Roman"/>
          <w:lang w:val="en-GB"/>
        </w:rPr>
      </w:pPr>
      <w:r>
        <w:rPr>
          <w:rFonts w:cs="Times New Roman"/>
          <w:lang w:val="en-GB"/>
        </w:rPr>
        <w:t>The toolkit allows state and territory jurisdictions and private ownership groups to routinely review hospital mortality indicators adjusted for each hospital’s patient population (or </w:t>
      </w:r>
      <w:proofErr w:type="spellStart"/>
      <w:r>
        <w:rPr>
          <w:rFonts w:cs="Times New Roman"/>
          <w:lang w:val="en-GB"/>
        </w:rPr>
        <w:t>casemix</w:t>
      </w:r>
      <w:proofErr w:type="spellEnd"/>
      <w:r>
        <w:rPr>
          <w:rFonts w:cs="Times New Roman"/>
          <w:lang w:val="en-GB"/>
        </w:rPr>
        <w:t xml:space="preserve">), and reference each hospital’s mortality measures within the range of national results. </w:t>
      </w:r>
    </w:p>
    <w:p w14:paraId="29549090" w14:textId="77777777" w:rsidR="00895CD2" w:rsidRDefault="00AD26F3">
      <w:pPr>
        <w:pStyle w:val="2body-copy"/>
        <w:rPr>
          <w:rFonts w:cs="Times New Roman"/>
          <w:lang w:val="en-GB"/>
        </w:rPr>
      </w:pPr>
      <w:r>
        <w:rPr>
          <w:rFonts w:cs="Times New Roman"/>
          <w:lang w:val="en-GB"/>
        </w:rPr>
        <w:t>In June 2013, the Commission convened a Hospital Mortality Indicator Advisory Group (HMI Advisory Group) to evaluate the usefulness and limitations of hospital mortality indicators. The HMI Advisory Group recommended that the Commission continue to maintain and refine the hospital mortality indicators in close consultation with jurisdictions and experts; continue to monitor and review hospital mortality measurement and review literature; and prepare a guide to assist hospital CEOs and boards with using HMIs.</w:t>
      </w:r>
    </w:p>
    <w:p w14:paraId="2C3ABA7B" w14:textId="77777777" w:rsidR="00895CD2" w:rsidRDefault="00AD26F3">
      <w:pPr>
        <w:pStyle w:val="2body-copy-before-bullet"/>
        <w:rPr>
          <w:rFonts w:cs="Times New Roman"/>
          <w:lang w:val="en-GB"/>
        </w:rPr>
      </w:pPr>
      <w:r>
        <w:rPr>
          <w:rFonts w:cs="Times New Roman"/>
          <w:lang w:val="en-GB"/>
        </w:rPr>
        <w:t>During 2013/14 the Commission also:</w:t>
      </w:r>
    </w:p>
    <w:p w14:paraId="6410D62D" w14:textId="77777777" w:rsidR="00895CD2" w:rsidRDefault="00AD26F3" w:rsidP="007923D4">
      <w:pPr>
        <w:pStyle w:val="bullet"/>
      </w:pPr>
      <w:r>
        <w:t>developed a literature review to support the HMI Advisory Group and broader hospital community in their understanding of national and international approaches to hospital mortality measurement and reporting</w:t>
      </w:r>
    </w:p>
    <w:p w14:paraId="74F55FD9" w14:textId="77777777" w:rsidR="00895CD2" w:rsidRDefault="00AD26F3" w:rsidP="007923D4">
      <w:pPr>
        <w:pStyle w:val="bullet"/>
      </w:pPr>
      <w:proofErr w:type="gramStart"/>
      <w:r>
        <w:t>convened</w:t>
      </w:r>
      <w:proofErr w:type="gramEnd"/>
      <w:r>
        <w:t xml:space="preserve"> a jurisdictional roundtable to consider approaches to and presentation of hospital mortality data.</w:t>
      </w:r>
    </w:p>
    <w:p w14:paraId="046B106E" w14:textId="77777777" w:rsidR="00895CD2" w:rsidRDefault="00AD26F3">
      <w:pPr>
        <w:pStyle w:val="2body-copy"/>
        <w:rPr>
          <w:rFonts w:cs="Times New Roman"/>
          <w:lang w:val="en-GB"/>
        </w:rPr>
      </w:pPr>
      <w:r>
        <w:rPr>
          <w:rFonts w:cs="Times New Roman"/>
          <w:lang w:val="en-GB"/>
        </w:rPr>
        <w:t>In 2014/15, the Commission will collaborate with the National Health Performance Authority and the Australian Institute of Health and Welfare, in consultation with jurisdictional experts, to assess newer models for calculating hospital mortality indicators. These analyses will be based on international innovations to hospital-standardised mortality ratio methodologies.</w:t>
      </w:r>
    </w:p>
    <w:p w14:paraId="1A620489" w14:textId="77777777" w:rsidR="00895CD2" w:rsidRDefault="00AD26F3">
      <w:pPr>
        <w:pStyle w:val="1heading-level-2"/>
        <w:rPr>
          <w:rFonts w:cs="Times New Roman"/>
          <w:lang w:val="en-GB"/>
        </w:rPr>
      </w:pPr>
      <w:r>
        <w:rPr>
          <w:rFonts w:cs="Times New Roman"/>
          <w:lang w:val="en-GB"/>
        </w:rPr>
        <w:lastRenderedPageBreak/>
        <w:t>National set of core, common patient experience questions for</w:t>
      </w:r>
      <w:r>
        <w:rPr>
          <w:rStyle w:val="charoverride-24"/>
          <w:rFonts w:cs="Times New Roman"/>
          <w:lang w:val="en-GB"/>
        </w:rPr>
        <w:t> </w:t>
      </w:r>
      <w:r>
        <w:rPr>
          <w:rFonts w:cs="Times New Roman"/>
          <w:lang w:val="en-GB"/>
        </w:rPr>
        <w:t>hospitals</w:t>
      </w:r>
    </w:p>
    <w:p w14:paraId="3D54B491" w14:textId="77777777" w:rsidR="00895CD2" w:rsidRDefault="00AD26F3">
      <w:pPr>
        <w:pStyle w:val="2body-copy"/>
        <w:rPr>
          <w:rFonts w:cs="Times New Roman"/>
          <w:lang w:val="en-GB"/>
        </w:rPr>
      </w:pPr>
      <w:r>
        <w:rPr>
          <w:rFonts w:cs="Times New Roman"/>
          <w:lang w:val="en-GB"/>
        </w:rPr>
        <w:t xml:space="preserve">The NSQHS Standards require health service organisations to form partnerships with consumers to create services that are responsive to consumers’ input and needs. One aspect of this partnership involves measuring and responding to patient experiences. Most hospitals survey patients upon discharge from hospital to monitor their experiences and identify areas for improvement. </w:t>
      </w:r>
    </w:p>
    <w:p w14:paraId="759FEC60" w14:textId="77777777" w:rsidR="00895CD2" w:rsidRDefault="00AD26F3">
      <w:pPr>
        <w:pStyle w:val="2body-copy"/>
        <w:rPr>
          <w:rFonts w:cs="Times New Roman"/>
          <w:lang w:val="en-GB"/>
        </w:rPr>
      </w:pPr>
      <w:r>
        <w:rPr>
          <w:rFonts w:cs="Times New Roman"/>
          <w:lang w:val="en-GB"/>
        </w:rPr>
        <w:t>The Commission has been working with the states and territories, the private hospital sector, patient experience experts and consumers to specify a standard set of core, common questions for inclusion in hospital patient experience surveys. These have been tested on consumers by the Australian Bureau of Statistics and validated for use in telephone surveys by the South Australian Department of Health.</w:t>
      </w:r>
    </w:p>
    <w:p w14:paraId="133C0694" w14:textId="77777777" w:rsidR="00895CD2" w:rsidRDefault="00AD26F3">
      <w:pPr>
        <w:pStyle w:val="2body-copy"/>
        <w:rPr>
          <w:rFonts w:cs="Times New Roman"/>
          <w:lang w:val="en-GB"/>
        </w:rPr>
      </w:pPr>
      <w:r>
        <w:rPr>
          <w:rFonts w:cs="Times New Roman"/>
          <w:lang w:val="en-GB"/>
        </w:rPr>
        <w:t xml:space="preserve">In August 2013, the National Health Information and Performance Principal Committee (NHIPPC) noted the endorsement of the national set of core common patient experience questions by the National Health Information Standards and Statistics Committee (NHISSC). Following this endorsement, the question set was adapted and validated for use via telephone surveying by day procedure facilities and endorsed by the Australian Private Hospitals Association. Since then, a number of private hospitals and day procedure facilities have expressed an interest in using the question set. The question set was also validated by the Bureau of Health Information for use via written and online modes of administration. </w:t>
      </w:r>
    </w:p>
    <w:p w14:paraId="00D51E3B" w14:textId="77777777" w:rsidR="00895CD2" w:rsidRDefault="00AD26F3">
      <w:pPr>
        <w:pStyle w:val="2body-copy"/>
        <w:rPr>
          <w:rFonts w:cs="Times New Roman"/>
          <w:lang w:val="en-GB"/>
        </w:rPr>
      </w:pPr>
      <w:r>
        <w:rPr>
          <w:rFonts w:cs="Times New Roman"/>
          <w:lang w:val="en-GB"/>
        </w:rPr>
        <w:t>In 2013/14, the Commission validated the question set in New South Wales hospitals and five day procedure centres across the country.</w:t>
      </w:r>
    </w:p>
    <w:p w14:paraId="0AF57555" w14:textId="77777777" w:rsidR="00895CD2" w:rsidRDefault="00AD26F3">
      <w:pPr>
        <w:pStyle w:val="2body-copy"/>
        <w:rPr>
          <w:rFonts w:cs="Times New Roman"/>
          <w:lang w:val="en-GB"/>
        </w:rPr>
      </w:pPr>
      <w:r>
        <w:rPr>
          <w:rFonts w:cs="Times New Roman"/>
          <w:lang w:val="en-GB"/>
        </w:rPr>
        <w:t>A survey by the Australian Institute of Health and Welfare, on behalf of the NHISSC, indicated that states and territories are ready to incorporate the questions into their own public hospital surveys. The private hospital sector is also strongly supportive of the use of the question set.</w:t>
      </w:r>
    </w:p>
    <w:p w14:paraId="05A304B1" w14:textId="77777777" w:rsidR="00895CD2" w:rsidRDefault="00AD26F3">
      <w:pPr>
        <w:pStyle w:val="2body-copy"/>
        <w:rPr>
          <w:rFonts w:cs="Times New Roman"/>
          <w:lang w:val="en-GB"/>
        </w:rPr>
      </w:pPr>
      <w:r>
        <w:rPr>
          <w:rFonts w:cs="Times New Roman"/>
          <w:lang w:val="en-GB"/>
        </w:rPr>
        <w:t>A number of the survey questions are subject to a licence agreement. In March 2014, jurisdictions agreed to support a national licence. The Commission has worked with the AHMAC Secretariat to acquire and manage the licence for use in Australian hospitals, funded on a cost-share basis by states and territories.</w:t>
      </w:r>
    </w:p>
    <w:p w14:paraId="59F7ABDD" w14:textId="77777777" w:rsidR="00895CD2" w:rsidRDefault="00AD26F3">
      <w:pPr>
        <w:pStyle w:val="1heading-level-2"/>
        <w:rPr>
          <w:rFonts w:cs="Times New Roman"/>
          <w:lang w:val="en-GB"/>
        </w:rPr>
      </w:pPr>
      <w:r>
        <w:rPr>
          <w:rFonts w:cs="Times New Roman"/>
          <w:lang w:val="en-GB"/>
        </w:rPr>
        <w:t xml:space="preserve">Maternal sentinel events and post-partum haemorrhage </w:t>
      </w:r>
    </w:p>
    <w:p w14:paraId="0D893044" w14:textId="77777777" w:rsidR="00895CD2" w:rsidRDefault="00AD26F3">
      <w:pPr>
        <w:pStyle w:val="2body-copy"/>
        <w:rPr>
          <w:rFonts w:cs="Times New Roman"/>
          <w:lang w:val="en-GB"/>
        </w:rPr>
      </w:pPr>
      <w:r>
        <w:rPr>
          <w:rFonts w:cs="Times New Roman"/>
          <w:lang w:val="en-GB"/>
        </w:rPr>
        <w:t>Public hospitals are required to report sentinel events to their state or territory health department, or an agreed third party. States and territories use this data to contribute to an annual national report on sentinel events. One of the eight sentinel events hospitals are required to report on is maternal death or serious morbidity associated with labour or delivery.</w:t>
      </w:r>
    </w:p>
    <w:p w14:paraId="630D5CF2" w14:textId="77777777" w:rsidR="00895CD2" w:rsidRDefault="00AD26F3">
      <w:pPr>
        <w:pStyle w:val="2body-copy"/>
        <w:rPr>
          <w:rFonts w:cs="Times New Roman"/>
          <w:lang w:val="en-GB"/>
        </w:rPr>
      </w:pPr>
      <w:r>
        <w:rPr>
          <w:rFonts w:cs="Times New Roman"/>
          <w:lang w:val="en-GB"/>
        </w:rPr>
        <w:t>In June 2013, the Commission convened the Maternal Sentinel Event and Post-Partum Haemorrhage Working Group to address jurisdictional concerns regarding difficulties in the application of the maternal sentinel events definition and anecdotal reports that severe post-partum haemorrhage (PPH) may be on the increase.</w:t>
      </w:r>
    </w:p>
    <w:p w14:paraId="12B38B41" w14:textId="77777777" w:rsidR="00895CD2" w:rsidRDefault="00AD26F3">
      <w:pPr>
        <w:pStyle w:val="2body-copy"/>
        <w:rPr>
          <w:rFonts w:cs="Times New Roman"/>
          <w:lang w:val="en-GB"/>
        </w:rPr>
      </w:pPr>
      <w:r>
        <w:rPr>
          <w:rFonts w:cs="Times New Roman"/>
          <w:lang w:val="en-GB"/>
        </w:rPr>
        <w:t xml:space="preserve">An expert roundtable was convened to investigate current jurisdictional practices in the area of maternal sentinel event identification, the classification and reporting of serious maternity incidents, and the definitions and monitoring of PPH. </w:t>
      </w:r>
    </w:p>
    <w:p w14:paraId="0CF20034" w14:textId="77777777" w:rsidR="00895CD2" w:rsidRDefault="00AD26F3">
      <w:pPr>
        <w:pStyle w:val="2body-copy"/>
        <w:rPr>
          <w:rFonts w:cs="Times New Roman"/>
          <w:lang w:val="en-GB"/>
        </w:rPr>
      </w:pPr>
      <w:r>
        <w:rPr>
          <w:rFonts w:cs="Times New Roman"/>
          <w:lang w:val="en-GB"/>
        </w:rPr>
        <w:t>Over the second half of 2013, the working group developed four major recommendations. Jurisdictions and the Commission’s Board supported the proposed national definition of maternal sentinel events; the need for routine measurement of PPH as part of existing perinatal data collections; and that data regarding the sentinel event severe acute maternal morbidity (SAMM) be routinely captured, reviewed and analysed for feedback into the broader system.</w:t>
      </w:r>
    </w:p>
    <w:p w14:paraId="3AFE7839" w14:textId="77777777" w:rsidR="00895CD2" w:rsidRDefault="00AD26F3">
      <w:pPr>
        <w:pStyle w:val="2body-copy"/>
        <w:rPr>
          <w:rFonts w:cs="Times New Roman"/>
          <w:lang w:val="en-GB"/>
        </w:rPr>
      </w:pPr>
      <w:r>
        <w:rPr>
          <w:rFonts w:cs="Times New Roman"/>
          <w:lang w:val="en-GB"/>
        </w:rPr>
        <w:t xml:space="preserve">In February 2014, the Board accepted the working group’s recommendation that the WHO definition of maternal death be applied to sentinel event reporting. </w:t>
      </w:r>
    </w:p>
    <w:p w14:paraId="4F56F86D" w14:textId="77777777" w:rsidR="00895CD2" w:rsidRDefault="00AD26F3">
      <w:pPr>
        <w:pStyle w:val="2body-copy"/>
        <w:rPr>
          <w:rFonts w:cs="Times New Roman"/>
          <w:lang w:val="en-GB"/>
        </w:rPr>
      </w:pPr>
      <w:r>
        <w:rPr>
          <w:rFonts w:cs="Times New Roman"/>
          <w:lang w:val="en-GB"/>
        </w:rPr>
        <w:t>Following concurrent work by midwives and obstetricians working with the Australian Institute of Health and Welfare (AIHW) and the National Perinatal and Epidemiology Statistics Unit, states and territories have agreed to move towards routine monitoring of PPH as part of national perinatal data collection.</w:t>
      </w:r>
    </w:p>
    <w:p w14:paraId="56853FA5" w14:textId="77777777" w:rsidR="00895CD2" w:rsidRDefault="00AD26F3">
      <w:pPr>
        <w:pStyle w:val="2body-copy"/>
        <w:rPr>
          <w:rFonts w:cs="Times New Roman"/>
          <w:lang w:val="en-GB"/>
        </w:rPr>
      </w:pPr>
      <w:r>
        <w:rPr>
          <w:rFonts w:cs="Times New Roman"/>
          <w:lang w:val="en-GB"/>
        </w:rPr>
        <w:t xml:space="preserve">With regard to SAMM, the working group recommended that every case be reviewed confidentially by expert clinical teams, with de-identified case analyses fed back into the system. </w:t>
      </w:r>
    </w:p>
    <w:p w14:paraId="50E772CF" w14:textId="77777777" w:rsidR="00895CD2" w:rsidRDefault="00AD26F3">
      <w:pPr>
        <w:pStyle w:val="2body-copy"/>
        <w:rPr>
          <w:rFonts w:cs="Times New Roman"/>
          <w:lang w:val="en-GB"/>
        </w:rPr>
      </w:pPr>
      <w:r>
        <w:rPr>
          <w:rFonts w:cs="Times New Roman"/>
          <w:lang w:val="en-GB"/>
        </w:rPr>
        <w:t>This work coincided with a review of the national perinatal minimum dataset by clinical and epidemiological leaders, convened by the AIHW. As a result of that National Maternity Data Development Project, states and territories signed off on the data elements that will allow ongoing monitoring of PPH.</w:t>
      </w:r>
    </w:p>
    <w:p w14:paraId="5A2C4F2E" w14:textId="77777777" w:rsidR="00895CD2" w:rsidRDefault="00AD26F3" w:rsidP="00093444">
      <w:pPr>
        <w:pStyle w:val="Heading2"/>
        <w:rPr>
          <w:lang w:val="en-GB"/>
        </w:rPr>
      </w:pPr>
      <w:bookmarkStart w:id="19" w:name="_Toc414011877"/>
      <w:r>
        <w:rPr>
          <w:lang w:val="en-GB"/>
        </w:rPr>
        <w:lastRenderedPageBreak/>
        <w:t>Publishing and reporting</w:t>
      </w:r>
      <w:bookmarkEnd w:id="19"/>
    </w:p>
    <w:p w14:paraId="70E68BB3" w14:textId="77777777" w:rsidR="00895CD2" w:rsidRDefault="00AD26F3">
      <w:pPr>
        <w:pStyle w:val="2body-copy"/>
        <w:rPr>
          <w:rFonts w:cs="Times New Roman"/>
          <w:lang w:val="en-GB"/>
        </w:rPr>
      </w:pPr>
      <w:r>
        <w:rPr>
          <w:rFonts w:cs="Times New Roman"/>
          <w:lang w:val="en-GB"/>
        </w:rPr>
        <w:t>During 2013/14, the Commission produced more than 23 publications and reports as part of its project work. These included implementation resources, review reports, discussion papers and literature reviews, each supporting the objectives of improving safety and quality in health care.</w:t>
      </w:r>
    </w:p>
    <w:p w14:paraId="578A32C2" w14:textId="77777777" w:rsidR="00895CD2" w:rsidRDefault="00AD26F3">
      <w:pPr>
        <w:pStyle w:val="2body-copy"/>
        <w:rPr>
          <w:rFonts w:cs="Times New Roman"/>
          <w:lang w:val="en-GB"/>
        </w:rPr>
      </w:pPr>
      <w:r>
        <w:rPr>
          <w:rFonts w:cs="Times New Roman"/>
          <w:lang w:val="en-GB"/>
        </w:rPr>
        <w:t>These resources are made available on the Commission’s web site and in hard copy where necessary. During 2013/14, the Commission web site was visited on more than 550,167 occasions (an increase of 69% on 2012/13), and there were more than 347,509 downloads of documents and publications.</w:t>
      </w:r>
    </w:p>
    <w:p w14:paraId="6BCA297F" w14:textId="77777777" w:rsidR="00895CD2" w:rsidRDefault="00AD26F3">
      <w:pPr>
        <w:pStyle w:val="2body-copy"/>
        <w:rPr>
          <w:rFonts w:cs="Times New Roman"/>
          <w:lang w:val="en-GB"/>
        </w:rPr>
      </w:pPr>
      <w:r>
        <w:rPr>
          <w:rFonts w:cs="Times New Roman"/>
          <w:lang w:val="en-GB"/>
        </w:rPr>
        <w:t xml:space="preserve">The following pages highlight a number of key publications released during 2013/14. </w:t>
      </w:r>
    </w:p>
    <w:p w14:paraId="45A6D1FD" w14:textId="77777777" w:rsidR="00895CD2" w:rsidRDefault="00AD26F3">
      <w:pPr>
        <w:pStyle w:val="2body-copy"/>
        <w:rPr>
          <w:rFonts w:cs="Times New Roman"/>
          <w:lang w:val="en-GB"/>
        </w:rPr>
      </w:pPr>
      <w:r>
        <w:rPr>
          <w:rFonts w:cs="Times New Roman"/>
          <w:lang w:val="en-GB"/>
        </w:rPr>
        <w:t>A full list of publications and reports is included in Appendix A on page 120. A list of research articles published during 2013/14 can be found in Appendix B on page 124.</w:t>
      </w:r>
    </w:p>
    <w:tbl>
      <w:tblPr>
        <w:tblW w:w="0" w:type="auto"/>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178"/>
      </w:tblGrid>
      <w:tr w:rsidR="00895CD2" w14:paraId="4FA7E6D5" w14:textId="77777777" w:rsidTr="00AF5B76">
        <w:tc>
          <w:tcPr>
            <w:tcW w:w="10178" w:type="dxa"/>
            <w:shd w:val="clear" w:color="auto" w:fill="00837D"/>
            <w:vAlign w:val="center"/>
            <w:hideMark/>
          </w:tcPr>
          <w:p w14:paraId="2BD2C3A2" w14:textId="77777777" w:rsidR="00895CD2" w:rsidRDefault="00AD26F3">
            <w:pPr>
              <w:pStyle w:val="3table-header-l"/>
              <w:rPr>
                <w:rFonts w:cs="Times New Roman"/>
              </w:rPr>
            </w:pPr>
            <w:r>
              <w:rPr>
                <w:rFonts w:cs="Times New Roman"/>
              </w:rPr>
              <w:t>Key achievements 2013/14</w:t>
            </w:r>
          </w:p>
        </w:tc>
      </w:tr>
      <w:tr w:rsidR="00895CD2" w14:paraId="38BFA273" w14:textId="77777777" w:rsidTr="00AF5B76">
        <w:trPr>
          <w:trHeight w:val="548"/>
        </w:trPr>
        <w:tc>
          <w:tcPr>
            <w:tcW w:w="10178" w:type="dxa"/>
            <w:vAlign w:val="center"/>
            <w:hideMark/>
          </w:tcPr>
          <w:p w14:paraId="774F5011" w14:textId="77777777" w:rsidR="00895CD2" w:rsidRDefault="00AD26F3" w:rsidP="00AF5B76">
            <w:pPr>
              <w:pStyle w:val="2body-copy"/>
              <w:rPr>
                <w:rFonts w:cs="Times New Roman"/>
              </w:rPr>
            </w:pPr>
            <w:r>
              <w:rPr>
                <w:rFonts w:cs="Times New Roman"/>
              </w:rPr>
              <w:t xml:space="preserve">The Commission’s web site had </w:t>
            </w:r>
            <w:r>
              <w:rPr>
                <w:rStyle w:val="s2-pull-out-numbers"/>
                <w:rFonts w:cs="Times New Roman"/>
              </w:rPr>
              <w:t>550,167</w:t>
            </w:r>
            <w:r>
              <w:rPr>
                <w:rFonts w:cs="Times New Roman"/>
              </w:rPr>
              <w:t xml:space="preserve"> visits during 2013/14.</w:t>
            </w:r>
          </w:p>
        </w:tc>
      </w:tr>
    </w:tbl>
    <w:p w14:paraId="2AC7DC70" w14:textId="77777777" w:rsidR="00895CD2" w:rsidRDefault="00AD26F3">
      <w:pPr>
        <w:pStyle w:val="1heading-level-2"/>
        <w:rPr>
          <w:rFonts w:cs="Times New Roman"/>
          <w:lang w:val="en-GB"/>
        </w:rPr>
      </w:pPr>
      <w:r>
        <w:rPr>
          <w:rFonts w:cs="Times New Roman"/>
          <w:lang w:val="en-GB"/>
        </w:rPr>
        <w:t>Exploring Healthcare Variation in Australia discussion paper and summary</w:t>
      </w:r>
    </w:p>
    <w:p w14:paraId="5060732D" w14:textId="77777777" w:rsidR="00895CD2" w:rsidRDefault="00AD26F3">
      <w:pPr>
        <w:pStyle w:val="2body-copy"/>
        <w:rPr>
          <w:rFonts w:cs="Times New Roman"/>
          <w:lang w:val="en-GB"/>
        </w:rPr>
      </w:pPr>
      <w:r>
        <w:rPr>
          <w:rFonts w:cs="Times New Roman"/>
          <w:lang w:val="en-GB"/>
        </w:rPr>
        <w:t>In 2012, the OECD undertook an international study of healthcare variation involving a number of countries. The Commission coordinated Australia’s contribution to this study. In May 2014, the Commission and the AIHW released a discussion paper detailing findings from the Australian study.</w:t>
      </w:r>
    </w:p>
    <w:p w14:paraId="1F2F71EC" w14:textId="77777777" w:rsidR="00895CD2" w:rsidRDefault="00AD26F3">
      <w:pPr>
        <w:pStyle w:val="2body-copy"/>
        <w:rPr>
          <w:rFonts w:cs="Times New Roman"/>
          <w:lang w:val="en-GB"/>
        </w:rPr>
      </w:pPr>
      <w:r>
        <w:rPr>
          <w:rFonts w:cs="Times New Roman"/>
          <w:lang w:val="en-GB"/>
        </w:rPr>
        <w:t xml:space="preserve">The paper, </w:t>
      </w:r>
      <w:r>
        <w:rPr>
          <w:rStyle w:val="2body-italic"/>
          <w:rFonts w:cs="Times New Roman"/>
          <w:lang w:val="en-GB"/>
        </w:rPr>
        <w:t>Exploring Healthcare Variation in Australia: Analyses Resulting from an OECD Study</w:t>
      </w:r>
      <w:r>
        <w:rPr>
          <w:rFonts w:cs="Times New Roman"/>
          <w:lang w:val="en-GB"/>
        </w:rPr>
        <w:t>, was intended to stimulate a national discussion on healthcare variation, particularly around how to determine which variations are unwarranted and how any unwarranted variation can be reduced.</w:t>
      </w:r>
    </w:p>
    <w:p w14:paraId="7A3225C6" w14:textId="77777777" w:rsidR="00895CD2" w:rsidRDefault="00AD26F3">
      <w:pPr>
        <w:pStyle w:val="2body-copy"/>
        <w:rPr>
          <w:rFonts w:cs="Times New Roman"/>
          <w:lang w:val="en-GB"/>
        </w:rPr>
      </w:pPr>
      <w:r>
        <w:rPr>
          <w:rFonts w:cs="Times New Roman"/>
          <w:lang w:val="en-GB"/>
        </w:rPr>
        <w:t xml:space="preserve">A summary paper, </w:t>
      </w:r>
      <w:r>
        <w:rPr>
          <w:rStyle w:val="2body-italic"/>
          <w:rFonts w:cs="Times New Roman"/>
          <w:lang w:val="en-GB"/>
        </w:rPr>
        <w:t>Exploring Healthcare Variation in Australia: In Brief</w:t>
      </w:r>
      <w:r>
        <w:rPr>
          <w:rFonts w:cs="Times New Roman"/>
          <w:lang w:val="en-GB"/>
        </w:rPr>
        <w:t>, was released in tandem with the discussion paper. The summary paper outlines healthcare variation in the rates of several common procedures and interventions across Australia, with the intention of making general readers aware of some of the concerns and complexities surrounding healthcare variation.</w:t>
      </w:r>
    </w:p>
    <w:p w14:paraId="70E02239" w14:textId="77777777" w:rsidR="00895CD2" w:rsidRDefault="00AD26F3">
      <w:pPr>
        <w:pStyle w:val="2body-copy"/>
        <w:rPr>
          <w:rFonts w:cs="Times New Roman"/>
          <w:lang w:val="en-GB"/>
        </w:rPr>
      </w:pPr>
      <w:r>
        <w:rPr>
          <w:rFonts w:cs="Times New Roman"/>
          <w:lang w:val="en-GB"/>
        </w:rPr>
        <w:t xml:space="preserve">These papers are part of a program of work by the Commission that aims to reduce unwarranted healthcare variation and to improve patients’ care and outcomes, while also ensuring value for our health spending. </w:t>
      </w:r>
    </w:p>
    <w:p w14:paraId="618DEA4D" w14:textId="77777777" w:rsidR="00895CD2" w:rsidRDefault="00AD26F3">
      <w:pPr>
        <w:pStyle w:val="2body-copy"/>
        <w:rPr>
          <w:rFonts w:cs="Times New Roman"/>
          <w:lang w:val="en-GB"/>
        </w:rPr>
      </w:pPr>
      <w:r>
        <w:rPr>
          <w:rFonts w:cs="Times New Roman"/>
          <w:lang w:val="en-GB"/>
        </w:rPr>
        <w:t>For more information on this and other projects related to healthcare variation, see pages 41–42.</w:t>
      </w:r>
    </w:p>
    <w:p w14:paraId="1C628715" w14:textId="77777777" w:rsidR="00895CD2" w:rsidRDefault="00AD26F3">
      <w:pPr>
        <w:pStyle w:val="1heading-level-2"/>
        <w:rPr>
          <w:rFonts w:cs="Times New Roman"/>
          <w:lang w:val="en-GB"/>
        </w:rPr>
      </w:pPr>
      <w:r>
        <w:rPr>
          <w:rFonts w:cs="Times New Roman"/>
          <w:lang w:val="en-GB"/>
        </w:rPr>
        <w:t>Vital Signs 2013</w:t>
      </w:r>
    </w:p>
    <w:p w14:paraId="0AE4F4D1" w14:textId="77777777" w:rsidR="00895CD2" w:rsidRDefault="00AD26F3">
      <w:pPr>
        <w:pStyle w:val="2body-copy-before-bullet"/>
        <w:rPr>
          <w:rFonts w:cs="Times New Roman"/>
          <w:lang w:val="en-GB"/>
        </w:rPr>
      </w:pPr>
      <w:r>
        <w:rPr>
          <w:rFonts w:cs="Times New Roman"/>
          <w:lang w:val="en-GB"/>
        </w:rPr>
        <w:t xml:space="preserve">In October 2013, the Commission released its first annual publication reporting on the state of safety and quality in Australian health care. </w:t>
      </w:r>
      <w:r>
        <w:rPr>
          <w:rStyle w:val="2body-italic"/>
          <w:rFonts w:cs="Times New Roman"/>
          <w:lang w:val="en-GB"/>
        </w:rPr>
        <w:t>Vital Signs 2013</w:t>
      </w:r>
      <w:r>
        <w:rPr>
          <w:rFonts w:cs="Times New Roman"/>
          <w:lang w:val="en-GB"/>
        </w:rPr>
        <w:t xml:space="preserve"> provides an overview of what is happening in Australia for a series of important safety and quality topics. It is structured around three important questions that members of the public can ask about their health care:</w:t>
      </w:r>
    </w:p>
    <w:p w14:paraId="0C90B4A5" w14:textId="77777777" w:rsidR="00895CD2" w:rsidRDefault="00AD26F3" w:rsidP="007923D4">
      <w:pPr>
        <w:pStyle w:val="bullet"/>
      </w:pPr>
      <w:r>
        <w:t>Will my care be safe?</w:t>
      </w:r>
    </w:p>
    <w:p w14:paraId="266ED2B1" w14:textId="77777777" w:rsidR="00895CD2" w:rsidRDefault="00AD26F3" w:rsidP="007923D4">
      <w:pPr>
        <w:pStyle w:val="bullet"/>
      </w:pPr>
      <w:r>
        <w:t>Will I get the right care?</w:t>
      </w:r>
    </w:p>
    <w:p w14:paraId="0495A559" w14:textId="77777777" w:rsidR="00895CD2" w:rsidRDefault="00AD26F3" w:rsidP="007923D4">
      <w:pPr>
        <w:pStyle w:val="bullet"/>
      </w:pPr>
      <w:r>
        <w:t>Will I be a partner in my care?</w:t>
      </w:r>
    </w:p>
    <w:p w14:paraId="7BF50106" w14:textId="77777777" w:rsidR="00895CD2" w:rsidRDefault="00AD26F3">
      <w:pPr>
        <w:pStyle w:val="2body-copy"/>
        <w:rPr>
          <w:rFonts w:cs="Times New Roman"/>
          <w:lang w:val="en-GB"/>
        </w:rPr>
      </w:pPr>
      <w:r>
        <w:rPr>
          <w:rStyle w:val="2body-italic"/>
          <w:rFonts w:cs="Times New Roman"/>
          <w:lang w:val="en-GB"/>
        </w:rPr>
        <w:t>Vital Signs 2013</w:t>
      </w:r>
      <w:r>
        <w:rPr>
          <w:rFonts w:cs="Times New Roman"/>
          <w:lang w:val="en-GB"/>
        </w:rPr>
        <w:t xml:space="preserve"> includes three case studies that focus on the quality of care in some important clinical areas. These case studies present a detailed description and analysis of key quality issues that affect outcomes for patients. The case studies also illustrate the in-depth work needed to properly understand issues of safety and quality in health care, and to develop solutions to address them.</w:t>
      </w:r>
    </w:p>
    <w:p w14:paraId="01353E24" w14:textId="77777777" w:rsidR="00895CD2" w:rsidRDefault="00AD26F3">
      <w:pPr>
        <w:pStyle w:val="2body-copy"/>
        <w:rPr>
          <w:rFonts w:cs="Times New Roman"/>
          <w:lang w:val="en-GB"/>
        </w:rPr>
      </w:pPr>
      <w:r>
        <w:rPr>
          <w:rFonts w:cs="Times New Roman"/>
          <w:lang w:val="en-GB"/>
        </w:rPr>
        <w:t xml:space="preserve">For a summary of the second report, </w:t>
      </w:r>
      <w:r>
        <w:rPr>
          <w:rStyle w:val="2body-italic"/>
          <w:rFonts w:cs="Times New Roman"/>
          <w:lang w:val="en-GB"/>
        </w:rPr>
        <w:t>Vital Signs 2014</w:t>
      </w:r>
      <w:r>
        <w:rPr>
          <w:rFonts w:cs="Times New Roman"/>
          <w:lang w:val="en-GB"/>
        </w:rPr>
        <w:t xml:space="preserve">, see pages 60–62. </w:t>
      </w:r>
    </w:p>
    <w:p w14:paraId="729DA166" w14:textId="77777777" w:rsidR="00AF5B76" w:rsidRDefault="00AF5B76">
      <w:pPr>
        <w:spacing w:after="0"/>
        <w:rPr>
          <w:rFonts w:cs="Times New Roman"/>
          <w:color w:val="5F605F"/>
          <w:sz w:val="30"/>
          <w:szCs w:val="30"/>
          <w:lang w:val="en-GB"/>
        </w:rPr>
      </w:pPr>
      <w:r>
        <w:rPr>
          <w:rFonts w:cs="Times New Roman"/>
          <w:lang w:val="en-GB"/>
        </w:rPr>
        <w:br w:type="page"/>
      </w:r>
    </w:p>
    <w:p w14:paraId="2445BA59" w14:textId="77777777" w:rsidR="00895CD2" w:rsidRDefault="00AD26F3">
      <w:pPr>
        <w:pStyle w:val="1heading-level-2"/>
        <w:rPr>
          <w:rFonts w:cs="Times New Roman"/>
          <w:lang w:val="en-GB"/>
        </w:rPr>
      </w:pPr>
      <w:r>
        <w:rPr>
          <w:rFonts w:cs="Times New Roman"/>
          <w:lang w:val="en-GB"/>
        </w:rPr>
        <w:lastRenderedPageBreak/>
        <w:t>Accreditation Workbook for Mental Health Services</w:t>
      </w:r>
    </w:p>
    <w:p w14:paraId="220AA3C1" w14:textId="77777777" w:rsidR="00895CD2" w:rsidRDefault="00AD26F3">
      <w:pPr>
        <w:pStyle w:val="2body-copy"/>
        <w:rPr>
          <w:rFonts w:cs="Times New Roman"/>
          <w:lang w:val="en-GB"/>
        </w:rPr>
      </w:pPr>
      <w:r>
        <w:rPr>
          <w:rFonts w:cs="Times New Roman"/>
          <w:lang w:val="en-GB"/>
        </w:rPr>
        <w:t xml:space="preserve">In March 2014, the Commission released the </w:t>
      </w:r>
      <w:r>
        <w:rPr>
          <w:rStyle w:val="2body-italic"/>
          <w:rFonts w:cs="Times New Roman"/>
          <w:lang w:val="en-GB"/>
        </w:rPr>
        <w:t>Accreditation Workbook for Mental Health Services</w:t>
      </w:r>
      <w:r>
        <w:rPr>
          <w:rFonts w:cs="Times New Roman"/>
          <w:lang w:val="en-GB"/>
        </w:rPr>
        <w:t>. The workbook is designed to guide mental health services through the accreditation process for the NSQHS Standards, and highlight areas where mental health services will also have substantially complied with relevant NSMHS criteria.</w:t>
      </w:r>
    </w:p>
    <w:p w14:paraId="0D38D82A" w14:textId="77777777" w:rsidR="00895CD2" w:rsidRDefault="00AD26F3">
      <w:pPr>
        <w:pStyle w:val="2body-copy"/>
        <w:rPr>
          <w:rFonts w:cs="Times New Roman"/>
          <w:lang w:val="en-GB"/>
        </w:rPr>
      </w:pPr>
      <w:r>
        <w:rPr>
          <w:rFonts w:cs="Times New Roman"/>
          <w:lang w:val="en-GB"/>
        </w:rPr>
        <w:t>The workbook is the result of collaboration between the Commission, the Department of Health, and the Safety and Quality Partnership Standing Committee of the Mental Health Drug and Alcohol Principal Committee of the AHMAC, reflecting revisions made following national consultation. It was distributed to 1,400 hospitals and mental health services across Australia during April 2014.</w:t>
      </w:r>
    </w:p>
    <w:p w14:paraId="58C98DCF" w14:textId="77777777" w:rsidR="00895CD2" w:rsidRDefault="00AD26F3">
      <w:pPr>
        <w:pStyle w:val="2body-copy"/>
        <w:rPr>
          <w:rFonts w:cs="Times New Roman"/>
          <w:lang w:val="en-GB"/>
        </w:rPr>
      </w:pPr>
      <w:r>
        <w:rPr>
          <w:rFonts w:cs="Times New Roman"/>
          <w:lang w:val="en-GB"/>
        </w:rPr>
        <w:t>For more information about the Commission’s mental health projects, see pages 24–25.</w:t>
      </w:r>
    </w:p>
    <w:p w14:paraId="47523423" w14:textId="77777777" w:rsidR="00895CD2" w:rsidRDefault="00AD26F3">
      <w:pPr>
        <w:pStyle w:val="1heading-level-2"/>
        <w:rPr>
          <w:rFonts w:cs="Times New Roman"/>
          <w:lang w:val="en-GB"/>
        </w:rPr>
      </w:pPr>
      <w:r>
        <w:rPr>
          <w:rFonts w:cs="Times New Roman"/>
          <w:lang w:val="en-GB"/>
        </w:rPr>
        <w:t>Draft National Consensus Statement: Essential Elements for Safe and High-Quality End-of-Life Care in Acute Hospitals</w:t>
      </w:r>
    </w:p>
    <w:p w14:paraId="37A6F8CF" w14:textId="77777777" w:rsidR="00895CD2" w:rsidRDefault="00AD26F3">
      <w:pPr>
        <w:pStyle w:val="2body-copy"/>
        <w:rPr>
          <w:rFonts w:cs="Times New Roman"/>
          <w:lang w:val="en-GB"/>
        </w:rPr>
      </w:pPr>
      <w:r>
        <w:rPr>
          <w:rFonts w:cs="Times New Roman"/>
          <w:lang w:val="en-GB"/>
        </w:rPr>
        <w:t xml:space="preserve">As part of its work on improving the safety and quality of end-of-life care in acute hospitals, in January 2014 the Commission developed a draft </w:t>
      </w:r>
      <w:r>
        <w:rPr>
          <w:rStyle w:val="2body-italic"/>
          <w:rFonts w:cs="Times New Roman"/>
          <w:lang w:val="en-GB"/>
        </w:rPr>
        <w:t>National Consensus Statement: Essential Elements for Safe and High-Quality End-of-Life Care in Acute Hospitals</w:t>
      </w:r>
      <w:r>
        <w:rPr>
          <w:rFonts w:cs="Times New Roman"/>
          <w:lang w:val="en-GB"/>
        </w:rPr>
        <w:t>. The draft consensus statement aims to guide health services to develop systems for delivering safe, timely and high-quality end-of-life care in a way that is tailored to their population, resources and available personnel, and in line with relevant jurisdictional or other programs.</w:t>
      </w:r>
    </w:p>
    <w:p w14:paraId="1BA3EBBA" w14:textId="77777777" w:rsidR="00895CD2" w:rsidRDefault="00AD26F3">
      <w:pPr>
        <w:pStyle w:val="2body-copy"/>
        <w:rPr>
          <w:rFonts w:cs="Times New Roman"/>
          <w:lang w:val="en-GB"/>
        </w:rPr>
      </w:pPr>
      <w:r>
        <w:rPr>
          <w:rFonts w:cs="Times New Roman"/>
          <w:lang w:val="en-GB"/>
        </w:rPr>
        <w:t>The Commission held an open consultation in early 2014 that sought written submissions on the draft consensus statement. This was followed by a series of consultation workshops for consumers and health professionals in each of Australia’s capital cities.</w:t>
      </w:r>
    </w:p>
    <w:p w14:paraId="7A96FFD4" w14:textId="77777777" w:rsidR="00895CD2" w:rsidRDefault="00AD26F3">
      <w:pPr>
        <w:pStyle w:val="1heading-level-2"/>
        <w:rPr>
          <w:rFonts w:cs="Times New Roman"/>
          <w:lang w:val="en-GB"/>
        </w:rPr>
      </w:pPr>
      <w:r>
        <w:rPr>
          <w:rFonts w:cs="Times New Roman"/>
          <w:lang w:val="en-GB"/>
        </w:rPr>
        <w:t xml:space="preserve">Recommendations for the control of Multi-drug resistant Gram-negatives: </w:t>
      </w:r>
      <w:proofErr w:type="spellStart"/>
      <w:r>
        <w:rPr>
          <w:rFonts w:cs="Times New Roman"/>
          <w:lang w:val="en-GB"/>
        </w:rPr>
        <w:t>carbapenem</w:t>
      </w:r>
      <w:proofErr w:type="spellEnd"/>
      <w:r>
        <w:rPr>
          <w:rFonts w:cs="Times New Roman"/>
          <w:lang w:val="en-GB"/>
        </w:rPr>
        <w:t xml:space="preserve"> resistant </w:t>
      </w:r>
      <w:proofErr w:type="spellStart"/>
      <w:r>
        <w:rPr>
          <w:rFonts w:cs="Times New Roman"/>
          <w:lang w:val="en-GB"/>
        </w:rPr>
        <w:t>Enterobacteriaceae</w:t>
      </w:r>
      <w:proofErr w:type="spellEnd"/>
    </w:p>
    <w:p w14:paraId="0DE1703D" w14:textId="77777777" w:rsidR="00895CD2" w:rsidRDefault="00AD26F3">
      <w:pPr>
        <w:pStyle w:val="2body-copy"/>
        <w:rPr>
          <w:rFonts w:cs="Times New Roman"/>
          <w:lang w:val="en-GB"/>
        </w:rPr>
      </w:pPr>
      <w:proofErr w:type="spellStart"/>
      <w:r>
        <w:rPr>
          <w:rFonts w:cs="Times New Roman"/>
          <w:lang w:val="en-GB"/>
        </w:rPr>
        <w:t>Carbapenem</w:t>
      </w:r>
      <w:proofErr w:type="spellEnd"/>
      <w:r>
        <w:rPr>
          <w:rFonts w:cs="Times New Roman"/>
          <w:lang w:val="en-GB"/>
        </w:rPr>
        <w:t xml:space="preserve">-resistant </w:t>
      </w:r>
      <w:proofErr w:type="spellStart"/>
      <w:r>
        <w:rPr>
          <w:rFonts w:cs="Times New Roman"/>
          <w:lang w:val="en-GB"/>
        </w:rPr>
        <w:t>enterobacteriaceae</w:t>
      </w:r>
      <w:proofErr w:type="spellEnd"/>
      <w:r>
        <w:rPr>
          <w:rFonts w:cs="Times New Roman"/>
          <w:lang w:val="en-GB"/>
        </w:rPr>
        <w:t xml:space="preserve"> (CRE) place patients at increased risk of potentially untreatable infection following invasive procedures or other components of modern hospital care. </w:t>
      </w:r>
    </w:p>
    <w:p w14:paraId="1C9B9054" w14:textId="77777777" w:rsidR="00895CD2" w:rsidRDefault="00AD26F3">
      <w:pPr>
        <w:pStyle w:val="2body-copy"/>
        <w:rPr>
          <w:rFonts w:cs="Times New Roman"/>
          <w:lang w:val="en-GB"/>
        </w:rPr>
      </w:pPr>
      <w:r>
        <w:rPr>
          <w:rFonts w:cs="Times New Roman"/>
          <w:lang w:val="en-GB"/>
        </w:rPr>
        <w:t xml:space="preserve">To help health service organisations prevent and contain this group of bacteria, the Commission, in consultation with professional organisations and colleges, finalised </w:t>
      </w:r>
      <w:r>
        <w:rPr>
          <w:rStyle w:val="2body-italic"/>
          <w:rFonts w:cs="Times New Roman"/>
          <w:lang w:val="en-GB"/>
        </w:rPr>
        <w:t xml:space="preserve">Recommendations for the control of Multi-drug resistant Gram-negatives: </w:t>
      </w:r>
      <w:proofErr w:type="spellStart"/>
      <w:r>
        <w:rPr>
          <w:rStyle w:val="2body-italic"/>
          <w:rFonts w:cs="Times New Roman"/>
          <w:lang w:val="en-GB"/>
        </w:rPr>
        <w:t>Carbapenem</w:t>
      </w:r>
      <w:proofErr w:type="spellEnd"/>
      <w:r>
        <w:rPr>
          <w:rStyle w:val="2body-italic"/>
          <w:rFonts w:cs="Times New Roman"/>
          <w:lang w:val="en-GB"/>
        </w:rPr>
        <w:t xml:space="preserve"> resistant </w:t>
      </w:r>
      <w:proofErr w:type="spellStart"/>
      <w:r>
        <w:rPr>
          <w:rStyle w:val="2body-italic"/>
          <w:rFonts w:cs="Times New Roman"/>
          <w:lang w:val="en-GB"/>
        </w:rPr>
        <w:t>Enterobacteriaceae</w:t>
      </w:r>
      <w:proofErr w:type="spellEnd"/>
      <w:r>
        <w:rPr>
          <w:rFonts w:cs="Times New Roman"/>
          <w:lang w:val="en-GB"/>
        </w:rPr>
        <w:t xml:space="preserve">. The purpose of the recommendations is to alert healthcare professionals and communities to the emerging threat represented by CRE in Australia. The recommendations will help healthcare professionals to prevent, detect and contain CRE, and provide resources for healthcare professionals and consumers. </w:t>
      </w:r>
    </w:p>
    <w:p w14:paraId="16FCBAE3" w14:textId="77777777" w:rsidR="00895CD2" w:rsidRDefault="00AD26F3">
      <w:pPr>
        <w:pStyle w:val="2body-copy"/>
        <w:rPr>
          <w:rFonts w:cs="Times New Roman"/>
          <w:lang w:val="en-GB"/>
        </w:rPr>
      </w:pPr>
      <w:r>
        <w:rPr>
          <w:rFonts w:cs="Times New Roman"/>
          <w:lang w:val="en-GB"/>
        </w:rPr>
        <w:t xml:space="preserve">In December 2013, the </w:t>
      </w:r>
      <w:r>
        <w:rPr>
          <w:rStyle w:val="2body-italic"/>
          <w:rFonts w:cs="Times New Roman"/>
          <w:lang w:val="en-GB"/>
        </w:rPr>
        <w:t xml:space="preserve">Recommendations for the control of Multi-drug resistant Gram-negatives: </w:t>
      </w:r>
      <w:proofErr w:type="spellStart"/>
      <w:r>
        <w:rPr>
          <w:rStyle w:val="2body-italic"/>
          <w:rFonts w:cs="Times New Roman"/>
          <w:lang w:val="en-GB"/>
        </w:rPr>
        <w:t>carbapenem</w:t>
      </w:r>
      <w:proofErr w:type="spellEnd"/>
      <w:r>
        <w:rPr>
          <w:rStyle w:val="2body-italic"/>
          <w:rFonts w:cs="Times New Roman"/>
          <w:lang w:val="en-GB"/>
        </w:rPr>
        <w:t xml:space="preserve"> resistant </w:t>
      </w:r>
      <w:proofErr w:type="spellStart"/>
      <w:r>
        <w:rPr>
          <w:rStyle w:val="2body-italic"/>
          <w:rFonts w:cs="Times New Roman"/>
          <w:lang w:val="en-GB"/>
        </w:rPr>
        <w:t>Enterobacteriaceae</w:t>
      </w:r>
      <w:proofErr w:type="spellEnd"/>
      <w:r>
        <w:rPr>
          <w:rFonts w:cs="Times New Roman"/>
          <w:lang w:val="en-GB"/>
        </w:rPr>
        <w:t xml:space="preserve"> were issued to all hospitals in Australia, as well as state and territory health departments, for use at the local level.</w:t>
      </w:r>
    </w:p>
    <w:p w14:paraId="789A5E2B" w14:textId="77777777" w:rsidR="00895CD2" w:rsidRDefault="00AD26F3">
      <w:pPr>
        <w:pStyle w:val="1heading-level-2"/>
        <w:rPr>
          <w:rFonts w:cs="Times New Roman"/>
          <w:lang w:val="en-GB"/>
        </w:rPr>
      </w:pPr>
      <w:r>
        <w:rPr>
          <w:rFonts w:cs="Times New Roman"/>
          <w:lang w:val="en-GB"/>
        </w:rPr>
        <w:t>On the Radar</w:t>
      </w:r>
    </w:p>
    <w:p w14:paraId="551B914E" w14:textId="77777777" w:rsidR="00895CD2" w:rsidRDefault="00AD26F3">
      <w:pPr>
        <w:pStyle w:val="2body-copy"/>
        <w:rPr>
          <w:rFonts w:cs="Times New Roman"/>
          <w:lang w:val="en-GB"/>
        </w:rPr>
      </w:pPr>
      <w:r>
        <w:rPr>
          <w:rFonts w:cs="Times New Roman"/>
          <w:lang w:val="en-GB"/>
        </w:rPr>
        <w:t xml:space="preserve">The Commission produces a weekly summary of recent research, resources and publications about safety and quality in health care, to ensure up-to-date and relevant knowledge is available and accessible. As of 30 June 2014, more than 3,300 individuals subscribed to the Commission’s online summary, </w:t>
      </w:r>
      <w:r>
        <w:rPr>
          <w:rStyle w:val="2body-italic"/>
          <w:rFonts w:cs="Times New Roman"/>
          <w:lang w:val="en-GB"/>
        </w:rPr>
        <w:t>On the Radar</w:t>
      </w:r>
      <w:r>
        <w:rPr>
          <w:rFonts w:cs="Times New Roman"/>
          <w:lang w:val="en-GB"/>
        </w:rPr>
        <w:t xml:space="preserve"> – an increase of 38% in 12 months. During 2013/14, almost 140,000 virtual copies of </w:t>
      </w:r>
      <w:r>
        <w:rPr>
          <w:rStyle w:val="2body-italic"/>
          <w:rFonts w:cs="Times New Roman"/>
          <w:lang w:val="en-GB"/>
        </w:rPr>
        <w:t>On the Radar</w:t>
      </w:r>
      <w:r>
        <w:rPr>
          <w:rFonts w:cs="Times New Roman"/>
          <w:lang w:val="en-GB"/>
        </w:rPr>
        <w:t xml:space="preserve"> have been distributed to subscribers.</w:t>
      </w:r>
    </w:p>
    <w:p w14:paraId="1DA23694" w14:textId="77777777" w:rsidR="00895CD2" w:rsidRDefault="00AD26F3">
      <w:pPr>
        <w:pStyle w:val="2body-copy-before-bullet"/>
        <w:rPr>
          <w:rFonts w:cs="Times New Roman"/>
          <w:lang w:val="en-GB"/>
        </w:rPr>
      </w:pPr>
      <w:r>
        <w:rPr>
          <w:rFonts w:cs="Times New Roman"/>
          <w:lang w:val="en-GB"/>
        </w:rPr>
        <w:t xml:space="preserve">The most accessed links from issues of </w:t>
      </w:r>
      <w:r>
        <w:rPr>
          <w:rStyle w:val="2body-italic"/>
          <w:rFonts w:cs="Times New Roman"/>
          <w:lang w:val="en-GB"/>
        </w:rPr>
        <w:t>On the Radar</w:t>
      </w:r>
      <w:r>
        <w:rPr>
          <w:rFonts w:cs="Times New Roman"/>
          <w:lang w:val="en-GB"/>
        </w:rPr>
        <w:t xml:space="preserve"> during 2013/14 included:</w:t>
      </w:r>
    </w:p>
    <w:p w14:paraId="73148C0D" w14:textId="77777777" w:rsidR="00895CD2" w:rsidRDefault="00AD26F3" w:rsidP="007923D4">
      <w:pPr>
        <w:pStyle w:val="bullet"/>
      </w:pPr>
      <w:r>
        <w:rPr>
          <w:rStyle w:val="2body-italic"/>
        </w:rPr>
        <w:t>Viva la Evidence</w:t>
      </w:r>
      <w:r>
        <w:t>, a YouTube music video promoting the virtues of evidence-based medicine</w:t>
      </w:r>
    </w:p>
    <w:p w14:paraId="764DC914" w14:textId="77777777" w:rsidR="00895CD2" w:rsidRDefault="00AD26F3" w:rsidP="007923D4">
      <w:pPr>
        <w:pStyle w:val="bullet"/>
      </w:pPr>
      <w:r>
        <w:rPr>
          <w:rStyle w:val="2body-italic"/>
        </w:rPr>
        <w:t>Helping measure person-centred care</w:t>
      </w:r>
      <w:r>
        <w:t>, a paper by The Health Foundation (UK)</w:t>
      </w:r>
    </w:p>
    <w:p w14:paraId="2127F5EF" w14:textId="77777777" w:rsidR="00895CD2" w:rsidRDefault="00AD26F3" w:rsidP="007923D4">
      <w:pPr>
        <w:pStyle w:val="bullet"/>
      </w:pPr>
      <w:r>
        <w:rPr>
          <w:rStyle w:val="2body-italic"/>
        </w:rPr>
        <w:t>The Third Healthcare Revolution</w:t>
      </w:r>
      <w:r>
        <w:t xml:space="preserve">, a presentation by Professor Sir Muir </w:t>
      </w:r>
      <w:proofErr w:type="spellStart"/>
      <w:r>
        <w:t>Gray</w:t>
      </w:r>
      <w:proofErr w:type="spellEnd"/>
      <w:r>
        <w:t xml:space="preserve"> coordinated by the Commission</w:t>
      </w:r>
    </w:p>
    <w:p w14:paraId="15129A6F" w14:textId="77777777" w:rsidR="00895CD2" w:rsidRDefault="00AD26F3" w:rsidP="007923D4">
      <w:pPr>
        <w:pStyle w:val="bullet"/>
      </w:pPr>
      <w:r>
        <w:rPr>
          <w:rStyle w:val="2body-italic"/>
        </w:rPr>
        <w:t>Vital Signs 2013: The State of Safety and Quality in Australian Health Care</w:t>
      </w:r>
      <w:r>
        <w:t>, the Commission’s first annual publication reporting on safety and quality in Australian health care</w:t>
      </w:r>
    </w:p>
    <w:p w14:paraId="05BB482E" w14:textId="77777777" w:rsidR="00895CD2" w:rsidRDefault="00AD26F3" w:rsidP="007923D4">
      <w:pPr>
        <w:pStyle w:val="bullet"/>
      </w:pPr>
      <w:r>
        <w:rPr>
          <w:rStyle w:val="2body-italic"/>
        </w:rPr>
        <w:t>Quality improvement made simple</w:t>
      </w:r>
      <w:r>
        <w:t>, a resource by The Health Foundation (UK).</w:t>
      </w:r>
    </w:p>
    <w:p w14:paraId="7CCCB47F" w14:textId="77777777" w:rsidR="00895CD2" w:rsidRDefault="00AD26F3" w:rsidP="00093444">
      <w:pPr>
        <w:pStyle w:val="Heading2"/>
        <w:rPr>
          <w:lang w:val="en-GB"/>
        </w:rPr>
      </w:pPr>
      <w:bookmarkStart w:id="20" w:name="_Toc414011878"/>
      <w:r>
        <w:rPr>
          <w:lang w:val="en-GB"/>
        </w:rPr>
        <w:lastRenderedPageBreak/>
        <w:t xml:space="preserve">Knowledge and </w:t>
      </w:r>
      <w:r w:rsidRPr="006F35FE">
        <w:t>leadership</w:t>
      </w:r>
      <w:r>
        <w:rPr>
          <w:lang w:val="en-GB"/>
        </w:rPr>
        <w:t xml:space="preserve"> in safety and quality</w:t>
      </w:r>
      <w:bookmarkEnd w:id="20"/>
      <w:r>
        <w:rPr>
          <w:lang w:val="en-GB"/>
        </w:rPr>
        <w:t xml:space="preserve"> </w:t>
      </w:r>
    </w:p>
    <w:p w14:paraId="54355749" w14:textId="77777777" w:rsidR="00895CD2" w:rsidRDefault="00AD26F3">
      <w:pPr>
        <w:pStyle w:val="2body-copy"/>
        <w:rPr>
          <w:rFonts w:cs="Times New Roman"/>
          <w:lang w:val="en-GB"/>
        </w:rPr>
      </w:pPr>
      <w:r>
        <w:rPr>
          <w:rFonts w:cs="Times New Roman"/>
          <w:lang w:val="en-GB"/>
        </w:rPr>
        <w:t>The Commission works collaboratively with education providers, professional organisations, peak bodies, jurisdictions and researchers to embed safety and quality into the national curricula for healthcare-related undergraduate and postgraduate education, training and continuing professional development.</w:t>
      </w:r>
    </w:p>
    <w:p w14:paraId="1D625BC5" w14:textId="77777777" w:rsidR="00895CD2" w:rsidRDefault="00AD26F3">
      <w:pPr>
        <w:pStyle w:val="2body-copy"/>
        <w:rPr>
          <w:rFonts w:cs="Times New Roman"/>
          <w:lang w:val="en-GB"/>
        </w:rPr>
      </w:pPr>
      <w:r>
        <w:rPr>
          <w:rFonts w:cs="Times New Roman"/>
          <w:lang w:val="en-GB"/>
        </w:rPr>
        <w:t>In leading and coordinating national initiatives in safety and quality in health care, the Commission is required to contribute to other national initiatives that affect safety and quality in health care.</w:t>
      </w:r>
    </w:p>
    <w:p w14:paraId="61675CA5" w14:textId="77777777" w:rsidR="00895CD2" w:rsidRDefault="00AD26F3">
      <w:pPr>
        <w:pStyle w:val="1heading-level-2"/>
        <w:rPr>
          <w:rFonts w:cs="Times New Roman"/>
          <w:lang w:val="en-GB"/>
        </w:rPr>
      </w:pPr>
      <w:r>
        <w:rPr>
          <w:rFonts w:cs="Times New Roman"/>
          <w:lang w:val="en-GB"/>
        </w:rPr>
        <w:t>Supporting education, training and research</w:t>
      </w:r>
    </w:p>
    <w:p w14:paraId="555A1C1A" w14:textId="77777777" w:rsidR="00895CD2" w:rsidRDefault="00AD26F3">
      <w:pPr>
        <w:pStyle w:val="2body-copy"/>
        <w:rPr>
          <w:rFonts w:cs="Times New Roman"/>
          <w:lang w:val="en-GB"/>
        </w:rPr>
      </w:pPr>
      <w:r>
        <w:rPr>
          <w:rFonts w:cs="Times New Roman"/>
          <w:lang w:val="en-GB"/>
        </w:rPr>
        <w:t>Embedding safety and quality in health education, training and research will help ensure healthcare providers adhere to evidence-based safety and quality practices. The Commission supports this objective by contributing to professional education and research; developing training tools; and participating in workshops, conferences, external committees and advisory groups.</w:t>
      </w:r>
    </w:p>
    <w:p w14:paraId="7CF4FC71" w14:textId="77777777" w:rsidR="00895CD2" w:rsidRDefault="00AD26F3">
      <w:pPr>
        <w:pStyle w:val="1heading-level-3"/>
        <w:rPr>
          <w:rFonts w:cs="Times New Roman"/>
          <w:lang w:val="en-GB"/>
        </w:rPr>
      </w:pPr>
      <w:r>
        <w:rPr>
          <w:rFonts w:cs="Times New Roman"/>
          <w:lang w:val="en-GB"/>
        </w:rPr>
        <w:t>Healthcare providers’ education</w:t>
      </w:r>
    </w:p>
    <w:p w14:paraId="5D856393" w14:textId="77777777" w:rsidR="00895CD2" w:rsidRDefault="00AD26F3">
      <w:pPr>
        <w:pStyle w:val="2body-copy"/>
        <w:rPr>
          <w:rFonts w:cs="Times New Roman"/>
          <w:lang w:val="en-GB"/>
        </w:rPr>
      </w:pPr>
      <w:r>
        <w:rPr>
          <w:rFonts w:cs="Times New Roman"/>
          <w:lang w:val="en-GB"/>
        </w:rPr>
        <w:t>Delivering effective and appropriate care relies on healthcare providers’ knowledge and competency in patient safety, improving the quality of care, and communicating with patients and consumers. The Commission continues to advocate for the inclusion of key competencies related to providing safe, appropriate and effective care in healthcare providers’ training.</w:t>
      </w:r>
    </w:p>
    <w:p w14:paraId="6149E73A" w14:textId="77777777" w:rsidR="00895CD2" w:rsidRDefault="00AD26F3">
      <w:pPr>
        <w:pStyle w:val="2body-copy"/>
        <w:rPr>
          <w:rFonts w:cs="Times New Roman"/>
          <w:lang w:val="en-GB"/>
        </w:rPr>
      </w:pPr>
      <w:r>
        <w:rPr>
          <w:rFonts w:cs="Times New Roman"/>
          <w:lang w:val="en-GB"/>
        </w:rPr>
        <w:t xml:space="preserve">The Commission is building a program of work to determine the extent to which safety- and quality-related training is incorporated in healthcare education. In July 2013, the Commission concluded a national survey of nursing schools to identify curriculum content and assessments related to specific safety and quality topics that are part of the NSQHS Standards. Survey responses were received from 18 of the 37 schools of nursing. The data from the undergraduate nursing survey were provided to </w:t>
      </w:r>
      <w:proofErr w:type="gramStart"/>
      <w:r>
        <w:rPr>
          <w:rFonts w:cs="Times New Roman"/>
          <w:lang w:val="en-GB"/>
        </w:rPr>
        <w:t>WHO</w:t>
      </w:r>
      <w:proofErr w:type="gramEnd"/>
      <w:r>
        <w:rPr>
          <w:rFonts w:cs="Times New Roman"/>
          <w:lang w:val="en-GB"/>
        </w:rPr>
        <w:t xml:space="preserve"> as a part of the WHO/OECD Review of Quality of Care in the Asia–Pacific Region. The Commission will use the information to promote the inclusion of safety and quality topics in education curricula.</w:t>
      </w:r>
    </w:p>
    <w:p w14:paraId="6B387A54" w14:textId="77777777" w:rsidR="00895CD2" w:rsidRDefault="00AD26F3">
      <w:pPr>
        <w:pStyle w:val="1heading-level-3"/>
        <w:rPr>
          <w:rFonts w:cs="Times New Roman"/>
          <w:lang w:val="en-GB"/>
        </w:rPr>
      </w:pPr>
      <w:r>
        <w:rPr>
          <w:rFonts w:cs="Times New Roman"/>
          <w:lang w:val="en-GB"/>
        </w:rPr>
        <w:t>Participation in research</w:t>
      </w:r>
    </w:p>
    <w:p w14:paraId="70B9D5AF" w14:textId="77777777" w:rsidR="00895CD2" w:rsidRDefault="00AD26F3">
      <w:pPr>
        <w:pStyle w:val="2body-copy"/>
        <w:rPr>
          <w:rFonts w:cs="Times New Roman"/>
          <w:lang w:val="en-GB"/>
        </w:rPr>
      </w:pPr>
      <w:r>
        <w:rPr>
          <w:rFonts w:cs="Times New Roman"/>
          <w:lang w:val="en-GB"/>
        </w:rPr>
        <w:t>Evidence-based knowledge of safety and quality in health care informs all the Commission’s work. The Commission participates in, contributes to and funds a range of research activities related to safety, quality and best practice in health care. A full list of research activities that the Commission has been involved in during 2013/14 is provided in Appendix C on page 125.</w:t>
      </w:r>
    </w:p>
    <w:p w14:paraId="24478D71" w14:textId="77777777" w:rsidR="00895CD2" w:rsidRDefault="00AD26F3">
      <w:pPr>
        <w:pStyle w:val="1heading-level-3"/>
        <w:rPr>
          <w:rFonts w:cs="Times New Roman"/>
          <w:lang w:val="en-GB"/>
        </w:rPr>
      </w:pPr>
      <w:r>
        <w:rPr>
          <w:rFonts w:cs="Times New Roman"/>
          <w:lang w:val="en-GB"/>
        </w:rPr>
        <w:t>Conferences and meetings</w:t>
      </w:r>
    </w:p>
    <w:p w14:paraId="6809ED0F" w14:textId="77777777" w:rsidR="00895CD2" w:rsidRDefault="00AD26F3">
      <w:pPr>
        <w:pStyle w:val="2body-copy"/>
        <w:rPr>
          <w:rFonts w:cs="Times New Roman"/>
          <w:lang w:val="en-GB"/>
        </w:rPr>
      </w:pPr>
      <w:r>
        <w:rPr>
          <w:rFonts w:cs="Times New Roman"/>
          <w:lang w:val="en-GB"/>
        </w:rPr>
        <w:t>Conferences, meetings and forums provide a platform for the Commission to communicate directly with key stakeholders, including healthcare providers and executives, policy makers and advisors, peak bodies and consumer groups.</w:t>
      </w:r>
    </w:p>
    <w:p w14:paraId="5FD83D73" w14:textId="77777777" w:rsidR="00895CD2" w:rsidRDefault="00AD26F3">
      <w:pPr>
        <w:pStyle w:val="2body-copy"/>
        <w:rPr>
          <w:rFonts w:cs="Times New Roman"/>
          <w:lang w:val="en-GB"/>
        </w:rPr>
      </w:pPr>
      <w:r>
        <w:rPr>
          <w:rFonts w:cs="Times New Roman"/>
          <w:lang w:val="en-GB"/>
        </w:rPr>
        <w:t>In July 2013, the Commission convened the Australian One Health AMR Colloquium on behalf of the Australian AMR Prevention and Containment Steering Group. The colloquium helped inform the development of a comprehensive national AMR strategy.</w:t>
      </w:r>
    </w:p>
    <w:p w14:paraId="05BA5F4A" w14:textId="77777777" w:rsidR="00895CD2" w:rsidRDefault="00AD26F3">
      <w:pPr>
        <w:pStyle w:val="2body-copy"/>
        <w:rPr>
          <w:rFonts w:cs="Times New Roman"/>
          <w:lang w:val="en-GB"/>
        </w:rPr>
      </w:pPr>
      <w:r>
        <w:rPr>
          <w:rFonts w:cs="Times New Roman"/>
          <w:lang w:val="en-GB"/>
        </w:rPr>
        <w:t xml:space="preserve">In 2013/14, the Commission coordinated a series of lectures and workshops led by international experts in the fields of healthcare variation and shared decision making. </w:t>
      </w:r>
    </w:p>
    <w:p w14:paraId="59E64CAF" w14:textId="77777777" w:rsidR="00895CD2" w:rsidRDefault="00AD26F3">
      <w:pPr>
        <w:pStyle w:val="2body-copy"/>
        <w:rPr>
          <w:rFonts w:cs="Times New Roman"/>
          <w:lang w:val="en-GB"/>
        </w:rPr>
      </w:pPr>
      <w:r>
        <w:rPr>
          <w:rFonts w:cs="Times New Roman"/>
          <w:lang w:val="en-GB"/>
        </w:rPr>
        <w:t xml:space="preserve">In September 2013, 200 people attended a public lecture on health reform and medical practice variation by Professor Sir Muir </w:t>
      </w:r>
      <w:proofErr w:type="spellStart"/>
      <w:r>
        <w:rPr>
          <w:rFonts w:cs="Times New Roman"/>
          <w:lang w:val="en-GB"/>
        </w:rPr>
        <w:t>Gray</w:t>
      </w:r>
      <w:proofErr w:type="spellEnd"/>
      <w:r>
        <w:rPr>
          <w:rFonts w:cs="Times New Roman"/>
          <w:lang w:val="en-GB"/>
        </w:rPr>
        <w:t>, who was responsible for developing the National Health Service (NHS, UK) Atlases of Variation in Healthcare. Sir Muir also led a workshop on developing atlases of variation in health care, providing further detail on the NHS experience. Selected state and territory representatives presented their organisation’s initiatives to reduce clinical variation. The workshop was attended by 40 people.</w:t>
      </w:r>
    </w:p>
    <w:p w14:paraId="7318B541" w14:textId="77777777" w:rsidR="00895CD2" w:rsidRDefault="00AD26F3">
      <w:pPr>
        <w:pStyle w:val="2body-copy"/>
        <w:rPr>
          <w:rFonts w:cs="Times New Roman"/>
          <w:lang w:val="en-GB"/>
        </w:rPr>
      </w:pPr>
      <w:r>
        <w:rPr>
          <w:rFonts w:cs="Times New Roman"/>
          <w:lang w:val="en-GB"/>
        </w:rPr>
        <w:t xml:space="preserve">In October 2013, the Commission hosted international expert in shared decision making, Professor France </w:t>
      </w:r>
      <w:proofErr w:type="spellStart"/>
      <w:r>
        <w:rPr>
          <w:rFonts w:cs="Times New Roman"/>
          <w:lang w:val="en-GB"/>
        </w:rPr>
        <w:t>Légaré</w:t>
      </w:r>
      <w:proofErr w:type="spellEnd"/>
      <w:r>
        <w:rPr>
          <w:rFonts w:cs="Times New Roman"/>
          <w:lang w:val="en-GB"/>
        </w:rPr>
        <w:t xml:space="preserve">. Professor </w:t>
      </w:r>
      <w:proofErr w:type="spellStart"/>
      <w:r>
        <w:rPr>
          <w:rFonts w:cs="Times New Roman"/>
          <w:lang w:val="en-GB"/>
        </w:rPr>
        <w:t>Légaré</w:t>
      </w:r>
      <w:proofErr w:type="spellEnd"/>
      <w:r>
        <w:rPr>
          <w:rFonts w:cs="Times New Roman"/>
          <w:lang w:val="en-GB"/>
        </w:rPr>
        <w:t xml:space="preserve"> is the Chair of Implementation of Shared Decision Making in Primary Care at the </w:t>
      </w:r>
      <w:proofErr w:type="spellStart"/>
      <w:r>
        <w:rPr>
          <w:rFonts w:cs="Times New Roman"/>
          <w:lang w:val="en-GB"/>
        </w:rPr>
        <w:t>Université</w:t>
      </w:r>
      <w:proofErr w:type="spellEnd"/>
      <w:r>
        <w:rPr>
          <w:rFonts w:cs="Times New Roman"/>
          <w:lang w:val="en-GB"/>
        </w:rPr>
        <w:t xml:space="preserve"> Laval, Québec. She presented at a public lecture and led two shared decision-making workshops.</w:t>
      </w:r>
    </w:p>
    <w:p w14:paraId="15EE7D18" w14:textId="77777777" w:rsidR="00895CD2" w:rsidRDefault="00AD26F3">
      <w:pPr>
        <w:pStyle w:val="2body-copy"/>
        <w:rPr>
          <w:rFonts w:cs="Times New Roman"/>
          <w:lang w:val="en-GB"/>
        </w:rPr>
      </w:pPr>
      <w:r>
        <w:rPr>
          <w:rFonts w:cs="Times New Roman"/>
          <w:lang w:val="en-GB"/>
        </w:rPr>
        <w:t xml:space="preserve">In February 2014, the Commission invited visiting Professor </w:t>
      </w:r>
      <w:proofErr w:type="spellStart"/>
      <w:r>
        <w:rPr>
          <w:rFonts w:cs="Times New Roman"/>
          <w:lang w:val="en-GB"/>
        </w:rPr>
        <w:t>Dilip</w:t>
      </w:r>
      <w:proofErr w:type="spellEnd"/>
      <w:r>
        <w:rPr>
          <w:rFonts w:cs="Times New Roman"/>
          <w:lang w:val="en-GB"/>
        </w:rPr>
        <w:t xml:space="preserve"> </w:t>
      </w:r>
      <w:proofErr w:type="spellStart"/>
      <w:r>
        <w:rPr>
          <w:rFonts w:cs="Times New Roman"/>
          <w:lang w:val="en-GB"/>
        </w:rPr>
        <w:t>Nathwani</w:t>
      </w:r>
      <w:proofErr w:type="spellEnd"/>
      <w:r>
        <w:rPr>
          <w:rFonts w:cs="Times New Roman"/>
          <w:lang w:val="en-GB"/>
        </w:rPr>
        <w:t xml:space="preserve">, Consultant Physician in Infectious Diseases and Honorary Professor of Infection at </w:t>
      </w:r>
      <w:proofErr w:type="spellStart"/>
      <w:r>
        <w:rPr>
          <w:rFonts w:cs="Times New Roman"/>
          <w:lang w:val="en-GB"/>
        </w:rPr>
        <w:t>Ninewells</w:t>
      </w:r>
      <w:proofErr w:type="spellEnd"/>
      <w:r>
        <w:rPr>
          <w:rFonts w:cs="Times New Roman"/>
          <w:lang w:val="en-GB"/>
        </w:rPr>
        <w:t xml:space="preserve"> Hospital and Medical School, Dundee, UK, to lead a </w:t>
      </w:r>
      <w:r>
        <w:rPr>
          <w:rFonts w:cs="Times New Roman"/>
          <w:lang w:val="en-GB"/>
        </w:rPr>
        <w:lastRenderedPageBreak/>
        <w:t xml:space="preserve">master class in antimicrobial stewardship (AMS). The master class was attended by members of the AMS and Healthcare Associated Infection Advisory Committees and AMS Jurisdiction. The class focused on Professor </w:t>
      </w:r>
      <w:proofErr w:type="spellStart"/>
      <w:r>
        <w:rPr>
          <w:rFonts w:cs="Times New Roman"/>
          <w:lang w:val="en-GB"/>
        </w:rPr>
        <w:t>Nathwani’s</w:t>
      </w:r>
      <w:proofErr w:type="spellEnd"/>
      <w:r>
        <w:rPr>
          <w:rFonts w:cs="Times New Roman"/>
          <w:lang w:val="en-GB"/>
        </w:rPr>
        <w:t xml:space="preserve"> experience in AMS implementation and education in Scotland. </w:t>
      </w:r>
    </w:p>
    <w:p w14:paraId="7941CC92" w14:textId="77777777" w:rsidR="00895CD2" w:rsidRDefault="00AD26F3">
      <w:pPr>
        <w:pStyle w:val="2body-copy"/>
        <w:rPr>
          <w:rFonts w:cs="Times New Roman"/>
          <w:lang w:val="en-GB"/>
        </w:rPr>
      </w:pPr>
      <w:r>
        <w:rPr>
          <w:rFonts w:cs="Times New Roman"/>
          <w:lang w:val="en-GB"/>
        </w:rPr>
        <w:t>The Commission also participates in externally convened conferences, meetings and forums that link closely with our work. In 2013/14, Commission representatives presented papers at more than 60 external conferences, meetings and forums, reaching more than 8,000 healthcare providers and other key stakeholders.</w:t>
      </w:r>
    </w:p>
    <w:p w14:paraId="6C51E87C" w14:textId="77777777" w:rsidR="00895CD2" w:rsidRDefault="00AD26F3">
      <w:pPr>
        <w:pStyle w:val="2body-copy"/>
        <w:rPr>
          <w:rFonts w:cs="Times New Roman"/>
          <w:lang w:val="en-GB"/>
        </w:rPr>
      </w:pPr>
      <w:r>
        <w:rPr>
          <w:rFonts w:cs="Times New Roman"/>
          <w:lang w:val="en-GB"/>
        </w:rPr>
        <w:t>The Commission also sponsored three healthcare-related conferences. A list of the sponsored events can be found in Appendix D on page 127.</w:t>
      </w:r>
    </w:p>
    <w:p w14:paraId="1D50C92C" w14:textId="77777777" w:rsidR="00895CD2" w:rsidRDefault="00AD26F3">
      <w:pPr>
        <w:pStyle w:val="1heading-level-3"/>
        <w:rPr>
          <w:rFonts w:cs="Times New Roman"/>
          <w:lang w:val="en-GB"/>
        </w:rPr>
      </w:pPr>
      <w:r>
        <w:rPr>
          <w:rFonts w:cs="Times New Roman"/>
          <w:lang w:val="en-GB"/>
        </w:rPr>
        <w:t>Training and workshops</w:t>
      </w:r>
    </w:p>
    <w:p w14:paraId="3F4254A8" w14:textId="77777777" w:rsidR="00895CD2" w:rsidRDefault="00AD26F3">
      <w:pPr>
        <w:pStyle w:val="2body-copy"/>
        <w:rPr>
          <w:rFonts w:cs="Times New Roman"/>
          <w:lang w:val="en-GB"/>
        </w:rPr>
      </w:pPr>
      <w:r>
        <w:rPr>
          <w:rFonts w:cs="Times New Roman"/>
          <w:lang w:val="en-GB"/>
        </w:rPr>
        <w:t>The Commission coordinates and participates in workshops as required to facilitate the adoption of its programs. During 2013/14, Commission representatives contributed to 35 workshops nationally.</w:t>
      </w:r>
    </w:p>
    <w:p w14:paraId="6EB6894B" w14:textId="77777777" w:rsidR="00895CD2" w:rsidRDefault="00AD26F3">
      <w:pPr>
        <w:pStyle w:val="2body-copy-before-bullet"/>
        <w:rPr>
          <w:rFonts w:cs="Times New Roman"/>
          <w:lang w:val="en-GB"/>
        </w:rPr>
      </w:pPr>
      <w:r>
        <w:rPr>
          <w:rFonts w:cs="Times New Roman"/>
          <w:lang w:val="en-GB"/>
        </w:rPr>
        <w:t>The Commission also develops and maintains a number of online training tools to support improvements in healthcare safety and quality. During 2013/14, the Commission managed and maintained:</w:t>
      </w:r>
    </w:p>
    <w:p w14:paraId="6BBE0166" w14:textId="77777777" w:rsidR="00895CD2" w:rsidRDefault="00AD26F3" w:rsidP="007923D4">
      <w:pPr>
        <w:pStyle w:val="bullet"/>
      </w:pPr>
      <w:r>
        <w:t xml:space="preserve">modules about prescribing antimicrobials in the National Prescribing Curriculum (in partnership with NPS </w:t>
      </w:r>
      <w:proofErr w:type="spellStart"/>
      <w:r>
        <w:t>MedicineWise</w:t>
      </w:r>
      <w:proofErr w:type="spellEnd"/>
      <w:r>
        <w:t>)</w:t>
      </w:r>
    </w:p>
    <w:p w14:paraId="73488955" w14:textId="77777777" w:rsidR="00895CD2" w:rsidRDefault="00AD26F3" w:rsidP="007923D4">
      <w:pPr>
        <w:pStyle w:val="bullet"/>
      </w:pPr>
      <w:r>
        <w:t>online interactive education modules for infection prevention and control</w:t>
      </w:r>
    </w:p>
    <w:p w14:paraId="40C975A5" w14:textId="77777777" w:rsidR="00895CD2" w:rsidRDefault="00AD26F3" w:rsidP="007923D4">
      <w:pPr>
        <w:pStyle w:val="bullet"/>
      </w:pPr>
      <w:proofErr w:type="gramStart"/>
      <w:r>
        <w:t>an</w:t>
      </w:r>
      <w:proofErr w:type="gramEnd"/>
      <w:r>
        <w:t xml:space="preserve"> infection prevention and control orientation package for health care workers.</w:t>
      </w:r>
    </w:p>
    <w:p w14:paraId="0BB306D9" w14:textId="77777777" w:rsidR="00895CD2" w:rsidRDefault="00AD26F3">
      <w:pPr>
        <w:pStyle w:val="1heading-level-3"/>
        <w:rPr>
          <w:rFonts w:cs="Times New Roman"/>
          <w:lang w:val="en-GB"/>
        </w:rPr>
      </w:pPr>
      <w:r>
        <w:rPr>
          <w:rFonts w:cs="Times New Roman"/>
          <w:lang w:val="en-GB"/>
        </w:rPr>
        <w:t>External representations</w:t>
      </w:r>
    </w:p>
    <w:p w14:paraId="6E1A6661" w14:textId="77777777" w:rsidR="00895CD2" w:rsidRDefault="00AD26F3">
      <w:pPr>
        <w:pStyle w:val="2body-copy"/>
        <w:rPr>
          <w:rFonts w:cs="Times New Roman"/>
          <w:lang w:val="en-GB"/>
        </w:rPr>
      </w:pPr>
      <w:r>
        <w:rPr>
          <w:rFonts w:cs="Times New Roman"/>
          <w:lang w:val="en-GB"/>
        </w:rPr>
        <w:t>The Commission promotes evidence-based safety and quality in health care by participating in numerous international, national and jurisdictional committees, organisations and agencies.</w:t>
      </w:r>
    </w:p>
    <w:p w14:paraId="05D6963F" w14:textId="77777777" w:rsidR="00895CD2" w:rsidRDefault="00AD26F3">
      <w:pPr>
        <w:pStyle w:val="2body-copy"/>
        <w:rPr>
          <w:rFonts w:cs="Times New Roman"/>
          <w:lang w:val="en-GB"/>
        </w:rPr>
      </w:pPr>
      <w:r>
        <w:rPr>
          <w:rFonts w:cs="Times New Roman"/>
          <w:lang w:val="en-GB"/>
        </w:rPr>
        <w:t>A full list of the Commission’s external representations in 2013/14 is included in Appendix E on page 128.</w:t>
      </w:r>
    </w:p>
    <w:p w14:paraId="144E9DDF" w14:textId="77777777" w:rsidR="00895CD2" w:rsidRDefault="00AD26F3">
      <w:pPr>
        <w:pStyle w:val="1heading-level-2"/>
        <w:rPr>
          <w:rFonts w:cs="Times New Roman"/>
          <w:lang w:val="en-GB"/>
        </w:rPr>
      </w:pPr>
      <w:r>
        <w:rPr>
          <w:rFonts w:cs="Times New Roman"/>
          <w:lang w:val="en-GB"/>
        </w:rPr>
        <w:t>Contributing to national initiatives</w:t>
      </w:r>
    </w:p>
    <w:p w14:paraId="270B2338" w14:textId="77777777" w:rsidR="00895CD2" w:rsidRDefault="00AD26F3">
      <w:pPr>
        <w:pStyle w:val="2body-copy"/>
        <w:rPr>
          <w:rFonts w:cs="Times New Roman"/>
          <w:lang w:val="en-GB"/>
        </w:rPr>
      </w:pPr>
      <w:r>
        <w:rPr>
          <w:rFonts w:cs="Times New Roman"/>
          <w:lang w:val="en-GB"/>
        </w:rPr>
        <w:t>During 2013/14, the Commission continued its involvement in two major national initiatives: the implementation of the Personally Controlled Electronic Health Record (PCEHR) system, and the Independent Hospital Pricing Authority’s (IHPA) work regarding the pricing of Australian public hospital services.</w:t>
      </w:r>
    </w:p>
    <w:p w14:paraId="7152DF73" w14:textId="77777777" w:rsidR="00895CD2" w:rsidRDefault="00AD26F3">
      <w:pPr>
        <w:pStyle w:val="2body-copy"/>
        <w:rPr>
          <w:rFonts w:cs="Times New Roman"/>
          <w:lang w:val="en-GB"/>
        </w:rPr>
      </w:pPr>
      <w:r>
        <w:rPr>
          <w:rFonts w:cs="Times New Roman"/>
          <w:lang w:val="en-GB"/>
        </w:rPr>
        <w:t>The Commission also led Australia’s contribution to an OECD study of variations in health care. See page 41 for details on this study.</w:t>
      </w:r>
    </w:p>
    <w:p w14:paraId="13534341" w14:textId="77777777" w:rsidR="00895CD2" w:rsidRDefault="00AD26F3">
      <w:pPr>
        <w:pStyle w:val="1heading-level-3"/>
        <w:rPr>
          <w:rFonts w:cs="Times New Roman"/>
          <w:lang w:val="en-GB"/>
        </w:rPr>
      </w:pPr>
      <w:r>
        <w:rPr>
          <w:rFonts w:cs="Times New Roman"/>
          <w:lang w:val="en-GB"/>
        </w:rPr>
        <w:t>Auditing the clinical safety of the PCEHR system</w:t>
      </w:r>
    </w:p>
    <w:p w14:paraId="7C47CD7B" w14:textId="77777777" w:rsidR="00895CD2" w:rsidRDefault="00AD26F3">
      <w:pPr>
        <w:pStyle w:val="2body-copy"/>
        <w:rPr>
          <w:rFonts w:cs="Times New Roman"/>
          <w:lang w:val="en-GB"/>
        </w:rPr>
      </w:pPr>
      <w:r>
        <w:rPr>
          <w:rFonts w:cs="Times New Roman"/>
          <w:lang w:val="en-GB"/>
        </w:rPr>
        <w:t xml:space="preserve">The introduction of the PCEHR system in 2012 has brought new benefits to healthcare consumers and providers. Monitoring and assuring the system’s clinical safety is a critical governance function. </w:t>
      </w:r>
    </w:p>
    <w:p w14:paraId="69A2E2B7" w14:textId="77777777" w:rsidR="00895CD2" w:rsidRDefault="00AD26F3">
      <w:pPr>
        <w:pStyle w:val="2body-copy"/>
        <w:rPr>
          <w:rFonts w:cs="Times New Roman"/>
          <w:lang w:val="en-GB"/>
        </w:rPr>
      </w:pPr>
      <w:r>
        <w:rPr>
          <w:rFonts w:cs="Times New Roman"/>
          <w:lang w:val="en-GB"/>
        </w:rPr>
        <w:t>During 2013/14, the Commission has continued its involvement in the national implementation of the PCEHR system, in partnership with the Department of Health.</w:t>
      </w:r>
    </w:p>
    <w:p w14:paraId="28E06A36" w14:textId="77777777" w:rsidR="00895CD2" w:rsidRDefault="00AD26F3">
      <w:pPr>
        <w:pStyle w:val="2body-copy"/>
        <w:rPr>
          <w:rFonts w:cs="Times New Roman"/>
          <w:lang w:val="en-GB"/>
        </w:rPr>
      </w:pPr>
      <w:r>
        <w:rPr>
          <w:rFonts w:cs="Times New Roman"/>
          <w:lang w:val="en-GB"/>
        </w:rPr>
        <w:t xml:space="preserve">The PCEHR Clinical Governance Advisory Group provides advice to the Commission and the PCEHR System Operator. The group is chaired by Australian Chief Medical Officer, Professor Chris </w:t>
      </w:r>
      <w:proofErr w:type="spellStart"/>
      <w:r>
        <w:rPr>
          <w:rFonts w:cs="Times New Roman"/>
          <w:lang w:val="en-GB"/>
        </w:rPr>
        <w:t>Baggoley</w:t>
      </w:r>
      <w:proofErr w:type="spellEnd"/>
      <w:r>
        <w:rPr>
          <w:rFonts w:cs="Times New Roman"/>
          <w:lang w:val="en-GB"/>
        </w:rPr>
        <w:t>, and includes users of the system and experts in clinical safety and governance, health IT and patient safety. The PCEHR Clinical Governance Advisory Group met four times during 2013/14.</w:t>
      </w:r>
    </w:p>
    <w:p w14:paraId="44576A64" w14:textId="77777777" w:rsidR="00895CD2" w:rsidRDefault="00AD26F3">
      <w:pPr>
        <w:pStyle w:val="2body-copy"/>
        <w:rPr>
          <w:rFonts w:cs="Times New Roman"/>
          <w:lang w:val="en-GB"/>
        </w:rPr>
      </w:pPr>
      <w:r>
        <w:rPr>
          <w:rFonts w:cs="Times New Roman"/>
          <w:lang w:val="en-GB"/>
        </w:rPr>
        <w:t xml:space="preserve">The Commission completed the third clinical safety audit of the PCEHR system in December 2013 and made recommendations to improve the presentation of information in the PCEHR and the clinical governance of the system. All recommendations and findings from the report were accepted by the System Operator. The fourth clinical safety audit was completed in June 2014. </w:t>
      </w:r>
    </w:p>
    <w:p w14:paraId="689950D2" w14:textId="77777777" w:rsidR="00895CD2" w:rsidRDefault="00AD26F3">
      <w:pPr>
        <w:pStyle w:val="2body-copy"/>
        <w:rPr>
          <w:rFonts w:cs="Times New Roman"/>
          <w:lang w:val="en-GB"/>
        </w:rPr>
      </w:pPr>
      <w:r>
        <w:rPr>
          <w:rFonts w:cs="Times New Roman"/>
          <w:lang w:val="en-GB"/>
        </w:rPr>
        <w:t>The Commission also completed two structured reviews of incidents reported in the PCEHR following notification by the PCEHR System Operator.</w:t>
      </w:r>
    </w:p>
    <w:p w14:paraId="5CBE87F7" w14:textId="77777777" w:rsidR="00AD26F3" w:rsidRDefault="00AD26F3">
      <w:pPr>
        <w:spacing w:after="0"/>
        <w:rPr>
          <w:rFonts w:cs="Times New Roman"/>
          <w:b/>
          <w:bCs/>
          <w:color w:val="5F605F"/>
          <w:sz w:val="24"/>
          <w:szCs w:val="24"/>
          <w:lang w:val="en-GB"/>
        </w:rPr>
      </w:pPr>
      <w:r>
        <w:rPr>
          <w:rFonts w:cs="Times New Roman"/>
          <w:lang w:val="en-GB"/>
        </w:rPr>
        <w:br w:type="page"/>
      </w:r>
    </w:p>
    <w:p w14:paraId="1472FC5B" w14:textId="77777777" w:rsidR="00895CD2" w:rsidRDefault="00AD26F3">
      <w:pPr>
        <w:pStyle w:val="1heading-level-3"/>
        <w:rPr>
          <w:rFonts w:cs="Times New Roman"/>
          <w:lang w:val="en-GB"/>
        </w:rPr>
      </w:pPr>
      <w:r>
        <w:rPr>
          <w:rFonts w:cs="Times New Roman"/>
          <w:lang w:val="en-GB"/>
        </w:rPr>
        <w:lastRenderedPageBreak/>
        <w:t>Collaboration with the Independent Hospital Pricing Authority</w:t>
      </w:r>
    </w:p>
    <w:p w14:paraId="1A47D892" w14:textId="77777777" w:rsidR="00895CD2" w:rsidRDefault="00AD26F3">
      <w:pPr>
        <w:pStyle w:val="2body-copy"/>
        <w:rPr>
          <w:rFonts w:cs="Times New Roman"/>
          <w:lang w:val="en-GB"/>
        </w:rPr>
      </w:pPr>
      <w:r>
        <w:rPr>
          <w:rFonts w:cs="Times New Roman"/>
          <w:lang w:val="en-GB"/>
        </w:rPr>
        <w:t xml:space="preserve">During 2013/14, the Commission has continued to collaborate with the IHPA on examining ways to incorporate safety and quality in the pricing of Australian public hospital services. A joint working party comprising clinicians, consumers and policy makers oversaw this work and provided advice to both agencies. </w:t>
      </w:r>
    </w:p>
    <w:p w14:paraId="514C24A4" w14:textId="77777777" w:rsidR="00895CD2" w:rsidRDefault="00AD26F3">
      <w:pPr>
        <w:pStyle w:val="2body-copy"/>
        <w:rPr>
          <w:rFonts w:cs="Times New Roman"/>
          <w:lang w:val="en-GB"/>
        </w:rPr>
      </w:pPr>
      <w:r>
        <w:rPr>
          <w:rFonts w:cs="Times New Roman"/>
          <w:lang w:val="en-GB"/>
        </w:rPr>
        <w:t xml:space="preserve">Following a comprehensive literature review and additional research on this topic, three projects examining potential uses of </w:t>
      </w:r>
      <w:proofErr w:type="spellStart"/>
      <w:r>
        <w:rPr>
          <w:rFonts w:cs="Times New Roman"/>
          <w:lang w:val="en-GB"/>
        </w:rPr>
        <w:t>casemix</w:t>
      </w:r>
      <w:proofErr w:type="spellEnd"/>
      <w:r>
        <w:rPr>
          <w:rFonts w:cs="Times New Roman"/>
          <w:lang w:val="en-GB"/>
        </w:rPr>
        <w:t xml:space="preserve"> data routinely collected in Australian hospitals were completed in 2013/14. </w:t>
      </w:r>
    </w:p>
    <w:p w14:paraId="71268BFB" w14:textId="77777777" w:rsidR="00895CD2" w:rsidRDefault="00AD26F3">
      <w:pPr>
        <w:pStyle w:val="2body-copy-before-bullet"/>
        <w:rPr>
          <w:rFonts w:cs="Times New Roman"/>
          <w:lang w:val="en-GB"/>
        </w:rPr>
      </w:pPr>
      <w:r>
        <w:rPr>
          <w:rFonts w:cs="Times New Roman"/>
          <w:lang w:val="en-GB"/>
        </w:rPr>
        <w:t>These include:</w:t>
      </w:r>
    </w:p>
    <w:p w14:paraId="6ED5054E" w14:textId="77777777" w:rsidR="00895CD2" w:rsidRDefault="00AD26F3" w:rsidP="007923D4">
      <w:pPr>
        <w:pStyle w:val="bullet"/>
      </w:pPr>
      <w:r>
        <w:t>a clinician-led process to identify, specify and group a national set of high-priority hospital complications for routine local monitoring</w:t>
      </w:r>
    </w:p>
    <w:p w14:paraId="7D397B8A" w14:textId="77777777" w:rsidR="00895CD2" w:rsidRDefault="00AD26F3" w:rsidP="007923D4">
      <w:pPr>
        <w:pStyle w:val="bullet"/>
      </w:pPr>
      <w:r>
        <w:t>analysis of hospital-acquired diagnoses and their effect on case complexity and resource use</w:t>
      </w:r>
    </w:p>
    <w:p w14:paraId="2145673A" w14:textId="77777777" w:rsidR="00895CD2" w:rsidRDefault="00AD26F3" w:rsidP="007923D4">
      <w:pPr>
        <w:pStyle w:val="bullet"/>
      </w:pPr>
      <w:proofErr w:type="gramStart"/>
      <w:r>
        <w:t>an</w:t>
      </w:r>
      <w:proofErr w:type="gramEnd"/>
      <w:r>
        <w:t xml:space="preserve"> environmental scan of how </w:t>
      </w:r>
      <w:proofErr w:type="spellStart"/>
      <w:r>
        <w:t>casemix</w:t>
      </w:r>
      <w:proofErr w:type="spellEnd"/>
      <w:r>
        <w:t xml:space="preserve"> data is being used to drive quality improvement.</w:t>
      </w:r>
    </w:p>
    <w:p w14:paraId="7E95ECEA" w14:textId="77777777" w:rsidR="00895CD2" w:rsidRDefault="00AD26F3">
      <w:pPr>
        <w:pStyle w:val="2body-copy"/>
        <w:rPr>
          <w:rFonts w:cs="Times New Roman"/>
          <w:lang w:val="en-GB"/>
        </w:rPr>
      </w:pPr>
      <w:r>
        <w:rPr>
          <w:rFonts w:cs="Times New Roman"/>
          <w:lang w:val="en-GB"/>
        </w:rPr>
        <w:t xml:space="preserve">A discussion paper, </w:t>
      </w:r>
      <w:r>
        <w:rPr>
          <w:rStyle w:val="2body-italic"/>
          <w:rFonts w:cs="Times New Roman"/>
          <w:lang w:val="en-GB"/>
        </w:rPr>
        <w:t>Options for Incorporating Safety and Quality into Public Hospital Pricing</w:t>
      </w:r>
      <w:r>
        <w:rPr>
          <w:rFonts w:cs="Times New Roman"/>
          <w:lang w:val="en-GB"/>
        </w:rPr>
        <w:t xml:space="preserve">, was developed and distributed to states, territories and the Commonwealth for comment and feedback in January 2014. The outcomes of this consultation will be presented to the Commission and IHPA boards for consideration. </w:t>
      </w:r>
    </w:p>
    <w:p w14:paraId="58AECCD6" w14:textId="77777777" w:rsidR="00895CD2" w:rsidRDefault="00AD26F3">
      <w:pPr>
        <w:pStyle w:val="2body-copy"/>
        <w:rPr>
          <w:rFonts w:cs="Times New Roman"/>
          <w:lang w:val="en-GB"/>
        </w:rPr>
      </w:pPr>
      <w:r>
        <w:rPr>
          <w:rFonts w:cs="Times New Roman"/>
          <w:lang w:val="en-GB"/>
        </w:rPr>
        <w:t>In March 2014, an investigation began into how routinely collected administrative data can be used to drive improvement in safety and quality at local level. This includes addressing the recommendations of the three reports completed in 2013/14.</w:t>
      </w:r>
    </w:p>
    <w:tbl>
      <w:tblPr>
        <w:tblW w:w="10319" w:type="dxa"/>
        <w:tblBorders>
          <w:left w:val="dotted" w:sz="8" w:space="0" w:color="00837D"/>
          <w:bottom w:val="dotted" w:sz="8" w:space="0" w:color="00837D"/>
          <w:right w:val="dotted" w:sz="8" w:space="0" w:color="00837D"/>
          <w:insideH w:val="dotted" w:sz="8" w:space="0" w:color="00837D"/>
        </w:tblBorders>
        <w:tblCellMar>
          <w:top w:w="57" w:type="dxa"/>
          <w:left w:w="113" w:type="dxa"/>
          <w:bottom w:w="57" w:type="dxa"/>
          <w:right w:w="113" w:type="dxa"/>
        </w:tblCellMar>
        <w:tblLook w:val="04A0" w:firstRow="1" w:lastRow="0" w:firstColumn="1" w:lastColumn="0" w:noHBand="0" w:noVBand="1"/>
      </w:tblPr>
      <w:tblGrid>
        <w:gridCol w:w="10319"/>
      </w:tblGrid>
      <w:tr w:rsidR="00895CD2" w14:paraId="06843890" w14:textId="77777777" w:rsidTr="00AF5B76">
        <w:tc>
          <w:tcPr>
            <w:tcW w:w="10319" w:type="dxa"/>
            <w:shd w:val="clear" w:color="auto" w:fill="00837D"/>
            <w:vAlign w:val="center"/>
            <w:hideMark/>
          </w:tcPr>
          <w:p w14:paraId="44F50316" w14:textId="77777777" w:rsidR="00895CD2" w:rsidRDefault="00AD26F3">
            <w:pPr>
              <w:pStyle w:val="3table-header-l"/>
              <w:rPr>
                <w:rFonts w:cs="Times New Roman"/>
              </w:rPr>
            </w:pPr>
            <w:r>
              <w:rPr>
                <w:rFonts w:cs="Times New Roman"/>
              </w:rPr>
              <w:t>Key achievements 2013/14</w:t>
            </w:r>
          </w:p>
        </w:tc>
      </w:tr>
      <w:tr w:rsidR="00895CD2" w14:paraId="12CEFD59" w14:textId="77777777" w:rsidTr="00AD26F3">
        <w:trPr>
          <w:trHeight w:val="600"/>
        </w:trPr>
        <w:tc>
          <w:tcPr>
            <w:tcW w:w="10319" w:type="dxa"/>
            <w:vAlign w:val="center"/>
            <w:hideMark/>
          </w:tcPr>
          <w:p w14:paraId="197AB06D" w14:textId="77777777" w:rsidR="00895CD2" w:rsidRDefault="00AD26F3" w:rsidP="00AD26F3">
            <w:pPr>
              <w:pStyle w:val="2body-copy"/>
              <w:spacing w:before="0"/>
              <w:rPr>
                <w:rFonts w:cs="Times New Roman"/>
              </w:rPr>
            </w:pPr>
            <w:r>
              <w:rPr>
                <w:rStyle w:val="s2-pull-out-numbers"/>
                <w:rFonts w:cs="Times New Roman"/>
              </w:rPr>
              <w:t>3</w:t>
            </w:r>
            <w:r>
              <w:rPr>
                <w:rFonts w:cs="Times New Roman"/>
              </w:rPr>
              <w:t xml:space="preserve"> reports examining potential uses of </w:t>
            </w:r>
            <w:proofErr w:type="spellStart"/>
            <w:r>
              <w:rPr>
                <w:rFonts w:cs="Times New Roman"/>
              </w:rPr>
              <w:t>casemix</w:t>
            </w:r>
            <w:proofErr w:type="spellEnd"/>
            <w:r>
              <w:rPr>
                <w:rFonts w:cs="Times New Roman"/>
              </w:rPr>
              <w:t xml:space="preserve"> data were released.</w:t>
            </w:r>
          </w:p>
        </w:tc>
      </w:tr>
    </w:tbl>
    <w:p w14:paraId="29D9F834" w14:textId="77777777" w:rsidR="007923D4" w:rsidRDefault="007923D4" w:rsidP="007923D4">
      <w:pPr>
        <w:rPr>
          <w:rFonts w:eastAsia="Times New Roman" w:cs="Times New Roman"/>
          <w:lang w:val="en-GB"/>
        </w:rPr>
      </w:pPr>
    </w:p>
    <w:p w14:paraId="2A13B790" w14:textId="77777777" w:rsidR="00AF5B76" w:rsidRDefault="00AF5B76">
      <w:pPr>
        <w:spacing w:after="0"/>
        <w:rPr>
          <w:rFonts w:eastAsia="Times New Roman" w:cs="Times New Roman"/>
          <w:lang w:val="en-GB"/>
        </w:rPr>
      </w:pPr>
      <w:r>
        <w:rPr>
          <w:rFonts w:eastAsia="Times New Roman" w:cs="Times New Roman"/>
          <w:noProof/>
          <w:lang w:eastAsia="en-AU"/>
        </w:rPr>
        <w:lastRenderedPageBreak/>
        <w:drawing>
          <wp:inline distT="0" distB="0" distL="0" distR="0" wp14:anchorId="194B1BE6" wp14:editId="26D76E1D">
            <wp:extent cx="6045200" cy="8737600"/>
            <wp:effectExtent l="0" t="0" r="0" b="6350"/>
            <wp:docPr id="257" name="Picture 257" descr="Images - acute and primary health care" title="Images - acute and primary health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58.png"/>
                    <pic:cNvPicPr/>
                  </pic:nvPicPr>
                  <pic:blipFill>
                    <a:blip r:embed="rId39">
                      <a:extLst>
                        <a:ext uri="{28A0092B-C50C-407E-A947-70E740481C1C}">
                          <a14:useLocalDpi xmlns:a14="http://schemas.microsoft.com/office/drawing/2010/main" val="0"/>
                        </a:ext>
                      </a:extLst>
                    </a:blip>
                    <a:stretch>
                      <a:fillRect/>
                    </a:stretch>
                  </pic:blipFill>
                  <pic:spPr>
                    <a:xfrm>
                      <a:off x="0" y="0"/>
                      <a:ext cx="6045200" cy="8737600"/>
                    </a:xfrm>
                    <a:prstGeom prst="rect">
                      <a:avLst/>
                    </a:prstGeom>
                  </pic:spPr>
                </pic:pic>
              </a:graphicData>
            </a:graphic>
          </wp:inline>
        </w:drawing>
      </w:r>
    </w:p>
    <w:p w14:paraId="5175CC87" w14:textId="77777777" w:rsidR="00895CD2" w:rsidRPr="007923D4" w:rsidRDefault="007923D4" w:rsidP="006F35FE">
      <w:pPr>
        <w:pStyle w:val="Heading1"/>
      </w:pPr>
      <w:bookmarkStart w:id="21" w:name="_Toc414011879"/>
      <w:r w:rsidRPr="007923D4">
        <w:rPr>
          <w:rFonts w:cs="Times New Roman"/>
        </w:rPr>
        <w:lastRenderedPageBreak/>
        <w:t xml:space="preserve">3. </w:t>
      </w:r>
      <w:r w:rsidRPr="007923D4">
        <w:t>Assessment of safety and quality in health care</w:t>
      </w:r>
      <w:bookmarkEnd w:id="21"/>
      <w:r w:rsidRPr="007923D4">
        <w:t xml:space="preserve"> </w:t>
      </w:r>
    </w:p>
    <w:p w14:paraId="2F34403E" w14:textId="69442FE6" w:rsidR="00895CD2" w:rsidRDefault="00AD26F3">
      <w:pPr>
        <w:pStyle w:val="0contents-level-2-section-start"/>
        <w:rPr>
          <w:rFonts w:cs="Times New Roman"/>
          <w:lang w:val="en-GB"/>
        </w:rPr>
      </w:pPr>
      <w:r>
        <w:rPr>
          <w:rStyle w:val="colourss8"/>
          <w:rFonts w:cs="Times New Roman"/>
          <w:lang w:val="en-GB"/>
        </w:rPr>
        <w:t>Safety and quality in health care in Australia</w:t>
      </w:r>
      <w:r w:rsidR="00AF5B76">
        <w:rPr>
          <w:rStyle w:val="colourss8"/>
          <w:rFonts w:cs="Times New Roman"/>
          <w:lang w:val="en-GB"/>
        </w:rPr>
        <w:tab/>
      </w:r>
      <w:r w:rsidR="003A337D">
        <w:rPr>
          <w:rStyle w:val="colourss8"/>
          <w:rFonts w:cs="Times New Roman"/>
          <w:lang w:val="en-GB"/>
        </w:rPr>
        <w:t>53</w:t>
      </w:r>
    </w:p>
    <w:p w14:paraId="02916544" w14:textId="77777777" w:rsidR="007923D4" w:rsidRDefault="007923D4">
      <w:pPr>
        <w:spacing w:after="0"/>
        <w:rPr>
          <w:rStyle w:val="colourss3"/>
          <w:rFonts w:cs="Times New Roman"/>
          <w:sz w:val="24"/>
          <w:lang w:val="en-GB"/>
        </w:rPr>
      </w:pPr>
      <w:r>
        <w:rPr>
          <w:rStyle w:val="colourss3"/>
          <w:rFonts w:cs="Times New Roman"/>
          <w:lang w:val="en-GB"/>
        </w:rPr>
        <w:br w:type="page"/>
      </w:r>
    </w:p>
    <w:p w14:paraId="1EE693E8" w14:textId="77777777" w:rsidR="00895CD2" w:rsidRDefault="00AD26F3">
      <w:pPr>
        <w:pStyle w:val="2intro"/>
        <w:rPr>
          <w:rFonts w:cs="Times New Roman"/>
          <w:lang w:val="en-GB"/>
        </w:rPr>
      </w:pPr>
      <w:r>
        <w:rPr>
          <w:rStyle w:val="colourss3"/>
          <w:rFonts w:cs="Times New Roman"/>
          <w:lang w:val="en-GB"/>
        </w:rPr>
        <w:lastRenderedPageBreak/>
        <w:t>As part of its legislative functions, the Commission is required to report on the state of safety and quality in the Australian health system. This chapter provides an overview of key safety and quality themes. A full report can be found in the Commission’s publication Vital Signs 2014: The State of Safety and Quality in Australian Health Care.</w:t>
      </w:r>
    </w:p>
    <w:p w14:paraId="0EC4F996" w14:textId="77777777" w:rsidR="00895CD2" w:rsidRDefault="00AD26F3" w:rsidP="00093444">
      <w:pPr>
        <w:pStyle w:val="Heading2"/>
        <w:rPr>
          <w:lang w:val="en-GB"/>
        </w:rPr>
      </w:pPr>
      <w:bookmarkStart w:id="22" w:name="_Toc414011880"/>
      <w:r>
        <w:rPr>
          <w:lang w:val="en-GB"/>
        </w:rPr>
        <w:t xml:space="preserve">Safety and </w:t>
      </w:r>
      <w:r w:rsidRPr="006F35FE">
        <w:t>quality</w:t>
      </w:r>
      <w:r>
        <w:rPr>
          <w:lang w:val="en-GB"/>
        </w:rPr>
        <w:t xml:space="preserve"> in health care in Australia</w:t>
      </w:r>
      <w:bookmarkEnd w:id="22"/>
    </w:p>
    <w:p w14:paraId="35A7B2DB" w14:textId="77777777" w:rsidR="00895CD2" w:rsidRDefault="00AD26F3">
      <w:pPr>
        <w:pStyle w:val="2body-copy"/>
        <w:rPr>
          <w:rFonts w:cs="Times New Roman"/>
          <w:lang w:val="en-GB"/>
        </w:rPr>
      </w:pPr>
      <w:r>
        <w:rPr>
          <w:rFonts w:cs="Times New Roman"/>
          <w:lang w:val="en-GB"/>
        </w:rPr>
        <w:t xml:space="preserve">Safety and quality is a complex field that is integrated into all aspects of health care. Many people and organisations are involved in ensuring that people receiving health care in Australia are safe and receive high-quality care. This means that there is no single source of data that can provide comprehensive information about the safety and quality of the Australian health system. It is necessary to draw on a range of different sources of data to understand whether and how things might be changing. </w:t>
      </w:r>
    </w:p>
    <w:p w14:paraId="7D853A58" w14:textId="77777777" w:rsidR="00895CD2" w:rsidRDefault="00AD26F3">
      <w:pPr>
        <w:pStyle w:val="2body-copy"/>
        <w:rPr>
          <w:rFonts w:cs="Times New Roman"/>
          <w:lang w:val="en-GB"/>
        </w:rPr>
      </w:pPr>
      <w:r>
        <w:rPr>
          <w:rFonts w:cs="Times New Roman"/>
          <w:lang w:val="en-GB"/>
        </w:rPr>
        <w:t>When such data is brought together it is possible to get a sense of the improvements that might exist and the issues that need further examination. Based on examination of data from a variety of sources it is reasonable to conclude that patient safety is improving, but there is more work to do to ensure that people always get the right care.</w:t>
      </w:r>
    </w:p>
    <w:p w14:paraId="7B1C4A69" w14:textId="77777777" w:rsidR="00CB0187" w:rsidRDefault="00CB0187">
      <w:pPr>
        <w:pStyle w:val="2body-copy"/>
        <w:rPr>
          <w:rFonts w:cs="Times New Roman"/>
          <w:lang w:val="en-GB"/>
        </w:rPr>
      </w:pPr>
      <w:r>
        <w:rPr>
          <w:rFonts w:cs="Times New Roman"/>
          <w:noProof/>
          <w:lang w:eastAsia="en-AU"/>
        </w:rPr>
        <w:drawing>
          <wp:inline distT="0" distB="0" distL="0" distR="0" wp14:anchorId="6FEFB146" wp14:editId="43858356">
            <wp:extent cx="2518991" cy="1868573"/>
            <wp:effectExtent l="0" t="0" r="0" b="0"/>
            <wp:docPr id="258" name="Picture 258" descr="Image - patient" title="Image -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60.png"/>
                    <pic:cNvPicPr/>
                  </pic:nvPicPr>
                  <pic:blipFill>
                    <a:blip r:embed="rId40">
                      <a:extLst>
                        <a:ext uri="{28A0092B-C50C-407E-A947-70E740481C1C}">
                          <a14:useLocalDpi xmlns:a14="http://schemas.microsoft.com/office/drawing/2010/main" val="0"/>
                        </a:ext>
                      </a:extLst>
                    </a:blip>
                    <a:stretch>
                      <a:fillRect/>
                    </a:stretch>
                  </pic:blipFill>
                  <pic:spPr>
                    <a:xfrm>
                      <a:off x="0" y="0"/>
                      <a:ext cx="2518991" cy="1868573"/>
                    </a:xfrm>
                    <a:prstGeom prst="rect">
                      <a:avLst/>
                    </a:prstGeom>
                  </pic:spPr>
                </pic:pic>
              </a:graphicData>
            </a:graphic>
          </wp:inline>
        </w:drawing>
      </w:r>
    </w:p>
    <w:p w14:paraId="075F9582" w14:textId="77777777" w:rsidR="00895CD2" w:rsidRDefault="00AD26F3">
      <w:pPr>
        <w:pStyle w:val="1heading-level-2"/>
        <w:rPr>
          <w:rFonts w:cs="Times New Roman"/>
          <w:lang w:val="en-GB"/>
        </w:rPr>
      </w:pPr>
      <w:r>
        <w:rPr>
          <w:rFonts w:cs="Times New Roman"/>
          <w:lang w:val="en-GB"/>
        </w:rPr>
        <w:t>Patient safety is improving</w:t>
      </w:r>
    </w:p>
    <w:p w14:paraId="78F75D56" w14:textId="77777777" w:rsidR="00895CD2" w:rsidRDefault="00AD26F3">
      <w:pPr>
        <w:pStyle w:val="2body-copy"/>
        <w:rPr>
          <w:rFonts w:cs="Times New Roman"/>
          <w:lang w:val="en-GB"/>
        </w:rPr>
      </w:pPr>
      <w:r>
        <w:rPr>
          <w:rFonts w:cs="Times New Roman"/>
          <w:lang w:val="en-GB"/>
        </w:rPr>
        <w:t xml:space="preserve">In many respects, people receiving health care in Australia are safer than they have been in the past. Rates of infection with the potentially fatal </w:t>
      </w:r>
      <w:r>
        <w:rPr>
          <w:rStyle w:val="2body-italic"/>
          <w:rFonts w:cs="Times New Roman"/>
          <w:lang w:val="en-GB"/>
        </w:rPr>
        <w:t>Staphylococcus aureus</w:t>
      </w:r>
      <w:r>
        <w:rPr>
          <w:rFonts w:cs="Times New Roman"/>
          <w:lang w:val="en-GB"/>
        </w:rPr>
        <w:t xml:space="preserve"> bacteraemia in hospitals across Australia have been dropping since 2009/10. One study has estimated over the last 10 years, 2,500 fewer Australians experienced a </w:t>
      </w:r>
      <w:r>
        <w:rPr>
          <w:rStyle w:val="2body-italic"/>
          <w:rFonts w:cs="Times New Roman"/>
          <w:lang w:val="en-GB"/>
        </w:rPr>
        <w:t>Staphylococcus aureus</w:t>
      </w:r>
      <w:r>
        <w:rPr>
          <w:rFonts w:cs="Times New Roman"/>
          <w:lang w:val="en-GB"/>
        </w:rPr>
        <w:t xml:space="preserve"> bacteraemia infection, saving approximately 50 lives per year. </w:t>
      </w:r>
    </w:p>
    <w:p w14:paraId="44C4A686" w14:textId="77777777" w:rsidR="00895CD2" w:rsidRDefault="00AD26F3">
      <w:pPr>
        <w:pStyle w:val="2body-copy"/>
        <w:rPr>
          <w:rFonts w:cs="Times New Roman"/>
          <w:lang w:val="en-GB"/>
        </w:rPr>
      </w:pPr>
      <w:r>
        <w:rPr>
          <w:rFonts w:cs="Times New Roman"/>
          <w:lang w:val="en-GB"/>
        </w:rPr>
        <w:t>Systems are now in place in Australia to identify people whose condition deteriorates in hospital and provide the appropriate care. In New South Wales, one such system, Between the Flags, was introduced in 2010. Since that time there has been a 38% reduction in the rate of cardiac arrests in hospitals in New South Wales, and it is estimated that there has been 800 fewer deaths because of this.</w:t>
      </w:r>
    </w:p>
    <w:p w14:paraId="47354D4D" w14:textId="77777777" w:rsidR="00895CD2" w:rsidRDefault="00AD26F3">
      <w:pPr>
        <w:pStyle w:val="2body-copy"/>
        <w:rPr>
          <w:rFonts w:cs="Times New Roman"/>
          <w:lang w:val="en-GB"/>
        </w:rPr>
      </w:pPr>
      <w:r>
        <w:rPr>
          <w:rFonts w:cs="Times New Roman"/>
          <w:lang w:val="en-GB"/>
        </w:rPr>
        <w:t>Care of people with a mental illness whose condition deteriorates has also improved. Seclusion is the practice of confining a patient in a room so that they are not able to leave. It has been reported to cause trauma for the patients who are secluded, and concerns about the practice have led to calls for its elimination. There has been a decrease in the rate of seclusion events in Australia by over 50% between 2008/9 and 2012/13.</w:t>
      </w:r>
    </w:p>
    <w:p w14:paraId="62E36F04" w14:textId="77777777" w:rsidR="00895CD2" w:rsidRDefault="00AD26F3">
      <w:pPr>
        <w:pStyle w:val="2body-copy"/>
        <w:rPr>
          <w:rFonts w:cs="Times New Roman"/>
          <w:lang w:val="en-GB"/>
        </w:rPr>
      </w:pPr>
      <w:r>
        <w:rPr>
          <w:rFonts w:cs="Times New Roman"/>
          <w:lang w:val="en-GB"/>
        </w:rPr>
        <w:t>As well as these data from national or state-based initiatives, smaller studies also show promising signs of improvement. Australia has been participating in an international project run by the World Health Organization (WHO). This project has looked at the way in which medicines are recorded and communicated when patients are admitted to hospital, transferred within hospital, and discharged. This process, known as medication reconciliation, has been shown to reduce potentially adverse medicine-related events by more than 50%. The 12 Australian hospitals participating in the study have found that there were generally very low rates of the discrepancies which can cause such problems, and these have been maintained through the three years of the project.</w:t>
      </w:r>
    </w:p>
    <w:p w14:paraId="4A26E9CF" w14:textId="77777777" w:rsidR="00CB0187" w:rsidRDefault="00CB0187">
      <w:pPr>
        <w:spacing w:after="0"/>
        <w:rPr>
          <w:rFonts w:cs="Times New Roman"/>
          <w:color w:val="5F605F"/>
          <w:sz w:val="30"/>
          <w:szCs w:val="30"/>
          <w:lang w:val="en-GB"/>
        </w:rPr>
      </w:pPr>
      <w:r>
        <w:rPr>
          <w:rFonts w:cs="Times New Roman"/>
          <w:lang w:val="en-GB"/>
        </w:rPr>
        <w:br w:type="page"/>
      </w:r>
    </w:p>
    <w:p w14:paraId="51E47F9E" w14:textId="77777777" w:rsidR="00895CD2" w:rsidRDefault="00AD26F3">
      <w:pPr>
        <w:pStyle w:val="1heading-level-2"/>
        <w:rPr>
          <w:rFonts w:cs="Times New Roman"/>
          <w:lang w:val="en-GB"/>
        </w:rPr>
      </w:pPr>
      <w:r>
        <w:rPr>
          <w:rFonts w:cs="Times New Roman"/>
          <w:lang w:val="en-GB"/>
        </w:rPr>
        <w:lastRenderedPageBreak/>
        <w:t>The NSQHS Standards will help to drive further improvements in safety</w:t>
      </w:r>
    </w:p>
    <w:p w14:paraId="4600ACEF" w14:textId="77777777" w:rsidR="00895CD2" w:rsidRDefault="00AD26F3">
      <w:pPr>
        <w:pStyle w:val="2body-copy"/>
        <w:rPr>
          <w:rFonts w:cs="Times New Roman"/>
          <w:lang w:val="en-GB"/>
        </w:rPr>
      </w:pPr>
      <w:r>
        <w:rPr>
          <w:rFonts w:cs="Times New Roman"/>
          <w:lang w:val="en-GB"/>
        </w:rPr>
        <w:t>While all of these results are positive, further efforts are needed to nationally embed successful patient safety initiatives into routine practice; the NSQHS Standards can help to make this happen.</w:t>
      </w:r>
    </w:p>
    <w:p w14:paraId="22F7332E" w14:textId="77777777" w:rsidR="00895CD2" w:rsidRDefault="00AD26F3">
      <w:pPr>
        <w:pStyle w:val="2body-copy"/>
        <w:rPr>
          <w:rFonts w:cs="Times New Roman"/>
          <w:lang w:val="en-GB"/>
        </w:rPr>
      </w:pPr>
      <w:r>
        <w:rPr>
          <w:rFonts w:cs="Times New Roman"/>
          <w:lang w:val="en-GB"/>
        </w:rPr>
        <w:t>The success of the first year of the new national accreditation scheme – and the assessment of more than half of all Australian hospitals and day procedure services against the NSQHS Standards – indicates further progress towards safer care. The NSQHS Standards apply to areas where too many people suffer harm because of their health care, and where there is good evidence of how to provide better care. Hospitals and day procedure services that meet the NSQHS Standards are taking the steps required to ensure the safety of people receiving their services.</w:t>
      </w:r>
    </w:p>
    <w:p w14:paraId="007323D6" w14:textId="77777777" w:rsidR="00895CD2" w:rsidRDefault="00AD26F3">
      <w:pPr>
        <w:pStyle w:val="2body-copy"/>
        <w:rPr>
          <w:rFonts w:cs="Times New Roman"/>
          <w:lang w:val="en-GB"/>
        </w:rPr>
      </w:pPr>
      <w:r>
        <w:rPr>
          <w:rFonts w:cs="Times New Roman"/>
          <w:lang w:val="en-GB"/>
        </w:rPr>
        <w:t xml:space="preserve">Although all hospitals and day procedure services will not be assessed against the NSQHS Standards until December 2015, the Commission is starting to look at how the next version of the NSQHS Standards can be strengthened when they commence in 2017. There are opportunities to reflect on some of the emerging issues for safety and quality in the NSQHS Standards, to ensure that all people receive the best care. </w:t>
      </w:r>
    </w:p>
    <w:p w14:paraId="5C327E17" w14:textId="77777777" w:rsidR="00895CD2" w:rsidRDefault="00AD26F3">
      <w:pPr>
        <w:pStyle w:val="1heading-level-2"/>
        <w:rPr>
          <w:rFonts w:cs="Times New Roman"/>
          <w:lang w:val="en-GB"/>
        </w:rPr>
      </w:pPr>
      <w:r>
        <w:rPr>
          <w:rFonts w:cs="Times New Roman"/>
          <w:lang w:val="en-GB"/>
        </w:rPr>
        <w:t>Work needs to continue to ensure that everyone gets the right care</w:t>
      </w:r>
    </w:p>
    <w:p w14:paraId="181C1EC9" w14:textId="77777777" w:rsidR="00895CD2" w:rsidRDefault="00AD26F3">
      <w:pPr>
        <w:pStyle w:val="2body-copy"/>
        <w:rPr>
          <w:rFonts w:cs="Times New Roman"/>
          <w:lang w:val="en-GB"/>
        </w:rPr>
      </w:pPr>
      <w:r>
        <w:rPr>
          <w:rFonts w:cs="Times New Roman"/>
          <w:lang w:val="en-GB"/>
        </w:rPr>
        <w:t>In 2013/14, with the Australian Institute for Health and Welfare and the Australian Department of Health, the Commission participated in an international study coordinated by the Organisation for Economic Co-operation and Development (OECD) to examine variation in healthcare procedures in 13 countries.</w:t>
      </w:r>
    </w:p>
    <w:p w14:paraId="09D5CF94" w14:textId="77777777" w:rsidR="00895CD2" w:rsidRDefault="00AD26F3">
      <w:pPr>
        <w:pStyle w:val="2body-copy"/>
        <w:rPr>
          <w:rFonts w:cs="Times New Roman"/>
          <w:lang w:val="en-GB"/>
        </w:rPr>
      </w:pPr>
      <w:r>
        <w:rPr>
          <w:rFonts w:cs="Times New Roman"/>
          <w:lang w:val="en-GB"/>
        </w:rPr>
        <w:t xml:space="preserve">The study found variation in all of the procedures examined. Procedures with relatively larger variations included coronary artery bypass grafting, knee arthroscopies and hysterectomies (when performed on women who did not have a diagnosis of cancer). For each of these procedures there was approximately three-fold variation between the highest and lowest rates of these procedures across the country. For example, 726 people living in the area covered by Country North Medicare Local in South Australia were admitted for a knee arthroscopy per 100,000 </w:t>
      </w:r>
      <w:proofErr w:type="gramStart"/>
      <w:r>
        <w:rPr>
          <w:rFonts w:cs="Times New Roman"/>
          <w:lang w:val="en-GB"/>
        </w:rPr>
        <w:t>population</w:t>
      </w:r>
      <w:proofErr w:type="gramEnd"/>
      <w:r>
        <w:rPr>
          <w:rFonts w:cs="Times New Roman"/>
          <w:lang w:val="en-GB"/>
        </w:rPr>
        <w:t xml:space="preserve">, compared to 232 people in Inner West Sydney Medicare Local. </w:t>
      </w:r>
    </w:p>
    <w:p w14:paraId="6A8909F9" w14:textId="77777777" w:rsidR="00895CD2" w:rsidRDefault="00AD26F3">
      <w:pPr>
        <w:pStyle w:val="2body-copy"/>
        <w:rPr>
          <w:rFonts w:cs="Times New Roman"/>
          <w:lang w:val="en-GB"/>
        </w:rPr>
      </w:pPr>
      <w:r>
        <w:rPr>
          <w:rFonts w:cs="Times New Roman"/>
          <w:lang w:val="en-GB"/>
        </w:rPr>
        <w:t xml:space="preserve">Sometimes variation in health care is expected and warranted. For example, people living in one area may have different healthcare needs from those living in a different area. Variation in health care may also reflect differences in people’s preferred treatment options, or their cultural or personal preferences. However some healthcare variation is unwarranted, particularly where it cannot be explained by patient needs or preferences. Unwarranted variation may mean that some patients are not receiving the most appropriate or effective care, or that resources are not being put to the best use. </w:t>
      </w:r>
    </w:p>
    <w:p w14:paraId="265091EA" w14:textId="77777777" w:rsidR="00895CD2" w:rsidRDefault="00AD26F3">
      <w:pPr>
        <w:pStyle w:val="2body-copy"/>
        <w:rPr>
          <w:rFonts w:cs="Times New Roman"/>
          <w:lang w:val="en-GB"/>
        </w:rPr>
      </w:pPr>
      <w:r>
        <w:rPr>
          <w:rFonts w:cs="Times New Roman"/>
          <w:lang w:val="en-GB"/>
        </w:rPr>
        <w:t>More work is needed to examine whether the variation that was found in this study was unwarranted. The Commission is working with clinical groups to examine the results of the study in more detail, and to develop appropriate responses to the observed variation. In addition, increasing patients’ involvement in making decisions about their health care is one way to minimise unwarranted variation.</w:t>
      </w:r>
    </w:p>
    <w:p w14:paraId="7BFA8C88" w14:textId="77777777" w:rsidR="00895CD2" w:rsidRDefault="00AD26F3">
      <w:pPr>
        <w:pStyle w:val="1heading-level-2"/>
        <w:rPr>
          <w:rFonts w:cs="Times New Roman"/>
          <w:lang w:val="en-GB"/>
        </w:rPr>
      </w:pPr>
      <w:r>
        <w:rPr>
          <w:rFonts w:cs="Times New Roman"/>
          <w:lang w:val="en-GB"/>
        </w:rPr>
        <w:t>Partnering with patients and consumers is essential for safety and quality</w:t>
      </w:r>
    </w:p>
    <w:p w14:paraId="55EE2508" w14:textId="77777777" w:rsidR="00895CD2" w:rsidRDefault="00AD26F3">
      <w:pPr>
        <w:pStyle w:val="2body-copy"/>
        <w:rPr>
          <w:rFonts w:cs="Times New Roman"/>
          <w:lang w:val="en-GB"/>
        </w:rPr>
      </w:pPr>
      <w:r>
        <w:rPr>
          <w:rFonts w:cs="Times New Roman"/>
          <w:lang w:val="en-GB"/>
        </w:rPr>
        <w:t xml:space="preserve">Across all of the work of the Commission, there is an increasing recognition of the important role of consumers, patients, family members and carers in ensuring healthcare safety and quality. Consumers need to be true partners in health and healthcare processes in order to achieve a sustainable and effective health system that provides safe and high-quality care. </w:t>
      </w:r>
    </w:p>
    <w:p w14:paraId="2C0F85D7" w14:textId="77777777" w:rsidR="00895CD2" w:rsidRDefault="00AD26F3">
      <w:pPr>
        <w:pStyle w:val="2body-copy"/>
        <w:rPr>
          <w:rFonts w:cs="Times New Roman"/>
          <w:lang w:val="en-GB"/>
        </w:rPr>
      </w:pPr>
      <w:r>
        <w:rPr>
          <w:rFonts w:cs="Times New Roman"/>
          <w:lang w:val="en-GB"/>
        </w:rPr>
        <w:t>Measurement of the impact that patients and consumers can have on safety and quality is a developing area. There is now consistent evidence that people who are partners in their care, who understand and use health information effectively, who share decisions and who actively engage with care processes are more likely to have a better experience of health care, and better results from that care.</w:t>
      </w:r>
    </w:p>
    <w:p w14:paraId="6A8E4C17" w14:textId="77777777" w:rsidR="00895CD2" w:rsidRDefault="00AD26F3">
      <w:pPr>
        <w:pStyle w:val="2body-copy"/>
        <w:rPr>
          <w:rFonts w:cs="Times New Roman"/>
          <w:lang w:val="en-GB"/>
        </w:rPr>
      </w:pPr>
      <w:r>
        <w:rPr>
          <w:rFonts w:cs="Times New Roman"/>
          <w:lang w:val="en-GB"/>
        </w:rPr>
        <w:t>A core requirement for effective partnerships is health literacy. For partnerships to work, everyone involved in the partnership needs to be able to give, receive, interpret and act on information in an effective way. These conditions create the potential to improve the safety and quality of health care, and reduce health disparities and increase equity.</w:t>
      </w:r>
    </w:p>
    <w:p w14:paraId="7009F707" w14:textId="77777777" w:rsidR="00895CD2" w:rsidRDefault="00AD26F3">
      <w:pPr>
        <w:pStyle w:val="2body-copy"/>
        <w:rPr>
          <w:rFonts w:cs="Times New Roman"/>
          <w:lang w:val="en-GB"/>
        </w:rPr>
      </w:pPr>
      <w:r>
        <w:rPr>
          <w:rFonts w:cs="Times New Roman"/>
          <w:lang w:val="en-GB"/>
        </w:rPr>
        <w:t xml:space="preserve">The first contact that most people have with the health system is through general practice. Health services and healthcare providers in the community are essential for ensuring that people receive safe and high-quality care. Opportunities to improve the safety and quality of care provided in the community will come through many aspects of the Commission’s work, including improving the process for accreditation of general practices, examining the </w:t>
      </w:r>
      <w:r>
        <w:rPr>
          <w:rFonts w:cs="Times New Roman"/>
          <w:lang w:val="en-GB"/>
        </w:rPr>
        <w:lastRenderedPageBreak/>
        <w:t>extent and nature of healthcare variation in Australia, and supporting people in the community to be involved in making decisions about their own health care. Because of the unique nature of general practice and other care provided in the community, it is also important to have an understanding of the particular safety and quality issues that are relevant in this environment. The Commission will continue to work with partners to improve the safety and quality of care provided in the community.</w:t>
      </w:r>
    </w:p>
    <w:p w14:paraId="4956BE3B" w14:textId="77777777" w:rsidR="00BE7189" w:rsidRDefault="00AD26F3">
      <w:pPr>
        <w:pStyle w:val="2body-copy"/>
        <w:rPr>
          <w:rStyle w:val="2body-italic"/>
          <w:rFonts w:cs="Times New Roman"/>
          <w:lang w:val="en-GB"/>
        </w:rPr>
      </w:pPr>
      <w:r>
        <w:rPr>
          <w:rFonts w:cs="Times New Roman"/>
          <w:lang w:val="en-GB"/>
        </w:rPr>
        <w:t xml:space="preserve">A full report on safety and quality of health care in Australia can be found in the Commission’s publication </w:t>
      </w:r>
      <w:r>
        <w:rPr>
          <w:rStyle w:val="2body-italic"/>
          <w:rFonts w:cs="Times New Roman"/>
          <w:lang w:val="en-GB"/>
        </w:rPr>
        <w:t>Vital Signs 2014: The State of Safety and Quality in Australian Health Care.</w:t>
      </w:r>
    </w:p>
    <w:p w14:paraId="1FCCAC7C" w14:textId="77777777" w:rsidR="00BE7189" w:rsidRDefault="00BE7189">
      <w:pPr>
        <w:spacing w:after="0"/>
        <w:rPr>
          <w:rStyle w:val="2body-italic"/>
          <w:rFonts w:cs="Times New Roman"/>
          <w:lang w:val="en-GB"/>
        </w:rPr>
      </w:pPr>
      <w:r>
        <w:rPr>
          <w:rStyle w:val="2body-italic"/>
          <w:rFonts w:cs="Times New Roman"/>
          <w:lang w:val="en-GB"/>
        </w:rPr>
        <w:br w:type="page"/>
      </w:r>
    </w:p>
    <w:p w14:paraId="0A01DCBA" w14:textId="2EAEC8E0" w:rsidR="00BE7189" w:rsidRPr="00BE7189" w:rsidRDefault="00BE7189" w:rsidP="006F35FE">
      <w:pPr>
        <w:pStyle w:val="Heading1"/>
        <w:rPr>
          <w:rStyle w:val="colourss8"/>
          <w:rFonts w:ascii="Gotham-Light" w:hAnsi="Gotham-Light"/>
          <w:color w:val="696B6D"/>
        </w:rPr>
      </w:pPr>
      <w:bookmarkStart w:id="23" w:name="_Toc414011881"/>
      <w:r w:rsidRPr="00BE7189">
        <w:rPr>
          <w:rStyle w:val="colourss8"/>
          <w:rFonts w:cs="Times New Roman"/>
          <w:color w:val="96AD2A"/>
        </w:rPr>
        <w:lastRenderedPageBreak/>
        <w:t>4</w:t>
      </w:r>
      <w:r w:rsidR="00912C3D">
        <w:rPr>
          <w:rStyle w:val="colourss8"/>
          <w:rFonts w:cs="Times New Roman"/>
          <w:color w:val="96AD2A"/>
        </w:rPr>
        <w:t>.</w:t>
      </w:r>
      <w:r w:rsidRPr="00BE7189">
        <w:rPr>
          <w:rStyle w:val="colourss4"/>
        </w:rPr>
        <w:t xml:space="preserve"> Corporate governance and accountability</w:t>
      </w:r>
      <w:bookmarkEnd w:id="23"/>
      <w:r w:rsidRPr="00BE7189">
        <w:t xml:space="preserve"> </w:t>
      </w:r>
    </w:p>
    <w:p w14:paraId="047D9095" w14:textId="4A19C730" w:rsidR="00895CD2" w:rsidRDefault="00AD26F3">
      <w:pPr>
        <w:pStyle w:val="0contents-level-2-section-start"/>
        <w:rPr>
          <w:rFonts w:cs="Times New Roman"/>
          <w:lang w:val="en-GB"/>
        </w:rPr>
      </w:pPr>
      <w:r>
        <w:rPr>
          <w:rStyle w:val="colourss8"/>
          <w:rFonts w:cs="Times New Roman"/>
          <w:lang w:val="en-GB"/>
        </w:rPr>
        <w:t>Legislation and requirements</w:t>
      </w:r>
      <w:r w:rsidR="00CB0187">
        <w:rPr>
          <w:rStyle w:val="colourss8"/>
          <w:rFonts w:cs="Times New Roman"/>
          <w:lang w:val="en-GB"/>
        </w:rPr>
        <w:tab/>
      </w:r>
      <w:r w:rsidR="003A337D">
        <w:rPr>
          <w:rStyle w:val="colourss8"/>
          <w:rFonts w:cs="Times New Roman"/>
          <w:lang w:val="en-GB"/>
        </w:rPr>
        <w:t>57</w:t>
      </w:r>
    </w:p>
    <w:p w14:paraId="602062C4" w14:textId="71D36E94" w:rsidR="00895CD2" w:rsidRDefault="00AD26F3">
      <w:pPr>
        <w:pStyle w:val="0contents-level-2-section-start"/>
        <w:rPr>
          <w:rFonts w:cs="Times New Roman"/>
          <w:lang w:val="en-GB"/>
        </w:rPr>
      </w:pPr>
      <w:r>
        <w:rPr>
          <w:rStyle w:val="colourss8"/>
          <w:rFonts w:cs="Times New Roman"/>
          <w:lang w:val="en-GB"/>
        </w:rPr>
        <w:t>Strategic planning</w:t>
      </w:r>
      <w:r>
        <w:rPr>
          <w:rStyle w:val="colourss8"/>
          <w:rFonts w:cs="Times New Roman"/>
          <w:lang w:val="en-GB"/>
        </w:rPr>
        <w:tab/>
      </w:r>
      <w:r w:rsidR="003A337D">
        <w:rPr>
          <w:rStyle w:val="colourss8"/>
          <w:rFonts w:cs="Times New Roman"/>
          <w:lang w:val="en-GB"/>
        </w:rPr>
        <w:t>57</w:t>
      </w:r>
    </w:p>
    <w:p w14:paraId="5579F3B6" w14:textId="2D25B22F" w:rsidR="00895CD2" w:rsidRDefault="00AD26F3">
      <w:pPr>
        <w:pStyle w:val="0contents-level-2-section-start"/>
        <w:rPr>
          <w:rFonts w:cs="Times New Roman"/>
          <w:lang w:val="en-GB"/>
        </w:rPr>
      </w:pPr>
      <w:r>
        <w:rPr>
          <w:rStyle w:val="colourss8"/>
          <w:rFonts w:cs="Times New Roman"/>
          <w:lang w:val="en-GB"/>
        </w:rPr>
        <w:t>Ministerial Directions</w:t>
      </w:r>
      <w:r w:rsidR="00CB0187">
        <w:rPr>
          <w:rStyle w:val="colourss8"/>
          <w:rFonts w:cs="Times New Roman"/>
          <w:lang w:val="en-GB"/>
        </w:rPr>
        <w:tab/>
      </w:r>
      <w:r w:rsidR="003A337D">
        <w:rPr>
          <w:rStyle w:val="colourss8"/>
          <w:rFonts w:cs="Times New Roman"/>
          <w:lang w:val="en-GB"/>
        </w:rPr>
        <w:t>57</w:t>
      </w:r>
    </w:p>
    <w:p w14:paraId="42876648" w14:textId="7F515625" w:rsidR="00895CD2" w:rsidRDefault="00AD26F3">
      <w:pPr>
        <w:pStyle w:val="0contents-level-2-section-start"/>
        <w:rPr>
          <w:rFonts w:cs="Times New Roman"/>
          <w:lang w:val="en-GB"/>
        </w:rPr>
      </w:pPr>
      <w:r>
        <w:rPr>
          <w:rStyle w:val="colourss8"/>
          <w:rFonts w:cs="Times New Roman"/>
          <w:lang w:val="en-GB"/>
        </w:rPr>
        <w:t>Commission Board</w:t>
      </w:r>
      <w:r w:rsidR="00CB0187">
        <w:rPr>
          <w:rStyle w:val="colourss8"/>
          <w:rFonts w:cs="Times New Roman"/>
          <w:lang w:val="en-GB"/>
        </w:rPr>
        <w:tab/>
      </w:r>
      <w:r w:rsidR="003A337D">
        <w:rPr>
          <w:rStyle w:val="colourss8"/>
          <w:rFonts w:cs="Times New Roman"/>
          <w:lang w:val="en-GB"/>
        </w:rPr>
        <w:t>57</w:t>
      </w:r>
    </w:p>
    <w:p w14:paraId="5F6BB7D7" w14:textId="05BB1508" w:rsidR="00895CD2" w:rsidRDefault="00AD26F3">
      <w:pPr>
        <w:pStyle w:val="0contents-level-2-section-start"/>
        <w:rPr>
          <w:rFonts w:cs="Times New Roman"/>
          <w:lang w:val="en-GB"/>
        </w:rPr>
      </w:pPr>
      <w:r>
        <w:rPr>
          <w:rStyle w:val="colourss8"/>
          <w:rFonts w:cs="Times New Roman"/>
          <w:lang w:val="en-GB"/>
        </w:rPr>
        <w:t>Committees</w:t>
      </w:r>
      <w:r w:rsidR="00CB0187">
        <w:rPr>
          <w:rStyle w:val="colourss8"/>
          <w:rFonts w:cs="Times New Roman"/>
          <w:lang w:val="en-GB"/>
        </w:rPr>
        <w:tab/>
      </w:r>
      <w:r w:rsidR="003A337D">
        <w:rPr>
          <w:rStyle w:val="colourss8"/>
          <w:rFonts w:cs="Times New Roman"/>
          <w:lang w:val="en-GB"/>
        </w:rPr>
        <w:t>63</w:t>
      </w:r>
    </w:p>
    <w:p w14:paraId="42788B39" w14:textId="659364F7" w:rsidR="00895CD2" w:rsidRDefault="00AD26F3">
      <w:pPr>
        <w:pStyle w:val="0contents-level-2-section-start"/>
        <w:rPr>
          <w:rFonts w:cs="Times New Roman"/>
          <w:lang w:val="en-GB"/>
        </w:rPr>
      </w:pPr>
      <w:r>
        <w:rPr>
          <w:rStyle w:val="colourss8"/>
          <w:rFonts w:cs="Times New Roman"/>
          <w:lang w:val="en-GB"/>
        </w:rPr>
        <w:t>Internal governance arrangements</w:t>
      </w:r>
      <w:r w:rsidR="00CB0187">
        <w:rPr>
          <w:rStyle w:val="colourss8"/>
          <w:rFonts w:cs="Times New Roman"/>
          <w:lang w:val="en-GB"/>
        </w:rPr>
        <w:tab/>
      </w:r>
      <w:r w:rsidR="003A337D">
        <w:rPr>
          <w:rStyle w:val="colourss8"/>
          <w:rFonts w:cs="Times New Roman"/>
          <w:lang w:val="en-GB"/>
        </w:rPr>
        <w:t>65</w:t>
      </w:r>
    </w:p>
    <w:p w14:paraId="2581D490" w14:textId="00EF27B1" w:rsidR="00895CD2" w:rsidRDefault="00AD26F3">
      <w:pPr>
        <w:pStyle w:val="0contents-level-2-section-start"/>
        <w:rPr>
          <w:rFonts w:cs="Times New Roman"/>
          <w:lang w:val="en-GB"/>
        </w:rPr>
      </w:pPr>
      <w:r>
        <w:rPr>
          <w:rStyle w:val="colourss8"/>
          <w:rFonts w:cs="Times New Roman"/>
          <w:lang w:val="en-GB"/>
        </w:rPr>
        <w:t>External scrutiny</w:t>
      </w:r>
      <w:r w:rsidR="00CB0187">
        <w:rPr>
          <w:rStyle w:val="colourss8"/>
          <w:rFonts w:cs="Times New Roman"/>
          <w:lang w:val="en-GB"/>
        </w:rPr>
        <w:tab/>
      </w:r>
      <w:r w:rsidR="003A337D">
        <w:rPr>
          <w:rStyle w:val="colourss8"/>
          <w:rFonts w:cs="Times New Roman"/>
          <w:lang w:val="en-GB"/>
        </w:rPr>
        <w:t>66</w:t>
      </w:r>
    </w:p>
    <w:p w14:paraId="00C45D67" w14:textId="27CB7079" w:rsidR="00895CD2" w:rsidRDefault="00AD26F3">
      <w:pPr>
        <w:pStyle w:val="0contents-level-2-section-start"/>
        <w:rPr>
          <w:rFonts w:cs="Times New Roman"/>
          <w:lang w:val="en-GB"/>
        </w:rPr>
      </w:pPr>
      <w:r>
        <w:rPr>
          <w:rStyle w:val="colourss8"/>
          <w:rFonts w:cs="Times New Roman"/>
          <w:lang w:val="en-GB"/>
        </w:rPr>
        <w:t>Developments and significant events</w:t>
      </w:r>
      <w:r w:rsidR="00CB0187">
        <w:rPr>
          <w:rStyle w:val="colourss8"/>
          <w:rFonts w:cs="Times New Roman"/>
          <w:lang w:val="en-GB"/>
        </w:rPr>
        <w:tab/>
      </w:r>
      <w:r w:rsidR="003A337D">
        <w:rPr>
          <w:rStyle w:val="colourss8"/>
          <w:rFonts w:cs="Times New Roman"/>
          <w:lang w:val="en-GB"/>
        </w:rPr>
        <w:t>66</w:t>
      </w:r>
    </w:p>
    <w:p w14:paraId="083FD7AB" w14:textId="4FBC2494" w:rsidR="00895CD2" w:rsidRDefault="00AD26F3">
      <w:pPr>
        <w:pStyle w:val="0contents-level-2-section-start"/>
        <w:rPr>
          <w:rFonts w:cs="Times New Roman"/>
          <w:lang w:val="en-GB"/>
        </w:rPr>
      </w:pPr>
      <w:r>
        <w:rPr>
          <w:rStyle w:val="colourss8"/>
          <w:rFonts w:cs="Times New Roman"/>
          <w:lang w:val="en-GB"/>
        </w:rPr>
        <w:t>Environmental performance and ecologically sustainable development</w:t>
      </w:r>
      <w:r w:rsidR="00CB0187">
        <w:rPr>
          <w:rStyle w:val="colourss8"/>
          <w:rFonts w:cs="Times New Roman"/>
          <w:lang w:val="en-GB"/>
        </w:rPr>
        <w:tab/>
      </w:r>
      <w:r w:rsidR="003A337D">
        <w:rPr>
          <w:rStyle w:val="colourss8"/>
          <w:rFonts w:cs="Times New Roman"/>
          <w:lang w:val="en-GB"/>
        </w:rPr>
        <w:t>66</w:t>
      </w:r>
    </w:p>
    <w:p w14:paraId="144164C9" w14:textId="05172643" w:rsidR="00895CD2" w:rsidRDefault="00AD26F3">
      <w:pPr>
        <w:pStyle w:val="0contents-level-2-section-start"/>
        <w:rPr>
          <w:rFonts w:cs="Times New Roman"/>
          <w:lang w:val="en-GB"/>
        </w:rPr>
      </w:pPr>
      <w:r>
        <w:rPr>
          <w:rStyle w:val="colourss8"/>
          <w:rFonts w:cs="Times New Roman"/>
          <w:lang w:val="en-GB"/>
        </w:rPr>
        <w:t>National Health Reform Act amendments</w:t>
      </w:r>
      <w:r w:rsidR="00CB0187">
        <w:rPr>
          <w:rStyle w:val="colourss8"/>
          <w:rFonts w:cs="Times New Roman"/>
          <w:lang w:val="en-GB"/>
        </w:rPr>
        <w:tab/>
      </w:r>
      <w:r w:rsidR="003A337D">
        <w:rPr>
          <w:rStyle w:val="colourss8"/>
          <w:rFonts w:cs="Times New Roman"/>
          <w:lang w:val="en-GB"/>
        </w:rPr>
        <w:t>66</w:t>
      </w:r>
    </w:p>
    <w:p w14:paraId="2BC431B3" w14:textId="77777777" w:rsidR="00BE7189" w:rsidRDefault="00BE7189">
      <w:pPr>
        <w:spacing w:after="0"/>
        <w:rPr>
          <w:rStyle w:val="colourss4"/>
          <w:rFonts w:cs="Times New Roman"/>
          <w:sz w:val="24"/>
          <w:lang w:val="en-GB"/>
        </w:rPr>
      </w:pPr>
      <w:r>
        <w:rPr>
          <w:rStyle w:val="colourss4"/>
          <w:rFonts w:cs="Times New Roman"/>
          <w:lang w:val="en-GB"/>
        </w:rPr>
        <w:br w:type="page"/>
      </w:r>
    </w:p>
    <w:p w14:paraId="20B3647A" w14:textId="77777777" w:rsidR="00895CD2" w:rsidRDefault="00AD26F3">
      <w:pPr>
        <w:pStyle w:val="2intro"/>
        <w:rPr>
          <w:rFonts w:cs="Times New Roman"/>
          <w:lang w:val="en-GB"/>
        </w:rPr>
      </w:pPr>
      <w:r>
        <w:rPr>
          <w:rStyle w:val="colourss4"/>
          <w:rFonts w:cs="Times New Roman"/>
          <w:lang w:val="en-GB"/>
        </w:rPr>
        <w:lastRenderedPageBreak/>
        <w:t>This chapter outlines the Commission’s legislative requirements, corporate governance and accountability processes, including internal and external scrutiny arrangements and risk-management and fraud-control procedures. It also includes profiles of the Commission’s Board members and committees.</w:t>
      </w:r>
    </w:p>
    <w:p w14:paraId="1D22603F" w14:textId="77777777" w:rsidR="00895CD2" w:rsidRDefault="00AD26F3" w:rsidP="00093444">
      <w:pPr>
        <w:pStyle w:val="Heading2"/>
        <w:rPr>
          <w:lang w:val="en-GB"/>
        </w:rPr>
      </w:pPr>
      <w:bookmarkStart w:id="24" w:name="_Toc414011882"/>
      <w:r w:rsidRPr="006F35FE">
        <w:t>Legislation</w:t>
      </w:r>
      <w:r>
        <w:rPr>
          <w:lang w:val="en-GB"/>
        </w:rPr>
        <w:t xml:space="preserve"> and requirements</w:t>
      </w:r>
      <w:bookmarkEnd w:id="24"/>
      <w:r>
        <w:rPr>
          <w:lang w:val="en-GB"/>
        </w:rPr>
        <w:t xml:space="preserve"> </w:t>
      </w:r>
    </w:p>
    <w:p w14:paraId="4AD30A65" w14:textId="77777777" w:rsidR="00895CD2" w:rsidRDefault="00AD26F3">
      <w:pPr>
        <w:pStyle w:val="2body-copy"/>
        <w:rPr>
          <w:rFonts w:cs="Times New Roman"/>
          <w:lang w:val="en-GB"/>
        </w:rPr>
      </w:pPr>
      <w:r>
        <w:rPr>
          <w:rFonts w:cs="Times New Roman"/>
          <w:lang w:val="en-GB"/>
        </w:rPr>
        <w:t xml:space="preserve">The Commission is a statutory authority of the Australian Government, accountable to the Parliament and the Australian Minister for Health. The Commission’s principle legislative basis is the </w:t>
      </w:r>
      <w:r>
        <w:rPr>
          <w:rStyle w:val="2body-italic"/>
          <w:rFonts w:cs="Times New Roman"/>
          <w:lang w:val="en-GB"/>
        </w:rPr>
        <w:t>National Health Reform Act 2011</w:t>
      </w:r>
      <w:r>
        <w:rPr>
          <w:rFonts w:cs="Times New Roman"/>
          <w:lang w:val="en-GB"/>
        </w:rPr>
        <w:t xml:space="preserve"> (NHR Act), which sets out its purpose, powers, functions, and administrative and operational arrangements. The NHR Act also sets out the Commission’s Constitution, the process for appointing the Board of Directors and the Chief Executive Officer (CEO), and the operation of board meetings.</w:t>
      </w:r>
    </w:p>
    <w:p w14:paraId="1D429B0C" w14:textId="77777777" w:rsidR="00895CD2" w:rsidRDefault="00AD26F3">
      <w:pPr>
        <w:pStyle w:val="2body-copy"/>
        <w:rPr>
          <w:rFonts w:cs="Times New Roman"/>
          <w:lang w:val="en-GB"/>
        </w:rPr>
      </w:pPr>
      <w:r>
        <w:rPr>
          <w:rFonts w:cs="Times New Roman"/>
          <w:lang w:val="en-GB"/>
        </w:rPr>
        <w:t xml:space="preserve">The Commission must fulfil the requirements of the </w:t>
      </w:r>
      <w:r>
        <w:rPr>
          <w:rStyle w:val="2body-italic"/>
          <w:rFonts w:cs="Times New Roman"/>
          <w:lang w:val="en-GB"/>
        </w:rPr>
        <w:t>Commonwealth Authorities and Companies Act 1997</w:t>
      </w:r>
      <w:r>
        <w:rPr>
          <w:rFonts w:cs="Times New Roman"/>
          <w:lang w:val="en-GB"/>
        </w:rPr>
        <w:t xml:space="preserve"> (CAC Act), which regulates certain aspects of the financial affairs of Commonwealth authorities; their reporting, accountability, banking and investment obligations; and the conduct of their directors and officers.</w:t>
      </w:r>
    </w:p>
    <w:p w14:paraId="1F42EF22" w14:textId="77777777" w:rsidR="00895CD2" w:rsidRDefault="00AD26F3" w:rsidP="00093444">
      <w:pPr>
        <w:pStyle w:val="Heading2"/>
        <w:rPr>
          <w:lang w:val="en-GB"/>
        </w:rPr>
      </w:pPr>
      <w:bookmarkStart w:id="25" w:name="_Toc414011883"/>
      <w:r>
        <w:rPr>
          <w:lang w:val="en-GB"/>
        </w:rPr>
        <w:t>Strategic planning</w:t>
      </w:r>
      <w:bookmarkEnd w:id="25"/>
    </w:p>
    <w:p w14:paraId="65DCA1AC" w14:textId="77777777" w:rsidR="00895CD2" w:rsidRDefault="00AD26F3">
      <w:pPr>
        <w:pStyle w:val="2body-copy"/>
        <w:rPr>
          <w:rFonts w:cs="Times New Roman"/>
          <w:lang w:val="en-GB"/>
        </w:rPr>
      </w:pPr>
      <w:r>
        <w:rPr>
          <w:rFonts w:cs="Times New Roman"/>
          <w:lang w:val="en-GB"/>
        </w:rPr>
        <w:t>The NHR Act requires the Commission to prepare a work plan for each financial year and submit it to the Minister for Health. The Minister consults with the health ministers in each state and territory about the work plan. The Standing Council on Health endorses the final work plan.</w:t>
      </w:r>
    </w:p>
    <w:p w14:paraId="5C3337C6" w14:textId="77777777" w:rsidR="00895CD2" w:rsidRDefault="00AD26F3">
      <w:pPr>
        <w:pStyle w:val="2body-copy"/>
        <w:rPr>
          <w:rFonts w:cs="Times New Roman"/>
          <w:lang w:val="en-GB"/>
        </w:rPr>
      </w:pPr>
      <w:r>
        <w:rPr>
          <w:rFonts w:cs="Times New Roman"/>
          <w:lang w:val="en-GB"/>
        </w:rPr>
        <w:t xml:space="preserve">The work plan for 2013/14 set out the Commission’s activities in seven priority areas and was endorsed by the Standing Council in June 2013. </w:t>
      </w:r>
    </w:p>
    <w:p w14:paraId="33EF7D2C" w14:textId="77777777" w:rsidR="00895CD2" w:rsidRDefault="00AD26F3">
      <w:pPr>
        <w:pStyle w:val="2body-copy"/>
        <w:rPr>
          <w:rFonts w:cs="Times New Roman"/>
          <w:lang w:val="en-GB"/>
        </w:rPr>
      </w:pPr>
      <w:r>
        <w:rPr>
          <w:rFonts w:cs="Times New Roman"/>
          <w:lang w:val="en-GB"/>
        </w:rPr>
        <w:t>In 2013/14, the Commission’s Board started work on a new strategic plan that would describe the high-level priorities for the Commission over the next three to five years. The strategic plan will come into effect in 2014/15 and will complement and inform the Commission’s more detailed work plans.</w:t>
      </w:r>
    </w:p>
    <w:p w14:paraId="05A1DD73" w14:textId="77777777" w:rsidR="00895CD2" w:rsidRDefault="00AD26F3">
      <w:pPr>
        <w:pStyle w:val="2body-copy-before-bullet"/>
        <w:rPr>
          <w:rFonts w:cs="Times New Roman"/>
          <w:lang w:val="en-GB"/>
        </w:rPr>
      </w:pPr>
      <w:r>
        <w:rPr>
          <w:rFonts w:cs="Times New Roman"/>
          <w:lang w:val="en-GB"/>
        </w:rPr>
        <w:t>In developing this strategic plan, the Commission undertook a variety of activities to gain an understanding of the current state of safety and quality in Australian health care and how it could be improved. These activities included:</w:t>
      </w:r>
    </w:p>
    <w:p w14:paraId="2DB93DCD" w14:textId="77777777" w:rsidR="00895CD2" w:rsidRDefault="00AD26F3" w:rsidP="00BE7189">
      <w:pPr>
        <w:pStyle w:val="bullet"/>
      </w:pPr>
      <w:r>
        <w:t>research with the general public about the safety and quality of health services in Australia</w:t>
      </w:r>
    </w:p>
    <w:p w14:paraId="36849DB7" w14:textId="77777777" w:rsidR="00895CD2" w:rsidRDefault="00AD26F3" w:rsidP="00BE7189">
      <w:pPr>
        <w:pStyle w:val="bullet"/>
      </w:pPr>
      <w:r>
        <w:t>consultation with consumers and consumer groups about key safety and quality priorities</w:t>
      </w:r>
    </w:p>
    <w:p w14:paraId="18A350D2" w14:textId="77777777" w:rsidR="00895CD2" w:rsidRDefault="00AD26F3" w:rsidP="00BE7189">
      <w:pPr>
        <w:pStyle w:val="bullet"/>
      </w:pPr>
      <w:r>
        <w:t>focus groups with staff members from public and private hospitals about safety and quality challenges and priorities</w:t>
      </w:r>
    </w:p>
    <w:p w14:paraId="4C604BE0" w14:textId="77777777" w:rsidR="00895CD2" w:rsidRDefault="00AD26F3" w:rsidP="00BE7189">
      <w:pPr>
        <w:pStyle w:val="bullet"/>
      </w:pPr>
      <w:r>
        <w:t>interviews with leaders from key national health organisations about safety and quality and the role of the Commission</w:t>
      </w:r>
    </w:p>
    <w:p w14:paraId="254BA412" w14:textId="77777777" w:rsidR="00895CD2" w:rsidRDefault="00AD26F3" w:rsidP="00BE7189">
      <w:pPr>
        <w:pStyle w:val="bullet"/>
      </w:pPr>
      <w:proofErr w:type="gramStart"/>
      <w:r>
        <w:t>a</w:t>
      </w:r>
      <w:proofErr w:type="gramEnd"/>
      <w:r>
        <w:t xml:space="preserve"> health economic analysis on safety and quality, sustainability and productivity.</w:t>
      </w:r>
    </w:p>
    <w:p w14:paraId="61E21C41" w14:textId="77777777" w:rsidR="00895CD2" w:rsidRDefault="00AD26F3" w:rsidP="00093444">
      <w:pPr>
        <w:pStyle w:val="Heading2"/>
        <w:rPr>
          <w:lang w:val="en-GB"/>
        </w:rPr>
      </w:pPr>
      <w:bookmarkStart w:id="26" w:name="_Toc414011884"/>
      <w:r>
        <w:rPr>
          <w:lang w:val="en-GB"/>
        </w:rPr>
        <w:t xml:space="preserve">Ministerial </w:t>
      </w:r>
      <w:r w:rsidRPr="006F35FE">
        <w:t>Directions</w:t>
      </w:r>
      <w:bookmarkEnd w:id="26"/>
    </w:p>
    <w:p w14:paraId="3A62E206" w14:textId="77777777" w:rsidR="00895CD2" w:rsidRDefault="00AD26F3">
      <w:pPr>
        <w:pStyle w:val="2body-copy"/>
        <w:rPr>
          <w:rFonts w:cs="Times New Roman"/>
          <w:lang w:val="en-GB"/>
        </w:rPr>
      </w:pPr>
      <w:r>
        <w:rPr>
          <w:rFonts w:cs="Times New Roman"/>
          <w:lang w:val="en-GB"/>
        </w:rPr>
        <w:t>Section 16 of the NHR Act empowers the Minister for Health to make directions with which the Commission must comply. The Minister for Health made no such directions during the 2013/14 reporting period.</w:t>
      </w:r>
    </w:p>
    <w:p w14:paraId="7E85D60B" w14:textId="77777777" w:rsidR="00895CD2" w:rsidRDefault="00AD26F3" w:rsidP="00093444">
      <w:pPr>
        <w:pStyle w:val="Heading2"/>
        <w:rPr>
          <w:lang w:val="en-GB"/>
        </w:rPr>
      </w:pPr>
      <w:bookmarkStart w:id="27" w:name="_Toc414011885"/>
      <w:r w:rsidRPr="006F35FE">
        <w:t>Commission</w:t>
      </w:r>
      <w:r>
        <w:rPr>
          <w:lang w:val="en-GB"/>
        </w:rPr>
        <w:t xml:space="preserve"> Board</w:t>
      </w:r>
      <w:bookmarkEnd w:id="27"/>
    </w:p>
    <w:p w14:paraId="6F716A57" w14:textId="77777777" w:rsidR="00895CD2" w:rsidRDefault="00AD26F3">
      <w:pPr>
        <w:pStyle w:val="2body-copy"/>
        <w:rPr>
          <w:rFonts w:cs="Times New Roman"/>
          <w:lang w:val="en-GB"/>
        </w:rPr>
      </w:pPr>
      <w:r>
        <w:rPr>
          <w:rFonts w:cs="Times New Roman"/>
          <w:lang w:val="en-GB"/>
        </w:rPr>
        <w:t xml:space="preserve">The Commission’s Board governs the organisation and is responsible for the proper and efficient performance of its functions. The Board establishes the Commission’s strategic direction, including directing and approving its strategic plan and monitoring the plan’s implementation by management. It also oversees the Commission’s operations, and ensures that appropriate systems and processes are in place so that the Commission operates in a safe, responsible and ethical manner, consistent with its regulatory requirements. </w:t>
      </w:r>
    </w:p>
    <w:p w14:paraId="6D097FAB" w14:textId="77777777" w:rsidR="00895CD2" w:rsidRDefault="00AD26F3">
      <w:pPr>
        <w:pStyle w:val="2body-copy"/>
        <w:rPr>
          <w:rFonts w:cs="Times New Roman"/>
          <w:lang w:val="en-GB"/>
        </w:rPr>
      </w:pPr>
      <w:r>
        <w:rPr>
          <w:rFonts w:cs="Times New Roman"/>
          <w:lang w:val="en-GB"/>
        </w:rPr>
        <w:t>The Board is established and governed by the provisions of the NHR Act and the CAC Act.</w:t>
      </w:r>
    </w:p>
    <w:p w14:paraId="2073AAE6" w14:textId="77777777" w:rsidR="00BE7189" w:rsidRDefault="00BE7189">
      <w:pPr>
        <w:spacing w:after="0"/>
        <w:rPr>
          <w:rFonts w:cs="Times New Roman"/>
          <w:color w:val="5F605F"/>
          <w:sz w:val="30"/>
          <w:szCs w:val="30"/>
          <w:lang w:val="en-GB"/>
        </w:rPr>
      </w:pPr>
      <w:r>
        <w:rPr>
          <w:rFonts w:cs="Times New Roman"/>
          <w:lang w:val="en-GB"/>
        </w:rPr>
        <w:br w:type="page"/>
      </w:r>
    </w:p>
    <w:p w14:paraId="10700310" w14:textId="77777777" w:rsidR="00787CC2" w:rsidRDefault="00CB0187" w:rsidP="00CB0187">
      <w:pPr>
        <w:pStyle w:val="1heading-level-2"/>
        <w:jc w:val="right"/>
        <w:rPr>
          <w:rFonts w:cs="Times New Roman"/>
          <w:lang w:val="en-GB"/>
        </w:rPr>
      </w:pPr>
      <w:r>
        <w:rPr>
          <w:rFonts w:cs="Times New Roman"/>
          <w:noProof/>
          <w:lang w:eastAsia="en-AU"/>
        </w:rPr>
        <w:lastRenderedPageBreak/>
        <w:drawing>
          <wp:inline distT="0" distB="0" distL="0" distR="0" wp14:anchorId="54B91604" wp14:editId="63AAF85D">
            <wp:extent cx="5486400" cy="5697470"/>
            <wp:effectExtent l="0" t="0" r="0" b="0"/>
            <wp:docPr id="259" name="Picture 259" descr="Photo of Commission Board" title="Photo of Commissio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65.png"/>
                    <pic:cNvPicPr/>
                  </pic:nvPicPr>
                  <pic:blipFill rotWithShape="1">
                    <a:blip r:embed="rId41">
                      <a:extLst>
                        <a:ext uri="{28A0092B-C50C-407E-A947-70E740481C1C}">
                          <a14:useLocalDpi xmlns:a14="http://schemas.microsoft.com/office/drawing/2010/main" val="0"/>
                        </a:ext>
                      </a:extLst>
                    </a:blip>
                    <a:srcRect t="5752"/>
                    <a:stretch/>
                  </pic:blipFill>
                  <pic:spPr bwMode="auto">
                    <a:xfrm>
                      <a:off x="0" y="0"/>
                      <a:ext cx="5486400" cy="5697470"/>
                    </a:xfrm>
                    <a:prstGeom prst="rect">
                      <a:avLst/>
                    </a:prstGeom>
                    <a:ln>
                      <a:noFill/>
                    </a:ln>
                    <a:extLst>
                      <a:ext uri="{53640926-AAD7-44D8-BBD7-CCE9431645EC}">
                        <a14:shadowObscured xmlns:a14="http://schemas.microsoft.com/office/drawing/2010/main"/>
                      </a:ext>
                    </a:extLst>
                  </pic:spPr>
                </pic:pic>
              </a:graphicData>
            </a:graphic>
          </wp:inline>
        </w:drawing>
      </w:r>
    </w:p>
    <w:p w14:paraId="3432378F" w14:textId="77777777" w:rsidR="00787CC2" w:rsidRDefault="00787CC2" w:rsidP="00787CC2">
      <w:pPr>
        <w:pStyle w:val="4acknowledgements"/>
        <w:rPr>
          <w:rFonts w:cs="Times New Roman"/>
          <w:lang w:val="en-GB"/>
        </w:rPr>
      </w:pPr>
      <w:r>
        <w:rPr>
          <w:rFonts w:cs="Times New Roman"/>
          <w:lang w:val="en-GB"/>
        </w:rPr>
        <w:t>Standing left to right: Professor Christopher Brook PSM, Professor Phillip Della, Dr Helena Williams, Dr Shaun Larkin and Ms Christine Gee.</w:t>
      </w:r>
    </w:p>
    <w:p w14:paraId="058A2C04" w14:textId="77777777" w:rsidR="00787CC2" w:rsidRPr="00787CC2" w:rsidRDefault="00787CC2" w:rsidP="00787CC2">
      <w:pPr>
        <w:pStyle w:val="4acknowledgements"/>
        <w:rPr>
          <w:rFonts w:cs="Times New Roman"/>
          <w:lang w:val="en-GB"/>
        </w:rPr>
      </w:pPr>
      <w:r>
        <w:rPr>
          <w:rFonts w:cs="Times New Roman"/>
          <w:lang w:val="en-GB"/>
        </w:rPr>
        <w:t xml:space="preserve">Seated: Professor </w:t>
      </w:r>
      <w:proofErr w:type="spellStart"/>
      <w:r>
        <w:rPr>
          <w:rFonts w:cs="Times New Roman"/>
          <w:lang w:val="en-GB"/>
        </w:rPr>
        <w:t>Villis</w:t>
      </w:r>
      <w:proofErr w:type="spellEnd"/>
      <w:r>
        <w:rPr>
          <w:rFonts w:cs="Times New Roman"/>
          <w:lang w:val="en-GB"/>
        </w:rPr>
        <w:t xml:space="preserve"> Marshall AC and the Honourable Verity Firth.</w:t>
      </w:r>
    </w:p>
    <w:p w14:paraId="20C7385F" w14:textId="7882CEEE" w:rsidR="00895CD2" w:rsidRDefault="002454F9">
      <w:pPr>
        <w:pStyle w:val="1heading-level-2"/>
        <w:rPr>
          <w:rFonts w:cs="Times New Roman"/>
          <w:lang w:val="en-GB"/>
        </w:rPr>
      </w:pPr>
      <w:r>
        <w:rPr>
          <w:rFonts w:cs="Times New Roman"/>
          <w:lang w:val="en-GB"/>
        </w:rPr>
        <w:t>Board membership 20</w:t>
      </w:r>
      <w:r w:rsidR="00AD26F3">
        <w:rPr>
          <w:rFonts w:cs="Times New Roman"/>
          <w:lang w:val="en-GB"/>
        </w:rPr>
        <w:t>13</w:t>
      </w:r>
      <w:r>
        <w:rPr>
          <w:rFonts w:cs="Times New Roman"/>
          <w:lang w:val="en-GB"/>
        </w:rPr>
        <w:t>/14</w:t>
      </w:r>
    </w:p>
    <w:p w14:paraId="15CA60B7" w14:textId="77777777" w:rsidR="00895CD2" w:rsidRDefault="00AD26F3">
      <w:pPr>
        <w:pStyle w:val="2body-copy"/>
        <w:rPr>
          <w:rFonts w:cs="Times New Roman"/>
          <w:lang w:val="en-GB"/>
        </w:rPr>
      </w:pPr>
      <w:r>
        <w:rPr>
          <w:rFonts w:cs="Times New Roman"/>
          <w:lang w:val="en-GB"/>
        </w:rPr>
        <w:t>The Board consists of a Chair and nine members, who among them have extensive experience in healthcare administration, the law, management and clinical work. The Board also includes a patient and consumer representative. Women make up 50% of the Board’s membership.</w:t>
      </w:r>
    </w:p>
    <w:p w14:paraId="0FED1BE8" w14:textId="77777777" w:rsidR="00895CD2" w:rsidRDefault="00AD26F3">
      <w:pPr>
        <w:pStyle w:val="1heading-level-3"/>
        <w:rPr>
          <w:rFonts w:cs="Times New Roman"/>
          <w:lang w:val="en-GB"/>
        </w:rPr>
      </w:pPr>
      <w:r>
        <w:rPr>
          <w:rFonts w:cs="Times New Roman"/>
          <w:lang w:val="en-GB"/>
        </w:rPr>
        <w:t xml:space="preserve">Professor </w:t>
      </w:r>
      <w:proofErr w:type="spellStart"/>
      <w:r>
        <w:rPr>
          <w:rFonts w:cs="Times New Roman"/>
          <w:lang w:val="en-GB"/>
        </w:rPr>
        <w:t>Villis</w:t>
      </w:r>
      <w:proofErr w:type="spellEnd"/>
      <w:r>
        <w:rPr>
          <w:rFonts w:cs="Times New Roman"/>
          <w:lang w:val="en-GB"/>
        </w:rPr>
        <w:t xml:space="preserve"> Marshall AC (Chair)</w:t>
      </w:r>
    </w:p>
    <w:p w14:paraId="16545B71" w14:textId="77777777" w:rsidR="00895CD2" w:rsidRDefault="00AD26F3">
      <w:pPr>
        <w:pStyle w:val="2body-copy"/>
        <w:rPr>
          <w:rFonts w:cs="Times New Roman"/>
          <w:lang w:val="en-GB"/>
        </w:rPr>
      </w:pPr>
      <w:r>
        <w:rPr>
          <w:rFonts w:cs="Times New Roman"/>
          <w:lang w:val="en-GB"/>
        </w:rPr>
        <w:t xml:space="preserve">Professor </w:t>
      </w:r>
      <w:proofErr w:type="spellStart"/>
      <w:r>
        <w:rPr>
          <w:rFonts w:cs="Times New Roman"/>
          <w:lang w:val="en-GB"/>
        </w:rPr>
        <w:t>Villis</w:t>
      </w:r>
      <w:proofErr w:type="spellEnd"/>
      <w:r>
        <w:rPr>
          <w:rFonts w:cs="Times New Roman"/>
          <w:lang w:val="en-GB"/>
        </w:rPr>
        <w:t xml:space="preserve"> Marshall brings to the Board experience in providing healthcare services, managing public hospitals, and improving safety and quality. Professor Marshall has had significant clinical experience as </w:t>
      </w:r>
      <w:proofErr w:type="gramStart"/>
      <w:r>
        <w:rPr>
          <w:rFonts w:cs="Times New Roman"/>
          <w:lang w:val="en-GB"/>
        </w:rPr>
        <w:t>a</w:t>
      </w:r>
      <w:proofErr w:type="gramEnd"/>
      <w:r>
        <w:rPr>
          <w:rFonts w:cs="Times New Roman"/>
          <w:lang w:val="en-GB"/>
        </w:rPr>
        <w:t xml:space="preserve"> urologist, and as Clinical Director (Surgical and Specialties Service) for the Royal Adelaide Hospital, and Clinical Professor of Surgery at The University of Adelaide. </w:t>
      </w:r>
    </w:p>
    <w:p w14:paraId="3D44AE74" w14:textId="77777777" w:rsidR="00895CD2" w:rsidRDefault="00AD26F3">
      <w:pPr>
        <w:pStyle w:val="2body-copy"/>
        <w:rPr>
          <w:rFonts w:cs="Times New Roman"/>
          <w:lang w:val="en-GB"/>
        </w:rPr>
      </w:pPr>
      <w:r>
        <w:rPr>
          <w:rFonts w:cs="Times New Roman"/>
          <w:lang w:val="en-GB"/>
        </w:rPr>
        <w:lastRenderedPageBreak/>
        <w:t xml:space="preserve">His previous appointments include General Manager at Royal Adelaide Hospital, Senior Specialist in Urology and Director of Surgery at Repatriation General Hospital, and Professor and Chair of Surgical and Specialty Services at Flinders Medical Centre. </w:t>
      </w:r>
    </w:p>
    <w:p w14:paraId="0EE57F05"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MD, MBBS and FRACS </w:t>
      </w:r>
    </w:p>
    <w:p w14:paraId="1546A55B"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1 April 2012; appointed as Chair on 1 April 2013.</w:t>
      </w:r>
    </w:p>
    <w:p w14:paraId="524252EC" w14:textId="77777777" w:rsidR="00895CD2" w:rsidRDefault="00AD26F3">
      <w:pPr>
        <w:pStyle w:val="1heading-level-3"/>
        <w:rPr>
          <w:rFonts w:cs="Times New Roman"/>
          <w:lang w:val="en-GB"/>
        </w:rPr>
      </w:pPr>
      <w:r>
        <w:rPr>
          <w:rFonts w:cs="Times New Roman"/>
          <w:lang w:val="en-GB"/>
        </w:rPr>
        <w:t>Professor Christopher Brook PSM</w:t>
      </w:r>
    </w:p>
    <w:p w14:paraId="557410C8" w14:textId="77777777" w:rsidR="00895CD2" w:rsidRDefault="00AD26F3">
      <w:pPr>
        <w:pStyle w:val="2body-copy"/>
        <w:rPr>
          <w:rFonts w:cs="Times New Roman"/>
          <w:lang w:val="en-GB"/>
        </w:rPr>
      </w:pPr>
      <w:r>
        <w:rPr>
          <w:rFonts w:cs="Times New Roman"/>
          <w:lang w:val="en-GB"/>
        </w:rPr>
        <w:t>Professor Christopher Brook has experience in public healthcare administration and improving the safety and quality of health care. He is currently the Chief Advisor for Innovation, Safety and Quality for the Department of Health, Victoria.</w:t>
      </w:r>
    </w:p>
    <w:p w14:paraId="60B4BBD2" w14:textId="77777777" w:rsidR="00895CD2" w:rsidRDefault="00AD26F3">
      <w:pPr>
        <w:pStyle w:val="2body-copy"/>
        <w:rPr>
          <w:rFonts w:cs="Times New Roman"/>
          <w:lang w:val="en-GB"/>
        </w:rPr>
      </w:pPr>
      <w:r>
        <w:rPr>
          <w:rFonts w:cs="Times New Roman"/>
          <w:lang w:val="en-GB"/>
        </w:rPr>
        <w:t xml:space="preserve">As a personal appointment, Professor Brook is also the State Health and Medical Commander (Emergency Management) for Victoria. He also sits on the Clinical Trials Advisory Committee </w:t>
      </w:r>
      <w:proofErr w:type="spellStart"/>
      <w:r>
        <w:rPr>
          <w:rFonts w:cs="Times New Roman"/>
          <w:lang w:val="en-GB"/>
        </w:rPr>
        <w:t>auspiced</w:t>
      </w:r>
      <w:proofErr w:type="spellEnd"/>
      <w:r>
        <w:rPr>
          <w:rFonts w:cs="Times New Roman"/>
          <w:lang w:val="en-GB"/>
        </w:rPr>
        <w:t xml:space="preserve"> by the Australian Government Department of Industry; and sits on the Advisory Board of the National Blood Authority.</w:t>
      </w:r>
    </w:p>
    <w:p w14:paraId="1096481A"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MB, BS, FRACP (Gastroenterology), FAFPHM, FIPAA and FRACMA </w:t>
      </w:r>
    </w:p>
    <w:p w14:paraId="7058B4A1"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on 1 April 2012; reappointed on 1 April 2013.</w:t>
      </w:r>
    </w:p>
    <w:p w14:paraId="1616849E" w14:textId="77777777" w:rsidR="00895CD2" w:rsidRDefault="00AD26F3">
      <w:pPr>
        <w:pStyle w:val="1heading-level-3"/>
        <w:rPr>
          <w:rFonts w:cs="Times New Roman"/>
          <w:lang w:val="en-GB"/>
        </w:rPr>
      </w:pPr>
      <w:r>
        <w:rPr>
          <w:rFonts w:cs="Times New Roman"/>
          <w:lang w:val="en-GB"/>
        </w:rPr>
        <w:t>Professor Phillip Della</w:t>
      </w:r>
    </w:p>
    <w:p w14:paraId="78EA6C40" w14:textId="77777777" w:rsidR="00895CD2" w:rsidRDefault="00AD26F3">
      <w:pPr>
        <w:pStyle w:val="2body-copy"/>
        <w:rPr>
          <w:rFonts w:cs="Times New Roman"/>
          <w:lang w:val="en-GB"/>
        </w:rPr>
      </w:pPr>
      <w:r>
        <w:rPr>
          <w:rFonts w:cs="Times New Roman"/>
          <w:lang w:val="en-GB"/>
        </w:rPr>
        <w:t xml:space="preserve">Professor Phillip Della has experience in public administration (health care), providing professional healthcare services, and improving safety and quality. Previously Deputy Pro Vice-Chancellor of Health Science at Curtin University, Professor Della continues to hold a number of positions at the university, including Professor and Head of the School of Nursing and Midwifery. </w:t>
      </w:r>
    </w:p>
    <w:p w14:paraId="5447BEB2" w14:textId="77777777" w:rsidR="00895CD2" w:rsidRDefault="00AD26F3">
      <w:pPr>
        <w:pStyle w:val="2body-copy"/>
        <w:rPr>
          <w:rFonts w:cs="Times New Roman"/>
          <w:lang w:val="en-GB"/>
        </w:rPr>
      </w:pPr>
      <w:r>
        <w:rPr>
          <w:rFonts w:cs="Times New Roman"/>
          <w:lang w:val="en-GB"/>
        </w:rPr>
        <w:t>Previous roles also include Chief Nursing Officer and Principal Nursing Advisor for the Western Australian Department of Health.</w:t>
      </w:r>
    </w:p>
    <w:p w14:paraId="5F6B9EC9"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PhD, FACN</w:t>
      </w:r>
    </w:p>
    <w:p w14:paraId="3EB762FB"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on 1 April 2013.</w:t>
      </w:r>
    </w:p>
    <w:p w14:paraId="1C5D087C" w14:textId="77777777" w:rsidR="00895CD2" w:rsidRDefault="00AD26F3">
      <w:pPr>
        <w:pStyle w:val="1heading-level-3"/>
        <w:rPr>
          <w:rFonts w:cs="Times New Roman"/>
          <w:lang w:val="en-GB"/>
        </w:rPr>
      </w:pPr>
      <w:r>
        <w:rPr>
          <w:rFonts w:cs="Times New Roman"/>
          <w:lang w:val="en-GB"/>
        </w:rPr>
        <w:t>The Honourable Verity Firth</w:t>
      </w:r>
    </w:p>
    <w:p w14:paraId="381B3398" w14:textId="77777777" w:rsidR="00895CD2" w:rsidRDefault="00AD26F3">
      <w:pPr>
        <w:pStyle w:val="2body-copy"/>
        <w:rPr>
          <w:rFonts w:cs="Times New Roman"/>
          <w:lang w:val="en-GB"/>
        </w:rPr>
      </w:pPr>
      <w:r>
        <w:rPr>
          <w:rFonts w:cs="Times New Roman"/>
          <w:lang w:val="en-GB"/>
        </w:rPr>
        <w:t xml:space="preserve">The Honourable Verity Firth has legal expertise and experience in public healthcare administration. </w:t>
      </w:r>
    </w:p>
    <w:p w14:paraId="0697310E" w14:textId="77777777" w:rsidR="00895CD2" w:rsidRDefault="00AD26F3">
      <w:pPr>
        <w:pStyle w:val="2body-copy"/>
        <w:rPr>
          <w:rFonts w:cs="Times New Roman"/>
          <w:lang w:val="en-GB"/>
        </w:rPr>
      </w:pPr>
      <w:r>
        <w:rPr>
          <w:rFonts w:cs="Times New Roman"/>
          <w:lang w:val="en-GB"/>
        </w:rPr>
        <w:t>Ms Firth served as a member of the New South Wales Legislative Assembly from 2007 to 2011. During this time, she served as Minister for Women, Minister for Science and Medical Research, Minister Assisting the Minister for Health (Cancer), Minister for Climate Change and the Environment and Minister for Education and Training.</w:t>
      </w:r>
    </w:p>
    <w:p w14:paraId="71418999"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BA LLB</w:t>
      </w:r>
    </w:p>
    <w:p w14:paraId="7A48B687"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on 1 April 2013.</w:t>
      </w:r>
    </w:p>
    <w:p w14:paraId="528F544D" w14:textId="77777777" w:rsidR="00895CD2" w:rsidRDefault="00AD26F3">
      <w:pPr>
        <w:pStyle w:val="1heading-level-3"/>
        <w:rPr>
          <w:rFonts w:cs="Times New Roman"/>
          <w:lang w:val="en-GB"/>
        </w:rPr>
      </w:pPr>
      <w:r>
        <w:rPr>
          <w:rFonts w:cs="Times New Roman"/>
          <w:lang w:val="en-GB"/>
        </w:rPr>
        <w:t>Ms Christine Gee</w:t>
      </w:r>
    </w:p>
    <w:p w14:paraId="5FA1E02B" w14:textId="77777777" w:rsidR="00895CD2" w:rsidRDefault="00AD26F3">
      <w:pPr>
        <w:pStyle w:val="2body-copy"/>
        <w:rPr>
          <w:rFonts w:cs="Times New Roman"/>
          <w:lang w:val="en-GB"/>
        </w:rPr>
      </w:pPr>
      <w:r>
        <w:rPr>
          <w:rFonts w:cs="Times New Roman"/>
          <w:lang w:val="en-GB"/>
        </w:rPr>
        <w:t xml:space="preserve">Christine Gee brings to the board extensive experience in private hospital administration, having held executive management positions for over 25 years. She has been the CEO of </w:t>
      </w:r>
      <w:proofErr w:type="spellStart"/>
      <w:r>
        <w:rPr>
          <w:rFonts w:cs="Times New Roman"/>
          <w:lang w:val="en-GB"/>
        </w:rPr>
        <w:t>Toowong</w:t>
      </w:r>
      <w:proofErr w:type="spellEnd"/>
      <w:r>
        <w:rPr>
          <w:rFonts w:cs="Times New Roman"/>
          <w:lang w:val="en-GB"/>
        </w:rPr>
        <w:t xml:space="preserve"> Private Hospital since 1997 and is Chair of the Commission’s Private Hospitals Sector Committee. </w:t>
      </w:r>
    </w:p>
    <w:p w14:paraId="6021B56D" w14:textId="77777777" w:rsidR="00895CD2" w:rsidRDefault="00AD26F3">
      <w:pPr>
        <w:pStyle w:val="2body-copy"/>
        <w:rPr>
          <w:rFonts w:cs="Times New Roman"/>
          <w:lang w:val="en-GB"/>
        </w:rPr>
      </w:pPr>
      <w:r>
        <w:rPr>
          <w:rFonts w:cs="Times New Roman"/>
          <w:lang w:val="en-GB"/>
        </w:rPr>
        <w:t xml:space="preserve">Ms Gee is also involved in numerous national boards and committees, including the Australian Private Hospitals Association, the Private Hospitals Association of Queensland, the Queensland Board of the Medical Board of Australia, the Australian Government’s Second Tier Advisory Committee and the Minter Ellison Health and Ageing Industry Group Advisory Board. </w:t>
      </w:r>
    </w:p>
    <w:p w14:paraId="0839EE58"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MBA </w:t>
      </w:r>
    </w:p>
    <w:p w14:paraId="31794DFB" w14:textId="77777777" w:rsidR="00895CD2" w:rsidRDefault="00AD26F3">
      <w:pPr>
        <w:pStyle w:val="2body-copy-before-bullet"/>
        <w:rPr>
          <w:rFonts w:cs="Times New Roman"/>
          <w:lang w:val="en-GB"/>
        </w:rPr>
      </w:pPr>
      <w:r>
        <w:rPr>
          <w:rStyle w:val="2body-medium"/>
          <w:rFonts w:cs="Times New Roman"/>
          <w:lang w:val="en-GB"/>
        </w:rPr>
        <w:t xml:space="preserve">Board membership: </w:t>
      </w:r>
      <w:r>
        <w:rPr>
          <w:rFonts w:cs="Times New Roman"/>
          <w:lang w:val="en-GB"/>
        </w:rPr>
        <w:t>First appointed as a Commission member in March 2006; appointed to the Board, as established under the CAC Act, on 1 July 2011.</w:t>
      </w:r>
    </w:p>
    <w:p w14:paraId="15B16FE0" w14:textId="77777777" w:rsidR="00895CD2" w:rsidRDefault="00AD26F3">
      <w:pPr>
        <w:pStyle w:val="1heading-level-3"/>
        <w:rPr>
          <w:rFonts w:cs="Times New Roman"/>
          <w:lang w:val="en-GB"/>
        </w:rPr>
      </w:pPr>
      <w:r>
        <w:rPr>
          <w:rFonts w:cs="Times New Roman"/>
          <w:lang w:val="en-GB"/>
        </w:rPr>
        <w:t xml:space="preserve">Professor Jane </w:t>
      </w:r>
      <w:proofErr w:type="spellStart"/>
      <w:r>
        <w:rPr>
          <w:rFonts w:cs="Times New Roman"/>
          <w:lang w:val="en-GB"/>
        </w:rPr>
        <w:t>Halton</w:t>
      </w:r>
      <w:proofErr w:type="spellEnd"/>
      <w:r>
        <w:rPr>
          <w:rFonts w:cs="Times New Roman"/>
          <w:lang w:val="en-GB"/>
        </w:rPr>
        <w:t xml:space="preserve"> PSM</w:t>
      </w:r>
    </w:p>
    <w:p w14:paraId="531DA81C" w14:textId="77777777" w:rsidR="00895CD2" w:rsidRDefault="00AD26F3">
      <w:pPr>
        <w:pStyle w:val="2body-copy"/>
        <w:rPr>
          <w:rFonts w:cs="Times New Roman"/>
          <w:lang w:val="en-GB"/>
        </w:rPr>
      </w:pPr>
      <w:r>
        <w:rPr>
          <w:rFonts w:cs="Times New Roman"/>
          <w:lang w:val="en-GB"/>
        </w:rPr>
        <w:t xml:space="preserve">Professor Jane </w:t>
      </w:r>
      <w:proofErr w:type="spellStart"/>
      <w:r>
        <w:rPr>
          <w:rFonts w:cs="Times New Roman"/>
          <w:lang w:val="en-GB"/>
        </w:rPr>
        <w:t>Halton</w:t>
      </w:r>
      <w:proofErr w:type="spellEnd"/>
      <w:r>
        <w:rPr>
          <w:rFonts w:cs="Times New Roman"/>
          <w:lang w:val="en-GB"/>
        </w:rPr>
        <w:t xml:space="preserve"> was Secretary of the Australian Department of Health from 2002 until July 2014. She gained a wealth of experience through her roles with numerous leading national and international boards and committees. </w:t>
      </w:r>
    </w:p>
    <w:p w14:paraId="33C71BCE" w14:textId="77777777" w:rsidR="00895CD2" w:rsidRDefault="00AD26F3">
      <w:pPr>
        <w:pStyle w:val="2body-copy"/>
        <w:rPr>
          <w:rFonts w:cs="Times New Roman"/>
          <w:lang w:val="en-GB"/>
        </w:rPr>
      </w:pPr>
      <w:r>
        <w:rPr>
          <w:rFonts w:cs="Times New Roman"/>
          <w:lang w:val="en-GB"/>
        </w:rPr>
        <w:lastRenderedPageBreak/>
        <w:t xml:space="preserve">Professor </w:t>
      </w:r>
      <w:proofErr w:type="spellStart"/>
      <w:r>
        <w:rPr>
          <w:rFonts w:cs="Times New Roman"/>
          <w:lang w:val="en-GB"/>
        </w:rPr>
        <w:t>Halton</w:t>
      </w:r>
      <w:proofErr w:type="spellEnd"/>
      <w:r>
        <w:rPr>
          <w:rFonts w:cs="Times New Roman"/>
          <w:lang w:val="en-GB"/>
        </w:rPr>
        <w:t xml:space="preserve"> was a board member of the Australian Institute of Health and Welfare and the National E-Health Transition Authority. She is also on the executive board of the Institute for Health Metrics and Evaluation at the University of Washington in the USA, and on the advisory boards of the Centre for Applied Philosophy and Public Ethics, and the Melbourne Institute.</w:t>
      </w:r>
    </w:p>
    <w:p w14:paraId="78827B4F" w14:textId="77777777" w:rsidR="00895CD2" w:rsidRDefault="00AD26F3">
      <w:pPr>
        <w:pStyle w:val="2body-copy"/>
        <w:rPr>
          <w:rFonts w:cs="Times New Roman"/>
          <w:lang w:val="en-GB"/>
        </w:rPr>
      </w:pPr>
      <w:r>
        <w:rPr>
          <w:rFonts w:cs="Times New Roman"/>
          <w:lang w:val="en-GB"/>
        </w:rPr>
        <w:t xml:space="preserve">Professor </w:t>
      </w:r>
      <w:proofErr w:type="spellStart"/>
      <w:r>
        <w:rPr>
          <w:rFonts w:cs="Times New Roman"/>
          <w:lang w:val="en-GB"/>
        </w:rPr>
        <w:t>Halton</w:t>
      </w:r>
      <w:proofErr w:type="spellEnd"/>
      <w:r>
        <w:rPr>
          <w:rFonts w:cs="Times New Roman"/>
          <w:lang w:val="en-GB"/>
        </w:rPr>
        <w:t xml:space="preserve"> was the Chair of the OECD Health Committee, and the WHO Executive Board. She was also previously an executive board member of WHO; President of the World Health Assembly; Vice-Chair of the WHO Executive Board; and Chair of the WHO’s Program, Budget and Administration Committee. </w:t>
      </w:r>
    </w:p>
    <w:p w14:paraId="40C17EDC" w14:textId="77777777" w:rsidR="00895CD2" w:rsidRDefault="00AD26F3">
      <w:pPr>
        <w:pStyle w:val="2body-copy"/>
        <w:rPr>
          <w:rFonts w:cs="Times New Roman"/>
          <w:lang w:val="en-GB"/>
        </w:rPr>
      </w:pPr>
      <w:r>
        <w:rPr>
          <w:rFonts w:cs="Times New Roman"/>
          <w:lang w:val="en-GB"/>
        </w:rPr>
        <w:t xml:space="preserve">Prior to her appointment as Secretary of the Department of Health, Professor </w:t>
      </w:r>
      <w:proofErr w:type="spellStart"/>
      <w:r>
        <w:rPr>
          <w:rFonts w:cs="Times New Roman"/>
          <w:lang w:val="en-GB"/>
        </w:rPr>
        <w:t>Halton</w:t>
      </w:r>
      <w:proofErr w:type="spellEnd"/>
      <w:r>
        <w:rPr>
          <w:rFonts w:cs="Times New Roman"/>
          <w:lang w:val="en-GB"/>
        </w:rPr>
        <w:t xml:space="preserve"> was a Deputy Secretary in the Department of Prime Minister and Cabinet. Professor </w:t>
      </w:r>
      <w:proofErr w:type="spellStart"/>
      <w:r>
        <w:rPr>
          <w:rFonts w:cs="Times New Roman"/>
          <w:lang w:val="en-GB"/>
        </w:rPr>
        <w:t>Halton</w:t>
      </w:r>
      <w:proofErr w:type="spellEnd"/>
      <w:r>
        <w:rPr>
          <w:rFonts w:cs="Times New Roman"/>
          <w:lang w:val="en-GB"/>
        </w:rPr>
        <w:t xml:space="preserve"> was recently appointed Secretary of the Department of Finance.</w:t>
      </w:r>
    </w:p>
    <w:p w14:paraId="5A2C8CD2"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BA (Hons) Psychology</w:t>
      </w:r>
    </w:p>
    <w:p w14:paraId="7A233864"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as Commission member in March 2006; appointed to the board, as established under the CAC Act, on 1 July 2011.</w:t>
      </w:r>
    </w:p>
    <w:p w14:paraId="343747F2" w14:textId="77777777" w:rsidR="00895CD2" w:rsidRDefault="00AD26F3">
      <w:pPr>
        <w:pStyle w:val="1heading-level-3"/>
        <w:rPr>
          <w:rFonts w:cs="Times New Roman"/>
          <w:lang w:val="en-GB"/>
        </w:rPr>
      </w:pPr>
      <w:r>
        <w:rPr>
          <w:rFonts w:cs="Times New Roman"/>
          <w:lang w:val="en-GB"/>
        </w:rPr>
        <w:t>Dr Shaun Larkin</w:t>
      </w:r>
    </w:p>
    <w:p w14:paraId="47CFCCE1" w14:textId="77777777" w:rsidR="00895CD2" w:rsidRDefault="00AD26F3">
      <w:pPr>
        <w:pStyle w:val="2body-copy"/>
        <w:rPr>
          <w:rFonts w:cs="Times New Roman"/>
          <w:lang w:val="en-GB"/>
        </w:rPr>
      </w:pPr>
      <w:r>
        <w:rPr>
          <w:rFonts w:cs="Times New Roman"/>
          <w:lang w:val="en-GB"/>
        </w:rPr>
        <w:t xml:space="preserve">Shaun Larkin is Managing Director of HCF, Australia’s largest not-for-profit health insurance fund, which cares for the health of over 1.6 million Australians. </w:t>
      </w:r>
    </w:p>
    <w:p w14:paraId="09F3B5E6" w14:textId="77777777" w:rsidR="00895CD2" w:rsidRDefault="00AD26F3">
      <w:pPr>
        <w:pStyle w:val="2body-copy"/>
        <w:rPr>
          <w:rFonts w:cs="Times New Roman"/>
          <w:lang w:val="en-GB"/>
        </w:rPr>
      </w:pPr>
      <w:r>
        <w:rPr>
          <w:rFonts w:cs="Times New Roman"/>
          <w:lang w:val="en-GB"/>
        </w:rPr>
        <w:t xml:space="preserve">Prior to joining HCF, Dr Larkin was based in Singapore for four years where he led the establishment of a chain of ambulatory medical centres throughout Asia. </w:t>
      </w:r>
    </w:p>
    <w:p w14:paraId="6595EA15" w14:textId="77777777" w:rsidR="00895CD2" w:rsidRDefault="00AD26F3">
      <w:pPr>
        <w:pStyle w:val="2body-copy"/>
        <w:rPr>
          <w:rFonts w:cs="Times New Roman"/>
          <w:lang w:val="en-GB"/>
        </w:rPr>
      </w:pPr>
      <w:r>
        <w:rPr>
          <w:rFonts w:cs="Times New Roman"/>
          <w:lang w:val="en-GB"/>
        </w:rPr>
        <w:t>Before this he worked for eight years as an executive for a large private hospital operator (Ramsay Health Care) in Australia and the United States.</w:t>
      </w:r>
    </w:p>
    <w:p w14:paraId="434203F1"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w:t>
      </w:r>
      <w:proofErr w:type="spellStart"/>
      <w:r>
        <w:rPr>
          <w:rFonts w:cs="Times New Roman"/>
          <w:lang w:val="en-GB"/>
        </w:rPr>
        <w:t>HlthScD</w:t>
      </w:r>
      <w:proofErr w:type="spellEnd"/>
      <w:r>
        <w:rPr>
          <w:rFonts w:cs="Times New Roman"/>
          <w:lang w:val="en-GB"/>
        </w:rPr>
        <w:t xml:space="preserve">, </w:t>
      </w:r>
      <w:proofErr w:type="spellStart"/>
      <w:r>
        <w:rPr>
          <w:rFonts w:cs="Times New Roman"/>
          <w:lang w:val="en-GB"/>
        </w:rPr>
        <w:t>MHSc</w:t>
      </w:r>
      <w:proofErr w:type="spellEnd"/>
      <w:r>
        <w:rPr>
          <w:rFonts w:cs="Times New Roman"/>
          <w:lang w:val="en-GB"/>
        </w:rPr>
        <w:t>, MBA and BHA</w:t>
      </w:r>
    </w:p>
    <w:p w14:paraId="569E05FF"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on 1 April 2013.</w:t>
      </w:r>
    </w:p>
    <w:p w14:paraId="0758F27D" w14:textId="77777777" w:rsidR="00895CD2" w:rsidRDefault="00AD26F3">
      <w:pPr>
        <w:pStyle w:val="1heading-level-3"/>
        <w:rPr>
          <w:rFonts w:cs="Times New Roman"/>
          <w:lang w:val="en-GB"/>
        </w:rPr>
      </w:pPr>
      <w:r>
        <w:rPr>
          <w:rFonts w:cs="Times New Roman"/>
          <w:lang w:val="en-GB"/>
        </w:rPr>
        <w:t>Mr Russell McGowan</w:t>
      </w:r>
    </w:p>
    <w:p w14:paraId="7A5B59A2" w14:textId="77777777" w:rsidR="00895CD2" w:rsidRDefault="00AD26F3">
      <w:pPr>
        <w:pStyle w:val="2body-copy"/>
        <w:rPr>
          <w:rFonts w:cs="Times New Roman"/>
          <w:lang w:val="en-GB"/>
        </w:rPr>
      </w:pPr>
      <w:r>
        <w:rPr>
          <w:rFonts w:cs="Times New Roman"/>
          <w:lang w:val="en-GB"/>
        </w:rPr>
        <w:t xml:space="preserve">Russell McGowan provided the Board with the consumer perspective on healthcare safety and quality issues. He survived a bone marrow transplant in the early 1990s and has been actively involved in the healthcare consumer movement ever since. Mr McGowan is a member of the Australian Government’s Medical Services Advisory Committee, the Specialist Education Accreditation Committee of the Australian Medical Council and the Board of the Public Health Association of Australia. </w:t>
      </w:r>
    </w:p>
    <w:p w14:paraId="1D8A8CD9" w14:textId="77777777" w:rsidR="00895CD2" w:rsidRDefault="00AD26F3">
      <w:pPr>
        <w:pStyle w:val="2body-copy"/>
        <w:rPr>
          <w:rFonts w:cs="Times New Roman"/>
          <w:lang w:val="en-GB"/>
        </w:rPr>
      </w:pPr>
      <w:r>
        <w:rPr>
          <w:rFonts w:cs="Times New Roman"/>
          <w:lang w:val="en-GB"/>
        </w:rPr>
        <w:t xml:space="preserve">He has previously served on the boards of the Consumer Health Forum of Australia, the Australian Council on Healthcare Standards, the Australian General Practice Network, the Cancer Council of Australia and the National Blood Authority. </w:t>
      </w:r>
    </w:p>
    <w:p w14:paraId="674A1102"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BA</w:t>
      </w:r>
    </w:p>
    <w:p w14:paraId="1F7B7210"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as a Commission member in December 2008; appointed to the Board, as established under the CAC Act, on 1 July 2011. His term as Board member expired on 31 March 2014.</w:t>
      </w:r>
    </w:p>
    <w:p w14:paraId="5DD39EB6" w14:textId="77777777" w:rsidR="00895CD2" w:rsidRDefault="00AD26F3">
      <w:pPr>
        <w:pStyle w:val="1heading-level-3"/>
        <w:rPr>
          <w:rFonts w:cs="Times New Roman"/>
          <w:lang w:val="en-GB"/>
        </w:rPr>
      </w:pPr>
      <w:r>
        <w:rPr>
          <w:rFonts w:cs="Times New Roman"/>
          <w:lang w:val="en-GB"/>
        </w:rPr>
        <w:t>Ms Shelly Park</w:t>
      </w:r>
    </w:p>
    <w:p w14:paraId="1A7C9039" w14:textId="77777777" w:rsidR="00895CD2" w:rsidRDefault="00AD26F3">
      <w:pPr>
        <w:pStyle w:val="2body-copy"/>
        <w:rPr>
          <w:rFonts w:cs="Times New Roman"/>
          <w:lang w:val="en-GB"/>
        </w:rPr>
      </w:pPr>
      <w:r>
        <w:rPr>
          <w:rFonts w:cs="Times New Roman"/>
          <w:lang w:val="en-GB"/>
        </w:rPr>
        <w:t xml:space="preserve">Shelly Park has a wealth of experience in hospital and health service management in both the public and private health systems. She is currently the Chief Executive of </w:t>
      </w:r>
      <w:proofErr w:type="spellStart"/>
      <w:r>
        <w:rPr>
          <w:rFonts w:cs="Times New Roman"/>
          <w:lang w:val="en-GB"/>
        </w:rPr>
        <w:t>Monash</w:t>
      </w:r>
      <w:proofErr w:type="spellEnd"/>
      <w:r>
        <w:rPr>
          <w:rFonts w:cs="Times New Roman"/>
          <w:lang w:val="en-GB"/>
        </w:rPr>
        <w:t xml:space="preserve"> Health, a health service organisation that provides a comprehensive range of primary, secondary and tertiary healthcare services to a population of over one million people in the south-east of Melbourne.</w:t>
      </w:r>
    </w:p>
    <w:p w14:paraId="37B5A7F5" w14:textId="77777777" w:rsidR="00895CD2" w:rsidRDefault="00AD26F3">
      <w:pPr>
        <w:pStyle w:val="2body-copy"/>
        <w:rPr>
          <w:rFonts w:cs="Times New Roman"/>
          <w:lang w:val="en-GB"/>
        </w:rPr>
      </w:pPr>
      <w:r>
        <w:rPr>
          <w:rFonts w:cs="Times New Roman"/>
          <w:lang w:val="en-GB"/>
        </w:rPr>
        <w:t xml:space="preserve">Prior to her current role, Ms Park was Executive Director of </w:t>
      </w:r>
      <w:proofErr w:type="spellStart"/>
      <w:r>
        <w:rPr>
          <w:rFonts w:cs="Times New Roman"/>
          <w:lang w:val="en-GB"/>
        </w:rPr>
        <w:t>Monash</w:t>
      </w:r>
      <w:proofErr w:type="spellEnd"/>
      <w:r>
        <w:rPr>
          <w:rFonts w:cs="Times New Roman"/>
          <w:lang w:val="en-GB"/>
        </w:rPr>
        <w:t xml:space="preserve"> Medical Centre at Southern Health and Executive Director of Jessie McPherson Private Hospital. Her previous positions include General Manager of Medical and Surgical Services at Christchurch Hospital in New Zealand, and Director of Nursing and Service Support at </w:t>
      </w:r>
      <w:proofErr w:type="spellStart"/>
      <w:r>
        <w:rPr>
          <w:rFonts w:cs="Times New Roman"/>
          <w:lang w:val="en-GB"/>
        </w:rPr>
        <w:t>Burwood</w:t>
      </w:r>
      <w:proofErr w:type="spellEnd"/>
      <w:r>
        <w:rPr>
          <w:rFonts w:cs="Times New Roman"/>
          <w:lang w:val="en-GB"/>
        </w:rPr>
        <w:t xml:space="preserve"> Hospital in Canterbury, New Zealand. </w:t>
      </w:r>
    </w:p>
    <w:p w14:paraId="4EF94642"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BA, GAICD, FAIM and Fellow Ethical Leadership</w:t>
      </w:r>
    </w:p>
    <w:p w14:paraId="4C092D2A"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as a Commission member in June 2009; appointed to the Board, as established under the CAC Act, on 1 July 2011. Her term as a Board member expired on 31 March 2014.</w:t>
      </w:r>
    </w:p>
    <w:p w14:paraId="17168046" w14:textId="77777777" w:rsidR="00895CD2" w:rsidRDefault="00AD26F3">
      <w:pPr>
        <w:pStyle w:val="1heading-level-3"/>
        <w:rPr>
          <w:rFonts w:cs="Times New Roman"/>
          <w:lang w:val="en-GB"/>
        </w:rPr>
      </w:pPr>
      <w:r>
        <w:rPr>
          <w:rFonts w:cs="Times New Roman"/>
          <w:lang w:val="en-GB"/>
        </w:rPr>
        <w:lastRenderedPageBreak/>
        <w:t>Dr Helena Williams</w:t>
      </w:r>
    </w:p>
    <w:p w14:paraId="5543B301" w14:textId="77777777" w:rsidR="00895CD2" w:rsidRDefault="00AD26F3">
      <w:pPr>
        <w:pStyle w:val="2body-copy"/>
        <w:rPr>
          <w:rFonts w:cs="Times New Roman"/>
          <w:lang w:val="en-GB"/>
        </w:rPr>
      </w:pPr>
      <w:r>
        <w:rPr>
          <w:rFonts w:cs="Times New Roman"/>
          <w:lang w:val="en-GB"/>
        </w:rPr>
        <w:t>Dr Helena Williams brings to the Board her clinical expertise as a GP and as the previous Executive Clinical Director of Southern Adelaide–</w:t>
      </w:r>
      <w:proofErr w:type="spellStart"/>
      <w:r>
        <w:rPr>
          <w:rFonts w:cs="Times New Roman"/>
          <w:lang w:val="en-GB"/>
        </w:rPr>
        <w:t>Fleurieu</w:t>
      </w:r>
      <w:proofErr w:type="spellEnd"/>
      <w:r>
        <w:rPr>
          <w:rFonts w:cs="Times New Roman"/>
          <w:lang w:val="en-GB"/>
        </w:rPr>
        <w:t xml:space="preserve">–Kangaroo Island Medicare Local Ltd. She is currently also the Presiding Member of the Southern Adelaide Local Health Network Governing Council. </w:t>
      </w:r>
    </w:p>
    <w:p w14:paraId="21370256" w14:textId="77777777" w:rsidR="00895CD2" w:rsidRDefault="00AD26F3">
      <w:pPr>
        <w:pStyle w:val="2body-copy"/>
        <w:rPr>
          <w:rFonts w:cs="Times New Roman"/>
          <w:lang w:val="en-GB"/>
        </w:rPr>
      </w:pPr>
      <w:r>
        <w:rPr>
          <w:rFonts w:cs="Times New Roman"/>
          <w:lang w:val="en-GB"/>
        </w:rPr>
        <w:t>Dr Williams’ previous board directorships include the Cancer Council SA, Noarlunga Health Services, the South Australian Divisions of General Practice, the Australian General Practice Network, and the Southern Adelaide Health Service.</w:t>
      </w:r>
    </w:p>
    <w:p w14:paraId="56614FF8" w14:textId="77777777" w:rsidR="00895CD2" w:rsidRDefault="00AD26F3">
      <w:pPr>
        <w:pStyle w:val="2body-copy"/>
        <w:rPr>
          <w:rFonts w:cs="Times New Roman"/>
          <w:lang w:val="en-GB"/>
        </w:rPr>
      </w:pPr>
      <w:r>
        <w:rPr>
          <w:rStyle w:val="2body-medium"/>
          <w:rFonts w:cs="Times New Roman"/>
          <w:lang w:val="en-GB"/>
        </w:rPr>
        <w:t>Qualifications:</w:t>
      </w:r>
      <w:r>
        <w:rPr>
          <w:rFonts w:cs="Times New Roman"/>
          <w:lang w:val="en-GB"/>
        </w:rPr>
        <w:t xml:space="preserve"> MB, BS and FRACGP</w:t>
      </w:r>
    </w:p>
    <w:p w14:paraId="6E45B5CE" w14:textId="77777777" w:rsidR="00895CD2" w:rsidRDefault="00AD26F3">
      <w:pPr>
        <w:pStyle w:val="2body-copy"/>
        <w:rPr>
          <w:rFonts w:cs="Times New Roman"/>
          <w:lang w:val="en-GB"/>
        </w:rPr>
      </w:pPr>
      <w:r>
        <w:rPr>
          <w:rStyle w:val="2body-medium"/>
          <w:rFonts w:cs="Times New Roman"/>
          <w:lang w:val="en-GB"/>
        </w:rPr>
        <w:t xml:space="preserve">Board membership: </w:t>
      </w:r>
      <w:r>
        <w:rPr>
          <w:rFonts w:cs="Times New Roman"/>
          <w:lang w:val="en-GB"/>
        </w:rPr>
        <w:t>First appointed as a Commission member in April 2008; appointed to the Board, as established under the CAC Act, on 1 July 2011.</w:t>
      </w:r>
    </w:p>
    <w:p w14:paraId="035CA271" w14:textId="77777777" w:rsidR="00895CD2" w:rsidRDefault="00AD26F3">
      <w:pPr>
        <w:pStyle w:val="1heading-level-2"/>
        <w:rPr>
          <w:rFonts w:cs="Times New Roman"/>
          <w:lang w:val="en-GB"/>
        </w:rPr>
      </w:pPr>
      <w:r>
        <w:rPr>
          <w:rFonts w:cs="Times New Roman"/>
          <w:lang w:val="en-GB"/>
        </w:rPr>
        <w:t xml:space="preserve">Board meetings and attendance </w:t>
      </w:r>
    </w:p>
    <w:tbl>
      <w:tblPr>
        <w:tblW w:w="0" w:type="auto"/>
        <w:tblBorders>
          <w:left w:val="dotted" w:sz="8" w:space="0" w:color="96AD2A"/>
          <w:bottom w:val="dotted" w:sz="8" w:space="0" w:color="96AD2A"/>
          <w:right w:val="dotted" w:sz="8" w:space="0" w:color="96AD2A"/>
          <w:insideH w:val="dotted" w:sz="8" w:space="0" w:color="96AD2A"/>
        </w:tblBorders>
        <w:tblCellMar>
          <w:top w:w="28" w:type="dxa"/>
          <w:left w:w="113" w:type="dxa"/>
          <w:bottom w:w="28" w:type="dxa"/>
          <w:right w:w="113" w:type="dxa"/>
        </w:tblCellMar>
        <w:tblLook w:val="04A0" w:firstRow="1" w:lastRow="0" w:firstColumn="1" w:lastColumn="0" w:noHBand="0" w:noVBand="1"/>
      </w:tblPr>
      <w:tblGrid>
        <w:gridCol w:w="2594"/>
        <w:gridCol w:w="1361"/>
        <w:gridCol w:w="1361"/>
        <w:gridCol w:w="1361"/>
        <w:gridCol w:w="1350"/>
        <w:gridCol w:w="1272"/>
      </w:tblGrid>
      <w:tr w:rsidR="00895CD2" w14:paraId="3DFBB319" w14:textId="77777777" w:rsidTr="00787CC2">
        <w:tc>
          <w:tcPr>
            <w:tcW w:w="0" w:type="auto"/>
            <w:gridSpan w:val="6"/>
            <w:tcBorders>
              <w:top w:val="nil"/>
            </w:tcBorders>
            <w:shd w:val="clear" w:color="auto" w:fill="96AD2A"/>
            <w:vAlign w:val="center"/>
            <w:hideMark/>
          </w:tcPr>
          <w:p w14:paraId="13D06D3F" w14:textId="77777777" w:rsidR="00895CD2" w:rsidRDefault="00AD26F3">
            <w:pPr>
              <w:pStyle w:val="3table-header-l"/>
              <w:rPr>
                <w:rFonts w:cs="Times New Roman"/>
              </w:rPr>
            </w:pPr>
            <w:r>
              <w:rPr>
                <w:rFonts w:cs="Times New Roman"/>
              </w:rPr>
              <w:t>Table 1: Board meetings and attendance</w:t>
            </w:r>
          </w:p>
        </w:tc>
      </w:tr>
      <w:tr w:rsidR="00895CD2" w14:paraId="63D8AAA3" w14:textId="77777777" w:rsidTr="00787CC2">
        <w:trPr>
          <w:trHeight w:val="460"/>
        </w:trPr>
        <w:tc>
          <w:tcPr>
            <w:tcW w:w="0" w:type="auto"/>
            <w:vAlign w:val="center"/>
            <w:hideMark/>
          </w:tcPr>
          <w:p w14:paraId="7C129C2C" w14:textId="77777777" w:rsidR="00895CD2" w:rsidRDefault="00AD26F3">
            <w:pPr>
              <w:pStyle w:val="2body-copy"/>
              <w:rPr>
                <w:rFonts w:cs="Times New Roman"/>
              </w:rPr>
            </w:pPr>
            <w:r>
              <w:rPr>
                <w:rStyle w:val="2body-medium"/>
                <w:rFonts w:cs="Times New Roman"/>
              </w:rPr>
              <w:t xml:space="preserve">Name </w:t>
            </w:r>
          </w:p>
        </w:tc>
        <w:tc>
          <w:tcPr>
            <w:tcW w:w="0" w:type="auto"/>
            <w:gridSpan w:val="5"/>
            <w:vAlign w:val="center"/>
            <w:hideMark/>
          </w:tcPr>
          <w:p w14:paraId="70FE38DF" w14:textId="77777777" w:rsidR="00895CD2" w:rsidRDefault="00AD26F3">
            <w:pPr>
              <w:pStyle w:val="2body-copy"/>
              <w:rPr>
                <w:rFonts w:cs="Times New Roman"/>
              </w:rPr>
            </w:pPr>
            <w:r>
              <w:rPr>
                <w:rStyle w:val="2body-medium"/>
                <w:rFonts w:cs="Times New Roman"/>
              </w:rPr>
              <w:t>Board meeting</w:t>
            </w:r>
          </w:p>
        </w:tc>
      </w:tr>
      <w:tr w:rsidR="00895CD2" w14:paraId="28755B4C" w14:textId="77777777" w:rsidTr="00787CC2">
        <w:tc>
          <w:tcPr>
            <w:tcW w:w="0" w:type="auto"/>
            <w:vAlign w:val="center"/>
            <w:hideMark/>
          </w:tcPr>
          <w:p w14:paraId="0A171126" w14:textId="77777777" w:rsidR="00895CD2" w:rsidRDefault="00895CD2">
            <w:pPr>
              <w:rPr>
                <w:rFonts w:ascii="Times" w:eastAsia="Times New Roman" w:hAnsi="Times" w:cs="Times New Roman"/>
              </w:rPr>
            </w:pPr>
          </w:p>
        </w:tc>
        <w:tc>
          <w:tcPr>
            <w:tcW w:w="0" w:type="auto"/>
            <w:tcBorders>
              <w:top w:val="dotted" w:sz="8" w:space="0" w:color="96AD2A"/>
            </w:tcBorders>
            <w:shd w:val="clear" w:color="auto" w:fill="F4F3DB"/>
            <w:vAlign w:val="center"/>
            <w:hideMark/>
          </w:tcPr>
          <w:p w14:paraId="31F9A1CB" w14:textId="77777777" w:rsidR="00895CD2" w:rsidRDefault="00AD26F3">
            <w:pPr>
              <w:pStyle w:val="2body-copy"/>
              <w:rPr>
                <w:rFonts w:cs="Times New Roman"/>
              </w:rPr>
            </w:pPr>
            <w:r>
              <w:rPr>
                <w:rFonts w:cs="Times New Roman"/>
              </w:rPr>
              <w:t>22 Aug 2013</w:t>
            </w:r>
          </w:p>
        </w:tc>
        <w:tc>
          <w:tcPr>
            <w:tcW w:w="0" w:type="auto"/>
            <w:vAlign w:val="center"/>
            <w:hideMark/>
          </w:tcPr>
          <w:p w14:paraId="50C0AB0F" w14:textId="77777777" w:rsidR="00895CD2" w:rsidRDefault="00AD26F3">
            <w:pPr>
              <w:pStyle w:val="2body-copy"/>
              <w:rPr>
                <w:rFonts w:cs="Times New Roman"/>
              </w:rPr>
            </w:pPr>
            <w:r>
              <w:rPr>
                <w:rFonts w:cs="Times New Roman"/>
              </w:rPr>
              <w:t>18 Sep 2013</w:t>
            </w:r>
          </w:p>
        </w:tc>
        <w:tc>
          <w:tcPr>
            <w:tcW w:w="0" w:type="auto"/>
            <w:tcBorders>
              <w:top w:val="dotted" w:sz="8" w:space="0" w:color="96AD2A"/>
            </w:tcBorders>
            <w:shd w:val="clear" w:color="auto" w:fill="F4F3DB"/>
            <w:vAlign w:val="center"/>
            <w:hideMark/>
          </w:tcPr>
          <w:p w14:paraId="0A6F2EC7" w14:textId="77777777" w:rsidR="00895CD2" w:rsidRDefault="00AD26F3">
            <w:pPr>
              <w:pStyle w:val="2body-copy"/>
              <w:rPr>
                <w:rFonts w:cs="Times New Roman"/>
              </w:rPr>
            </w:pPr>
            <w:r>
              <w:rPr>
                <w:rFonts w:cs="Times New Roman"/>
              </w:rPr>
              <w:t>21 Nov 2013</w:t>
            </w:r>
          </w:p>
        </w:tc>
        <w:tc>
          <w:tcPr>
            <w:tcW w:w="0" w:type="auto"/>
            <w:vAlign w:val="center"/>
            <w:hideMark/>
          </w:tcPr>
          <w:p w14:paraId="666230FA" w14:textId="77777777" w:rsidR="00895CD2" w:rsidRDefault="00AD26F3">
            <w:pPr>
              <w:pStyle w:val="2body-copy"/>
              <w:rPr>
                <w:rFonts w:cs="Times New Roman"/>
              </w:rPr>
            </w:pPr>
            <w:r>
              <w:rPr>
                <w:rFonts w:cs="Times New Roman"/>
              </w:rPr>
              <w:t>27 Feb 2014</w:t>
            </w:r>
          </w:p>
        </w:tc>
        <w:tc>
          <w:tcPr>
            <w:tcW w:w="0" w:type="auto"/>
            <w:tcBorders>
              <w:top w:val="dotted" w:sz="8" w:space="0" w:color="96AD2A"/>
            </w:tcBorders>
            <w:shd w:val="clear" w:color="auto" w:fill="F4F3DB"/>
            <w:vAlign w:val="center"/>
            <w:hideMark/>
          </w:tcPr>
          <w:p w14:paraId="5FFDD8DC" w14:textId="77777777" w:rsidR="00895CD2" w:rsidRDefault="00AD26F3">
            <w:pPr>
              <w:pStyle w:val="2body-copy"/>
              <w:rPr>
                <w:rFonts w:cs="Times New Roman"/>
              </w:rPr>
            </w:pPr>
            <w:r>
              <w:rPr>
                <w:rFonts w:cs="Times New Roman"/>
              </w:rPr>
              <w:t>8 May 2014</w:t>
            </w:r>
          </w:p>
        </w:tc>
      </w:tr>
      <w:tr w:rsidR="00895CD2" w14:paraId="16267769" w14:textId="77777777" w:rsidTr="00787CC2">
        <w:tc>
          <w:tcPr>
            <w:tcW w:w="0" w:type="auto"/>
            <w:vAlign w:val="center"/>
            <w:hideMark/>
          </w:tcPr>
          <w:p w14:paraId="393C3140" w14:textId="77777777" w:rsidR="00895CD2" w:rsidRDefault="00AD26F3">
            <w:pPr>
              <w:pStyle w:val="2body-copy"/>
              <w:rPr>
                <w:rFonts w:cs="Times New Roman"/>
              </w:rPr>
            </w:pPr>
            <w:proofErr w:type="spellStart"/>
            <w:r>
              <w:rPr>
                <w:rFonts w:cs="Times New Roman"/>
              </w:rPr>
              <w:t>Prof.</w:t>
            </w:r>
            <w:proofErr w:type="spellEnd"/>
            <w:r>
              <w:rPr>
                <w:rFonts w:cs="Times New Roman"/>
              </w:rPr>
              <w:t xml:space="preserve"> </w:t>
            </w:r>
            <w:proofErr w:type="spellStart"/>
            <w:r>
              <w:rPr>
                <w:rFonts w:cs="Times New Roman"/>
              </w:rPr>
              <w:t>Villis</w:t>
            </w:r>
            <w:proofErr w:type="spellEnd"/>
            <w:r>
              <w:rPr>
                <w:rFonts w:cs="Times New Roman"/>
              </w:rPr>
              <w:t xml:space="preserve"> Marshall (Chair)</w:t>
            </w:r>
          </w:p>
        </w:tc>
        <w:tc>
          <w:tcPr>
            <w:tcW w:w="0" w:type="auto"/>
            <w:tcBorders>
              <w:top w:val="dotted" w:sz="8" w:space="0" w:color="96AD2A"/>
            </w:tcBorders>
            <w:shd w:val="clear" w:color="auto" w:fill="F4F3DB"/>
            <w:vAlign w:val="center"/>
            <w:hideMark/>
          </w:tcPr>
          <w:p w14:paraId="553A3865" w14:textId="77777777" w:rsidR="00895CD2" w:rsidRPr="00787CC2" w:rsidRDefault="00787CC2" w:rsidP="00787CC2">
            <w:pPr>
              <w:pStyle w:val="02Bodycopy"/>
              <w:jc w:val="center"/>
              <w:rPr>
                <w:rFonts w:ascii="Wingdings2" w:hAnsi="Wingdings2" w:cs="Wingdings2"/>
                <w:sz w:val="32"/>
                <w:szCs w:val="32"/>
              </w:rPr>
            </w:pPr>
            <w:r>
              <w:rPr>
                <w:rFonts w:ascii="Wingdings2" w:hAnsi="Wingdings2" w:cs="Wingdings2"/>
                <w:sz w:val="32"/>
                <w:szCs w:val="32"/>
              </w:rPr>
              <w:t></w:t>
            </w:r>
          </w:p>
        </w:tc>
        <w:tc>
          <w:tcPr>
            <w:tcW w:w="0" w:type="auto"/>
            <w:vAlign w:val="center"/>
            <w:hideMark/>
          </w:tcPr>
          <w:p w14:paraId="359253DB" w14:textId="77777777" w:rsidR="00895CD2" w:rsidRPr="00787CC2" w:rsidRDefault="00787CC2" w:rsidP="00787CC2">
            <w:pPr>
              <w:pStyle w:val="02Bodycopy"/>
              <w:jc w:val="center"/>
              <w:rPr>
                <w:rFonts w:ascii="Wingdings2" w:hAnsi="Wingdings2" w:cs="Wingdings2"/>
                <w:sz w:val="32"/>
                <w:szCs w:val="32"/>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49A7D83E"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471F9AA4"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227C506F" w14:textId="77777777" w:rsidR="00895CD2" w:rsidRDefault="00787CC2" w:rsidP="00787CC2">
            <w:pPr>
              <w:pStyle w:val="2body-copy"/>
              <w:jc w:val="center"/>
              <w:rPr>
                <w:rFonts w:cs="Times New Roman"/>
              </w:rPr>
            </w:pPr>
            <w:r>
              <w:rPr>
                <w:rFonts w:ascii="Wingdings2" w:hAnsi="Wingdings2" w:cs="Wingdings2"/>
                <w:sz w:val="32"/>
                <w:szCs w:val="32"/>
              </w:rPr>
              <w:t></w:t>
            </w:r>
          </w:p>
        </w:tc>
      </w:tr>
      <w:tr w:rsidR="00895CD2" w14:paraId="27648727" w14:textId="77777777" w:rsidTr="00787CC2">
        <w:tc>
          <w:tcPr>
            <w:tcW w:w="0" w:type="auto"/>
            <w:vAlign w:val="center"/>
            <w:hideMark/>
          </w:tcPr>
          <w:p w14:paraId="5CBFBCC0" w14:textId="77777777" w:rsidR="00895CD2" w:rsidRDefault="00AD26F3">
            <w:pPr>
              <w:pStyle w:val="2body-copy"/>
              <w:rPr>
                <w:rFonts w:cs="Times New Roman"/>
              </w:rPr>
            </w:pPr>
            <w:proofErr w:type="spellStart"/>
            <w:r>
              <w:rPr>
                <w:rFonts w:cs="Times New Roman"/>
              </w:rPr>
              <w:t>Prof.</w:t>
            </w:r>
            <w:proofErr w:type="spellEnd"/>
            <w:r>
              <w:rPr>
                <w:rFonts w:cs="Times New Roman"/>
              </w:rPr>
              <w:t xml:space="preserve"> Christopher Brook</w:t>
            </w:r>
          </w:p>
        </w:tc>
        <w:tc>
          <w:tcPr>
            <w:tcW w:w="0" w:type="auto"/>
            <w:tcBorders>
              <w:top w:val="dotted" w:sz="8" w:space="0" w:color="96AD2A"/>
            </w:tcBorders>
            <w:shd w:val="clear" w:color="auto" w:fill="F4F3DB"/>
            <w:vAlign w:val="center"/>
            <w:hideMark/>
          </w:tcPr>
          <w:p w14:paraId="42B90823"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4F7A0041"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166899C7"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45E02ACE"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43D6ED90" w14:textId="77777777" w:rsidR="00895CD2" w:rsidRDefault="00787CC2" w:rsidP="00787CC2">
            <w:pPr>
              <w:pStyle w:val="2body-copy"/>
              <w:jc w:val="center"/>
              <w:rPr>
                <w:rFonts w:cs="Times New Roman"/>
              </w:rPr>
            </w:pPr>
            <w:r>
              <w:rPr>
                <w:rFonts w:ascii="Wingdings2" w:hAnsi="Wingdings2" w:cs="Wingdings2"/>
                <w:sz w:val="32"/>
                <w:szCs w:val="32"/>
              </w:rPr>
              <w:t></w:t>
            </w:r>
          </w:p>
        </w:tc>
      </w:tr>
      <w:tr w:rsidR="00895CD2" w14:paraId="6D644CAD" w14:textId="77777777" w:rsidTr="00787CC2">
        <w:tc>
          <w:tcPr>
            <w:tcW w:w="0" w:type="auto"/>
            <w:vAlign w:val="center"/>
            <w:hideMark/>
          </w:tcPr>
          <w:p w14:paraId="56A1B4D7" w14:textId="77777777" w:rsidR="00895CD2" w:rsidRDefault="00AD26F3">
            <w:pPr>
              <w:pStyle w:val="2body-copy"/>
              <w:rPr>
                <w:rFonts w:cs="Times New Roman"/>
              </w:rPr>
            </w:pPr>
            <w:proofErr w:type="spellStart"/>
            <w:r>
              <w:rPr>
                <w:rFonts w:cs="Times New Roman"/>
              </w:rPr>
              <w:t>Prof.</w:t>
            </w:r>
            <w:proofErr w:type="spellEnd"/>
            <w:r>
              <w:rPr>
                <w:rFonts w:cs="Times New Roman"/>
              </w:rPr>
              <w:t xml:space="preserve"> Phillip Della</w:t>
            </w:r>
          </w:p>
        </w:tc>
        <w:tc>
          <w:tcPr>
            <w:tcW w:w="0" w:type="auto"/>
            <w:tcBorders>
              <w:top w:val="dotted" w:sz="8" w:space="0" w:color="96AD2A"/>
            </w:tcBorders>
            <w:shd w:val="clear" w:color="auto" w:fill="F4F3DB"/>
            <w:vAlign w:val="center"/>
            <w:hideMark/>
          </w:tcPr>
          <w:p w14:paraId="14A3757F"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5DDF575C" w14:textId="77777777" w:rsidR="00895CD2" w:rsidRPr="00787CC2" w:rsidRDefault="00787CC2" w:rsidP="00787CC2">
            <w:pPr>
              <w:pStyle w:val="02Bodycopy"/>
              <w:jc w:val="center"/>
              <w:rPr>
                <w:rFonts w:ascii="Wingdings2" w:hAnsi="Wingdings2" w:cs="Wingdings2"/>
                <w:sz w:val="32"/>
                <w:szCs w:val="32"/>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5C275689"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6C2FB81C"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7DB6EB0D" w14:textId="77777777" w:rsidR="00895CD2" w:rsidRDefault="00787CC2" w:rsidP="00787CC2">
            <w:pPr>
              <w:pStyle w:val="2body-copy"/>
              <w:jc w:val="center"/>
              <w:rPr>
                <w:rFonts w:cs="Times New Roman"/>
              </w:rPr>
            </w:pPr>
            <w:r>
              <w:rPr>
                <w:rFonts w:ascii="Wingdings2" w:hAnsi="Wingdings2" w:cs="Wingdings2"/>
                <w:sz w:val="32"/>
                <w:szCs w:val="32"/>
              </w:rPr>
              <w:t></w:t>
            </w:r>
          </w:p>
        </w:tc>
      </w:tr>
      <w:tr w:rsidR="00895CD2" w14:paraId="74973B96" w14:textId="77777777" w:rsidTr="00787CC2">
        <w:tc>
          <w:tcPr>
            <w:tcW w:w="0" w:type="auto"/>
            <w:vAlign w:val="center"/>
            <w:hideMark/>
          </w:tcPr>
          <w:p w14:paraId="3BDE8BE6" w14:textId="77777777" w:rsidR="00895CD2" w:rsidRDefault="00AD26F3">
            <w:pPr>
              <w:pStyle w:val="2body-copy"/>
              <w:rPr>
                <w:rFonts w:cs="Times New Roman"/>
              </w:rPr>
            </w:pPr>
            <w:r>
              <w:rPr>
                <w:rFonts w:cs="Times New Roman"/>
              </w:rPr>
              <w:t>The Hon. Verity Firth</w:t>
            </w:r>
          </w:p>
        </w:tc>
        <w:tc>
          <w:tcPr>
            <w:tcW w:w="0" w:type="auto"/>
            <w:tcBorders>
              <w:top w:val="dotted" w:sz="8" w:space="0" w:color="96AD2A"/>
            </w:tcBorders>
            <w:shd w:val="clear" w:color="auto" w:fill="F4F3DB"/>
            <w:vAlign w:val="center"/>
            <w:hideMark/>
          </w:tcPr>
          <w:p w14:paraId="63A9C48E"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02E658CD"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59E96273"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6972B589"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70AB3EDB" w14:textId="77777777" w:rsidR="00895CD2" w:rsidRDefault="00787CC2" w:rsidP="00787CC2">
            <w:pPr>
              <w:pStyle w:val="2body-copy"/>
              <w:jc w:val="center"/>
              <w:rPr>
                <w:rFonts w:cs="Times New Roman"/>
              </w:rPr>
            </w:pPr>
            <w:r>
              <w:rPr>
                <w:rFonts w:ascii="Wingdings2" w:hAnsi="Wingdings2" w:cs="Wingdings2"/>
                <w:sz w:val="32"/>
                <w:szCs w:val="32"/>
              </w:rPr>
              <w:t></w:t>
            </w:r>
          </w:p>
        </w:tc>
      </w:tr>
      <w:tr w:rsidR="00895CD2" w14:paraId="45FD35C8" w14:textId="77777777" w:rsidTr="00787CC2">
        <w:tc>
          <w:tcPr>
            <w:tcW w:w="0" w:type="auto"/>
            <w:vAlign w:val="center"/>
            <w:hideMark/>
          </w:tcPr>
          <w:p w14:paraId="68D5D636" w14:textId="77777777" w:rsidR="00895CD2" w:rsidRDefault="00AD26F3">
            <w:pPr>
              <w:pStyle w:val="2body-copy"/>
              <w:rPr>
                <w:rFonts w:cs="Times New Roman"/>
              </w:rPr>
            </w:pPr>
            <w:r>
              <w:rPr>
                <w:rFonts w:cs="Times New Roman"/>
              </w:rPr>
              <w:t>Christine Gee</w:t>
            </w:r>
          </w:p>
        </w:tc>
        <w:tc>
          <w:tcPr>
            <w:tcW w:w="0" w:type="auto"/>
            <w:tcBorders>
              <w:top w:val="dotted" w:sz="8" w:space="0" w:color="96AD2A"/>
            </w:tcBorders>
            <w:shd w:val="clear" w:color="auto" w:fill="F4F3DB"/>
            <w:vAlign w:val="center"/>
            <w:hideMark/>
          </w:tcPr>
          <w:p w14:paraId="6E87C508"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699EC7ED" w14:textId="77777777" w:rsidR="00895CD2" w:rsidRPr="00787CC2" w:rsidRDefault="00787CC2" w:rsidP="00787CC2">
            <w:pPr>
              <w:pStyle w:val="02Bodycopy"/>
              <w:jc w:val="center"/>
              <w:rPr>
                <w:rFonts w:ascii="Wingdings2" w:hAnsi="Wingdings2" w:cs="Wingdings2"/>
                <w:sz w:val="32"/>
                <w:szCs w:val="32"/>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0B68D167"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4F360B06"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6751BE44" w14:textId="77777777" w:rsidR="00895CD2" w:rsidRDefault="00787CC2" w:rsidP="00787CC2">
            <w:pPr>
              <w:pStyle w:val="2body-copy"/>
              <w:jc w:val="center"/>
              <w:rPr>
                <w:rFonts w:cs="Times New Roman"/>
              </w:rPr>
            </w:pPr>
            <w:r>
              <w:rPr>
                <w:rFonts w:ascii="Wingdings2" w:hAnsi="Wingdings2" w:cs="Wingdings2"/>
                <w:sz w:val="32"/>
                <w:szCs w:val="32"/>
              </w:rPr>
              <w:t></w:t>
            </w:r>
          </w:p>
        </w:tc>
      </w:tr>
      <w:tr w:rsidR="00895CD2" w14:paraId="71BC2496" w14:textId="77777777" w:rsidTr="00787CC2">
        <w:tc>
          <w:tcPr>
            <w:tcW w:w="0" w:type="auto"/>
            <w:vAlign w:val="center"/>
            <w:hideMark/>
          </w:tcPr>
          <w:p w14:paraId="1E0515E5" w14:textId="77777777" w:rsidR="00895CD2" w:rsidRDefault="00AD26F3">
            <w:pPr>
              <w:pStyle w:val="2body-copy"/>
              <w:rPr>
                <w:rFonts w:cs="Times New Roman"/>
              </w:rPr>
            </w:pPr>
            <w:proofErr w:type="spellStart"/>
            <w:r>
              <w:rPr>
                <w:rFonts w:cs="Times New Roman"/>
              </w:rPr>
              <w:t>Prof.</w:t>
            </w:r>
            <w:proofErr w:type="spellEnd"/>
            <w:r>
              <w:rPr>
                <w:rFonts w:cs="Times New Roman"/>
              </w:rPr>
              <w:t xml:space="preserve"> Jane Halton</w:t>
            </w:r>
          </w:p>
        </w:tc>
        <w:tc>
          <w:tcPr>
            <w:tcW w:w="0" w:type="auto"/>
            <w:tcBorders>
              <w:top w:val="dotted" w:sz="8" w:space="0" w:color="96AD2A"/>
            </w:tcBorders>
            <w:shd w:val="clear" w:color="auto" w:fill="F4F3DB"/>
            <w:vAlign w:val="center"/>
            <w:hideMark/>
          </w:tcPr>
          <w:p w14:paraId="4425BCAC"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76C3DB16"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52B8DB91"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18CC3E31"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6E7AA295" w14:textId="77777777" w:rsidR="00895CD2" w:rsidRDefault="00787CC2" w:rsidP="00787CC2">
            <w:pPr>
              <w:pStyle w:val="2body-copy"/>
              <w:jc w:val="center"/>
              <w:rPr>
                <w:rFonts w:cs="Times New Roman"/>
              </w:rPr>
            </w:pPr>
            <w:r>
              <w:rPr>
                <w:rFonts w:ascii="Wingdings2" w:hAnsi="Wingdings2" w:cs="Wingdings2"/>
                <w:sz w:val="32"/>
                <w:szCs w:val="32"/>
              </w:rPr>
              <w:t></w:t>
            </w:r>
          </w:p>
        </w:tc>
      </w:tr>
      <w:tr w:rsidR="00895CD2" w14:paraId="2F6AA496" w14:textId="77777777" w:rsidTr="00787CC2">
        <w:tc>
          <w:tcPr>
            <w:tcW w:w="0" w:type="auto"/>
            <w:vAlign w:val="center"/>
            <w:hideMark/>
          </w:tcPr>
          <w:p w14:paraId="59D49570" w14:textId="77777777" w:rsidR="00895CD2" w:rsidRDefault="00AD26F3">
            <w:pPr>
              <w:pStyle w:val="2body-copy"/>
              <w:rPr>
                <w:rFonts w:cs="Times New Roman"/>
              </w:rPr>
            </w:pPr>
            <w:r>
              <w:rPr>
                <w:rFonts w:cs="Times New Roman"/>
              </w:rPr>
              <w:t>Dr Shaun Larkin</w:t>
            </w:r>
          </w:p>
        </w:tc>
        <w:tc>
          <w:tcPr>
            <w:tcW w:w="0" w:type="auto"/>
            <w:tcBorders>
              <w:top w:val="dotted" w:sz="8" w:space="0" w:color="96AD2A"/>
            </w:tcBorders>
            <w:shd w:val="clear" w:color="auto" w:fill="F4F3DB"/>
            <w:vAlign w:val="center"/>
            <w:hideMark/>
          </w:tcPr>
          <w:p w14:paraId="4B75C8C5"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00A41AAB"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329FB138"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335E736F"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497F303E" w14:textId="77777777" w:rsidR="00895CD2" w:rsidRDefault="00787CC2" w:rsidP="00787CC2">
            <w:pPr>
              <w:pStyle w:val="2body-copy"/>
              <w:jc w:val="center"/>
              <w:rPr>
                <w:rFonts w:cs="Times New Roman"/>
              </w:rPr>
            </w:pPr>
            <w:r>
              <w:rPr>
                <w:rFonts w:ascii="Wingdings2" w:hAnsi="Wingdings2" w:cs="Wingdings2"/>
                <w:sz w:val="32"/>
                <w:szCs w:val="32"/>
              </w:rPr>
              <w:t></w:t>
            </w:r>
          </w:p>
        </w:tc>
      </w:tr>
      <w:tr w:rsidR="00895CD2" w14:paraId="2074D3B4" w14:textId="77777777" w:rsidTr="00787CC2">
        <w:tc>
          <w:tcPr>
            <w:tcW w:w="0" w:type="auto"/>
            <w:vAlign w:val="center"/>
            <w:hideMark/>
          </w:tcPr>
          <w:p w14:paraId="2938D96C" w14:textId="77777777" w:rsidR="00895CD2" w:rsidRDefault="00AD26F3">
            <w:pPr>
              <w:pStyle w:val="2body-copy"/>
              <w:rPr>
                <w:rFonts w:cs="Times New Roman"/>
              </w:rPr>
            </w:pPr>
            <w:r>
              <w:rPr>
                <w:rFonts w:cs="Times New Roman"/>
              </w:rPr>
              <w:t>Russell McGowan</w:t>
            </w:r>
            <w:r>
              <w:rPr>
                <w:rStyle w:val="superscript"/>
                <w:rFonts w:cs="Times New Roman"/>
              </w:rPr>
              <w:t>1</w:t>
            </w:r>
          </w:p>
        </w:tc>
        <w:tc>
          <w:tcPr>
            <w:tcW w:w="0" w:type="auto"/>
            <w:tcBorders>
              <w:top w:val="dotted" w:sz="8" w:space="0" w:color="96AD2A"/>
            </w:tcBorders>
            <w:shd w:val="clear" w:color="auto" w:fill="F4F3DB"/>
            <w:vAlign w:val="center"/>
            <w:hideMark/>
          </w:tcPr>
          <w:p w14:paraId="04F9D04A"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7EB8685E"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0388D4EA"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335CC4BD"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08F45530" w14:textId="77777777" w:rsidR="00895CD2" w:rsidRPr="00787CC2" w:rsidRDefault="00787CC2" w:rsidP="00787CC2">
            <w:pPr>
              <w:pStyle w:val="02Bodycopy"/>
              <w:jc w:val="center"/>
            </w:pPr>
            <w:r>
              <w:t>–</w:t>
            </w:r>
          </w:p>
        </w:tc>
      </w:tr>
      <w:tr w:rsidR="00895CD2" w14:paraId="6EDBF4F3" w14:textId="77777777" w:rsidTr="00787CC2">
        <w:tc>
          <w:tcPr>
            <w:tcW w:w="0" w:type="auto"/>
            <w:vAlign w:val="center"/>
            <w:hideMark/>
          </w:tcPr>
          <w:p w14:paraId="3CEA5BE2" w14:textId="77777777" w:rsidR="00895CD2" w:rsidRDefault="00AD26F3">
            <w:pPr>
              <w:pStyle w:val="2body-copy"/>
              <w:rPr>
                <w:rFonts w:cs="Times New Roman"/>
              </w:rPr>
            </w:pPr>
            <w:r>
              <w:rPr>
                <w:rFonts w:cs="Times New Roman"/>
              </w:rPr>
              <w:t>Shelly Park</w:t>
            </w:r>
            <w:r>
              <w:rPr>
                <w:rStyle w:val="superscript"/>
                <w:rFonts w:cs="Times New Roman"/>
              </w:rPr>
              <w:t>1</w:t>
            </w:r>
          </w:p>
        </w:tc>
        <w:tc>
          <w:tcPr>
            <w:tcW w:w="0" w:type="auto"/>
            <w:tcBorders>
              <w:top w:val="dotted" w:sz="8" w:space="0" w:color="96AD2A"/>
            </w:tcBorders>
            <w:shd w:val="clear" w:color="auto" w:fill="F4F3DB"/>
            <w:vAlign w:val="center"/>
            <w:hideMark/>
          </w:tcPr>
          <w:p w14:paraId="05D3CF7C"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29CB8E7B"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0125D4A3"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235B1D6D"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79849884" w14:textId="77777777" w:rsidR="00895CD2" w:rsidRDefault="00AD26F3" w:rsidP="00787CC2">
            <w:pPr>
              <w:pStyle w:val="2body-copy"/>
              <w:jc w:val="center"/>
              <w:rPr>
                <w:rFonts w:cs="Times New Roman"/>
              </w:rPr>
            </w:pPr>
            <w:r>
              <w:rPr>
                <w:rFonts w:cs="Times New Roman"/>
              </w:rPr>
              <w:t>–</w:t>
            </w:r>
          </w:p>
        </w:tc>
      </w:tr>
      <w:tr w:rsidR="00895CD2" w14:paraId="3098198F" w14:textId="77777777" w:rsidTr="00787CC2">
        <w:tc>
          <w:tcPr>
            <w:tcW w:w="0" w:type="auto"/>
            <w:vAlign w:val="center"/>
            <w:hideMark/>
          </w:tcPr>
          <w:p w14:paraId="07511394" w14:textId="77777777" w:rsidR="00895CD2" w:rsidRDefault="00AD26F3">
            <w:pPr>
              <w:pStyle w:val="2body-copy"/>
              <w:rPr>
                <w:rFonts w:cs="Times New Roman"/>
              </w:rPr>
            </w:pPr>
            <w:r>
              <w:rPr>
                <w:rFonts w:cs="Times New Roman"/>
              </w:rPr>
              <w:t>Dr Helena Williams</w:t>
            </w:r>
          </w:p>
        </w:tc>
        <w:tc>
          <w:tcPr>
            <w:tcW w:w="0" w:type="auto"/>
            <w:tcBorders>
              <w:top w:val="dotted" w:sz="8" w:space="0" w:color="96AD2A"/>
            </w:tcBorders>
            <w:shd w:val="clear" w:color="auto" w:fill="F4F3DB"/>
            <w:vAlign w:val="center"/>
            <w:hideMark/>
          </w:tcPr>
          <w:p w14:paraId="4C68CDA3"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6BA5BAE2"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4FFF53AE"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vAlign w:val="center"/>
            <w:hideMark/>
          </w:tcPr>
          <w:p w14:paraId="113A237D" w14:textId="77777777" w:rsidR="00895CD2" w:rsidRDefault="00787CC2" w:rsidP="00787CC2">
            <w:pPr>
              <w:pStyle w:val="2body-copy"/>
              <w:jc w:val="center"/>
              <w:rPr>
                <w:rFonts w:cs="Times New Roman"/>
              </w:rPr>
            </w:pPr>
            <w:r>
              <w:rPr>
                <w:rFonts w:ascii="Wingdings2" w:hAnsi="Wingdings2" w:cs="Wingdings2"/>
                <w:sz w:val="32"/>
                <w:szCs w:val="32"/>
              </w:rPr>
              <w:t></w:t>
            </w:r>
          </w:p>
        </w:tc>
        <w:tc>
          <w:tcPr>
            <w:tcW w:w="0" w:type="auto"/>
            <w:tcBorders>
              <w:top w:val="dotted" w:sz="8" w:space="0" w:color="96AD2A"/>
            </w:tcBorders>
            <w:shd w:val="clear" w:color="auto" w:fill="F4F3DB"/>
            <w:vAlign w:val="center"/>
            <w:hideMark/>
          </w:tcPr>
          <w:p w14:paraId="7E702DC0" w14:textId="77777777" w:rsidR="00895CD2" w:rsidRDefault="00787CC2" w:rsidP="00787CC2">
            <w:pPr>
              <w:pStyle w:val="2body-copy"/>
              <w:jc w:val="center"/>
              <w:rPr>
                <w:rFonts w:cs="Times New Roman"/>
              </w:rPr>
            </w:pPr>
            <w:r>
              <w:rPr>
                <w:rFonts w:ascii="Wingdings2" w:hAnsi="Wingdings2" w:cs="Wingdings2"/>
                <w:sz w:val="32"/>
                <w:szCs w:val="32"/>
              </w:rPr>
              <w:t></w:t>
            </w:r>
          </w:p>
        </w:tc>
      </w:tr>
    </w:tbl>
    <w:p w14:paraId="561951B3" w14:textId="77777777" w:rsidR="00895CD2" w:rsidRDefault="00787CC2">
      <w:pPr>
        <w:pStyle w:val="2body-copy"/>
        <w:rPr>
          <w:rFonts w:cs="Times New Roman"/>
          <w:lang w:val="en-GB"/>
        </w:rPr>
      </w:pPr>
      <w:r>
        <w:rPr>
          <w:rFonts w:ascii="Wingdings2" w:hAnsi="Wingdings2" w:cs="Wingdings2"/>
          <w:sz w:val="32"/>
          <w:szCs w:val="32"/>
        </w:rPr>
        <w:t></w:t>
      </w:r>
      <w:r w:rsidR="00AD26F3">
        <w:rPr>
          <w:rFonts w:cs="Times New Roman"/>
          <w:lang w:val="en-GB"/>
        </w:rPr>
        <w:t xml:space="preserve"> Present </w:t>
      </w:r>
      <w:r>
        <w:rPr>
          <w:rFonts w:ascii="Wingdings2" w:hAnsi="Wingdings2" w:cs="Wingdings2"/>
          <w:sz w:val="32"/>
          <w:szCs w:val="32"/>
        </w:rPr>
        <w:t></w:t>
      </w:r>
      <w:r w:rsidR="00AD26F3">
        <w:rPr>
          <w:rFonts w:cs="Times New Roman"/>
          <w:lang w:val="en-GB"/>
        </w:rPr>
        <w:t xml:space="preserve"> Absent – Not a member at time of meeting</w:t>
      </w:r>
    </w:p>
    <w:p w14:paraId="24601632" w14:textId="77777777" w:rsidR="00895CD2" w:rsidRDefault="00AD26F3">
      <w:pPr>
        <w:pStyle w:val="2body-copy"/>
        <w:rPr>
          <w:rFonts w:cs="Times New Roman"/>
          <w:lang w:val="en-GB"/>
        </w:rPr>
      </w:pPr>
      <w:r>
        <w:rPr>
          <w:rFonts w:cs="Times New Roman"/>
          <w:lang w:val="en-GB"/>
        </w:rPr>
        <w:t>1</w:t>
      </w:r>
      <w:r>
        <w:rPr>
          <w:rFonts w:cs="Times New Roman"/>
          <w:lang w:val="en-GB"/>
        </w:rPr>
        <w:tab/>
        <w:t>Term concluded 31 March 2014</w:t>
      </w:r>
    </w:p>
    <w:p w14:paraId="154051A9" w14:textId="77777777" w:rsidR="00CB0187" w:rsidRDefault="00CB0187">
      <w:pPr>
        <w:spacing w:after="0"/>
        <w:rPr>
          <w:rFonts w:cs="Times New Roman"/>
          <w:color w:val="5F605F"/>
          <w:sz w:val="30"/>
          <w:szCs w:val="30"/>
          <w:lang w:val="en-GB"/>
        </w:rPr>
      </w:pPr>
      <w:r>
        <w:rPr>
          <w:rFonts w:cs="Times New Roman"/>
          <w:lang w:val="en-GB"/>
        </w:rPr>
        <w:br w:type="page"/>
      </w:r>
    </w:p>
    <w:p w14:paraId="5F897D89" w14:textId="77777777" w:rsidR="00895CD2" w:rsidRDefault="00AD26F3">
      <w:pPr>
        <w:pStyle w:val="1heading-level-2"/>
        <w:rPr>
          <w:rFonts w:cs="Times New Roman"/>
          <w:lang w:val="en-GB"/>
        </w:rPr>
      </w:pPr>
      <w:r>
        <w:rPr>
          <w:rFonts w:cs="Times New Roman"/>
          <w:lang w:val="en-GB"/>
        </w:rPr>
        <w:lastRenderedPageBreak/>
        <w:t>Board development and</w:t>
      </w:r>
      <w:r>
        <w:rPr>
          <w:rStyle w:val="charoverride-24"/>
          <w:rFonts w:cs="Times New Roman"/>
          <w:lang w:val="en-GB"/>
        </w:rPr>
        <w:t> </w:t>
      </w:r>
      <w:r>
        <w:rPr>
          <w:rFonts w:cs="Times New Roman"/>
          <w:lang w:val="en-GB"/>
        </w:rPr>
        <w:t>review</w:t>
      </w:r>
    </w:p>
    <w:p w14:paraId="38A1D300" w14:textId="77777777" w:rsidR="00895CD2" w:rsidRDefault="00AD26F3">
      <w:pPr>
        <w:pStyle w:val="2body-copy"/>
        <w:rPr>
          <w:rFonts w:cs="Times New Roman"/>
          <w:lang w:val="en-GB"/>
        </w:rPr>
      </w:pPr>
      <w:r>
        <w:rPr>
          <w:rFonts w:cs="Times New Roman"/>
          <w:lang w:val="en-GB"/>
        </w:rPr>
        <w:t>New Board members undertake a formal induction to their role, including a meeting with the Chair and CEO. They receive an Induction Manual that includes details on the Board Governance Charter. Board members are briefed on relevant topics at meetings as appropriate, and are required to undertake ongoing professional development relevant to and in line with the Commission’s needs. The Commission supports Board members to pursue these activities.</w:t>
      </w:r>
    </w:p>
    <w:p w14:paraId="332885DC" w14:textId="77777777" w:rsidR="00895CD2" w:rsidRDefault="00AD26F3">
      <w:pPr>
        <w:pStyle w:val="2body-copy"/>
        <w:rPr>
          <w:rFonts w:cs="Times New Roman"/>
          <w:lang w:val="en-GB"/>
        </w:rPr>
      </w:pPr>
      <w:r>
        <w:rPr>
          <w:rFonts w:cs="Times New Roman"/>
          <w:lang w:val="en-GB"/>
        </w:rPr>
        <w:t>Two sitting members retired from the Board during 2013/14: Russell McGowan and Shelly Park. The terms of the remaining seven members were not due for review. See Board Membership 2013/14 on pages 66–69 for dates of Board members’ appointments.</w:t>
      </w:r>
    </w:p>
    <w:p w14:paraId="34A4211D" w14:textId="77777777" w:rsidR="00895CD2" w:rsidRDefault="00AD26F3">
      <w:pPr>
        <w:pStyle w:val="1heading-level-2"/>
        <w:rPr>
          <w:rFonts w:cs="Times New Roman"/>
          <w:lang w:val="en-GB"/>
        </w:rPr>
      </w:pPr>
      <w:r>
        <w:rPr>
          <w:rFonts w:cs="Times New Roman"/>
          <w:lang w:val="en-GB"/>
        </w:rPr>
        <w:t>Ethical standards</w:t>
      </w:r>
    </w:p>
    <w:p w14:paraId="1797275C" w14:textId="77777777" w:rsidR="00895CD2" w:rsidRDefault="00AD26F3">
      <w:pPr>
        <w:pStyle w:val="2body-copy"/>
        <w:rPr>
          <w:rFonts w:cs="Times New Roman"/>
          <w:lang w:val="en-GB"/>
        </w:rPr>
      </w:pPr>
      <w:r>
        <w:rPr>
          <w:rFonts w:cs="Times New Roman"/>
          <w:lang w:val="en-GB"/>
        </w:rPr>
        <w:t>The Board Governance Charter provides a Directors’ Code of Conduct. The charter includes guidelines for managing conflicts of interest – including material personal interests – as required by the CAC Act.</w:t>
      </w:r>
    </w:p>
    <w:p w14:paraId="1CCDB563" w14:textId="77777777" w:rsidR="00895CD2" w:rsidRDefault="00AD26F3">
      <w:pPr>
        <w:pStyle w:val="1heading-level-2"/>
        <w:rPr>
          <w:rFonts w:cs="Times New Roman"/>
          <w:lang w:val="en-GB"/>
        </w:rPr>
      </w:pPr>
      <w:r>
        <w:rPr>
          <w:rFonts w:cs="Times New Roman"/>
          <w:lang w:val="en-GB"/>
        </w:rPr>
        <w:t>Related-entity transactions</w:t>
      </w:r>
    </w:p>
    <w:p w14:paraId="1AB45CF3" w14:textId="77777777" w:rsidR="00895CD2" w:rsidRDefault="00AD26F3">
      <w:pPr>
        <w:pStyle w:val="2body-copy"/>
        <w:rPr>
          <w:rFonts w:cs="Times New Roman"/>
          <w:lang w:val="en-GB"/>
        </w:rPr>
      </w:pPr>
      <w:r>
        <w:rPr>
          <w:rFonts w:cs="Times New Roman"/>
          <w:lang w:val="en-GB"/>
        </w:rPr>
        <w:t>In accordance with section 15 of the Commonwealth Authorities (Annual Reporting) Orders 2011, there were no related-entity transactions during 2013/14.</w:t>
      </w:r>
    </w:p>
    <w:p w14:paraId="145EA2C8" w14:textId="77777777" w:rsidR="00895CD2" w:rsidRDefault="00AD26F3">
      <w:pPr>
        <w:pStyle w:val="1heading-level-2"/>
        <w:rPr>
          <w:rFonts w:cs="Times New Roman"/>
          <w:lang w:val="en-GB"/>
        </w:rPr>
      </w:pPr>
      <w:r>
        <w:rPr>
          <w:rFonts w:cs="Times New Roman"/>
          <w:lang w:val="en-GB"/>
        </w:rPr>
        <w:t>Remuneration and expenses</w:t>
      </w:r>
    </w:p>
    <w:p w14:paraId="0D979798" w14:textId="77777777" w:rsidR="00895CD2" w:rsidRDefault="00AD26F3">
      <w:pPr>
        <w:pStyle w:val="2body-copy"/>
        <w:rPr>
          <w:rFonts w:cs="Times New Roman"/>
          <w:lang w:val="en-GB"/>
        </w:rPr>
      </w:pPr>
      <w:r>
        <w:rPr>
          <w:rFonts w:cs="Times New Roman"/>
          <w:lang w:val="en-GB"/>
        </w:rPr>
        <w:t>In accordance with section 23 of the NHR Act and the relevant determinations of the Remuneration Tribunal, the Commission’s Board members are entitled to remuneration and allowances. Details of Board members’ remuneration and interests are set out in note 12 of the financial statements on page 111.</w:t>
      </w:r>
    </w:p>
    <w:p w14:paraId="0B9F59E5" w14:textId="77777777" w:rsidR="00895CD2" w:rsidRDefault="00AD26F3">
      <w:pPr>
        <w:pStyle w:val="1heading-level-2"/>
        <w:rPr>
          <w:rFonts w:cs="Times New Roman"/>
          <w:lang w:val="en-GB"/>
        </w:rPr>
      </w:pPr>
      <w:r>
        <w:rPr>
          <w:rFonts w:cs="Times New Roman"/>
          <w:lang w:val="en-GB"/>
        </w:rPr>
        <w:t xml:space="preserve">Indemnity and insurance </w:t>
      </w:r>
    </w:p>
    <w:p w14:paraId="7B485817" w14:textId="77777777" w:rsidR="00895CD2" w:rsidRDefault="00AD26F3">
      <w:pPr>
        <w:pStyle w:val="2body-copy"/>
        <w:rPr>
          <w:rFonts w:cs="Times New Roman"/>
          <w:lang w:val="en-GB"/>
        </w:rPr>
      </w:pPr>
      <w:r>
        <w:rPr>
          <w:rFonts w:cs="Times New Roman"/>
          <w:lang w:val="en-GB"/>
        </w:rPr>
        <w:t xml:space="preserve">The Commission holds directors’ and officers’ liability insurance cover through </w:t>
      </w:r>
      <w:proofErr w:type="spellStart"/>
      <w:r>
        <w:rPr>
          <w:rFonts w:cs="Times New Roman"/>
          <w:lang w:val="en-GB"/>
        </w:rPr>
        <w:t>Comcover</w:t>
      </w:r>
      <w:proofErr w:type="spellEnd"/>
      <w:r>
        <w:rPr>
          <w:rFonts w:cs="Times New Roman"/>
          <w:lang w:val="en-GB"/>
        </w:rPr>
        <w:t xml:space="preserve">, the Australian Government’s self-managed fund. As part of its annual insurance renewal process, the Commission reviewed its insurance coverage in 2013/14 to ensure the coverage was still appropriate for its operations. </w:t>
      </w:r>
    </w:p>
    <w:p w14:paraId="21686983" w14:textId="77777777" w:rsidR="00895CD2" w:rsidRDefault="00AD26F3">
      <w:pPr>
        <w:pStyle w:val="2body-copy"/>
        <w:rPr>
          <w:rFonts w:cs="Times New Roman"/>
          <w:lang w:val="en-GB"/>
        </w:rPr>
      </w:pPr>
      <w:r>
        <w:rPr>
          <w:rFonts w:cs="Times New Roman"/>
          <w:lang w:val="en-GB"/>
        </w:rPr>
        <w:t>During the year, no indemnity-related claims were made, and the Commission knows of no circumstances likely to lead to such claims being made. Many liability limits under the Commission’s Schedule of Cover are standard Australian Government limits, such as $100 million in cover for general liability and professional indemnity, as well as directors’ and officers’ liability. The minimum period of cover available for business interruption is 36 months. Motor vehicle, third-party property damage and expatriate cover have not been taken out, as they don’t apply to the Commission.</w:t>
      </w:r>
    </w:p>
    <w:p w14:paraId="3DA48382" w14:textId="77777777" w:rsidR="00CB0187" w:rsidRDefault="00CB0187">
      <w:pPr>
        <w:spacing w:after="0"/>
        <w:rPr>
          <w:rFonts w:cs="Times New Roman"/>
          <w:sz w:val="38"/>
          <w:lang w:val="en-GB"/>
        </w:rPr>
      </w:pPr>
      <w:r>
        <w:rPr>
          <w:rFonts w:cs="Times New Roman"/>
          <w:lang w:val="en-GB"/>
        </w:rPr>
        <w:br w:type="page"/>
      </w:r>
    </w:p>
    <w:p w14:paraId="6B55DF8D" w14:textId="77777777" w:rsidR="00895CD2" w:rsidRDefault="00AD26F3" w:rsidP="00093444">
      <w:pPr>
        <w:pStyle w:val="Heading2"/>
        <w:rPr>
          <w:lang w:val="en-GB"/>
        </w:rPr>
      </w:pPr>
      <w:bookmarkStart w:id="28" w:name="_Toc414011886"/>
      <w:r>
        <w:rPr>
          <w:lang w:val="en-GB"/>
        </w:rPr>
        <w:lastRenderedPageBreak/>
        <w:t>Committees</w:t>
      </w:r>
      <w:bookmarkEnd w:id="28"/>
    </w:p>
    <w:p w14:paraId="586E0F72" w14:textId="77777777" w:rsidR="00895CD2" w:rsidRDefault="00AD26F3">
      <w:pPr>
        <w:pStyle w:val="2body-copy"/>
        <w:rPr>
          <w:rFonts w:cs="Times New Roman"/>
          <w:lang w:val="en-GB"/>
        </w:rPr>
      </w:pPr>
      <w:r>
        <w:rPr>
          <w:rFonts w:cs="Times New Roman"/>
          <w:lang w:val="en-GB"/>
        </w:rPr>
        <w:t>An Audit and Risk Committee advises the Commission and its board on audit, risk and finance. An Inter-Jurisdictional Committee (IJC) meets regularly throughout the year to provide advice to the Commission and the board.</w:t>
      </w:r>
    </w:p>
    <w:p w14:paraId="11535F8F" w14:textId="77777777" w:rsidR="00895CD2" w:rsidRDefault="00AD26F3">
      <w:pPr>
        <w:pStyle w:val="2body-copy"/>
        <w:rPr>
          <w:rFonts w:cs="Times New Roman"/>
          <w:lang w:val="en-GB"/>
        </w:rPr>
      </w:pPr>
      <w:r>
        <w:rPr>
          <w:rFonts w:cs="Times New Roman"/>
          <w:lang w:val="en-GB"/>
        </w:rPr>
        <w:t>Additional standing committees and reference groups provide sector and topic-specific advice on the Commission’s programs and projects.</w:t>
      </w:r>
    </w:p>
    <w:p w14:paraId="4685ADF1" w14:textId="77777777" w:rsidR="00895CD2" w:rsidRDefault="00AD26F3">
      <w:pPr>
        <w:pStyle w:val="1heading-level-2"/>
        <w:rPr>
          <w:rFonts w:cs="Times New Roman"/>
          <w:lang w:val="en-GB"/>
        </w:rPr>
      </w:pPr>
      <w:r>
        <w:rPr>
          <w:rFonts w:cs="Times New Roman"/>
          <w:lang w:val="en-GB"/>
        </w:rPr>
        <w:t>Audit and Risk Committee</w:t>
      </w:r>
    </w:p>
    <w:p w14:paraId="116ECAD9" w14:textId="77777777" w:rsidR="00895CD2" w:rsidRDefault="00AD26F3">
      <w:pPr>
        <w:pStyle w:val="2body-copy-before-bullet"/>
        <w:rPr>
          <w:rFonts w:cs="Times New Roman"/>
          <w:lang w:val="en-GB"/>
        </w:rPr>
      </w:pPr>
      <w:r>
        <w:rPr>
          <w:rFonts w:cs="Times New Roman"/>
          <w:lang w:val="en-GB"/>
        </w:rPr>
        <w:t>The primary role of the Audit and Risk Committee, chaired by Ms Jennifer Clark, is to provide the Board with assistance, advice and oversight with respect to its financial reporting, corporate governance, risk and control, and internal and external audit functions. The Committee’s core responsibilities include:</w:t>
      </w:r>
    </w:p>
    <w:p w14:paraId="6268A791" w14:textId="77777777" w:rsidR="00895CD2" w:rsidRDefault="00AD26F3" w:rsidP="00787CC2">
      <w:pPr>
        <w:pStyle w:val="bullet"/>
      </w:pPr>
      <w:r>
        <w:t>monitoring the effectiveness of risk management and internal control frameworks, management policies and key governance processes</w:t>
      </w:r>
    </w:p>
    <w:p w14:paraId="63F1637A" w14:textId="77777777" w:rsidR="00895CD2" w:rsidRDefault="00AD26F3" w:rsidP="00787CC2">
      <w:pPr>
        <w:pStyle w:val="bullet"/>
      </w:pPr>
      <w:r>
        <w:t>monitoring the Commission’s compliance with CAC Act provisions and requirements, and relevant regulations, and helping the authority and its directors comply with obligations under the CAC Act</w:t>
      </w:r>
    </w:p>
    <w:p w14:paraId="3E823E8D" w14:textId="77777777" w:rsidR="00895CD2" w:rsidRDefault="00AD26F3" w:rsidP="00787CC2">
      <w:pPr>
        <w:pStyle w:val="bullet"/>
      </w:pPr>
      <w:r>
        <w:t>monitoring cost forecasting and the collection of information for the annual report</w:t>
      </w:r>
    </w:p>
    <w:p w14:paraId="25A66B09" w14:textId="77777777" w:rsidR="00895CD2" w:rsidRDefault="00AD26F3" w:rsidP="00787CC2">
      <w:pPr>
        <w:pStyle w:val="bullet"/>
      </w:pPr>
      <w:r>
        <w:t>reviewing fraud prevention and security-related matters</w:t>
      </w:r>
    </w:p>
    <w:p w14:paraId="7C64FA81" w14:textId="77777777" w:rsidR="00895CD2" w:rsidRDefault="00AD26F3" w:rsidP="00787CC2">
      <w:pPr>
        <w:pStyle w:val="bullet"/>
      </w:pPr>
      <w:r>
        <w:t>reviewing operational risks, internal control measures, and internal and external audits and reporting</w:t>
      </w:r>
    </w:p>
    <w:p w14:paraId="48EB1695" w14:textId="77777777" w:rsidR="00895CD2" w:rsidRDefault="00AD26F3" w:rsidP="00787CC2">
      <w:pPr>
        <w:pStyle w:val="bullet"/>
      </w:pPr>
      <w:r>
        <w:t>reviewing matters referred to it by the Board or the CEO</w:t>
      </w:r>
    </w:p>
    <w:p w14:paraId="7DCE255F" w14:textId="77777777" w:rsidR="00895CD2" w:rsidRDefault="00AD26F3" w:rsidP="00787CC2">
      <w:pPr>
        <w:pStyle w:val="bullet"/>
      </w:pPr>
      <w:proofErr w:type="gramStart"/>
      <w:r>
        <w:t>providing</w:t>
      </w:r>
      <w:proofErr w:type="gramEnd"/>
      <w:r>
        <w:t xml:space="preserve"> a forum for communications between Board members, the Commission’s senior managers, and the authority’s internal and external auditors.</w:t>
      </w:r>
    </w:p>
    <w:p w14:paraId="687CA625" w14:textId="77777777" w:rsidR="00895CD2" w:rsidRDefault="00AD26F3">
      <w:pPr>
        <w:pStyle w:val="2body-copy"/>
        <w:rPr>
          <w:rFonts w:cs="Times New Roman"/>
          <w:lang w:val="en-GB"/>
        </w:rPr>
      </w:pPr>
      <w:r>
        <w:rPr>
          <w:rFonts w:cs="Times New Roman"/>
          <w:lang w:val="en-GB"/>
        </w:rPr>
        <w:t xml:space="preserve">The Audit and Risk Committee met five times during the 2013/14 financial year. Ms Jennifer Clark attended all five meetings. </w:t>
      </w:r>
    </w:p>
    <w:p w14:paraId="10FEC45E" w14:textId="77777777" w:rsidR="00895CD2" w:rsidRDefault="00AD26F3">
      <w:pPr>
        <w:pStyle w:val="2body-copy"/>
        <w:rPr>
          <w:rFonts w:cs="Times New Roman"/>
          <w:lang w:val="en-GB"/>
        </w:rPr>
      </w:pPr>
      <w:r>
        <w:rPr>
          <w:rFonts w:cs="Times New Roman"/>
          <w:lang w:val="en-GB"/>
        </w:rPr>
        <w:t xml:space="preserve">The Board members sitting on the Audit and Risk Committee from 1 July 2013 to 30 June 2014 were the Honourable Verity Firth and Ms Shelly Park (to 31 March 2014). Mr Trevor Burgess held the position of external member of the Audit and Risk Committee during 2013/14. </w:t>
      </w:r>
    </w:p>
    <w:p w14:paraId="18C00558" w14:textId="77777777" w:rsidR="00895CD2" w:rsidRDefault="00AD26F3">
      <w:pPr>
        <w:pStyle w:val="1heading-level-2"/>
        <w:rPr>
          <w:rFonts w:cs="Times New Roman"/>
          <w:lang w:val="en-GB"/>
        </w:rPr>
      </w:pPr>
      <w:r>
        <w:rPr>
          <w:rFonts w:cs="Times New Roman"/>
          <w:lang w:val="en-GB"/>
        </w:rPr>
        <w:t>Inter-Jurisdictional Committee</w:t>
      </w:r>
    </w:p>
    <w:p w14:paraId="1999C77B" w14:textId="77777777" w:rsidR="00895CD2" w:rsidRDefault="00AD26F3">
      <w:pPr>
        <w:pStyle w:val="2body-copy-before-bullet"/>
        <w:rPr>
          <w:rFonts w:cs="Times New Roman"/>
          <w:lang w:val="en-GB"/>
        </w:rPr>
      </w:pPr>
      <w:r>
        <w:rPr>
          <w:rFonts w:cs="Times New Roman"/>
          <w:lang w:val="en-GB"/>
        </w:rPr>
        <w:t>The Inter-Jurisdictional Committee (IJC) comprises healthcare safety and quality representatives from the Australian, state and territory governments. It is responsible for advising on policy development and facilitating jurisdictional engagement. The IJC’s role is to:</w:t>
      </w:r>
    </w:p>
    <w:p w14:paraId="3B866A3D" w14:textId="77777777" w:rsidR="00895CD2" w:rsidRDefault="00AD26F3" w:rsidP="00787CC2">
      <w:pPr>
        <w:pStyle w:val="bullet"/>
      </w:pPr>
      <w:r>
        <w:t>advise the Commission on the adequacy of the policy development process, in particular policy implementation</w:t>
      </w:r>
    </w:p>
    <w:p w14:paraId="2EA6749D" w14:textId="77777777" w:rsidR="00895CD2" w:rsidRDefault="00AD26F3" w:rsidP="00787CC2">
      <w:pPr>
        <w:pStyle w:val="bullet"/>
      </w:pPr>
      <w:r>
        <w:t>ensure health departments and ministries are aware of new policy directions and can review local systems accordingly</w:t>
      </w:r>
    </w:p>
    <w:p w14:paraId="42D46554" w14:textId="77777777" w:rsidR="00895CD2" w:rsidRDefault="00AD26F3" w:rsidP="00787CC2">
      <w:pPr>
        <w:pStyle w:val="bullet"/>
      </w:pPr>
      <w:r>
        <w:t>monitor national actions to improve patient safety, as approved by health ministers</w:t>
      </w:r>
    </w:p>
    <w:p w14:paraId="69402D7E" w14:textId="77777777" w:rsidR="00895CD2" w:rsidRDefault="00AD26F3" w:rsidP="00787CC2">
      <w:pPr>
        <w:pStyle w:val="bullet"/>
      </w:pPr>
      <w:r>
        <w:t>participate in national data collections on safety and quality</w:t>
      </w:r>
    </w:p>
    <w:p w14:paraId="5E1E1CC7" w14:textId="77777777" w:rsidR="00895CD2" w:rsidRDefault="00AD26F3" w:rsidP="00787CC2">
      <w:pPr>
        <w:pStyle w:val="bullet"/>
      </w:pPr>
      <w:proofErr w:type="gramStart"/>
      <w:r>
        <w:t>build</w:t>
      </w:r>
      <w:proofErr w:type="gramEnd"/>
      <w:r>
        <w:t xml:space="preserve"> effective mechanisms within jurisdictions to enable national public reporting.</w:t>
      </w:r>
    </w:p>
    <w:p w14:paraId="4442EE9C" w14:textId="77777777" w:rsidR="00895CD2" w:rsidRDefault="00AD26F3">
      <w:pPr>
        <w:pStyle w:val="2body-copy"/>
        <w:rPr>
          <w:rFonts w:cs="Times New Roman"/>
          <w:lang w:val="en-GB"/>
        </w:rPr>
      </w:pPr>
      <w:r>
        <w:rPr>
          <w:rFonts w:cs="Times New Roman"/>
          <w:lang w:val="en-GB"/>
        </w:rPr>
        <w:t xml:space="preserve">The IJC met four times during the 2013/14 financial year. </w:t>
      </w:r>
    </w:p>
    <w:p w14:paraId="56C8BB39" w14:textId="77777777" w:rsidR="00895CD2" w:rsidRDefault="00AD26F3">
      <w:pPr>
        <w:pStyle w:val="1heading-level-2"/>
        <w:rPr>
          <w:rFonts w:cs="Times New Roman"/>
          <w:lang w:val="en-GB"/>
        </w:rPr>
      </w:pPr>
      <w:r>
        <w:rPr>
          <w:rFonts w:cs="Times New Roman"/>
          <w:lang w:val="en-GB"/>
        </w:rPr>
        <w:t>Other committees and consultations</w:t>
      </w:r>
    </w:p>
    <w:p w14:paraId="6DC370C4" w14:textId="77777777" w:rsidR="00895CD2" w:rsidRDefault="00AD26F3">
      <w:pPr>
        <w:pStyle w:val="2body-copy-before-bullet"/>
        <w:rPr>
          <w:rFonts w:cs="Times New Roman"/>
          <w:lang w:val="en-GB"/>
        </w:rPr>
      </w:pPr>
      <w:r>
        <w:rPr>
          <w:rFonts w:cs="Times New Roman"/>
          <w:lang w:val="en-GB"/>
        </w:rPr>
        <w:t>The Commission has two standing committees that provide specific advice and support across all relevant areas of its work. These are the:</w:t>
      </w:r>
    </w:p>
    <w:p w14:paraId="7DCA0117" w14:textId="77777777" w:rsidR="00895CD2" w:rsidRDefault="00AD26F3" w:rsidP="00787CC2">
      <w:pPr>
        <w:pStyle w:val="bullet"/>
      </w:pPr>
      <w:r>
        <w:t>Private Hospital Sector Committee</w:t>
      </w:r>
    </w:p>
    <w:p w14:paraId="4998D327" w14:textId="77777777" w:rsidR="00895CD2" w:rsidRDefault="00AD26F3" w:rsidP="00787CC2">
      <w:pPr>
        <w:pStyle w:val="bullet"/>
      </w:pPr>
      <w:r>
        <w:t>Primary Health Committee.</w:t>
      </w:r>
    </w:p>
    <w:p w14:paraId="06E96C7E" w14:textId="77777777" w:rsidR="00895CD2" w:rsidRDefault="00AD26F3">
      <w:pPr>
        <w:pStyle w:val="2body-copy"/>
        <w:rPr>
          <w:rFonts w:cs="Times New Roman"/>
          <w:lang w:val="en-GB"/>
        </w:rPr>
      </w:pPr>
      <w:r>
        <w:rPr>
          <w:rFonts w:cs="Times New Roman"/>
          <w:lang w:val="en-GB"/>
        </w:rPr>
        <w:lastRenderedPageBreak/>
        <w:t>The Commission also has a number of time-limited expert committees, working parties and reference groups to inform and support its work. These groups allow the Commission to draw on expert knowledge, consult with relevant key stakeholders and develop appropriate implementation strategies.</w:t>
      </w:r>
    </w:p>
    <w:p w14:paraId="43F3D1C6" w14:textId="77777777" w:rsidR="00895CD2" w:rsidRDefault="00AD26F3">
      <w:pPr>
        <w:pStyle w:val="2body-copy"/>
        <w:rPr>
          <w:rFonts w:cs="Times New Roman"/>
          <w:lang w:val="en-GB"/>
        </w:rPr>
      </w:pPr>
      <w:r>
        <w:rPr>
          <w:rFonts w:cs="Times New Roman"/>
          <w:lang w:val="en-GB"/>
        </w:rPr>
        <w:t>The Commission consults widely with subject-matter experts, peak bodies, jurisdictions, consumers and other relevant individuals and parties. The consultation includes ongoing discussions with key national and other organisations, and with an extensive network of formal reference and advisory groups. These networks provide links with healthcare providers, consumers, subject-matter experts and jurisdictional representatives. The Commission also undertakes formal consultations on specific issues. See Appendix F on page 130 for a list of the formal consultations that occurred during 2013/14.</w:t>
      </w:r>
    </w:p>
    <w:p w14:paraId="7BC37503" w14:textId="77777777" w:rsidR="00787CC2" w:rsidRDefault="00787CC2">
      <w:pPr>
        <w:spacing w:after="0"/>
        <w:rPr>
          <w:rFonts w:eastAsia="Times New Roman" w:cs="Times New Roman"/>
          <w:b/>
          <w:bCs/>
          <w:color w:val="5F605F"/>
          <w:kern w:val="36"/>
          <w:sz w:val="38"/>
          <w:szCs w:val="38"/>
          <w:lang w:val="en-GB"/>
        </w:rPr>
      </w:pPr>
      <w:r>
        <w:rPr>
          <w:rFonts w:eastAsia="Times New Roman" w:cs="Times New Roman"/>
          <w:lang w:val="en-GB"/>
        </w:rPr>
        <w:br w:type="page"/>
      </w:r>
    </w:p>
    <w:p w14:paraId="146CFD5D" w14:textId="77777777" w:rsidR="00895CD2" w:rsidRDefault="00AD26F3" w:rsidP="00093444">
      <w:pPr>
        <w:pStyle w:val="Heading2"/>
        <w:rPr>
          <w:lang w:val="en-GB"/>
        </w:rPr>
      </w:pPr>
      <w:bookmarkStart w:id="29" w:name="_Toc414011887"/>
      <w:r>
        <w:rPr>
          <w:lang w:val="en-GB"/>
        </w:rPr>
        <w:lastRenderedPageBreak/>
        <w:t xml:space="preserve">Internal </w:t>
      </w:r>
      <w:r w:rsidRPr="006F35FE">
        <w:t>governance</w:t>
      </w:r>
      <w:r>
        <w:rPr>
          <w:lang w:val="en-GB"/>
        </w:rPr>
        <w:t xml:space="preserve"> arrangements</w:t>
      </w:r>
      <w:bookmarkEnd w:id="29"/>
    </w:p>
    <w:p w14:paraId="34408345" w14:textId="77777777" w:rsidR="00895CD2" w:rsidRDefault="00AD26F3">
      <w:pPr>
        <w:pStyle w:val="2body-copy"/>
        <w:rPr>
          <w:rFonts w:cs="Times New Roman"/>
          <w:lang w:val="en-GB"/>
        </w:rPr>
      </w:pPr>
      <w:r>
        <w:rPr>
          <w:rFonts w:cs="Times New Roman"/>
          <w:lang w:val="en-GB"/>
        </w:rPr>
        <w:t>The CEO manages the Commission’s day-to-day administration and is supported by an Executive Management team, internal management committees and staff members. The Commission’s internal governance arrangements include internal management, risk management, fraud control and internal audit.</w:t>
      </w:r>
    </w:p>
    <w:p w14:paraId="29F8C788" w14:textId="77777777" w:rsidR="00895CD2" w:rsidRDefault="00AD26F3">
      <w:pPr>
        <w:pStyle w:val="1heading-level-2"/>
        <w:rPr>
          <w:rFonts w:cs="Times New Roman"/>
          <w:lang w:val="en-GB"/>
        </w:rPr>
      </w:pPr>
      <w:r>
        <w:rPr>
          <w:rFonts w:cs="Times New Roman"/>
          <w:lang w:val="en-GB"/>
        </w:rPr>
        <w:t>Internal management</w:t>
      </w:r>
    </w:p>
    <w:p w14:paraId="480B8199" w14:textId="77777777" w:rsidR="00895CD2" w:rsidRDefault="00AD26F3">
      <w:pPr>
        <w:pStyle w:val="2body-copy-before-bullet"/>
        <w:rPr>
          <w:rFonts w:cs="Times New Roman"/>
          <w:lang w:val="en-GB"/>
        </w:rPr>
      </w:pPr>
      <w:r>
        <w:rPr>
          <w:rFonts w:cs="Times New Roman"/>
          <w:lang w:val="en-GB"/>
        </w:rPr>
        <w:t>The Commission has two internal management committees and one panel:</w:t>
      </w:r>
    </w:p>
    <w:p w14:paraId="7C77B893" w14:textId="77777777" w:rsidR="00895CD2" w:rsidRDefault="00AD26F3" w:rsidP="00787CC2">
      <w:pPr>
        <w:pStyle w:val="bullet"/>
      </w:pPr>
      <w:r>
        <w:t xml:space="preserve">The Executive and Management Committee </w:t>
      </w:r>
      <w:proofErr w:type="gramStart"/>
      <w:r>
        <w:t>meets</w:t>
      </w:r>
      <w:proofErr w:type="gramEnd"/>
      <w:r>
        <w:t xml:space="preserve"> fortnightly to facilitate information sharing and help with decision making.</w:t>
      </w:r>
    </w:p>
    <w:p w14:paraId="17F0D21F" w14:textId="77777777" w:rsidR="00895CD2" w:rsidRDefault="00AD26F3" w:rsidP="00787CC2">
      <w:pPr>
        <w:pStyle w:val="bullet"/>
      </w:pPr>
      <w:r>
        <w:t xml:space="preserve">The Occupational Health and Safety Committee </w:t>
      </w:r>
      <w:proofErr w:type="gramStart"/>
      <w:r>
        <w:t>develops</w:t>
      </w:r>
      <w:proofErr w:type="gramEnd"/>
      <w:r>
        <w:t xml:space="preserve"> and promotes strategies to support the health and safety of all staff members and visitors.</w:t>
      </w:r>
    </w:p>
    <w:p w14:paraId="0CB9A656" w14:textId="77777777" w:rsidR="00895CD2" w:rsidRDefault="00AD26F3" w:rsidP="00787CC2">
      <w:pPr>
        <w:pStyle w:val="bullet"/>
      </w:pPr>
      <w:r>
        <w:t>The Study Leave Review Panel reviews staff applications for study leave and makes recommendations to the Chief Operating Officer.</w:t>
      </w:r>
    </w:p>
    <w:p w14:paraId="492EF820" w14:textId="77777777" w:rsidR="00895CD2" w:rsidRDefault="00AD26F3">
      <w:pPr>
        <w:pStyle w:val="1heading-level-2"/>
        <w:rPr>
          <w:rFonts w:cs="Times New Roman"/>
          <w:lang w:val="en-GB"/>
        </w:rPr>
      </w:pPr>
      <w:r>
        <w:rPr>
          <w:rFonts w:cs="Times New Roman"/>
          <w:lang w:val="en-GB"/>
        </w:rPr>
        <w:t>Risk management</w:t>
      </w:r>
    </w:p>
    <w:p w14:paraId="29F1B706" w14:textId="77777777" w:rsidR="00895CD2" w:rsidRDefault="00AD26F3">
      <w:pPr>
        <w:pStyle w:val="2body-copy"/>
        <w:rPr>
          <w:rFonts w:cs="Times New Roman"/>
          <w:lang w:val="en-GB"/>
        </w:rPr>
      </w:pPr>
      <w:r>
        <w:rPr>
          <w:rFonts w:cs="Times New Roman"/>
          <w:lang w:val="en-GB"/>
        </w:rPr>
        <w:t xml:space="preserve">Risk management is part of the Commission’s strategy to promote accountability through good governance and robust business practices. The Commission is committed to embedding risk management principles and practices consistent with the </w:t>
      </w:r>
      <w:r>
        <w:rPr>
          <w:rStyle w:val="2body-italic"/>
          <w:rFonts w:cs="Times New Roman"/>
          <w:lang w:val="en-GB"/>
        </w:rPr>
        <w:t>Australian Standards for Risk Management – Principles and guidelines</w:t>
      </w:r>
      <w:r>
        <w:rPr>
          <w:rFonts w:cs="Times New Roman"/>
          <w:lang w:val="en-GB"/>
        </w:rPr>
        <w:t xml:space="preserve"> (AS/NZS ISO 31000:2009) into its organisational culture; governance and accountability arrangements; and its reporting, performance review, business transformation and improvement processes. Through the risk management framework and its supporting processes, the Commission formally establishes and communicates its approach to ongoing risk management, and guides staff members in their actions and abilities to accept and control risks.</w:t>
      </w:r>
    </w:p>
    <w:p w14:paraId="39071B06" w14:textId="77777777" w:rsidR="00895CD2" w:rsidRDefault="00AD26F3">
      <w:pPr>
        <w:pStyle w:val="1heading-level-2"/>
        <w:rPr>
          <w:rFonts w:cs="Times New Roman"/>
          <w:lang w:val="en-GB"/>
        </w:rPr>
      </w:pPr>
      <w:r>
        <w:rPr>
          <w:rFonts w:cs="Times New Roman"/>
          <w:lang w:val="en-GB"/>
        </w:rPr>
        <w:t>Fraud control</w:t>
      </w:r>
    </w:p>
    <w:p w14:paraId="60A497B5" w14:textId="77777777" w:rsidR="00895CD2" w:rsidRDefault="00AD26F3">
      <w:pPr>
        <w:pStyle w:val="2body-copy"/>
        <w:rPr>
          <w:rFonts w:cs="Times New Roman"/>
          <w:lang w:val="en-GB"/>
        </w:rPr>
      </w:pPr>
      <w:r>
        <w:rPr>
          <w:rFonts w:cs="Times New Roman"/>
          <w:lang w:val="en-GB"/>
        </w:rPr>
        <w:t>The Commission recognises the responsibility of all Australian Government authorities to develop, encourage and implement sound financial, legal and ethical decision making. The Commission’s Fraud Control Plan complies with the Commonwealth Fraud Control Guidelines. The Fraud Control Plan minimises the potential for instances of fraud within the Commission’s programs and activities, whether conducted by employees or those external to the Commission. Fraud risk assessments help the Commission understand fraud risks, identify internal control gaps or weaknesses, and develop strategies to mitigate those risks. These assessments are conducted regularly across the organisation, taking into consideration the entity’s business activities, processes and accounts.</w:t>
      </w:r>
    </w:p>
    <w:p w14:paraId="255CF57D" w14:textId="77777777" w:rsidR="00895CD2" w:rsidRDefault="00AD26F3">
      <w:pPr>
        <w:pStyle w:val="1heading-level-2"/>
        <w:rPr>
          <w:rFonts w:cs="Times New Roman"/>
          <w:lang w:val="en-GB"/>
        </w:rPr>
      </w:pPr>
      <w:r>
        <w:rPr>
          <w:rFonts w:cs="Times New Roman"/>
          <w:lang w:val="en-GB"/>
        </w:rPr>
        <w:t>Internal audit</w:t>
      </w:r>
    </w:p>
    <w:p w14:paraId="7A42841D" w14:textId="77777777" w:rsidR="00895CD2" w:rsidRDefault="00AD26F3">
      <w:pPr>
        <w:pStyle w:val="2body-copy"/>
        <w:rPr>
          <w:rFonts w:cs="Times New Roman"/>
          <w:lang w:val="en-GB"/>
        </w:rPr>
      </w:pPr>
      <w:r>
        <w:rPr>
          <w:rFonts w:cs="Times New Roman"/>
          <w:lang w:val="en-GB"/>
        </w:rPr>
        <w:t>Internal audit is a key component of the Commission’s governance framework, providing an independent, ongoing appraisal of the organisation’s internal control systems. The internal audit process provides assurance that the Commission’s financial and operational controls can manage the organisation’s risks and are operating in an efficient, effective and ethical manner.</w:t>
      </w:r>
    </w:p>
    <w:p w14:paraId="64D34637" w14:textId="77777777" w:rsidR="00895CD2" w:rsidRDefault="00AD26F3">
      <w:pPr>
        <w:pStyle w:val="2body-copy"/>
        <w:rPr>
          <w:rFonts w:cs="Times New Roman"/>
          <w:lang w:val="en-GB"/>
        </w:rPr>
      </w:pPr>
      <w:r>
        <w:rPr>
          <w:rFonts w:cs="Times New Roman"/>
          <w:lang w:val="en-GB"/>
        </w:rPr>
        <w:t>An external firm has been appointed as the Commission’s auditor. The firm provides assurance of the overall state of the Commission’s internal controls and on any systemic issues that require management attention.</w:t>
      </w:r>
    </w:p>
    <w:p w14:paraId="1839AB96" w14:textId="77777777" w:rsidR="00787CC2" w:rsidRDefault="00787CC2">
      <w:pPr>
        <w:spacing w:after="0"/>
        <w:rPr>
          <w:rFonts w:eastAsia="Times New Roman" w:cs="Times New Roman"/>
          <w:b/>
          <w:bCs/>
          <w:color w:val="5F605F"/>
          <w:kern w:val="36"/>
          <w:sz w:val="38"/>
          <w:szCs w:val="38"/>
          <w:lang w:val="en-GB"/>
        </w:rPr>
      </w:pPr>
      <w:r>
        <w:rPr>
          <w:rFonts w:eastAsia="Times New Roman" w:cs="Times New Roman"/>
          <w:lang w:val="en-GB"/>
        </w:rPr>
        <w:br w:type="page"/>
      </w:r>
    </w:p>
    <w:p w14:paraId="777859C7" w14:textId="77777777" w:rsidR="00895CD2" w:rsidRDefault="00AD26F3" w:rsidP="00093444">
      <w:pPr>
        <w:pStyle w:val="Heading2"/>
        <w:rPr>
          <w:lang w:val="en-GB"/>
        </w:rPr>
      </w:pPr>
      <w:bookmarkStart w:id="30" w:name="_Toc414011888"/>
      <w:r>
        <w:rPr>
          <w:lang w:val="en-GB"/>
        </w:rPr>
        <w:lastRenderedPageBreak/>
        <w:t>External scrutiny</w:t>
      </w:r>
      <w:bookmarkEnd w:id="30"/>
      <w:r>
        <w:rPr>
          <w:lang w:val="en-GB"/>
        </w:rPr>
        <w:t xml:space="preserve"> </w:t>
      </w:r>
    </w:p>
    <w:p w14:paraId="5F1921A6" w14:textId="77777777" w:rsidR="00895CD2" w:rsidRDefault="00AD26F3">
      <w:pPr>
        <w:pStyle w:val="2body-copy"/>
        <w:rPr>
          <w:rFonts w:cs="Times New Roman"/>
          <w:lang w:val="en-GB"/>
        </w:rPr>
      </w:pPr>
      <w:r>
        <w:rPr>
          <w:rFonts w:cs="Times New Roman"/>
          <w:lang w:val="en-GB"/>
        </w:rPr>
        <w:t>External scrutiny of the Commission includes parliamentary and ministerial oversight, freedom of information and judicial decisions, and reviews by outside bodies such as the Commonwealth Ombudsman.</w:t>
      </w:r>
    </w:p>
    <w:p w14:paraId="622CCEF8" w14:textId="77777777" w:rsidR="00895CD2" w:rsidRDefault="00AD26F3">
      <w:pPr>
        <w:pStyle w:val="1heading-level-2"/>
        <w:rPr>
          <w:rFonts w:cs="Times New Roman"/>
          <w:lang w:val="en-GB"/>
        </w:rPr>
      </w:pPr>
      <w:r>
        <w:rPr>
          <w:rFonts w:cs="Times New Roman"/>
          <w:lang w:val="en-GB"/>
        </w:rPr>
        <w:t>Parliamentary and ministerial oversight</w:t>
      </w:r>
    </w:p>
    <w:p w14:paraId="6C0CEEFC" w14:textId="77777777" w:rsidR="00895CD2" w:rsidRDefault="00AD26F3">
      <w:pPr>
        <w:pStyle w:val="2body-copy"/>
        <w:rPr>
          <w:rFonts w:cs="Times New Roman"/>
          <w:lang w:val="en-GB"/>
        </w:rPr>
      </w:pPr>
      <w:r>
        <w:rPr>
          <w:rFonts w:cs="Times New Roman"/>
          <w:lang w:val="en-GB"/>
        </w:rPr>
        <w:t>The Commission is a statutory authority of the Australian Government and part of the Health portfolio. As such, it is accountable to the Australian Parliament and the Minister for Health.</w:t>
      </w:r>
    </w:p>
    <w:p w14:paraId="47393328" w14:textId="77777777" w:rsidR="00895CD2" w:rsidRDefault="00AD26F3">
      <w:pPr>
        <w:pStyle w:val="1heading-level-2"/>
        <w:rPr>
          <w:rFonts w:cs="Times New Roman"/>
          <w:lang w:val="en-GB"/>
        </w:rPr>
      </w:pPr>
      <w:r>
        <w:rPr>
          <w:rFonts w:cs="Times New Roman"/>
          <w:lang w:val="en-GB"/>
        </w:rPr>
        <w:t xml:space="preserve">Freedom of information </w:t>
      </w:r>
    </w:p>
    <w:p w14:paraId="786C57E0" w14:textId="77777777" w:rsidR="00895CD2" w:rsidRDefault="00AD26F3">
      <w:pPr>
        <w:pStyle w:val="2body-copy"/>
        <w:rPr>
          <w:rFonts w:cs="Times New Roman"/>
          <w:lang w:val="en-GB"/>
        </w:rPr>
      </w:pPr>
      <w:r>
        <w:rPr>
          <w:rFonts w:cs="Times New Roman"/>
          <w:lang w:val="en-GB"/>
        </w:rPr>
        <w:t xml:space="preserve">Agencies subject to the </w:t>
      </w:r>
      <w:r>
        <w:rPr>
          <w:rStyle w:val="2body-italic"/>
          <w:rFonts w:cs="Times New Roman"/>
          <w:lang w:val="en-GB"/>
        </w:rPr>
        <w:t>Freedom of Information Act 1982</w:t>
      </w:r>
      <w:r>
        <w:rPr>
          <w:rFonts w:cs="Times New Roman"/>
          <w:lang w:val="en-GB"/>
        </w:rPr>
        <w:t xml:space="preserve"> (FOI Act) are required to publish information available to the public as part of the Information Publication Scheme (IPS). This requirement is in Part II of the FOI Act and has replaced the former requirement to publish a section 8 statement in an annual report. The Commission displays a plan on its web site (www.safetyandquality.gov.au) showing which information it publishes in accordance with IPS requirements. See Appendix G on page 133 for a table summarising the list of FOI activities for 2013/14.</w:t>
      </w:r>
    </w:p>
    <w:p w14:paraId="6F741E1D" w14:textId="77777777" w:rsidR="00895CD2" w:rsidRDefault="00AD26F3">
      <w:pPr>
        <w:pStyle w:val="1heading-level-2"/>
        <w:rPr>
          <w:rFonts w:cs="Times New Roman"/>
          <w:lang w:val="en-GB"/>
        </w:rPr>
      </w:pPr>
      <w:r>
        <w:rPr>
          <w:rFonts w:cs="Times New Roman"/>
          <w:lang w:val="en-GB"/>
        </w:rPr>
        <w:t>Judicial decisions and reviews by external bodies</w:t>
      </w:r>
    </w:p>
    <w:p w14:paraId="54B4348C" w14:textId="77777777" w:rsidR="00895CD2" w:rsidRDefault="00AD26F3">
      <w:pPr>
        <w:pStyle w:val="2body-copy"/>
        <w:rPr>
          <w:rFonts w:cs="Times New Roman"/>
          <w:lang w:val="en-GB"/>
        </w:rPr>
      </w:pPr>
      <w:r>
        <w:rPr>
          <w:rFonts w:cs="Times New Roman"/>
          <w:lang w:val="en-GB"/>
        </w:rPr>
        <w:t>No judicial decisions or decisions of administrative tribunals had a significant effect on the Commission’s operations during 2013/14.</w:t>
      </w:r>
    </w:p>
    <w:p w14:paraId="2050BBFF" w14:textId="77777777" w:rsidR="00895CD2" w:rsidRDefault="00AD26F3" w:rsidP="00093444">
      <w:pPr>
        <w:pStyle w:val="Heading2"/>
        <w:rPr>
          <w:lang w:val="en-GB"/>
        </w:rPr>
      </w:pPr>
      <w:bookmarkStart w:id="31" w:name="_Toc414011889"/>
      <w:r>
        <w:rPr>
          <w:lang w:val="en-GB"/>
        </w:rPr>
        <w:t>Developments and significant events</w:t>
      </w:r>
      <w:bookmarkEnd w:id="31"/>
    </w:p>
    <w:p w14:paraId="5448F702" w14:textId="77777777" w:rsidR="00895CD2" w:rsidRDefault="00AD26F3">
      <w:pPr>
        <w:pStyle w:val="2body-copy"/>
        <w:rPr>
          <w:rFonts w:cs="Times New Roman"/>
          <w:lang w:val="en-GB"/>
        </w:rPr>
      </w:pPr>
      <w:r>
        <w:rPr>
          <w:rFonts w:cs="Times New Roman"/>
          <w:lang w:val="en-GB"/>
        </w:rPr>
        <w:t>The Commission is required under section 15 of the CAC Act to notify the Minister of developments and events that have significantly affected or may significantly affect its operations. In 2013/14, there were no such developments or significant events. There have also been no such developments or significant events since 30 June 2014.</w:t>
      </w:r>
    </w:p>
    <w:p w14:paraId="0E38EB9C" w14:textId="77777777" w:rsidR="00895CD2" w:rsidRDefault="00AD26F3" w:rsidP="00093444">
      <w:pPr>
        <w:pStyle w:val="Heading2"/>
        <w:rPr>
          <w:lang w:val="en-GB"/>
        </w:rPr>
      </w:pPr>
      <w:bookmarkStart w:id="32" w:name="_Toc414011890"/>
      <w:r>
        <w:rPr>
          <w:lang w:val="en-GB"/>
        </w:rPr>
        <w:t xml:space="preserve">Environmental </w:t>
      </w:r>
      <w:r w:rsidRPr="006F35FE">
        <w:t>performance</w:t>
      </w:r>
      <w:r>
        <w:rPr>
          <w:lang w:val="en-GB"/>
        </w:rPr>
        <w:t xml:space="preserve"> and ecologically sustainable development</w:t>
      </w:r>
      <w:bookmarkEnd w:id="32"/>
    </w:p>
    <w:p w14:paraId="38B37805" w14:textId="77777777" w:rsidR="00895CD2" w:rsidRDefault="00AD26F3">
      <w:pPr>
        <w:pStyle w:val="2body-copy"/>
        <w:rPr>
          <w:rFonts w:cs="Times New Roman"/>
          <w:lang w:val="en-GB"/>
        </w:rPr>
      </w:pPr>
      <w:r>
        <w:rPr>
          <w:rFonts w:cs="Times New Roman"/>
          <w:lang w:val="en-GB"/>
        </w:rPr>
        <w:t xml:space="preserve">Section 516A of the </w:t>
      </w:r>
      <w:r>
        <w:rPr>
          <w:rStyle w:val="2body-italic"/>
          <w:rFonts w:cs="Times New Roman"/>
          <w:lang w:val="en-GB"/>
        </w:rPr>
        <w:t>Environment Protection and Biodiversity Conservation Act 1999</w:t>
      </w:r>
      <w:r>
        <w:rPr>
          <w:rFonts w:cs="Times New Roman"/>
          <w:lang w:val="en-GB"/>
        </w:rPr>
        <w:t xml:space="preserve"> (EPBC Act) requires Australian Government organisations and authorities to include in their annual reports about their environmental performance and their contribution to ecologically sustainable developments. The Commission is committed to making a positive contribution to ecological sustainability. The Commission’s ecologically sustainable activities are detailed in Appendix H on page 134. </w:t>
      </w:r>
    </w:p>
    <w:p w14:paraId="58102212" w14:textId="77777777" w:rsidR="00895CD2" w:rsidRDefault="00AD26F3" w:rsidP="00093444">
      <w:pPr>
        <w:pStyle w:val="Heading2"/>
        <w:rPr>
          <w:lang w:val="en-GB"/>
        </w:rPr>
      </w:pPr>
      <w:bookmarkStart w:id="33" w:name="_Toc414011891"/>
      <w:r w:rsidRPr="006F35FE">
        <w:rPr>
          <w:rStyle w:val="charoverride-1"/>
          <w:rFonts w:eastAsia="Times New Roman" w:cs="Times New Roman"/>
          <w:i/>
          <w:lang w:val="en-GB"/>
        </w:rPr>
        <w:t xml:space="preserve">National </w:t>
      </w:r>
      <w:r w:rsidRPr="006F35FE">
        <w:rPr>
          <w:rStyle w:val="charoverride-1"/>
          <w:i/>
        </w:rPr>
        <w:t>Health</w:t>
      </w:r>
      <w:r w:rsidRPr="006F35FE">
        <w:rPr>
          <w:rStyle w:val="charoverride-1"/>
          <w:rFonts w:eastAsia="Times New Roman" w:cs="Times New Roman"/>
          <w:i/>
          <w:lang w:val="en-GB"/>
        </w:rPr>
        <w:t xml:space="preserve"> Reform Act</w:t>
      </w:r>
      <w:r>
        <w:rPr>
          <w:rStyle w:val="charoverride-1"/>
          <w:rFonts w:eastAsia="Times New Roman" w:cs="Times New Roman"/>
          <w:lang w:val="en-GB"/>
        </w:rPr>
        <w:t xml:space="preserve"> </w:t>
      </w:r>
      <w:r>
        <w:rPr>
          <w:lang w:val="en-GB"/>
        </w:rPr>
        <w:t>amendments</w:t>
      </w:r>
      <w:bookmarkEnd w:id="33"/>
    </w:p>
    <w:p w14:paraId="7DF7E699" w14:textId="77777777" w:rsidR="00895CD2" w:rsidRDefault="00AD26F3">
      <w:pPr>
        <w:pStyle w:val="2body-copy"/>
        <w:rPr>
          <w:rFonts w:cs="Times New Roman"/>
          <w:lang w:val="en-GB"/>
        </w:rPr>
      </w:pPr>
      <w:r>
        <w:rPr>
          <w:rFonts w:cs="Times New Roman"/>
          <w:lang w:val="en-GB"/>
        </w:rPr>
        <w:t>No amendments to the NHR Act were made during the 2013/14 financial year.</w:t>
      </w:r>
    </w:p>
    <w:p w14:paraId="2A568886" w14:textId="77777777" w:rsidR="00CB0187" w:rsidRDefault="00787CC2">
      <w:pPr>
        <w:spacing w:after="0"/>
        <w:rPr>
          <w:rFonts w:cs="Times New Roman"/>
          <w:lang w:val="en-GB"/>
        </w:rPr>
      </w:pPr>
      <w:r>
        <w:rPr>
          <w:rFonts w:cs="Times New Roman"/>
          <w:lang w:val="en-GB"/>
        </w:rPr>
        <w:br w:type="page"/>
      </w:r>
      <w:r w:rsidR="00CB0187">
        <w:rPr>
          <w:rFonts w:cs="Times New Roman"/>
          <w:noProof/>
          <w:lang w:eastAsia="en-AU"/>
        </w:rPr>
        <w:lastRenderedPageBreak/>
        <w:drawing>
          <wp:inline distT="0" distB="0" distL="0" distR="0" wp14:anchorId="0249BFAC" wp14:editId="66A86362">
            <wp:extent cx="6476365" cy="8643620"/>
            <wp:effectExtent l="0" t="0" r="635" b="5080"/>
            <wp:docPr id="260" name="Picture 260" descr="Image - patients and clinicians acute care" title="Image - patients and clinicians acut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76.png"/>
                    <pic:cNvPicPr/>
                  </pic:nvPicPr>
                  <pic:blipFill>
                    <a:blip r:embed="rId42">
                      <a:extLst>
                        <a:ext uri="{28A0092B-C50C-407E-A947-70E740481C1C}">
                          <a14:useLocalDpi xmlns:a14="http://schemas.microsoft.com/office/drawing/2010/main" val="0"/>
                        </a:ext>
                      </a:extLst>
                    </a:blip>
                    <a:stretch>
                      <a:fillRect/>
                    </a:stretch>
                  </pic:blipFill>
                  <pic:spPr>
                    <a:xfrm>
                      <a:off x="0" y="0"/>
                      <a:ext cx="6476365" cy="8643620"/>
                    </a:xfrm>
                    <a:prstGeom prst="rect">
                      <a:avLst/>
                    </a:prstGeom>
                  </pic:spPr>
                </pic:pic>
              </a:graphicData>
            </a:graphic>
          </wp:inline>
        </w:drawing>
      </w:r>
    </w:p>
    <w:p w14:paraId="54C049C8" w14:textId="77777777" w:rsidR="00895CD2" w:rsidRPr="00637066" w:rsidRDefault="00895CD2" w:rsidP="00637066">
      <w:pPr>
        <w:spacing w:after="0"/>
        <w:rPr>
          <w:rFonts w:cs="Times New Roman"/>
          <w:lang w:val="en-GB"/>
        </w:rPr>
      </w:pPr>
    </w:p>
    <w:p w14:paraId="6FDB53F9" w14:textId="77777777" w:rsidR="00637066" w:rsidRPr="00637066" w:rsidRDefault="00637066" w:rsidP="000125A2">
      <w:pPr>
        <w:pStyle w:val="Heading1"/>
      </w:pPr>
      <w:bookmarkStart w:id="34" w:name="_Toc414011892"/>
      <w:r>
        <w:t xml:space="preserve">5 </w:t>
      </w:r>
      <w:r w:rsidRPr="00637066">
        <w:t>Our organisation</w:t>
      </w:r>
      <w:bookmarkEnd w:id="34"/>
    </w:p>
    <w:p w14:paraId="4C315AE3" w14:textId="6293C05D" w:rsidR="00895CD2" w:rsidRDefault="00AD26F3">
      <w:pPr>
        <w:pStyle w:val="0contents-level-2-section-start"/>
        <w:rPr>
          <w:rFonts w:cs="Times New Roman"/>
          <w:lang w:val="en-GB"/>
        </w:rPr>
      </w:pPr>
      <w:r>
        <w:rPr>
          <w:rStyle w:val="colourss8"/>
          <w:rFonts w:cs="Times New Roman"/>
          <w:lang w:val="en-GB"/>
        </w:rPr>
        <w:t>Organisational structure</w:t>
      </w:r>
      <w:r w:rsidR="001456F6">
        <w:rPr>
          <w:rStyle w:val="colourss8"/>
          <w:rFonts w:cs="Times New Roman"/>
          <w:lang w:val="en-GB"/>
        </w:rPr>
        <w:tab/>
      </w:r>
      <w:r w:rsidR="003A337D">
        <w:rPr>
          <w:rStyle w:val="colourss8"/>
          <w:rFonts w:cs="Times New Roman"/>
          <w:lang w:val="en-GB"/>
        </w:rPr>
        <w:t>69</w:t>
      </w:r>
    </w:p>
    <w:p w14:paraId="1C7891CE" w14:textId="34BF3B6B" w:rsidR="00895CD2" w:rsidRDefault="00AD26F3">
      <w:pPr>
        <w:pStyle w:val="0contents-level-2-section-start"/>
        <w:rPr>
          <w:rFonts w:cs="Times New Roman"/>
          <w:lang w:val="en-GB"/>
        </w:rPr>
      </w:pPr>
      <w:r>
        <w:rPr>
          <w:rStyle w:val="colourss8"/>
          <w:rFonts w:cs="Times New Roman"/>
          <w:lang w:val="en-GB"/>
        </w:rPr>
        <w:t>People management</w:t>
      </w:r>
      <w:r>
        <w:rPr>
          <w:rStyle w:val="colourss8"/>
          <w:rFonts w:cs="Times New Roman"/>
          <w:lang w:val="en-GB"/>
        </w:rPr>
        <w:tab/>
      </w:r>
      <w:r w:rsidR="003A337D">
        <w:rPr>
          <w:rStyle w:val="colourss8"/>
          <w:rFonts w:cs="Times New Roman"/>
          <w:lang w:val="en-GB"/>
        </w:rPr>
        <w:t>71</w:t>
      </w:r>
    </w:p>
    <w:p w14:paraId="587E4F6C" w14:textId="0C3A1D42" w:rsidR="00895CD2" w:rsidRDefault="00AD26F3">
      <w:pPr>
        <w:pStyle w:val="0contents-level-2-section-start"/>
        <w:rPr>
          <w:rFonts w:cs="Times New Roman"/>
          <w:lang w:val="en-GB"/>
        </w:rPr>
      </w:pPr>
      <w:r>
        <w:rPr>
          <w:rStyle w:val="colourss8"/>
          <w:rFonts w:cs="Times New Roman"/>
          <w:lang w:val="en-GB"/>
        </w:rPr>
        <w:t>Staff profile</w:t>
      </w:r>
      <w:r>
        <w:rPr>
          <w:rStyle w:val="colourss8"/>
          <w:rFonts w:cs="Times New Roman"/>
          <w:lang w:val="en-GB"/>
        </w:rPr>
        <w:tab/>
      </w:r>
      <w:r w:rsidR="003A337D">
        <w:rPr>
          <w:rStyle w:val="colourss8"/>
          <w:rFonts w:cs="Times New Roman"/>
          <w:lang w:val="en-GB"/>
        </w:rPr>
        <w:t>71</w:t>
      </w:r>
    </w:p>
    <w:p w14:paraId="00B9B5EF" w14:textId="10878B56" w:rsidR="00895CD2" w:rsidRDefault="00AD26F3">
      <w:pPr>
        <w:pStyle w:val="0contents-level-2-section-start"/>
        <w:rPr>
          <w:rFonts w:cs="Times New Roman"/>
          <w:lang w:val="en-GB"/>
        </w:rPr>
      </w:pPr>
      <w:r>
        <w:rPr>
          <w:rStyle w:val="colourss8"/>
          <w:rFonts w:cs="Times New Roman"/>
          <w:lang w:val="en-GB"/>
        </w:rPr>
        <w:t>Non-salary benefits</w:t>
      </w:r>
      <w:r>
        <w:rPr>
          <w:rStyle w:val="colourss8"/>
          <w:rFonts w:cs="Times New Roman"/>
          <w:lang w:val="en-GB"/>
        </w:rPr>
        <w:tab/>
      </w:r>
      <w:r w:rsidR="003A337D">
        <w:rPr>
          <w:rStyle w:val="colourss8"/>
          <w:rFonts w:cs="Times New Roman"/>
          <w:lang w:val="en-GB"/>
        </w:rPr>
        <w:t>72</w:t>
      </w:r>
    </w:p>
    <w:p w14:paraId="6F85412D" w14:textId="52925410" w:rsidR="00895CD2" w:rsidRDefault="00AD26F3">
      <w:pPr>
        <w:pStyle w:val="0contents-level-2-section-start"/>
        <w:rPr>
          <w:rFonts w:cs="Times New Roman"/>
          <w:lang w:val="en-GB"/>
        </w:rPr>
      </w:pPr>
      <w:r>
        <w:rPr>
          <w:rStyle w:val="colourss8"/>
          <w:rFonts w:cs="Times New Roman"/>
          <w:lang w:val="en-GB"/>
        </w:rPr>
        <w:t>Workplace health and safety</w:t>
      </w:r>
      <w:r>
        <w:rPr>
          <w:rStyle w:val="colourss8"/>
          <w:rFonts w:cs="Times New Roman"/>
          <w:lang w:val="en-GB"/>
        </w:rPr>
        <w:tab/>
      </w:r>
      <w:r w:rsidR="003A337D">
        <w:rPr>
          <w:rStyle w:val="colourss8"/>
          <w:rFonts w:cs="Times New Roman"/>
          <w:lang w:val="en-GB"/>
        </w:rPr>
        <w:t>72</w:t>
      </w:r>
    </w:p>
    <w:p w14:paraId="662253C2" w14:textId="75F739D9" w:rsidR="00895CD2" w:rsidRDefault="00AD26F3">
      <w:pPr>
        <w:pStyle w:val="0contents-level-2-section-start"/>
        <w:rPr>
          <w:rFonts w:cs="Times New Roman"/>
          <w:lang w:val="en-GB"/>
        </w:rPr>
      </w:pPr>
      <w:r>
        <w:rPr>
          <w:rStyle w:val="colourss8"/>
          <w:rFonts w:cs="Times New Roman"/>
          <w:lang w:val="en-GB"/>
        </w:rPr>
        <w:t>Learning and development</w:t>
      </w:r>
      <w:r>
        <w:rPr>
          <w:rStyle w:val="colourss8"/>
          <w:rFonts w:cs="Times New Roman"/>
          <w:lang w:val="en-GB"/>
        </w:rPr>
        <w:tab/>
      </w:r>
      <w:r w:rsidR="003A337D">
        <w:rPr>
          <w:rStyle w:val="colourss8"/>
          <w:rFonts w:cs="Times New Roman"/>
          <w:lang w:val="en-GB"/>
        </w:rPr>
        <w:t>72</w:t>
      </w:r>
    </w:p>
    <w:p w14:paraId="4DF41AF5" w14:textId="68FB546B" w:rsidR="00895CD2" w:rsidRDefault="00AD26F3">
      <w:pPr>
        <w:pStyle w:val="0contents-level-2-section-start"/>
        <w:rPr>
          <w:rFonts w:cs="Times New Roman"/>
          <w:lang w:val="en-GB"/>
        </w:rPr>
      </w:pPr>
      <w:r>
        <w:rPr>
          <w:rStyle w:val="colourss8"/>
          <w:rFonts w:cs="Times New Roman"/>
          <w:lang w:val="en-GB"/>
        </w:rPr>
        <w:t>Disability strategy</w:t>
      </w:r>
      <w:r>
        <w:rPr>
          <w:rStyle w:val="colourss8"/>
          <w:rFonts w:cs="Times New Roman"/>
          <w:lang w:val="en-GB"/>
        </w:rPr>
        <w:tab/>
      </w:r>
      <w:r w:rsidR="003A337D">
        <w:rPr>
          <w:rStyle w:val="colourss8"/>
          <w:rFonts w:cs="Times New Roman"/>
          <w:lang w:val="en-GB"/>
        </w:rPr>
        <w:t>73</w:t>
      </w:r>
    </w:p>
    <w:p w14:paraId="28BB0EE8" w14:textId="77777777" w:rsidR="00637066" w:rsidRDefault="00637066">
      <w:pPr>
        <w:spacing w:after="0"/>
        <w:rPr>
          <w:rStyle w:val="charoverride-26"/>
          <w:rFonts w:cs="Times New Roman"/>
          <w:lang w:val="en-GB"/>
        </w:rPr>
      </w:pPr>
      <w:r>
        <w:rPr>
          <w:rStyle w:val="charoverride-26"/>
          <w:rFonts w:cs="Times New Roman"/>
          <w:lang w:val="en-GB"/>
        </w:rPr>
        <w:br w:type="page"/>
      </w:r>
    </w:p>
    <w:p w14:paraId="2B37B552" w14:textId="77777777" w:rsidR="00895CD2" w:rsidRDefault="00AD26F3" w:rsidP="00093444">
      <w:pPr>
        <w:pStyle w:val="Heading2"/>
        <w:rPr>
          <w:lang w:val="en-GB"/>
        </w:rPr>
      </w:pPr>
      <w:bookmarkStart w:id="35" w:name="_Toc414011893"/>
      <w:r w:rsidRPr="000125A2">
        <w:lastRenderedPageBreak/>
        <w:t>Organisational</w:t>
      </w:r>
      <w:r>
        <w:rPr>
          <w:lang w:val="en-GB"/>
        </w:rPr>
        <w:t xml:space="preserve"> structure</w:t>
      </w:r>
      <w:bookmarkEnd w:id="35"/>
    </w:p>
    <w:p w14:paraId="1333D8DE" w14:textId="77777777" w:rsidR="00637066" w:rsidRDefault="00637066">
      <w:pPr>
        <w:pStyle w:val="2intro"/>
        <w:rPr>
          <w:rStyle w:val="colourss5"/>
          <w:rFonts w:cs="Times New Roman"/>
          <w:lang w:val="en-GB"/>
        </w:rPr>
      </w:pPr>
      <w:r>
        <w:rPr>
          <w:rFonts w:cs="Times New Roman"/>
          <w:noProof/>
          <w:lang w:eastAsia="en-AU"/>
        </w:rPr>
        <w:drawing>
          <wp:inline distT="0" distB="0" distL="0" distR="0" wp14:anchorId="6DA3F42F" wp14:editId="731B8A48">
            <wp:extent cx="6057900" cy="7035800"/>
            <wp:effectExtent l="0" t="0" r="0" b="0"/>
            <wp:docPr id="22" name="Picture 22" descr="Comiission program structure" title="Comiission program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ae-78.png"/>
                    <pic:cNvPicPr/>
                  </pic:nvPicPr>
                  <pic:blipFill>
                    <a:blip r:embed="rId43">
                      <a:extLst>
                        <a:ext uri="{28A0092B-C50C-407E-A947-70E740481C1C}">
                          <a14:useLocalDpi xmlns:a14="http://schemas.microsoft.com/office/drawing/2010/main" val="0"/>
                        </a:ext>
                      </a:extLst>
                    </a:blip>
                    <a:stretch>
                      <a:fillRect/>
                    </a:stretch>
                  </pic:blipFill>
                  <pic:spPr>
                    <a:xfrm>
                      <a:off x="0" y="0"/>
                      <a:ext cx="6057900" cy="7035800"/>
                    </a:xfrm>
                    <a:prstGeom prst="rect">
                      <a:avLst/>
                    </a:prstGeom>
                  </pic:spPr>
                </pic:pic>
              </a:graphicData>
            </a:graphic>
          </wp:inline>
        </w:drawing>
      </w:r>
    </w:p>
    <w:p w14:paraId="47137A77" w14:textId="77777777" w:rsidR="00637066" w:rsidRDefault="00637066">
      <w:pPr>
        <w:spacing w:after="0"/>
        <w:rPr>
          <w:rStyle w:val="colourss5"/>
          <w:rFonts w:cs="Times New Roman"/>
          <w:sz w:val="24"/>
          <w:lang w:val="en-GB"/>
        </w:rPr>
      </w:pPr>
      <w:r>
        <w:rPr>
          <w:rStyle w:val="colourss5"/>
          <w:rFonts w:cs="Times New Roman"/>
          <w:lang w:val="en-GB"/>
        </w:rPr>
        <w:br w:type="page"/>
      </w:r>
    </w:p>
    <w:p w14:paraId="514DFB73" w14:textId="77777777" w:rsidR="00637066" w:rsidRDefault="00637066">
      <w:pPr>
        <w:spacing w:after="0"/>
        <w:rPr>
          <w:rStyle w:val="colourss5"/>
          <w:rFonts w:cs="Times New Roman"/>
          <w:sz w:val="24"/>
          <w:lang w:val="en-GB"/>
        </w:rPr>
      </w:pPr>
      <w:r>
        <w:rPr>
          <w:rFonts w:cs="Times New Roman"/>
          <w:noProof/>
          <w:lang w:eastAsia="en-AU"/>
        </w:rPr>
        <w:lastRenderedPageBreak/>
        <w:drawing>
          <wp:inline distT="0" distB="0" distL="0" distR="0" wp14:anchorId="1744CF87" wp14:editId="784F66C5">
            <wp:extent cx="6070600" cy="7429500"/>
            <wp:effectExtent l="0" t="0" r="6350" b="0"/>
            <wp:docPr id="23" name="Picture 23" descr="Comiission program structure" title="Comiission program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ae-79.png"/>
                    <pic:cNvPicPr/>
                  </pic:nvPicPr>
                  <pic:blipFill>
                    <a:blip r:embed="rId44">
                      <a:extLst>
                        <a:ext uri="{28A0092B-C50C-407E-A947-70E740481C1C}">
                          <a14:useLocalDpi xmlns:a14="http://schemas.microsoft.com/office/drawing/2010/main" val="0"/>
                        </a:ext>
                      </a:extLst>
                    </a:blip>
                    <a:stretch>
                      <a:fillRect/>
                    </a:stretch>
                  </pic:blipFill>
                  <pic:spPr>
                    <a:xfrm>
                      <a:off x="0" y="0"/>
                      <a:ext cx="6070600" cy="7429500"/>
                    </a:xfrm>
                    <a:prstGeom prst="rect">
                      <a:avLst/>
                    </a:prstGeom>
                  </pic:spPr>
                </pic:pic>
              </a:graphicData>
            </a:graphic>
          </wp:inline>
        </w:drawing>
      </w:r>
      <w:r>
        <w:rPr>
          <w:rStyle w:val="colourss5"/>
          <w:rFonts w:cs="Times New Roman"/>
          <w:lang w:val="en-GB"/>
        </w:rPr>
        <w:br w:type="page"/>
      </w:r>
    </w:p>
    <w:p w14:paraId="37B44AE9" w14:textId="77777777" w:rsidR="00895CD2" w:rsidRPr="00637066" w:rsidRDefault="00AD26F3">
      <w:pPr>
        <w:pStyle w:val="2intro"/>
        <w:rPr>
          <w:rFonts w:cs="Times New Roman"/>
          <w:color w:val="54B6C5"/>
          <w:lang w:val="en-GB"/>
        </w:rPr>
      </w:pPr>
      <w:r w:rsidRPr="00637066">
        <w:rPr>
          <w:rStyle w:val="colourss5"/>
          <w:rFonts w:cs="Times New Roman"/>
          <w:lang w:val="en-GB"/>
        </w:rPr>
        <w:lastRenderedPageBreak/>
        <w:t xml:space="preserve">The Commission employs a diverse range of highly skilled and professional staff with experience across the healthcare industry. Because of the nature of our work, the Commission has a strong national presence in safety and quality in both the public and private sectors. </w:t>
      </w:r>
    </w:p>
    <w:p w14:paraId="1AAAA836" w14:textId="77777777" w:rsidR="00895CD2" w:rsidRPr="00637066" w:rsidRDefault="00AD26F3">
      <w:pPr>
        <w:pStyle w:val="2intro"/>
        <w:rPr>
          <w:rFonts w:cs="Times New Roman"/>
          <w:color w:val="54B6C5"/>
          <w:lang w:val="en-GB"/>
        </w:rPr>
      </w:pPr>
      <w:r w:rsidRPr="00637066">
        <w:rPr>
          <w:rStyle w:val="colourss5"/>
          <w:rFonts w:cs="Times New Roman"/>
          <w:lang w:val="en-GB"/>
        </w:rPr>
        <w:t xml:space="preserve">The Commission is committed to managing and developing its staff to achieve the objectives and outcomes contained in its work plan. </w:t>
      </w:r>
    </w:p>
    <w:p w14:paraId="2003D1BF" w14:textId="77777777" w:rsidR="00895CD2" w:rsidRDefault="00AD26F3" w:rsidP="00093444">
      <w:pPr>
        <w:pStyle w:val="Heading2"/>
        <w:rPr>
          <w:lang w:val="en-GB"/>
        </w:rPr>
      </w:pPr>
      <w:bookmarkStart w:id="36" w:name="_Toc414011894"/>
      <w:r>
        <w:rPr>
          <w:lang w:val="en-GB"/>
        </w:rPr>
        <w:t>People management</w:t>
      </w:r>
      <w:bookmarkEnd w:id="36"/>
    </w:p>
    <w:p w14:paraId="4D9253B8" w14:textId="77777777" w:rsidR="00895CD2" w:rsidRDefault="00AD26F3">
      <w:pPr>
        <w:pStyle w:val="2body-copy"/>
        <w:rPr>
          <w:rFonts w:cs="Times New Roman"/>
          <w:lang w:val="en-GB"/>
        </w:rPr>
      </w:pPr>
      <w:r>
        <w:rPr>
          <w:rFonts w:cs="Times New Roman"/>
          <w:lang w:val="en-GB"/>
        </w:rPr>
        <w:t>In 2013/14, the Commission developed its Learning and Development Strategy and people management policies to ensure the successful recruitment, retention and rewarding of staff now and into the future.</w:t>
      </w:r>
    </w:p>
    <w:p w14:paraId="01A290B1" w14:textId="77777777" w:rsidR="00895CD2" w:rsidRDefault="00AD26F3">
      <w:pPr>
        <w:pStyle w:val="2body-copy"/>
        <w:rPr>
          <w:rFonts w:cs="Times New Roman"/>
          <w:lang w:val="en-GB"/>
        </w:rPr>
      </w:pPr>
      <w:r>
        <w:rPr>
          <w:rFonts w:cs="Times New Roman"/>
          <w:lang w:val="en-GB"/>
        </w:rPr>
        <w:t>The Commission continues to deliver high performance by providing ongoing support through performance management systems and by embedding a strong sense of direction across the organisation.</w:t>
      </w:r>
    </w:p>
    <w:p w14:paraId="5495776B" w14:textId="77777777" w:rsidR="00895CD2" w:rsidRDefault="00AD26F3">
      <w:pPr>
        <w:pStyle w:val="2body-copy"/>
        <w:rPr>
          <w:rFonts w:cs="Times New Roman"/>
          <w:lang w:val="en-GB"/>
        </w:rPr>
      </w:pPr>
      <w:r>
        <w:rPr>
          <w:rFonts w:cs="Times New Roman"/>
          <w:lang w:val="en-GB"/>
        </w:rPr>
        <w:t xml:space="preserve">All staff members were provided with information on the reforms to the </w:t>
      </w:r>
      <w:r>
        <w:rPr>
          <w:rStyle w:val="2body-italic"/>
          <w:rFonts w:cs="Times New Roman"/>
          <w:lang w:val="en-GB"/>
        </w:rPr>
        <w:t>Public Service Act</w:t>
      </w:r>
      <w:r>
        <w:rPr>
          <w:rFonts w:cs="Times New Roman"/>
          <w:lang w:val="en-GB"/>
        </w:rPr>
        <w:t xml:space="preserve"> that came into effect on 1 July 2013, including changes to the Australian Public Service (APS) Values, APS Employment Principles and APS Code of Conduct.</w:t>
      </w:r>
    </w:p>
    <w:p w14:paraId="051328A8" w14:textId="77777777" w:rsidR="00895CD2" w:rsidRDefault="00AD26F3">
      <w:pPr>
        <w:pStyle w:val="2body-copy"/>
        <w:rPr>
          <w:rFonts w:cs="Times New Roman"/>
          <w:lang w:val="en-GB"/>
        </w:rPr>
      </w:pPr>
      <w:r>
        <w:rPr>
          <w:rFonts w:cs="Times New Roman"/>
          <w:lang w:val="en-GB"/>
        </w:rPr>
        <w:t>The Commission also participates in the Australian Public Service Commission online induction program, giving all new employees the opportunity to learn about how the APS operates and behaviours expected of all staff.</w:t>
      </w:r>
    </w:p>
    <w:p w14:paraId="4B0B595F" w14:textId="77777777" w:rsidR="00895CD2" w:rsidRDefault="00AD26F3">
      <w:pPr>
        <w:pStyle w:val="2body-copy"/>
        <w:rPr>
          <w:rFonts w:cs="Times New Roman"/>
          <w:lang w:val="en-GB"/>
        </w:rPr>
      </w:pPr>
      <w:r>
        <w:rPr>
          <w:rFonts w:cs="Times New Roman"/>
          <w:lang w:val="en-GB"/>
        </w:rPr>
        <w:t xml:space="preserve">In May 2014, the Commission’s </w:t>
      </w:r>
      <w:proofErr w:type="gramStart"/>
      <w:r>
        <w:rPr>
          <w:rFonts w:cs="Times New Roman"/>
          <w:lang w:val="en-GB"/>
        </w:rPr>
        <w:t>staff</w:t>
      </w:r>
      <w:proofErr w:type="gramEnd"/>
      <w:r>
        <w:rPr>
          <w:rFonts w:cs="Times New Roman"/>
          <w:lang w:val="en-GB"/>
        </w:rPr>
        <w:t xml:space="preserve"> was encouraged to participate in the APSC’s Census survey, and the Commission’s Corporate Governance Framework and finance and HR delegations were updated to help staff efficiently respond to customers and clients.</w:t>
      </w:r>
    </w:p>
    <w:p w14:paraId="0D706F07" w14:textId="77777777" w:rsidR="00895CD2" w:rsidRDefault="00AD26F3" w:rsidP="00093444">
      <w:pPr>
        <w:pStyle w:val="Heading2"/>
        <w:rPr>
          <w:lang w:val="en-GB"/>
        </w:rPr>
      </w:pPr>
      <w:bookmarkStart w:id="37" w:name="_Toc414011895"/>
      <w:r>
        <w:rPr>
          <w:lang w:val="en-GB"/>
        </w:rPr>
        <w:t xml:space="preserve">Staff </w:t>
      </w:r>
      <w:r w:rsidRPr="000125A2">
        <w:t>profile</w:t>
      </w:r>
      <w:bookmarkEnd w:id="37"/>
    </w:p>
    <w:p w14:paraId="2D600708" w14:textId="77777777" w:rsidR="00895CD2" w:rsidRDefault="00AD26F3">
      <w:pPr>
        <w:pStyle w:val="2body-copy"/>
        <w:rPr>
          <w:rFonts w:cs="Times New Roman"/>
          <w:lang w:val="en-GB"/>
        </w:rPr>
      </w:pPr>
      <w:r>
        <w:rPr>
          <w:rFonts w:cs="Times New Roman"/>
          <w:lang w:val="en-GB"/>
        </w:rPr>
        <w:t xml:space="preserve">As at 30 June 2014, the Commission employed 61 full-time equivalent staff. All staff </w:t>
      </w:r>
      <w:proofErr w:type="gramStart"/>
      <w:r>
        <w:rPr>
          <w:rFonts w:cs="Times New Roman"/>
          <w:lang w:val="en-GB"/>
        </w:rPr>
        <w:t>are</w:t>
      </w:r>
      <w:proofErr w:type="gramEnd"/>
      <w:r>
        <w:rPr>
          <w:rFonts w:cs="Times New Roman"/>
          <w:lang w:val="en-GB"/>
        </w:rPr>
        <w:t xml:space="preserve"> located in Sydney, except for one staff member who shares their time between Sydney and Melbourne. The following table provides a breakdown of the Commission’s staffing figures by classification, gender, full-time and part-time status, and ongoing and non-ongoing employment.</w:t>
      </w:r>
    </w:p>
    <w:tbl>
      <w:tblPr>
        <w:tblW w:w="0" w:type="auto"/>
        <w:tblBorders>
          <w:left w:val="dotted" w:sz="8" w:space="0" w:color="54B6C5"/>
          <w:bottom w:val="dotted" w:sz="8" w:space="0" w:color="54B6C5"/>
          <w:right w:val="dotted" w:sz="8" w:space="0" w:color="54B6C5"/>
          <w:insideH w:val="dotted" w:sz="8" w:space="0" w:color="54B6C5"/>
        </w:tblBorders>
        <w:tblCellMar>
          <w:top w:w="28" w:type="dxa"/>
          <w:left w:w="113" w:type="dxa"/>
          <w:bottom w:w="28" w:type="dxa"/>
          <w:right w:w="113" w:type="dxa"/>
        </w:tblCellMar>
        <w:tblLook w:val="04A0" w:firstRow="1" w:lastRow="0" w:firstColumn="1" w:lastColumn="0" w:noHBand="0" w:noVBand="1"/>
      </w:tblPr>
      <w:tblGrid>
        <w:gridCol w:w="1405"/>
        <w:gridCol w:w="526"/>
        <w:gridCol w:w="538"/>
        <w:gridCol w:w="678"/>
        <w:gridCol w:w="694"/>
        <w:gridCol w:w="526"/>
        <w:gridCol w:w="538"/>
        <w:gridCol w:w="678"/>
        <w:gridCol w:w="694"/>
        <w:gridCol w:w="704"/>
      </w:tblGrid>
      <w:tr w:rsidR="00895CD2" w14:paraId="4206FE4B" w14:textId="77777777" w:rsidTr="00637066">
        <w:tc>
          <w:tcPr>
            <w:tcW w:w="0" w:type="auto"/>
            <w:gridSpan w:val="10"/>
            <w:shd w:val="clear" w:color="auto" w:fill="54B6C5"/>
            <w:vAlign w:val="center"/>
            <w:hideMark/>
          </w:tcPr>
          <w:p w14:paraId="57FA8D2E" w14:textId="77777777" w:rsidR="00895CD2" w:rsidRDefault="00AD26F3" w:rsidP="00637066">
            <w:pPr>
              <w:pStyle w:val="3table-header-l"/>
              <w:spacing w:before="60" w:beforeAutospacing="0" w:after="60" w:afterAutospacing="0"/>
              <w:rPr>
                <w:rFonts w:cs="Times New Roman"/>
              </w:rPr>
            </w:pPr>
            <w:r>
              <w:rPr>
                <w:rFonts w:cs="Times New Roman"/>
              </w:rPr>
              <w:t>Table 2: Staff numbers by classification as at 30 June 2014</w:t>
            </w:r>
          </w:p>
        </w:tc>
      </w:tr>
      <w:tr w:rsidR="00895CD2" w14:paraId="1E64341F" w14:textId="77777777" w:rsidTr="00637066">
        <w:tc>
          <w:tcPr>
            <w:tcW w:w="0" w:type="auto"/>
            <w:vMerge w:val="restart"/>
            <w:vAlign w:val="center"/>
            <w:hideMark/>
          </w:tcPr>
          <w:p w14:paraId="21566242" w14:textId="77777777" w:rsidR="00895CD2" w:rsidRDefault="00AD26F3" w:rsidP="00637066">
            <w:pPr>
              <w:pStyle w:val="2body-copy"/>
              <w:spacing w:before="60" w:after="60"/>
              <w:rPr>
                <w:rFonts w:cs="Times New Roman"/>
              </w:rPr>
            </w:pPr>
            <w:r>
              <w:rPr>
                <w:rStyle w:val="charoverride-7"/>
                <w:rFonts w:cs="Times New Roman"/>
              </w:rPr>
              <w:t>Classification</w:t>
            </w:r>
          </w:p>
        </w:tc>
        <w:tc>
          <w:tcPr>
            <w:tcW w:w="0" w:type="auto"/>
            <w:gridSpan w:val="4"/>
            <w:vAlign w:val="center"/>
            <w:hideMark/>
          </w:tcPr>
          <w:p w14:paraId="0A043DBF" w14:textId="77777777" w:rsidR="00895CD2" w:rsidRDefault="00AD26F3" w:rsidP="00637066">
            <w:pPr>
              <w:pStyle w:val="2body-copy"/>
              <w:spacing w:before="60" w:after="60"/>
              <w:rPr>
                <w:rFonts w:cs="Times New Roman"/>
              </w:rPr>
            </w:pPr>
            <w:r>
              <w:rPr>
                <w:rStyle w:val="charoverride-7"/>
                <w:rFonts w:cs="Times New Roman"/>
              </w:rPr>
              <w:t>Female</w:t>
            </w:r>
          </w:p>
        </w:tc>
        <w:tc>
          <w:tcPr>
            <w:tcW w:w="0" w:type="auto"/>
            <w:gridSpan w:val="4"/>
            <w:vAlign w:val="center"/>
            <w:hideMark/>
          </w:tcPr>
          <w:p w14:paraId="5FC16B9A" w14:textId="77777777" w:rsidR="00895CD2" w:rsidRDefault="00AD26F3" w:rsidP="00637066">
            <w:pPr>
              <w:pStyle w:val="2body-copy"/>
              <w:spacing w:before="60" w:after="60"/>
              <w:rPr>
                <w:rFonts w:cs="Times New Roman"/>
              </w:rPr>
            </w:pPr>
            <w:r>
              <w:rPr>
                <w:rStyle w:val="charoverride-7"/>
                <w:rFonts w:cs="Times New Roman"/>
              </w:rPr>
              <w:t>Male</w:t>
            </w:r>
          </w:p>
        </w:tc>
        <w:tc>
          <w:tcPr>
            <w:tcW w:w="0" w:type="auto"/>
            <w:vMerge w:val="restart"/>
            <w:vAlign w:val="center"/>
            <w:hideMark/>
          </w:tcPr>
          <w:p w14:paraId="1A49DB06" w14:textId="77777777" w:rsidR="00895CD2" w:rsidRDefault="00AD26F3" w:rsidP="00637066">
            <w:pPr>
              <w:pStyle w:val="2body-copy"/>
              <w:spacing w:before="60" w:after="60"/>
              <w:rPr>
                <w:rFonts w:cs="Times New Roman"/>
              </w:rPr>
            </w:pPr>
            <w:r>
              <w:rPr>
                <w:rStyle w:val="2body-medium"/>
                <w:rFonts w:cs="Times New Roman"/>
              </w:rPr>
              <w:t>Total</w:t>
            </w:r>
          </w:p>
        </w:tc>
      </w:tr>
      <w:tr w:rsidR="00895CD2" w14:paraId="5911B46C" w14:textId="77777777" w:rsidTr="00637066">
        <w:tc>
          <w:tcPr>
            <w:tcW w:w="0" w:type="auto"/>
            <w:vMerge/>
            <w:vAlign w:val="center"/>
            <w:hideMark/>
          </w:tcPr>
          <w:p w14:paraId="053052EC" w14:textId="77777777" w:rsidR="00895CD2" w:rsidRDefault="00895CD2" w:rsidP="00637066">
            <w:pPr>
              <w:spacing w:before="60" w:after="60"/>
              <w:rPr>
                <w:rFonts w:ascii="Times" w:hAnsi="Times" w:cs="Times New Roman"/>
              </w:rPr>
            </w:pPr>
          </w:p>
        </w:tc>
        <w:tc>
          <w:tcPr>
            <w:tcW w:w="0" w:type="auto"/>
            <w:gridSpan w:val="2"/>
            <w:vAlign w:val="center"/>
            <w:hideMark/>
          </w:tcPr>
          <w:p w14:paraId="29E9CA0E" w14:textId="77777777" w:rsidR="00895CD2" w:rsidRDefault="00AD26F3" w:rsidP="00637066">
            <w:pPr>
              <w:pStyle w:val="2body-copy"/>
              <w:spacing w:before="60" w:after="60"/>
              <w:rPr>
                <w:rFonts w:cs="Times New Roman"/>
              </w:rPr>
            </w:pPr>
            <w:r>
              <w:rPr>
                <w:rStyle w:val="charoverride-7"/>
                <w:rFonts w:cs="Times New Roman"/>
              </w:rPr>
              <w:t>Ongoing</w:t>
            </w:r>
          </w:p>
        </w:tc>
        <w:tc>
          <w:tcPr>
            <w:tcW w:w="0" w:type="auto"/>
            <w:gridSpan w:val="2"/>
            <w:vAlign w:val="center"/>
            <w:hideMark/>
          </w:tcPr>
          <w:p w14:paraId="08F935E9" w14:textId="77777777" w:rsidR="00895CD2" w:rsidRDefault="00AD26F3" w:rsidP="00637066">
            <w:pPr>
              <w:pStyle w:val="2body-copy"/>
              <w:spacing w:before="60" w:after="60"/>
              <w:rPr>
                <w:rFonts w:cs="Times New Roman"/>
              </w:rPr>
            </w:pPr>
            <w:r>
              <w:rPr>
                <w:rStyle w:val="charoverride-7"/>
                <w:rFonts w:cs="Times New Roman"/>
              </w:rPr>
              <w:t>Non-ongoing</w:t>
            </w:r>
          </w:p>
        </w:tc>
        <w:tc>
          <w:tcPr>
            <w:tcW w:w="0" w:type="auto"/>
            <w:gridSpan w:val="2"/>
            <w:vAlign w:val="center"/>
            <w:hideMark/>
          </w:tcPr>
          <w:p w14:paraId="5B95CF4F" w14:textId="77777777" w:rsidR="00895CD2" w:rsidRDefault="00AD26F3" w:rsidP="00637066">
            <w:pPr>
              <w:pStyle w:val="2body-copy"/>
              <w:spacing w:before="60" w:after="60"/>
              <w:rPr>
                <w:rFonts w:cs="Times New Roman"/>
              </w:rPr>
            </w:pPr>
            <w:r>
              <w:rPr>
                <w:rStyle w:val="charoverride-7"/>
                <w:rFonts w:cs="Times New Roman"/>
              </w:rPr>
              <w:t>Ongoing</w:t>
            </w:r>
          </w:p>
        </w:tc>
        <w:tc>
          <w:tcPr>
            <w:tcW w:w="0" w:type="auto"/>
            <w:gridSpan w:val="2"/>
            <w:vAlign w:val="center"/>
            <w:hideMark/>
          </w:tcPr>
          <w:p w14:paraId="1D3EF539" w14:textId="77777777" w:rsidR="00895CD2" w:rsidRDefault="00AD26F3" w:rsidP="00637066">
            <w:pPr>
              <w:pStyle w:val="2body-copy"/>
              <w:spacing w:before="60" w:after="60"/>
              <w:rPr>
                <w:rFonts w:cs="Times New Roman"/>
              </w:rPr>
            </w:pPr>
            <w:r>
              <w:rPr>
                <w:rStyle w:val="charoverride-7"/>
                <w:rFonts w:cs="Times New Roman"/>
              </w:rPr>
              <w:t>Non-ongoing</w:t>
            </w:r>
          </w:p>
        </w:tc>
        <w:tc>
          <w:tcPr>
            <w:tcW w:w="0" w:type="auto"/>
            <w:vMerge/>
            <w:vAlign w:val="center"/>
            <w:hideMark/>
          </w:tcPr>
          <w:p w14:paraId="13525849" w14:textId="77777777" w:rsidR="00895CD2" w:rsidRDefault="00895CD2" w:rsidP="00637066">
            <w:pPr>
              <w:spacing w:before="60" w:after="60"/>
              <w:rPr>
                <w:rFonts w:ascii="Times" w:hAnsi="Times" w:cs="Times New Roman"/>
              </w:rPr>
            </w:pPr>
          </w:p>
        </w:tc>
      </w:tr>
      <w:tr w:rsidR="00637066" w14:paraId="674F69A2" w14:textId="77777777" w:rsidTr="00637066">
        <w:tc>
          <w:tcPr>
            <w:tcW w:w="0" w:type="auto"/>
            <w:vMerge/>
            <w:vAlign w:val="center"/>
            <w:hideMark/>
          </w:tcPr>
          <w:p w14:paraId="17436D27" w14:textId="77777777" w:rsidR="00895CD2" w:rsidRDefault="00895CD2" w:rsidP="00637066">
            <w:pPr>
              <w:spacing w:before="60" w:after="60"/>
              <w:rPr>
                <w:rFonts w:ascii="Times" w:hAnsi="Times" w:cs="Times New Roman"/>
              </w:rPr>
            </w:pPr>
          </w:p>
        </w:tc>
        <w:tc>
          <w:tcPr>
            <w:tcW w:w="0" w:type="auto"/>
            <w:vAlign w:val="center"/>
            <w:hideMark/>
          </w:tcPr>
          <w:p w14:paraId="10BF2373" w14:textId="77777777" w:rsidR="00895CD2" w:rsidRDefault="00AD26F3" w:rsidP="00637066">
            <w:pPr>
              <w:pStyle w:val="2body-copy"/>
              <w:spacing w:before="60" w:after="60"/>
              <w:rPr>
                <w:rFonts w:cs="Times New Roman"/>
              </w:rPr>
            </w:pPr>
            <w:r>
              <w:rPr>
                <w:rStyle w:val="charoverride-7"/>
                <w:rFonts w:cs="Times New Roman"/>
              </w:rPr>
              <w:t>F/T</w:t>
            </w:r>
          </w:p>
        </w:tc>
        <w:tc>
          <w:tcPr>
            <w:tcW w:w="0" w:type="auto"/>
            <w:vAlign w:val="center"/>
            <w:hideMark/>
          </w:tcPr>
          <w:p w14:paraId="0FBFA1B0" w14:textId="77777777" w:rsidR="00895CD2" w:rsidRDefault="00AD26F3" w:rsidP="00637066">
            <w:pPr>
              <w:pStyle w:val="2body-copy"/>
              <w:spacing w:before="60" w:after="60"/>
              <w:rPr>
                <w:rFonts w:cs="Times New Roman"/>
              </w:rPr>
            </w:pPr>
            <w:r>
              <w:rPr>
                <w:rStyle w:val="charoverride-7"/>
                <w:rFonts w:cs="Times New Roman"/>
              </w:rPr>
              <w:t>P/T</w:t>
            </w:r>
          </w:p>
        </w:tc>
        <w:tc>
          <w:tcPr>
            <w:tcW w:w="0" w:type="auto"/>
            <w:vAlign w:val="center"/>
            <w:hideMark/>
          </w:tcPr>
          <w:p w14:paraId="45AA852D" w14:textId="77777777" w:rsidR="00895CD2" w:rsidRDefault="00AD26F3" w:rsidP="00637066">
            <w:pPr>
              <w:pStyle w:val="2body-copy"/>
              <w:spacing w:before="60" w:after="60"/>
              <w:rPr>
                <w:rFonts w:cs="Times New Roman"/>
              </w:rPr>
            </w:pPr>
            <w:r>
              <w:rPr>
                <w:rStyle w:val="charoverride-7"/>
                <w:rFonts w:cs="Times New Roman"/>
              </w:rPr>
              <w:t>F/T</w:t>
            </w:r>
          </w:p>
        </w:tc>
        <w:tc>
          <w:tcPr>
            <w:tcW w:w="0" w:type="auto"/>
            <w:vAlign w:val="center"/>
            <w:hideMark/>
          </w:tcPr>
          <w:p w14:paraId="39C3D794" w14:textId="77777777" w:rsidR="00895CD2" w:rsidRDefault="00AD26F3" w:rsidP="00637066">
            <w:pPr>
              <w:pStyle w:val="2body-copy"/>
              <w:spacing w:before="60" w:after="60"/>
              <w:rPr>
                <w:rFonts w:cs="Times New Roman"/>
              </w:rPr>
            </w:pPr>
            <w:r>
              <w:rPr>
                <w:rStyle w:val="charoverride-7"/>
                <w:rFonts w:cs="Times New Roman"/>
              </w:rPr>
              <w:t>P/T</w:t>
            </w:r>
          </w:p>
        </w:tc>
        <w:tc>
          <w:tcPr>
            <w:tcW w:w="0" w:type="auto"/>
            <w:vAlign w:val="center"/>
            <w:hideMark/>
          </w:tcPr>
          <w:p w14:paraId="29322681" w14:textId="77777777" w:rsidR="00895CD2" w:rsidRDefault="00AD26F3" w:rsidP="00637066">
            <w:pPr>
              <w:pStyle w:val="2body-copy"/>
              <w:spacing w:before="60" w:after="60"/>
              <w:rPr>
                <w:rFonts w:cs="Times New Roman"/>
              </w:rPr>
            </w:pPr>
            <w:r>
              <w:rPr>
                <w:rStyle w:val="charoverride-7"/>
                <w:rFonts w:cs="Times New Roman"/>
              </w:rPr>
              <w:t>F/T</w:t>
            </w:r>
          </w:p>
        </w:tc>
        <w:tc>
          <w:tcPr>
            <w:tcW w:w="0" w:type="auto"/>
            <w:vAlign w:val="center"/>
            <w:hideMark/>
          </w:tcPr>
          <w:p w14:paraId="03FBDF42" w14:textId="77777777" w:rsidR="00895CD2" w:rsidRDefault="00AD26F3" w:rsidP="00637066">
            <w:pPr>
              <w:pStyle w:val="2body-copy"/>
              <w:spacing w:before="60" w:after="60"/>
              <w:rPr>
                <w:rFonts w:cs="Times New Roman"/>
              </w:rPr>
            </w:pPr>
            <w:r>
              <w:rPr>
                <w:rStyle w:val="charoverride-7"/>
                <w:rFonts w:cs="Times New Roman"/>
              </w:rPr>
              <w:t>P/T</w:t>
            </w:r>
          </w:p>
        </w:tc>
        <w:tc>
          <w:tcPr>
            <w:tcW w:w="0" w:type="auto"/>
            <w:vAlign w:val="center"/>
            <w:hideMark/>
          </w:tcPr>
          <w:p w14:paraId="70B0A9E3" w14:textId="77777777" w:rsidR="00895CD2" w:rsidRDefault="00AD26F3" w:rsidP="00637066">
            <w:pPr>
              <w:pStyle w:val="2body-copy"/>
              <w:spacing w:before="60" w:after="60"/>
              <w:rPr>
                <w:rFonts w:cs="Times New Roman"/>
              </w:rPr>
            </w:pPr>
            <w:r>
              <w:rPr>
                <w:rStyle w:val="charoverride-7"/>
                <w:rFonts w:cs="Times New Roman"/>
              </w:rPr>
              <w:t>F/T</w:t>
            </w:r>
          </w:p>
        </w:tc>
        <w:tc>
          <w:tcPr>
            <w:tcW w:w="0" w:type="auto"/>
            <w:vAlign w:val="center"/>
            <w:hideMark/>
          </w:tcPr>
          <w:p w14:paraId="44724B2C" w14:textId="77777777" w:rsidR="00895CD2" w:rsidRDefault="00AD26F3" w:rsidP="00637066">
            <w:pPr>
              <w:pStyle w:val="2body-copy"/>
              <w:spacing w:before="60" w:after="60"/>
              <w:rPr>
                <w:rFonts w:cs="Times New Roman"/>
              </w:rPr>
            </w:pPr>
            <w:r>
              <w:rPr>
                <w:rStyle w:val="charoverride-7"/>
                <w:rFonts w:cs="Times New Roman"/>
              </w:rPr>
              <w:t>P/T</w:t>
            </w:r>
          </w:p>
        </w:tc>
        <w:tc>
          <w:tcPr>
            <w:tcW w:w="0" w:type="auto"/>
            <w:vMerge/>
            <w:vAlign w:val="center"/>
            <w:hideMark/>
          </w:tcPr>
          <w:p w14:paraId="6FBAAB6D" w14:textId="77777777" w:rsidR="00895CD2" w:rsidRDefault="00895CD2" w:rsidP="00637066">
            <w:pPr>
              <w:spacing w:before="60" w:after="60"/>
              <w:rPr>
                <w:rFonts w:ascii="Times" w:hAnsi="Times" w:cs="Times New Roman"/>
              </w:rPr>
            </w:pPr>
          </w:p>
        </w:tc>
      </w:tr>
      <w:tr w:rsidR="00637066" w14:paraId="330A0551" w14:textId="77777777" w:rsidTr="00637066">
        <w:tc>
          <w:tcPr>
            <w:tcW w:w="0" w:type="auto"/>
            <w:vAlign w:val="center"/>
            <w:hideMark/>
          </w:tcPr>
          <w:p w14:paraId="6C946190" w14:textId="77777777" w:rsidR="00895CD2" w:rsidRDefault="00AD26F3" w:rsidP="00637066">
            <w:pPr>
              <w:pStyle w:val="2body-copy"/>
              <w:spacing w:before="60" w:after="60"/>
              <w:rPr>
                <w:rFonts w:cs="Times New Roman"/>
              </w:rPr>
            </w:pPr>
            <w:r>
              <w:rPr>
                <w:rStyle w:val="charoverride-7"/>
                <w:rFonts w:cs="Times New Roman"/>
              </w:rPr>
              <w:t>CEO</w:t>
            </w:r>
          </w:p>
        </w:tc>
        <w:tc>
          <w:tcPr>
            <w:tcW w:w="0" w:type="auto"/>
            <w:vAlign w:val="center"/>
            <w:hideMark/>
          </w:tcPr>
          <w:p w14:paraId="136FB8DE" w14:textId="77777777" w:rsidR="00895CD2" w:rsidRDefault="00895CD2" w:rsidP="00637066">
            <w:pPr>
              <w:spacing w:before="60" w:after="60"/>
              <w:rPr>
                <w:rFonts w:ascii="Times" w:eastAsia="Times New Roman" w:hAnsi="Times" w:cs="Times New Roman"/>
              </w:rPr>
            </w:pPr>
          </w:p>
        </w:tc>
        <w:tc>
          <w:tcPr>
            <w:tcW w:w="0" w:type="auto"/>
            <w:vAlign w:val="center"/>
            <w:hideMark/>
          </w:tcPr>
          <w:p w14:paraId="4013D153" w14:textId="77777777" w:rsidR="00895CD2" w:rsidRDefault="00895CD2" w:rsidP="00637066">
            <w:pPr>
              <w:spacing w:before="60" w:after="60"/>
              <w:rPr>
                <w:rFonts w:ascii="Times" w:eastAsia="Times New Roman" w:hAnsi="Times" w:cs="Times New Roman"/>
              </w:rPr>
            </w:pPr>
          </w:p>
        </w:tc>
        <w:tc>
          <w:tcPr>
            <w:tcW w:w="0" w:type="auto"/>
            <w:vAlign w:val="center"/>
            <w:hideMark/>
          </w:tcPr>
          <w:p w14:paraId="53522B3A" w14:textId="77777777" w:rsidR="00895CD2" w:rsidRDefault="00AD26F3" w:rsidP="00637066">
            <w:pPr>
              <w:pStyle w:val="2body-copy"/>
              <w:spacing w:before="60" w:after="60"/>
              <w:rPr>
                <w:rFonts w:cs="Times New Roman"/>
              </w:rPr>
            </w:pPr>
            <w:r>
              <w:rPr>
                <w:rStyle w:val="charoverride-7"/>
                <w:rFonts w:cs="Times New Roman"/>
              </w:rPr>
              <w:t>1</w:t>
            </w:r>
          </w:p>
        </w:tc>
        <w:tc>
          <w:tcPr>
            <w:tcW w:w="0" w:type="auto"/>
            <w:vAlign w:val="center"/>
            <w:hideMark/>
          </w:tcPr>
          <w:p w14:paraId="12513441" w14:textId="77777777" w:rsidR="00895CD2" w:rsidRDefault="00895CD2" w:rsidP="00637066">
            <w:pPr>
              <w:spacing w:before="60" w:after="60"/>
              <w:rPr>
                <w:rFonts w:ascii="Times" w:eastAsia="Times New Roman" w:hAnsi="Times" w:cs="Times New Roman"/>
              </w:rPr>
            </w:pPr>
          </w:p>
        </w:tc>
        <w:tc>
          <w:tcPr>
            <w:tcW w:w="0" w:type="auto"/>
            <w:vAlign w:val="center"/>
            <w:hideMark/>
          </w:tcPr>
          <w:p w14:paraId="504E4F78" w14:textId="77777777" w:rsidR="00895CD2" w:rsidRDefault="00895CD2" w:rsidP="00637066">
            <w:pPr>
              <w:spacing w:before="60" w:after="60"/>
              <w:rPr>
                <w:rFonts w:ascii="Times" w:eastAsia="Times New Roman" w:hAnsi="Times" w:cs="Times New Roman"/>
              </w:rPr>
            </w:pPr>
          </w:p>
        </w:tc>
        <w:tc>
          <w:tcPr>
            <w:tcW w:w="0" w:type="auto"/>
            <w:vAlign w:val="center"/>
            <w:hideMark/>
          </w:tcPr>
          <w:p w14:paraId="674B8EBA" w14:textId="77777777" w:rsidR="00895CD2" w:rsidRDefault="00895CD2" w:rsidP="00637066">
            <w:pPr>
              <w:spacing w:before="60" w:after="60"/>
              <w:rPr>
                <w:rFonts w:ascii="Times" w:eastAsia="Times New Roman" w:hAnsi="Times" w:cs="Times New Roman"/>
              </w:rPr>
            </w:pPr>
          </w:p>
        </w:tc>
        <w:tc>
          <w:tcPr>
            <w:tcW w:w="0" w:type="auto"/>
            <w:vAlign w:val="center"/>
            <w:hideMark/>
          </w:tcPr>
          <w:p w14:paraId="58AF5122" w14:textId="77777777" w:rsidR="00895CD2" w:rsidRDefault="00895CD2" w:rsidP="00637066">
            <w:pPr>
              <w:spacing w:before="60" w:after="60"/>
              <w:rPr>
                <w:rFonts w:ascii="Times" w:eastAsia="Times New Roman" w:hAnsi="Times" w:cs="Times New Roman"/>
              </w:rPr>
            </w:pPr>
          </w:p>
        </w:tc>
        <w:tc>
          <w:tcPr>
            <w:tcW w:w="0" w:type="auto"/>
            <w:vAlign w:val="center"/>
            <w:hideMark/>
          </w:tcPr>
          <w:p w14:paraId="58C85DD7" w14:textId="77777777" w:rsidR="00895CD2" w:rsidRDefault="00895CD2" w:rsidP="00637066">
            <w:pPr>
              <w:spacing w:before="60" w:after="60"/>
              <w:rPr>
                <w:rFonts w:ascii="Times" w:eastAsia="Times New Roman" w:hAnsi="Times" w:cs="Times New Roman"/>
              </w:rPr>
            </w:pPr>
          </w:p>
        </w:tc>
        <w:tc>
          <w:tcPr>
            <w:tcW w:w="0" w:type="auto"/>
            <w:vAlign w:val="center"/>
            <w:hideMark/>
          </w:tcPr>
          <w:p w14:paraId="19C4EECE" w14:textId="77777777" w:rsidR="00895CD2" w:rsidRDefault="00AD26F3" w:rsidP="00637066">
            <w:pPr>
              <w:pStyle w:val="2body-copy"/>
              <w:spacing w:before="60" w:after="60"/>
              <w:rPr>
                <w:rFonts w:cs="Times New Roman"/>
              </w:rPr>
            </w:pPr>
            <w:r>
              <w:rPr>
                <w:rStyle w:val="charoverride-7"/>
                <w:rFonts w:cs="Times New Roman"/>
              </w:rPr>
              <w:t>1</w:t>
            </w:r>
          </w:p>
        </w:tc>
      </w:tr>
      <w:tr w:rsidR="00637066" w14:paraId="33D4C809" w14:textId="77777777" w:rsidTr="00637066">
        <w:tc>
          <w:tcPr>
            <w:tcW w:w="0" w:type="auto"/>
            <w:vAlign w:val="center"/>
            <w:hideMark/>
          </w:tcPr>
          <w:p w14:paraId="227ABBE9" w14:textId="77777777" w:rsidR="00895CD2" w:rsidRDefault="00AD26F3" w:rsidP="00637066">
            <w:pPr>
              <w:pStyle w:val="2body-copy"/>
              <w:spacing w:before="60" w:after="60"/>
              <w:rPr>
                <w:rFonts w:cs="Times New Roman"/>
              </w:rPr>
            </w:pPr>
            <w:r>
              <w:rPr>
                <w:rStyle w:val="charoverride-7"/>
                <w:rFonts w:cs="Times New Roman"/>
              </w:rPr>
              <w:t>MO6</w:t>
            </w:r>
          </w:p>
        </w:tc>
        <w:tc>
          <w:tcPr>
            <w:tcW w:w="0" w:type="auto"/>
            <w:vAlign w:val="center"/>
            <w:hideMark/>
          </w:tcPr>
          <w:p w14:paraId="5987980F" w14:textId="77777777" w:rsidR="00895CD2" w:rsidRDefault="00AD26F3" w:rsidP="00637066">
            <w:pPr>
              <w:pStyle w:val="2body-copy"/>
              <w:spacing w:before="60" w:after="60"/>
              <w:rPr>
                <w:rFonts w:cs="Times New Roman"/>
              </w:rPr>
            </w:pPr>
            <w:r>
              <w:rPr>
                <w:rStyle w:val="charoverride-7"/>
                <w:rFonts w:cs="Times New Roman"/>
              </w:rPr>
              <w:t>1</w:t>
            </w:r>
          </w:p>
        </w:tc>
        <w:tc>
          <w:tcPr>
            <w:tcW w:w="0" w:type="auto"/>
            <w:vAlign w:val="center"/>
            <w:hideMark/>
          </w:tcPr>
          <w:p w14:paraId="41E15D0D" w14:textId="77777777" w:rsidR="00895CD2" w:rsidRDefault="00895CD2" w:rsidP="00637066">
            <w:pPr>
              <w:spacing w:before="60" w:after="60"/>
              <w:rPr>
                <w:rFonts w:ascii="Times" w:eastAsia="Times New Roman" w:hAnsi="Times" w:cs="Times New Roman"/>
              </w:rPr>
            </w:pPr>
          </w:p>
        </w:tc>
        <w:tc>
          <w:tcPr>
            <w:tcW w:w="0" w:type="auto"/>
            <w:vAlign w:val="center"/>
            <w:hideMark/>
          </w:tcPr>
          <w:p w14:paraId="7DBBA13F" w14:textId="77777777" w:rsidR="00895CD2" w:rsidRDefault="00895CD2" w:rsidP="00637066">
            <w:pPr>
              <w:spacing w:before="60" w:after="60"/>
              <w:rPr>
                <w:rFonts w:ascii="Times" w:eastAsia="Times New Roman" w:hAnsi="Times" w:cs="Times New Roman"/>
              </w:rPr>
            </w:pPr>
          </w:p>
        </w:tc>
        <w:tc>
          <w:tcPr>
            <w:tcW w:w="0" w:type="auto"/>
            <w:vAlign w:val="center"/>
            <w:hideMark/>
          </w:tcPr>
          <w:p w14:paraId="2225F2D0" w14:textId="77777777" w:rsidR="00895CD2" w:rsidRDefault="00895CD2" w:rsidP="00637066">
            <w:pPr>
              <w:spacing w:before="60" w:after="60"/>
              <w:rPr>
                <w:rFonts w:ascii="Times" w:eastAsia="Times New Roman" w:hAnsi="Times" w:cs="Times New Roman"/>
              </w:rPr>
            </w:pPr>
          </w:p>
        </w:tc>
        <w:tc>
          <w:tcPr>
            <w:tcW w:w="0" w:type="auto"/>
            <w:vAlign w:val="center"/>
            <w:hideMark/>
          </w:tcPr>
          <w:p w14:paraId="24E0D208" w14:textId="77777777" w:rsidR="00895CD2" w:rsidRDefault="00895CD2" w:rsidP="00637066">
            <w:pPr>
              <w:spacing w:before="60" w:after="60"/>
              <w:rPr>
                <w:rFonts w:ascii="Times" w:eastAsia="Times New Roman" w:hAnsi="Times" w:cs="Times New Roman"/>
              </w:rPr>
            </w:pPr>
          </w:p>
        </w:tc>
        <w:tc>
          <w:tcPr>
            <w:tcW w:w="0" w:type="auto"/>
            <w:vAlign w:val="center"/>
            <w:hideMark/>
          </w:tcPr>
          <w:p w14:paraId="5FE646C9" w14:textId="77777777" w:rsidR="00895CD2" w:rsidRDefault="00895CD2" w:rsidP="00637066">
            <w:pPr>
              <w:spacing w:before="60" w:after="60"/>
              <w:rPr>
                <w:rFonts w:ascii="Times" w:eastAsia="Times New Roman" w:hAnsi="Times" w:cs="Times New Roman"/>
              </w:rPr>
            </w:pPr>
          </w:p>
        </w:tc>
        <w:tc>
          <w:tcPr>
            <w:tcW w:w="0" w:type="auto"/>
            <w:vAlign w:val="center"/>
            <w:hideMark/>
          </w:tcPr>
          <w:p w14:paraId="20366A9B" w14:textId="77777777" w:rsidR="00895CD2" w:rsidRDefault="00895CD2" w:rsidP="00637066">
            <w:pPr>
              <w:spacing w:before="60" w:after="60"/>
              <w:rPr>
                <w:rFonts w:ascii="Times" w:eastAsia="Times New Roman" w:hAnsi="Times" w:cs="Times New Roman"/>
              </w:rPr>
            </w:pPr>
          </w:p>
        </w:tc>
        <w:tc>
          <w:tcPr>
            <w:tcW w:w="0" w:type="auto"/>
            <w:vAlign w:val="center"/>
            <w:hideMark/>
          </w:tcPr>
          <w:p w14:paraId="62A49120" w14:textId="77777777" w:rsidR="00895CD2" w:rsidRDefault="00AD26F3" w:rsidP="00637066">
            <w:pPr>
              <w:pStyle w:val="2body-copy"/>
              <w:spacing w:before="60" w:after="60"/>
              <w:rPr>
                <w:rFonts w:cs="Times New Roman"/>
              </w:rPr>
            </w:pPr>
            <w:r>
              <w:rPr>
                <w:rStyle w:val="charoverride-7"/>
                <w:rFonts w:cs="Times New Roman"/>
              </w:rPr>
              <w:t>1.1</w:t>
            </w:r>
          </w:p>
        </w:tc>
        <w:tc>
          <w:tcPr>
            <w:tcW w:w="0" w:type="auto"/>
            <w:vAlign w:val="center"/>
            <w:hideMark/>
          </w:tcPr>
          <w:p w14:paraId="5E606A24" w14:textId="77777777" w:rsidR="00895CD2" w:rsidRDefault="00AD26F3" w:rsidP="00637066">
            <w:pPr>
              <w:pStyle w:val="2body-copy"/>
              <w:spacing w:before="60" w:after="60"/>
              <w:rPr>
                <w:rFonts w:cs="Times New Roman"/>
              </w:rPr>
            </w:pPr>
            <w:r>
              <w:rPr>
                <w:rStyle w:val="charoverride-7"/>
                <w:rFonts w:cs="Times New Roman"/>
              </w:rPr>
              <w:t>2.1</w:t>
            </w:r>
          </w:p>
        </w:tc>
      </w:tr>
      <w:tr w:rsidR="00637066" w14:paraId="371C6375" w14:textId="77777777" w:rsidTr="00637066">
        <w:tc>
          <w:tcPr>
            <w:tcW w:w="0" w:type="auto"/>
            <w:vAlign w:val="center"/>
            <w:hideMark/>
          </w:tcPr>
          <w:p w14:paraId="050ADCC3" w14:textId="77777777" w:rsidR="00895CD2" w:rsidRDefault="00AD26F3" w:rsidP="00637066">
            <w:pPr>
              <w:pStyle w:val="2body-copy"/>
              <w:spacing w:before="60" w:after="60"/>
              <w:rPr>
                <w:rFonts w:cs="Times New Roman"/>
              </w:rPr>
            </w:pPr>
            <w:r>
              <w:rPr>
                <w:rStyle w:val="charoverride-7"/>
                <w:rFonts w:cs="Times New Roman"/>
              </w:rPr>
              <w:t>MO4</w:t>
            </w:r>
          </w:p>
        </w:tc>
        <w:tc>
          <w:tcPr>
            <w:tcW w:w="0" w:type="auto"/>
            <w:vAlign w:val="center"/>
            <w:hideMark/>
          </w:tcPr>
          <w:p w14:paraId="0CC3D001" w14:textId="77777777" w:rsidR="00895CD2" w:rsidRDefault="00895CD2" w:rsidP="00637066">
            <w:pPr>
              <w:spacing w:before="60" w:after="60"/>
              <w:rPr>
                <w:rFonts w:ascii="Times" w:eastAsia="Times New Roman" w:hAnsi="Times" w:cs="Times New Roman"/>
              </w:rPr>
            </w:pPr>
          </w:p>
        </w:tc>
        <w:tc>
          <w:tcPr>
            <w:tcW w:w="0" w:type="auto"/>
            <w:vAlign w:val="center"/>
            <w:hideMark/>
          </w:tcPr>
          <w:p w14:paraId="4F0F5B74" w14:textId="77777777" w:rsidR="00895CD2" w:rsidRDefault="00895CD2" w:rsidP="00637066">
            <w:pPr>
              <w:spacing w:before="60" w:after="60"/>
              <w:rPr>
                <w:rFonts w:ascii="Times" w:eastAsia="Times New Roman" w:hAnsi="Times" w:cs="Times New Roman"/>
              </w:rPr>
            </w:pPr>
          </w:p>
        </w:tc>
        <w:tc>
          <w:tcPr>
            <w:tcW w:w="0" w:type="auto"/>
            <w:vAlign w:val="center"/>
            <w:hideMark/>
          </w:tcPr>
          <w:p w14:paraId="1B34479C" w14:textId="77777777" w:rsidR="00895CD2" w:rsidRDefault="00895CD2" w:rsidP="00637066">
            <w:pPr>
              <w:spacing w:before="60" w:after="60"/>
              <w:rPr>
                <w:rFonts w:ascii="Times" w:eastAsia="Times New Roman" w:hAnsi="Times" w:cs="Times New Roman"/>
              </w:rPr>
            </w:pPr>
          </w:p>
        </w:tc>
        <w:tc>
          <w:tcPr>
            <w:tcW w:w="0" w:type="auto"/>
            <w:vAlign w:val="center"/>
            <w:hideMark/>
          </w:tcPr>
          <w:p w14:paraId="3FABF6AD" w14:textId="77777777" w:rsidR="00895CD2" w:rsidRDefault="00895CD2" w:rsidP="00637066">
            <w:pPr>
              <w:spacing w:before="60" w:after="60"/>
              <w:rPr>
                <w:rFonts w:ascii="Times" w:eastAsia="Times New Roman" w:hAnsi="Times" w:cs="Times New Roman"/>
              </w:rPr>
            </w:pPr>
          </w:p>
        </w:tc>
        <w:tc>
          <w:tcPr>
            <w:tcW w:w="0" w:type="auto"/>
            <w:vAlign w:val="center"/>
            <w:hideMark/>
          </w:tcPr>
          <w:p w14:paraId="43231DDE" w14:textId="77777777" w:rsidR="00895CD2" w:rsidRDefault="00895CD2" w:rsidP="00637066">
            <w:pPr>
              <w:spacing w:before="60" w:after="60"/>
              <w:rPr>
                <w:rFonts w:ascii="Times" w:eastAsia="Times New Roman" w:hAnsi="Times" w:cs="Times New Roman"/>
              </w:rPr>
            </w:pPr>
          </w:p>
        </w:tc>
        <w:tc>
          <w:tcPr>
            <w:tcW w:w="0" w:type="auto"/>
            <w:vAlign w:val="center"/>
            <w:hideMark/>
          </w:tcPr>
          <w:p w14:paraId="353DB161" w14:textId="77777777" w:rsidR="00895CD2" w:rsidRDefault="00895CD2" w:rsidP="00637066">
            <w:pPr>
              <w:spacing w:before="60" w:after="60"/>
              <w:rPr>
                <w:rFonts w:ascii="Times" w:eastAsia="Times New Roman" w:hAnsi="Times" w:cs="Times New Roman"/>
              </w:rPr>
            </w:pPr>
          </w:p>
        </w:tc>
        <w:tc>
          <w:tcPr>
            <w:tcW w:w="0" w:type="auto"/>
            <w:vAlign w:val="center"/>
            <w:hideMark/>
          </w:tcPr>
          <w:p w14:paraId="1ACAA703" w14:textId="77777777" w:rsidR="00895CD2" w:rsidRDefault="00895CD2" w:rsidP="00637066">
            <w:pPr>
              <w:spacing w:before="60" w:after="60"/>
              <w:rPr>
                <w:rFonts w:ascii="Times" w:eastAsia="Times New Roman" w:hAnsi="Times" w:cs="Times New Roman"/>
              </w:rPr>
            </w:pPr>
          </w:p>
        </w:tc>
        <w:tc>
          <w:tcPr>
            <w:tcW w:w="0" w:type="auto"/>
            <w:vAlign w:val="center"/>
            <w:hideMark/>
          </w:tcPr>
          <w:p w14:paraId="6B75F095" w14:textId="77777777" w:rsidR="00895CD2" w:rsidRDefault="00AD26F3" w:rsidP="00637066">
            <w:pPr>
              <w:pStyle w:val="2body-copy"/>
              <w:spacing w:before="60" w:after="60"/>
              <w:rPr>
                <w:rFonts w:cs="Times New Roman"/>
              </w:rPr>
            </w:pPr>
            <w:r>
              <w:rPr>
                <w:rStyle w:val="charoverride-7"/>
                <w:rFonts w:cs="Times New Roman"/>
              </w:rPr>
              <w:t>0.2</w:t>
            </w:r>
          </w:p>
        </w:tc>
        <w:tc>
          <w:tcPr>
            <w:tcW w:w="0" w:type="auto"/>
            <w:vAlign w:val="center"/>
            <w:hideMark/>
          </w:tcPr>
          <w:p w14:paraId="269B83CF" w14:textId="77777777" w:rsidR="00895CD2" w:rsidRDefault="00AD26F3" w:rsidP="00637066">
            <w:pPr>
              <w:pStyle w:val="2body-copy"/>
              <w:spacing w:before="60" w:after="60"/>
              <w:rPr>
                <w:rFonts w:cs="Times New Roman"/>
              </w:rPr>
            </w:pPr>
            <w:r>
              <w:rPr>
                <w:rStyle w:val="charoverride-7"/>
                <w:rFonts w:cs="Times New Roman"/>
              </w:rPr>
              <w:t>0.2</w:t>
            </w:r>
          </w:p>
        </w:tc>
      </w:tr>
      <w:tr w:rsidR="00637066" w14:paraId="6AEA117C" w14:textId="77777777" w:rsidTr="00637066">
        <w:tc>
          <w:tcPr>
            <w:tcW w:w="0" w:type="auto"/>
            <w:vAlign w:val="center"/>
            <w:hideMark/>
          </w:tcPr>
          <w:p w14:paraId="57204F60" w14:textId="77777777" w:rsidR="00895CD2" w:rsidRDefault="00AD26F3" w:rsidP="00637066">
            <w:pPr>
              <w:pStyle w:val="2body-copy"/>
              <w:spacing w:before="60" w:after="60"/>
              <w:rPr>
                <w:rFonts w:cs="Times New Roman"/>
              </w:rPr>
            </w:pPr>
            <w:r>
              <w:rPr>
                <w:rStyle w:val="charoverride-7"/>
                <w:rFonts w:cs="Times New Roman"/>
              </w:rPr>
              <w:t>EL 2</w:t>
            </w:r>
          </w:p>
        </w:tc>
        <w:tc>
          <w:tcPr>
            <w:tcW w:w="0" w:type="auto"/>
            <w:vAlign w:val="center"/>
            <w:hideMark/>
          </w:tcPr>
          <w:p w14:paraId="0D9207D8" w14:textId="77777777" w:rsidR="00895CD2" w:rsidRDefault="00AD26F3" w:rsidP="00637066">
            <w:pPr>
              <w:pStyle w:val="2body-copy"/>
              <w:spacing w:before="60" w:after="60"/>
              <w:rPr>
                <w:rFonts w:cs="Times New Roman"/>
              </w:rPr>
            </w:pPr>
            <w:r>
              <w:rPr>
                <w:rStyle w:val="charoverride-7"/>
                <w:rFonts w:cs="Times New Roman"/>
              </w:rPr>
              <w:t>5</w:t>
            </w:r>
          </w:p>
        </w:tc>
        <w:tc>
          <w:tcPr>
            <w:tcW w:w="0" w:type="auto"/>
            <w:vAlign w:val="center"/>
            <w:hideMark/>
          </w:tcPr>
          <w:p w14:paraId="3643A783" w14:textId="77777777" w:rsidR="00895CD2" w:rsidRDefault="00AD26F3" w:rsidP="00637066">
            <w:pPr>
              <w:pStyle w:val="2body-copy"/>
              <w:spacing w:before="60" w:after="60"/>
              <w:rPr>
                <w:rFonts w:cs="Times New Roman"/>
              </w:rPr>
            </w:pPr>
            <w:r>
              <w:rPr>
                <w:rStyle w:val="charoverride-7"/>
                <w:rFonts w:cs="Times New Roman"/>
              </w:rPr>
              <w:t>0.8</w:t>
            </w:r>
          </w:p>
        </w:tc>
        <w:tc>
          <w:tcPr>
            <w:tcW w:w="0" w:type="auto"/>
            <w:vAlign w:val="center"/>
            <w:hideMark/>
          </w:tcPr>
          <w:p w14:paraId="5C7E0F59" w14:textId="77777777" w:rsidR="00895CD2" w:rsidRDefault="00AD26F3" w:rsidP="00637066">
            <w:pPr>
              <w:pStyle w:val="2body-copy"/>
              <w:spacing w:before="60" w:after="60"/>
              <w:rPr>
                <w:rFonts w:cs="Times New Roman"/>
              </w:rPr>
            </w:pPr>
            <w:r>
              <w:rPr>
                <w:rStyle w:val="charoverride-7"/>
                <w:rFonts w:cs="Times New Roman"/>
              </w:rPr>
              <w:t>2</w:t>
            </w:r>
          </w:p>
        </w:tc>
        <w:tc>
          <w:tcPr>
            <w:tcW w:w="0" w:type="auto"/>
            <w:vAlign w:val="center"/>
            <w:hideMark/>
          </w:tcPr>
          <w:p w14:paraId="6B1FC376" w14:textId="77777777" w:rsidR="00895CD2" w:rsidRDefault="00895CD2" w:rsidP="00637066">
            <w:pPr>
              <w:spacing w:before="60" w:after="60"/>
              <w:rPr>
                <w:rFonts w:ascii="Times" w:eastAsia="Times New Roman" w:hAnsi="Times" w:cs="Times New Roman"/>
              </w:rPr>
            </w:pPr>
          </w:p>
        </w:tc>
        <w:tc>
          <w:tcPr>
            <w:tcW w:w="0" w:type="auto"/>
            <w:vAlign w:val="center"/>
            <w:hideMark/>
          </w:tcPr>
          <w:p w14:paraId="3C9A88EB" w14:textId="77777777" w:rsidR="00895CD2" w:rsidRDefault="00AD26F3" w:rsidP="00637066">
            <w:pPr>
              <w:pStyle w:val="2body-copy"/>
              <w:spacing w:before="60" w:after="60"/>
              <w:rPr>
                <w:rFonts w:cs="Times New Roman"/>
              </w:rPr>
            </w:pPr>
            <w:r>
              <w:rPr>
                <w:rStyle w:val="charoverride-7"/>
                <w:rFonts w:cs="Times New Roman"/>
              </w:rPr>
              <w:t>5</w:t>
            </w:r>
          </w:p>
        </w:tc>
        <w:tc>
          <w:tcPr>
            <w:tcW w:w="0" w:type="auto"/>
            <w:vAlign w:val="center"/>
            <w:hideMark/>
          </w:tcPr>
          <w:p w14:paraId="0F836D60" w14:textId="77777777" w:rsidR="00895CD2" w:rsidRDefault="00895CD2" w:rsidP="00637066">
            <w:pPr>
              <w:spacing w:before="60" w:after="60"/>
              <w:rPr>
                <w:rFonts w:ascii="Times" w:eastAsia="Times New Roman" w:hAnsi="Times" w:cs="Times New Roman"/>
              </w:rPr>
            </w:pPr>
          </w:p>
        </w:tc>
        <w:tc>
          <w:tcPr>
            <w:tcW w:w="0" w:type="auto"/>
            <w:vAlign w:val="center"/>
            <w:hideMark/>
          </w:tcPr>
          <w:p w14:paraId="4007B2B9" w14:textId="77777777" w:rsidR="00895CD2" w:rsidRDefault="00AD26F3" w:rsidP="00637066">
            <w:pPr>
              <w:pStyle w:val="2body-copy"/>
              <w:spacing w:before="60" w:after="60"/>
              <w:rPr>
                <w:rFonts w:cs="Times New Roman"/>
              </w:rPr>
            </w:pPr>
            <w:r>
              <w:rPr>
                <w:rStyle w:val="charoverride-7"/>
                <w:rFonts w:cs="Times New Roman"/>
              </w:rPr>
              <w:t>3</w:t>
            </w:r>
          </w:p>
        </w:tc>
        <w:tc>
          <w:tcPr>
            <w:tcW w:w="0" w:type="auto"/>
            <w:vAlign w:val="center"/>
            <w:hideMark/>
          </w:tcPr>
          <w:p w14:paraId="02603B8D" w14:textId="77777777" w:rsidR="00895CD2" w:rsidRDefault="00895CD2" w:rsidP="00637066">
            <w:pPr>
              <w:spacing w:before="60" w:after="60"/>
              <w:rPr>
                <w:rFonts w:ascii="Times" w:eastAsia="Times New Roman" w:hAnsi="Times" w:cs="Times New Roman"/>
              </w:rPr>
            </w:pPr>
          </w:p>
        </w:tc>
        <w:tc>
          <w:tcPr>
            <w:tcW w:w="0" w:type="auto"/>
            <w:vAlign w:val="center"/>
            <w:hideMark/>
          </w:tcPr>
          <w:p w14:paraId="40D9499E" w14:textId="77777777" w:rsidR="00895CD2" w:rsidRDefault="00AD26F3" w:rsidP="00637066">
            <w:pPr>
              <w:pStyle w:val="2body-copy"/>
              <w:spacing w:before="60" w:after="60"/>
              <w:rPr>
                <w:rFonts w:cs="Times New Roman"/>
              </w:rPr>
            </w:pPr>
            <w:r>
              <w:rPr>
                <w:rStyle w:val="charoverride-7"/>
                <w:rFonts w:cs="Times New Roman"/>
              </w:rPr>
              <w:t>15.8</w:t>
            </w:r>
          </w:p>
        </w:tc>
      </w:tr>
      <w:tr w:rsidR="00637066" w14:paraId="0CE294D1" w14:textId="77777777" w:rsidTr="00637066">
        <w:tc>
          <w:tcPr>
            <w:tcW w:w="0" w:type="auto"/>
            <w:vAlign w:val="center"/>
            <w:hideMark/>
          </w:tcPr>
          <w:p w14:paraId="30AD9FC9" w14:textId="77777777" w:rsidR="00895CD2" w:rsidRDefault="00AD26F3" w:rsidP="00637066">
            <w:pPr>
              <w:pStyle w:val="2body-copy"/>
              <w:spacing w:before="60" w:after="60"/>
              <w:rPr>
                <w:rFonts w:cs="Times New Roman"/>
              </w:rPr>
            </w:pPr>
            <w:r>
              <w:rPr>
                <w:rStyle w:val="charoverride-7"/>
                <w:rFonts w:cs="Times New Roman"/>
              </w:rPr>
              <w:t>EL 1</w:t>
            </w:r>
          </w:p>
        </w:tc>
        <w:tc>
          <w:tcPr>
            <w:tcW w:w="0" w:type="auto"/>
            <w:vAlign w:val="center"/>
            <w:hideMark/>
          </w:tcPr>
          <w:p w14:paraId="0FD79E7D" w14:textId="77777777" w:rsidR="00895CD2" w:rsidRDefault="00AD26F3" w:rsidP="00637066">
            <w:pPr>
              <w:pStyle w:val="2body-copy"/>
              <w:spacing w:before="60" w:after="60"/>
              <w:rPr>
                <w:rFonts w:cs="Times New Roman"/>
              </w:rPr>
            </w:pPr>
            <w:r>
              <w:rPr>
                <w:rStyle w:val="charoverride-7"/>
                <w:rFonts w:cs="Times New Roman"/>
              </w:rPr>
              <w:t>11</w:t>
            </w:r>
          </w:p>
        </w:tc>
        <w:tc>
          <w:tcPr>
            <w:tcW w:w="0" w:type="auto"/>
            <w:vAlign w:val="center"/>
            <w:hideMark/>
          </w:tcPr>
          <w:p w14:paraId="5DE7EB4A" w14:textId="77777777" w:rsidR="00895CD2" w:rsidRDefault="00AD26F3" w:rsidP="00637066">
            <w:pPr>
              <w:pStyle w:val="2body-copy"/>
              <w:spacing w:before="60" w:after="60"/>
              <w:rPr>
                <w:rFonts w:cs="Times New Roman"/>
              </w:rPr>
            </w:pPr>
            <w:r>
              <w:rPr>
                <w:rStyle w:val="charoverride-7"/>
                <w:rFonts w:cs="Times New Roman"/>
              </w:rPr>
              <w:t>4.3</w:t>
            </w:r>
          </w:p>
        </w:tc>
        <w:tc>
          <w:tcPr>
            <w:tcW w:w="0" w:type="auto"/>
            <w:vAlign w:val="center"/>
            <w:hideMark/>
          </w:tcPr>
          <w:p w14:paraId="253A5378" w14:textId="77777777" w:rsidR="00895CD2" w:rsidRDefault="00AD26F3" w:rsidP="00637066">
            <w:pPr>
              <w:pStyle w:val="2body-copy"/>
              <w:spacing w:before="60" w:after="60"/>
              <w:rPr>
                <w:rFonts w:cs="Times New Roman"/>
              </w:rPr>
            </w:pPr>
            <w:r>
              <w:rPr>
                <w:rStyle w:val="charoverride-7"/>
                <w:rFonts w:cs="Times New Roman"/>
              </w:rPr>
              <w:t>3</w:t>
            </w:r>
          </w:p>
        </w:tc>
        <w:tc>
          <w:tcPr>
            <w:tcW w:w="0" w:type="auto"/>
            <w:vAlign w:val="center"/>
            <w:hideMark/>
          </w:tcPr>
          <w:p w14:paraId="49A0F76A" w14:textId="77777777" w:rsidR="00895CD2" w:rsidRDefault="00AD26F3" w:rsidP="00637066">
            <w:pPr>
              <w:pStyle w:val="2body-copy"/>
              <w:spacing w:before="60" w:after="60"/>
              <w:rPr>
                <w:rFonts w:cs="Times New Roman"/>
              </w:rPr>
            </w:pPr>
            <w:r>
              <w:rPr>
                <w:rStyle w:val="charoverride-7"/>
                <w:rFonts w:cs="Times New Roman"/>
              </w:rPr>
              <w:t>3.5</w:t>
            </w:r>
          </w:p>
        </w:tc>
        <w:tc>
          <w:tcPr>
            <w:tcW w:w="0" w:type="auto"/>
            <w:vAlign w:val="center"/>
            <w:hideMark/>
          </w:tcPr>
          <w:p w14:paraId="3F4068A9" w14:textId="77777777" w:rsidR="00895CD2" w:rsidRDefault="00AD26F3" w:rsidP="00637066">
            <w:pPr>
              <w:pStyle w:val="2body-copy"/>
              <w:spacing w:before="60" w:after="60"/>
              <w:rPr>
                <w:rFonts w:cs="Times New Roman"/>
              </w:rPr>
            </w:pPr>
            <w:r>
              <w:rPr>
                <w:rStyle w:val="charoverride-7"/>
                <w:rFonts w:cs="Times New Roman"/>
              </w:rPr>
              <w:t>1</w:t>
            </w:r>
          </w:p>
        </w:tc>
        <w:tc>
          <w:tcPr>
            <w:tcW w:w="0" w:type="auto"/>
            <w:vAlign w:val="center"/>
            <w:hideMark/>
          </w:tcPr>
          <w:p w14:paraId="24FBFC5B" w14:textId="77777777" w:rsidR="00895CD2" w:rsidRDefault="00AD26F3" w:rsidP="00637066">
            <w:pPr>
              <w:pStyle w:val="2body-copy"/>
              <w:spacing w:before="60" w:after="60"/>
              <w:rPr>
                <w:rFonts w:cs="Times New Roman"/>
              </w:rPr>
            </w:pPr>
            <w:r>
              <w:rPr>
                <w:rStyle w:val="charoverride-7"/>
                <w:rFonts w:cs="Times New Roman"/>
              </w:rPr>
              <w:t>0.6</w:t>
            </w:r>
          </w:p>
        </w:tc>
        <w:tc>
          <w:tcPr>
            <w:tcW w:w="0" w:type="auto"/>
            <w:vAlign w:val="center"/>
            <w:hideMark/>
          </w:tcPr>
          <w:p w14:paraId="720CE42E" w14:textId="77777777" w:rsidR="00895CD2" w:rsidRDefault="00AD26F3" w:rsidP="00637066">
            <w:pPr>
              <w:pStyle w:val="2body-copy"/>
              <w:spacing w:before="60" w:after="60"/>
              <w:rPr>
                <w:rFonts w:cs="Times New Roman"/>
              </w:rPr>
            </w:pPr>
            <w:r>
              <w:rPr>
                <w:rStyle w:val="charoverride-7"/>
                <w:rFonts w:cs="Times New Roman"/>
              </w:rPr>
              <w:t>1</w:t>
            </w:r>
          </w:p>
        </w:tc>
        <w:tc>
          <w:tcPr>
            <w:tcW w:w="0" w:type="auto"/>
            <w:vAlign w:val="center"/>
            <w:hideMark/>
          </w:tcPr>
          <w:p w14:paraId="739AB098" w14:textId="77777777" w:rsidR="00895CD2" w:rsidRDefault="00895CD2" w:rsidP="00637066">
            <w:pPr>
              <w:spacing w:before="60" w:after="60"/>
              <w:rPr>
                <w:rFonts w:ascii="Times" w:eastAsia="Times New Roman" w:hAnsi="Times" w:cs="Times New Roman"/>
              </w:rPr>
            </w:pPr>
          </w:p>
        </w:tc>
        <w:tc>
          <w:tcPr>
            <w:tcW w:w="0" w:type="auto"/>
            <w:vAlign w:val="center"/>
            <w:hideMark/>
          </w:tcPr>
          <w:p w14:paraId="1075A90A" w14:textId="77777777" w:rsidR="00895CD2" w:rsidRDefault="00AD26F3" w:rsidP="00637066">
            <w:pPr>
              <w:pStyle w:val="2body-copy"/>
              <w:spacing w:before="60" w:after="60"/>
              <w:rPr>
                <w:rFonts w:cs="Times New Roman"/>
              </w:rPr>
            </w:pPr>
            <w:r>
              <w:rPr>
                <w:rStyle w:val="charoverride-7"/>
                <w:rFonts w:cs="Times New Roman"/>
              </w:rPr>
              <w:t>24.4</w:t>
            </w:r>
          </w:p>
        </w:tc>
      </w:tr>
      <w:tr w:rsidR="00637066" w14:paraId="11C30F3D" w14:textId="77777777" w:rsidTr="00637066">
        <w:tc>
          <w:tcPr>
            <w:tcW w:w="0" w:type="auto"/>
            <w:vAlign w:val="center"/>
            <w:hideMark/>
          </w:tcPr>
          <w:p w14:paraId="6B73C188" w14:textId="77777777" w:rsidR="00895CD2" w:rsidRDefault="00AD26F3" w:rsidP="00637066">
            <w:pPr>
              <w:pStyle w:val="2body-copy"/>
              <w:spacing w:before="60" w:after="60"/>
              <w:rPr>
                <w:rFonts w:cs="Times New Roman"/>
              </w:rPr>
            </w:pPr>
            <w:r>
              <w:rPr>
                <w:rStyle w:val="charoverride-7"/>
                <w:rFonts w:cs="Times New Roman"/>
              </w:rPr>
              <w:t>APS 6</w:t>
            </w:r>
          </w:p>
        </w:tc>
        <w:tc>
          <w:tcPr>
            <w:tcW w:w="0" w:type="auto"/>
            <w:vAlign w:val="center"/>
            <w:hideMark/>
          </w:tcPr>
          <w:p w14:paraId="52D473AB" w14:textId="77777777" w:rsidR="00895CD2" w:rsidRDefault="00AD26F3" w:rsidP="00637066">
            <w:pPr>
              <w:pStyle w:val="2body-copy"/>
              <w:spacing w:before="60" w:after="60"/>
              <w:rPr>
                <w:rFonts w:cs="Times New Roman"/>
              </w:rPr>
            </w:pPr>
            <w:r>
              <w:rPr>
                <w:rStyle w:val="charoverride-7"/>
                <w:rFonts w:cs="Times New Roman"/>
              </w:rPr>
              <w:t>7</w:t>
            </w:r>
          </w:p>
        </w:tc>
        <w:tc>
          <w:tcPr>
            <w:tcW w:w="0" w:type="auto"/>
            <w:vAlign w:val="center"/>
            <w:hideMark/>
          </w:tcPr>
          <w:p w14:paraId="3B664B4D" w14:textId="77777777" w:rsidR="00895CD2" w:rsidRDefault="00AD26F3" w:rsidP="00637066">
            <w:pPr>
              <w:pStyle w:val="2body-copy"/>
              <w:spacing w:before="60" w:after="60"/>
              <w:rPr>
                <w:rFonts w:cs="Times New Roman"/>
              </w:rPr>
            </w:pPr>
            <w:r>
              <w:rPr>
                <w:rStyle w:val="charoverride-7"/>
                <w:rFonts w:cs="Times New Roman"/>
              </w:rPr>
              <w:t>1.5</w:t>
            </w:r>
          </w:p>
        </w:tc>
        <w:tc>
          <w:tcPr>
            <w:tcW w:w="0" w:type="auto"/>
            <w:vAlign w:val="center"/>
            <w:hideMark/>
          </w:tcPr>
          <w:p w14:paraId="5E639D31" w14:textId="77777777" w:rsidR="00895CD2" w:rsidRDefault="00AD26F3" w:rsidP="00637066">
            <w:pPr>
              <w:pStyle w:val="2body-copy"/>
              <w:spacing w:before="60" w:after="60"/>
              <w:rPr>
                <w:rFonts w:cs="Times New Roman"/>
              </w:rPr>
            </w:pPr>
            <w:r>
              <w:rPr>
                <w:rStyle w:val="charoverride-7"/>
                <w:rFonts w:cs="Times New Roman"/>
              </w:rPr>
              <w:t>4</w:t>
            </w:r>
          </w:p>
        </w:tc>
        <w:tc>
          <w:tcPr>
            <w:tcW w:w="0" w:type="auto"/>
            <w:vAlign w:val="center"/>
            <w:hideMark/>
          </w:tcPr>
          <w:p w14:paraId="2E9240EF" w14:textId="77777777" w:rsidR="00895CD2" w:rsidRDefault="00895CD2" w:rsidP="00637066">
            <w:pPr>
              <w:spacing w:before="60" w:after="60"/>
              <w:rPr>
                <w:rFonts w:ascii="Times" w:eastAsia="Times New Roman" w:hAnsi="Times" w:cs="Times New Roman"/>
              </w:rPr>
            </w:pPr>
          </w:p>
        </w:tc>
        <w:tc>
          <w:tcPr>
            <w:tcW w:w="0" w:type="auto"/>
            <w:vAlign w:val="center"/>
            <w:hideMark/>
          </w:tcPr>
          <w:p w14:paraId="3BD1EC63" w14:textId="77777777" w:rsidR="00895CD2" w:rsidRDefault="00AD26F3" w:rsidP="00637066">
            <w:pPr>
              <w:pStyle w:val="2body-copy"/>
              <w:spacing w:before="60" w:after="60"/>
              <w:rPr>
                <w:rFonts w:cs="Times New Roman"/>
              </w:rPr>
            </w:pPr>
            <w:r>
              <w:rPr>
                <w:rStyle w:val="charoverride-7"/>
                <w:rFonts w:cs="Times New Roman"/>
              </w:rPr>
              <w:t>1</w:t>
            </w:r>
          </w:p>
        </w:tc>
        <w:tc>
          <w:tcPr>
            <w:tcW w:w="0" w:type="auto"/>
            <w:vAlign w:val="center"/>
            <w:hideMark/>
          </w:tcPr>
          <w:p w14:paraId="7F666A74" w14:textId="77777777" w:rsidR="00895CD2" w:rsidRDefault="00895CD2" w:rsidP="00637066">
            <w:pPr>
              <w:spacing w:before="60" w:after="60"/>
              <w:rPr>
                <w:rFonts w:ascii="Times" w:eastAsia="Times New Roman" w:hAnsi="Times" w:cs="Times New Roman"/>
              </w:rPr>
            </w:pPr>
          </w:p>
        </w:tc>
        <w:tc>
          <w:tcPr>
            <w:tcW w:w="0" w:type="auto"/>
            <w:vAlign w:val="center"/>
            <w:hideMark/>
          </w:tcPr>
          <w:p w14:paraId="170ED1D7" w14:textId="77777777" w:rsidR="00895CD2" w:rsidRDefault="00895CD2" w:rsidP="00637066">
            <w:pPr>
              <w:spacing w:before="60" w:after="60"/>
              <w:rPr>
                <w:rFonts w:ascii="Times" w:eastAsia="Times New Roman" w:hAnsi="Times" w:cs="Times New Roman"/>
              </w:rPr>
            </w:pPr>
          </w:p>
        </w:tc>
        <w:tc>
          <w:tcPr>
            <w:tcW w:w="0" w:type="auto"/>
            <w:vAlign w:val="center"/>
            <w:hideMark/>
          </w:tcPr>
          <w:p w14:paraId="2E94D596" w14:textId="77777777" w:rsidR="00895CD2" w:rsidRDefault="00895CD2" w:rsidP="00637066">
            <w:pPr>
              <w:spacing w:before="60" w:after="60"/>
              <w:rPr>
                <w:rFonts w:ascii="Times" w:eastAsia="Times New Roman" w:hAnsi="Times" w:cs="Times New Roman"/>
              </w:rPr>
            </w:pPr>
          </w:p>
        </w:tc>
        <w:tc>
          <w:tcPr>
            <w:tcW w:w="0" w:type="auto"/>
            <w:vAlign w:val="center"/>
            <w:hideMark/>
          </w:tcPr>
          <w:p w14:paraId="1ED2A2FA" w14:textId="77777777" w:rsidR="00895CD2" w:rsidRDefault="00AD26F3" w:rsidP="00637066">
            <w:pPr>
              <w:pStyle w:val="2body-copy"/>
              <w:spacing w:before="60" w:after="60"/>
              <w:rPr>
                <w:rFonts w:cs="Times New Roman"/>
              </w:rPr>
            </w:pPr>
            <w:r>
              <w:rPr>
                <w:rStyle w:val="charoverride-7"/>
                <w:rFonts w:cs="Times New Roman"/>
              </w:rPr>
              <w:t>13.5</w:t>
            </w:r>
          </w:p>
        </w:tc>
      </w:tr>
      <w:tr w:rsidR="00637066" w14:paraId="18B8960D" w14:textId="77777777" w:rsidTr="00637066">
        <w:tc>
          <w:tcPr>
            <w:tcW w:w="0" w:type="auto"/>
            <w:vAlign w:val="center"/>
            <w:hideMark/>
          </w:tcPr>
          <w:p w14:paraId="032C5667" w14:textId="77777777" w:rsidR="00895CD2" w:rsidRDefault="00AD26F3" w:rsidP="00637066">
            <w:pPr>
              <w:pStyle w:val="2body-copy"/>
              <w:spacing w:before="60" w:after="60"/>
              <w:rPr>
                <w:rFonts w:cs="Times New Roman"/>
              </w:rPr>
            </w:pPr>
            <w:r>
              <w:rPr>
                <w:rStyle w:val="charoverride-7"/>
                <w:rFonts w:cs="Times New Roman"/>
              </w:rPr>
              <w:t>APS 5</w:t>
            </w:r>
          </w:p>
        </w:tc>
        <w:tc>
          <w:tcPr>
            <w:tcW w:w="0" w:type="auto"/>
            <w:vAlign w:val="center"/>
            <w:hideMark/>
          </w:tcPr>
          <w:p w14:paraId="56FB6C95" w14:textId="77777777" w:rsidR="00895CD2" w:rsidRDefault="00AD26F3" w:rsidP="00637066">
            <w:pPr>
              <w:pStyle w:val="2body-copy"/>
              <w:spacing w:before="60" w:after="60"/>
              <w:rPr>
                <w:rFonts w:cs="Times New Roman"/>
              </w:rPr>
            </w:pPr>
            <w:r>
              <w:rPr>
                <w:rStyle w:val="charoverride-7"/>
                <w:rFonts w:cs="Times New Roman"/>
              </w:rPr>
              <w:t>2</w:t>
            </w:r>
          </w:p>
        </w:tc>
        <w:tc>
          <w:tcPr>
            <w:tcW w:w="0" w:type="auto"/>
            <w:vAlign w:val="center"/>
            <w:hideMark/>
          </w:tcPr>
          <w:p w14:paraId="06816EB2" w14:textId="77777777" w:rsidR="00895CD2" w:rsidRDefault="00895CD2" w:rsidP="00637066">
            <w:pPr>
              <w:spacing w:before="60" w:after="60"/>
              <w:rPr>
                <w:rFonts w:ascii="Times" w:eastAsia="Times New Roman" w:hAnsi="Times" w:cs="Times New Roman"/>
              </w:rPr>
            </w:pPr>
          </w:p>
        </w:tc>
        <w:tc>
          <w:tcPr>
            <w:tcW w:w="0" w:type="auto"/>
            <w:vAlign w:val="center"/>
            <w:hideMark/>
          </w:tcPr>
          <w:p w14:paraId="2E804F9F" w14:textId="77777777" w:rsidR="00895CD2" w:rsidRDefault="00AD26F3" w:rsidP="00637066">
            <w:pPr>
              <w:pStyle w:val="2body-copy"/>
              <w:spacing w:before="60" w:after="60"/>
              <w:rPr>
                <w:rFonts w:cs="Times New Roman"/>
              </w:rPr>
            </w:pPr>
            <w:r>
              <w:rPr>
                <w:rStyle w:val="charoverride-7"/>
                <w:rFonts w:cs="Times New Roman"/>
              </w:rPr>
              <w:t>1</w:t>
            </w:r>
          </w:p>
        </w:tc>
        <w:tc>
          <w:tcPr>
            <w:tcW w:w="0" w:type="auto"/>
            <w:vAlign w:val="center"/>
            <w:hideMark/>
          </w:tcPr>
          <w:p w14:paraId="0B7B6001" w14:textId="77777777" w:rsidR="00895CD2" w:rsidRDefault="00895CD2" w:rsidP="00637066">
            <w:pPr>
              <w:spacing w:before="60" w:after="60"/>
              <w:rPr>
                <w:rFonts w:ascii="Times" w:eastAsia="Times New Roman" w:hAnsi="Times" w:cs="Times New Roman"/>
              </w:rPr>
            </w:pPr>
          </w:p>
        </w:tc>
        <w:tc>
          <w:tcPr>
            <w:tcW w:w="0" w:type="auto"/>
            <w:vAlign w:val="center"/>
            <w:hideMark/>
          </w:tcPr>
          <w:p w14:paraId="171EC6A8" w14:textId="77777777" w:rsidR="00895CD2" w:rsidRDefault="00895CD2" w:rsidP="00637066">
            <w:pPr>
              <w:spacing w:before="60" w:after="60"/>
              <w:rPr>
                <w:rFonts w:ascii="Times" w:eastAsia="Times New Roman" w:hAnsi="Times" w:cs="Times New Roman"/>
              </w:rPr>
            </w:pPr>
          </w:p>
        </w:tc>
        <w:tc>
          <w:tcPr>
            <w:tcW w:w="0" w:type="auto"/>
            <w:vAlign w:val="center"/>
            <w:hideMark/>
          </w:tcPr>
          <w:p w14:paraId="12B7C8AA" w14:textId="77777777" w:rsidR="00895CD2" w:rsidRDefault="00895CD2" w:rsidP="00637066">
            <w:pPr>
              <w:spacing w:before="60" w:after="60"/>
              <w:rPr>
                <w:rFonts w:ascii="Times" w:eastAsia="Times New Roman" w:hAnsi="Times" w:cs="Times New Roman"/>
              </w:rPr>
            </w:pPr>
          </w:p>
        </w:tc>
        <w:tc>
          <w:tcPr>
            <w:tcW w:w="0" w:type="auto"/>
            <w:vAlign w:val="center"/>
            <w:hideMark/>
          </w:tcPr>
          <w:p w14:paraId="2F99ECFD" w14:textId="77777777" w:rsidR="00895CD2" w:rsidRDefault="00895CD2" w:rsidP="00637066">
            <w:pPr>
              <w:spacing w:before="60" w:after="60"/>
              <w:rPr>
                <w:rFonts w:ascii="Times" w:eastAsia="Times New Roman" w:hAnsi="Times" w:cs="Times New Roman"/>
              </w:rPr>
            </w:pPr>
          </w:p>
        </w:tc>
        <w:tc>
          <w:tcPr>
            <w:tcW w:w="0" w:type="auto"/>
            <w:vAlign w:val="center"/>
            <w:hideMark/>
          </w:tcPr>
          <w:p w14:paraId="3F256779" w14:textId="77777777" w:rsidR="00895CD2" w:rsidRDefault="00895CD2" w:rsidP="00637066">
            <w:pPr>
              <w:spacing w:before="60" w:after="60"/>
              <w:rPr>
                <w:rFonts w:ascii="Times" w:eastAsia="Times New Roman" w:hAnsi="Times" w:cs="Times New Roman"/>
              </w:rPr>
            </w:pPr>
          </w:p>
        </w:tc>
        <w:tc>
          <w:tcPr>
            <w:tcW w:w="0" w:type="auto"/>
            <w:vAlign w:val="center"/>
            <w:hideMark/>
          </w:tcPr>
          <w:p w14:paraId="18FF6453" w14:textId="77777777" w:rsidR="00895CD2" w:rsidRDefault="00AD26F3" w:rsidP="00637066">
            <w:pPr>
              <w:pStyle w:val="2body-copy"/>
              <w:spacing w:before="60" w:after="60"/>
              <w:rPr>
                <w:rFonts w:cs="Times New Roman"/>
              </w:rPr>
            </w:pPr>
            <w:r>
              <w:rPr>
                <w:rStyle w:val="charoverride-7"/>
                <w:rFonts w:cs="Times New Roman"/>
              </w:rPr>
              <w:t>3</w:t>
            </w:r>
          </w:p>
        </w:tc>
      </w:tr>
      <w:tr w:rsidR="00637066" w14:paraId="4BCB3103" w14:textId="77777777" w:rsidTr="00637066">
        <w:tc>
          <w:tcPr>
            <w:tcW w:w="0" w:type="auto"/>
            <w:vAlign w:val="center"/>
            <w:hideMark/>
          </w:tcPr>
          <w:p w14:paraId="7C6138A7" w14:textId="77777777" w:rsidR="00895CD2" w:rsidRDefault="00AD26F3" w:rsidP="00637066">
            <w:pPr>
              <w:pStyle w:val="2body-copy"/>
              <w:spacing w:before="60" w:after="60"/>
              <w:rPr>
                <w:rFonts w:cs="Times New Roman"/>
              </w:rPr>
            </w:pPr>
            <w:r>
              <w:rPr>
                <w:rStyle w:val="charoverride-7"/>
                <w:rFonts w:cs="Times New Roman"/>
              </w:rPr>
              <w:t>APS 4</w:t>
            </w:r>
          </w:p>
        </w:tc>
        <w:tc>
          <w:tcPr>
            <w:tcW w:w="0" w:type="auto"/>
            <w:vAlign w:val="center"/>
            <w:hideMark/>
          </w:tcPr>
          <w:p w14:paraId="38C746E5" w14:textId="77777777" w:rsidR="00895CD2" w:rsidRDefault="00895CD2" w:rsidP="00637066">
            <w:pPr>
              <w:spacing w:before="60" w:after="60"/>
              <w:rPr>
                <w:rFonts w:ascii="Times" w:eastAsia="Times New Roman" w:hAnsi="Times" w:cs="Times New Roman"/>
              </w:rPr>
            </w:pPr>
          </w:p>
        </w:tc>
        <w:tc>
          <w:tcPr>
            <w:tcW w:w="0" w:type="auto"/>
            <w:vAlign w:val="center"/>
            <w:hideMark/>
          </w:tcPr>
          <w:p w14:paraId="4FF78C24" w14:textId="77777777" w:rsidR="00895CD2" w:rsidRDefault="00895CD2" w:rsidP="00637066">
            <w:pPr>
              <w:spacing w:before="60" w:after="60"/>
              <w:rPr>
                <w:rFonts w:ascii="Times" w:eastAsia="Times New Roman" w:hAnsi="Times" w:cs="Times New Roman"/>
              </w:rPr>
            </w:pPr>
          </w:p>
        </w:tc>
        <w:tc>
          <w:tcPr>
            <w:tcW w:w="0" w:type="auto"/>
            <w:vAlign w:val="center"/>
            <w:hideMark/>
          </w:tcPr>
          <w:p w14:paraId="66C82FD2" w14:textId="77777777" w:rsidR="00895CD2" w:rsidRDefault="00895CD2" w:rsidP="00637066">
            <w:pPr>
              <w:spacing w:before="60" w:after="60"/>
              <w:rPr>
                <w:rFonts w:ascii="Times" w:eastAsia="Times New Roman" w:hAnsi="Times" w:cs="Times New Roman"/>
              </w:rPr>
            </w:pPr>
          </w:p>
        </w:tc>
        <w:tc>
          <w:tcPr>
            <w:tcW w:w="0" w:type="auto"/>
            <w:vAlign w:val="center"/>
            <w:hideMark/>
          </w:tcPr>
          <w:p w14:paraId="28DF76F6" w14:textId="77777777" w:rsidR="00895CD2" w:rsidRDefault="00895CD2" w:rsidP="00637066">
            <w:pPr>
              <w:spacing w:before="60" w:after="60"/>
              <w:rPr>
                <w:rFonts w:ascii="Times" w:eastAsia="Times New Roman" w:hAnsi="Times" w:cs="Times New Roman"/>
              </w:rPr>
            </w:pPr>
          </w:p>
        </w:tc>
        <w:tc>
          <w:tcPr>
            <w:tcW w:w="0" w:type="auto"/>
            <w:vAlign w:val="center"/>
            <w:hideMark/>
          </w:tcPr>
          <w:p w14:paraId="1FE395E2" w14:textId="77777777" w:rsidR="00895CD2" w:rsidRDefault="00895CD2" w:rsidP="00637066">
            <w:pPr>
              <w:spacing w:before="60" w:after="60"/>
              <w:rPr>
                <w:rFonts w:ascii="Times" w:eastAsia="Times New Roman" w:hAnsi="Times" w:cs="Times New Roman"/>
              </w:rPr>
            </w:pPr>
          </w:p>
        </w:tc>
        <w:tc>
          <w:tcPr>
            <w:tcW w:w="0" w:type="auto"/>
            <w:vAlign w:val="center"/>
            <w:hideMark/>
          </w:tcPr>
          <w:p w14:paraId="78F9C2C2" w14:textId="77777777" w:rsidR="00895CD2" w:rsidRDefault="00895CD2" w:rsidP="00637066">
            <w:pPr>
              <w:spacing w:before="60" w:after="60"/>
              <w:rPr>
                <w:rFonts w:ascii="Times" w:eastAsia="Times New Roman" w:hAnsi="Times" w:cs="Times New Roman"/>
              </w:rPr>
            </w:pPr>
          </w:p>
        </w:tc>
        <w:tc>
          <w:tcPr>
            <w:tcW w:w="0" w:type="auto"/>
            <w:vAlign w:val="center"/>
            <w:hideMark/>
          </w:tcPr>
          <w:p w14:paraId="20B18D81" w14:textId="77777777" w:rsidR="00895CD2" w:rsidRDefault="00AD26F3" w:rsidP="00637066">
            <w:pPr>
              <w:pStyle w:val="2body-copy"/>
              <w:spacing w:before="60" w:after="60"/>
              <w:rPr>
                <w:rFonts w:cs="Times New Roman"/>
              </w:rPr>
            </w:pPr>
            <w:r>
              <w:rPr>
                <w:rStyle w:val="charoverride-7"/>
                <w:rFonts w:cs="Times New Roman"/>
              </w:rPr>
              <w:t>1</w:t>
            </w:r>
          </w:p>
        </w:tc>
        <w:tc>
          <w:tcPr>
            <w:tcW w:w="0" w:type="auto"/>
            <w:vAlign w:val="center"/>
            <w:hideMark/>
          </w:tcPr>
          <w:p w14:paraId="568E5F9C" w14:textId="77777777" w:rsidR="00895CD2" w:rsidRDefault="00895CD2" w:rsidP="00637066">
            <w:pPr>
              <w:spacing w:before="60" w:after="60"/>
              <w:rPr>
                <w:rFonts w:ascii="Times" w:eastAsia="Times New Roman" w:hAnsi="Times" w:cs="Times New Roman"/>
              </w:rPr>
            </w:pPr>
          </w:p>
        </w:tc>
        <w:tc>
          <w:tcPr>
            <w:tcW w:w="0" w:type="auto"/>
            <w:vAlign w:val="center"/>
            <w:hideMark/>
          </w:tcPr>
          <w:p w14:paraId="2EF6C408" w14:textId="77777777" w:rsidR="00895CD2" w:rsidRDefault="00AD26F3" w:rsidP="00637066">
            <w:pPr>
              <w:pStyle w:val="2body-copy"/>
              <w:spacing w:before="60" w:after="60"/>
              <w:rPr>
                <w:rFonts w:cs="Times New Roman"/>
              </w:rPr>
            </w:pPr>
            <w:r>
              <w:rPr>
                <w:rStyle w:val="charoverride-7"/>
                <w:rFonts w:cs="Times New Roman"/>
              </w:rPr>
              <w:t>1</w:t>
            </w:r>
          </w:p>
        </w:tc>
      </w:tr>
      <w:tr w:rsidR="00637066" w14:paraId="5CC9912D" w14:textId="77777777" w:rsidTr="00637066">
        <w:tc>
          <w:tcPr>
            <w:tcW w:w="0" w:type="auto"/>
            <w:vAlign w:val="center"/>
            <w:hideMark/>
          </w:tcPr>
          <w:p w14:paraId="4D240C37" w14:textId="77777777" w:rsidR="00895CD2" w:rsidRDefault="00AD26F3" w:rsidP="00637066">
            <w:pPr>
              <w:pStyle w:val="2body-copy"/>
              <w:spacing w:before="60" w:after="60"/>
              <w:rPr>
                <w:rFonts w:cs="Times New Roman"/>
              </w:rPr>
            </w:pPr>
            <w:r>
              <w:rPr>
                <w:rStyle w:val="2body-medium"/>
                <w:rFonts w:cs="Times New Roman"/>
              </w:rPr>
              <w:t>Total</w:t>
            </w:r>
          </w:p>
        </w:tc>
        <w:tc>
          <w:tcPr>
            <w:tcW w:w="0" w:type="auto"/>
            <w:vAlign w:val="center"/>
            <w:hideMark/>
          </w:tcPr>
          <w:p w14:paraId="7AF588CC" w14:textId="77777777" w:rsidR="00895CD2" w:rsidRDefault="00AD26F3" w:rsidP="00637066">
            <w:pPr>
              <w:pStyle w:val="2body-copy"/>
              <w:spacing w:before="60" w:after="60"/>
              <w:rPr>
                <w:rFonts w:cs="Times New Roman"/>
              </w:rPr>
            </w:pPr>
            <w:r>
              <w:rPr>
                <w:rStyle w:val="2body-medium"/>
                <w:rFonts w:cs="Times New Roman"/>
              </w:rPr>
              <w:t>26</w:t>
            </w:r>
          </w:p>
        </w:tc>
        <w:tc>
          <w:tcPr>
            <w:tcW w:w="0" w:type="auto"/>
            <w:vAlign w:val="center"/>
            <w:hideMark/>
          </w:tcPr>
          <w:p w14:paraId="388DECC0" w14:textId="77777777" w:rsidR="00895CD2" w:rsidRDefault="00AD26F3" w:rsidP="00637066">
            <w:pPr>
              <w:pStyle w:val="2body-copy"/>
              <w:spacing w:before="60" w:after="60"/>
              <w:rPr>
                <w:rFonts w:cs="Times New Roman"/>
              </w:rPr>
            </w:pPr>
            <w:r>
              <w:rPr>
                <w:rStyle w:val="2body-medium"/>
                <w:rFonts w:cs="Times New Roman"/>
              </w:rPr>
              <w:t>6.6</w:t>
            </w:r>
          </w:p>
        </w:tc>
        <w:tc>
          <w:tcPr>
            <w:tcW w:w="0" w:type="auto"/>
            <w:vAlign w:val="center"/>
            <w:hideMark/>
          </w:tcPr>
          <w:p w14:paraId="37C0584B" w14:textId="77777777" w:rsidR="00895CD2" w:rsidRDefault="00AD26F3" w:rsidP="00637066">
            <w:pPr>
              <w:pStyle w:val="2body-copy"/>
              <w:spacing w:before="60" w:after="60"/>
              <w:rPr>
                <w:rFonts w:cs="Times New Roman"/>
              </w:rPr>
            </w:pPr>
            <w:r>
              <w:rPr>
                <w:rStyle w:val="2body-medium"/>
                <w:rFonts w:cs="Times New Roman"/>
              </w:rPr>
              <w:t>11</w:t>
            </w:r>
          </w:p>
        </w:tc>
        <w:tc>
          <w:tcPr>
            <w:tcW w:w="0" w:type="auto"/>
            <w:vAlign w:val="center"/>
            <w:hideMark/>
          </w:tcPr>
          <w:p w14:paraId="69080737" w14:textId="77777777" w:rsidR="00895CD2" w:rsidRDefault="00AD26F3" w:rsidP="00637066">
            <w:pPr>
              <w:pStyle w:val="2body-copy"/>
              <w:spacing w:before="60" w:after="60"/>
              <w:rPr>
                <w:rFonts w:cs="Times New Roman"/>
              </w:rPr>
            </w:pPr>
            <w:r>
              <w:rPr>
                <w:rStyle w:val="2body-medium"/>
                <w:rFonts w:cs="Times New Roman"/>
              </w:rPr>
              <w:t>3.5</w:t>
            </w:r>
          </w:p>
        </w:tc>
        <w:tc>
          <w:tcPr>
            <w:tcW w:w="0" w:type="auto"/>
            <w:vAlign w:val="center"/>
            <w:hideMark/>
          </w:tcPr>
          <w:p w14:paraId="7409BE3E" w14:textId="77777777" w:rsidR="00895CD2" w:rsidRDefault="00AD26F3" w:rsidP="00637066">
            <w:pPr>
              <w:pStyle w:val="2body-copy"/>
              <w:spacing w:before="60" w:after="60"/>
              <w:rPr>
                <w:rFonts w:cs="Times New Roman"/>
              </w:rPr>
            </w:pPr>
            <w:r>
              <w:rPr>
                <w:rStyle w:val="2body-medium"/>
                <w:rFonts w:cs="Times New Roman"/>
              </w:rPr>
              <w:t>7</w:t>
            </w:r>
          </w:p>
        </w:tc>
        <w:tc>
          <w:tcPr>
            <w:tcW w:w="0" w:type="auto"/>
            <w:vAlign w:val="center"/>
            <w:hideMark/>
          </w:tcPr>
          <w:p w14:paraId="34D434A1" w14:textId="77777777" w:rsidR="00895CD2" w:rsidRDefault="00AD26F3" w:rsidP="00637066">
            <w:pPr>
              <w:pStyle w:val="2body-copy"/>
              <w:spacing w:before="60" w:after="60"/>
              <w:rPr>
                <w:rFonts w:cs="Times New Roman"/>
              </w:rPr>
            </w:pPr>
            <w:r>
              <w:rPr>
                <w:rStyle w:val="2body-medium"/>
                <w:rFonts w:cs="Times New Roman"/>
              </w:rPr>
              <w:t>0.6</w:t>
            </w:r>
          </w:p>
        </w:tc>
        <w:tc>
          <w:tcPr>
            <w:tcW w:w="0" w:type="auto"/>
            <w:vAlign w:val="center"/>
            <w:hideMark/>
          </w:tcPr>
          <w:p w14:paraId="4BF3D1BD" w14:textId="77777777" w:rsidR="00895CD2" w:rsidRDefault="00AD26F3" w:rsidP="00637066">
            <w:pPr>
              <w:pStyle w:val="2body-copy"/>
              <w:spacing w:before="60" w:after="60"/>
              <w:rPr>
                <w:rFonts w:cs="Times New Roman"/>
              </w:rPr>
            </w:pPr>
            <w:r>
              <w:rPr>
                <w:rStyle w:val="2body-medium"/>
                <w:rFonts w:cs="Times New Roman"/>
              </w:rPr>
              <w:t>5</w:t>
            </w:r>
          </w:p>
        </w:tc>
        <w:tc>
          <w:tcPr>
            <w:tcW w:w="0" w:type="auto"/>
            <w:vAlign w:val="center"/>
            <w:hideMark/>
          </w:tcPr>
          <w:p w14:paraId="63C223EA" w14:textId="77777777" w:rsidR="00895CD2" w:rsidRDefault="00AD26F3" w:rsidP="00637066">
            <w:pPr>
              <w:pStyle w:val="2body-copy"/>
              <w:spacing w:before="60" w:after="60"/>
              <w:rPr>
                <w:rFonts w:cs="Times New Roman"/>
              </w:rPr>
            </w:pPr>
            <w:r>
              <w:rPr>
                <w:rStyle w:val="2body-medium"/>
                <w:rFonts w:cs="Times New Roman"/>
              </w:rPr>
              <w:t>1.3</w:t>
            </w:r>
          </w:p>
        </w:tc>
        <w:tc>
          <w:tcPr>
            <w:tcW w:w="0" w:type="auto"/>
            <w:vAlign w:val="center"/>
            <w:hideMark/>
          </w:tcPr>
          <w:p w14:paraId="29E8A332" w14:textId="77777777" w:rsidR="00895CD2" w:rsidRDefault="00AD26F3" w:rsidP="00637066">
            <w:pPr>
              <w:pStyle w:val="2body-copy"/>
              <w:spacing w:before="60" w:after="60"/>
              <w:rPr>
                <w:rFonts w:cs="Times New Roman"/>
              </w:rPr>
            </w:pPr>
            <w:r>
              <w:rPr>
                <w:rStyle w:val="2body-medium"/>
                <w:rFonts w:cs="Times New Roman"/>
              </w:rPr>
              <w:t>61</w:t>
            </w:r>
          </w:p>
        </w:tc>
      </w:tr>
      <w:tr w:rsidR="00895CD2" w14:paraId="3362907D" w14:textId="77777777" w:rsidTr="00637066">
        <w:tc>
          <w:tcPr>
            <w:tcW w:w="0" w:type="auto"/>
            <w:gridSpan w:val="10"/>
            <w:vAlign w:val="center"/>
            <w:hideMark/>
          </w:tcPr>
          <w:p w14:paraId="3BD34749" w14:textId="77777777" w:rsidR="00895CD2" w:rsidRDefault="00AD26F3" w:rsidP="00637066">
            <w:pPr>
              <w:pStyle w:val="2body-copy"/>
              <w:spacing w:before="60" w:after="60"/>
              <w:rPr>
                <w:rFonts w:cs="Times New Roman"/>
              </w:rPr>
            </w:pPr>
            <w:r>
              <w:rPr>
                <w:rStyle w:val="charoverride-7"/>
                <w:rFonts w:cs="Times New Roman"/>
              </w:rPr>
              <w:t>F/T: Full-time P/T: Part-time</w:t>
            </w:r>
          </w:p>
        </w:tc>
      </w:tr>
    </w:tbl>
    <w:p w14:paraId="3243DB37" w14:textId="7D5619A6" w:rsidR="00895CD2" w:rsidRDefault="00AD26F3" w:rsidP="00093444">
      <w:pPr>
        <w:pStyle w:val="Heading2"/>
        <w:rPr>
          <w:lang w:val="en-GB"/>
        </w:rPr>
      </w:pPr>
      <w:bookmarkStart w:id="38" w:name="_Toc414011896"/>
      <w:r>
        <w:rPr>
          <w:lang w:val="en-GB"/>
        </w:rPr>
        <w:lastRenderedPageBreak/>
        <w:t>Non-salary benefits</w:t>
      </w:r>
      <w:bookmarkEnd w:id="38"/>
    </w:p>
    <w:p w14:paraId="703DA937" w14:textId="77777777" w:rsidR="00895CD2" w:rsidRDefault="00AD26F3">
      <w:pPr>
        <w:pStyle w:val="2body-copy-before-bullet"/>
        <w:rPr>
          <w:rFonts w:cs="Times New Roman"/>
          <w:lang w:val="en-GB"/>
        </w:rPr>
      </w:pPr>
      <w:r>
        <w:rPr>
          <w:rFonts w:cs="Times New Roman"/>
          <w:lang w:val="en-GB"/>
        </w:rPr>
        <w:t>In addition to salary and superannuation benefits, all Commission staff members are eligible for and have access to the following non-salary benefits:</w:t>
      </w:r>
    </w:p>
    <w:p w14:paraId="089193D4" w14:textId="77777777" w:rsidR="00895CD2" w:rsidRDefault="00AD26F3" w:rsidP="00637066">
      <w:pPr>
        <w:pStyle w:val="bullet"/>
      </w:pPr>
      <w:r>
        <w:t>influenza vaccinations</w:t>
      </w:r>
    </w:p>
    <w:p w14:paraId="53E0CE68" w14:textId="77777777" w:rsidR="00895CD2" w:rsidRDefault="00AD26F3" w:rsidP="00637066">
      <w:pPr>
        <w:pStyle w:val="bullet"/>
      </w:pPr>
      <w:r>
        <w:t>an annual Christmas close-down period</w:t>
      </w:r>
    </w:p>
    <w:p w14:paraId="725B53EE" w14:textId="77777777" w:rsidR="00895CD2" w:rsidRDefault="00AD26F3" w:rsidP="00637066">
      <w:pPr>
        <w:pStyle w:val="bullet"/>
      </w:pPr>
      <w:r>
        <w:t>eyesight testing and reimbursement of prescribed eyewear costs</w:t>
      </w:r>
    </w:p>
    <w:p w14:paraId="34AFBDBC" w14:textId="77777777" w:rsidR="00895CD2" w:rsidRDefault="00AD26F3" w:rsidP="00637066">
      <w:pPr>
        <w:pStyle w:val="bullet"/>
      </w:pPr>
      <w:r>
        <w:t>access to an Employee Assistance Program (EAP)</w:t>
      </w:r>
    </w:p>
    <w:p w14:paraId="550E9AE8" w14:textId="77777777" w:rsidR="00895CD2" w:rsidRDefault="00AD26F3" w:rsidP="00637066">
      <w:pPr>
        <w:pStyle w:val="bullet"/>
      </w:pPr>
      <w:r>
        <w:tab/>
        <w:t>time off for blood donations</w:t>
      </w:r>
    </w:p>
    <w:p w14:paraId="2C59864E" w14:textId="77777777" w:rsidR="00895CD2" w:rsidRDefault="00AD26F3" w:rsidP="00637066">
      <w:pPr>
        <w:pStyle w:val="bullet"/>
      </w:pPr>
      <w:r>
        <w:t>home-based working arrangements</w:t>
      </w:r>
    </w:p>
    <w:p w14:paraId="018237E1" w14:textId="77777777" w:rsidR="00895CD2" w:rsidRDefault="00AD26F3" w:rsidP="00637066">
      <w:pPr>
        <w:pStyle w:val="bullet"/>
      </w:pPr>
      <w:r>
        <w:t>reimbursement of costs associated with obtaining financial advice (for staff over 54 years of age)</w:t>
      </w:r>
    </w:p>
    <w:p w14:paraId="7BA66889" w14:textId="77777777" w:rsidR="00895CD2" w:rsidRDefault="00AD26F3" w:rsidP="00637066">
      <w:pPr>
        <w:pStyle w:val="bullet"/>
      </w:pPr>
      <w:r>
        <w:t>reimbursement of costs associated with damage to clothing or personal effects</w:t>
      </w:r>
    </w:p>
    <w:p w14:paraId="3A0539A5" w14:textId="77777777" w:rsidR="00895CD2" w:rsidRDefault="00AD26F3" w:rsidP="00637066">
      <w:pPr>
        <w:pStyle w:val="bullet"/>
      </w:pPr>
      <w:r>
        <w:t>support for professional and personal development</w:t>
      </w:r>
    </w:p>
    <w:p w14:paraId="75814747" w14:textId="77777777" w:rsidR="00895CD2" w:rsidRDefault="00AD26F3" w:rsidP="00637066">
      <w:pPr>
        <w:pStyle w:val="bullet"/>
      </w:pPr>
      <w:proofErr w:type="gramStart"/>
      <w:r>
        <w:t>access</w:t>
      </w:r>
      <w:proofErr w:type="gramEnd"/>
      <w:r>
        <w:t xml:space="preserve"> to accrued leave at half pay.</w:t>
      </w:r>
    </w:p>
    <w:p w14:paraId="7B9874E9" w14:textId="77777777" w:rsidR="00895CD2" w:rsidRDefault="00AD26F3" w:rsidP="00093444">
      <w:pPr>
        <w:pStyle w:val="Heading2"/>
        <w:rPr>
          <w:lang w:val="en-GB"/>
        </w:rPr>
      </w:pPr>
      <w:bookmarkStart w:id="39" w:name="_Toc414011897"/>
      <w:r>
        <w:rPr>
          <w:lang w:val="en-GB"/>
        </w:rPr>
        <w:t>Workplace health and safety</w:t>
      </w:r>
      <w:bookmarkEnd w:id="39"/>
    </w:p>
    <w:p w14:paraId="22CA143E" w14:textId="77777777" w:rsidR="00895CD2" w:rsidRDefault="00AD26F3">
      <w:pPr>
        <w:pStyle w:val="2body-copy"/>
        <w:rPr>
          <w:rFonts w:cs="Times New Roman"/>
          <w:lang w:val="en-GB"/>
        </w:rPr>
      </w:pPr>
      <w:r>
        <w:rPr>
          <w:rFonts w:cs="Times New Roman"/>
          <w:lang w:val="en-GB"/>
        </w:rPr>
        <w:t xml:space="preserve">The Commission continues to promote health and safety in the workplace and is committed to meeting its obligations under the </w:t>
      </w:r>
      <w:r>
        <w:rPr>
          <w:rStyle w:val="2body-italic"/>
          <w:rFonts w:cs="Times New Roman"/>
          <w:lang w:val="en-GB"/>
        </w:rPr>
        <w:t>Work Health and Safety Act 2011</w:t>
      </w:r>
      <w:r>
        <w:rPr>
          <w:rFonts w:cs="Times New Roman"/>
          <w:lang w:val="en-GB"/>
        </w:rPr>
        <w:t xml:space="preserve"> (WHS Act) and the </w:t>
      </w:r>
      <w:r>
        <w:rPr>
          <w:rStyle w:val="2body-italic"/>
          <w:rFonts w:cs="Times New Roman"/>
          <w:lang w:val="en-GB"/>
        </w:rPr>
        <w:t>Safety, Rehabilitation and Compensation Act 1988</w:t>
      </w:r>
      <w:r>
        <w:rPr>
          <w:rFonts w:cs="Times New Roman"/>
          <w:lang w:val="en-GB"/>
        </w:rPr>
        <w:t xml:space="preserve"> (SRC Act 1988).</w:t>
      </w:r>
    </w:p>
    <w:p w14:paraId="3D776345" w14:textId="77777777" w:rsidR="00895CD2" w:rsidRDefault="00AD26F3">
      <w:pPr>
        <w:pStyle w:val="2body-copy"/>
        <w:rPr>
          <w:rFonts w:cs="Times New Roman"/>
          <w:lang w:val="en-GB"/>
        </w:rPr>
      </w:pPr>
      <w:r>
        <w:rPr>
          <w:rFonts w:cs="Times New Roman"/>
          <w:lang w:val="en-GB"/>
        </w:rPr>
        <w:t>During 2013/14, the Commission developed a suite of Work Health and Safety policies and procedures to ensure its compliance with the WHS Act.</w:t>
      </w:r>
    </w:p>
    <w:p w14:paraId="28281241" w14:textId="77777777" w:rsidR="00895CD2" w:rsidRDefault="00AD26F3">
      <w:pPr>
        <w:pStyle w:val="2body-copy"/>
        <w:rPr>
          <w:rFonts w:cs="Times New Roman"/>
          <w:lang w:val="en-GB"/>
        </w:rPr>
      </w:pPr>
      <w:r>
        <w:rPr>
          <w:rFonts w:cs="Times New Roman"/>
          <w:lang w:val="en-GB"/>
        </w:rPr>
        <w:t xml:space="preserve">All Commission staff members are required to complete the </w:t>
      </w:r>
      <w:proofErr w:type="spellStart"/>
      <w:r>
        <w:rPr>
          <w:rFonts w:cs="Times New Roman"/>
          <w:lang w:val="en-GB"/>
        </w:rPr>
        <w:t>Comcare</w:t>
      </w:r>
      <w:proofErr w:type="spellEnd"/>
      <w:r>
        <w:rPr>
          <w:rFonts w:cs="Times New Roman"/>
          <w:lang w:val="en-GB"/>
        </w:rPr>
        <w:t xml:space="preserve"> work health and safety e-learning training module on commencement. </w:t>
      </w:r>
    </w:p>
    <w:p w14:paraId="24510655" w14:textId="77777777" w:rsidR="00895CD2" w:rsidRDefault="00AD26F3">
      <w:pPr>
        <w:pStyle w:val="2body-copy"/>
        <w:rPr>
          <w:rFonts w:cs="Times New Roman"/>
          <w:lang w:val="en-GB"/>
        </w:rPr>
      </w:pPr>
      <w:r>
        <w:rPr>
          <w:rFonts w:cs="Times New Roman"/>
          <w:lang w:val="en-GB"/>
        </w:rPr>
        <w:t>Workplace safety is monitored by internal health and safety representatives and regular WHS Committee meetings.</w:t>
      </w:r>
    </w:p>
    <w:p w14:paraId="536C9FA1" w14:textId="77777777" w:rsidR="00895CD2" w:rsidRDefault="00AD26F3">
      <w:pPr>
        <w:pStyle w:val="2body-copy-before-bullet"/>
        <w:rPr>
          <w:rFonts w:cs="Times New Roman"/>
          <w:lang w:val="en-GB"/>
        </w:rPr>
      </w:pPr>
      <w:r>
        <w:rPr>
          <w:rFonts w:cs="Times New Roman"/>
          <w:lang w:val="en-GB"/>
        </w:rPr>
        <w:t>During 2013/14, the Commission undertook a number of activities aimed at preventing illness and injury in the workplace, including:</w:t>
      </w:r>
    </w:p>
    <w:p w14:paraId="0934B889" w14:textId="77777777" w:rsidR="00895CD2" w:rsidRDefault="00AD26F3" w:rsidP="00637066">
      <w:pPr>
        <w:pStyle w:val="bullet"/>
      </w:pPr>
      <w:r>
        <w:t>conducting ergonomic workstation assessments for all staff</w:t>
      </w:r>
    </w:p>
    <w:p w14:paraId="46981977" w14:textId="77777777" w:rsidR="00895CD2" w:rsidRDefault="00AD26F3" w:rsidP="00637066">
      <w:pPr>
        <w:pStyle w:val="bullet"/>
      </w:pPr>
      <w:r>
        <w:t>appointing new internal health and safety representatives and workplace harassment contact officers</w:t>
      </w:r>
    </w:p>
    <w:p w14:paraId="5415BED3" w14:textId="77777777" w:rsidR="00895CD2" w:rsidRDefault="00AD26F3" w:rsidP="00637066">
      <w:pPr>
        <w:pStyle w:val="bullet"/>
      </w:pPr>
      <w:r>
        <w:t>conducting bi-annual workplace inspections and encouraging all staff members to report on any incidents, accidents or hazards in the workplace</w:t>
      </w:r>
    </w:p>
    <w:p w14:paraId="61468143" w14:textId="77777777" w:rsidR="00895CD2" w:rsidRDefault="00AD26F3" w:rsidP="00637066">
      <w:pPr>
        <w:pStyle w:val="bullet"/>
      </w:pPr>
      <w:proofErr w:type="gramStart"/>
      <w:r>
        <w:t>making</w:t>
      </w:r>
      <w:proofErr w:type="gramEnd"/>
      <w:r>
        <w:t xml:space="preserve"> influenza vaccinations available to all staff members.</w:t>
      </w:r>
    </w:p>
    <w:p w14:paraId="68D9D4A8" w14:textId="77777777" w:rsidR="00895CD2" w:rsidRDefault="00AD26F3">
      <w:pPr>
        <w:pStyle w:val="2body-copy"/>
        <w:rPr>
          <w:rFonts w:cs="Times New Roman"/>
          <w:lang w:val="en-GB"/>
        </w:rPr>
      </w:pPr>
      <w:r>
        <w:rPr>
          <w:rFonts w:cs="Times New Roman"/>
          <w:lang w:val="en-GB"/>
        </w:rPr>
        <w:t>Three workplace health and safety incidents were reported in 2013/14.</w:t>
      </w:r>
    </w:p>
    <w:p w14:paraId="07C031C3" w14:textId="77777777" w:rsidR="00895CD2" w:rsidRDefault="00AD26F3" w:rsidP="00093444">
      <w:pPr>
        <w:pStyle w:val="Heading2"/>
        <w:rPr>
          <w:lang w:val="en-GB"/>
        </w:rPr>
      </w:pPr>
      <w:bookmarkStart w:id="40" w:name="_Toc414011898"/>
      <w:r>
        <w:rPr>
          <w:lang w:val="en-GB"/>
        </w:rPr>
        <w:t>Learning and development</w:t>
      </w:r>
      <w:bookmarkEnd w:id="40"/>
    </w:p>
    <w:p w14:paraId="7341BB90" w14:textId="77777777" w:rsidR="00895CD2" w:rsidRDefault="00AD26F3">
      <w:pPr>
        <w:pStyle w:val="2body-copy"/>
        <w:rPr>
          <w:rFonts w:cs="Times New Roman"/>
          <w:lang w:val="en-GB"/>
        </w:rPr>
      </w:pPr>
      <w:r>
        <w:rPr>
          <w:rFonts w:cs="Times New Roman"/>
          <w:lang w:val="en-GB"/>
        </w:rPr>
        <w:t>The Commission values the talent and contribution of its staff and recognises the importance of building expertise within its organisation. Learning and development needs and opportunities are primarily identified through the performance development scheme (PDS).</w:t>
      </w:r>
    </w:p>
    <w:p w14:paraId="3BC56638" w14:textId="77777777" w:rsidR="00895CD2" w:rsidRDefault="00AD26F3">
      <w:pPr>
        <w:pStyle w:val="2body-copy"/>
        <w:rPr>
          <w:rFonts w:cs="Times New Roman"/>
          <w:lang w:val="en-GB"/>
        </w:rPr>
      </w:pPr>
      <w:r>
        <w:rPr>
          <w:rFonts w:cs="Times New Roman"/>
          <w:lang w:val="en-GB"/>
        </w:rPr>
        <w:t>During 2013/14, nine staff accessed study support assistance to undertake a variety of tertiary courses, including Master of Public Health, PhD in Nursing, Master of Health Service Management, Masters of Business and Technology, and Bachelors of Arts and Science degrees.</w:t>
      </w:r>
    </w:p>
    <w:p w14:paraId="1EEF4332" w14:textId="77777777" w:rsidR="00895CD2" w:rsidRDefault="00AD26F3">
      <w:pPr>
        <w:pStyle w:val="2body-copy"/>
        <w:rPr>
          <w:rFonts w:cs="Times New Roman"/>
          <w:lang w:val="en-GB"/>
        </w:rPr>
      </w:pPr>
      <w:r>
        <w:rPr>
          <w:rFonts w:cs="Times New Roman"/>
          <w:lang w:val="en-GB"/>
        </w:rPr>
        <w:t>The Commission will formulate a learning and development strategy later in 2014 to ensure staff members continue to perform at a high level. Core skill development tailored to our business needs will be one focus.</w:t>
      </w:r>
    </w:p>
    <w:p w14:paraId="5BF18844" w14:textId="77777777" w:rsidR="00895CD2" w:rsidRDefault="00AD26F3">
      <w:pPr>
        <w:pStyle w:val="2body-copy"/>
        <w:rPr>
          <w:rFonts w:cs="Times New Roman"/>
          <w:lang w:val="en-GB"/>
        </w:rPr>
      </w:pPr>
      <w:r>
        <w:rPr>
          <w:rFonts w:cs="Times New Roman"/>
          <w:lang w:val="en-GB"/>
        </w:rPr>
        <w:t>The Commission offers all staff members the opportunity to attend regular continuing professional development (CPD) sessions. Seventeen CPD sessions were held in 2013/14.</w:t>
      </w:r>
    </w:p>
    <w:p w14:paraId="5C056DE5" w14:textId="77777777" w:rsidR="00895CD2" w:rsidRDefault="00AD26F3" w:rsidP="00093444">
      <w:pPr>
        <w:pStyle w:val="Heading2"/>
        <w:rPr>
          <w:lang w:val="en-GB"/>
        </w:rPr>
      </w:pPr>
      <w:bookmarkStart w:id="41" w:name="_Toc414011899"/>
      <w:r>
        <w:rPr>
          <w:lang w:val="en-GB"/>
        </w:rPr>
        <w:lastRenderedPageBreak/>
        <w:t>Disability strategy</w:t>
      </w:r>
      <w:bookmarkEnd w:id="41"/>
    </w:p>
    <w:p w14:paraId="5755D82F" w14:textId="77777777" w:rsidR="00895CD2" w:rsidRDefault="00AD26F3">
      <w:pPr>
        <w:pStyle w:val="2body-copy"/>
        <w:rPr>
          <w:rFonts w:cs="Times New Roman"/>
          <w:lang w:val="en-GB"/>
        </w:rPr>
      </w:pPr>
      <w:r>
        <w:rPr>
          <w:rFonts w:cs="Times New Roman"/>
          <w:lang w:val="en-GB"/>
        </w:rPr>
        <w:t>The Commission is required under clause 12 of the CAC Act to establish a Disability Action Plan. The Commission is committed to developing and implementing its Disability Action Plan during 2014/15.</w:t>
      </w:r>
    </w:p>
    <w:p w14:paraId="23EDD04F" w14:textId="755D1BAC" w:rsidR="00C57C9F" w:rsidRDefault="00C57C9F">
      <w:pPr>
        <w:spacing w:after="0"/>
        <w:rPr>
          <w:rFonts w:cs="Times New Roman"/>
          <w:lang w:val="en-GB"/>
        </w:rPr>
      </w:pPr>
      <w:r>
        <w:rPr>
          <w:rFonts w:cs="Times New Roman"/>
          <w:lang w:val="en-GB"/>
        </w:rPr>
        <w:br w:type="page"/>
      </w:r>
    </w:p>
    <w:p w14:paraId="6770D877" w14:textId="77777777" w:rsidR="00C57C9F" w:rsidRPr="00EE64AE" w:rsidRDefault="00C57C9F" w:rsidP="00706C92">
      <w:pPr>
        <w:pStyle w:val="Heading1"/>
        <w:divId w:val="153498564"/>
        <w:rPr>
          <w:rStyle w:val="S8colours"/>
          <w:color w:val="5EA03B"/>
        </w:rPr>
      </w:pPr>
      <w:bookmarkStart w:id="42" w:name="_Toc414011900"/>
      <w:r w:rsidRPr="00EE64AE">
        <w:rPr>
          <w:rStyle w:val="colourss8"/>
          <w:rFonts w:cs="Times New Roman"/>
          <w:color w:val="5EA03B"/>
        </w:rPr>
        <w:lastRenderedPageBreak/>
        <w:t xml:space="preserve">6 </w:t>
      </w:r>
      <w:r w:rsidRPr="00EE64AE">
        <w:rPr>
          <w:rStyle w:val="S8colours"/>
          <w:color w:val="5EA03B"/>
        </w:rPr>
        <w:t>Financial statements</w:t>
      </w:r>
      <w:bookmarkEnd w:id="42"/>
    </w:p>
    <w:p w14:paraId="6F2D3E5F" w14:textId="77D3DA28" w:rsidR="00C57C9F" w:rsidRPr="00C83FFA" w:rsidRDefault="00C57C9F" w:rsidP="003A337D">
      <w:pPr>
        <w:pStyle w:val="Heading2"/>
        <w:pBdr>
          <w:bottom w:val="none" w:sz="0" w:space="0" w:color="auto"/>
        </w:pBdr>
        <w:divId w:val="153498564"/>
        <w:rPr>
          <w:lang w:val="en-GB"/>
        </w:rPr>
      </w:pPr>
      <w:r w:rsidRPr="00C83FFA">
        <w:rPr>
          <w:rStyle w:val="colourss8"/>
          <w:rFonts w:ascii="Arial" w:hAnsi="Arial" w:cs="Arial"/>
          <w:bCs w:val="0"/>
          <w:sz w:val="20"/>
          <w:szCs w:val="20"/>
          <w:lang w:val="en-GB"/>
        </w:rPr>
        <w:t>Independent auditor’s report</w:t>
      </w:r>
      <w:r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C83FFA" w:rsidRPr="00C83FFA">
        <w:rPr>
          <w:rStyle w:val="colourss8"/>
          <w:rFonts w:ascii="Arial" w:hAnsi="Arial" w:cs="Arial"/>
          <w:bCs w:val="0"/>
          <w:sz w:val="20"/>
          <w:szCs w:val="20"/>
          <w:lang w:val="en-GB"/>
        </w:rPr>
        <w:tab/>
      </w:r>
      <w:r w:rsidR="003A337D">
        <w:rPr>
          <w:rStyle w:val="colourss8"/>
          <w:rFonts w:ascii="Arial" w:hAnsi="Arial" w:cs="Arial"/>
          <w:bCs w:val="0"/>
          <w:sz w:val="20"/>
          <w:szCs w:val="20"/>
          <w:lang w:val="en-GB"/>
        </w:rPr>
        <w:t>75</w:t>
      </w:r>
    </w:p>
    <w:p w14:paraId="35BEA6FE" w14:textId="5D809B50" w:rsidR="00C57C9F" w:rsidRPr="00EE64AE" w:rsidRDefault="00C57C9F" w:rsidP="006F421D">
      <w:pPr>
        <w:pStyle w:val="master-page-stylesheets00contents-level-2-section-start"/>
        <w:tabs>
          <w:tab w:val="right" w:pos="9639"/>
        </w:tabs>
        <w:spacing w:before="120" w:beforeAutospacing="0" w:after="120" w:afterAutospacing="0"/>
        <w:divId w:val="153498564"/>
        <w:rPr>
          <w:rFonts w:cs="Times New Roman"/>
          <w:b/>
          <w:bCs/>
          <w:color w:val="5F605F"/>
          <w:lang w:val="en-GB"/>
        </w:rPr>
      </w:pPr>
      <w:r w:rsidRPr="00EE64AE">
        <w:rPr>
          <w:rStyle w:val="colourss8"/>
          <w:rFonts w:cs="Times New Roman"/>
          <w:b/>
          <w:bCs/>
          <w:lang w:val="en-GB"/>
        </w:rPr>
        <w:t>Statement by the Directors, Chief Executive Officer and Chief Financial Officer</w:t>
      </w:r>
      <w:r>
        <w:rPr>
          <w:rStyle w:val="colourss8"/>
          <w:rFonts w:cs="Times New Roman"/>
          <w:b/>
          <w:bCs/>
          <w:lang w:val="en-GB"/>
        </w:rPr>
        <w:tab/>
      </w:r>
      <w:r w:rsidR="003A337D">
        <w:rPr>
          <w:rStyle w:val="colourss8"/>
          <w:rFonts w:cs="Times New Roman"/>
          <w:b/>
          <w:bCs/>
          <w:lang w:val="en-GB"/>
        </w:rPr>
        <w:t>77</w:t>
      </w:r>
    </w:p>
    <w:p w14:paraId="6E192813" w14:textId="0B31B758" w:rsidR="00C57C9F" w:rsidRPr="00EE64AE" w:rsidRDefault="00C57C9F" w:rsidP="006F421D">
      <w:pPr>
        <w:pStyle w:val="master-page-stylesheets00contents-level-2-section-start"/>
        <w:tabs>
          <w:tab w:val="right" w:pos="9639"/>
        </w:tabs>
        <w:spacing w:before="120" w:beforeAutospacing="0" w:after="120" w:afterAutospacing="0"/>
        <w:divId w:val="153498564"/>
        <w:rPr>
          <w:rFonts w:cs="Times New Roman"/>
          <w:b/>
          <w:bCs/>
          <w:color w:val="5F605F"/>
          <w:lang w:val="en-GB"/>
        </w:rPr>
      </w:pPr>
      <w:r w:rsidRPr="00EE64AE">
        <w:rPr>
          <w:rStyle w:val="colourss8"/>
          <w:rFonts w:cs="Times New Roman"/>
          <w:b/>
          <w:bCs/>
          <w:lang w:val="en-GB"/>
        </w:rPr>
        <w:t>Statement of comprehensive income</w:t>
      </w:r>
      <w:r>
        <w:rPr>
          <w:rStyle w:val="colourss8"/>
          <w:rFonts w:cs="Times New Roman"/>
          <w:b/>
          <w:bCs/>
          <w:lang w:val="en-GB"/>
        </w:rPr>
        <w:tab/>
      </w:r>
      <w:r w:rsidR="003A337D">
        <w:rPr>
          <w:rStyle w:val="colourss8"/>
          <w:rFonts w:cs="Times New Roman"/>
          <w:b/>
          <w:bCs/>
          <w:lang w:val="en-GB"/>
        </w:rPr>
        <w:t>78</w:t>
      </w:r>
    </w:p>
    <w:p w14:paraId="56235DE2" w14:textId="3BAF12CC" w:rsidR="00C57C9F" w:rsidRPr="00EE64AE" w:rsidRDefault="00C57C9F" w:rsidP="006F421D">
      <w:pPr>
        <w:pStyle w:val="master-page-stylesheets00contents-level-2-section-start"/>
        <w:tabs>
          <w:tab w:val="right" w:pos="9639"/>
        </w:tabs>
        <w:spacing w:before="120" w:beforeAutospacing="0" w:after="120" w:afterAutospacing="0"/>
        <w:divId w:val="153498564"/>
        <w:rPr>
          <w:rFonts w:cs="Times New Roman"/>
          <w:b/>
          <w:bCs/>
          <w:color w:val="5F605F"/>
          <w:lang w:val="en-GB"/>
        </w:rPr>
      </w:pPr>
      <w:r w:rsidRPr="00EE64AE">
        <w:rPr>
          <w:rStyle w:val="colourss8"/>
          <w:rFonts w:cs="Times New Roman"/>
          <w:b/>
          <w:bCs/>
          <w:lang w:val="en-GB"/>
        </w:rPr>
        <w:t>Statement of financial position</w:t>
      </w:r>
      <w:r>
        <w:rPr>
          <w:rStyle w:val="colourss8"/>
          <w:rFonts w:cs="Times New Roman"/>
          <w:b/>
          <w:bCs/>
          <w:lang w:val="en-GB"/>
        </w:rPr>
        <w:tab/>
      </w:r>
      <w:r w:rsidR="003A337D">
        <w:rPr>
          <w:rStyle w:val="colourss8"/>
          <w:rFonts w:cs="Times New Roman"/>
          <w:b/>
          <w:bCs/>
          <w:lang w:val="en-GB"/>
        </w:rPr>
        <w:t>79</w:t>
      </w:r>
    </w:p>
    <w:p w14:paraId="25D5800B" w14:textId="167E88BA" w:rsidR="00C57C9F" w:rsidRPr="00EE64AE" w:rsidRDefault="00C57C9F" w:rsidP="006F421D">
      <w:pPr>
        <w:pStyle w:val="master-page-stylesheets00contents-level-2-section-start"/>
        <w:tabs>
          <w:tab w:val="right" w:pos="9639"/>
        </w:tabs>
        <w:spacing w:before="120" w:beforeAutospacing="0" w:after="120" w:afterAutospacing="0"/>
        <w:divId w:val="153498564"/>
        <w:rPr>
          <w:rFonts w:cs="Times New Roman"/>
          <w:b/>
          <w:bCs/>
          <w:color w:val="5F605F"/>
          <w:lang w:val="en-GB"/>
        </w:rPr>
      </w:pPr>
      <w:r w:rsidRPr="00EE64AE">
        <w:rPr>
          <w:rStyle w:val="colourss8"/>
          <w:rFonts w:cs="Times New Roman"/>
          <w:b/>
          <w:bCs/>
          <w:lang w:val="en-GB"/>
        </w:rPr>
        <w:t xml:space="preserve">Statement of changes in equity </w:t>
      </w:r>
      <w:r>
        <w:rPr>
          <w:rStyle w:val="colourss8"/>
          <w:rFonts w:cs="Times New Roman"/>
          <w:b/>
          <w:bCs/>
          <w:lang w:val="en-GB"/>
        </w:rPr>
        <w:tab/>
      </w:r>
      <w:r w:rsidR="003A337D">
        <w:rPr>
          <w:rStyle w:val="colourss8"/>
          <w:rFonts w:cs="Times New Roman"/>
          <w:b/>
          <w:bCs/>
          <w:lang w:val="en-GB"/>
        </w:rPr>
        <w:t>80</w:t>
      </w:r>
    </w:p>
    <w:p w14:paraId="0A9DF0C7" w14:textId="36ADBF75" w:rsidR="00C57C9F" w:rsidRPr="00EE64AE" w:rsidRDefault="00C57C9F" w:rsidP="006F421D">
      <w:pPr>
        <w:pStyle w:val="master-page-stylesheets00contents-level-2-section-start"/>
        <w:tabs>
          <w:tab w:val="right" w:pos="9639"/>
        </w:tabs>
        <w:spacing w:before="120" w:beforeAutospacing="0" w:after="120" w:afterAutospacing="0"/>
        <w:divId w:val="153498564"/>
        <w:rPr>
          <w:rFonts w:cs="Times New Roman"/>
          <w:b/>
          <w:bCs/>
          <w:color w:val="5F605F"/>
          <w:lang w:val="en-GB"/>
        </w:rPr>
      </w:pPr>
      <w:r w:rsidRPr="00EE64AE">
        <w:rPr>
          <w:rStyle w:val="colourss8"/>
          <w:rFonts w:cs="Times New Roman"/>
          <w:b/>
          <w:bCs/>
          <w:lang w:val="en-GB"/>
        </w:rPr>
        <w:t xml:space="preserve">Cash flow statement </w:t>
      </w:r>
      <w:r>
        <w:rPr>
          <w:rStyle w:val="colourss8"/>
          <w:rFonts w:cs="Times New Roman"/>
          <w:b/>
          <w:bCs/>
          <w:lang w:val="en-GB"/>
        </w:rPr>
        <w:tab/>
      </w:r>
      <w:r w:rsidR="003A337D">
        <w:rPr>
          <w:rStyle w:val="colourss8"/>
          <w:rFonts w:cs="Times New Roman"/>
          <w:b/>
          <w:bCs/>
          <w:lang w:val="en-GB"/>
        </w:rPr>
        <w:t>81</w:t>
      </w:r>
    </w:p>
    <w:p w14:paraId="682AC068" w14:textId="68DFB4B1" w:rsidR="00C57C9F" w:rsidRPr="00EE64AE" w:rsidRDefault="00C57C9F" w:rsidP="006F421D">
      <w:pPr>
        <w:pStyle w:val="master-page-stylesheets00contents-level-2-section-start"/>
        <w:tabs>
          <w:tab w:val="right" w:pos="9639"/>
        </w:tabs>
        <w:spacing w:before="120" w:beforeAutospacing="0" w:after="120" w:afterAutospacing="0"/>
        <w:divId w:val="153498564"/>
        <w:rPr>
          <w:rFonts w:cs="Times New Roman"/>
          <w:color w:val="5F605F"/>
          <w:lang w:val="en-GB"/>
        </w:rPr>
      </w:pPr>
      <w:r w:rsidRPr="00EE64AE">
        <w:rPr>
          <w:rStyle w:val="colourss8"/>
          <w:rFonts w:cs="Times New Roman"/>
          <w:b/>
          <w:bCs/>
          <w:lang w:val="en-GB"/>
        </w:rPr>
        <w:t>Schedule of commitments</w:t>
      </w:r>
      <w:r>
        <w:rPr>
          <w:rStyle w:val="colourss8"/>
          <w:rFonts w:cs="Times New Roman"/>
          <w:b/>
          <w:bCs/>
          <w:lang w:val="en-GB"/>
        </w:rPr>
        <w:tab/>
      </w:r>
      <w:r w:rsidR="003A337D">
        <w:rPr>
          <w:rStyle w:val="colourss8"/>
          <w:rFonts w:cs="Times New Roman"/>
          <w:b/>
          <w:bCs/>
          <w:lang w:val="en-GB"/>
        </w:rPr>
        <w:t>82</w:t>
      </w:r>
      <w:r w:rsidRPr="00EE64AE">
        <w:rPr>
          <w:rStyle w:val="colourss8"/>
          <w:rFonts w:cs="Times New Roman"/>
          <w:lang w:val="en-GB"/>
        </w:rPr>
        <w:t xml:space="preserve"> </w:t>
      </w:r>
    </w:p>
    <w:p w14:paraId="4B2445E0" w14:textId="66637D6D" w:rsidR="00C57C9F" w:rsidRPr="00EE64AE" w:rsidRDefault="00C57C9F" w:rsidP="006F421D">
      <w:pPr>
        <w:pStyle w:val="master-page-stylesheets00contents-level-2-section-start"/>
        <w:tabs>
          <w:tab w:val="right" w:pos="9639"/>
        </w:tabs>
        <w:spacing w:before="120" w:beforeAutospacing="0" w:after="120" w:afterAutospacing="0"/>
        <w:divId w:val="153498564"/>
        <w:rPr>
          <w:rFonts w:cs="Times New Roman"/>
          <w:b/>
          <w:bCs/>
          <w:lang w:val="en-GB"/>
        </w:rPr>
      </w:pPr>
      <w:r w:rsidRPr="00EE64AE">
        <w:rPr>
          <w:rStyle w:val="colourss8"/>
          <w:rFonts w:cs="Times New Roman"/>
          <w:b/>
          <w:bCs/>
          <w:lang w:val="en-GB"/>
        </w:rPr>
        <w:t>Notes to and forming part of the Financial Statements for the period ended 30 June 2014</w:t>
      </w:r>
      <w:r w:rsidR="003A337D">
        <w:rPr>
          <w:rStyle w:val="colourss8"/>
          <w:rFonts w:cs="Times New Roman"/>
          <w:b/>
          <w:bCs/>
          <w:lang w:val="en-GB"/>
        </w:rPr>
        <w:tab/>
        <w:t>84</w:t>
      </w:r>
    </w:p>
    <w:p w14:paraId="49997206" w14:textId="3BC5E726" w:rsidR="00C57C9F" w:rsidRDefault="00C57C9F">
      <w:pPr>
        <w:divId w:val="238952090"/>
        <w:rPr>
          <w:rFonts w:eastAsia="Times New Roman" w:cs="Times New Roman"/>
        </w:rPr>
      </w:pPr>
      <w:r>
        <w:rPr>
          <w:rFonts w:eastAsia="Times New Roman" w:cs="Times New Roman"/>
        </w:rPr>
        <w:fldChar w:fldCharType="begin" w:fldLock="1"/>
      </w:r>
      <w:r w:rsidR="004F6AD4">
        <w:rPr>
          <w:rFonts w:eastAsia="Times New Roman" w:cs="Times New Roman"/>
        </w:rPr>
        <w:instrText xml:space="preserve"> INCLUDEPICTURE "\\\\central.health\\dfsuserenv\\Users\\User_08\\keanky\\Downloads\\Macintosh HD:Users:gogadolic:Desktop:impress 3\\10:SAQ148_02_Financials_V3_FILM Folder:HTML 2:SAQ148_02_Financials_V3_FILM_REVISED-web-resources\\image\\ACSQHC Signed Audit Report 2013-14-1.jpg" \* MERGEFORMAT \d </w:instrText>
      </w:r>
      <w:r>
        <w:rPr>
          <w:rFonts w:eastAsia="Times New Roman" w:cs="Times New Roman"/>
        </w:rPr>
        <w:fldChar w:fldCharType="separate"/>
      </w:r>
      <w:r>
        <w:rPr>
          <w:rFonts w:eastAsia="Times New Roman" w:cs="Times New Roman"/>
        </w:rPr>
        <w:fldChar w:fldCharType="begin"/>
      </w:r>
      <w:r>
        <w:rPr>
          <w:rFonts w:eastAsia="Times New Roman" w:cs="Times New Roman"/>
        </w:rPr>
        <w:instrText xml:space="preserve"> INCLUDEPICTURE  \d "\\\\localhost\\Volumes\\word doc\\Macintosh HD:Users:gogadolic:Desktop:impress 3\\10:SAQ148_02_Financials_V3_FILM Folder:HTML 2:SAQ148_02_Financials_V3_FILM_REVISED-web-resources\\image\\ACSQHC Signed Audit Report 2013-14-1.jpg" \* MERGEFORMATINET </w:instrText>
      </w:r>
      <w:r>
        <w:rPr>
          <w:rFonts w:eastAsia="Times New Roman" w:cs="Times New Roman"/>
        </w:rPr>
        <w:fldChar w:fldCharType="separate"/>
      </w:r>
      <w:r>
        <w:rPr>
          <w:rFonts w:eastAsia="Times New Roman" w:cs="Times New Roman"/>
        </w:rPr>
        <w:fldChar w:fldCharType="begin"/>
      </w:r>
      <w:r>
        <w:rPr>
          <w:rFonts w:eastAsia="Times New Roman" w:cs="Times New Roman"/>
        </w:rPr>
        <w:instrText xml:space="preserve"> INCLUDEPICTURE  \d "\\\\localhost\\Volumes\\word doc\\Macintosh HD:Users:gogadolic:Desktop:impress 3\\10:SAQ148_02_Financials_V3_FILM Folder:HTML 2:SAQ148_02_Financials_V3_FILM_REVISED-web-resources\\image\\ACSQHC Signed Audit Report 2013-14-1.jpg" \* MERGEFORMATINET </w:instrText>
      </w:r>
      <w:r>
        <w:rPr>
          <w:rFonts w:eastAsia="Times New Roman" w:cs="Times New Roman"/>
        </w:rPr>
        <w:fldChar w:fldCharType="separate"/>
      </w:r>
      <w:r>
        <w:rPr>
          <w:rFonts w:eastAsia="Times New Roman" w:cs="Times New Roman"/>
        </w:rPr>
        <w:fldChar w:fldCharType="begin"/>
      </w:r>
      <w:r>
        <w:rPr>
          <w:rFonts w:eastAsia="Times New Roman" w:cs="Times New Roman"/>
        </w:rPr>
        <w:instrText xml:space="preserve"> INCLUDEPICTURE  \d "\\\\localhost\\Volumes\\word doc\\Macintosh HD:Users:gogadolic:Desktop:impress 3\\10:SAQ148_02_Financials_V3_FILM Folder:HTML 2:SAQ148_02_Financials_V3_FILM_REVISED-web-resources\\image\\ACSQHC Signed Audit Report 2013-14-1.jpg" \* MERGEFORMATINET </w:instrText>
      </w:r>
      <w:r>
        <w:rPr>
          <w:rFonts w:eastAsia="Times New Roman" w:cs="Times New Roman"/>
        </w:rPr>
        <w:fldChar w:fldCharType="separate"/>
      </w:r>
      <w:r w:rsidR="00580867">
        <w:rPr>
          <w:rFonts w:eastAsia="Times New Roman" w:cs="Times New Roman"/>
        </w:rPr>
        <w:fldChar w:fldCharType="begin"/>
      </w:r>
      <w:r w:rsidR="00580867">
        <w:rPr>
          <w:rFonts w:eastAsia="Times New Roman" w:cs="Times New Roman"/>
        </w:rPr>
        <w:instrText xml:space="preserve"> INCLUDEPICTURE  \d "\\\\localhost\\Volumes\\word doc\\Macintosh HD:Users:gogadolic:Desktop:impress 3\\10:SAQ148_02_Financials_V3_FILM Folder:HTML 2:SAQ148_02_Financials_V3_FILM_REVISED-web-resources\\image\\ACSQHC Signed Audit Report 2013-14-1.jpg" \* MERGEFORMATINET </w:instrText>
      </w:r>
      <w:r w:rsidR="00580867">
        <w:rPr>
          <w:rFonts w:eastAsia="Times New Roman" w:cs="Times New Roman"/>
        </w:rPr>
        <w:fldChar w:fldCharType="end"/>
      </w:r>
      <w:r>
        <w:rPr>
          <w:rFonts w:eastAsia="Times New Roman" w:cs="Times New Roman"/>
        </w:rPr>
        <w:fldChar w:fldCharType="end"/>
      </w:r>
      <w:r>
        <w:rPr>
          <w:rFonts w:eastAsia="Times New Roman" w:cs="Times New Roman"/>
        </w:rPr>
        <w:fldChar w:fldCharType="end"/>
      </w:r>
      <w:r>
        <w:rPr>
          <w:rFonts w:eastAsia="Times New Roman" w:cs="Times New Roman"/>
        </w:rPr>
        <w:fldChar w:fldCharType="end"/>
      </w:r>
      <w:r>
        <w:rPr>
          <w:rFonts w:eastAsia="Times New Roman" w:cs="Times New Roman"/>
        </w:rPr>
        <w:fldChar w:fldCharType="end"/>
      </w:r>
    </w:p>
    <w:p w14:paraId="1EB82D3E" w14:textId="77777777" w:rsidR="00C57C9F" w:rsidRDefault="00C57C9F">
      <w:pPr>
        <w:rPr>
          <w:rFonts w:eastAsia="Times New Roman" w:cs="Times New Roman"/>
        </w:rPr>
      </w:pPr>
      <w:r>
        <w:rPr>
          <w:rFonts w:eastAsia="Times New Roman" w:cs="Times New Roman"/>
        </w:rPr>
        <w:br w:type="page"/>
      </w:r>
    </w:p>
    <w:p w14:paraId="1AAC6DEE" w14:textId="77777777" w:rsidR="00C57C9F" w:rsidRDefault="00C57C9F">
      <w:pPr>
        <w:rPr>
          <w:rFonts w:cs="Times New Roman"/>
          <w:sz w:val="32"/>
        </w:rPr>
      </w:pPr>
      <w:r>
        <w:rPr>
          <w:rFonts w:cs="Times New Roman"/>
          <w:noProof/>
          <w:lang w:eastAsia="en-AU"/>
        </w:rPr>
        <w:lastRenderedPageBreak/>
        <w:drawing>
          <wp:inline distT="0" distB="0" distL="0" distR="0" wp14:anchorId="5DFCD08C" wp14:editId="081FEE02">
            <wp:extent cx="6434455" cy="9095105"/>
            <wp:effectExtent l="19050" t="19050" r="23495" b="10795"/>
            <wp:docPr id="4" name="Picture 4" descr="Letter - Independent Auditors Report" title="Letter - Independent Auditor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SQHC Signed Audit Report 2013-14-1.png"/>
                    <pic:cNvPicPr/>
                  </pic:nvPicPr>
                  <pic:blipFill>
                    <a:blip r:embed="rId45">
                      <a:extLst>
                        <a:ext uri="{28A0092B-C50C-407E-A947-70E740481C1C}">
                          <a14:useLocalDpi xmlns:a14="http://schemas.microsoft.com/office/drawing/2010/main" val="0"/>
                        </a:ext>
                      </a:extLst>
                    </a:blip>
                    <a:stretch>
                      <a:fillRect/>
                    </a:stretch>
                  </pic:blipFill>
                  <pic:spPr>
                    <a:xfrm>
                      <a:off x="0" y="0"/>
                      <a:ext cx="6434455" cy="9095105"/>
                    </a:xfrm>
                    <a:prstGeom prst="rect">
                      <a:avLst/>
                    </a:prstGeom>
                    <a:ln>
                      <a:solidFill>
                        <a:schemeClr val="bg1">
                          <a:lumMod val="65000"/>
                        </a:schemeClr>
                      </a:solidFill>
                    </a:ln>
                  </pic:spPr>
                </pic:pic>
              </a:graphicData>
            </a:graphic>
          </wp:inline>
        </w:drawing>
      </w:r>
      <w:r>
        <w:rPr>
          <w:rFonts w:cs="Times New Roman"/>
          <w:noProof/>
          <w:lang w:eastAsia="en-AU"/>
        </w:rPr>
        <w:lastRenderedPageBreak/>
        <w:drawing>
          <wp:inline distT="0" distB="0" distL="0" distR="0" wp14:anchorId="1E2F6ABC" wp14:editId="7F84638C">
            <wp:extent cx="6434455" cy="8774330"/>
            <wp:effectExtent l="19050" t="19050" r="23495" b="27305"/>
            <wp:docPr id="5" name="Picture 5" descr="Letter - Independent Auditors Report" title="Letter - Independent Auditor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SQHC Signed Audit Report 2013-14-2.png"/>
                    <pic:cNvPicPr/>
                  </pic:nvPicPr>
                  <pic:blipFill>
                    <a:blip r:embed="rId46">
                      <a:extLst>
                        <a:ext uri="{28A0092B-C50C-407E-A947-70E740481C1C}">
                          <a14:useLocalDpi xmlns:a14="http://schemas.microsoft.com/office/drawing/2010/main" val="0"/>
                        </a:ext>
                      </a:extLst>
                    </a:blip>
                    <a:stretch>
                      <a:fillRect/>
                    </a:stretch>
                  </pic:blipFill>
                  <pic:spPr>
                    <a:xfrm>
                      <a:off x="0" y="0"/>
                      <a:ext cx="6434455" cy="8774330"/>
                    </a:xfrm>
                    <a:prstGeom prst="rect">
                      <a:avLst/>
                    </a:prstGeom>
                    <a:ln>
                      <a:solidFill>
                        <a:srgbClr val="5F605F"/>
                      </a:solidFill>
                    </a:ln>
                  </pic:spPr>
                </pic:pic>
              </a:graphicData>
            </a:graphic>
          </wp:inline>
        </w:drawing>
      </w:r>
      <w:r>
        <w:rPr>
          <w:rFonts w:cs="Times New Roman"/>
          <w:noProof/>
          <w:lang w:eastAsia="en-AU"/>
        </w:rPr>
        <w:lastRenderedPageBreak/>
        <w:drawing>
          <wp:inline distT="0" distB="0" distL="0" distR="0" wp14:anchorId="56D2E0FE" wp14:editId="06A7E308">
            <wp:extent cx="5954522" cy="6446774"/>
            <wp:effectExtent l="0" t="0" r="8255" b="0"/>
            <wp:docPr id="19" name="Picture 19" descr="Signed statement by Directors, CEO and CFO" title="Signed statement by Directors, CEO and 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ed-Statement-by-the-Directors.png"/>
                    <pic:cNvPicPr/>
                  </pic:nvPicPr>
                  <pic:blipFill>
                    <a:blip r:embed="rId47">
                      <a:extLst>
                        <a:ext uri="{28A0092B-C50C-407E-A947-70E740481C1C}">
                          <a14:useLocalDpi xmlns:a14="http://schemas.microsoft.com/office/drawing/2010/main" val="0"/>
                        </a:ext>
                      </a:extLst>
                    </a:blip>
                    <a:stretch>
                      <a:fillRect/>
                    </a:stretch>
                  </pic:blipFill>
                  <pic:spPr>
                    <a:xfrm>
                      <a:off x="0" y="0"/>
                      <a:ext cx="5954522" cy="6446774"/>
                    </a:xfrm>
                    <a:prstGeom prst="rect">
                      <a:avLst/>
                    </a:prstGeom>
                  </pic:spPr>
                </pic:pic>
              </a:graphicData>
            </a:graphic>
          </wp:inline>
        </w:drawing>
      </w:r>
      <w:r>
        <w:rPr>
          <w:rFonts w:cs="Times New Roman"/>
        </w:rPr>
        <w:br w:type="page"/>
      </w:r>
    </w:p>
    <w:p w14:paraId="64020519" w14:textId="77777777" w:rsidR="00C57C9F" w:rsidRDefault="00C57C9F" w:rsidP="00093444">
      <w:pPr>
        <w:pStyle w:val="Heading2"/>
        <w:divId w:val="2075661312"/>
      </w:pPr>
      <w:bookmarkStart w:id="43" w:name="_Toc414011901"/>
      <w:r>
        <w:lastRenderedPageBreak/>
        <w:t>Statement of Comprehensive Income</w:t>
      </w:r>
      <w:bookmarkEnd w:id="43"/>
    </w:p>
    <w:p w14:paraId="3C8A6E6B" w14:textId="77777777" w:rsidR="00C57C9F" w:rsidRDefault="00C57C9F">
      <w:pPr>
        <w:pStyle w:val="1as-at---"/>
        <w:divId w:val="2075661312"/>
        <w:rPr>
          <w:rFonts w:cs="Times New Roman"/>
          <w:lang w:val="en-AU"/>
        </w:rPr>
      </w:pPr>
      <w:proofErr w:type="gramStart"/>
      <w:r>
        <w:rPr>
          <w:rFonts w:cs="Times New Roman"/>
          <w:lang w:val="en-AU"/>
        </w:rPr>
        <w:t>for</w:t>
      </w:r>
      <w:proofErr w:type="gramEnd"/>
      <w:r>
        <w:rPr>
          <w:rFonts w:cs="Times New Roman"/>
          <w:lang w:val="en-AU"/>
        </w:rPr>
        <w:t xml:space="preserve"> the period ended 30 June 2014</w:t>
      </w:r>
    </w:p>
    <w:tbl>
      <w:tblPr>
        <w:tblW w:w="0" w:type="auto"/>
        <w:tblLayout w:type="fixed"/>
        <w:tblCellMar>
          <w:top w:w="28" w:type="dxa"/>
          <w:left w:w="15" w:type="dxa"/>
          <w:bottom w:w="28" w:type="dxa"/>
          <w:right w:w="15" w:type="dxa"/>
        </w:tblCellMar>
        <w:tblLook w:val="04A0" w:firstRow="1" w:lastRow="0" w:firstColumn="1" w:lastColumn="0" w:noHBand="0" w:noVBand="1"/>
      </w:tblPr>
      <w:tblGrid>
        <w:gridCol w:w="5954"/>
        <w:gridCol w:w="1104"/>
        <w:gridCol w:w="1604"/>
        <w:gridCol w:w="1439"/>
      </w:tblGrid>
      <w:tr w:rsidR="00C57C9F" w14:paraId="71A902DF" w14:textId="77777777" w:rsidTr="006F421D">
        <w:trPr>
          <w:divId w:val="2075661312"/>
          <w:tblHeader/>
        </w:trPr>
        <w:tc>
          <w:tcPr>
            <w:tcW w:w="5954" w:type="dxa"/>
            <w:vAlign w:val="center"/>
            <w:hideMark/>
          </w:tcPr>
          <w:p w14:paraId="25BACCA6" w14:textId="77777777" w:rsidR="00C57C9F" w:rsidRDefault="00C57C9F">
            <w:pPr>
              <w:rPr>
                <w:rFonts w:eastAsia="Times New Roman" w:cs="Times New Roman"/>
              </w:rPr>
            </w:pPr>
          </w:p>
        </w:tc>
        <w:tc>
          <w:tcPr>
            <w:tcW w:w="1104" w:type="dxa"/>
            <w:vAlign w:val="center"/>
            <w:hideMark/>
          </w:tcPr>
          <w:p w14:paraId="0A49C49D" w14:textId="77777777" w:rsidR="00C57C9F" w:rsidRDefault="00C57C9F" w:rsidP="006F421D">
            <w:pPr>
              <w:jc w:val="center"/>
              <w:rPr>
                <w:rFonts w:eastAsia="Times New Roman" w:cs="Times New Roman"/>
              </w:rPr>
            </w:pPr>
          </w:p>
        </w:tc>
        <w:tc>
          <w:tcPr>
            <w:tcW w:w="1604" w:type="dxa"/>
            <w:vAlign w:val="center"/>
            <w:hideMark/>
          </w:tcPr>
          <w:p w14:paraId="4B087960" w14:textId="77777777" w:rsidR="00C57C9F" w:rsidRDefault="00C57C9F" w:rsidP="006F421D">
            <w:pPr>
              <w:pStyle w:val="3fins-table-figures"/>
              <w:jc w:val="right"/>
              <w:rPr>
                <w:rFonts w:cs="Times New Roman"/>
              </w:rPr>
            </w:pPr>
            <w:r>
              <w:rPr>
                <w:rStyle w:val="fins-bold"/>
                <w:rFonts w:cs="Times New Roman"/>
              </w:rPr>
              <w:t>2014</w:t>
            </w:r>
          </w:p>
        </w:tc>
        <w:tc>
          <w:tcPr>
            <w:tcW w:w="1439" w:type="dxa"/>
            <w:vAlign w:val="center"/>
            <w:hideMark/>
          </w:tcPr>
          <w:p w14:paraId="1F253683" w14:textId="77777777" w:rsidR="00C57C9F" w:rsidRDefault="00C57C9F" w:rsidP="006F421D">
            <w:pPr>
              <w:pStyle w:val="3fins-table-figures"/>
              <w:jc w:val="right"/>
              <w:rPr>
                <w:rFonts w:cs="Times New Roman"/>
              </w:rPr>
            </w:pPr>
            <w:r>
              <w:rPr>
                <w:rFonts w:cs="Times New Roman"/>
              </w:rPr>
              <w:t>2013</w:t>
            </w:r>
          </w:p>
        </w:tc>
      </w:tr>
      <w:tr w:rsidR="00C57C9F" w14:paraId="4DAF5718" w14:textId="77777777" w:rsidTr="006F421D">
        <w:trPr>
          <w:divId w:val="2075661312"/>
          <w:tblHeader/>
        </w:trPr>
        <w:tc>
          <w:tcPr>
            <w:tcW w:w="5954" w:type="dxa"/>
            <w:vAlign w:val="center"/>
            <w:hideMark/>
          </w:tcPr>
          <w:p w14:paraId="7BE0298E" w14:textId="77777777" w:rsidR="00C57C9F" w:rsidRDefault="00C57C9F">
            <w:pPr>
              <w:rPr>
                <w:rFonts w:eastAsia="Times New Roman" w:cs="Times New Roman"/>
              </w:rPr>
            </w:pPr>
          </w:p>
        </w:tc>
        <w:tc>
          <w:tcPr>
            <w:tcW w:w="1104" w:type="dxa"/>
            <w:vAlign w:val="center"/>
            <w:hideMark/>
          </w:tcPr>
          <w:p w14:paraId="61A7393A" w14:textId="77777777" w:rsidR="00C57C9F" w:rsidRDefault="00C57C9F" w:rsidP="006F421D">
            <w:pPr>
              <w:pStyle w:val="3fins-table-notes"/>
              <w:jc w:val="center"/>
              <w:rPr>
                <w:rFonts w:cs="Times New Roman"/>
              </w:rPr>
            </w:pPr>
            <w:r>
              <w:rPr>
                <w:rStyle w:val="fins-bold"/>
                <w:rFonts w:cs="Times New Roman"/>
              </w:rPr>
              <w:t>Notes</w:t>
            </w:r>
          </w:p>
        </w:tc>
        <w:tc>
          <w:tcPr>
            <w:tcW w:w="1604" w:type="dxa"/>
            <w:vAlign w:val="center"/>
            <w:hideMark/>
          </w:tcPr>
          <w:p w14:paraId="674B3DA9" w14:textId="77777777" w:rsidR="00C57C9F" w:rsidRDefault="00C57C9F" w:rsidP="006F421D">
            <w:pPr>
              <w:pStyle w:val="3fins-table-figures"/>
              <w:jc w:val="right"/>
              <w:rPr>
                <w:rFonts w:cs="Times New Roman"/>
              </w:rPr>
            </w:pPr>
            <w:r>
              <w:rPr>
                <w:rStyle w:val="fins-bold"/>
                <w:rFonts w:cs="Times New Roman"/>
              </w:rPr>
              <w:t>$’000</w:t>
            </w:r>
          </w:p>
        </w:tc>
        <w:tc>
          <w:tcPr>
            <w:tcW w:w="1439" w:type="dxa"/>
            <w:vAlign w:val="center"/>
            <w:hideMark/>
          </w:tcPr>
          <w:p w14:paraId="4C896332" w14:textId="77777777" w:rsidR="00C57C9F" w:rsidRDefault="00C57C9F" w:rsidP="006F421D">
            <w:pPr>
              <w:pStyle w:val="3fins-table-figures"/>
              <w:jc w:val="right"/>
              <w:rPr>
                <w:rFonts w:cs="Times New Roman"/>
              </w:rPr>
            </w:pPr>
            <w:r>
              <w:rPr>
                <w:rFonts w:cs="Times New Roman"/>
              </w:rPr>
              <w:t>$’000</w:t>
            </w:r>
          </w:p>
        </w:tc>
      </w:tr>
      <w:tr w:rsidR="00C57C9F" w14:paraId="057F0ED4" w14:textId="77777777" w:rsidTr="006F421D">
        <w:trPr>
          <w:divId w:val="2075661312"/>
        </w:trPr>
        <w:tc>
          <w:tcPr>
            <w:tcW w:w="5954" w:type="dxa"/>
            <w:vAlign w:val="center"/>
            <w:hideMark/>
          </w:tcPr>
          <w:p w14:paraId="5AAD1D11" w14:textId="77777777" w:rsidR="00C57C9F" w:rsidRDefault="00C57C9F">
            <w:pPr>
              <w:pStyle w:val="3fins-table"/>
              <w:rPr>
                <w:rFonts w:cs="Times New Roman"/>
              </w:rPr>
            </w:pPr>
            <w:r>
              <w:rPr>
                <w:rStyle w:val="fins-bold"/>
                <w:rFonts w:cs="Times New Roman"/>
              </w:rPr>
              <w:t>EXPENSES</w:t>
            </w:r>
          </w:p>
        </w:tc>
        <w:tc>
          <w:tcPr>
            <w:tcW w:w="1104" w:type="dxa"/>
            <w:vAlign w:val="center"/>
            <w:hideMark/>
          </w:tcPr>
          <w:p w14:paraId="3E40FDDA" w14:textId="77777777" w:rsidR="00C57C9F" w:rsidRDefault="00C57C9F" w:rsidP="006F421D">
            <w:pPr>
              <w:jc w:val="center"/>
              <w:rPr>
                <w:rFonts w:eastAsia="Times New Roman" w:cs="Times New Roman"/>
              </w:rPr>
            </w:pPr>
          </w:p>
        </w:tc>
        <w:tc>
          <w:tcPr>
            <w:tcW w:w="1604" w:type="dxa"/>
            <w:vAlign w:val="center"/>
            <w:hideMark/>
          </w:tcPr>
          <w:p w14:paraId="5E576484" w14:textId="77777777" w:rsidR="00C57C9F" w:rsidRDefault="00C57C9F" w:rsidP="006F421D">
            <w:pPr>
              <w:jc w:val="right"/>
              <w:rPr>
                <w:rFonts w:eastAsia="Times New Roman" w:cs="Times New Roman"/>
              </w:rPr>
            </w:pPr>
          </w:p>
        </w:tc>
        <w:tc>
          <w:tcPr>
            <w:tcW w:w="1439" w:type="dxa"/>
            <w:vAlign w:val="center"/>
            <w:hideMark/>
          </w:tcPr>
          <w:p w14:paraId="59B8115D" w14:textId="77777777" w:rsidR="00C57C9F" w:rsidRDefault="00C57C9F" w:rsidP="006F421D">
            <w:pPr>
              <w:jc w:val="right"/>
              <w:rPr>
                <w:rFonts w:eastAsia="Times New Roman" w:cs="Times New Roman"/>
              </w:rPr>
            </w:pPr>
          </w:p>
        </w:tc>
      </w:tr>
      <w:tr w:rsidR="00C57C9F" w14:paraId="4ACA31E9" w14:textId="77777777" w:rsidTr="006F421D">
        <w:trPr>
          <w:divId w:val="2075661312"/>
        </w:trPr>
        <w:tc>
          <w:tcPr>
            <w:tcW w:w="5954" w:type="dxa"/>
            <w:vAlign w:val="center"/>
            <w:hideMark/>
          </w:tcPr>
          <w:p w14:paraId="7668A006" w14:textId="77777777" w:rsidR="00C57C9F" w:rsidRDefault="00C57C9F">
            <w:pPr>
              <w:pStyle w:val="3fins-table"/>
              <w:rPr>
                <w:rFonts w:cs="Times New Roman"/>
              </w:rPr>
            </w:pPr>
            <w:r>
              <w:rPr>
                <w:rFonts w:cs="Times New Roman"/>
              </w:rPr>
              <w:t>Employee benefits</w:t>
            </w:r>
          </w:p>
        </w:tc>
        <w:tc>
          <w:tcPr>
            <w:tcW w:w="1104" w:type="dxa"/>
            <w:vAlign w:val="center"/>
            <w:hideMark/>
          </w:tcPr>
          <w:p w14:paraId="26CFEB2F" w14:textId="77777777" w:rsidR="00C57C9F" w:rsidRDefault="00C57C9F" w:rsidP="006F421D">
            <w:pPr>
              <w:pStyle w:val="3fins-table-notes"/>
              <w:jc w:val="center"/>
              <w:rPr>
                <w:rFonts w:cs="Times New Roman"/>
              </w:rPr>
            </w:pPr>
            <w:r>
              <w:rPr>
                <w:rFonts w:cs="Times New Roman"/>
              </w:rPr>
              <w:t>3A</w:t>
            </w:r>
          </w:p>
        </w:tc>
        <w:tc>
          <w:tcPr>
            <w:tcW w:w="1604" w:type="dxa"/>
            <w:vAlign w:val="center"/>
            <w:hideMark/>
          </w:tcPr>
          <w:p w14:paraId="117E3E39" w14:textId="77777777" w:rsidR="00C57C9F" w:rsidRDefault="00C57C9F" w:rsidP="006F421D">
            <w:pPr>
              <w:pStyle w:val="3fins-table-figures"/>
              <w:jc w:val="right"/>
              <w:rPr>
                <w:rFonts w:cs="Times New Roman"/>
              </w:rPr>
            </w:pPr>
            <w:r>
              <w:rPr>
                <w:rStyle w:val="fins-bold"/>
                <w:rFonts w:cs="Times New Roman"/>
              </w:rPr>
              <w:t xml:space="preserve">8,600 </w:t>
            </w:r>
          </w:p>
        </w:tc>
        <w:tc>
          <w:tcPr>
            <w:tcW w:w="1439" w:type="dxa"/>
            <w:vAlign w:val="center"/>
            <w:hideMark/>
          </w:tcPr>
          <w:p w14:paraId="3325C382" w14:textId="77777777" w:rsidR="00C57C9F" w:rsidRDefault="00C57C9F" w:rsidP="006F421D">
            <w:pPr>
              <w:pStyle w:val="3fins-table-figures"/>
              <w:jc w:val="right"/>
              <w:rPr>
                <w:rFonts w:cs="Times New Roman"/>
              </w:rPr>
            </w:pPr>
            <w:r>
              <w:rPr>
                <w:rFonts w:cs="Times New Roman"/>
              </w:rPr>
              <w:t>6,718</w:t>
            </w:r>
          </w:p>
        </w:tc>
      </w:tr>
      <w:tr w:rsidR="00C57C9F" w14:paraId="66999F71" w14:textId="77777777" w:rsidTr="006F421D">
        <w:trPr>
          <w:divId w:val="2075661312"/>
        </w:trPr>
        <w:tc>
          <w:tcPr>
            <w:tcW w:w="5954" w:type="dxa"/>
            <w:vAlign w:val="center"/>
            <w:hideMark/>
          </w:tcPr>
          <w:p w14:paraId="49E98FC3" w14:textId="77777777" w:rsidR="00C57C9F" w:rsidRDefault="00C57C9F">
            <w:pPr>
              <w:pStyle w:val="3fins-table"/>
              <w:rPr>
                <w:rFonts w:cs="Times New Roman"/>
              </w:rPr>
            </w:pPr>
            <w:r>
              <w:rPr>
                <w:rFonts w:cs="Times New Roman"/>
              </w:rPr>
              <w:t>Suppliers</w:t>
            </w:r>
          </w:p>
        </w:tc>
        <w:tc>
          <w:tcPr>
            <w:tcW w:w="1104" w:type="dxa"/>
            <w:vAlign w:val="center"/>
            <w:hideMark/>
          </w:tcPr>
          <w:p w14:paraId="203CF6B2" w14:textId="77777777" w:rsidR="00C57C9F" w:rsidRDefault="00C57C9F" w:rsidP="006F421D">
            <w:pPr>
              <w:pStyle w:val="3fins-table-notes"/>
              <w:jc w:val="center"/>
              <w:rPr>
                <w:rFonts w:cs="Times New Roman"/>
              </w:rPr>
            </w:pPr>
            <w:r>
              <w:rPr>
                <w:rFonts w:cs="Times New Roman"/>
              </w:rPr>
              <w:t>3B</w:t>
            </w:r>
          </w:p>
        </w:tc>
        <w:tc>
          <w:tcPr>
            <w:tcW w:w="1604" w:type="dxa"/>
            <w:vAlign w:val="center"/>
            <w:hideMark/>
          </w:tcPr>
          <w:p w14:paraId="5DD0CFBF" w14:textId="77777777" w:rsidR="00C57C9F" w:rsidRDefault="00C57C9F" w:rsidP="006F421D">
            <w:pPr>
              <w:pStyle w:val="3fins-table-figures"/>
              <w:jc w:val="right"/>
              <w:rPr>
                <w:rFonts w:cs="Times New Roman"/>
              </w:rPr>
            </w:pPr>
            <w:r>
              <w:rPr>
                <w:rStyle w:val="fins-bold"/>
                <w:rFonts w:cs="Times New Roman"/>
              </w:rPr>
              <w:t xml:space="preserve">9,977 </w:t>
            </w:r>
          </w:p>
        </w:tc>
        <w:tc>
          <w:tcPr>
            <w:tcW w:w="1439" w:type="dxa"/>
            <w:vAlign w:val="center"/>
            <w:hideMark/>
          </w:tcPr>
          <w:p w14:paraId="2EBEBE5C" w14:textId="77777777" w:rsidR="00C57C9F" w:rsidRDefault="00C57C9F" w:rsidP="006F421D">
            <w:pPr>
              <w:pStyle w:val="3fins-table-figures"/>
              <w:jc w:val="right"/>
              <w:rPr>
                <w:rFonts w:cs="Times New Roman"/>
              </w:rPr>
            </w:pPr>
            <w:r>
              <w:rPr>
                <w:rFonts w:cs="Times New Roman"/>
              </w:rPr>
              <w:t>7,119</w:t>
            </w:r>
          </w:p>
        </w:tc>
      </w:tr>
      <w:tr w:rsidR="00C57C9F" w14:paraId="3420ADAD" w14:textId="77777777" w:rsidTr="006F421D">
        <w:trPr>
          <w:divId w:val="2075661312"/>
        </w:trPr>
        <w:tc>
          <w:tcPr>
            <w:tcW w:w="5954" w:type="dxa"/>
            <w:vAlign w:val="center"/>
            <w:hideMark/>
          </w:tcPr>
          <w:p w14:paraId="2E86B1F4" w14:textId="77777777" w:rsidR="00C57C9F" w:rsidRDefault="00C57C9F">
            <w:pPr>
              <w:pStyle w:val="3fins-table"/>
              <w:rPr>
                <w:rFonts w:cs="Times New Roman"/>
              </w:rPr>
            </w:pPr>
            <w:r>
              <w:rPr>
                <w:rFonts w:cs="Times New Roman"/>
              </w:rPr>
              <w:t xml:space="preserve">Depreciation and </w:t>
            </w:r>
            <w:proofErr w:type="spellStart"/>
            <w:r>
              <w:rPr>
                <w:rFonts w:cs="Times New Roman"/>
              </w:rPr>
              <w:t>amortisation</w:t>
            </w:r>
            <w:proofErr w:type="spellEnd"/>
          </w:p>
        </w:tc>
        <w:tc>
          <w:tcPr>
            <w:tcW w:w="1104" w:type="dxa"/>
            <w:vAlign w:val="center"/>
            <w:hideMark/>
          </w:tcPr>
          <w:p w14:paraId="0065B9CE" w14:textId="77777777" w:rsidR="00C57C9F" w:rsidRDefault="00C57C9F" w:rsidP="006F421D">
            <w:pPr>
              <w:pStyle w:val="3fins-table-notes"/>
              <w:jc w:val="center"/>
              <w:rPr>
                <w:rFonts w:cs="Times New Roman"/>
              </w:rPr>
            </w:pPr>
            <w:r>
              <w:rPr>
                <w:rFonts w:cs="Times New Roman"/>
              </w:rPr>
              <w:t>3C</w:t>
            </w:r>
          </w:p>
        </w:tc>
        <w:tc>
          <w:tcPr>
            <w:tcW w:w="1604" w:type="dxa"/>
            <w:vAlign w:val="center"/>
            <w:hideMark/>
          </w:tcPr>
          <w:p w14:paraId="5995D758" w14:textId="77777777" w:rsidR="00C57C9F" w:rsidRDefault="00C57C9F" w:rsidP="006F421D">
            <w:pPr>
              <w:pStyle w:val="3fins-table-figures"/>
              <w:jc w:val="right"/>
              <w:rPr>
                <w:rFonts w:cs="Times New Roman"/>
              </w:rPr>
            </w:pPr>
            <w:r>
              <w:rPr>
                <w:rStyle w:val="fins-bold"/>
                <w:rFonts w:cs="Times New Roman"/>
              </w:rPr>
              <w:t xml:space="preserve">87 </w:t>
            </w:r>
          </w:p>
        </w:tc>
        <w:tc>
          <w:tcPr>
            <w:tcW w:w="1439" w:type="dxa"/>
            <w:vAlign w:val="center"/>
            <w:hideMark/>
          </w:tcPr>
          <w:p w14:paraId="64733E0F" w14:textId="77777777" w:rsidR="00C57C9F" w:rsidRDefault="00C57C9F" w:rsidP="006F421D">
            <w:pPr>
              <w:pStyle w:val="3fins-table-figures"/>
              <w:jc w:val="right"/>
              <w:rPr>
                <w:rFonts w:cs="Times New Roman"/>
              </w:rPr>
            </w:pPr>
            <w:r>
              <w:rPr>
                <w:rFonts w:cs="Times New Roman"/>
              </w:rPr>
              <w:t>120</w:t>
            </w:r>
          </w:p>
        </w:tc>
      </w:tr>
      <w:tr w:rsidR="00C57C9F" w14:paraId="6F87F28C" w14:textId="77777777" w:rsidTr="006F421D">
        <w:trPr>
          <w:divId w:val="2075661312"/>
        </w:trPr>
        <w:tc>
          <w:tcPr>
            <w:tcW w:w="5954" w:type="dxa"/>
            <w:vAlign w:val="center"/>
            <w:hideMark/>
          </w:tcPr>
          <w:p w14:paraId="64B392B9" w14:textId="77777777" w:rsidR="00C57C9F" w:rsidRDefault="00C57C9F">
            <w:pPr>
              <w:pStyle w:val="3fins-table"/>
              <w:rPr>
                <w:rFonts w:cs="Times New Roman"/>
              </w:rPr>
            </w:pPr>
            <w:r>
              <w:rPr>
                <w:rFonts w:cs="Times New Roman"/>
              </w:rPr>
              <w:t>Finance costs</w:t>
            </w:r>
          </w:p>
        </w:tc>
        <w:tc>
          <w:tcPr>
            <w:tcW w:w="1104" w:type="dxa"/>
            <w:vAlign w:val="center"/>
            <w:hideMark/>
          </w:tcPr>
          <w:p w14:paraId="5810AAFB" w14:textId="77777777" w:rsidR="00C57C9F" w:rsidRDefault="00C57C9F" w:rsidP="006F421D">
            <w:pPr>
              <w:pStyle w:val="3fins-table-notes"/>
              <w:jc w:val="center"/>
              <w:rPr>
                <w:rFonts w:cs="Times New Roman"/>
              </w:rPr>
            </w:pPr>
            <w:r>
              <w:rPr>
                <w:rFonts w:cs="Times New Roman"/>
              </w:rPr>
              <w:t>3D</w:t>
            </w:r>
          </w:p>
        </w:tc>
        <w:tc>
          <w:tcPr>
            <w:tcW w:w="1604" w:type="dxa"/>
            <w:vAlign w:val="center"/>
            <w:hideMark/>
          </w:tcPr>
          <w:p w14:paraId="127C4EFB" w14:textId="77777777" w:rsidR="00C57C9F" w:rsidRDefault="00C57C9F" w:rsidP="006F421D">
            <w:pPr>
              <w:pStyle w:val="3fins-table-figures"/>
              <w:jc w:val="right"/>
              <w:rPr>
                <w:rFonts w:cs="Times New Roman"/>
              </w:rPr>
            </w:pPr>
            <w:r>
              <w:rPr>
                <w:rStyle w:val="fins-bold"/>
                <w:rFonts w:cs="Times New Roman"/>
              </w:rPr>
              <w:t xml:space="preserve">6 </w:t>
            </w:r>
          </w:p>
        </w:tc>
        <w:tc>
          <w:tcPr>
            <w:tcW w:w="1439" w:type="dxa"/>
            <w:vAlign w:val="center"/>
            <w:hideMark/>
          </w:tcPr>
          <w:p w14:paraId="45EEA6F6" w14:textId="77777777" w:rsidR="00C57C9F" w:rsidRDefault="00C57C9F" w:rsidP="006F421D">
            <w:pPr>
              <w:pStyle w:val="3fins-table-figures"/>
              <w:jc w:val="right"/>
              <w:rPr>
                <w:rFonts w:cs="Times New Roman"/>
              </w:rPr>
            </w:pPr>
            <w:r>
              <w:rPr>
                <w:rFonts w:cs="Times New Roman"/>
              </w:rPr>
              <w:t>7</w:t>
            </w:r>
          </w:p>
        </w:tc>
      </w:tr>
      <w:tr w:rsidR="00C57C9F" w14:paraId="18F6EF93" w14:textId="77777777" w:rsidTr="006F421D">
        <w:trPr>
          <w:divId w:val="2075661312"/>
        </w:trPr>
        <w:tc>
          <w:tcPr>
            <w:tcW w:w="5954" w:type="dxa"/>
            <w:vAlign w:val="center"/>
            <w:hideMark/>
          </w:tcPr>
          <w:p w14:paraId="4D70D421" w14:textId="77777777" w:rsidR="00C57C9F" w:rsidRDefault="00C57C9F">
            <w:pPr>
              <w:pStyle w:val="3fins-table"/>
              <w:rPr>
                <w:rFonts w:cs="Times New Roman"/>
              </w:rPr>
            </w:pPr>
            <w:r>
              <w:rPr>
                <w:rFonts w:cs="Times New Roman"/>
              </w:rPr>
              <w:t>Impairment of assets</w:t>
            </w:r>
          </w:p>
        </w:tc>
        <w:tc>
          <w:tcPr>
            <w:tcW w:w="1104" w:type="dxa"/>
            <w:vAlign w:val="center"/>
            <w:hideMark/>
          </w:tcPr>
          <w:p w14:paraId="7C86C5C9" w14:textId="77777777" w:rsidR="00C57C9F" w:rsidRDefault="00C57C9F" w:rsidP="006F421D">
            <w:pPr>
              <w:pStyle w:val="3fins-table-notes"/>
              <w:jc w:val="center"/>
              <w:rPr>
                <w:rFonts w:cs="Times New Roman"/>
              </w:rPr>
            </w:pPr>
            <w:r>
              <w:rPr>
                <w:rFonts w:cs="Times New Roman"/>
              </w:rPr>
              <w:t>3E</w:t>
            </w:r>
          </w:p>
        </w:tc>
        <w:tc>
          <w:tcPr>
            <w:tcW w:w="1604" w:type="dxa"/>
            <w:vAlign w:val="center"/>
            <w:hideMark/>
          </w:tcPr>
          <w:p w14:paraId="595E9B04" w14:textId="77777777" w:rsidR="00C57C9F" w:rsidRDefault="00C57C9F" w:rsidP="006F421D">
            <w:pPr>
              <w:pStyle w:val="3fins-table-figures"/>
              <w:jc w:val="right"/>
              <w:rPr>
                <w:rFonts w:cs="Times New Roman"/>
              </w:rPr>
            </w:pPr>
            <w:r>
              <w:rPr>
                <w:rStyle w:val="fins-bold"/>
                <w:rFonts w:cs="Times New Roman"/>
              </w:rPr>
              <w:t>56</w:t>
            </w:r>
          </w:p>
        </w:tc>
        <w:tc>
          <w:tcPr>
            <w:tcW w:w="1439" w:type="dxa"/>
            <w:vAlign w:val="center"/>
            <w:hideMark/>
          </w:tcPr>
          <w:p w14:paraId="1D6DD0FB" w14:textId="77777777" w:rsidR="00C57C9F" w:rsidRDefault="00C57C9F" w:rsidP="006F421D">
            <w:pPr>
              <w:pStyle w:val="3fins-table-figures"/>
              <w:jc w:val="right"/>
              <w:rPr>
                <w:rFonts w:cs="Times New Roman"/>
              </w:rPr>
            </w:pPr>
            <w:r>
              <w:rPr>
                <w:rFonts w:cs="Times New Roman"/>
              </w:rPr>
              <w:t>-</w:t>
            </w:r>
          </w:p>
        </w:tc>
      </w:tr>
      <w:tr w:rsidR="00C57C9F" w14:paraId="2A420FD8" w14:textId="77777777" w:rsidTr="006F421D">
        <w:trPr>
          <w:divId w:val="2075661312"/>
        </w:trPr>
        <w:tc>
          <w:tcPr>
            <w:tcW w:w="5954" w:type="dxa"/>
            <w:vAlign w:val="center"/>
            <w:hideMark/>
          </w:tcPr>
          <w:p w14:paraId="54518B54" w14:textId="77777777" w:rsidR="00C57C9F" w:rsidRDefault="00C57C9F">
            <w:pPr>
              <w:pStyle w:val="3fins-table"/>
              <w:rPr>
                <w:rFonts w:cs="Times New Roman"/>
              </w:rPr>
            </w:pPr>
            <w:r>
              <w:rPr>
                <w:rStyle w:val="fins-bold"/>
                <w:rFonts w:cs="Times New Roman"/>
              </w:rPr>
              <w:t>Total expenses</w:t>
            </w:r>
          </w:p>
        </w:tc>
        <w:tc>
          <w:tcPr>
            <w:tcW w:w="1104" w:type="dxa"/>
            <w:vAlign w:val="center"/>
            <w:hideMark/>
          </w:tcPr>
          <w:p w14:paraId="575B06CE" w14:textId="77777777" w:rsidR="00C57C9F" w:rsidRDefault="00C57C9F" w:rsidP="006F421D">
            <w:pPr>
              <w:jc w:val="center"/>
              <w:rPr>
                <w:rFonts w:eastAsia="Times New Roman" w:cs="Times New Roman"/>
              </w:rPr>
            </w:pPr>
          </w:p>
        </w:tc>
        <w:tc>
          <w:tcPr>
            <w:tcW w:w="1604" w:type="dxa"/>
            <w:tcBorders>
              <w:top w:val="single" w:sz="4" w:space="0" w:color="auto"/>
              <w:bottom w:val="single" w:sz="4" w:space="0" w:color="auto"/>
            </w:tcBorders>
            <w:vAlign w:val="center"/>
            <w:hideMark/>
          </w:tcPr>
          <w:p w14:paraId="5A20FF40" w14:textId="77777777" w:rsidR="00C57C9F" w:rsidRDefault="00C57C9F" w:rsidP="006F421D">
            <w:pPr>
              <w:pStyle w:val="3fins-table-figures"/>
              <w:jc w:val="right"/>
              <w:rPr>
                <w:rFonts w:cs="Times New Roman"/>
              </w:rPr>
            </w:pPr>
            <w:r>
              <w:rPr>
                <w:rStyle w:val="fins-bold"/>
                <w:rFonts w:cs="Times New Roman"/>
              </w:rPr>
              <w:t xml:space="preserve">18,726 </w:t>
            </w:r>
          </w:p>
        </w:tc>
        <w:tc>
          <w:tcPr>
            <w:tcW w:w="1439" w:type="dxa"/>
            <w:tcBorders>
              <w:top w:val="single" w:sz="4" w:space="0" w:color="auto"/>
              <w:bottom w:val="single" w:sz="4" w:space="0" w:color="auto"/>
            </w:tcBorders>
            <w:vAlign w:val="center"/>
            <w:hideMark/>
          </w:tcPr>
          <w:p w14:paraId="3EED221A" w14:textId="77777777" w:rsidR="00C57C9F" w:rsidRDefault="00C57C9F" w:rsidP="006F421D">
            <w:pPr>
              <w:pStyle w:val="3fins-table-figures"/>
              <w:jc w:val="right"/>
              <w:rPr>
                <w:rFonts w:cs="Times New Roman"/>
              </w:rPr>
            </w:pPr>
            <w:r>
              <w:rPr>
                <w:rFonts w:cs="Times New Roman"/>
              </w:rPr>
              <w:t>13,964</w:t>
            </w:r>
          </w:p>
        </w:tc>
      </w:tr>
      <w:tr w:rsidR="00C57C9F" w14:paraId="1D680B74" w14:textId="77777777" w:rsidTr="006F421D">
        <w:trPr>
          <w:divId w:val="2075661312"/>
        </w:trPr>
        <w:tc>
          <w:tcPr>
            <w:tcW w:w="5954" w:type="dxa"/>
            <w:vAlign w:val="center"/>
            <w:hideMark/>
          </w:tcPr>
          <w:p w14:paraId="4366A77D" w14:textId="77777777" w:rsidR="00C57C9F" w:rsidRDefault="00C57C9F">
            <w:pPr>
              <w:rPr>
                <w:rFonts w:eastAsia="Times New Roman" w:cs="Times New Roman"/>
              </w:rPr>
            </w:pPr>
          </w:p>
        </w:tc>
        <w:tc>
          <w:tcPr>
            <w:tcW w:w="1104" w:type="dxa"/>
            <w:vAlign w:val="center"/>
            <w:hideMark/>
          </w:tcPr>
          <w:p w14:paraId="54342DF7" w14:textId="77777777" w:rsidR="00C57C9F" w:rsidRDefault="00C57C9F" w:rsidP="006F421D">
            <w:pPr>
              <w:jc w:val="center"/>
              <w:rPr>
                <w:rFonts w:eastAsia="Times New Roman" w:cs="Times New Roman"/>
              </w:rPr>
            </w:pPr>
          </w:p>
        </w:tc>
        <w:tc>
          <w:tcPr>
            <w:tcW w:w="1604" w:type="dxa"/>
            <w:vAlign w:val="center"/>
            <w:hideMark/>
          </w:tcPr>
          <w:p w14:paraId="70D4487A" w14:textId="77777777" w:rsidR="00C57C9F" w:rsidRDefault="00C57C9F" w:rsidP="006F421D">
            <w:pPr>
              <w:jc w:val="right"/>
              <w:rPr>
                <w:rFonts w:eastAsia="Times New Roman" w:cs="Times New Roman"/>
              </w:rPr>
            </w:pPr>
          </w:p>
        </w:tc>
        <w:tc>
          <w:tcPr>
            <w:tcW w:w="1439" w:type="dxa"/>
            <w:vAlign w:val="center"/>
            <w:hideMark/>
          </w:tcPr>
          <w:p w14:paraId="1AED51CE" w14:textId="77777777" w:rsidR="00C57C9F" w:rsidRDefault="00C57C9F" w:rsidP="006F421D">
            <w:pPr>
              <w:jc w:val="right"/>
              <w:rPr>
                <w:rFonts w:eastAsia="Times New Roman" w:cs="Times New Roman"/>
              </w:rPr>
            </w:pPr>
          </w:p>
        </w:tc>
      </w:tr>
      <w:tr w:rsidR="00C57C9F" w14:paraId="1F3868FD" w14:textId="77777777" w:rsidTr="006F421D">
        <w:trPr>
          <w:divId w:val="2075661312"/>
        </w:trPr>
        <w:tc>
          <w:tcPr>
            <w:tcW w:w="5954" w:type="dxa"/>
            <w:vAlign w:val="center"/>
            <w:hideMark/>
          </w:tcPr>
          <w:p w14:paraId="3B8C1CC9" w14:textId="77777777" w:rsidR="00C57C9F" w:rsidRDefault="00C57C9F">
            <w:pPr>
              <w:pStyle w:val="3fins-table"/>
              <w:rPr>
                <w:rFonts w:cs="Times New Roman"/>
              </w:rPr>
            </w:pPr>
            <w:r>
              <w:rPr>
                <w:rStyle w:val="fins-bold"/>
                <w:rFonts w:cs="Times New Roman"/>
              </w:rPr>
              <w:t xml:space="preserve">LESS: </w:t>
            </w:r>
          </w:p>
        </w:tc>
        <w:tc>
          <w:tcPr>
            <w:tcW w:w="1104" w:type="dxa"/>
            <w:vAlign w:val="center"/>
            <w:hideMark/>
          </w:tcPr>
          <w:p w14:paraId="093914FA" w14:textId="77777777" w:rsidR="00C57C9F" w:rsidRDefault="00C57C9F" w:rsidP="006F421D">
            <w:pPr>
              <w:jc w:val="center"/>
              <w:rPr>
                <w:rFonts w:eastAsia="Times New Roman" w:cs="Times New Roman"/>
              </w:rPr>
            </w:pPr>
          </w:p>
        </w:tc>
        <w:tc>
          <w:tcPr>
            <w:tcW w:w="1604" w:type="dxa"/>
            <w:vAlign w:val="center"/>
            <w:hideMark/>
          </w:tcPr>
          <w:p w14:paraId="6DE67902" w14:textId="77777777" w:rsidR="00C57C9F" w:rsidRDefault="00C57C9F" w:rsidP="006F421D">
            <w:pPr>
              <w:jc w:val="right"/>
              <w:rPr>
                <w:rFonts w:eastAsia="Times New Roman" w:cs="Times New Roman"/>
              </w:rPr>
            </w:pPr>
          </w:p>
        </w:tc>
        <w:tc>
          <w:tcPr>
            <w:tcW w:w="1439" w:type="dxa"/>
            <w:vAlign w:val="center"/>
            <w:hideMark/>
          </w:tcPr>
          <w:p w14:paraId="3DBD38CA" w14:textId="77777777" w:rsidR="00C57C9F" w:rsidRDefault="00C57C9F" w:rsidP="006F421D">
            <w:pPr>
              <w:jc w:val="right"/>
              <w:rPr>
                <w:rFonts w:eastAsia="Times New Roman" w:cs="Times New Roman"/>
              </w:rPr>
            </w:pPr>
          </w:p>
        </w:tc>
      </w:tr>
      <w:tr w:rsidR="00C57C9F" w14:paraId="0208888E" w14:textId="77777777" w:rsidTr="006F421D">
        <w:trPr>
          <w:divId w:val="2075661312"/>
        </w:trPr>
        <w:tc>
          <w:tcPr>
            <w:tcW w:w="5954" w:type="dxa"/>
            <w:vAlign w:val="center"/>
            <w:hideMark/>
          </w:tcPr>
          <w:p w14:paraId="52206FF3" w14:textId="77777777" w:rsidR="00C57C9F" w:rsidRDefault="00C57C9F">
            <w:pPr>
              <w:pStyle w:val="3fins-table"/>
              <w:rPr>
                <w:rFonts w:cs="Times New Roman"/>
              </w:rPr>
            </w:pPr>
            <w:r>
              <w:rPr>
                <w:rStyle w:val="fins-bold"/>
                <w:rFonts w:cs="Times New Roman"/>
              </w:rPr>
              <w:t>OWN-SOURCE INCOME</w:t>
            </w:r>
          </w:p>
        </w:tc>
        <w:tc>
          <w:tcPr>
            <w:tcW w:w="1104" w:type="dxa"/>
            <w:vAlign w:val="center"/>
            <w:hideMark/>
          </w:tcPr>
          <w:p w14:paraId="4173A667" w14:textId="77777777" w:rsidR="00C57C9F" w:rsidRDefault="00C57C9F" w:rsidP="006F421D">
            <w:pPr>
              <w:jc w:val="center"/>
              <w:rPr>
                <w:rFonts w:eastAsia="Times New Roman" w:cs="Times New Roman"/>
              </w:rPr>
            </w:pPr>
          </w:p>
        </w:tc>
        <w:tc>
          <w:tcPr>
            <w:tcW w:w="1604" w:type="dxa"/>
            <w:vAlign w:val="center"/>
            <w:hideMark/>
          </w:tcPr>
          <w:p w14:paraId="0CC39131" w14:textId="77777777" w:rsidR="00C57C9F" w:rsidRDefault="00C57C9F" w:rsidP="006F421D">
            <w:pPr>
              <w:jc w:val="right"/>
              <w:rPr>
                <w:rFonts w:eastAsia="Times New Roman" w:cs="Times New Roman"/>
              </w:rPr>
            </w:pPr>
          </w:p>
        </w:tc>
        <w:tc>
          <w:tcPr>
            <w:tcW w:w="1439" w:type="dxa"/>
            <w:vAlign w:val="center"/>
            <w:hideMark/>
          </w:tcPr>
          <w:p w14:paraId="45A5BB20" w14:textId="77777777" w:rsidR="00C57C9F" w:rsidRDefault="00C57C9F" w:rsidP="006F421D">
            <w:pPr>
              <w:jc w:val="right"/>
              <w:rPr>
                <w:rFonts w:eastAsia="Times New Roman" w:cs="Times New Roman"/>
              </w:rPr>
            </w:pPr>
          </w:p>
        </w:tc>
      </w:tr>
      <w:tr w:rsidR="00C57C9F" w14:paraId="7324398E" w14:textId="77777777" w:rsidTr="006F421D">
        <w:trPr>
          <w:divId w:val="2075661312"/>
        </w:trPr>
        <w:tc>
          <w:tcPr>
            <w:tcW w:w="5954" w:type="dxa"/>
            <w:vAlign w:val="center"/>
            <w:hideMark/>
          </w:tcPr>
          <w:p w14:paraId="1C6B5F78" w14:textId="77777777" w:rsidR="00C57C9F" w:rsidRDefault="00C57C9F">
            <w:pPr>
              <w:pStyle w:val="3fins-table"/>
              <w:rPr>
                <w:rFonts w:cs="Times New Roman"/>
              </w:rPr>
            </w:pPr>
            <w:r>
              <w:rPr>
                <w:rStyle w:val="fins-bold"/>
                <w:rFonts w:cs="Times New Roman"/>
              </w:rPr>
              <w:t>Own-source revenue</w:t>
            </w:r>
          </w:p>
        </w:tc>
        <w:tc>
          <w:tcPr>
            <w:tcW w:w="1104" w:type="dxa"/>
            <w:vAlign w:val="center"/>
            <w:hideMark/>
          </w:tcPr>
          <w:p w14:paraId="5E3A34B1" w14:textId="77777777" w:rsidR="00C57C9F" w:rsidRDefault="00C57C9F" w:rsidP="006F421D">
            <w:pPr>
              <w:jc w:val="center"/>
              <w:rPr>
                <w:rFonts w:eastAsia="Times New Roman" w:cs="Times New Roman"/>
              </w:rPr>
            </w:pPr>
          </w:p>
        </w:tc>
        <w:tc>
          <w:tcPr>
            <w:tcW w:w="1604" w:type="dxa"/>
            <w:vAlign w:val="center"/>
            <w:hideMark/>
          </w:tcPr>
          <w:p w14:paraId="7A0460AF" w14:textId="77777777" w:rsidR="00C57C9F" w:rsidRDefault="00C57C9F" w:rsidP="006F421D">
            <w:pPr>
              <w:jc w:val="right"/>
              <w:rPr>
                <w:rFonts w:eastAsia="Times New Roman" w:cs="Times New Roman"/>
              </w:rPr>
            </w:pPr>
          </w:p>
        </w:tc>
        <w:tc>
          <w:tcPr>
            <w:tcW w:w="1439" w:type="dxa"/>
            <w:vAlign w:val="center"/>
            <w:hideMark/>
          </w:tcPr>
          <w:p w14:paraId="14FE197B" w14:textId="77777777" w:rsidR="00C57C9F" w:rsidRDefault="00C57C9F" w:rsidP="006F421D">
            <w:pPr>
              <w:jc w:val="right"/>
              <w:rPr>
                <w:rFonts w:eastAsia="Times New Roman" w:cs="Times New Roman"/>
              </w:rPr>
            </w:pPr>
          </w:p>
        </w:tc>
      </w:tr>
      <w:tr w:rsidR="00C57C9F" w14:paraId="08A41F61" w14:textId="77777777" w:rsidTr="006F421D">
        <w:trPr>
          <w:divId w:val="2075661312"/>
        </w:trPr>
        <w:tc>
          <w:tcPr>
            <w:tcW w:w="5954" w:type="dxa"/>
            <w:vAlign w:val="center"/>
            <w:hideMark/>
          </w:tcPr>
          <w:p w14:paraId="4FC0ED6D" w14:textId="77777777" w:rsidR="00C57C9F" w:rsidRDefault="00C57C9F">
            <w:pPr>
              <w:pStyle w:val="3fins-table"/>
              <w:rPr>
                <w:rFonts w:cs="Times New Roman"/>
              </w:rPr>
            </w:pPr>
            <w:r>
              <w:rPr>
                <w:rFonts w:cs="Times New Roman"/>
              </w:rPr>
              <w:t>Rendering of services</w:t>
            </w:r>
          </w:p>
        </w:tc>
        <w:tc>
          <w:tcPr>
            <w:tcW w:w="1104" w:type="dxa"/>
            <w:vAlign w:val="center"/>
            <w:hideMark/>
          </w:tcPr>
          <w:p w14:paraId="37615DB8" w14:textId="77777777" w:rsidR="00C57C9F" w:rsidRDefault="00C57C9F" w:rsidP="006F421D">
            <w:pPr>
              <w:pStyle w:val="3fins-table-notes"/>
              <w:jc w:val="center"/>
              <w:rPr>
                <w:rFonts w:cs="Times New Roman"/>
              </w:rPr>
            </w:pPr>
            <w:r>
              <w:rPr>
                <w:rFonts w:cs="Times New Roman"/>
              </w:rPr>
              <w:t>4A</w:t>
            </w:r>
          </w:p>
        </w:tc>
        <w:tc>
          <w:tcPr>
            <w:tcW w:w="1604" w:type="dxa"/>
            <w:vAlign w:val="center"/>
            <w:hideMark/>
          </w:tcPr>
          <w:p w14:paraId="2D551DA2" w14:textId="77777777" w:rsidR="00C57C9F" w:rsidRDefault="00C57C9F" w:rsidP="006F421D">
            <w:pPr>
              <w:pStyle w:val="3fins-table-figures"/>
              <w:jc w:val="right"/>
              <w:rPr>
                <w:rFonts w:cs="Times New Roman"/>
              </w:rPr>
            </w:pPr>
            <w:r>
              <w:rPr>
                <w:rStyle w:val="fins-bold"/>
                <w:rFonts w:cs="Times New Roman"/>
              </w:rPr>
              <w:t xml:space="preserve">6,104 </w:t>
            </w:r>
          </w:p>
        </w:tc>
        <w:tc>
          <w:tcPr>
            <w:tcW w:w="1439" w:type="dxa"/>
            <w:vAlign w:val="center"/>
            <w:hideMark/>
          </w:tcPr>
          <w:p w14:paraId="355E95C3" w14:textId="77777777" w:rsidR="00C57C9F" w:rsidRDefault="00C57C9F" w:rsidP="006F421D">
            <w:pPr>
              <w:pStyle w:val="3fins-table-figures"/>
              <w:jc w:val="right"/>
              <w:rPr>
                <w:rFonts w:cs="Times New Roman"/>
              </w:rPr>
            </w:pPr>
            <w:r>
              <w:rPr>
                <w:rFonts w:cs="Times New Roman"/>
              </w:rPr>
              <w:t>2,413</w:t>
            </w:r>
          </w:p>
        </w:tc>
      </w:tr>
      <w:tr w:rsidR="00C57C9F" w14:paraId="1D56C173" w14:textId="77777777" w:rsidTr="006F421D">
        <w:trPr>
          <w:divId w:val="2075661312"/>
        </w:trPr>
        <w:tc>
          <w:tcPr>
            <w:tcW w:w="5954" w:type="dxa"/>
            <w:vAlign w:val="center"/>
            <w:hideMark/>
          </w:tcPr>
          <w:p w14:paraId="1B546EEF" w14:textId="77777777" w:rsidR="00C57C9F" w:rsidRDefault="00C57C9F">
            <w:pPr>
              <w:pStyle w:val="3fins-table"/>
              <w:rPr>
                <w:rFonts w:cs="Times New Roman"/>
              </w:rPr>
            </w:pPr>
            <w:r>
              <w:rPr>
                <w:rFonts w:cs="Times New Roman"/>
              </w:rPr>
              <w:t>Interest</w:t>
            </w:r>
          </w:p>
        </w:tc>
        <w:tc>
          <w:tcPr>
            <w:tcW w:w="1104" w:type="dxa"/>
            <w:vAlign w:val="center"/>
            <w:hideMark/>
          </w:tcPr>
          <w:p w14:paraId="11307E20" w14:textId="77777777" w:rsidR="00C57C9F" w:rsidRDefault="00C57C9F" w:rsidP="006F421D">
            <w:pPr>
              <w:pStyle w:val="3fins-table-notes"/>
              <w:jc w:val="center"/>
              <w:rPr>
                <w:rFonts w:cs="Times New Roman"/>
              </w:rPr>
            </w:pPr>
            <w:r>
              <w:rPr>
                <w:rFonts w:cs="Times New Roman"/>
              </w:rPr>
              <w:t>4B</w:t>
            </w:r>
          </w:p>
        </w:tc>
        <w:tc>
          <w:tcPr>
            <w:tcW w:w="1604" w:type="dxa"/>
            <w:vAlign w:val="center"/>
            <w:hideMark/>
          </w:tcPr>
          <w:p w14:paraId="0C63470D" w14:textId="77777777" w:rsidR="00C57C9F" w:rsidRDefault="00C57C9F" w:rsidP="006F421D">
            <w:pPr>
              <w:pStyle w:val="3fins-table-figures"/>
              <w:jc w:val="right"/>
              <w:rPr>
                <w:rFonts w:cs="Times New Roman"/>
              </w:rPr>
            </w:pPr>
            <w:r>
              <w:rPr>
                <w:rStyle w:val="fins-bold"/>
                <w:rFonts w:cs="Times New Roman"/>
              </w:rPr>
              <w:t xml:space="preserve">312 </w:t>
            </w:r>
          </w:p>
        </w:tc>
        <w:tc>
          <w:tcPr>
            <w:tcW w:w="1439" w:type="dxa"/>
            <w:vAlign w:val="center"/>
            <w:hideMark/>
          </w:tcPr>
          <w:p w14:paraId="57A984C1" w14:textId="77777777" w:rsidR="00C57C9F" w:rsidRDefault="00C57C9F" w:rsidP="006F421D">
            <w:pPr>
              <w:pStyle w:val="3fins-table-figures"/>
              <w:jc w:val="right"/>
              <w:rPr>
                <w:rFonts w:cs="Times New Roman"/>
              </w:rPr>
            </w:pPr>
            <w:r>
              <w:rPr>
                <w:rFonts w:cs="Times New Roman"/>
              </w:rPr>
              <w:t>431</w:t>
            </w:r>
          </w:p>
        </w:tc>
      </w:tr>
      <w:tr w:rsidR="00C57C9F" w14:paraId="56FF6E8A" w14:textId="77777777" w:rsidTr="006F421D">
        <w:trPr>
          <w:divId w:val="2075661312"/>
        </w:trPr>
        <w:tc>
          <w:tcPr>
            <w:tcW w:w="5954" w:type="dxa"/>
            <w:vAlign w:val="center"/>
            <w:hideMark/>
          </w:tcPr>
          <w:p w14:paraId="24480A62" w14:textId="77777777" w:rsidR="00C57C9F" w:rsidRDefault="00C57C9F">
            <w:pPr>
              <w:pStyle w:val="3fins-table"/>
              <w:rPr>
                <w:rFonts w:cs="Times New Roman"/>
              </w:rPr>
            </w:pPr>
            <w:r>
              <w:rPr>
                <w:rFonts w:cs="Times New Roman"/>
              </w:rPr>
              <w:t>External contributions</w:t>
            </w:r>
          </w:p>
        </w:tc>
        <w:tc>
          <w:tcPr>
            <w:tcW w:w="1104" w:type="dxa"/>
            <w:vAlign w:val="center"/>
            <w:hideMark/>
          </w:tcPr>
          <w:p w14:paraId="7AC30E84" w14:textId="77777777" w:rsidR="00C57C9F" w:rsidRDefault="00C57C9F" w:rsidP="006F421D">
            <w:pPr>
              <w:pStyle w:val="3fins-table-notes"/>
              <w:jc w:val="center"/>
              <w:rPr>
                <w:rFonts w:cs="Times New Roman"/>
              </w:rPr>
            </w:pPr>
            <w:r>
              <w:rPr>
                <w:rFonts w:cs="Times New Roman"/>
              </w:rPr>
              <w:t>4C</w:t>
            </w:r>
          </w:p>
        </w:tc>
        <w:tc>
          <w:tcPr>
            <w:tcW w:w="1604" w:type="dxa"/>
            <w:vAlign w:val="center"/>
            <w:hideMark/>
          </w:tcPr>
          <w:p w14:paraId="2810D1A5" w14:textId="77777777" w:rsidR="00C57C9F" w:rsidRDefault="00C57C9F" w:rsidP="006F421D">
            <w:pPr>
              <w:pStyle w:val="3fins-table-figures"/>
              <w:jc w:val="right"/>
              <w:rPr>
                <w:rFonts w:cs="Times New Roman"/>
              </w:rPr>
            </w:pPr>
            <w:r>
              <w:rPr>
                <w:rStyle w:val="fins-bold"/>
                <w:rFonts w:cs="Times New Roman"/>
              </w:rPr>
              <w:t xml:space="preserve">6,335 </w:t>
            </w:r>
          </w:p>
        </w:tc>
        <w:tc>
          <w:tcPr>
            <w:tcW w:w="1439" w:type="dxa"/>
            <w:vAlign w:val="center"/>
            <w:hideMark/>
          </w:tcPr>
          <w:p w14:paraId="28476BCD" w14:textId="77777777" w:rsidR="00C57C9F" w:rsidRDefault="00C57C9F" w:rsidP="006F421D">
            <w:pPr>
              <w:pStyle w:val="3fins-table-figures"/>
              <w:jc w:val="right"/>
              <w:rPr>
                <w:rFonts w:cs="Times New Roman"/>
              </w:rPr>
            </w:pPr>
            <w:r>
              <w:rPr>
                <w:rFonts w:cs="Times New Roman"/>
              </w:rPr>
              <w:t>5,665</w:t>
            </w:r>
          </w:p>
        </w:tc>
      </w:tr>
      <w:tr w:rsidR="00C57C9F" w14:paraId="5CA6F087" w14:textId="77777777" w:rsidTr="006F421D">
        <w:trPr>
          <w:divId w:val="2075661312"/>
        </w:trPr>
        <w:tc>
          <w:tcPr>
            <w:tcW w:w="5954" w:type="dxa"/>
            <w:vAlign w:val="center"/>
            <w:hideMark/>
          </w:tcPr>
          <w:p w14:paraId="20408086" w14:textId="77777777" w:rsidR="00C57C9F" w:rsidRDefault="00C57C9F">
            <w:pPr>
              <w:pStyle w:val="3fins-table"/>
              <w:rPr>
                <w:rFonts w:cs="Times New Roman"/>
              </w:rPr>
            </w:pPr>
            <w:r>
              <w:rPr>
                <w:rStyle w:val="fins-bold"/>
                <w:rFonts w:cs="Times New Roman"/>
              </w:rPr>
              <w:t>Total own-source revenue</w:t>
            </w:r>
          </w:p>
        </w:tc>
        <w:tc>
          <w:tcPr>
            <w:tcW w:w="1104" w:type="dxa"/>
            <w:vAlign w:val="center"/>
            <w:hideMark/>
          </w:tcPr>
          <w:p w14:paraId="658F46BB" w14:textId="77777777" w:rsidR="00C57C9F" w:rsidRDefault="00C57C9F" w:rsidP="006F421D">
            <w:pPr>
              <w:jc w:val="center"/>
              <w:rPr>
                <w:rFonts w:eastAsia="Times New Roman" w:cs="Times New Roman"/>
              </w:rPr>
            </w:pPr>
          </w:p>
        </w:tc>
        <w:tc>
          <w:tcPr>
            <w:tcW w:w="1604" w:type="dxa"/>
            <w:tcBorders>
              <w:top w:val="single" w:sz="4" w:space="0" w:color="0D0D0D" w:themeColor="text1" w:themeTint="F2"/>
              <w:bottom w:val="single" w:sz="4" w:space="0" w:color="0D0D0D" w:themeColor="text1" w:themeTint="F2"/>
            </w:tcBorders>
            <w:vAlign w:val="center"/>
            <w:hideMark/>
          </w:tcPr>
          <w:p w14:paraId="44995AA9" w14:textId="77777777" w:rsidR="00C57C9F" w:rsidRDefault="00C57C9F" w:rsidP="006F421D">
            <w:pPr>
              <w:pStyle w:val="3fins-table-figures"/>
              <w:jc w:val="right"/>
              <w:rPr>
                <w:rFonts w:cs="Times New Roman"/>
              </w:rPr>
            </w:pPr>
            <w:r>
              <w:rPr>
                <w:rStyle w:val="fins-bold"/>
                <w:rFonts w:cs="Times New Roman"/>
              </w:rPr>
              <w:t xml:space="preserve">12,751 </w:t>
            </w:r>
          </w:p>
        </w:tc>
        <w:tc>
          <w:tcPr>
            <w:tcW w:w="1439" w:type="dxa"/>
            <w:tcBorders>
              <w:top w:val="single" w:sz="4" w:space="0" w:color="0D0D0D" w:themeColor="text1" w:themeTint="F2"/>
              <w:bottom w:val="single" w:sz="4" w:space="0" w:color="0D0D0D" w:themeColor="text1" w:themeTint="F2"/>
            </w:tcBorders>
            <w:vAlign w:val="center"/>
            <w:hideMark/>
          </w:tcPr>
          <w:p w14:paraId="4A37E05B" w14:textId="77777777" w:rsidR="00C57C9F" w:rsidRDefault="00C57C9F" w:rsidP="006F421D">
            <w:pPr>
              <w:pStyle w:val="3fins-table-figures"/>
              <w:jc w:val="right"/>
              <w:rPr>
                <w:rFonts w:cs="Times New Roman"/>
              </w:rPr>
            </w:pPr>
            <w:r>
              <w:rPr>
                <w:rFonts w:cs="Times New Roman"/>
              </w:rPr>
              <w:t>8,509</w:t>
            </w:r>
          </w:p>
        </w:tc>
      </w:tr>
      <w:tr w:rsidR="00C57C9F" w14:paraId="5111972A" w14:textId="77777777" w:rsidTr="006F421D">
        <w:trPr>
          <w:divId w:val="2075661312"/>
        </w:trPr>
        <w:tc>
          <w:tcPr>
            <w:tcW w:w="5954" w:type="dxa"/>
            <w:vAlign w:val="center"/>
            <w:hideMark/>
          </w:tcPr>
          <w:p w14:paraId="0B665359" w14:textId="77777777" w:rsidR="00C57C9F" w:rsidRDefault="00C57C9F">
            <w:pPr>
              <w:rPr>
                <w:rFonts w:eastAsia="Times New Roman" w:cs="Times New Roman"/>
              </w:rPr>
            </w:pPr>
          </w:p>
        </w:tc>
        <w:tc>
          <w:tcPr>
            <w:tcW w:w="1104" w:type="dxa"/>
            <w:vAlign w:val="center"/>
            <w:hideMark/>
          </w:tcPr>
          <w:p w14:paraId="6F982AD0" w14:textId="77777777" w:rsidR="00C57C9F" w:rsidRDefault="00C57C9F" w:rsidP="006F421D">
            <w:pPr>
              <w:jc w:val="center"/>
              <w:rPr>
                <w:rFonts w:eastAsia="Times New Roman" w:cs="Times New Roman"/>
              </w:rPr>
            </w:pPr>
          </w:p>
        </w:tc>
        <w:tc>
          <w:tcPr>
            <w:tcW w:w="1604" w:type="dxa"/>
            <w:vAlign w:val="center"/>
            <w:hideMark/>
          </w:tcPr>
          <w:p w14:paraId="3BAF5138" w14:textId="77777777" w:rsidR="00C57C9F" w:rsidRDefault="00C57C9F" w:rsidP="006F421D">
            <w:pPr>
              <w:jc w:val="right"/>
              <w:rPr>
                <w:rFonts w:eastAsia="Times New Roman" w:cs="Times New Roman"/>
              </w:rPr>
            </w:pPr>
          </w:p>
        </w:tc>
        <w:tc>
          <w:tcPr>
            <w:tcW w:w="1439" w:type="dxa"/>
            <w:vAlign w:val="center"/>
            <w:hideMark/>
          </w:tcPr>
          <w:p w14:paraId="4FCB9B4C" w14:textId="77777777" w:rsidR="00C57C9F" w:rsidRDefault="00C57C9F" w:rsidP="006F421D">
            <w:pPr>
              <w:jc w:val="right"/>
              <w:rPr>
                <w:rFonts w:eastAsia="Times New Roman" w:cs="Times New Roman"/>
              </w:rPr>
            </w:pPr>
          </w:p>
        </w:tc>
      </w:tr>
      <w:tr w:rsidR="00C57C9F" w14:paraId="6808CF17" w14:textId="77777777" w:rsidTr="006F421D">
        <w:trPr>
          <w:divId w:val="2075661312"/>
        </w:trPr>
        <w:tc>
          <w:tcPr>
            <w:tcW w:w="5954" w:type="dxa"/>
            <w:vAlign w:val="center"/>
            <w:hideMark/>
          </w:tcPr>
          <w:p w14:paraId="2AE0F6F5" w14:textId="77777777" w:rsidR="00C57C9F" w:rsidRDefault="00C57C9F">
            <w:pPr>
              <w:pStyle w:val="3fins-table"/>
              <w:rPr>
                <w:rFonts w:cs="Times New Roman"/>
              </w:rPr>
            </w:pPr>
            <w:r>
              <w:rPr>
                <w:rStyle w:val="fins-bold"/>
                <w:rFonts w:cs="Times New Roman"/>
              </w:rPr>
              <w:t>Net cost of services</w:t>
            </w:r>
          </w:p>
        </w:tc>
        <w:tc>
          <w:tcPr>
            <w:tcW w:w="1104" w:type="dxa"/>
            <w:vAlign w:val="center"/>
            <w:hideMark/>
          </w:tcPr>
          <w:p w14:paraId="136EE089" w14:textId="77777777" w:rsidR="00C57C9F" w:rsidRDefault="00C57C9F" w:rsidP="006F421D">
            <w:pPr>
              <w:jc w:val="center"/>
              <w:rPr>
                <w:rFonts w:eastAsia="Times New Roman" w:cs="Times New Roman"/>
              </w:rPr>
            </w:pPr>
          </w:p>
        </w:tc>
        <w:tc>
          <w:tcPr>
            <w:tcW w:w="1604" w:type="dxa"/>
            <w:tcBorders>
              <w:bottom w:val="single" w:sz="4" w:space="0" w:color="0D0D0D" w:themeColor="text1" w:themeTint="F2"/>
            </w:tcBorders>
            <w:vAlign w:val="center"/>
            <w:hideMark/>
          </w:tcPr>
          <w:p w14:paraId="1FA89ED8" w14:textId="77777777" w:rsidR="00C57C9F" w:rsidRDefault="00C57C9F" w:rsidP="006F421D">
            <w:pPr>
              <w:pStyle w:val="3fins-table-figures"/>
              <w:jc w:val="right"/>
              <w:rPr>
                <w:rFonts w:cs="Times New Roman"/>
              </w:rPr>
            </w:pPr>
            <w:r>
              <w:rPr>
                <w:rStyle w:val="fins-bold"/>
                <w:rFonts w:cs="Times New Roman"/>
              </w:rPr>
              <w:t xml:space="preserve">5,975 </w:t>
            </w:r>
          </w:p>
        </w:tc>
        <w:tc>
          <w:tcPr>
            <w:tcW w:w="1439" w:type="dxa"/>
            <w:tcBorders>
              <w:bottom w:val="single" w:sz="4" w:space="0" w:color="0D0D0D" w:themeColor="text1" w:themeTint="F2"/>
            </w:tcBorders>
            <w:vAlign w:val="center"/>
            <w:hideMark/>
          </w:tcPr>
          <w:p w14:paraId="22E28B5A" w14:textId="77777777" w:rsidR="00C57C9F" w:rsidRDefault="00C57C9F" w:rsidP="006F421D">
            <w:pPr>
              <w:pStyle w:val="3fins-table-figures"/>
              <w:jc w:val="right"/>
              <w:rPr>
                <w:rFonts w:cs="Times New Roman"/>
              </w:rPr>
            </w:pPr>
            <w:r>
              <w:rPr>
                <w:rFonts w:cs="Times New Roman"/>
              </w:rPr>
              <w:t>5,455</w:t>
            </w:r>
          </w:p>
        </w:tc>
      </w:tr>
      <w:tr w:rsidR="00C57C9F" w14:paraId="442386A0" w14:textId="77777777" w:rsidTr="006F421D">
        <w:trPr>
          <w:divId w:val="2075661312"/>
        </w:trPr>
        <w:tc>
          <w:tcPr>
            <w:tcW w:w="5954" w:type="dxa"/>
            <w:vAlign w:val="center"/>
            <w:hideMark/>
          </w:tcPr>
          <w:p w14:paraId="34FD8590" w14:textId="77777777" w:rsidR="00C57C9F" w:rsidRDefault="00C57C9F">
            <w:pPr>
              <w:rPr>
                <w:rFonts w:eastAsia="Times New Roman" w:cs="Times New Roman"/>
              </w:rPr>
            </w:pPr>
          </w:p>
        </w:tc>
        <w:tc>
          <w:tcPr>
            <w:tcW w:w="1104" w:type="dxa"/>
            <w:vAlign w:val="center"/>
            <w:hideMark/>
          </w:tcPr>
          <w:p w14:paraId="7CF9C7D7" w14:textId="77777777" w:rsidR="00C57C9F" w:rsidRDefault="00C57C9F" w:rsidP="006F421D">
            <w:pPr>
              <w:jc w:val="center"/>
              <w:rPr>
                <w:rFonts w:eastAsia="Times New Roman" w:cs="Times New Roman"/>
              </w:rPr>
            </w:pPr>
          </w:p>
        </w:tc>
        <w:tc>
          <w:tcPr>
            <w:tcW w:w="1604" w:type="dxa"/>
            <w:vAlign w:val="center"/>
            <w:hideMark/>
          </w:tcPr>
          <w:p w14:paraId="15747DD7" w14:textId="77777777" w:rsidR="00C57C9F" w:rsidRDefault="00C57C9F" w:rsidP="006F421D">
            <w:pPr>
              <w:jc w:val="right"/>
              <w:rPr>
                <w:rFonts w:eastAsia="Times New Roman" w:cs="Times New Roman"/>
              </w:rPr>
            </w:pPr>
          </w:p>
        </w:tc>
        <w:tc>
          <w:tcPr>
            <w:tcW w:w="1439" w:type="dxa"/>
            <w:vAlign w:val="center"/>
            <w:hideMark/>
          </w:tcPr>
          <w:p w14:paraId="310C68F7" w14:textId="77777777" w:rsidR="00C57C9F" w:rsidRDefault="00C57C9F" w:rsidP="006F421D">
            <w:pPr>
              <w:jc w:val="right"/>
              <w:rPr>
                <w:rFonts w:eastAsia="Times New Roman" w:cs="Times New Roman"/>
              </w:rPr>
            </w:pPr>
          </w:p>
        </w:tc>
      </w:tr>
      <w:tr w:rsidR="00C57C9F" w14:paraId="6E3584CF" w14:textId="77777777" w:rsidTr="006F421D">
        <w:trPr>
          <w:divId w:val="2075661312"/>
        </w:trPr>
        <w:tc>
          <w:tcPr>
            <w:tcW w:w="5954" w:type="dxa"/>
            <w:vAlign w:val="center"/>
            <w:hideMark/>
          </w:tcPr>
          <w:p w14:paraId="21F07920" w14:textId="77777777" w:rsidR="00C57C9F" w:rsidRDefault="00C57C9F">
            <w:pPr>
              <w:pStyle w:val="3fins-table"/>
              <w:rPr>
                <w:rFonts w:cs="Times New Roman"/>
              </w:rPr>
            </w:pPr>
            <w:r>
              <w:rPr>
                <w:rFonts w:cs="Times New Roman"/>
              </w:rPr>
              <w:t>Revenue from Government</w:t>
            </w:r>
          </w:p>
        </w:tc>
        <w:tc>
          <w:tcPr>
            <w:tcW w:w="1104" w:type="dxa"/>
            <w:vAlign w:val="center"/>
            <w:hideMark/>
          </w:tcPr>
          <w:p w14:paraId="216381AA" w14:textId="77777777" w:rsidR="00C57C9F" w:rsidRDefault="00C57C9F" w:rsidP="006F421D">
            <w:pPr>
              <w:pStyle w:val="3fins-table-notes"/>
              <w:jc w:val="center"/>
              <w:rPr>
                <w:rFonts w:cs="Times New Roman"/>
              </w:rPr>
            </w:pPr>
            <w:r>
              <w:rPr>
                <w:rFonts w:cs="Times New Roman"/>
              </w:rPr>
              <w:t>4D</w:t>
            </w:r>
          </w:p>
        </w:tc>
        <w:tc>
          <w:tcPr>
            <w:tcW w:w="1604" w:type="dxa"/>
            <w:tcBorders>
              <w:top w:val="single" w:sz="4" w:space="0" w:color="0D0D0D" w:themeColor="text1" w:themeTint="F2"/>
              <w:bottom w:val="single" w:sz="4" w:space="0" w:color="0D0D0D" w:themeColor="text1" w:themeTint="F2"/>
            </w:tcBorders>
            <w:vAlign w:val="center"/>
            <w:hideMark/>
          </w:tcPr>
          <w:p w14:paraId="017223B7" w14:textId="77777777" w:rsidR="00C57C9F" w:rsidRDefault="00C57C9F" w:rsidP="006F421D">
            <w:pPr>
              <w:pStyle w:val="3fins-table-figures"/>
              <w:jc w:val="right"/>
              <w:rPr>
                <w:rFonts w:cs="Times New Roman"/>
              </w:rPr>
            </w:pPr>
            <w:r>
              <w:rPr>
                <w:rStyle w:val="fins-bold"/>
                <w:rFonts w:cs="Times New Roman"/>
              </w:rPr>
              <w:t xml:space="preserve">6,335 </w:t>
            </w:r>
          </w:p>
        </w:tc>
        <w:tc>
          <w:tcPr>
            <w:tcW w:w="1439" w:type="dxa"/>
            <w:tcBorders>
              <w:top w:val="single" w:sz="4" w:space="0" w:color="0D0D0D" w:themeColor="text1" w:themeTint="F2"/>
              <w:bottom w:val="single" w:sz="4" w:space="0" w:color="0D0D0D" w:themeColor="text1" w:themeTint="F2"/>
            </w:tcBorders>
            <w:vAlign w:val="center"/>
            <w:hideMark/>
          </w:tcPr>
          <w:p w14:paraId="12D0C580" w14:textId="77777777" w:rsidR="00C57C9F" w:rsidRDefault="00C57C9F" w:rsidP="006F421D">
            <w:pPr>
              <w:pStyle w:val="3fins-table-figures"/>
              <w:jc w:val="right"/>
              <w:rPr>
                <w:rFonts w:cs="Times New Roman"/>
              </w:rPr>
            </w:pPr>
            <w:r>
              <w:rPr>
                <w:rFonts w:cs="Times New Roman"/>
              </w:rPr>
              <w:t>5,665</w:t>
            </w:r>
          </w:p>
        </w:tc>
      </w:tr>
      <w:tr w:rsidR="00C57C9F" w14:paraId="4F5C7D80" w14:textId="77777777" w:rsidTr="006F421D">
        <w:trPr>
          <w:divId w:val="2075661312"/>
        </w:trPr>
        <w:tc>
          <w:tcPr>
            <w:tcW w:w="5954" w:type="dxa"/>
            <w:vAlign w:val="center"/>
            <w:hideMark/>
          </w:tcPr>
          <w:p w14:paraId="1634DF38" w14:textId="77777777" w:rsidR="00C57C9F" w:rsidRDefault="00C57C9F">
            <w:pPr>
              <w:pStyle w:val="3fins-table"/>
              <w:rPr>
                <w:rFonts w:cs="Times New Roman"/>
              </w:rPr>
            </w:pPr>
            <w:r>
              <w:rPr>
                <w:rStyle w:val="fins-bold"/>
                <w:rFonts w:cs="Times New Roman"/>
              </w:rPr>
              <w:t>Surplus (deficit)</w:t>
            </w:r>
          </w:p>
        </w:tc>
        <w:tc>
          <w:tcPr>
            <w:tcW w:w="1104" w:type="dxa"/>
            <w:vAlign w:val="center"/>
            <w:hideMark/>
          </w:tcPr>
          <w:p w14:paraId="05641355" w14:textId="77777777" w:rsidR="00C57C9F" w:rsidRDefault="00C57C9F" w:rsidP="006F421D">
            <w:pPr>
              <w:jc w:val="center"/>
              <w:rPr>
                <w:rFonts w:eastAsia="Times New Roman" w:cs="Times New Roman"/>
              </w:rPr>
            </w:pPr>
          </w:p>
        </w:tc>
        <w:tc>
          <w:tcPr>
            <w:tcW w:w="1604" w:type="dxa"/>
            <w:tcBorders>
              <w:top w:val="single" w:sz="4" w:space="0" w:color="0D0D0D" w:themeColor="text1" w:themeTint="F2"/>
              <w:bottom w:val="single" w:sz="4" w:space="0" w:color="0D0D0D" w:themeColor="text1" w:themeTint="F2"/>
            </w:tcBorders>
            <w:vAlign w:val="center"/>
            <w:hideMark/>
          </w:tcPr>
          <w:p w14:paraId="6B4648E4" w14:textId="77777777" w:rsidR="00C57C9F" w:rsidRDefault="00C57C9F" w:rsidP="006F421D">
            <w:pPr>
              <w:pStyle w:val="3fins-table-figures"/>
              <w:jc w:val="right"/>
              <w:rPr>
                <w:rFonts w:cs="Times New Roman"/>
              </w:rPr>
            </w:pPr>
            <w:r>
              <w:rPr>
                <w:rStyle w:val="fins-bold"/>
                <w:rFonts w:cs="Times New Roman"/>
              </w:rPr>
              <w:t xml:space="preserve">360 </w:t>
            </w:r>
          </w:p>
        </w:tc>
        <w:tc>
          <w:tcPr>
            <w:tcW w:w="1439" w:type="dxa"/>
            <w:tcBorders>
              <w:top w:val="single" w:sz="4" w:space="0" w:color="0D0D0D" w:themeColor="text1" w:themeTint="F2"/>
              <w:bottom w:val="single" w:sz="4" w:space="0" w:color="0D0D0D" w:themeColor="text1" w:themeTint="F2"/>
            </w:tcBorders>
            <w:vAlign w:val="center"/>
            <w:hideMark/>
          </w:tcPr>
          <w:p w14:paraId="026748B2" w14:textId="77777777" w:rsidR="00C57C9F" w:rsidRDefault="00C57C9F" w:rsidP="006F421D">
            <w:pPr>
              <w:pStyle w:val="3fins-table-figures"/>
              <w:jc w:val="right"/>
              <w:rPr>
                <w:rFonts w:cs="Times New Roman"/>
              </w:rPr>
            </w:pPr>
            <w:r>
              <w:rPr>
                <w:rFonts w:cs="Times New Roman"/>
              </w:rPr>
              <w:t>210</w:t>
            </w:r>
          </w:p>
        </w:tc>
      </w:tr>
      <w:tr w:rsidR="00C57C9F" w14:paraId="42437FDE" w14:textId="77777777" w:rsidTr="006F421D">
        <w:trPr>
          <w:divId w:val="2075661312"/>
        </w:trPr>
        <w:tc>
          <w:tcPr>
            <w:tcW w:w="5954" w:type="dxa"/>
            <w:vAlign w:val="center"/>
            <w:hideMark/>
          </w:tcPr>
          <w:p w14:paraId="2A47711E" w14:textId="77777777" w:rsidR="00C57C9F" w:rsidRDefault="00C57C9F">
            <w:pPr>
              <w:rPr>
                <w:rFonts w:eastAsia="Times New Roman" w:cs="Times New Roman"/>
              </w:rPr>
            </w:pPr>
          </w:p>
        </w:tc>
        <w:tc>
          <w:tcPr>
            <w:tcW w:w="1104" w:type="dxa"/>
            <w:vAlign w:val="center"/>
            <w:hideMark/>
          </w:tcPr>
          <w:p w14:paraId="11CB5FAC" w14:textId="77777777" w:rsidR="00C57C9F" w:rsidRDefault="00C57C9F" w:rsidP="006F421D">
            <w:pPr>
              <w:jc w:val="center"/>
              <w:rPr>
                <w:rFonts w:eastAsia="Times New Roman" w:cs="Times New Roman"/>
              </w:rPr>
            </w:pPr>
          </w:p>
        </w:tc>
        <w:tc>
          <w:tcPr>
            <w:tcW w:w="1604" w:type="dxa"/>
            <w:vAlign w:val="center"/>
            <w:hideMark/>
          </w:tcPr>
          <w:p w14:paraId="4221FFCF" w14:textId="77777777" w:rsidR="00C57C9F" w:rsidRDefault="00C57C9F" w:rsidP="006F421D">
            <w:pPr>
              <w:jc w:val="right"/>
              <w:rPr>
                <w:rFonts w:eastAsia="Times New Roman" w:cs="Times New Roman"/>
              </w:rPr>
            </w:pPr>
          </w:p>
        </w:tc>
        <w:tc>
          <w:tcPr>
            <w:tcW w:w="1439" w:type="dxa"/>
            <w:vAlign w:val="center"/>
            <w:hideMark/>
          </w:tcPr>
          <w:p w14:paraId="2D5F7620" w14:textId="77777777" w:rsidR="00C57C9F" w:rsidRDefault="00C57C9F" w:rsidP="006F421D">
            <w:pPr>
              <w:jc w:val="right"/>
              <w:rPr>
                <w:rFonts w:eastAsia="Times New Roman" w:cs="Times New Roman"/>
              </w:rPr>
            </w:pPr>
          </w:p>
        </w:tc>
      </w:tr>
      <w:tr w:rsidR="00C57C9F" w14:paraId="491D82AA" w14:textId="77777777" w:rsidTr="006F421D">
        <w:trPr>
          <w:divId w:val="2075661312"/>
        </w:trPr>
        <w:tc>
          <w:tcPr>
            <w:tcW w:w="5954" w:type="dxa"/>
            <w:vAlign w:val="center"/>
            <w:hideMark/>
          </w:tcPr>
          <w:p w14:paraId="328D441C" w14:textId="77777777" w:rsidR="00C57C9F" w:rsidRDefault="00C57C9F">
            <w:pPr>
              <w:pStyle w:val="3fins-table"/>
              <w:rPr>
                <w:rFonts w:cs="Times New Roman"/>
              </w:rPr>
            </w:pPr>
            <w:r>
              <w:rPr>
                <w:rStyle w:val="fins-bold"/>
                <w:rFonts w:cs="Times New Roman"/>
              </w:rPr>
              <w:t>OTHER COMPREHENSIVE INCOME</w:t>
            </w:r>
          </w:p>
        </w:tc>
        <w:tc>
          <w:tcPr>
            <w:tcW w:w="1104" w:type="dxa"/>
            <w:vAlign w:val="center"/>
            <w:hideMark/>
          </w:tcPr>
          <w:p w14:paraId="707AC58E" w14:textId="77777777" w:rsidR="00C57C9F" w:rsidRDefault="00C57C9F" w:rsidP="006F421D">
            <w:pPr>
              <w:jc w:val="center"/>
              <w:rPr>
                <w:rFonts w:eastAsia="Times New Roman" w:cs="Times New Roman"/>
              </w:rPr>
            </w:pPr>
          </w:p>
        </w:tc>
        <w:tc>
          <w:tcPr>
            <w:tcW w:w="1604" w:type="dxa"/>
            <w:vAlign w:val="center"/>
            <w:hideMark/>
          </w:tcPr>
          <w:p w14:paraId="30F9BB31" w14:textId="77777777" w:rsidR="00C57C9F" w:rsidRDefault="00C57C9F" w:rsidP="006F421D">
            <w:pPr>
              <w:jc w:val="right"/>
              <w:rPr>
                <w:rFonts w:eastAsia="Times New Roman" w:cs="Times New Roman"/>
              </w:rPr>
            </w:pPr>
          </w:p>
        </w:tc>
        <w:tc>
          <w:tcPr>
            <w:tcW w:w="1439" w:type="dxa"/>
            <w:vAlign w:val="center"/>
            <w:hideMark/>
          </w:tcPr>
          <w:p w14:paraId="778F2223" w14:textId="77777777" w:rsidR="00C57C9F" w:rsidRDefault="00C57C9F" w:rsidP="006F421D">
            <w:pPr>
              <w:jc w:val="right"/>
              <w:rPr>
                <w:rFonts w:eastAsia="Times New Roman" w:cs="Times New Roman"/>
              </w:rPr>
            </w:pPr>
          </w:p>
        </w:tc>
      </w:tr>
      <w:tr w:rsidR="00C57C9F" w14:paraId="73672A16" w14:textId="77777777" w:rsidTr="006F421D">
        <w:trPr>
          <w:divId w:val="2075661312"/>
        </w:trPr>
        <w:tc>
          <w:tcPr>
            <w:tcW w:w="5954" w:type="dxa"/>
            <w:vAlign w:val="center"/>
            <w:hideMark/>
          </w:tcPr>
          <w:p w14:paraId="0C2A879B" w14:textId="77777777" w:rsidR="00C57C9F" w:rsidRDefault="00C57C9F">
            <w:pPr>
              <w:pStyle w:val="3fins-table"/>
              <w:rPr>
                <w:rFonts w:cs="Times New Roman"/>
              </w:rPr>
            </w:pPr>
            <w:r>
              <w:rPr>
                <w:rFonts w:cs="Times New Roman"/>
              </w:rPr>
              <w:t>Changes in asset revaluation reserves</w:t>
            </w:r>
          </w:p>
        </w:tc>
        <w:tc>
          <w:tcPr>
            <w:tcW w:w="1104" w:type="dxa"/>
            <w:vAlign w:val="center"/>
            <w:hideMark/>
          </w:tcPr>
          <w:p w14:paraId="56A10299" w14:textId="77777777" w:rsidR="00C57C9F" w:rsidRDefault="00C57C9F" w:rsidP="006F421D">
            <w:pPr>
              <w:jc w:val="center"/>
              <w:rPr>
                <w:rFonts w:eastAsia="Times New Roman" w:cs="Times New Roman"/>
              </w:rPr>
            </w:pPr>
          </w:p>
        </w:tc>
        <w:tc>
          <w:tcPr>
            <w:tcW w:w="1604" w:type="dxa"/>
            <w:tcBorders>
              <w:bottom w:val="single" w:sz="4" w:space="0" w:color="0D0D0D" w:themeColor="text1" w:themeTint="F2"/>
            </w:tcBorders>
            <w:vAlign w:val="center"/>
            <w:hideMark/>
          </w:tcPr>
          <w:p w14:paraId="79ED97BF" w14:textId="77777777" w:rsidR="00C57C9F" w:rsidRDefault="00C57C9F" w:rsidP="006F421D">
            <w:pPr>
              <w:pStyle w:val="3fins-table-figures"/>
              <w:jc w:val="right"/>
              <w:rPr>
                <w:rFonts w:cs="Times New Roman"/>
              </w:rPr>
            </w:pPr>
            <w:r>
              <w:rPr>
                <w:rStyle w:val="fins-bold"/>
                <w:rFonts w:cs="Times New Roman"/>
              </w:rPr>
              <w:t>–</w:t>
            </w:r>
          </w:p>
        </w:tc>
        <w:tc>
          <w:tcPr>
            <w:tcW w:w="1439" w:type="dxa"/>
            <w:tcBorders>
              <w:bottom w:val="single" w:sz="4" w:space="0" w:color="0D0D0D" w:themeColor="text1" w:themeTint="F2"/>
            </w:tcBorders>
            <w:vAlign w:val="center"/>
            <w:hideMark/>
          </w:tcPr>
          <w:p w14:paraId="2AE3775E" w14:textId="77777777" w:rsidR="00C57C9F" w:rsidRDefault="00C57C9F" w:rsidP="006F421D">
            <w:pPr>
              <w:pStyle w:val="3fins-table-figures"/>
              <w:jc w:val="right"/>
              <w:rPr>
                <w:rFonts w:cs="Times New Roman"/>
              </w:rPr>
            </w:pPr>
            <w:r>
              <w:rPr>
                <w:rFonts w:cs="Times New Roman"/>
              </w:rPr>
              <w:t>(3)</w:t>
            </w:r>
          </w:p>
        </w:tc>
      </w:tr>
      <w:tr w:rsidR="00C57C9F" w14:paraId="0E39CA80" w14:textId="77777777" w:rsidTr="006F421D">
        <w:trPr>
          <w:divId w:val="2075661312"/>
        </w:trPr>
        <w:tc>
          <w:tcPr>
            <w:tcW w:w="5954" w:type="dxa"/>
            <w:vAlign w:val="center"/>
            <w:hideMark/>
          </w:tcPr>
          <w:p w14:paraId="57C67F22" w14:textId="77777777" w:rsidR="00C57C9F" w:rsidRDefault="00C57C9F">
            <w:pPr>
              <w:pStyle w:val="3fins-table"/>
              <w:rPr>
                <w:rFonts w:cs="Times New Roman"/>
              </w:rPr>
            </w:pPr>
            <w:r>
              <w:rPr>
                <w:rStyle w:val="fins-bold"/>
                <w:rFonts w:cs="Times New Roman"/>
              </w:rPr>
              <w:t>Total other comprehensive income (loss)</w:t>
            </w:r>
          </w:p>
        </w:tc>
        <w:tc>
          <w:tcPr>
            <w:tcW w:w="1104" w:type="dxa"/>
            <w:vAlign w:val="center"/>
            <w:hideMark/>
          </w:tcPr>
          <w:p w14:paraId="75081FFA" w14:textId="77777777" w:rsidR="00C57C9F" w:rsidRDefault="00C57C9F" w:rsidP="006F421D">
            <w:pPr>
              <w:jc w:val="center"/>
              <w:rPr>
                <w:rFonts w:eastAsia="Times New Roman" w:cs="Times New Roman"/>
              </w:rPr>
            </w:pPr>
          </w:p>
        </w:tc>
        <w:tc>
          <w:tcPr>
            <w:tcW w:w="1604" w:type="dxa"/>
            <w:tcBorders>
              <w:top w:val="single" w:sz="4" w:space="0" w:color="0D0D0D" w:themeColor="text1" w:themeTint="F2"/>
              <w:bottom w:val="single" w:sz="4" w:space="0" w:color="0D0D0D" w:themeColor="text1" w:themeTint="F2"/>
            </w:tcBorders>
            <w:vAlign w:val="center"/>
            <w:hideMark/>
          </w:tcPr>
          <w:p w14:paraId="53BFB7D9" w14:textId="77777777" w:rsidR="00C57C9F" w:rsidRDefault="00C57C9F" w:rsidP="006F421D">
            <w:pPr>
              <w:pStyle w:val="3fins-table-figures"/>
              <w:jc w:val="right"/>
              <w:rPr>
                <w:rFonts w:cs="Times New Roman"/>
              </w:rPr>
            </w:pPr>
            <w:r>
              <w:rPr>
                <w:rStyle w:val="fins-bold"/>
                <w:rFonts w:cs="Times New Roman"/>
              </w:rPr>
              <w:t>–</w:t>
            </w:r>
          </w:p>
        </w:tc>
        <w:tc>
          <w:tcPr>
            <w:tcW w:w="1439" w:type="dxa"/>
            <w:tcBorders>
              <w:top w:val="single" w:sz="4" w:space="0" w:color="0D0D0D" w:themeColor="text1" w:themeTint="F2"/>
              <w:bottom w:val="single" w:sz="4" w:space="0" w:color="0D0D0D" w:themeColor="text1" w:themeTint="F2"/>
            </w:tcBorders>
            <w:vAlign w:val="center"/>
            <w:hideMark/>
          </w:tcPr>
          <w:p w14:paraId="7CFCEDC0" w14:textId="77777777" w:rsidR="00C57C9F" w:rsidRDefault="00C57C9F" w:rsidP="006F421D">
            <w:pPr>
              <w:pStyle w:val="3fins-table-figures"/>
              <w:jc w:val="right"/>
              <w:rPr>
                <w:rFonts w:cs="Times New Roman"/>
              </w:rPr>
            </w:pPr>
            <w:r>
              <w:rPr>
                <w:rFonts w:cs="Times New Roman"/>
              </w:rPr>
              <w:t>(3)</w:t>
            </w:r>
          </w:p>
        </w:tc>
      </w:tr>
      <w:tr w:rsidR="00C57C9F" w14:paraId="5EB6E22C" w14:textId="77777777" w:rsidTr="006F421D">
        <w:trPr>
          <w:divId w:val="2075661312"/>
        </w:trPr>
        <w:tc>
          <w:tcPr>
            <w:tcW w:w="5954" w:type="dxa"/>
            <w:vAlign w:val="center"/>
            <w:hideMark/>
          </w:tcPr>
          <w:p w14:paraId="5A1A4BC4" w14:textId="77777777" w:rsidR="00C57C9F" w:rsidRDefault="00C57C9F">
            <w:pPr>
              <w:pStyle w:val="3fins-table"/>
              <w:rPr>
                <w:rFonts w:cs="Times New Roman"/>
              </w:rPr>
            </w:pPr>
            <w:r>
              <w:rPr>
                <w:rStyle w:val="fins-bold"/>
                <w:rFonts w:cs="Times New Roman"/>
              </w:rPr>
              <w:t>Total comprehensive income (loss)</w:t>
            </w:r>
          </w:p>
        </w:tc>
        <w:tc>
          <w:tcPr>
            <w:tcW w:w="1104" w:type="dxa"/>
            <w:vAlign w:val="center"/>
            <w:hideMark/>
          </w:tcPr>
          <w:p w14:paraId="3DD9920B" w14:textId="77777777" w:rsidR="00C57C9F" w:rsidRDefault="00C57C9F" w:rsidP="006F421D">
            <w:pPr>
              <w:jc w:val="center"/>
              <w:rPr>
                <w:rFonts w:eastAsia="Times New Roman" w:cs="Times New Roman"/>
              </w:rPr>
            </w:pPr>
          </w:p>
        </w:tc>
        <w:tc>
          <w:tcPr>
            <w:tcW w:w="1604" w:type="dxa"/>
            <w:tcBorders>
              <w:top w:val="single" w:sz="4" w:space="0" w:color="0D0D0D" w:themeColor="text1" w:themeTint="F2"/>
              <w:bottom w:val="single" w:sz="4" w:space="0" w:color="0D0D0D" w:themeColor="text1" w:themeTint="F2"/>
            </w:tcBorders>
            <w:vAlign w:val="center"/>
            <w:hideMark/>
          </w:tcPr>
          <w:p w14:paraId="5EC482CA" w14:textId="77777777" w:rsidR="00C57C9F" w:rsidRDefault="00C57C9F" w:rsidP="006F421D">
            <w:pPr>
              <w:pStyle w:val="3fins-table-figures"/>
              <w:jc w:val="right"/>
              <w:rPr>
                <w:rFonts w:cs="Times New Roman"/>
              </w:rPr>
            </w:pPr>
            <w:r>
              <w:rPr>
                <w:rStyle w:val="fins-bold"/>
                <w:rFonts w:cs="Times New Roman"/>
              </w:rPr>
              <w:t xml:space="preserve">360 </w:t>
            </w:r>
          </w:p>
        </w:tc>
        <w:tc>
          <w:tcPr>
            <w:tcW w:w="1439" w:type="dxa"/>
            <w:tcBorders>
              <w:top w:val="single" w:sz="4" w:space="0" w:color="0D0D0D" w:themeColor="text1" w:themeTint="F2"/>
              <w:bottom w:val="single" w:sz="4" w:space="0" w:color="0D0D0D" w:themeColor="text1" w:themeTint="F2"/>
            </w:tcBorders>
            <w:vAlign w:val="center"/>
            <w:hideMark/>
          </w:tcPr>
          <w:p w14:paraId="33DA7492" w14:textId="77777777" w:rsidR="00C57C9F" w:rsidRDefault="00C57C9F" w:rsidP="006F421D">
            <w:pPr>
              <w:pStyle w:val="3fins-table-figures"/>
              <w:jc w:val="right"/>
              <w:rPr>
                <w:rFonts w:cs="Times New Roman"/>
              </w:rPr>
            </w:pPr>
            <w:r>
              <w:rPr>
                <w:rFonts w:cs="Times New Roman"/>
              </w:rPr>
              <w:t>207</w:t>
            </w:r>
          </w:p>
        </w:tc>
      </w:tr>
      <w:tr w:rsidR="00C57C9F" w14:paraId="67D70730" w14:textId="77777777" w:rsidTr="006F421D">
        <w:trPr>
          <w:divId w:val="2075661312"/>
        </w:trPr>
        <w:tc>
          <w:tcPr>
            <w:tcW w:w="5954" w:type="dxa"/>
            <w:vAlign w:val="center"/>
            <w:hideMark/>
          </w:tcPr>
          <w:p w14:paraId="290FA9B9" w14:textId="77777777" w:rsidR="00C57C9F" w:rsidRDefault="00C57C9F">
            <w:pPr>
              <w:rPr>
                <w:rFonts w:eastAsia="Times New Roman" w:cs="Times New Roman"/>
              </w:rPr>
            </w:pPr>
          </w:p>
        </w:tc>
        <w:tc>
          <w:tcPr>
            <w:tcW w:w="1104" w:type="dxa"/>
            <w:vAlign w:val="center"/>
            <w:hideMark/>
          </w:tcPr>
          <w:p w14:paraId="58EEDBB9" w14:textId="77777777" w:rsidR="00C57C9F" w:rsidRDefault="00C57C9F" w:rsidP="006F421D">
            <w:pPr>
              <w:jc w:val="center"/>
              <w:rPr>
                <w:rFonts w:eastAsia="Times New Roman" w:cs="Times New Roman"/>
              </w:rPr>
            </w:pPr>
          </w:p>
        </w:tc>
        <w:tc>
          <w:tcPr>
            <w:tcW w:w="1604" w:type="dxa"/>
            <w:vAlign w:val="center"/>
            <w:hideMark/>
          </w:tcPr>
          <w:p w14:paraId="5E7026EA" w14:textId="77777777" w:rsidR="00C57C9F" w:rsidRDefault="00C57C9F" w:rsidP="006F421D">
            <w:pPr>
              <w:jc w:val="right"/>
              <w:rPr>
                <w:rFonts w:eastAsia="Times New Roman" w:cs="Times New Roman"/>
              </w:rPr>
            </w:pPr>
          </w:p>
        </w:tc>
        <w:tc>
          <w:tcPr>
            <w:tcW w:w="1439" w:type="dxa"/>
            <w:vAlign w:val="center"/>
            <w:hideMark/>
          </w:tcPr>
          <w:p w14:paraId="0F91CFA1" w14:textId="77777777" w:rsidR="00C57C9F" w:rsidRDefault="00C57C9F" w:rsidP="006F421D">
            <w:pPr>
              <w:jc w:val="right"/>
              <w:rPr>
                <w:rFonts w:eastAsia="Times New Roman" w:cs="Times New Roman"/>
              </w:rPr>
            </w:pPr>
          </w:p>
        </w:tc>
      </w:tr>
      <w:tr w:rsidR="00C57C9F" w14:paraId="34A27443" w14:textId="77777777" w:rsidTr="006F421D">
        <w:trPr>
          <w:divId w:val="2075661312"/>
        </w:trPr>
        <w:tc>
          <w:tcPr>
            <w:tcW w:w="5954" w:type="dxa"/>
            <w:vAlign w:val="center"/>
            <w:hideMark/>
          </w:tcPr>
          <w:p w14:paraId="3F3BA304" w14:textId="77777777" w:rsidR="00C57C9F" w:rsidRDefault="00C57C9F">
            <w:pPr>
              <w:pStyle w:val="3fins-table"/>
              <w:rPr>
                <w:rFonts w:cs="Times New Roman"/>
              </w:rPr>
            </w:pPr>
            <w:r>
              <w:rPr>
                <w:rStyle w:val="fins-bold"/>
                <w:rFonts w:cs="Times New Roman"/>
              </w:rPr>
              <w:t xml:space="preserve">Total comprehensive income (loss) </w:t>
            </w:r>
          </w:p>
        </w:tc>
        <w:tc>
          <w:tcPr>
            <w:tcW w:w="1104" w:type="dxa"/>
            <w:vAlign w:val="center"/>
            <w:hideMark/>
          </w:tcPr>
          <w:p w14:paraId="6DE99D7A" w14:textId="77777777" w:rsidR="00C57C9F" w:rsidRDefault="00C57C9F" w:rsidP="006F421D">
            <w:pPr>
              <w:jc w:val="center"/>
              <w:rPr>
                <w:rFonts w:eastAsia="Times New Roman" w:cs="Times New Roman"/>
              </w:rPr>
            </w:pPr>
          </w:p>
        </w:tc>
        <w:tc>
          <w:tcPr>
            <w:tcW w:w="1604" w:type="dxa"/>
            <w:tcBorders>
              <w:bottom w:val="single" w:sz="4" w:space="0" w:color="0D0D0D" w:themeColor="text1" w:themeTint="F2"/>
            </w:tcBorders>
            <w:vAlign w:val="center"/>
            <w:hideMark/>
          </w:tcPr>
          <w:p w14:paraId="364B4709" w14:textId="77777777" w:rsidR="00C57C9F" w:rsidRDefault="00C57C9F" w:rsidP="006F421D">
            <w:pPr>
              <w:pStyle w:val="3fins-table-figures"/>
              <w:jc w:val="right"/>
              <w:rPr>
                <w:rFonts w:cs="Times New Roman"/>
              </w:rPr>
            </w:pPr>
            <w:r>
              <w:rPr>
                <w:rStyle w:val="fins-bold"/>
                <w:rFonts w:cs="Times New Roman"/>
              </w:rPr>
              <w:t xml:space="preserve">360 </w:t>
            </w:r>
          </w:p>
        </w:tc>
        <w:tc>
          <w:tcPr>
            <w:tcW w:w="1439" w:type="dxa"/>
            <w:tcBorders>
              <w:bottom w:val="single" w:sz="4" w:space="0" w:color="0D0D0D" w:themeColor="text1" w:themeTint="F2"/>
            </w:tcBorders>
            <w:vAlign w:val="center"/>
            <w:hideMark/>
          </w:tcPr>
          <w:p w14:paraId="00F0E589" w14:textId="77777777" w:rsidR="00C57C9F" w:rsidRDefault="00C57C9F" w:rsidP="006F421D">
            <w:pPr>
              <w:pStyle w:val="3fins-table-figures"/>
              <w:jc w:val="right"/>
              <w:rPr>
                <w:rFonts w:cs="Times New Roman"/>
              </w:rPr>
            </w:pPr>
            <w:r>
              <w:rPr>
                <w:rFonts w:cs="Times New Roman"/>
              </w:rPr>
              <w:t>207</w:t>
            </w:r>
          </w:p>
        </w:tc>
      </w:tr>
    </w:tbl>
    <w:p w14:paraId="575310B9" w14:textId="77777777" w:rsidR="00C57C9F" w:rsidRDefault="00C57C9F">
      <w:pPr>
        <w:pStyle w:val="3fins-table"/>
        <w:divId w:val="2075661312"/>
        <w:rPr>
          <w:rFonts w:cs="Times New Roman"/>
          <w:lang w:val="en-AU"/>
        </w:rPr>
      </w:pPr>
      <w:r>
        <w:rPr>
          <w:rFonts w:cs="Times New Roman"/>
          <w:lang w:val="en-AU"/>
        </w:rPr>
        <w:t>The above statement should be read in conjunction with the accompanying notes.</w:t>
      </w:r>
    </w:p>
    <w:p w14:paraId="28B55B25" w14:textId="77777777" w:rsidR="00C57C9F" w:rsidRDefault="00C57C9F">
      <w:pPr>
        <w:rPr>
          <w:rFonts w:cs="Times New Roman"/>
          <w:sz w:val="32"/>
        </w:rPr>
      </w:pPr>
      <w:r>
        <w:rPr>
          <w:rFonts w:cs="Times New Roman"/>
        </w:rPr>
        <w:br w:type="page"/>
      </w:r>
    </w:p>
    <w:p w14:paraId="507652A3" w14:textId="77777777" w:rsidR="00C57C9F" w:rsidRDefault="00C57C9F" w:rsidP="00093444">
      <w:pPr>
        <w:pStyle w:val="Heading2"/>
        <w:divId w:val="2075661312"/>
      </w:pPr>
      <w:bookmarkStart w:id="44" w:name="_Toc414011902"/>
      <w:r>
        <w:lastRenderedPageBreak/>
        <w:t>Statement of Financial Position</w:t>
      </w:r>
      <w:bookmarkEnd w:id="44"/>
    </w:p>
    <w:p w14:paraId="664D19E5" w14:textId="77777777" w:rsidR="00C57C9F" w:rsidRDefault="00C57C9F">
      <w:pPr>
        <w:pStyle w:val="1as-at---"/>
        <w:divId w:val="2075661312"/>
        <w:rPr>
          <w:rFonts w:cs="Times New Roman"/>
          <w:lang w:val="en-AU"/>
        </w:rPr>
      </w:pPr>
      <w:proofErr w:type="gramStart"/>
      <w:r>
        <w:rPr>
          <w:rFonts w:cs="Times New Roman"/>
          <w:lang w:val="en-AU"/>
        </w:rPr>
        <w:t>as</w:t>
      </w:r>
      <w:proofErr w:type="gramEnd"/>
      <w:r>
        <w:rPr>
          <w:rFonts w:cs="Times New Roman"/>
          <w:lang w:val="en-AU"/>
        </w:rPr>
        <w:t xml:space="preserve"> at 30 June 2014</w:t>
      </w:r>
    </w:p>
    <w:tbl>
      <w:tblPr>
        <w:tblW w:w="10110" w:type="dxa"/>
        <w:tblLayout w:type="fixed"/>
        <w:tblCellMar>
          <w:top w:w="28" w:type="dxa"/>
          <w:left w:w="15" w:type="dxa"/>
          <w:bottom w:w="28" w:type="dxa"/>
          <w:right w:w="15" w:type="dxa"/>
        </w:tblCellMar>
        <w:tblLook w:val="04A0" w:firstRow="1" w:lastRow="0" w:firstColumn="1" w:lastColumn="0" w:noHBand="0" w:noVBand="1"/>
      </w:tblPr>
      <w:tblGrid>
        <w:gridCol w:w="6043"/>
        <w:gridCol w:w="1121"/>
        <w:gridCol w:w="1498"/>
        <w:gridCol w:w="1448"/>
      </w:tblGrid>
      <w:tr w:rsidR="00C57C9F" w14:paraId="2FE1DDED" w14:textId="77777777" w:rsidTr="006F421D">
        <w:trPr>
          <w:divId w:val="2075661312"/>
          <w:tblHeader/>
        </w:trPr>
        <w:tc>
          <w:tcPr>
            <w:tcW w:w="6043" w:type="dxa"/>
            <w:vAlign w:val="center"/>
            <w:hideMark/>
          </w:tcPr>
          <w:p w14:paraId="36E74880" w14:textId="77777777" w:rsidR="00C57C9F" w:rsidRDefault="00C57C9F">
            <w:pPr>
              <w:rPr>
                <w:rFonts w:eastAsia="Times New Roman" w:cs="Times New Roman"/>
              </w:rPr>
            </w:pPr>
          </w:p>
        </w:tc>
        <w:tc>
          <w:tcPr>
            <w:tcW w:w="1121" w:type="dxa"/>
            <w:vAlign w:val="center"/>
            <w:hideMark/>
          </w:tcPr>
          <w:p w14:paraId="61D515F6" w14:textId="77777777" w:rsidR="00C57C9F" w:rsidRDefault="00C57C9F" w:rsidP="006F421D">
            <w:pPr>
              <w:jc w:val="center"/>
              <w:rPr>
                <w:rFonts w:eastAsia="Times New Roman" w:cs="Times New Roman"/>
              </w:rPr>
            </w:pPr>
          </w:p>
        </w:tc>
        <w:tc>
          <w:tcPr>
            <w:tcW w:w="1498" w:type="dxa"/>
            <w:vAlign w:val="center"/>
            <w:hideMark/>
          </w:tcPr>
          <w:p w14:paraId="46B878CD" w14:textId="77777777" w:rsidR="00C57C9F" w:rsidRDefault="00C57C9F" w:rsidP="006F421D">
            <w:pPr>
              <w:pStyle w:val="3fins-table-figures"/>
              <w:jc w:val="right"/>
              <w:rPr>
                <w:rFonts w:cs="Times New Roman"/>
              </w:rPr>
            </w:pPr>
            <w:r>
              <w:rPr>
                <w:rStyle w:val="fins-bold"/>
                <w:rFonts w:cs="Times New Roman"/>
              </w:rPr>
              <w:t>2014</w:t>
            </w:r>
          </w:p>
        </w:tc>
        <w:tc>
          <w:tcPr>
            <w:tcW w:w="1448" w:type="dxa"/>
            <w:vAlign w:val="center"/>
            <w:hideMark/>
          </w:tcPr>
          <w:p w14:paraId="2DFF22AC" w14:textId="77777777" w:rsidR="00C57C9F" w:rsidRDefault="00C57C9F" w:rsidP="006F421D">
            <w:pPr>
              <w:pStyle w:val="3fins-table-figures"/>
              <w:jc w:val="right"/>
              <w:rPr>
                <w:rFonts w:cs="Times New Roman"/>
              </w:rPr>
            </w:pPr>
            <w:r>
              <w:rPr>
                <w:rFonts w:cs="Times New Roman"/>
              </w:rPr>
              <w:t>2013</w:t>
            </w:r>
          </w:p>
        </w:tc>
      </w:tr>
      <w:tr w:rsidR="00C57C9F" w14:paraId="2D6A9A4E" w14:textId="77777777" w:rsidTr="006F421D">
        <w:trPr>
          <w:divId w:val="2075661312"/>
          <w:tblHeader/>
        </w:trPr>
        <w:tc>
          <w:tcPr>
            <w:tcW w:w="6043" w:type="dxa"/>
            <w:vAlign w:val="center"/>
            <w:hideMark/>
          </w:tcPr>
          <w:p w14:paraId="070BA4D8" w14:textId="77777777" w:rsidR="00C57C9F" w:rsidRDefault="00C57C9F">
            <w:pPr>
              <w:rPr>
                <w:rFonts w:eastAsia="Times New Roman" w:cs="Times New Roman"/>
              </w:rPr>
            </w:pPr>
          </w:p>
        </w:tc>
        <w:tc>
          <w:tcPr>
            <w:tcW w:w="1121" w:type="dxa"/>
            <w:vAlign w:val="center"/>
            <w:hideMark/>
          </w:tcPr>
          <w:p w14:paraId="64BF9A7B" w14:textId="77777777" w:rsidR="00C57C9F" w:rsidRDefault="00C57C9F" w:rsidP="006F421D">
            <w:pPr>
              <w:pStyle w:val="3fins-table-notes"/>
              <w:jc w:val="center"/>
              <w:rPr>
                <w:rFonts w:cs="Times New Roman"/>
              </w:rPr>
            </w:pPr>
            <w:r>
              <w:rPr>
                <w:rStyle w:val="fins-bold"/>
                <w:rFonts w:cs="Times New Roman"/>
              </w:rPr>
              <w:t>Notes</w:t>
            </w:r>
          </w:p>
        </w:tc>
        <w:tc>
          <w:tcPr>
            <w:tcW w:w="1498" w:type="dxa"/>
            <w:vAlign w:val="center"/>
            <w:hideMark/>
          </w:tcPr>
          <w:p w14:paraId="25963A60" w14:textId="77777777" w:rsidR="00C57C9F" w:rsidRDefault="00C57C9F" w:rsidP="006F421D">
            <w:pPr>
              <w:pStyle w:val="3fins-table-figures"/>
              <w:jc w:val="right"/>
              <w:rPr>
                <w:rFonts w:cs="Times New Roman"/>
              </w:rPr>
            </w:pPr>
            <w:r>
              <w:rPr>
                <w:rStyle w:val="fins-bold"/>
                <w:rFonts w:cs="Times New Roman"/>
              </w:rPr>
              <w:t>$&amp;apos;000</w:t>
            </w:r>
          </w:p>
        </w:tc>
        <w:tc>
          <w:tcPr>
            <w:tcW w:w="1448" w:type="dxa"/>
            <w:vAlign w:val="center"/>
            <w:hideMark/>
          </w:tcPr>
          <w:p w14:paraId="0F4A389D" w14:textId="77777777" w:rsidR="00C57C9F" w:rsidRDefault="00C57C9F" w:rsidP="006F421D">
            <w:pPr>
              <w:pStyle w:val="3fins-table-figures"/>
              <w:jc w:val="right"/>
              <w:rPr>
                <w:rFonts w:cs="Times New Roman"/>
              </w:rPr>
            </w:pPr>
            <w:r>
              <w:rPr>
                <w:rFonts w:cs="Times New Roman"/>
              </w:rPr>
              <w:t>$&amp;apos;000</w:t>
            </w:r>
          </w:p>
        </w:tc>
      </w:tr>
      <w:tr w:rsidR="00C57C9F" w14:paraId="5C796471" w14:textId="77777777" w:rsidTr="006F421D">
        <w:trPr>
          <w:divId w:val="2075661312"/>
        </w:trPr>
        <w:tc>
          <w:tcPr>
            <w:tcW w:w="6043" w:type="dxa"/>
            <w:vAlign w:val="center"/>
            <w:hideMark/>
          </w:tcPr>
          <w:p w14:paraId="6DAE6FCF" w14:textId="77777777" w:rsidR="00C57C9F" w:rsidRDefault="00C57C9F">
            <w:pPr>
              <w:pStyle w:val="3fins-table"/>
              <w:rPr>
                <w:rFonts w:cs="Times New Roman"/>
              </w:rPr>
            </w:pPr>
            <w:r>
              <w:rPr>
                <w:rStyle w:val="fins-bold"/>
                <w:rFonts w:cs="Times New Roman"/>
              </w:rPr>
              <w:t>ASSETS</w:t>
            </w:r>
          </w:p>
        </w:tc>
        <w:tc>
          <w:tcPr>
            <w:tcW w:w="1121" w:type="dxa"/>
            <w:vAlign w:val="center"/>
            <w:hideMark/>
          </w:tcPr>
          <w:p w14:paraId="5804515B" w14:textId="77777777" w:rsidR="00C57C9F" w:rsidRDefault="00C57C9F" w:rsidP="006F421D">
            <w:pPr>
              <w:jc w:val="center"/>
              <w:rPr>
                <w:rFonts w:eastAsia="Times New Roman" w:cs="Times New Roman"/>
              </w:rPr>
            </w:pPr>
          </w:p>
        </w:tc>
        <w:tc>
          <w:tcPr>
            <w:tcW w:w="1498" w:type="dxa"/>
            <w:vAlign w:val="center"/>
            <w:hideMark/>
          </w:tcPr>
          <w:p w14:paraId="38B20552" w14:textId="77777777" w:rsidR="00C57C9F" w:rsidRDefault="00C57C9F" w:rsidP="006F421D">
            <w:pPr>
              <w:jc w:val="right"/>
              <w:rPr>
                <w:rFonts w:eastAsia="Times New Roman" w:cs="Times New Roman"/>
              </w:rPr>
            </w:pPr>
          </w:p>
        </w:tc>
        <w:tc>
          <w:tcPr>
            <w:tcW w:w="1448" w:type="dxa"/>
            <w:vAlign w:val="center"/>
            <w:hideMark/>
          </w:tcPr>
          <w:p w14:paraId="2082FEE5" w14:textId="77777777" w:rsidR="00C57C9F" w:rsidRDefault="00C57C9F" w:rsidP="006F421D">
            <w:pPr>
              <w:jc w:val="right"/>
              <w:rPr>
                <w:rFonts w:eastAsia="Times New Roman" w:cs="Times New Roman"/>
              </w:rPr>
            </w:pPr>
          </w:p>
        </w:tc>
      </w:tr>
      <w:tr w:rsidR="00C57C9F" w14:paraId="011F9122" w14:textId="77777777" w:rsidTr="006F421D">
        <w:trPr>
          <w:divId w:val="2075661312"/>
        </w:trPr>
        <w:tc>
          <w:tcPr>
            <w:tcW w:w="6043" w:type="dxa"/>
            <w:vAlign w:val="center"/>
            <w:hideMark/>
          </w:tcPr>
          <w:p w14:paraId="380F274E" w14:textId="77777777" w:rsidR="00C57C9F" w:rsidRDefault="00C57C9F">
            <w:pPr>
              <w:pStyle w:val="3fins-table"/>
              <w:rPr>
                <w:rFonts w:cs="Times New Roman"/>
              </w:rPr>
            </w:pPr>
            <w:r>
              <w:rPr>
                <w:rStyle w:val="fins-bold"/>
                <w:rFonts w:cs="Times New Roman"/>
              </w:rPr>
              <w:t>Financial Assets</w:t>
            </w:r>
          </w:p>
        </w:tc>
        <w:tc>
          <w:tcPr>
            <w:tcW w:w="1121" w:type="dxa"/>
            <w:vAlign w:val="center"/>
            <w:hideMark/>
          </w:tcPr>
          <w:p w14:paraId="3863B686" w14:textId="77777777" w:rsidR="00C57C9F" w:rsidRDefault="00C57C9F" w:rsidP="006F421D">
            <w:pPr>
              <w:jc w:val="center"/>
              <w:rPr>
                <w:rFonts w:eastAsia="Times New Roman" w:cs="Times New Roman"/>
              </w:rPr>
            </w:pPr>
          </w:p>
        </w:tc>
        <w:tc>
          <w:tcPr>
            <w:tcW w:w="1498" w:type="dxa"/>
            <w:vAlign w:val="center"/>
            <w:hideMark/>
          </w:tcPr>
          <w:p w14:paraId="645E0EB1" w14:textId="77777777" w:rsidR="00C57C9F" w:rsidRDefault="00C57C9F" w:rsidP="006F421D">
            <w:pPr>
              <w:jc w:val="right"/>
              <w:rPr>
                <w:rFonts w:eastAsia="Times New Roman" w:cs="Times New Roman"/>
              </w:rPr>
            </w:pPr>
          </w:p>
        </w:tc>
        <w:tc>
          <w:tcPr>
            <w:tcW w:w="1448" w:type="dxa"/>
            <w:vAlign w:val="center"/>
            <w:hideMark/>
          </w:tcPr>
          <w:p w14:paraId="0766783E" w14:textId="77777777" w:rsidR="00C57C9F" w:rsidRDefault="00C57C9F" w:rsidP="006F421D">
            <w:pPr>
              <w:jc w:val="right"/>
              <w:rPr>
                <w:rFonts w:eastAsia="Times New Roman" w:cs="Times New Roman"/>
              </w:rPr>
            </w:pPr>
          </w:p>
        </w:tc>
      </w:tr>
      <w:tr w:rsidR="00C57C9F" w14:paraId="4B07A41C" w14:textId="77777777" w:rsidTr="006F421D">
        <w:trPr>
          <w:divId w:val="2075661312"/>
        </w:trPr>
        <w:tc>
          <w:tcPr>
            <w:tcW w:w="6043" w:type="dxa"/>
            <w:vAlign w:val="center"/>
            <w:hideMark/>
          </w:tcPr>
          <w:p w14:paraId="330F7814" w14:textId="77777777" w:rsidR="00C57C9F" w:rsidRDefault="00C57C9F">
            <w:pPr>
              <w:pStyle w:val="3fins-table"/>
              <w:rPr>
                <w:rFonts w:cs="Times New Roman"/>
              </w:rPr>
            </w:pPr>
            <w:r>
              <w:rPr>
                <w:rFonts w:cs="Times New Roman"/>
              </w:rPr>
              <w:t>Cash and cash equivalents</w:t>
            </w:r>
          </w:p>
        </w:tc>
        <w:tc>
          <w:tcPr>
            <w:tcW w:w="1121" w:type="dxa"/>
            <w:vAlign w:val="center"/>
            <w:hideMark/>
          </w:tcPr>
          <w:p w14:paraId="737E6FFB" w14:textId="77777777" w:rsidR="00C57C9F" w:rsidRDefault="00C57C9F" w:rsidP="006F421D">
            <w:pPr>
              <w:pStyle w:val="3fins-table-notes"/>
              <w:jc w:val="center"/>
              <w:rPr>
                <w:rFonts w:cs="Times New Roman"/>
              </w:rPr>
            </w:pPr>
            <w:r>
              <w:rPr>
                <w:rFonts w:cs="Times New Roman"/>
              </w:rPr>
              <w:t>6A</w:t>
            </w:r>
          </w:p>
        </w:tc>
        <w:tc>
          <w:tcPr>
            <w:tcW w:w="1498" w:type="dxa"/>
            <w:vAlign w:val="center"/>
            <w:hideMark/>
          </w:tcPr>
          <w:p w14:paraId="549AD7EC" w14:textId="77777777" w:rsidR="00C57C9F" w:rsidRDefault="00C57C9F" w:rsidP="006F421D">
            <w:pPr>
              <w:pStyle w:val="3fins-table-figures"/>
              <w:jc w:val="right"/>
              <w:rPr>
                <w:rFonts w:cs="Times New Roman"/>
              </w:rPr>
            </w:pPr>
            <w:r>
              <w:rPr>
                <w:rStyle w:val="fins-bold"/>
                <w:rFonts w:cs="Times New Roman"/>
              </w:rPr>
              <w:t xml:space="preserve">13,159 </w:t>
            </w:r>
          </w:p>
        </w:tc>
        <w:tc>
          <w:tcPr>
            <w:tcW w:w="1448" w:type="dxa"/>
            <w:vAlign w:val="center"/>
            <w:hideMark/>
          </w:tcPr>
          <w:p w14:paraId="535A51F9" w14:textId="77777777" w:rsidR="00C57C9F" w:rsidRDefault="00C57C9F" w:rsidP="006F421D">
            <w:pPr>
              <w:pStyle w:val="3fins-table-figures"/>
              <w:jc w:val="right"/>
              <w:rPr>
                <w:rFonts w:cs="Times New Roman"/>
              </w:rPr>
            </w:pPr>
            <w:r>
              <w:rPr>
                <w:rFonts w:cs="Times New Roman"/>
              </w:rPr>
              <w:t xml:space="preserve">7,050 </w:t>
            </w:r>
          </w:p>
        </w:tc>
      </w:tr>
      <w:tr w:rsidR="00C57C9F" w14:paraId="6475875D" w14:textId="77777777" w:rsidTr="006F421D">
        <w:trPr>
          <w:divId w:val="2075661312"/>
        </w:trPr>
        <w:tc>
          <w:tcPr>
            <w:tcW w:w="6043" w:type="dxa"/>
            <w:vAlign w:val="center"/>
            <w:hideMark/>
          </w:tcPr>
          <w:p w14:paraId="7F2F9A2A" w14:textId="77777777" w:rsidR="00C57C9F" w:rsidRDefault="00C57C9F">
            <w:pPr>
              <w:pStyle w:val="3fins-table"/>
              <w:rPr>
                <w:rFonts w:cs="Times New Roman"/>
              </w:rPr>
            </w:pPr>
            <w:r>
              <w:rPr>
                <w:rFonts w:cs="Times New Roman"/>
              </w:rPr>
              <w:t>Trade and other receivables</w:t>
            </w:r>
          </w:p>
        </w:tc>
        <w:tc>
          <w:tcPr>
            <w:tcW w:w="1121" w:type="dxa"/>
            <w:vAlign w:val="center"/>
            <w:hideMark/>
          </w:tcPr>
          <w:p w14:paraId="603A2ED9" w14:textId="77777777" w:rsidR="00C57C9F" w:rsidRDefault="00C57C9F" w:rsidP="006F421D">
            <w:pPr>
              <w:pStyle w:val="3fins-table-notes"/>
              <w:jc w:val="center"/>
              <w:rPr>
                <w:rFonts w:cs="Times New Roman"/>
              </w:rPr>
            </w:pPr>
            <w:r>
              <w:rPr>
                <w:rFonts w:cs="Times New Roman"/>
              </w:rPr>
              <w:t>6B</w:t>
            </w:r>
          </w:p>
        </w:tc>
        <w:tc>
          <w:tcPr>
            <w:tcW w:w="1498" w:type="dxa"/>
            <w:vAlign w:val="center"/>
            <w:hideMark/>
          </w:tcPr>
          <w:p w14:paraId="332422C2" w14:textId="77777777" w:rsidR="00C57C9F" w:rsidRDefault="00C57C9F" w:rsidP="006F421D">
            <w:pPr>
              <w:pStyle w:val="3fins-table-figures"/>
              <w:jc w:val="right"/>
              <w:rPr>
                <w:rFonts w:cs="Times New Roman"/>
              </w:rPr>
            </w:pPr>
            <w:r>
              <w:rPr>
                <w:rStyle w:val="fins-bold"/>
                <w:rFonts w:cs="Times New Roman"/>
              </w:rPr>
              <w:t xml:space="preserve">2,214 </w:t>
            </w:r>
          </w:p>
        </w:tc>
        <w:tc>
          <w:tcPr>
            <w:tcW w:w="1448" w:type="dxa"/>
            <w:vAlign w:val="center"/>
            <w:hideMark/>
          </w:tcPr>
          <w:p w14:paraId="0C5643D9" w14:textId="77777777" w:rsidR="00C57C9F" w:rsidRDefault="00C57C9F" w:rsidP="006F421D">
            <w:pPr>
              <w:pStyle w:val="3fins-table-figures"/>
              <w:jc w:val="right"/>
              <w:rPr>
                <w:rFonts w:cs="Times New Roman"/>
              </w:rPr>
            </w:pPr>
            <w:r>
              <w:rPr>
                <w:rFonts w:cs="Times New Roman"/>
              </w:rPr>
              <w:t xml:space="preserve">1,161 </w:t>
            </w:r>
          </w:p>
        </w:tc>
      </w:tr>
      <w:tr w:rsidR="00C57C9F" w14:paraId="2FC9F10F" w14:textId="77777777" w:rsidTr="006F421D">
        <w:trPr>
          <w:divId w:val="2075661312"/>
        </w:trPr>
        <w:tc>
          <w:tcPr>
            <w:tcW w:w="6043" w:type="dxa"/>
            <w:vAlign w:val="center"/>
            <w:hideMark/>
          </w:tcPr>
          <w:p w14:paraId="0BD6E915" w14:textId="77777777" w:rsidR="00C57C9F" w:rsidRDefault="00C57C9F">
            <w:pPr>
              <w:pStyle w:val="3fins-table"/>
              <w:rPr>
                <w:rFonts w:cs="Times New Roman"/>
              </w:rPr>
            </w:pPr>
            <w:r>
              <w:rPr>
                <w:rStyle w:val="fins-bold"/>
                <w:rFonts w:cs="Times New Roman"/>
              </w:rPr>
              <w:t>Total financial assets</w:t>
            </w:r>
          </w:p>
        </w:tc>
        <w:tc>
          <w:tcPr>
            <w:tcW w:w="1121" w:type="dxa"/>
            <w:vAlign w:val="center"/>
            <w:hideMark/>
          </w:tcPr>
          <w:p w14:paraId="4EB88C7E"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18F28AA7" w14:textId="77777777" w:rsidR="00C57C9F" w:rsidRDefault="00C57C9F" w:rsidP="006F421D">
            <w:pPr>
              <w:pStyle w:val="3fins-table-figures"/>
              <w:jc w:val="right"/>
              <w:rPr>
                <w:rFonts w:cs="Times New Roman"/>
              </w:rPr>
            </w:pPr>
            <w:r>
              <w:rPr>
                <w:rStyle w:val="fins-bold"/>
                <w:rFonts w:cs="Times New Roman"/>
              </w:rPr>
              <w:t xml:space="preserve">15,373 </w:t>
            </w:r>
          </w:p>
        </w:tc>
        <w:tc>
          <w:tcPr>
            <w:tcW w:w="1448" w:type="dxa"/>
            <w:tcBorders>
              <w:top w:val="single" w:sz="4" w:space="0" w:color="0D0D0D" w:themeColor="text1" w:themeTint="F2"/>
              <w:bottom w:val="single" w:sz="4" w:space="0" w:color="0D0D0D" w:themeColor="text1" w:themeTint="F2"/>
            </w:tcBorders>
            <w:vAlign w:val="center"/>
            <w:hideMark/>
          </w:tcPr>
          <w:p w14:paraId="2BBDEA15" w14:textId="77777777" w:rsidR="00C57C9F" w:rsidRDefault="00C57C9F" w:rsidP="006F421D">
            <w:pPr>
              <w:pStyle w:val="3fins-table-figures"/>
              <w:jc w:val="right"/>
              <w:rPr>
                <w:rFonts w:cs="Times New Roman"/>
              </w:rPr>
            </w:pPr>
            <w:r>
              <w:rPr>
                <w:rFonts w:cs="Times New Roman"/>
              </w:rPr>
              <w:t xml:space="preserve">8,211 </w:t>
            </w:r>
          </w:p>
        </w:tc>
      </w:tr>
      <w:tr w:rsidR="00C57C9F" w14:paraId="5915085E" w14:textId="77777777" w:rsidTr="006F421D">
        <w:trPr>
          <w:divId w:val="2075661312"/>
        </w:trPr>
        <w:tc>
          <w:tcPr>
            <w:tcW w:w="6043" w:type="dxa"/>
            <w:vAlign w:val="center"/>
            <w:hideMark/>
          </w:tcPr>
          <w:p w14:paraId="7131A696" w14:textId="77777777" w:rsidR="00C57C9F" w:rsidRDefault="00C57C9F">
            <w:pPr>
              <w:rPr>
                <w:rFonts w:eastAsia="Times New Roman" w:cs="Times New Roman"/>
              </w:rPr>
            </w:pPr>
          </w:p>
        </w:tc>
        <w:tc>
          <w:tcPr>
            <w:tcW w:w="1121" w:type="dxa"/>
            <w:vAlign w:val="center"/>
            <w:hideMark/>
          </w:tcPr>
          <w:p w14:paraId="18D0B60A" w14:textId="77777777" w:rsidR="00C57C9F" w:rsidRDefault="00C57C9F" w:rsidP="006F421D">
            <w:pPr>
              <w:jc w:val="center"/>
              <w:rPr>
                <w:rFonts w:eastAsia="Times New Roman" w:cs="Times New Roman"/>
              </w:rPr>
            </w:pPr>
          </w:p>
        </w:tc>
        <w:tc>
          <w:tcPr>
            <w:tcW w:w="1498" w:type="dxa"/>
            <w:vAlign w:val="center"/>
            <w:hideMark/>
          </w:tcPr>
          <w:p w14:paraId="19E466B1" w14:textId="77777777" w:rsidR="00C57C9F" w:rsidRDefault="00C57C9F" w:rsidP="006F421D">
            <w:pPr>
              <w:jc w:val="right"/>
              <w:rPr>
                <w:rFonts w:eastAsia="Times New Roman" w:cs="Times New Roman"/>
              </w:rPr>
            </w:pPr>
          </w:p>
        </w:tc>
        <w:tc>
          <w:tcPr>
            <w:tcW w:w="1448" w:type="dxa"/>
            <w:vAlign w:val="center"/>
            <w:hideMark/>
          </w:tcPr>
          <w:p w14:paraId="6A444B98" w14:textId="77777777" w:rsidR="00C57C9F" w:rsidRDefault="00C57C9F" w:rsidP="006F421D">
            <w:pPr>
              <w:jc w:val="right"/>
              <w:rPr>
                <w:rFonts w:eastAsia="Times New Roman" w:cs="Times New Roman"/>
              </w:rPr>
            </w:pPr>
          </w:p>
        </w:tc>
      </w:tr>
      <w:tr w:rsidR="00C57C9F" w14:paraId="6A55028E" w14:textId="77777777" w:rsidTr="006F421D">
        <w:trPr>
          <w:divId w:val="2075661312"/>
        </w:trPr>
        <w:tc>
          <w:tcPr>
            <w:tcW w:w="6043" w:type="dxa"/>
            <w:vAlign w:val="center"/>
            <w:hideMark/>
          </w:tcPr>
          <w:p w14:paraId="16EEEB8C" w14:textId="77777777" w:rsidR="00C57C9F" w:rsidRDefault="00C57C9F">
            <w:pPr>
              <w:pStyle w:val="3fins-table"/>
              <w:rPr>
                <w:rFonts w:cs="Times New Roman"/>
              </w:rPr>
            </w:pPr>
            <w:r>
              <w:rPr>
                <w:rStyle w:val="fins-bold"/>
                <w:rFonts w:cs="Times New Roman"/>
              </w:rPr>
              <w:t>Non-Financial Assets</w:t>
            </w:r>
          </w:p>
        </w:tc>
        <w:tc>
          <w:tcPr>
            <w:tcW w:w="1121" w:type="dxa"/>
            <w:vAlign w:val="center"/>
            <w:hideMark/>
          </w:tcPr>
          <w:p w14:paraId="66CF14D3" w14:textId="77777777" w:rsidR="00C57C9F" w:rsidRDefault="00C57C9F" w:rsidP="006F421D">
            <w:pPr>
              <w:jc w:val="center"/>
              <w:rPr>
                <w:rFonts w:eastAsia="Times New Roman" w:cs="Times New Roman"/>
              </w:rPr>
            </w:pPr>
          </w:p>
        </w:tc>
        <w:tc>
          <w:tcPr>
            <w:tcW w:w="1498" w:type="dxa"/>
            <w:vAlign w:val="center"/>
            <w:hideMark/>
          </w:tcPr>
          <w:p w14:paraId="315EE0FC" w14:textId="77777777" w:rsidR="00C57C9F" w:rsidRDefault="00C57C9F" w:rsidP="006F421D">
            <w:pPr>
              <w:jc w:val="right"/>
              <w:rPr>
                <w:rFonts w:eastAsia="Times New Roman" w:cs="Times New Roman"/>
              </w:rPr>
            </w:pPr>
          </w:p>
        </w:tc>
        <w:tc>
          <w:tcPr>
            <w:tcW w:w="1448" w:type="dxa"/>
            <w:vAlign w:val="center"/>
            <w:hideMark/>
          </w:tcPr>
          <w:p w14:paraId="1FE9E077" w14:textId="77777777" w:rsidR="00C57C9F" w:rsidRDefault="00C57C9F" w:rsidP="006F421D">
            <w:pPr>
              <w:jc w:val="right"/>
              <w:rPr>
                <w:rFonts w:eastAsia="Times New Roman" w:cs="Times New Roman"/>
              </w:rPr>
            </w:pPr>
          </w:p>
        </w:tc>
      </w:tr>
      <w:tr w:rsidR="00C57C9F" w14:paraId="5AB27B4B" w14:textId="77777777" w:rsidTr="006F421D">
        <w:trPr>
          <w:divId w:val="2075661312"/>
        </w:trPr>
        <w:tc>
          <w:tcPr>
            <w:tcW w:w="6043" w:type="dxa"/>
            <w:vAlign w:val="center"/>
            <w:hideMark/>
          </w:tcPr>
          <w:p w14:paraId="5A4FECCF" w14:textId="77777777" w:rsidR="00C57C9F" w:rsidRDefault="00C57C9F">
            <w:pPr>
              <w:pStyle w:val="3fins-table"/>
              <w:rPr>
                <w:rFonts w:cs="Times New Roman"/>
              </w:rPr>
            </w:pPr>
            <w:r>
              <w:rPr>
                <w:rFonts w:cs="Times New Roman"/>
              </w:rPr>
              <w:t>Property, plant and equipment</w:t>
            </w:r>
          </w:p>
        </w:tc>
        <w:tc>
          <w:tcPr>
            <w:tcW w:w="1121" w:type="dxa"/>
            <w:vAlign w:val="center"/>
            <w:hideMark/>
          </w:tcPr>
          <w:p w14:paraId="473C9844" w14:textId="77777777" w:rsidR="00C57C9F" w:rsidRDefault="00C57C9F" w:rsidP="006F421D">
            <w:pPr>
              <w:pStyle w:val="3fins-table-notes"/>
              <w:jc w:val="center"/>
              <w:rPr>
                <w:rFonts w:cs="Times New Roman"/>
              </w:rPr>
            </w:pPr>
            <w:r>
              <w:rPr>
                <w:rFonts w:cs="Times New Roman"/>
              </w:rPr>
              <w:t>7A,B</w:t>
            </w:r>
          </w:p>
        </w:tc>
        <w:tc>
          <w:tcPr>
            <w:tcW w:w="1498" w:type="dxa"/>
            <w:vAlign w:val="center"/>
            <w:hideMark/>
          </w:tcPr>
          <w:p w14:paraId="7AAA4516" w14:textId="77777777" w:rsidR="00C57C9F" w:rsidRDefault="00C57C9F" w:rsidP="006F421D">
            <w:pPr>
              <w:pStyle w:val="3fins-table-figures"/>
              <w:jc w:val="right"/>
              <w:rPr>
                <w:rFonts w:cs="Times New Roman"/>
              </w:rPr>
            </w:pPr>
            <w:r>
              <w:rPr>
                <w:rStyle w:val="fins-bold"/>
                <w:rFonts w:cs="Times New Roman"/>
              </w:rPr>
              <w:t xml:space="preserve">56 </w:t>
            </w:r>
          </w:p>
        </w:tc>
        <w:tc>
          <w:tcPr>
            <w:tcW w:w="1448" w:type="dxa"/>
            <w:vAlign w:val="center"/>
            <w:hideMark/>
          </w:tcPr>
          <w:p w14:paraId="71295BC5" w14:textId="77777777" w:rsidR="00C57C9F" w:rsidRDefault="00C57C9F" w:rsidP="006F421D">
            <w:pPr>
              <w:pStyle w:val="3fins-table-figures"/>
              <w:jc w:val="right"/>
              <w:rPr>
                <w:rFonts w:cs="Times New Roman"/>
              </w:rPr>
            </w:pPr>
            <w:r>
              <w:rPr>
                <w:rFonts w:cs="Times New Roman"/>
              </w:rPr>
              <w:t xml:space="preserve">199 </w:t>
            </w:r>
          </w:p>
        </w:tc>
      </w:tr>
      <w:tr w:rsidR="00C57C9F" w14:paraId="7BA6568F" w14:textId="77777777" w:rsidTr="006F421D">
        <w:trPr>
          <w:divId w:val="2075661312"/>
        </w:trPr>
        <w:tc>
          <w:tcPr>
            <w:tcW w:w="6043" w:type="dxa"/>
            <w:vAlign w:val="center"/>
            <w:hideMark/>
          </w:tcPr>
          <w:p w14:paraId="0C30C74A" w14:textId="77777777" w:rsidR="00C57C9F" w:rsidRDefault="00C57C9F">
            <w:pPr>
              <w:pStyle w:val="3fins-table"/>
              <w:rPr>
                <w:rFonts w:cs="Times New Roman"/>
              </w:rPr>
            </w:pPr>
            <w:r>
              <w:rPr>
                <w:rFonts w:cs="Times New Roman"/>
              </w:rPr>
              <w:t>Other non-financial assets</w:t>
            </w:r>
          </w:p>
        </w:tc>
        <w:tc>
          <w:tcPr>
            <w:tcW w:w="1121" w:type="dxa"/>
            <w:vAlign w:val="center"/>
            <w:hideMark/>
          </w:tcPr>
          <w:p w14:paraId="465A0998" w14:textId="77777777" w:rsidR="00C57C9F" w:rsidRDefault="00C57C9F" w:rsidP="006F421D">
            <w:pPr>
              <w:pStyle w:val="3fins-table-notes"/>
              <w:jc w:val="center"/>
              <w:rPr>
                <w:rFonts w:cs="Times New Roman"/>
              </w:rPr>
            </w:pPr>
            <w:r>
              <w:rPr>
                <w:rFonts w:cs="Times New Roman"/>
              </w:rPr>
              <w:t>7C</w:t>
            </w:r>
          </w:p>
        </w:tc>
        <w:tc>
          <w:tcPr>
            <w:tcW w:w="1498" w:type="dxa"/>
            <w:vAlign w:val="center"/>
            <w:hideMark/>
          </w:tcPr>
          <w:p w14:paraId="072EF067" w14:textId="77777777" w:rsidR="00C57C9F" w:rsidRDefault="00C57C9F" w:rsidP="006F421D">
            <w:pPr>
              <w:pStyle w:val="3fins-table-figures"/>
              <w:jc w:val="right"/>
              <w:rPr>
                <w:rFonts w:cs="Times New Roman"/>
              </w:rPr>
            </w:pPr>
            <w:r>
              <w:rPr>
                <w:rStyle w:val="fins-bold"/>
                <w:rFonts w:cs="Times New Roman"/>
              </w:rPr>
              <w:t xml:space="preserve">155 </w:t>
            </w:r>
          </w:p>
        </w:tc>
        <w:tc>
          <w:tcPr>
            <w:tcW w:w="1448" w:type="dxa"/>
            <w:vAlign w:val="center"/>
            <w:hideMark/>
          </w:tcPr>
          <w:p w14:paraId="2EC94D47" w14:textId="77777777" w:rsidR="00C57C9F" w:rsidRDefault="00C57C9F" w:rsidP="006F421D">
            <w:pPr>
              <w:pStyle w:val="3fins-table-figures"/>
              <w:jc w:val="right"/>
              <w:rPr>
                <w:rFonts w:cs="Times New Roman"/>
              </w:rPr>
            </w:pPr>
            <w:r>
              <w:rPr>
                <w:rFonts w:cs="Times New Roman"/>
              </w:rPr>
              <w:t xml:space="preserve">57 </w:t>
            </w:r>
          </w:p>
        </w:tc>
      </w:tr>
      <w:tr w:rsidR="00C57C9F" w14:paraId="5553856E" w14:textId="77777777" w:rsidTr="006F421D">
        <w:trPr>
          <w:divId w:val="2075661312"/>
        </w:trPr>
        <w:tc>
          <w:tcPr>
            <w:tcW w:w="6043" w:type="dxa"/>
            <w:vAlign w:val="center"/>
            <w:hideMark/>
          </w:tcPr>
          <w:p w14:paraId="3753ADE0" w14:textId="77777777" w:rsidR="00C57C9F" w:rsidRDefault="00C57C9F">
            <w:pPr>
              <w:pStyle w:val="3fins-table"/>
              <w:rPr>
                <w:rFonts w:cs="Times New Roman"/>
              </w:rPr>
            </w:pPr>
            <w:r>
              <w:rPr>
                <w:rStyle w:val="fins-bold"/>
                <w:rFonts w:cs="Times New Roman"/>
              </w:rPr>
              <w:t>Total non-financial assets</w:t>
            </w:r>
          </w:p>
        </w:tc>
        <w:tc>
          <w:tcPr>
            <w:tcW w:w="1121" w:type="dxa"/>
            <w:vAlign w:val="center"/>
            <w:hideMark/>
          </w:tcPr>
          <w:p w14:paraId="20424304"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2911C5B9" w14:textId="77777777" w:rsidR="00C57C9F" w:rsidRDefault="00C57C9F" w:rsidP="006F421D">
            <w:pPr>
              <w:pStyle w:val="3fins-table-figures"/>
              <w:jc w:val="right"/>
              <w:rPr>
                <w:rFonts w:cs="Times New Roman"/>
              </w:rPr>
            </w:pPr>
            <w:r>
              <w:rPr>
                <w:rStyle w:val="fins-bold"/>
                <w:rFonts w:cs="Times New Roman"/>
              </w:rPr>
              <w:t xml:space="preserve">211 </w:t>
            </w:r>
          </w:p>
        </w:tc>
        <w:tc>
          <w:tcPr>
            <w:tcW w:w="1448" w:type="dxa"/>
            <w:tcBorders>
              <w:top w:val="single" w:sz="4" w:space="0" w:color="0D0D0D" w:themeColor="text1" w:themeTint="F2"/>
              <w:bottom w:val="single" w:sz="4" w:space="0" w:color="0D0D0D" w:themeColor="text1" w:themeTint="F2"/>
            </w:tcBorders>
            <w:vAlign w:val="center"/>
            <w:hideMark/>
          </w:tcPr>
          <w:p w14:paraId="29DB18CF" w14:textId="77777777" w:rsidR="00C57C9F" w:rsidRDefault="00C57C9F" w:rsidP="006F421D">
            <w:pPr>
              <w:pStyle w:val="3fins-table-figures"/>
              <w:jc w:val="right"/>
              <w:rPr>
                <w:rFonts w:cs="Times New Roman"/>
              </w:rPr>
            </w:pPr>
            <w:r>
              <w:rPr>
                <w:rFonts w:cs="Times New Roman"/>
              </w:rPr>
              <w:t xml:space="preserve">256 </w:t>
            </w:r>
          </w:p>
        </w:tc>
      </w:tr>
      <w:tr w:rsidR="00C57C9F" w14:paraId="7DBE9D6A" w14:textId="77777777" w:rsidTr="006F421D">
        <w:trPr>
          <w:divId w:val="2075661312"/>
        </w:trPr>
        <w:tc>
          <w:tcPr>
            <w:tcW w:w="6043" w:type="dxa"/>
            <w:vAlign w:val="center"/>
            <w:hideMark/>
          </w:tcPr>
          <w:p w14:paraId="0032AAB3" w14:textId="77777777" w:rsidR="00C57C9F" w:rsidRDefault="00C57C9F">
            <w:pPr>
              <w:pStyle w:val="3fins-table"/>
              <w:rPr>
                <w:rFonts w:cs="Times New Roman"/>
              </w:rPr>
            </w:pPr>
            <w:r>
              <w:rPr>
                <w:rStyle w:val="fins-bold"/>
                <w:rFonts w:cs="Times New Roman"/>
              </w:rPr>
              <w:t>Total assets</w:t>
            </w:r>
          </w:p>
        </w:tc>
        <w:tc>
          <w:tcPr>
            <w:tcW w:w="1121" w:type="dxa"/>
            <w:vAlign w:val="center"/>
            <w:hideMark/>
          </w:tcPr>
          <w:p w14:paraId="32CB516C"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3CFF5F26" w14:textId="77777777" w:rsidR="00C57C9F" w:rsidRDefault="00C57C9F" w:rsidP="006F421D">
            <w:pPr>
              <w:pStyle w:val="3fins-table-figures"/>
              <w:jc w:val="right"/>
              <w:rPr>
                <w:rFonts w:cs="Times New Roman"/>
              </w:rPr>
            </w:pPr>
            <w:r>
              <w:rPr>
                <w:rStyle w:val="fins-bold"/>
                <w:rFonts w:cs="Times New Roman"/>
              </w:rPr>
              <w:t xml:space="preserve">15,584 </w:t>
            </w:r>
          </w:p>
        </w:tc>
        <w:tc>
          <w:tcPr>
            <w:tcW w:w="1448" w:type="dxa"/>
            <w:tcBorders>
              <w:top w:val="single" w:sz="4" w:space="0" w:color="0D0D0D" w:themeColor="text1" w:themeTint="F2"/>
              <w:bottom w:val="single" w:sz="4" w:space="0" w:color="0D0D0D" w:themeColor="text1" w:themeTint="F2"/>
            </w:tcBorders>
            <w:vAlign w:val="center"/>
            <w:hideMark/>
          </w:tcPr>
          <w:p w14:paraId="2BF1FE89" w14:textId="77777777" w:rsidR="00C57C9F" w:rsidRDefault="00C57C9F" w:rsidP="006F421D">
            <w:pPr>
              <w:pStyle w:val="3fins-table-figures"/>
              <w:jc w:val="right"/>
              <w:rPr>
                <w:rFonts w:cs="Times New Roman"/>
              </w:rPr>
            </w:pPr>
            <w:r>
              <w:rPr>
                <w:rFonts w:cs="Times New Roman"/>
              </w:rPr>
              <w:t xml:space="preserve">8,467 </w:t>
            </w:r>
          </w:p>
        </w:tc>
      </w:tr>
      <w:tr w:rsidR="00C57C9F" w14:paraId="6240C5A1" w14:textId="77777777" w:rsidTr="006F421D">
        <w:trPr>
          <w:divId w:val="2075661312"/>
        </w:trPr>
        <w:tc>
          <w:tcPr>
            <w:tcW w:w="6043" w:type="dxa"/>
            <w:vAlign w:val="center"/>
            <w:hideMark/>
          </w:tcPr>
          <w:p w14:paraId="14A9EEEF" w14:textId="77777777" w:rsidR="00C57C9F" w:rsidRDefault="00C57C9F">
            <w:pPr>
              <w:rPr>
                <w:rFonts w:eastAsia="Times New Roman" w:cs="Times New Roman"/>
              </w:rPr>
            </w:pPr>
          </w:p>
        </w:tc>
        <w:tc>
          <w:tcPr>
            <w:tcW w:w="1121" w:type="dxa"/>
            <w:vAlign w:val="center"/>
            <w:hideMark/>
          </w:tcPr>
          <w:p w14:paraId="56401160" w14:textId="77777777" w:rsidR="00C57C9F" w:rsidRDefault="00C57C9F" w:rsidP="006F421D">
            <w:pPr>
              <w:jc w:val="center"/>
              <w:rPr>
                <w:rFonts w:eastAsia="Times New Roman" w:cs="Times New Roman"/>
              </w:rPr>
            </w:pPr>
          </w:p>
        </w:tc>
        <w:tc>
          <w:tcPr>
            <w:tcW w:w="1498" w:type="dxa"/>
            <w:vAlign w:val="center"/>
            <w:hideMark/>
          </w:tcPr>
          <w:p w14:paraId="72E785CF" w14:textId="77777777" w:rsidR="00C57C9F" w:rsidRDefault="00C57C9F" w:rsidP="006F421D">
            <w:pPr>
              <w:jc w:val="right"/>
              <w:rPr>
                <w:rFonts w:eastAsia="Times New Roman" w:cs="Times New Roman"/>
              </w:rPr>
            </w:pPr>
          </w:p>
        </w:tc>
        <w:tc>
          <w:tcPr>
            <w:tcW w:w="1448" w:type="dxa"/>
            <w:vAlign w:val="center"/>
            <w:hideMark/>
          </w:tcPr>
          <w:p w14:paraId="370552A8" w14:textId="77777777" w:rsidR="00C57C9F" w:rsidRDefault="00C57C9F" w:rsidP="006F421D">
            <w:pPr>
              <w:jc w:val="right"/>
              <w:rPr>
                <w:rFonts w:eastAsia="Times New Roman" w:cs="Times New Roman"/>
              </w:rPr>
            </w:pPr>
          </w:p>
        </w:tc>
      </w:tr>
      <w:tr w:rsidR="00C57C9F" w14:paraId="1767E37E" w14:textId="77777777" w:rsidTr="006F421D">
        <w:trPr>
          <w:divId w:val="2075661312"/>
        </w:trPr>
        <w:tc>
          <w:tcPr>
            <w:tcW w:w="6043" w:type="dxa"/>
            <w:vAlign w:val="center"/>
            <w:hideMark/>
          </w:tcPr>
          <w:p w14:paraId="69EAA015" w14:textId="77777777" w:rsidR="00C57C9F" w:rsidRDefault="00C57C9F">
            <w:pPr>
              <w:pStyle w:val="3fins-table"/>
              <w:rPr>
                <w:rFonts w:cs="Times New Roman"/>
              </w:rPr>
            </w:pPr>
            <w:r>
              <w:rPr>
                <w:rStyle w:val="fins-bold"/>
                <w:rFonts w:cs="Times New Roman"/>
              </w:rPr>
              <w:t>LIABILITIES</w:t>
            </w:r>
          </w:p>
        </w:tc>
        <w:tc>
          <w:tcPr>
            <w:tcW w:w="1121" w:type="dxa"/>
            <w:vAlign w:val="center"/>
            <w:hideMark/>
          </w:tcPr>
          <w:p w14:paraId="690C235D" w14:textId="77777777" w:rsidR="00C57C9F" w:rsidRDefault="00C57C9F" w:rsidP="006F421D">
            <w:pPr>
              <w:jc w:val="center"/>
              <w:rPr>
                <w:rFonts w:eastAsia="Times New Roman" w:cs="Times New Roman"/>
              </w:rPr>
            </w:pPr>
          </w:p>
        </w:tc>
        <w:tc>
          <w:tcPr>
            <w:tcW w:w="1498" w:type="dxa"/>
            <w:vAlign w:val="center"/>
            <w:hideMark/>
          </w:tcPr>
          <w:p w14:paraId="11B5898B" w14:textId="77777777" w:rsidR="00C57C9F" w:rsidRDefault="00C57C9F" w:rsidP="006F421D">
            <w:pPr>
              <w:jc w:val="right"/>
              <w:rPr>
                <w:rFonts w:eastAsia="Times New Roman" w:cs="Times New Roman"/>
              </w:rPr>
            </w:pPr>
          </w:p>
        </w:tc>
        <w:tc>
          <w:tcPr>
            <w:tcW w:w="1448" w:type="dxa"/>
            <w:vAlign w:val="center"/>
            <w:hideMark/>
          </w:tcPr>
          <w:p w14:paraId="7C6A5C67" w14:textId="77777777" w:rsidR="00C57C9F" w:rsidRDefault="00C57C9F" w:rsidP="006F421D">
            <w:pPr>
              <w:jc w:val="right"/>
              <w:rPr>
                <w:rFonts w:eastAsia="Times New Roman" w:cs="Times New Roman"/>
              </w:rPr>
            </w:pPr>
          </w:p>
        </w:tc>
      </w:tr>
      <w:tr w:rsidR="00C57C9F" w14:paraId="24CE7C62" w14:textId="77777777" w:rsidTr="006F421D">
        <w:trPr>
          <w:divId w:val="2075661312"/>
        </w:trPr>
        <w:tc>
          <w:tcPr>
            <w:tcW w:w="6043" w:type="dxa"/>
            <w:vAlign w:val="center"/>
            <w:hideMark/>
          </w:tcPr>
          <w:p w14:paraId="078F06DC" w14:textId="77777777" w:rsidR="00C57C9F" w:rsidRDefault="00C57C9F">
            <w:pPr>
              <w:pStyle w:val="3fins-table"/>
              <w:rPr>
                <w:rFonts w:cs="Times New Roman"/>
              </w:rPr>
            </w:pPr>
            <w:r>
              <w:rPr>
                <w:rStyle w:val="fins-bold"/>
                <w:rFonts w:cs="Times New Roman"/>
              </w:rPr>
              <w:t>Payables</w:t>
            </w:r>
          </w:p>
        </w:tc>
        <w:tc>
          <w:tcPr>
            <w:tcW w:w="1121" w:type="dxa"/>
            <w:vAlign w:val="center"/>
            <w:hideMark/>
          </w:tcPr>
          <w:p w14:paraId="1506CE3C" w14:textId="77777777" w:rsidR="00C57C9F" w:rsidRDefault="00C57C9F" w:rsidP="006F421D">
            <w:pPr>
              <w:jc w:val="center"/>
              <w:rPr>
                <w:rFonts w:eastAsia="Times New Roman" w:cs="Times New Roman"/>
              </w:rPr>
            </w:pPr>
          </w:p>
        </w:tc>
        <w:tc>
          <w:tcPr>
            <w:tcW w:w="1498" w:type="dxa"/>
            <w:vAlign w:val="center"/>
            <w:hideMark/>
          </w:tcPr>
          <w:p w14:paraId="4122A2FF" w14:textId="77777777" w:rsidR="00C57C9F" w:rsidRDefault="00C57C9F" w:rsidP="006F421D">
            <w:pPr>
              <w:jc w:val="right"/>
              <w:rPr>
                <w:rFonts w:eastAsia="Times New Roman" w:cs="Times New Roman"/>
              </w:rPr>
            </w:pPr>
          </w:p>
        </w:tc>
        <w:tc>
          <w:tcPr>
            <w:tcW w:w="1448" w:type="dxa"/>
            <w:vAlign w:val="center"/>
            <w:hideMark/>
          </w:tcPr>
          <w:p w14:paraId="68D3EA40" w14:textId="77777777" w:rsidR="00C57C9F" w:rsidRDefault="00C57C9F" w:rsidP="006F421D">
            <w:pPr>
              <w:jc w:val="right"/>
              <w:rPr>
                <w:rFonts w:eastAsia="Times New Roman" w:cs="Times New Roman"/>
              </w:rPr>
            </w:pPr>
          </w:p>
        </w:tc>
      </w:tr>
      <w:tr w:rsidR="00C57C9F" w14:paraId="2F2BCDB3" w14:textId="77777777" w:rsidTr="006F421D">
        <w:trPr>
          <w:divId w:val="2075661312"/>
        </w:trPr>
        <w:tc>
          <w:tcPr>
            <w:tcW w:w="6043" w:type="dxa"/>
            <w:vAlign w:val="center"/>
            <w:hideMark/>
          </w:tcPr>
          <w:p w14:paraId="20867AFE" w14:textId="77777777" w:rsidR="00C57C9F" w:rsidRDefault="00C57C9F">
            <w:pPr>
              <w:pStyle w:val="3fins-table"/>
              <w:rPr>
                <w:rFonts w:cs="Times New Roman"/>
              </w:rPr>
            </w:pPr>
            <w:r>
              <w:rPr>
                <w:rFonts w:cs="Times New Roman"/>
              </w:rPr>
              <w:t>Suppliers</w:t>
            </w:r>
          </w:p>
        </w:tc>
        <w:tc>
          <w:tcPr>
            <w:tcW w:w="1121" w:type="dxa"/>
            <w:vAlign w:val="center"/>
            <w:hideMark/>
          </w:tcPr>
          <w:p w14:paraId="62292F5F" w14:textId="77777777" w:rsidR="00C57C9F" w:rsidRDefault="00C57C9F" w:rsidP="006F421D">
            <w:pPr>
              <w:pStyle w:val="3fins-table-notes"/>
              <w:jc w:val="center"/>
              <w:rPr>
                <w:rFonts w:cs="Times New Roman"/>
              </w:rPr>
            </w:pPr>
            <w:r>
              <w:rPr>
                <w:rFonts w:cs="Times New Roman"/>
              </w:rPr>
              <w:t>8A</w:t>
            </w:r>
          </w:p>
        </w:tc>
        <w:tc>
          <w:tcPr>
            <w:tcW w:w="1498" w:type="dxa"/>
            <w:vAlign w:val="center"/>
            <w:hideMark/>
          </w:tcPr>
          <w:p w14:paraId="610B4C31" w14:textId="77777777" w:rsidR="00C57C9F" w:rsidRDefault="00C57C9F" w:rsidP="006F421D">
            <w:pPr>
              <w:pStyle w:val="3fins-table-figures"/>
              <w:jc w:val="right"/>
              <w:rPr>
                <w:rFonts w:cs="Times New Roman"/>
              </w:rPr>
            </w:pPr>
            <w:r>
              <w:rPr>
                <w:rStyle w:val="fins-bold"/>
                <w:rFonts w:cs="Times New Roman"/>
              </w:rPr>
              <w:t xml:space="preserve">2,233 </w:t>
            </w:r>
          </w:p>
        </w:tc>
        <w:tc>
          <w:tcPr>
            <w:tcW w:w="1448" w:type="dxa"/>
            <w:vAlign w:val="center"/>
            <w:hideMark/>
          </w:tcPr>
          <w:p w14:paraId="0976D73C" w14:textId="77777777" w:rsidR="00C57C9F" w:rsidRDefault="00C57C9F" w:rsidP="006F421D">
            <w:pPr>
              <w:pStyle w:val="3fins-table-figures"/>
              <w:jc w:val="right"/>
              <w:rPr>
                <w:rFonts w:cs="Times New Roman"/>
              </w:rPr>
            </w:pPr>
            <w:r>
              <w:rPr>
                <w:rFonts w:cs="Times New Roman"/>
              </w:rPr>
              <w:t xml:space="preserve">2,478 </w:t>
            </w:r>
          </w:p>
        </w:tc>
      </w:tr>
      <w:tr w:rsidR="00C57C9F" w14:paraId="30167108" w14:textId="77777777" w:rsidTr="006F421D">
        <w:trPr>
          <w:divId w:val="2075661312"/>
        </w:trPr>
        <w:tc>
          <w:tcPr>
            <w:tcW w:w="6043" w:type="dxa"/>
            <w:vAlign w:val="center"/>
            <w:hideMark/>
          </w:tcPr>
          <w:p w14:paraId="3E7F08A5" w14:textId="77777777" w:rsidR="00C57C9F" w:rsidRDefault="00C57C9F">
            <w:pPr>
              <w:pStyle w:val="3fins-table"/>
              <w:rPr>
                <w:rFonts w:cs="Times New Roman"/>
              </w:rPr>
            </w:pPr>
            <w:r>
              <w:rPr>
                <w:rFonts w:cs="Times New Roman"/>
              </w:rPr>
              <w:t>Other payables</w:t>
            </w:r>
          </w:p>
        </w:tc>
        <w:tc>
          <w:tcPr>
            <w:tcW w:w="1121" w:type="dxa"/>
            <w:vAlign w:val="center"/>
            <w:hideMark/>
          </w:tcPr>
          <w:p w14:paraId="2A7B79C2" w14:textId="77777777" w:rsidR="00C57C9F" w:rsidRDefault="00C57C9F" w:rsidP="006F421D">
            <w:pPr>
              <w:pStyle w:val="3fins-table-notes"/>
              <w:jc w:val="center"/>
              <w:rPr>
                <w:rFonts w:cs="Times New Roman"/>
              </w:rPr>
            </w:pPr>
            <w:r>
              <w:rPr>
                <w:rFonts w:cs="Times New Roman"/>
              </w:rPr>
              <w:t>8B</w:t>
            </w:r>
          </w:p>
        </w:tc>
        <w:tc>
          <w:tcPr>
            <w:tcW w:w="1498" w:type="dxa"/>
            <w:tcBorders>
              <w:bottom w:val="single" w:sz="4" w:space="0" w:color="0D0D0D" w:themeColor="text1" w:themeTint="F2"/>
            </w:tcBorders>
            <w:vAlign w:val="center"/>
            <w:hideMark/>
          </w:tcPr>
          <w:p w14:paraId="5DFADCD2" w14:textId="77777777" w:rsidR="00C57C9F" w:rsidRDefault="00C57C9F" w:rsidP="006F421D">
            <w:pPr>
              <w:pStyle w:val="3fins-table-figures"/>
              <w:jc w:val="right"/>
              <w:rPr>
                <w:rFonts w:cs="Times New Roman"/>
              </w:rPr>
            </w:pPr>
            <w:r>
              <w:rPr>
                <w:rStyle w:val="fins-bold"/>
                <w:rFonts w:cs="Times New Roman"/>
              </w:rPr>
              <w:t xml:space="preserve">10,135 </w:t>
            </w:r>
          </w:p>
        </w:tc>
        <w:tc>
          <w:tcPr>
            <w:tcW w:w="1448" w:type="dxa"/>
            <w:tcBorders>
              <w:bottom w:val="single" w:sz="4" w:space="0" w:color="0D0D0D" w:themeColor="text1" w:themeTint="F2"/>
            </w:tcBorders>
            <w:vAlign w:val="center"/>
            <w:hideMark/>
          </w:tcPr>
          <w:p w14:paraId="7BF639DB" w14:textId="77777777" w:rsidR="00C57C9F" w:rsidRDefault="00C57C9F" w:rsidP="006F421D">
            <w:pPr>
              <w:pStyle w:val="3fins-table-figures"/>
              <w:jc w:val="right"/>
              <w:rPr>
                <w:rFonts w:cs="Times New Roman"/>
              </w:rPr>
            </w:pPr>
            <w:r>
              <w:rPr>
                <w:rFonts w:cs="Times New Roman"/>
              </w:rPr>
              <w:t xml:space="preserve">3,548 </w:t>
            </w:r>
          </w:p>
        </w:tc>
      </w:tr>
      <w:tr w:rsidR="00C57C9F" w14:paraId="0B80F809" w14:textId="77777777" w:rsidTr="006F421D">
        <w:trPr>
          <w:divId w:val="2075661312"/>
        </w:trPr>
        <w:tc>
          <w:tcPr>
            <w:tcW w:w="6043" w:type="dxa"/>
            <w:vAlign w:val="center"/>
            <w:hideMark/>
          </w:tcPr>
          <w:p w14:paraId="67FB1E17" w14:textId="77777777" w:rsidR="00C57C9F" w:rsidRDefault="00C57C9F">
            <w:pPr>
              <w:pStyle w:val="3fins-table"/>
              <w:rPr>
                <w:rFonts w:cs="Times New Roman"/>
              </w:rPr>
            </w:pPr>
            <w:r>
              <w:rPr>
                <w:rStyle w:val="fins-bold"/>
                <w:rFonts w:cs="Times New Roman"/>
              </w:rPr>
              <w:t>Total payables</w:t>
            </w:r>
          </w:p>
        </w:tc>
        <w:tc>
          <w:tcPr>
            <w:tcW w:w="1121" w:type="dxa"/>
            <w:vAlign w:val="center"/>
            <w:hideMark/>
          </w:tcPr>
          <w:p w14:paraId="27BE3E8F"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4872C47F" w14:textId="77777777" w:rsidR="00C57C9F" w:rsidRDefault="00C57C9F" w:rsidP="006F421D">
            <w:pPr>
              <w:pStyle w:val="3fins-table-figures"/>
              <w:jc w:val="right"/>
              <w:rPr>
                <w:rFonts w:cs="Times New Roman"/>
              </w:rPr>
            </w:pPr>
            <w:r>
              <w:rPr>
                <w:rStyle w:val="fins-bold"/>
                <w:rFonts w:cs="Times New Roman"/>
              </w:rPr>
              <w:t xml:space="preserve">12,368 </w:t>
            </w:r>
          </w:p>
        </w:tc>
        <w:tc>
          <w:tcPr>
            <w:tcW w:w="1448" w:type="dxa"/>
            <w:tcBorders>
              <w:top w:val="single" w:sz="4" w:space="0" w:color="0D0D0D" w:themeColor="text1" w:themeTint="F2"/>
              <w:bottom w:val="single" w:sz="4" w:space="0" w:color="0D0D0D" w:themeColor="text1" w:themeTint="F2"/>
            </w:tcBorders>
            <w:vAlign w:val="center"/>
            <w:hideMark/>
          </w:tcPr>
          <w:p w14:paraId="75E92017" w14:textId="77777777" w:rsidR="00C57C9F" w:rsidRDefault="00C57C9F" w:rsidP="006F421D">
            <w:pPr>
              <w:pStyle w:val="3fins-table-figures"/>
              <w:jc w:val="right"/>
              <w:rPr>
                <w:rFonts w:cs="Times New Roman"/>
              </w:rPr>
            </w:pPr>
            <w:r>
              <w:rPr>
                <w:rFonts w:cs="Times New Roman"/>
              </w:rPr>
              <w:t xml:space="preserve">6,026 </w:t>
            </w:r>
          </w:p>
        </w:tc>
      </w:tr>
      <w:tr w:rsidR="00C57C9F" w14:paraId="22E579E2" w14:textId="77777777" w:rsidTr="006F421D">
        <w:trPr>
          <w:divId w:val="2075661312"/>
        </w:trPr>
        <w:tc>
          <w:tcPr>
            <w:tcW w:w="6043" w:type="dxa"/>
            <w:vAlign w:val="center"/>
            <w:hideMark/>
          </w:tcPr>
          <w:p w14:paraId="6DB8377A" w14:textId="77777777" w:rsidR="00C57C9F" w:rsidRDefault="00C57C9F">
            <w:pPr>
              <w:rPr>
                <w:rFonts w:eastAsia="Times New Roman" w:cs="Times New Roman"/>
              </w:rPr>
            </w:pPr>
          </w:p>
        </w:tc>
        <w:tc>
          <w:tcPr>
            <w:tcW w:w="1121" w:type="dxa"/>
            <w:vAlign w:val="center"/>
            <w:hideMark/>
          </w:tcPr>
          <w:p w14:paraId="4F3524BA"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tcBorders>
            <w:vAlign w:val="center"/>
            <w:hideMark/>
          </w:tcPr>
          <w:p w14:paraId="44CED281" w14:textId="77777777" w:rsidR="00C57C9F" w:rsidRDefault="00C57C9F" w:rsidP="006F421D">
            <w:pPr>
              <w:jc w:val="right"/>
              <w:rPr>
                <w:rFonts w:eastAsia="Times New Roman" w:cs="Times New Roman"/>
              </w:rPr>
            </w:pPr>
          </w:p>
        </w:tc>
        <w:tc>
          <w:tcPr>
            <w:tcW w:w="1448" w:type="dxa"/>
            <w:tcBorders>
              <w:top w:val="single" w:sz="4" w:space="0" w:color="0D0D0D" w:themeColor="text1" w:themeTint="F2"/>
            </w:tcBorders>
            <w:vAlign w:val="center"/>
            <w:hideMark/>
          </w:tcPr>
          <w:p w14:paraId="4D6E7E06" w14:textId="77777777" w:rsidR="00C57C9F" w:rsidRDefault="00C57C9F" w:rsidP="006F421D">
            <w:pPr>
              <w:jc w:val="right"/>
              <w:rPr>
                <w:rFonts w:eastAsia="Times New Roman" w:cs="Times New Roman"/>
              </w:rPr>
            </w:pPr>
          </w:p>
        </w:tc>
      </w:tr>
      <w:tr w:rsidR="00C57C9F" w14:paraId="45FA1C9B" w14:textId="77777777" w:rsidTr="006F421D">
        <w:trPr>
          <w:divId w:val="2075661312"/>
        </w:trPr>
        <w:tc>
          <w:tcPr>
            <w:tcW w:w="6043" w:type="dxa"/>
            <w:vAlign w:val="center"/>
            <w:hideMark/>
          </w:tcPr>
          <w:p w14:paraId="58819470" w14:textId="77777777" w:rsidR="00C57C9F" w:rsidRDefault="00C57C9F">
            <w:pPr>
              <w:pStyle w:val="3fins-table"/>
              <w:rPr>
                <w:rFonts w:cs="Times New Roman"/>
              </w:rPr>
            </w:pPr>
            <w:r>
              <w:rPr>
                <w:rStyle w:val="fins-bold"/>
                <w:rFonts w:cs="Times New Roman"/>
              </w:rPr>
              <w:t>Provisions</w:t>
            </w:r>
          </w:p>
        </w:tc>
        <w:tc>
          <w:tcPr>
            <w:tcW w:w="1121" w:type="dxa"/>
            <w:vAlign w:val="center"/>
            <w:hideMark/>
          </w:tcPr>
          <w:p w14:paraId="7E287582" w14:textId="77777777" w:rsidR="00C57C9F" w:rsidRDefault="00C57C9F" w:rsidP="006F421D">
            <w:pPr>
              <w:jc w:val="center"/>
              <w:rPr>
                <w:rFonts w:eastAsia="Times New Roman" w:cs="Times New Roman"/>
              </w:rPr>
            </w:pPr>
          </w:p>
        </w:tc>
        <w:tc>
          <w:tcPr>
            <w:tcW w:w="1498" w:type="dxa"/>
            <w:vAlign w:val="center"/>
            <w:hideMark/>
          </w:tcPr>
          <w:p w14:paraId="713100D9" w14:textId="77777777" w:rsidR="00C57C9F" w:rsidRDefault="00C57C9F" w:rsidP="006F421D">
            <w:pPr>
              <w:jc w:val="right"/>
              <w:rPr>
                <w:rFonts w:eastAsia="Times New Roman" w:cs="Times New Roman"/>
              </w:rPr>
            </w:pPr>
          </w:p>
        </w:tc>
        <w:tc>
          <w:tcPr>
            <w:tcW w:w="1448" w:type="dxa"/>
            <w:vAlign w:val="center"/>
            <w:hideMark/>
          </w:tcPr>
          <w:p w14:paraId="7FFA7226" w14:textId="77777777" w:rsidR="00C57C9F" w:rsidRDefault="00C57C9F" w:rsidP="006F421D">
            <w:pPr>
              <w:jc w:val="right"/>
              <w:rPr>
                <w:rFonts w:eastAsia="Times New Roman" w:cs="Times New Roman"/>
              </w:rPr>
            </w:pPr>
          </w:p>
        </w:tc>
      </w:tr>
      <w:tr w:rsidR="00C57C9F" w14:paraId="27A8497B" w14:textId="77777777" w:rsidTr="006F421D">
        <w:trPr>
          <w:divId w:val="2075661312"/>
        </w:trPr>
        <w:tc>
          <w:tcPr>
            <w:tcW w:w="6043" w:type="dxa"/>
            <w:vAlign w:val="center"/>
            <w:hideMark/>
          </w:tcPr>
          <w:p w14:paraId="27284971" w14:textId="77777777" w:rsidR="00C57C9F" w:rsidRDefault="00C57C9F">
            <w:pPr>
              <w:pStyle w:val="3fins-table"/>
              <w:rPr>
                <w:rFonts w:cs="Times New Roman"/>
              </w:rPr>
            </w:pPr>
            <w:r>
              <w:rPr>
                <w:rFonts w:cs="Times New Roman"/>
              </w:rPr>
              <w:t>Employee provisions</w:t>
            </w:r>
          </w:p>
        </w:tc>
        <w:tc>
          <w:tcPr>
            <w:tcW w:w="1121" w:type="dxa"/>
            <w:vAlign w:val="center"/>
            <w:hideMark/>
          </w:tcPr>
          <w:p w14:paraId="4F963371" w14:textId="77777777" w:rsidR="00C57C9F" w:rsidRDefault="00C57C9F" w:rsidP="006F421D">
            <w:pPr>
              <w:pStyle w:val="3fins-table-notes"/>
              <w:jc w:val="center"/>
              <w:rPr>
                <w:rFonts w:cs="Times New Roman"/>
              </w:rPr>
            </w:pPr>
            <w:r>
              <w:rPr>
                <w:rFonts w:cs="Times New Roman"/>
              </w:rPr>
              <w:t>9A</w:t>
            </w:r>
          </w:p>
        </w:tc>
        <w:tc>
          <w:tcPr>
            <w:tcW w:w="1498" w:type="dxa"/>
            <w:vAlign w:val="center"/>
            <w:hideMark/>
          </w:tcPr>
          <w:p w14:paraId="50404327" w14:textId="77777777" w:rsidR="00C57C9F" w:rsidRDefault="00C57C9F" w:rsidP="006F421D">
            <w:pPr>
              <w:pStyle w:val="3fins-table-figures"/>
              <w:jc w:val="right"/>
              <w:rPr>
                <w:rFonts w:cs="Times New Roman"/>
              </w:rPr>
            </w:pPr>
            <w:r>
              <w:rPr>
                <w:rStyle w:val="fins-bold"/>
                <w:rFonts w:cs="Times New Roman"/>
              </w:rPr>
              <w:t xml:space="preserve">1,504 </w:t>
            </w:r>
          </w:p>
        </w:tc>
        <w:tc>
          <w:tcPr>
            <w:tcW w:w="1448" w:type="dxa"/>
            <w:vAlign w:val="center"/>
            <w:hideMark/>
          </w:tcPr>
          <w:p w14:paraId="4C5D057C" w14:textId="77777777" w:rsidR="00C57C9F" w:rsidRDefault="00C57C9F" w:rsidP="006F421D">
            <w:pPr>
              <w:pStyle w:val="3fins-table-figures"/>
              <w:jc w:val="right"/>
              <w:rPr>
                <w:rFonts w:cs="Times New Roman"/>
              </w:rPr>
            </w:pPr>
            <w:r>
              <w:rPr>
                <w:rFonts w:cs="Times New Roman"/>
              </w:rPr>
              <w:t xml:space="preserve">1,229 </w:t>
            </w:r>
          </w:p>
        </w:tc>
      </w:tr>
      <w:tr w:rsidR="00C57C9F" w14:paraId="53BE8BF1" w14:textId="77777777" w:rsidTr="006F421D">
        <w:trPr>
          <w:divId w:val="2075661312"/>
        </w:trPr>
        <w:tc>
          <w:tcPr>
            <w:tcW w:w="6043" w:type="dxa"/>
            <w:vAlign w:val="center"/>
            <w:hideMark/>
          </w:tcPr>
          <w:p w14:paraId="7E17A894" w14:textId="77777777" w:rsidR="00C57C9F" w:rsidRDefault="00C57C9F">
            <w:pPr>
              <w:pStyle w:val="3fins-table"/>
              <w:rPr>
                <w:rFonts w:cs="Times New Roman"/>
              </w:rPr>
            </w:pPr>
            <w:r>
              <w:rPr>
                <w:rFonts w:cs="Times New Roman"/>
              </w:rPr>
              <w:t>Other provisions</w:t>
            </w:r>
          </w:p>
        </w:tc>
        <w:tc>
          <w:tcPr>
            <w:tcW w:w="1121" w:type="dxa"/>
            <w:vAlign w:val="center"/>
            <w:hideMark/>
          </w:tcPr>
          <w:p w14:paraId="6CAB3F1B" w14:textId="77777777" w:rsidR="00C57C9F" w:rsidRDefault="00C57C9F" w:rsidP="006F421D">
            <w:pPr>
              <w:pStyle w:val="3fins-table-notes"/>
              <w:jc w:val="center"/>
              <w:rPr>
                <w:rFonts w:cs="Times New Roman"/>
              </w:rPr>
            </w:pPr>
            <w:r>
              <w:rPr>
                <w:rFonts w:cs="Times New Roman"/>
              </w:rPr>
              <w:t>9B</w:t>
            </w:r>
          </w:p>
        </w:tc>
        <w:tc>
          <w:tcPr>
            <w:tcW w:w="1498" w:type="dxa"/>
            <w:tcBorders>
              <w:bottom w:val="single" w:sz="4" w:space="0" w:color="0D0D0D" w:themeColor="text1" w:themeTint="F2"/>
            </w:tcBorders>
            <w:vAlign w:val="center"/>
            <w:hideMark/>
          </w:tcPr>
          <w:p w14:paraId="00A0ED11" w14:textId="77777777" w:rsidR="00C57C9F" w:rsidRDefault="00C57C9F" w:rsidP="006F421D">
            <w:pPr>
              <w:pStyle w:val="3fins-table-figures"/>
              <w:jc w:val="right"/>
              <w:rPr>
                <w:rFonts w:cs="Times New Roman"/>
              </w:rPr>
            </w:pPr>
            <w:r>
              <w:rPr>
                <w:rStyle w:val="fins-bold"/>
                <w:rFonts w:cs="Times New Roman"/>
              </w:rPr>
              <w:t xml:space="preserve">389 </w:t>
            </w:r>
          </w:p>
        </w:tc>
        <w:tc>
          <w:tcPr>
            <w:tcW w:w="1448" w:type="dxa"/>
            <w:tcBorders>
              <w:bottom w:val="single" w:sz="4" w:space="0" w:color="0D0D0D" w:themeColor="text1" w:themeTint="F2"/>
            </w:tcBorders>
            <w:vAlign w:val="center"/>
            <w:hideMark/>
          </w:tcPr>
          <w:p w14:paraId="38B35B33" w14:textId="77777777" w:rsidR="00C57C9F" w:rsidRDefault="00C57C9F" w:rsidP="006F421D">
            <w:pPr>
              <w:pStyle w:val="3fins-table-figures"/>
              <w:jc w:val="right"/>
              <w:rPr>
                <w:rFonts w:cs="Times New Roman"/>
              </w:rPr>
            </w:pPr>
            <w:r>
              <w:rPr>
                <w:rFonts w:cs="Times New Roman"/>
              </w:rPr>
              <w:t xml:space="preserve">249 </w:t>
            </w:r>
          </w:p>
        </w:tc>
      </w:tr>
      <w:tr w:rsidR="00C57C9F" w14:paraId="5F039D56" w14:textId="77777777" w:rsidTr="006F421D">
        <w:trPr>
          <w:divId w:val="2075661312"/>
        </w:trPr>
        <w:tc>
          <w:tcPr>
            <w:tcW w:w="6043" w:type="dxa"/>
            <w:vAlign w:val="center"/>
            <w:hideMark/>
          </w:tcPr>
          <w:p w14:paraId="500B8EBE" w14:textId="77777777" w:rsidR="00C57C9F" w:rsidRDefault="00C57C9F">
            <w:pPr>
              <w:pStyle w:val="3fins-table"/>
              <w:rPr>
                <w:rFonts w:cs="Times New Roman"/>
              </w:rPr>
            </w:pPr>
            <w:r>
              <w:rPr>
                <w:rStyle w:val="fins-bold"/>
                <w:rFonts w:cs="Times New Roman"/>
              </w:rPr>
              <w:t>Total provisions</w:t>
            </w:r>
          </w:p>
        </w:tc>
        <w:tc>
          <w:tcPr>
            <w:tcW w:w="1121" w:type="dxa"/>
            <w:vAlign w:val="center"/>
            <w:hideMark/>
          </w:tcPr>
          <w:p w14:paraId="666FE1F8"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6D3CC3DA" w14:textId="77777777" w:rsidR="00C57C9F" w:rsidRDefault="00C57C9F" w:rsidP="006F421D">
            <w:pPr>
              <w:pStyle w:val="3fins-table-figures"/>
              <w:jc w:val="right"/>
              <w:rPr>
                <w:rFonts w:cs="Times New Roman"/>
              </w:rPr>
            </w:pPr>
            <w:r>
              <w:rPr>
                <w:rStyle w:val="fins-bold"/>
                <w:rFonts w:cs="Times New Roman"/>
              </w:rPr>
              <w:t xml:space="preserve">1,893 </w:t>
            </w:r>
          </w:p>
        </w:tc>
        <w:tc>
          <w:tcPr>
            <w:tcW w:w="1448" w:type="dxa"/>
            <w:tcBorders>
              <w:top w:val="single" w:sz="4" w:space="0" w:color="0D0D0D" w:themeColor="text1" w:themeTint="F2"/>
              <w:bottom w:val="single" w:sz="4" w:space="0" w:color="0D0D0D" w:themeColor="text1" w:themeTint="F2"/>
            </w:tcBorders>
            <w:vAlign w:val="center"/>
            <w:hideMark/>
          </w:tcPr>
          <w:p w14:paraId="4F327D74" w14:textId="77777777" w:rsidR="00C57C9F" w:rsidRDefault="00C57C9F" w:rsidP="006F421D">
            <w:pPr>
              <w:pStyle w:val="3fins-table-figures"/>
              <w:jc w:val="right"/>
              <w:rPr>
                <w:rFonts w:cs="Times New Roman"/>
              </w:rPr>
            </w:pPr>
            <w:r>
              <w:rPr>
                <w:rFonts w:cs="Times New Roman"/>
              </w:rPr>
              <w:t xml:space="preserve">1,478 </w:t>
            </w:r>
          </w:p>
        </w:tc>
      </w:tr>
      <w:tr w:rsidR="00C57C9F" w14:paraId="05BF5CFF" w14:textId="77777777" w:rsidTr="006F421D">
        <w:trPr>
          <w:divId w:val="2075661312"/>
        </w:trPr>
        <w:tc>
          <w:tcPr>
            <w:tcW w:w="6043" w:type="dxa"/>
            <w:vAlign w:val="center"/>
            <w:hideMark/>
          </w:tcPr>
          <w:p w14:paraId="28B7D00C" w14:textId="77777777" w:rsidR="00C57C9F" w:rsidRDefault="00C57C9F">
            <w:pPr>
              <w:pStyle w:val="3fins-table"/>
              <w:rPr>
                <w:rFonts w:cs="Times New Roman"/>
              </w:rPr>
            </w:pPr>
            <w:r>
              <w:rPr>
                <w:rStyle w:val="fins-bold"/>
                <w:rFonts w:cs="Times New Roman"/>
              </w:rPr>
              <w:t>Total liabilities</w:t>
            </w:r>
          </w:p>
        </w:tc>
        <w:tc>
          <w:tcPr>
            <w:tcW w:w="1121" w:type="dxa"/>
            <w:vAlign w:val="center"/>
            <w:hideMark/>
          </w:tcPr>
          <w:p w14:paraId="2EB5341A"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789C97D1" w14:textId="77777777" w:rsidR="00C57C9F" w:rsidRDefault="00C57C9F" w:rsidP="006F421D">
            <w:pPr>
              <w:pStyle w:val="3fins-table-figures"/>
              <w:jc w:val="right"/>
              <w:rPr>
                <w:rFonts w:cs="Times New Roman"/>
              </w:rPr>
            </w:pPr>
            <w:r>
              <w:rPr>
                <w:rStyle w:val="fins-bold"/>
                <w:rFonts w:cs="Times New Roman"/>
              </w:rPr>
              <w:t xml:space="preserve">14,261 </w:t>
            </w:r>
          </w:p>
        </w:tc>
        <w:tc>
          <w:tcPr>
            <w:tcW w:w="1448" w:type="dxa"/>
            <w:tcBorders>
              <w:top w:val="single" w:sz="4" w:space="0" w:color="0D0D0D" w:themeColor="text1" w:themeTint="F2"/>
              <w:bottom w:val="single" w:sz="4" w:space="0" w:color="0D0D0D" w:themeColor="text1" w:themeTint="F2"/>
            </w:tcBorders>
            <w:vAlign w:val="center"/>
            <w:hideMark/>
          </w:tcPr>
          <w:p w14:paraId="2A792CFB" w14:textId="77777777" w:rsidR="00C57C9F" w:rsidRDefault="00C57C9F" w:rsidP="006F421D">
            <w:pPr>
              <w:pStyle w:val="3fins-table-figures"/>
              <w:jc w:val="right"/>
              <w:rPr>
                <w:rFonts w:cs="Times New Roman"/>
              </w:rPr>
            </w:pPr>
            <w:r>
              <w:rPr>
                <w:rFonts w:cs="Times New Roman"/>
              </w:rPr>
              <w:t xml:space="preserve">7,504 </w:t>
            </w:r>
          </w:p>
        </w:tc>
      </w:tr>
      <w:tr w:rsidR="00C57C9F" w14:paraId="56BAC2CE" w14:textId="77777777" w:rsidTr="006F421D">
        <w:trPr>
          <w:divId w:val="2075661312"/>
        </w:trPr>
        <w:tc>
          <w:tcPr>
            <w:tcW w:w="6043" w:type="dxa"/>
            <w:vAlign w:val="center"/>
            <w:hideMark/>
          </w:tcPr>
          <w:p w14:paraId="195F64E0" w14:textId="77777777" w:rsidR="00C57C9F" w:rsidRDefault="00C57C9F">
            <w:pPr>
              <w:pStyle w:val="3fins-table"/>
              <w:rPr>
                <w:rFonts w:cs="Times New Roman"/>
              </w:rPr>
            </w:pPr>
            <w:r>
              <w:rPr>
                <w:rStyle w:val="fins-bold"/>
                <w:rFonts w:cs="Times New Roman"/>
              </w:rPr>
              <w:t>Net assets</w:t>
            </w:r>
          </w:p>
        </w:tc>
        <w:tc>
          <w:tcPr>
            <w:tcW w:w="1121" w:type="dxa"/>
            <w:vAlign w:val="center"/>
            <w:hideMark/>
          </w:tcPr>
          <w:p w14:paraId="7BADAEBA"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51150F1A" w14:textId="77777777" w:rsidR="00C57C9F" w:rsidRDefault="00C57C9F" w:rsidP="006F421D">
            <w:pPr>
              <w:pStyle w:val="3fins-table-figures"/>
              <w:jc w:val="right"/>
              <w:rPr>
                <w:rFonts w:cs="Times New Roman"/>
              </w:rPr>
            </w:pPr>
            <w:r>
              <w:rPr>
                <w:rStyle w:val="fins-bold"/>
                <w:rFonts w:cs="Times New Roman"/>
              </w:rPr>
              <w:t xml:space="preserve">1,323 </w:t>
            </w:r>
          </w:p>
        </w:tc>
        <w:tc>
          <w:tcPr>
            <w:tcW w:w="1448" w:type="dxa"/>
            <w:tcBorders>
              <w:top w:val="single" w:sz="4" w:space="0" w:color="0D0D0D" w:themeColor="text1" w:themeTint="F2"/>
              <w:bottom w:val="single" w:sz="4" w:space="0" w:color="0D0D0D" w:themeColor="text1" w:themeTint="F2"/>
            </w:tcBorders>
            <w:vAlign w:val="center"/>
            <w:hideMark/>
          </w:tcPr>
          <w:p w14:paraId="2FF14A43" w14:textId="77777777" w:rsidR="00C57C9F" w:rsidRDefault="00C57C9F" w:rsidP="006F421D">
            <w:pPr>
              <w:pStyle w:val="3fins-table-figures"/>
              <w:jc w:val="right"/>
              <w:rPr>
                <w:rFonts w:cs="Times New Roman"/>
              </w:rPr>
            </w:pPr>
            <w:r>
              <w:rPr>
                <w:rFonts w:cs="Times New Roman"/>
              </w:rPr>
              <w:t xml:space="preserve">963 </w:t>
            </w:r>
          </w:p>
        </w:tc>
      </w:tr>
      <w:tr w:rsidR="00C57C9F" w14:paraId="791972CC" w14:textId="77777777" w:rsidTr="006F421D">
        <w:trPr>
          <w:divId w:val="2075661312"/>
        </w:trPr>
        <w:tc>
          <w:tcPr>
            <w:tcW w:w="6043" w:type="dxa"/>
            <w:vAlign w:val="center"/>
            <w:hideMark/>
          </w:tcPr>
          <w:p w14:paraId="55D04A34" w14:textId="77777777" w:rsidR="00C57C9F" w:rsidRDefault="00C57C9F">
            <w:pPr>
              <w:rPr>
                <w:rFonts w:eastAsia="Times New Roman" w:cs="Times New Roman"/>
              </w:rPr>
            </w:pPr>
          </w:p>
        </w:tc>
        <w:tc>
          <w:tcPr>
            <w:tcW w:w="1121" w:type="dxa"/>
            <w:vAlign w:val="center"/>
            <w:hideMark/>
          </w:tcPr>
          <w:p w14:paraId="32BB7FEA"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tcBorders>
            <w:vAlign w:val="center"/>
            <w:hideMark/>
          </w:tcPr>
          <w:p w14:paraId="5E26F15F" w14:textId="77777777" w:rsidR="00C57C9F" w:rsidRDefault="00C57C9F" w:rsidP="006F421D">
            <w:pPr>
              <w:jc w:val="right"/>
              <w:rPr>
                <w:rFonts w:eastAsia="Times New Roman" w:cs="Times New Roman"/>
              </w:rPr>
            </w:pPr>
          </w:p>
        </w:tc>
        <w:tc>
          <w:tcPr>
            <w:tcW w:w="1448" w:type="dxa"/>
            <w:tcBorders>
              <w:top w:val="single" w:sz="4" w:space="0" w:color="0D0D0D" w:themeColor="text1" w:themeTint="F2"/>
            </w:tcBorders>
            <w:vAlign w:val="center"/>
            <w:hideMark/>
          </w:tcPr>
          <w:p w14:paraId="1706C0A7" w14:textId="77777777" w:rsidR="00C57C9F" w:rsidRDefault="00C57C9F" w:rsidP="006F421D">
            <w:pPr>
              <w:jc w:val="right"/>
              <w:rPr>
                <w:rFonts w:eastAsia="Times New Roman" w:cs="Times New Roman"/>
              </w:rPr>
            </w:pPr>
          </w:p>
        </w:tc>
      </w:tr>
      <w:tr w:rsidR="00C57C9F" w14:paraId="62A5986D" w14:textId="77777777" w:rsidTr="006F421D">
        <w:trPr>
          <w:divId w:val="2075661312"/>
        </w:trPr>
        <w:tc>
          <w:tcPr>
            <w:tcW w:w="6043" w:type="dxa"/>
            <w:vAlign w:val="center"/>
            <w:hideMark/>
          </w:tcPr>
          <w:p w14:paraId="6055FBC9" w14:textId="77777777" w:rsidR="00C57C9F" w:rsidRDefault="00C57C9F">
            <w:pPr>
              <w:pStyle w:val="3fins-table"/>
              <w:rPr>
                <w:rFonts w:cs="Times New Roman"/>
              </w:rPr>
            </w:pPr>
            <w:r>
              <w:rPr>
                <w:rStyle w:val="fins-bold"/>
                <w:rFonts w:cs="Times New Roman"/>
              </w:rPr>
              <w:t>EQUITY</w:t>
            </w:r>
          </w:p>
        </w:tc>
        <w:tc>
          <w:tcPr>
            <w:tcW w:w="1121" w:type="dxa"/>
            <w:vAlign w:val="center"/>
            <w:hideMark/>
          </w:tcPr>
          <w:p w14:paraId="5DA93BA3" w14:textId="77777777" w:rsidR="00C57C9F" w:rsidRDefault="00C57C9F" w:rsidP="006F421D">
            <w:pPr>
              <w:jc w:val="center"/>
              <w:rPr>
                <w:rFonts w:eastAsia="Times New Roman" w:cs="Times New Roman"/>
              </w:rPr>
            </w:pPr>
          </w:p>
        </w:tc>
        <w:tc>
          <w:tcPr>
            <w:tcW w:w="1498" w:type="dxa"/>
            <w:vAlign w:val="center"/>
            <w:hideMark/>
          </w:tcPr>
          <w:p w14:paraId="4061D274" w14:textId="77777777" w:rsidR="00C57C9F" w:rsidRDefault="00C57C9F" w:rsidP="006F421D">
            <w:pPr>
              <w:jc w:val="right"/>
              <w:rPr>
                <w:rFonts w:eastAsia="Times New Roman" w:cs="Times New Roman"/>
              </w:rPr>
            </w:pPr>
          </w:p>
        </w:tc>
        <w:tc>
          <w:tcPr>
            <w:tcW w:w="1448" w:type="dxa"/>
            <w:vAlign w:val="center"/>
            <w:hideMark/>
          </w:tcPr>
          <w:p w14:paraId="03D377BF" w14:textId="77777777" w:rsidR="00C57C9F" w:rsidRDefault="00C57C9F" w:rsidP="006F421D">
            <w:pPr>
              <w:jc w:val="right"/>
              <w:rPr>
                <w:rFonts w:eastAsia="Times New Roman" w:cs="Times New Roman"/>
              </w:rPr>
            </w:pPr>
          </w:p>
        </w:tc>
      </w:tr>
      <w:tr w:rsidR="00C57C9F" w14:paraId="2E577069" w14:textId="77777777" w:rsidTr="006F421D">
        <w:trPr>
          <w:divId w:val="2075661312"/>
        </w:trPr>
        <w:tc>
          <w:tcPr>
            <w:tcW w:w="6043" w:type="dxa"/>
            <w:vAlign w:val="center"/>
            <w:hideMark/>
          </w:tcPr>
          <w:p w14:paraId="05D576BA" w14:textId="77777777" w:rsidR="00C57C9F" w:rsidRDefault="00C57C9F">
            <w:pPr>
              <w:pStyle w:val="3fins-table"/>
              <w:rPr>
                <w:rFonts w:cs="Times New Roman"/>
              </w:rPr>
            </w:pPr>
            <w:r>
              <w:rPr>
                <w:rFonts w:cs="Times New Roman"/>
              </w:rPr>
              <w:t>Contributed equity</w:t>
            </w:r>
          </w:p>
        </w:tc>
        <w:tc>
          <w:tcPr>
            <w:tcW w:w="1121" w:type="dxa"/>
            <w:vAlign w:val="center"/>
            <w:hideMark/>
          </w:tcPr>
          <w:p w14:paraId="69386AFA" w14:textId="77777777" w:rsidR="00C57C9F" w:rsidRDefault="00C57C9F" w:rsidP="006F421D">
            <w:pPr>
              <w:jc w:val="center"/>
              <w:rPr>
                <w:rFonts w:eastAsia="Times New Roman" w:cs="Times New Roman"/>
              </w:rPr>
            </w:pPr>
          </w:p>
        </w:tc>
        <w:tc>
          <w:tcPr>
            <w:tcW w:w="1498" w:type="dxa"/>
            <w:vAlign w:val="center"/>
            <w:hideMark/>
          </w:tcPr>
          <w:p w14:paraId="346CD582" w14:textId="77777777" w:rsidR="00C57C9F" w:rsidRDefault="00C57C9F" w:rsidP="006F421D">
            <w:pPr>
              <w:pStyle w:val="3fins-table-figures"/>
              <w:jc w:val="right"/>
              <w:rPr>
                <w:rFonts w:cs="Times New Roman"/>
              </w:rPr>
            </w:pPr>
            <w:r>
              <w:rPr>
                <w:rStyle w:val="fins-bold"/>
                <w:rFonts w:cs="Times New Roman"/>
              </w:rPr>
              <w:t>1,836</w:t>
            </w:r>
          </w:p>
        </w:tc>
        <w:tc>
          <w:tcPr>
            <w:tcW w:w="1448" w:type="dxa"/>
            <w:vAlign w:val="center"/>
            <w:hideMark/>
          </w:tcPr>
          <w:p w14:paraId="4E47AA27" w14:textId="77777777" w:rsidR="00C57C9F" w:rsidRDefault="00C57C9F" w:rsidP="006F421D">
            <w:pPr>
              <w:pStyle w:val="3fins-table-figures"/>
              <w:jc w:val="right"/>
              <w:rPr>
                <w:rFonts w:cs="Times New Roman"/>
              </w:rPr>
            </w:pPr>
            <w:r>
              <w:rPr>
                <w:rFonts w:cs="Times New Roman"/>
              </w:rPr>
              <w:t xml:space="preserve">1,836 </w:t>
            </w:r>
          </w:p>
        </w:tc>
      </w:tr>
      <w:tr w:rsidR="00C57C9F" w14:paraId="33F9B13D" w14:textId="77777777" w:rsidTr="006F421D">
        <w:trPr>
          <w:divId w:val="2075661312"/>
        </w:trPr>
        <w:tc>
          <w:tcPr>
            <w:tcW w:w="6043" w:type="dxa"/>
            <w:vAlign w:val="center"/>
            <w:hideMark/>
          </w:tcPr>
          <w:p w14:paraId="6B80489B" w14:textId="77777777" w:rsidR="00C57C9F" w:rsidRDefault="00C57C9F">
            <w:pPr>
              <w:pStyle w:val="3fins-table"/>
              <w:rPr>
                <w:rFonts w:cs="Times New Roman"/>
              </w:rPr>
            </w:pPr>
            <w:r>
              <w:rPr>
                <w:rFonts w:cs="Times New Roman"/>
              </w:rPr>
              <w:t>Reserves</w:t>
            </w:r>
          </w:p>
        </w:tc>
        <w:tc>
          <w:tcPr>
            <w:tcW w:w="1121" w:type="dxa"/>
            <w:vAlign w:val="center"/>
            <w:hideMark/>
          </w:tcPr>
          <w:p w14:paraId="336E41B2" w14:textId="77777777" w:rsidR="00C57C9F" w:rsidRDefault="00C57C9F" w:rsidP="006F421D">
            <w:pPr>
              <w:jc w:val="center"/>
              <w:rPr>
                <w:rFonts w:eastAsia="Times New Roman" w:cs="Times New Roman"/>
              </w:rPr>
            </w:pPr>
          </w:p>
        </w:tc>
        <w:tc>
          <w:tcPr>
            <w:tcW w:w="1498" w:type="dxa"/>
            <w:vAlign w:val="center"/>
            <w:hideMark/>
          </w:tcPr>
          <w:p w14:paraId="27DB05FC" w14:textId="77777777" w:rsidR="00C57C9F" w:rsidRDefault="00C57C9F" w:rsidP="006F421D">
            <w:pPr>
              <w:pStyle w:val="3fins-table-figures"/>
              <w:jc w:val="right"/>
              <w:rPr>
                <w:rFonts w:cs="Times New Roman"/>
              </w:rPr>
            </w:pPr>
            <w:r>
              <w:rPr>
                <w:rStyle w:val="fins-bold"/>
                <w:rFonts w:cs="Times New Roman"/>
              </w:rPr>
              <w:t>5</w:t>
            </w:r>
          </w:p>
        </w:tc>
        <w:tc>
          <w:tcPr>
            <w:tcW w:w="1448" w:type="dxa"/>
            <w:vAlign w:val="center"/>
            <w:hideMark/>
          </w:tcPr>
          <w:p w14:paraId="1881507E" w14:textId="77777777" w:rsidR="00C57C9F" w:rsidRDefault="00C57C9F" w:rsidP="006F421D">
            <w:pPr>
              <w:pStyle w:val="3fins-table-figures"/>
              <w:jc w:val="right"/>
              <w:rPr>
                <w:rFonts w:cs="Times New Roman"/>
              </w:rPr>
            </w:pPr>
            <w:r>
              <w:rPr>
                <w:rFonts w:cs="Times New Roman"/>
              </w:rPr>
              <w:t xml:space="preserve">5 </w:t>
            </w:r>
          </w:p>
        </w:tc>
      </w:tr>
      <w:tr w:rsidR="00C57C9F" w14:paraId="223EC24A" w14:textId="77777777" w:rsidTr="006F421D">
        <w:trPr>
          <w:divId w:val="2075661312"/>
        </w:trPr>
        <w:tc>
          <w:tcPr>
            <w:tcW w:w="6043" w:type="dxa"/>
            <w:vAlign w:val="center"/>
            <w:hideMark/>
          </w:tcPr>
          <w:p w14:paraId="0D11453C" w14:textId="77777777" w:rsidR="00C57C9F" w:rsidRDefault="00C57C9F">
            <w:pPr>
              <w:pStyle w:val="3fins-table"/>
              <w:rPr>
                <w:rFonts w:cs="Times New Roman"/>
              </w:rPr>
            </w:pPr>
            <w:r>
              <w:rPr>
                <w:rFonts w:cs="Times New Roman"/>
              </w:rPr>
              <w:t>Accumulated deficit</w:t>
            </w:r>
          </w:p>
        </w:tc>
        <w:tc>
          <w:tcPr>
            <w:tcW w:w="1121" w:type="dxa"/>
            <w:vAlign w:val="center"/>
            <w:hideMark/>
          </w:tcPr>
          <w:p w14:paraId="6A99BAA1" w14:textId="77777777" w:rsidR="00C57C9F" w:rsidRDefault="00C57C9F" w:rsidP="006F421D">
            <w:pPr>
              <w:jc w:val="center"/>
              <w:rPr>
                <w:rFonts w:eastAsia="Times New Roman" w:cs="Times New Roman"/>
              </w:rPr>
            </w:pPr>
          </w:p>
        </w:tc>
        <w:tc>
          <w:tcPr>
            <w:tcW w:w="1498" w:type="dxa"/>
            <w:tcBorders>
              <w:bottom w:val="single" w:sz="4" w:space="0" w:color="0D0D0D" w:themeColor="text1" w:themeTint="F2"/>
            </w:tcBorders>
            <w:vAlign w:val="center"/>
            <w:hideMark/>
          </w:tcPr>
          <w:p w14:paraId="2699964B" w14:textId="77777777" w:rsidR="00C57C9F" w:rsidRDefault="00C57C9F" w:rsidP="006F421D">
            <w:pPr>
              <w:pStyle w:val="3fins-table-figures"/>
              <w:jc w:val="right"/>
              <w:rPr>
                <w:rFonts w:cs="Times New Roman"/>
              </w:rPr>
            </w:pPr>
            <w:r>
              <w:rPr>
                <w:rStyle w:val="fins-bold"/>
                <w:rFonts w:cs="Times New Roman"/>
              </w:rPr>
              <w:t xml:space="preserve">(518) </w:t>
            </w:r>
          </w:p>
        </w:tc>
        <w:tc>
          <w:tcPr>
            <w:tcW w:w="1448" w:type="dxa"/>
            <w:tcBorders>
              <w:bottom w:val="single" w:sz="4" w:space="0" w:color="0D0D0D" w:themeColor="text1" w:themeTint="F2"/>
            </w:tcBorders>
            <w:vAlign w:val="center"/>
            <w:hideMark/>
          </w:tcPr>
          <w:p w14:paraId="6D2792FC" w14:textId="77777777" w:rsidR="00C57C9F" w:rsidRDefault="00C57C9F" w:rsidP="006F421D">
            <w:pPr>
              <w:pStyle w:val="3fins-table-figures"/>
              <w:jc w:val="right"/>
              <w:rPr>
                <w:rFonts w:cs="Times New Roman"/>
              </w:rPr>
            </w:pPr>
            <w:r>
              <w:rPr>
                <w:rFonts w:cs="Times New Roman"/>
              </w:rPr>
              <w:t>(878)</w:t>
            </w:r>
          </w:p>
        </w:tc>
      </w:tr>
      <w:tr w:rsidR="00C57C9F" w14:paraId="114001AE" w14:textId="77777777" w:rsidTr="006F421D">
        <w:trPr>
          <w:divId w:val="2075661312"/>
        </w:trPr>
        <w:tc>
          <w:tcPr>
            <w:tcW w:w="6043" w:type="dxa"/>
            <w:vAlign w:val="center"/>
            <w:hideMark/>
          </w:tcPr>
          <w:p w14:paraId="5CB0445B" w14:textId="77777777" w:rsidR="00C57C9F" w:rsidRDefault="00C57C9F">
            <w:pPr>
              <w:pStyle w:val="3fins-table"/>
              <w:rPr>
                <w:rFonts w:cs="Times New Roman"/>
              </w:rPr>
            </w:pPr>
            <w:r>
              <w:rPr>
                <w:rStyle w:val="fins-bold"/>
                <w:rFonts w:cs="Times New Roman"/>
              </w:rPr>
              <w:t>Total equity</w:t>
            </w:r>
          </w:p>
        </w:tc>
        <w:tc>
          <w:tcPr>
            <w:tcW w:w="1121" w:type="dxa"/>
            <w:vAlign w:val="center"/>
            <w:hideMark/>
          </w:tcPr>
          <w:p w14:paraId="713B4F17" w14:textId="77777777" w:rsidR="00C57C9F" w:rsidRDefault="00C57C9F" w:rsidP="006F421D">
            <w:pPr>
              <w:jc w:val="center"/>
              <w:rPr>
                <w:rFonts w:eastAsia="Times New Roman" w:cs="Times New Roman"/>
              </w:rPr>
            </w:pPr>
          </w:p>
        </w:tc>
        <w:tc>
          <w:tcPr>
            <w:tcW w:w="1498" w:type="dxa"/>
            <w:tcBorders>
              <w:top w:val="single" w:sz="4" w:space="0" w:color="0D0D0D" w:themeColor="text1" w:themeTint="F2"/>
              <w:bottom w:val="single" w:sz="4" w:space="0" w:color="0D0D0D" w:themeColor="text1" w:themeTint="F2"/>
            </w:tcBorders>
            <w:vAlign w:val="center"/>
            <w:hideMark/>
          </w:tcPr>
          <w:p w14:paraId="0B56251D" w14:textId="77777777" w:rsidR="00C57C9F" w:rsidRDefault="00C57C9F" w:rsidP="006F421D">
            <w:pPr>
              <w:pStyle w:val="3fins-table-figures"/>
              <w:jc w:val="right"/>
              <w:rPr>
                <w:rFonts w:cs="Times New Roman"/>
              </w:rPr>
            </w:pPr>
            <w:r>
              <w:rPr>
                <w:rStyle w:val="fins-bold"/>
                <w:rFonts w:cs="Times New Roman"/>
              </w:rPr>
              <w:t xml:space="preserve">1,323 </w:t>
            </w:r>
          </w:p>
        </w:tc>
        <w:tc>
          <w:tcPr>
            <w:tcW w:w="1448" w:type="dxa"/>
            <w:tcBorders>
              <w:top w:val="single" w:sz="4" w:space="0" w:color="0D0D0D" w:themeColor="text1" w:themeTint="F2"/>
              <w:bottom w:val="single" w:sz="4" w:space="0" w:color="0D0D0D" w:themeColor="text1" w:themeTint="F2"/>
            </w:tcBorders>
            <w:vAlign w:val="center"/>
            <w:hideMark/>
          </w:tcPr>
          <w:p w14:paraId="02DA717A" w14:textId="77777777" w:rsidR="00C57C9F" w:rsidRDefault="00C57C9F" w:rsidP="006F421D">
            <w:pPr>
              <w:pStyle w:val="3fins-table-figures"/>
              <w:jc w:val="right"/>
              <w:rPr>
                <w:rFonts w:cs="Times New Roman"/>
              </w:rPr>
            </w:pPr>
            <w:r>
              <w:rPr>
                <w:rFonts w:cs="Times New Roman"/>
              </w:rPr>
              <w:t xml:space="preserve">963 </w:t>
            </w:r>
          </w:p>
        </w:tc>
      </w:tr>
    </w:tbl>
    <w:p w14:paraId="5F8D3811" w14:textId="77777777" w:rsidR="00C57C9F" w:rsidRDefault="00C57C9F">
      <w:pPr>
        <w:pStyle w:val="3fins-table"/>
        <w:divId w:val="2075661312"/>
        <w:rPr>
          <w:rFonts w:cs="Times New Roman"/>
          <w:lang w:val="en-AU"/>
        </w:rPr>
      </w:pPr>
      <w:r>
        <w:rPr>
          <w:rFonts w:cs="Times New Roman"/>
          <w:lang w:val="en-AU"/>
        </w:rPr>
        <w:t>The above statement should be read in conjunction with the accompanying notes.</w:t>
      </w:r>
    </w:p>
    <w:p w14:paraId="1145F0A5" w14:textId="77777777" w:rsidR="001B56A2" w:rsidRDefault="001B56A2" w:rsidP="001B56A2">
      <w:pPr>
        <w:divId w:val="2075661312"/>
      </w:pPr>
      <w:bookmarkStart w:id="45" w:name="_Toc414011903"/>
    </w:p>
    <w:p w14:paraId="2D3908B8" w14:textId="77777777" w:rsidR="001B56A2" w:rsidRDefault="001B56A2" w:rsidP="001B56A2">
      <w:pPr>
        <w:divId w:val="2075661312"/>
      </w:pPr>
    </w:p>
    <w:p w14:paraId="001049BF" w14:textId="77777777" w:rsidR="001B56A2" w:rsidRDefault="001B56A2" w:rsidP="001B56A2">
      <w:pPr>
        <w:divId w:val="2075661312"/>
      </w:pPr>
    </w:p>
    <w:p w14:paraId="432D9E2B" w14:textId="77777777" w:rsidR="001B56A2" w:rsidRDefault="001B56A2" w:rsidP="001B56A2">
      <w:pPr>
        <w:divId w:val="2075661312"/>
      </w:pPr>
    </w:p>
    <w:p w14:paraId="4819A240" w14:textId="77777777" w:rsidR="001B56A2" w:rsidRDefault="001B56A2" w:rsidP="001B56A2">
      <w:pPr>
        <w:divId w:val="2075661312"/>
      </w:pPr>
    </w:p>
    <w:p w14:paraId="1A7247CB" w14:textId="77777777" w:rsidR="001B56A2" w:rsidRPr="001B56A2" w:rsidRDefault="001B56A2" w:rsidP="001B56A2">
      <w:pPr>
        <w:divId w:val="2075661312"/>
      </w:pPr>
    </w:p>
    <w:p w14:paraId="4D917C9E" w14:textId="77777777" w:rsidR="00C57C9F" w:rsidRDefault="00C57C9F" w:rsidP="00C83FFA">
      <w:pPr>
        <w:pStyle w:val="Heading2"/>
        <w:divId w:val="2075661312"/>
      </w:pPr>
      <w:r>
        <w:t>Statement of Changes in Equity</w:t>
      </w:r>
      <w:bookmarkEnd w:id="45"/>
    </w:p>
    <w:p w14:paraId="6166A19F" w14:textId="77777777" w:rsidR="00C57C9F" w:rsidRDefault="00C57C9F">
      <w:pPr>
        <w:pStyle w:val="1as-at---"/>
        <w:divId w:val="2075661312"/>
        <w:rPr>
          <w:rFonts w:cs="Times New Roman"/>
          <w:lang w:val="en-AU"/>
        </w:rPr>
      </w:pPr>
      <w:proofErr w:type="gramStart"/>
      <w:r>
        <w:rPr>
          <w:rFonts w:cs="Times New Roman"/>
          <w:lang w:val="en-AU"/>
        </w:rPr>
        <w:t>for</w:t>
      </w:r>
      <w:proofErr w:type="gramEnd"/>
      <w:r>
        <w:rPr>
          <w:rFonts w:cs="Times New Roman"/>
          <w:lang w:val="en-AU"/>
        </w:rPr>
        <w:t xml:space="preserve"> the period ended 30 June 2014</w:t>
      </w:r>
    </w:p>
    <w:tbl>
      <w:tblPr>
        <w:tblW w:w="0" w:type="auto"/>
        <w:tblLayout w:type="fixed"/>
        <w:tblCellMar>
          <w:left w:w="57" w:type="dxa"/>
          <w:right w:w="57" w:type="dxa"/>
        </w:tblCellMar>
        <w:tblLook w:val="04A0" w:firstRow="1" w:lastRow="0" w:firstColumn="1" w:lastColumn="0" w:noHBand="0" w:noVBand="1"/>
      </w:tblPr>
      <w:tblGrid>
        <w:gridCol w:w="3544"/>
        <w:gridCol w:w="679"/>
        <w:gridCol w:w="850"/>
        <w:gridCol w:w="821"/>
        <w:gridCol w:w="850"/>
        <w:gridCol w:w="821"/>
        <w:gridCol w:w="850"/>
        <w:gridCol w:w="821"/>
        <w:gridCol w:w="873"/>
      </w:tblGrid>
      <w:tr w:rsidR="00C57C9F" w14:paraId="70BA16DB" w14:textId="77777777" w:rsidTr="006F421D">
        <w:trPr>
          <w:divId w:val="2075661312"/>
        </w:trPr>
        <w:tc>
          <w:tcPr>
            <w:tcW w:w="3544" w:type="dxa"/>
            <w:tcBorders>
              <w:top w:val="single" w:sz="4" w:space="0" w:color="0D0D0D" w:themeColor="text1" w:themeTint="F2"/>
              <w:left w:val="single" w:sz="4" w:space="0" w:color="0D0D0D" w:themeColor="text1" w:themeTint="F2"/>
              <w:right w:val="single" w:sz="4" w:space="0" w:color="0D0D0D" w:themeColor="text1" w:themeTint="F2"/>
            </w:tcBorders>
            <w:vAlign w:val="center"/>
            <w:hideMark/>
          </w:tcPr>
          <w:p w14:paraId="39534401" w14:textId="77777777" w:rsidR="00C57C9F" w:rsidRDefault="00C57C9F">
            <w:pPr>
              <w:rPr>
                <w:rFonts w:eastAsia="Times New Roman" w:cs="Times New Roman"/>
              </w:rPr>
            </w:pPr>
          </w:p>
        </w:tc>
        <w:tc>
          <w:tcPr>
            <w:tcW w:w="1529" w:type="dxa"/>
            <w:gridSpan w:val="2"/>
            <w:tcBorders>
              <w:top w:val="single" w:sz="4" w:space="0" w:color="0D0D0D" w:themeColor="text1" w:themeTint="F2"/>
              <w:left w:val="single" w:sz="4" w:space="0" w:color="0D0D0D" w:themeColor="text1" w:themeTint="F2"/>
              <w:right w:val="single" w:sz="4" w:space="0" w:color="0D0D0D" w:themeColor="text1" w:themeTint="F2"/>
            </w:tcBorders>
            <w:vAlign w:val="center"/>
            <w:hideMark/>
          </w:tcPr>
          <w:p w14:paraId="4A649BC6" w14:textId="77777777" w:rsidR="00C57C9F" w:rsidRDefault="00C57C9F" w:rsidP="006F421D">
            <w:pPr>
              <w:pStyle w:val="3fins-table-figures-c"/>
              <w:spacing w:after="0" w:afterAutospacing="0"/>
              <w:jc w:val="center"/>
              <w:rPr>
                <w:rFonts w:cs="Times New Roman"/>
              </w:rPr>
            </w:pPr>
            <w:r>
              <w:rPr>
                <w:rStyle w:val="fins-bold"/>
                <w:rFonts w:cs="Times New Roman"/>
              </w:rPr>
              <w:t>Retained</w:t>
            </w:r>
          </w:p>
        </w:tc>
        <w:tc>
          <w:tcPr>
            <w:tcW w:w="1671" w:type="dxa"/>
            <w:gridSpan w:val="2"/>
            <w:tcBorders>
              <w:top w:val="single" w:sz="4" w:space="0" w:color="0D0D0D" w:themeColor="text1" w:themeTint="F2"/>
              <w:left w:val="single" w:sz="4" w:space="0" w:color="0D0D0D" w:themeColor="text1" w:themeTint="F2"/>
              <w:right w:val="single" w:sz="4" w:space="0" w:color="0D0D0D" w:themeColor="text1" w:themeTint="F2"/>
            </w:tcBorders>
            <w:vAlign w:val="center"/>
            <w:hideMark/>
          </w:tcPr>
          <w:p w14:paraId="10B8EABA" w14:textId="77777777" w:rsidR="00C57C9F" w:rsidRDefault="00C57C9F" w:rsidP="006F421D">
            <w:pPr>
              <w:pStyle w:val="3fins-table-figures-c"/>
              <w:spacing w:after="0" w:afterAutospacing="0"/>
              <w:jc w:val="center"/>
              <w:rPr>
                <w:rFonts w:cs="Times New Roman"/>
              </w:rPr>
            </w:pPr>
            <w:r>
              <w:rPr>
                <w:rStyle w:val="fins-bold"/>
                <w:rFonts w:cs="Times New Roman"/>
              </w:rPr>
              <w:t>Asset revaluation</w:t>
            </w:r>
          </w:p>
        </w:tc>
        <w:tc>
          <w:tcPr>
            <w:tcW w:w="1671" w:type="dxa"/>
            <w:gridSpan w:val="2"/>
            <w:tcBorders>
              <w:top w:val="single" w:sz="4" w:space="0" w:color="0D0D0D" w:themeColor="text1" w:themeTint="F2"/>
              <w:left w:val="single" w:sz="4" w:space="0" w:color="0D0D0D" w:themeColor="text1" w:themeTint="F2"/>
              <w:right w:val="single" w:sz="4" w:space="0" w:color="0D0D0D" w:themeColor="text1" w:themeTint="F2"/>
            </w:tcBorders>
            <w:vAlign w:val="center"/>
            <w:hideMark/>
          </w:tcPr>
          <w:p w14:paraId="21119559" w14:textId="77777777" w:rsidR="00C57C9F" w:rsidRDefault="00C57C9F" w:rsidP="006F421D">
            <w:pPr>
              <w:pStyle w:val="3fins-table-figures-c"/>
              <w:spacing w:after="0" w:afterAutospacing="0"/>
              <w:jc w:val="center"/>
              <w:rPr>
                <w:rFonts w:cs="Times New Roman"/>
              </w:rPr>
            </w:pPr>
            <w:r>
              <w:rPr>
                <w:rStyle w:val="fins-bold"/>
                <w:rFonts w:cs="Times New Roman"/>
              </w:rPr>
              <w:t>Contributed</w:t>
            </w:r>
          </w:p>
        </w:tc>
        <w:tc>
          <w:tcPr>
            <w:tcW w:w="1694" w:type="dxa"/>
            <w:gridSpan w:val="2"/>
            <w:tcBorders>
              <w:top w:val="single" w:sz="4" w:space="0" w:color="0D0D0D" w:themeColor="text1" w:themeTint="F2"/>
              <w:left w:val="single" w:sz="4" w:space="0" w:color="0D0D0D" w:themeColor="text1" w:themeTint="F2"/>
              <w:right w:val="single" w:sz="4" w:space="0" w:color="0D0D0D" w:themeColor="text1" w:themeTint="F2"/>
            </w:tcBorders>
            <w:vAlign w:val="center"/>
            <w:hideMark/>
          </w:tcPr>
          <w:p w14:paraId="3A9B3E84" w14:textId="77777777" w:rsidR="00C57C9F" w:rsidRDefault="00C57C9F" w:rsidP="006F421D">
            <w:pPr>
              <w:pStyle w:val="3fins-table-figures-c"/>
              <w:spacing w:after="0" w:afterAutospacing="0"/>
              <w:jc w:val="center"/>
              <w:rPr>
                <w:rFonts w:cs="Times New Roman"/>
              </w:rPr>
            </w:pPr>
            <w:r>
              <w:rPr>
                <w:rStyle w:val="fins-bold"/>
                <w:rFonts w:cs="Times New Roman"/>
              </w:rPr>
              <w:t>Total</w:t>
            </w:r>
          </w:p>
        </w:tc>
      </w:tr>
      <w:tr w:rsidR="00C57C9F" w14:paraId="367B382A" w14:textId="77777777" w:rsidTr="006F421D">
        <w:trPr>
          <w:divId w:val="2075661312"/>
        </w:trPr>
        <w:tc>
          <w:tcPr>
            <w:tcW w:w="3544" w:type="dxa"/>
            <w:tcBorders>
              <w:left w:val="single" w:sz="4" w:space="0" w:color="0D0D0D" w:themeColor="text1" w:themeTint="F2"/>
              <w:right w:val="single" w:sz="4" w:space="0" w:color="0D0D0D" w:themeColor="text1" w:themeTint="F2"/>
            </w:tcBorders>
            <w:vAlign w:val="center"/>
            <w:hideMark/>
          </w:tcPr>
          <w:p w14:paraId="2E0BC5A6" w14:textId="77777777" w:rsidR="00C57C9F" w:rsidRDefault="00C57C9F">
            <w:pPr>
              <w:rPr>
                <w:rFonts w:eastAsia="Times New Roman" w:cs="Times New Roman"/>
              </w:rPr>
            </w:pPr>
          </w:p>
        </w:tc>
        <w:tc>
          <w:tcPr>
            <w:tcW w:w="1529" w:type="dxa"/>
            <w:gridSpan w:val="2"/>
            <w:tcBorders>
              <w:left w:val="single" w:sz="4" w:space="0" w:color="0D0D0D" w:themeColor="text1" w:themeTint="F2"/>
              <w:right w:val="single" w:sz="4" w:space="0" w:color="0D0D0D" w:themeColor="text1" w:themeTint="F2"/>
            </w:tcBorders>
            <w:vAlign w:val="center"/>
            <w:hideMark/>
          </w:tcPr>
          <w:p w14:paraId="14AA2EF9" w14:textId="77777777" w:rsidR="00C57C9F" w:rsidRDefault="00C57C9F" w:rsidP="006F421D">
            <w:pPr>
              <w:pStyle w:val="3fins-table-figures-c"/>
              <w:spacing w:after="0" w:afterAutospacing="0"/>
              <w:jc w:val="center"/>
              <w:rPr>
                <w:rFonts w:cs="Times New Roman"/>
              </w:rPr>
            </w:pPr>
            <w:r>
              <w:rPr>
                <w:rStyle w:val="fins-bold"/>
                <w:rFonts w:cs="Times New Roman"/>
              </w:rPr>
              <w:t>earnings</w:t>
            </w:r>
          </w:p>
        </w:tc>
        <w:tc>
          <w:tcPr>
            <w:tcW w:w="1671" w:type="dxa"/>
            <w:gridSpan w:val="2"/>
            <w:tcBorders>
              <w:left w:val="single" w:sz="4" w:space="0" w:color="0D0D0D" w:themeColor="text1" w:themeTint="F2"/>
              <w:right w:val="single" w:sz="4" w:space="0" w:color="0D0D0D" w:themeColor="text1" w:themeTint="F2"/>
            </w:tcBorders>
            <w:vAlign w:val="center"/>
            <w:hideMark/>
          </w:tcPr>
          <w:p w14:paraId="5FD8CCBD" w14:textId="77777777" w:rsidR="00C57C9F" w:rsidRDefault="00C57C9F" w:rsidP="006F421D">
            <w:pPr>
              <w:pStyle w:val="3fins-table-figures-c"/>
              <w:spacing w:after="0" w:afterAutospacing="0"/>
              <w:jc w:val="center"/>
              <w:rPr>
                <w:rFonts w:cs="Times New Roman"/>
              </w:rPr>
            </w:pPr>
            <w:r>
              <w:rPr>
                <w:rStyle w:val="fins-bold"/>
                <w:rFonts w:cs="Times New Roman"/>
              </w:rPr>
              <w:t>Reserve</w:t>
            </w:r>
          </w:p>
        </w:tc>
        <w:tc>
          <w:tcPr>
            <w:tcW w:w="1671" w:type="dxa"/>
            <w:gridSpan w:val="2"/>
            <w:tcBorders>
              <w:left w:val="single" w:sz="4" w:space="0" w:color="0D0D0D" w:themeColor="text1" w:themeTint="F2"/>
              <w:right w:val="single" w:sz="4" w:space="0" w:color="0D0D0D" w:themeColor="text1" w:themeTint="F2"/>
            </w:tcBorders>
            <w:vAlign w:val="center"/>
            <w:hideMark/>
          </w:tcPr>
          <w:p w14:paraId="1B33570A" w14:textId="77777777" w:rsidR="00C57C9F" w:rsidRDefault="00C57C9F" w:rsidP="006F421D">
            <w:pPr>
              <w:pStyle w:val="3fins-table-figures-c"/>
              <w:spacing w:after="0" w:afterAutospacing="0"/>
              <w:jc w:val="center"/>
              <w:rPr>
                <w:rFonts w:cs="Times New Roman"/>
              </w:rPr>
            </w:pPr>
            <w:r>
              <w:rPr>
                <w:rStyle w:val="fins-bold"/>
                <w:rFonts w:cs="Times New Roman"/>
              </w:rPr>
              <w:t>equity</w:t>
            </w:r>
          </w:p>
        </w:tc>
        <w:tc>
          <w:tcPr>
            <w:tcW w:w="1694" w:type="dxa"/>
            <w:gridSpan w:val="2"/>
            <w:tcBorders>
              <w:left w:val="single" w:sz="4" w:space="0" w:color="0D0D0D" w:themeColor="text1" w:themeTint="F2"/>
              <w:right w:val="single" w:sz="4" w:space="0" w:color="0D0D0D" w:themeColor="text1" w:themeTint="F2"/>
            </w:tcBorders>
            <w:vAlign w:val="center"/>
            <w:hideMark/>
          </w:tcPr>
          <w:p w14:paraId="1B9ECF16" w14:textId="77777777" w:rsidR="00C57C9F" w:rsidRDefault="00C57C9F" w:rsidP="006F421D">
            <w:pPr>
              <w:pStyle w:val="3fins-table-figures-c"/>
              <w:spacing w:after="0" w:afterAutospacing="0"/>
              <w:jc w:val="center"/>
              <w:rPr>
                <w:rFonts w:cs="Times New Roman"/>
              </w:rPr>
            </w:pPr>
            <w:r>
              <w:rPr>
                <w:rStyle w:val="fins-bold"/>
                <w:rFonts w:cs="Times New Roman"/>
              </w:rPr>
              <w:t>equity</w:t>
            </w:r>
          </w:p>
        </w:tc>
      </w:tr>
      <w:tr w:rsidR="00C57C9F" w14:paraId="725FD50A" w14:textId="77777777" w:rsidTr="006F421D">
        <w:trPr>
          <w:divId w:val="2075661312"/>
        </w:trPr>
        <w:tc>
          <w:tcPr>
            <w:tcW w:w="3544" w:type="dxa"/>
            <w:tcBorders>
              <w:left w:val="single" w:sz="4" w:space="0" w:color="0D0D0D" w:themeColor="text1" w:themeTint="F2"/>
              <w:right w:val="single" w:sz="4" w:space="0" w:color="0D0D0D" w:themeColor="text1" w:themeTint="F2"/>
            </w:tcBorders>
            <w:vAlign w:val="center"/>
            <w:hideMark/>
          </w:tcPr>
          <w:p w14:paraId="30266D70" w14:textId="77777777" w:rsidR="00C57C9F" w:rsidRDefault="00C57C9F">
            <w:pPr>
              <w:rPr>
                <w:rFonts w:eastAsia="Times New Roman" w:cs="Times New Roman"/>
              </w:rPr>
            </w:pPr>
          </w:p>
        </w:tc>
        <w:tc>
          <w:tcPr>
            <w:tcW w:w="679" w:type="dxa"/>
            <w:tcBorders>
              <w:left w:val="single" w:sz="4" w:space="0" w:color="0D0D0D" w:themeColor="text1" w:themeTint="F2"/>
            </w:tcBorders>
            <w:vAlign w:val="center"/>
            <w:hideMark/>
          </w:tcPr>
          <w:p w14:paraId="4D4134C8" w14:textId="77777777" w:rsidR="00C57C9F" w:rsidRDefault="00C57C9F" w:rsidP="006F421D">
            <w:pPr>
              <w:pStyle w:val="3fins-table-figures"/>
              <w:jc w:val="right"/>
              <w:rPr>
                <w:rFonts w:cs="Times New Roman"/>
              </w:rPr>
            </w:pPr>
            <w:r>
              <w:rPr>
                <w:rStyle w:val="fins-bold"/>
                <w:rFonts w:cs="Times New Roman"/>
              </w:rPr>
              <w:t>2014</w:t>
            </w:r>
          </w:p>
        </w:tc>
        <w:tc>
          <w:tcPr>
            <w:tcW w:w="820" w:type="dxa"/>
            <w:tcBorders>
              <w:left w:val="nil"/>
              <w:right w:val="single" w:sz="4" w:space="0" w:color="0D0D0D" w:themeColor="text1" w:themeTint="F2"/>
            </w:tcBorders>
            <w:vAlign w:val="center"/>
            <w:hideMark/>
          </w:tcPr>
          <w:p w14:paraId="5992C75A" w14:textId="77777777" w:rsidR="00C57C9F" w:rsidRDefault="00C57C9F" w:rsidP="006F421D">
            <w:pPr>
              <w:pStyle w:val="3fins-table-figures"/>
              <w:jc w:val="right"/>
              <w:rPr>
                <w:rFonts w:cs="Times New Roman"/>
              </w:rPr>
            </w:pPr>
            <w:r>
              <w:rPr>
                <w:rFonts w:cs="Times New Roman"/>
              </w:rPr>
              <w:t>2013</w:t>
            </w:r>
          </w:p>
        </w:tc>
        <w:tc>
          <w:tcPr>
            <w:tcW w:w="821" w:type="dxa"/>
            <w:tcBorders>
              <w:left w:val="single" w:sz="4" w:space="0" w:color="0D0D0D" w:themeColor="text1" w:themeTint="F2"/>
            </w:tcBorders>
            <w:vAlign w:val="center"/>
            <w:hideMark/>
          </w:tcPr>
          <w:p w14:paraId="6EF6BAB5" w14:textId="77777777" w:rsidR="00C57C9F" w:rsidRDefault="00C57C9F" w:rsidP="006F421D">
            <w:pPr>
              <w:pStyle w:val="3fins-table-figures"/>
              <w:jc w:val="right"/>
              <w:rPr>
                <w:rFonts w:cs="Times New Roman"/>
              </w:rPr>
            </w:pPr>
            <w:r>
              <w:rPr>
                <w:rStyle w:val="fins-bold"/>
                <w:rFonts w:cs="Times New Roman"/>
              </w:rPr>
              <w:t>2014</w:t>
            </w:r>
          </w:p>
        </w:tc>
        <w:tc>
          <w:tcPr>
            <w:tcW w:w="820" w:type="dxa"/>
            <w:tcBorders>
              <w:left w:val="nil"/>
              <w:right w:val="single" w:sz="4" w:space="0" w:color="0D0D0D" w:themeColor="text1" w:themeTint="F2"/>
            </w:tcBorders>
            <w:vAlign w:val="center"/>
            <w:hideMark/>
          </w:tcPr>
          <w:p w14:paraId="0A65AAFE" w14:textId="77777777" w:rsidR="00C57C9F" w:rsidRDefault="00C57C9F" w:rsidP="006F421D">
            <w:pPr>
              <w:pStyle w:val="3fins-table-figures"/>
              <w:jc w:val="right"/>
              <w:rPr>
                <w:rFonts w:cs="Times New Roman"/>
              </w:rPr>
            </w:pPr>
            <w:r>
              <w:rPr>
                <w:rFonts w:cs="Times New Roman"/>
              </w:rPr>
              <w:t>2013</w:t>
            </w:r>
          </w:p>
        </w:tc>
        <w:tc>
          <w:tcPr>
            <w:tcW w:w="821" w:type="dxa"/>
            <w:tcBorders>
              <w:left w:val="single" w:sz="4" w:space="0" w:color="0D0D0D" w:themeColor="text1" w:themeTint="F2"/>
            </w:tcBorders>
            <w:vAlign w:val="center"/>
            <w:hideMark/>
          </w:tcPr>
          <w:p w14:paraId="795D81DA" w14:textId="77777777" w:rsidR="00C57C9F" w:rsidRDefault="00C57C9F" w:rsidP="006F421D">
            <w:pPr>
              <w:pStyle w:val="3fins-table-figures"/>
              <w:jc w:val="right"/>
              <w:rPr>
                <w:rFonts w:cs="Times New Roman"/>
              </w:rPr>
            </w:pPr>
            <w:r>
              <w:rPr>
                <w:rStyle w:val="fins-bold"/>
                <w:rFonts w:cs="Times New Roman"/>
              </w:rPr>
              <w:t>2014</w:t>
            </w:r>
          </w:p>
        </w:tc>
        <w:tc>
          <w:tcPr>
            <w:tcW w:w="820" w:type="dxa"/>
            <w:tcBorders>
              <w:left w:val="nil"/>
              <w:right w:val="single" w:sz="4" w:space="0" w:color="0D0D0D" w:themeColor="text1" w:themeTint="F2"/>
            </w:tcBorders>
            <w:vAlign w:val="center"/>
            <w:hideMark/>
          </w:tcPr>
          <w:p w14:paraId="134B6F26" w14:textId="77777777" w:rsidR="00C57C9F" w:rsidRDefault="00C57C9F" w:rsidP="006F421D">
            <w:pPr>
              <w:pStyle w:val="3fins-table-figures"/>
              <w:jc w:val="right"/>
              <w:rPr>
                <w:rFonts w:cs="Times New Roman"/>
              </w:rPr>
            </w:pPr>
            <w:r>
              <w:rPr>
                <w:rFonts w:cs="Times New Roman"/>
              </w:rPr>
              <w:t>2013</w:t>
            </w:r>
          </w:p>
        </w:tc>
        <w:tc>
          <w:tcPr>
            <w:tcW w:w="821" w:type="dxa"/>
            <w:tcBorders>
              <w:left w:val="single" w:sz="4" w:space="0" w:color="0D0D0D" w:themeColor="text1" w:themeTint="F2"/>
            </w:tcBorders>
            <w:vAlign w:val="center"/>
            <w:hideMark/>
          </w:tcPr>
          <w:p w14:paraId="4FF3CE75" w14:textId="77777777" w:rsidR="00C57C9F" w:rsidRDefault="00C57C9F" w:rsidP="006F421D">
            <w:pPr>
              <w:pStyle w:val="3fins-table-figures"/>
              <w:jc w:val="right"/>
              <w:rPr>
                <w:rFonts w:cs="Times New Roman"/>
              </w:rPr>
            </w:pPr>
            <w:r>
              <w:rPr>
                <w:rStyle w:val="fins-bold"/>
                <w:rFonts w:cs="Times New Roman"/>
              </w:rPr>
              <w:t>2014</w:t>
            </w:r>
          </w:p>
        </w:tc>
        <w:tc>
          <w:tcPr>
            <w:tcW w:w="843" w:type="dxa"/>
            <w:tcBorders>
              <w:left w:val="nil"/>
              <w:right w:val="single" w:sz="4" w:space="0" w:color="0D0D0D" w:themeColor="text1" w:themeTint="F2"/>
            </w:tcBorders>
            <w:vAlign w:val="center"/>
            <w:hideMark/>
          </w:tcPr>
          <w:p w14:paraId="57444D8C" w14:textId="77777777" w:rsidR="00C57C9F" w:rsidRDefault="00C57C9F" w:rsidP="006F421D">
            <w:pPr>
              <w:pStyle w:val="3fins-table-figures"/>
              <w:jc w:val="right"/>
              <w:rPr>
                <w:rFonts w:cs="Times New Roman"/>
              </w:rPr>
            </w:pPr>
            <w:r>
              <w:rPr>
                <w:rFonts w:cs="Times New Roman"/>
              </w:rPr>
              <w:t>2013</w:t>
            </w:r>
          </w:p>
        </w:tc>
      </w:tr>
      <w:tr w:rsidR="00C57C9F" w14:paraId="4F1FA4DB" w14:textId="77777777" w:rsidTr="006F421D">
        <w:trPr>
          <w:divId w:val="2075661312"/>
        </w:trPr>
        <w:tc>
          <w:tcPr>
            <w:tcW w:w="3544" w:type="dxa"/>
            <w:tcBorders>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617CD106" w14:textId="77777777" w:rsidR="00C57C9F" w:rsidRDefault="00C57C9F">
            <w:pPr>
              <w:rPr>
                <w:rFonts w:eastAsia="Times New Roman" w:cs="Times New Roman"/>
              </w:rPr>
            </w:pPr>
          </w:p>
        </w:tc>
        <w:tc>
          <w:tcPr>
            <w:tcW w:w="679" w:type="dxa"/>
            <w:tcBorders>
              <w:left w:val="single" w:sz="4" w:space="0" w:color="0D0D0D" w:themeColor="text1" w:themeTint="F2"/>
              <w:bottom w:val="single" w:sz="4" w:space="0" w:color="0D0D0D" w:themeColor="text1" w:themeTint="F2"/>
            </w:tcBorders>
            <w:vAlign w:val="center"/>
            <w:hideMark/>
          </w:tcPr>
          <w:p w14:paraId="0C6BBEB5" w14:textId="77777777" w:rsidR="00C57C9F" w:rsidRDefault="00C57C9F" w:rsidP="006F421D">
            <w:pPr>
              <w:pStyle w:val="3fins-table-figures"/>
              <w:jc w:val="right"/>
              <w:rPr>
                <w:rFonts w:cs="Times New Roman"/>
              </w:rPr>
            </w:pPr>
            <w:r>
              <w:rPr>
                <w:rStyle w:val="fins-bold"/>
                <w:rFonts w:cs="Times New Roman"/>
              </w:rPr>
              <w:t>$’000</w:t>
            </w:r>
          </w:p>
        </w:tc>
        <w:tc>
          <w:tcPr>
            <w:tcW w:w="820" w:type="dxa"/>
            <w:tcBorders>
              <w:left w:val="nil"/>
              <w:bottom w:val="single" w:sz="4" w:space="0" w:color="0D0D0D" w:themeColor="text1" w:themeTint="F2"/>
              <w:right w:val="single" w:sz="4" w:space="0" w:color="0D0D0D" w:themeColor="text1" w:themeTint="F2"/>
            </w:tcBorders>
            <w:vAlign w:val="center"/>
            <w:hideMark/>
          </w:tcPr>
          <w:p w14:paraId="1C7FCBF8" w14:textId="77777777" w:rsidR="00C57C9F" w:rsidRDefault="00C57C9F" w:rsidP="006F421D">
            <w:pPr>
              <w:pStyle w:val="3fins-table-figures"/>
              <w:jc w:val="right"/>
              <w:rPr>
                <w:rFonts w:cs="Times New Roman"/>
              </w:rPr>
            </w:pPr>
            <w:r>
              <w:rPr>
                <w:rFonts w:cs="Times New Roman"/>
              </w:rPr>
              <w:t>$’000</w:t>
            </w:r>
          </w:p>
        </w:tc>
        <w:tc>
          <w:tcPr>
            <w:tcW w:w="821" w:type="dxa"/>
            <w:tcBorders>
              <w:left w:val="single" w:sz="4" w:space="0" w:color="0D0D0D" w:themeColor="text1" w:themeTint="F2"/>
              <w:bottom w:val="single" w:sz="4" w:space="0" w:color="0D0D0D" w:themeColor="text1" w:themeTint="F2"/>
            </w:tcBorders>
            <w:vAlign w:val="center"/>
            <w:hideMark/>
          </w:tcPr>
          <w:p w14:paraId="6DC0B4FE" w14:textId="77777777" w:rsidR="00C57C9F" w:rsidRDefault="00C57C9F" w:rsidP="006F421D">
            <w:pPr>
              <w:pStyle w:val="3fins-table-figures"/>
              <w:jc w:val="right"/>
              <w:rPr>
                <w:rFonts w:cs="Times New Roman"/>
              </w:rPr>
            </w:pPr>
            <w:r>
              <w:rPr>
                <w:rStyle w:val="fins-bold"/>
                <w:rFonts w:cs="Times New Roman"/>
              </w:rPr>
              <w:t>$’000</w:t>
            </w:r>
          </w:p>
        </w:tc>
        <w:tc>
          <w:tcPr>
            <w:tcW w:w="820" w:type="dxa"/>
            <w:tcBorders>
              <w:left w:val="nil"/>
              <w:bottom w:val="single" w:sz="4" w:space="0" w:color="0D0D0D" w:themeColor="text1" w:themeTint="F2"/>
              <w:right w:val="single" w:sz="4" w:space="0" w:color="0D0D0D" w:themeColor="text1" w:themeTint="F2"/>
            </w:tcBorders>
            <w:vAlign w:val="center"/>
            <w:hideMark/>
          </w:tcPr>
          <w:p w14:paraId="14EC748E" w14:textId="77777777" w:rsidR="00C57C9F" w:rsidRDefault="00C57C9F" w:rsidP="006F421D">
            <w:pPr>
              <w:pStyle w:val="3fins-table-figures"/>
              <w:jc w:val="right"/>
              <w:rPr>
                <w:rFonts w:cs="Times New Roman"/>
              </w:rPr>
            </w:pPr>
            <w:r>
              <w:rPr>
                <w:rFonts w:cs="Times New Roman"/>
              </w:rPr>
              <w:t>$’000</w:t>
            </w:r>
          </w:p>
        </w:tc>
        <w:tc>
          <w:tcPr>
            <w:tcW w:w="821" w:type="dxa"/>
            <w:tcBorders>
              <w:left w:val="single" w:sz="4" w:space="0" w:color="0D0D0D" w:themeColor="text1" w:themeTint="F2"/>
              <w:bottom w:val="single" w:sz="4" w:space="0" w:color="0D0D0D" w:themeColor="text1" w:themeTint="F2"/>
            </w:tcBorders>
            <w:vAlign w:val="center"/>
            <w:hideMark/>
          </w:tcPr>
          <w:p w14:paraId="4E401DDD" w14:textId="77777777" w:rsidR="00C57C9F" w:rsidRDefault="00C57C9F" w:rsidP="006F421D">
            <w:pPr>
              <w:pStyle w:val="3fins-table-figures"/>
              <w:jc w:val="right"/>
              <w:rPr>
                <w:rFonts w:cs="Times New Roman"/>
              </w:rPr>
            </w:pPr>
            <w:r>
              <w:rPr>
                <w:rStyle w:val="fins-bold"/>
                <w:rFonts w:cs="Times New Roman"/>
              </w:rPr>
              <w:t>$’000</w:t>
            </w:r>
          </w:p>
        </w:tc>
        <w:tc>
          <w:tcPr>
            <w:tcW w:w="820" w:type="dxa"/>
            <w:tcBorders>
              <w:left w:val="nil"/>
              <w:bottom w:val="single" w:sz="4" w:space="0" w:color="0D0D0D" w:themeColor="text1" w:themeTint="F2"/>
              <w:right w:val="single" w:sz="4" w:space="0" w:color="0D0D0D" w:themeColor="text1" w:themeTint="F2"/>
            </w:tcBorders>
            <w:vAlign w:val="center"/>
            <w:hideMark/>
          </w:tcPr>
          <w:p w14:paraId="0CC67C8F" w14:textId="77777777" w:rsidR="00C57C9F" w:rsidRDefault="00C57C9F" w:rsidP="006F421D">
            <w:pPr>
              <w:pStyle w:val="3fins-table-figures"/>
              <w:jc w:val="right"/>
              <w:rPr>
                <w:rFonts w:cs="Times New Roman"/>
              </w:rPr>
            </w:pPr>
            <w:r>
              <w:rPr>
                <w:rFonts w:cs="Times New Roman"/>
              </w:rPr>
              <w:t>$’000</w:t>
            </w:r>
          </w:p>
        </w:tc>
        <w:tc>
          <w:tcPr>
            <w:tcW w:w="821" w:type="dxa"/>
            <w:tcBorders>
              <w:left w:val="single" w:sz="4" w:space="0" w:color="0D0D0D" w:themeColor="text1" w:themeTint="F2"/>
              <w:bottom w:val="single" w:sz="4" w:space="0" w:color="0D0D0D" w:themeColor="text1" w:themeTint="F2"/>
            </w:tcBorders>
            <w:vAlign w:val="center"/>
            <w:hideMark/>
          </w:tcPr>
          <w:p w14:paraId="35A52230" w14:textId="77777777" w:rsidR="00C57C9F" w:rsidRDefault="00C57C9F" w:rsidP="006F421D">
            <w:pPr>
              <w:pStyle w:val="3fins-table-figures"/>
              <w:jc w:val="right"/>
              <w:rPr>
                <w:rFonts w:cs="Times New Roman"/>
              </w:rPr>
            </w:pPr>
            <w:r>
              <w:rPr>
                <w:rStyle w:val="fins-bold"/>
                <w:rFonts w:cs="Times New Roman"/>
              </w:rPr>
              <w:t>$’000</w:t>
            </w:r>
          </w:p>
        </w:tc>
        <w:tc>
          <w:tcPr>
            <w:tcW w:w="843" w:type="dxa"/>
            <w:tcBorders>
              <w:left w:val="nil"/>
              <w:bottom w:val="single" w:sz="4" w:space="0" w:color="0D0D0D" w:themeColor="text1" w:themeTint="F2"/>
              <w:right w:val="single" w:sz="4" w:space="0" w:color="0D0D0D" w:themeColor="text1" w:themeTint="F2"/>
            </w:tcBorders>
            <w:vAlign w:val="center"/>
            <w:hideMark/>
          </w:tcPr>
          <w:p w14:paraId="1B1D53AC" w14:textId="77777777" w:rsidR="00C57C9F" w:rsidRDefault="00C57C9F" w:rsidP="006F421D">
            <w:pPr>
              <w:pStyle w:val="3fins-table-figures"/>
              <w:jc w:val="right"/>
              <w:rPr>
                <w:rFonts w:cs="Times New Roman"/>
              </w:rPr>
            </w:pPr>
            <w:r>
              <w:rPr>
                <w:rFonts w:cs="Times New Roman"/>
              </w:rPr>
              <w:t>$’000</w:t>
            </w:r>
          </w:p>
        </w:tc>
      </w:tr>
      <w:tr w:rsidR="00C57C9F" w14:paraId="07EB0055" w14:textId="77777777" w:rsidTr="006F421D">
        <w:trPr>
          <w:divId w:val="2075661312"/>
        </w:trPr>
        <w:tc>
          <w:tcPr>
            <w:tcW w:w="3544" w:type="dxa"/>
            <w:tcBorders>
              <w:top w:val="single" w:sz="4" w:space="0" w:color="0D0D0D" w:themeColor="text1" w:themeTint="F2"/>
              <w:left w:val="single" w:sz="4" w:space="0" w:color="0D0D0D" w:themeColor="text1" w:themeTint="F2"/>
              <w:right w:val="single" w:sz="4" w:space="0" w:color="0D0D0D" w:themeColor="text1" w:themeTint="F2"/>
            </w:tcBorders>
            <w:vAlign w:val="center"/>
            <w:hideMark/>
          </w:tcPr>
          <w:p w14:paraId="0C044851" w14:textId="77777777" w:rsidR="00C57C9F" w:rsidRDefault="00C57C9F">
            <w:pPr>
              <w:rPr>
                <w:rFonts w:eastAsia="Times New Roman" w:cs="Times New Roman"/>
              </w:rPr>
            </w:pPr>
          </w:p>
        </w:tc>
        <w:tc>
          <w:tcPr>
            <w:tcW w:w="679" w:type="dxa"/>
            <w:tcBorders>
              <w:top w:val="single" w:sz="4" w:space="0" w:color="0D0D0D" w:themeColor="text1" w:themeTint="F2"/>
              <w:left w:val="single" w:sz="4" w:space="0" w:color="0D0D0D" w:themeColor="text1" w:themeTint="F2"/>
            </w:tcBorders>
            <w:vAlign w:val="center"/>
            <w:hideMark/>
          </w:tcPr>
          <w:p w14:paraId="1B570E57" w14:textId="77777777" w:rsidR="00C57C9F" w:rsidRDefault="00C57C9F" w:rsidP="006F421D">
            <w:pPr>
              <w:jc w:val="right"/>
              <w:rPr>
                <w:rFonts w:eastAsia="Times New Roman" w:cs="Times New Roman"/>
              </w:rPr>
            </w:pPr>
          </w:p>
        </w:tc>
        <w:tc>
          <w:tcPr>
            <w:tcW w:w="820" w:type="dxa"/>
            <w:tcBorders>
              <w:top w:val="single" w:sz="4" w:space="0" w:color="0D0D0D" w:themeColor="text1" w:themeTint="F2"/>
              <w:right w:val="single" w:sz="4" w:space="0" w:color="0D0D0D" w:themeColor="text1" w:themeTint="F2"/>
            </w:tcBorders>
            <w:vAlign w:val="center"/>
            <w:hideMark/>
          </w:tcPr>
          <w:p w14:paraId="75CDDAF2"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tcBorders>
            <w:vAlign w:val="center"/>
            <w:hideMark/>
          </w:tcPr>
          <w:p w14:paraId="755570B8" w14:textId="77777777" w:rsidR="00C57C9F" w:rsidRDefault="00C57C9F" w:rsidP="006F421D">
            <w:pPr>
              <w:jc w:val="right"/>
              <w:rPr>
                <w:rFonts w:eastAsia="Times New Roman" w:cs="Times New Roman"/>
              </w:rPr>
            </w:pPr>
          </w:p>
        </w:tc>
        <w:tc>
          <w:tcPr>
            <w:tcW w:w="820" w:type="dxa"/>
            <w:tcBorders>
              <w:top w:val="single" w:sz="4" w:space="0" w:color="0D0D0D" w:themeColor="text1" w:themeTint="F2"/>
              <w:right w:val="single" w:sz="4" w:space="0" w:color="0D0D0D" w:themeColor="text1" w:themeTint="F2"/>
            </w:tcBorders>
            <w:vAlign w:val="center"/>
            <w:hideMark/>
          </w:tcPr>
          <w:p w14:paraId="69D237F4"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tcBorders>
            <w:vAlign w:val="center"/>
            <w:hideMark/>
          </w:tcPr>
          <w:p w14:paraId="40B9883F" w14:textId="77777777" w:rsidR="00C57C9F" w:rsidRDefault="00C57C9F" w:rsidP="006F421D">
            <w:pPr>
              <w:jc w:val="right"/>
              <w:rPr>
                <w:rFonts w:eastAsia="Times New Roman" w:cs="Times New Roman"/>
              </w:rPr>
            </w:pPr>
          </w:p>
        </w:tc>
        <w:tc>
          <w:tcPr>
            <w:tcW w:w="820" w:type="dxa"/>
            <w:tcBorders>
              <w:top w:val="single" w:sz="4" w:space="0" w:color="0D0D0D" w:themeColor="text1" w:themeTint="F2"/>
              <w:right w:val="single" w:sz="4" w:space="0" w:color="0D0D0D" w:themeColor="text1" w:themeTint="F2"/>
            </w:tcBorders>
            <w:vAlign w:val="center"/>
            <w:hideMark/>
          </w:tcPr>
          <w:p w14:paraId="28ACB55A"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tcBorders>
            <w:vAlign w:val="center"/>
            <w:hideMark/>
          </w:tcPr>
          <w:p w14:paraId="04B5F6B8" w14:textId="77777777" w:rsidR="00C57C9F" w:rsidRDefault="00C57C9F" w:rsidP="006F421D">
            <w:pPr>
              <w:jc w:val="right"/>
              <w:rPr>
                <w:rFonts w:eastAsia="Times New Roman" w:cs="Times New Roman"/>
              </w:rPr>
            </w:pPr>
          </w:p>
        </w:tc>
        <w:tc>
          <w:tcPr>
            <w:tcW w:w="843" w:type="dxa"/>
            <w:tcBorders>
              <w:top w:val="single" w:sz="4" w:space="0" w:color="0D0D0D" w:themeColor="text1" w:themeTint="F2"/>
              <w:right w:val="single" w:sz="4" w:space="0" w:color="0D0D0D" w:themeColor="text1" w:themeTint="F2"/>
            </w:tcBorders>
            <w:vAlign w:val="center"/>
            <w:hideMark/>
          </w:tcPr>
          <w:p w14:paraId="53C6AD16" w14:textId="77777777" w:rsidR="00C57C9F" w:rsidRDefault="00C57C9F" w:rsidP="006F421D">
            <w:pPr>
              <w:jc w:val="right"/>
              <w:rPr>
                <w:rFonts w:eastAsia="Times New Roman" w:cs="Times New Roman"/>
              </w:rPr>
            </w:pPr>
          </w:p>
        </w:tc>
      </w:tr>
      <w:tr w:rsidR="00C57C9F" w14:paraId="4D64F379" w14:textId="77777777" w:rsidTr="006F421D">
        <w:trPr>
          <w:divId w:val="2075661312"/>
        </w:trPr>
        <w:tc>
          <w:tcPr>
            <w:tcW w:w="3544" w:type="dxa"/>
            <w:tcBorders>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5D788076" w14:textId="77777777" w:rsidR="00C57C9F" w:rsidRDefault="00C57C9F">
            <w:pPr>
              <w:pStyle w:val="3fins-table"/>
              <w:rPr>
                <w:rFonts w:cs="Times New Roman"/>
              </w:rPr>
            </w:pPr>
            <w:r>
              <w:rPr>
                <w:rStyle w:val="fins-bold"/>
                <w:rFonts w:cs="Times New Roman"/>
              </w:rPr>
              <w:t>Opening balance</w:t>
            </w:r>
          </w:p>
        </w:tc>
        <w:tc>
          <w:tcPr>
            <w:tcW w:w="679" w:type="dxa"/>
            <w:tcBorders>
              <w:left w:val="single" w:sz="4" w:space="0" w:color="0D0D0D" w:themeColor="text1" w:themeTint="F2"/>
              <w:bottom w:val="single" w:sz="4" w:space="0" w:color="0D0D0D" w:themeColor="text1" w:themeTint="F2"/>
            </w:tcBorders>
            <w:vAlign w:val="center"/>
            <w:hideMark/>
          </w:tcPr>
          <w:p w14:paraId="72E528EC" w14:textId="77777777" w:rsidR="00C57C9F" w:rsidRDefault="00C57C9F" w:rsidP="006F421D">
            <w:pPr>
              <w:pStyle w:val="3fins-table-figures"/>
              <w:jc w:val="right"/>
              <w:rPr>
                <w:rFonts w:cs="Times New Roman"/>
              </w:rPr>
            </w:pPr>
            <w:r>
              <w:rPr>
                <w:rStyle w:val="fins-bold"/>
                <w:rFonts w:cs="Times New Roman"/>
              </w:rPr>
              <w:t>(878)</w:t>
            </w:r>
          </w:p>
        </w:tc>
        <w:tc>
          <w:tcPr>
            <w:tcW w:w="820" w:type="dxa"/>
            <w:tcBorders>
              <w:left w:val="nil"/>
              <w:bottom w:val="single" w:sz="4" w:space="0" w:color="0D0D0D" w:themeColor="text1" w:themeTint="F2"/>
              <w:right w:val="single" w:sz="4" w:space="0" w:color="0D0D0D" w:themeColor="text1" w:themeTint="F2"/>
            </w:tcBorders>
            <w:vAlign w:val="center"/>
            <w:hideMark/>
          </w:tcPr>
          <w:p w14:paraId="5C5FE1D0" w14:textId="77777777" w:rsidR="00C57C9F" w:rsidRDefault="00C57C9F" w:rsidP="006F421D">
            <w:pPr>
              <w:pStyle w:val="3fins-table-figures"/>
              <w:jc w:val="right"/>
              <w:rPr>
                <w:rFonts w:cs="Times New Roman"/>
              </w:rPr>
            </w:pPr>
            <w:r>
              <w:rPr>
                <w:rFonts w:cs="Times New Roman"/>
              </w:rPr>
              <w:t>(1,088)</w:t>
            </w:r>
          </w:p>
        </w:tc>
        <w:tc>
          <w:tcPr>
            <w:tcW w:w="821" w:type="dxa"/>
            <w:tcBorders>
              <w:left w:val="single" w:sz="4" w:space="0" w:color="0D0D0D" w:themeColor="text1" w:themeTint="F2"/>
              <w:bottom w:val="single" w:sz="4" w:space="0" w:color="0D0D0D" w:themeColor="text1" w:themeTint="F2"/>
            </w:tcBorders>
            <w:vAlign w:val="center"/>
            <w:hideMark/>
          </w:tcPr>
          <w:p w14:paraId="6566E0F8" w14:textId="77777777" w:rsidR="00C57C9F" w:rsidRDefault="00C57C9F" w:rsidP="006F421D">
            <w:pPr>
              <w:pStyle w:val="3fins-table-figures"/>
              <w:jc w:val="right"/>
              <w:rPr>
                <w:rFonts w:cs="Times New Roman"/>
              </w:rPr>
            </w:pPr>
            <w:r>
              <w:rPr>
                <w:rStyle w:val="fins-bold"/>
                <w:rFonts w:cs="Times New Roman"/>
              </w:rPr>
              <w:t>5</w:t>
            </w:r>
          </w:p>
        </w:tc>
        <w:tc>
          <w:tcPr>
            <w:tcW w:w="820" w:type="dxa"/>
            <w:tcBorders>
              <w:left w:val="nil"/>
              <w:bottom w:val="single" w:sz="4" w:space="0" w:color="0D0D0D" w:themeColor="text1" w:themeTint="F2"/>
              <w:right w:val="single" w:sz="4" w:space="0" w:color="0D0D0D" w:themeColor="text1" w:themeTint="F2"/>
            </w:tcBorders>
            <w:vAlign w:val="center"/>
            <w:hideMark/>
          </w:tcPr>
          <w:p w14:paraId="36D18653" w14:textId="77777777" w:rsidR="00C57C9F" w:rsidRDefault="00C57C9F" w:rsidP="006F421D">
            <w:pPr>
              <w:pStyle w:val="3fins-table-figures"/>
              <w:jc w:val="right"/>
              <w:rPr>
                <w:rFonts w:cs="Times New Roman"/>
              </w:rPr>
            </w:pPr>
            <w:r>
              <w:rPr>
                <w:rFonts w:cs="Times New Roman"/>
              </w:rPr>
              <w:t>8</w:t>
            </w:r>
          </w:p>
        </w:tc>
        <w:tc>
          <w:tcPr>
            <w:tcW w:w="821" w:type="dxa"/>
            <w:tcBorders>
              <w:left w:val="single" w:sz="4" w:space="0" w:color="0D0D0D" w:themeColor="text1" w:themeTint="F2"/>
              <w:bottom w:val="single" w:sz="4" w:space="0" w:color="0D0D0D" w:themeColor="text1" w:themeTint="F2"/>
            </w:tcBorders>
            <w:vAlign w:val="center"/>
            <w:hideMark/>
          </w:tcPr>
          <w:p w14:paraId="1F1AFE23" w14:textId="77777777" w:rsidR="00C57C9F" w:rsidRDefault="00C57C9F" w:rsidP="006F421D">
            <w:pPr>
              <w:pStyle w:val="3fins-table-figures"/>
              <w:jc w:val="right"/>
              <w:rPr>
                <w:rFonts w:cs="Times New Roman"/>
              </w:rPr>
            </w:pPr>
            <w:r>
              <w:rPr>
                <w:rStyle w:val="fins-bold"/>
                <w:rFonts w:cs="Times New Roman"/>
              </w:rPr>
              <w:t>1,836</w:t>
            </w:r>
          </w:p>
        </w:tc>
        <w:tc>
          <w:tcPr>
            <w:tcW w:w="820" w:type="dxa"/>
            <w:tcBorders>
              <w:left w:val="nil"/>
              <w:bottom w:val="single" w:sz="4" w:space="0" w:color="0D0D0D" w:themeColor="text1" w:themeTint="F2"/>
              <w:right w:val="single" w:sz="4" w:space="0" w:color="0D0D0D" w:themeColor="text1" w:themeTint="F2"/>
            </w:tcBorders>
            <w:vAlign w:val="center"/>
            <w:hideMark/>
          </w:tcPr>
          <w:p w14:paraId="69945257" w14:textId="77777777" w:rsidR="00C57C9F" w:rsidRDefault="00C57C9F" w:rsidP="006F421D">
            <w:pPr>
              <w:pStyle w:val="3fins-table-figures"/>
              <w:jc w:val="right"/>
              <w:rPr>
                <w:rFonts w:cs="Times New Roman"/>
              </w:rPr>
            </w:pPr>
            <w:r>
              <w:rPr>
                <w:rFonts w:cs="Times New Roman"/>
              </w:rPr>
              <w:t>1,836</w:t>
            </w:r>
          </w:p>
        </w:tc>
        <w:tc>
          <w:tcPr>
            <w:tcW w:w="821" w:type="dxa"/>
            <w:tcBorders>
              <w:left w:val="single" w:sz="4" w:space="0" w:color="0D0D0D" w:themeColor="text1" w:themeTint="F2"/>
              <w:bottom w:val="single" w:sz="4" w:space="0" w:color="0D0D0D" w:themeColor="text1" w:themeTint="F2"/>
            </w:tcBorders>
            <w:vAlign w:val="center"/>
            <w:hideMark/>
          </w:tcPr>
          <w:p w14:paraId="7A27B456" w14:textId="77777777" w:rsidR="00C57C9F" w:rsidRDefault="00C57C9F" w:rsidP="006F421D">
            <w:pPr>
              <w:pStyle w:val="3fins-table-figures"/>
              <w:jc w:val="right"/>
              <w:rPr>
                <w:rFonts w:cs="Times New Roman"/>
              </w:rPr>
            </w:pPr>
            <w:r>
              <w:rPr>
                <w:rStyle w:val="fins-bold"/>
                <w:rFonts w:cs="Times New Roman"/>
              </w:rPr>
              <w:t>963</w:t>
            </w:r>
          </w:p>
        </w:tc>
        <w:tc>
          <w:tcPr>
            <w:tcW w:w="843" w:type="dxa"/>
            <w:tcBorders>
              <w:left w:val="nil"/>
              <w:bottom w:val="single" w:sz="4" w:space="0" w:color="0D0D0D" w:themeColor="text1" w:themeTint="F2"/>
              <w:right w:val="single" w:sz="4" w:space="0" w:color="0D0D0D" w:themeColor="text1" w:themeTint="F2"/>
            </w:tcBorders>
            <w:vAlign w:val="center"/>
            <w:hideMark/>
          </w:tcPr>
          <w:p w14:paraId="603E3430" w14:textId="77777777" w:rsidR="00C57C9F" w:rsidRDefault="00C57C9F" w:rsidP="006F421D">
            <w:pPr>
              <w:pStyle w:val="3fins-table-figures"/>
              <w:jc w:val="right"/>
              <w:rPr>
                <w:rFonts w:cs="Times New Roman"/>
              </w:rPr>
            </w:pPr>
            <w:r>
              <w:rPr>
                <w:rFonts w:cs="Times New Roman"/>
              </w:rPr>
              <w:t>756</w:t>
            </w:r>
          </w:p>
        </w:tc>
      </w:tr>
      <w:tr w:rsidR="00C57C9F" w14:paraId="18F38F36"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34DD4139" w14:textId="77777777" w:rsidR="00C57C9F" w:rsidRDefault="00C57C9F">
            <w:pPr>
              <w:pStyle w:val="3fins-table"/>
              <w:rPr>
                <w:rFonts w:cs="Times New Roman"/>
              </w:rPr>
            </w:pPr>
            <w:r>
              <w:rPr>
                <w:rStyle w:val="fins-bold"/>
                <w:rFonts w:cs="Times New Roman"/>
              </w:rPr>
              <w:t>Comprehensive income</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271C0080"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84BEB57"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13905554"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23264093"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0D87FEB4"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542F4D1"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64B6BCF5" w14:textId="77777777" w:rsidR="00C57C9F" w:rsidRDefault="00C57C9F" w:rsidP="006F421D">
            <w:pPr>
              <w:jc w:val="right"/>
              <w:rPr>
                <w:rFonts w:eastAsia="Times New Roman" w:cs="Times New Roman"/>
              </w:rPr>
            </w:pP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517BE456" w14:textId="77777777" w:rsidR="00C57C9F" w:rsidRDefault="00C57C9F" w:rsidP="006F421D">
            <w:pPr>
              <w:jc w:val="right"/>
              <w:rPr>
                <w:rFonts w:eastAsia="Times New Roman" w:cs="Times New Roman"/>
              </w:rPr>
            </w:pPr>
          </w:p>
        </w:tc>
      </w:tr>
      <w:tr w:rsidR="00C57C9F" w14:paraId="2555E1AB"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52C9C788" w14:textId="77777777" w:rsidR="00C57C9F" w:rsidRDefault="00C57C9F">
            <w:pPr>
              <w:pStyle w:val="3fins-table"/>
              <w:rPr>
                <w:rFonts w:cs="Times New Roman"/>
              </w:rPr>
            </w:pPr>
            <w:r>
              <w:rPr>
                <w:rFonts w:cs="Times New Roman"/>
              </w:rPr>
              <w:t>Other comprehensive income</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21F8A019"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5A22A3F1"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DF82B9D"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4AE28C9" w14:textId="77777777" w:rsidR="00C57C9F" w:rsidRDefault="00C57C9F" w:rsidP="006F421D">
            <w:pPr>
              <w:pStyle w:val="3fins-table-figures"/>
              <w:jc w:val="right"/>
              <w:rPr>
                <w:rFonts w:cs="Times New Roman"/>
              </w:rPr>
            </w:pPr>
            <w:r>
              <w:rPr>
                <w:rFonts w:cs="Times New Roman"/>
              </w:rPr>
              <w:t xml:space="preserve">(3) </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185F7F83"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22AB8BEC"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2A23B394" w14:textId="77777777" w:rsidR="00C57C9F" w:rsidRDefault="00C57C9F" w:rsidP="006F421D">
            <w:pPr>
              <w:pStyle w:val="3fins-table-figures"/>
              <w:jc w:val="right"/>
              <w:rPr>
                <w:rFonts w:cs="Times New Roman"/>
              </w:rPr>
            </w:pPr>
            <w:r>
              <w:rPr>
                <w:rStyle w:val="fins-bold"/>
                <w:rFonts w:cs="Times New Roman"/>
              </w:rPr>
              <w:t>–</w:t>
            </w: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6ACFC40" w14:textId="77777777" w:rsidR="00C57C9F" w:rsidRDefault="00C57C9F" w:rsidP="006F421D">
            <w:pPr>
              <w:pStyle w:val="3fins-table-figures"/>
              <w:jc w:val="right"/>
              <w:rPr>
                <w:rFonts w:cs="Times New Roman"/>
              </w:rPr>
            </w:pPr>
            <w:r>
              <w:rPr>
                <w:rFonts w:cs="Times New Roman"/>
              </w:rPr>
              <w:t>(3)</w:t>
            </w:r>
          </w:p>
        </w:tc>
      </w:tr>
      <w:tr w:rsidR="00C57C9F" w14:paraId="7AAFFE39"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6ABF1C5C" w14:textId="77777777" w:rsidR="00C57C9F" w:rsidRDefault="00C57C9F">
            <w:pPr>
              <w:pStyle w:val="3fins-table"/>
              <w:rPr>
                <w:rFonts w:cs="Times New Roman"/>
              </w:rPr>
            </w:pPr>
            <w:r>
              <w:rPr>
                <w:rFonts w:cs="Times New Roman"/>
              </w:rPr>
              <w:t>Surplus (Deficit) for the period</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40AFDAF3" w14:textId="77777777" w:rsidR="00C57C9F" w:rsidRDefault="00C57C9F" w:rsidP="006F421D">
            <w:pPr>
              <w:pStyle w:val="3fins-table-figures"/>
              <w:jc w:val="right"/>
              <w:rPr>
                <w:rFonts w:cs="Times New Roman"/>
              </w:rPr>
            </w:pPr>
            <w:r>
              <w:rPr>
                <w:rStyle w:val="fins-bold"/>
                <w:rFonts w:cs="Times New Roman"/>
              </w:rPr>
              <w:t xml:space="preserve">360 </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56F7AD6" w14:textId="77777777" w:rsidR="00C57C9F" w:rsidRDefault="00C57C9F" w:rsidP="006F421D">
            <w:pPr>
              <w:pStyle w:val="3fins-table-figures"/>
              <w:jc w:val="right"/>
              <w:rPr>
                <w:rFonts w:cs="Times New Roman"/>
              </w:rPr>
            </w:pPr>
            <w:r>
              <w:rPr>
                <w:rFonts w:cs="Times New Roman"/>
              </w:rPr>
              <w:t>210</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10C8466D"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6E427F8A"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0823B6F7"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5D2ECF83"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67DBADC1" w14:textId="77777777" w:rsidR="00C57C9F" w:rsidRDefault="00C57C9F" w:rsidP="006F421D">
            <w:pPr>
              <w:pStyle w:val="3fins-table-figures"/>
              <w:jc w:val="right"/>
              <w:rPr>
                <w:rFonts w:cs="Times New Roman"/>
              </w:rPr>
            </w:pPr>
            <w:r>
              <w:rPr>
                <w:rStyle w:val="fins-bold"/>
                <w:rFonts w:cs="Times New Roman"/>
              </w:rPr>
              <w:t>360</w:t>
            </w: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1A5A4CB" w14:textId="77777777" w:rsidR="00C57C9F" w:rsidRDefault="00C57C9F" w:rsidP="006F421D">
            <w:pPr>
              <w:pStyle w:val="3fins-table-figures"/>
              <w:jc w:val="right"/>
              <w:rPr>
                <w:rFonts w:cs="Times New Roman"/>
              </w:rPr>
            </w:pPr>
            <w:r>
              <w:rPr>
                <w:rFonts w:cs="Times New Roman"/>
              </w:rPr>
              <w:t>210</w:t>
            </w:r>
          </w:p>
        </w:tc>
      </w:tr>
      <w:tr w:rsidR="00C57C9F" w14:paraId="7ECED528"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4CB8C1EC" w14:textId="77777777" w:rsidR="00C57C9F" w:rsidRDefault="00C57C9F">
            <w:pPr>
              <w:pStyle w:val="3fins-table"/>
              <w:rPr>
                <w:rFonts w:cs="Times New Roman"/>
              </w:rPr>
            </w:pPr>
            <w:r>
              <w:rPr>
                <w:rStyle w:val="fins-bold"/>
                <w:rFonts w:cs="Times New Roman"/>
              </w:rPr>
              <w:t>Total comprehensive income</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66F46641" w14:textId="77777777" w:rsidR="00C57C9F" w:rsidRDefault="00C57C9F" w:rsidP="006F421D">
            <w:pPr>
              <w:pStyle w:val="3fins-table-figures"/>
              <w:jc w:val="right"/>
              <w:rPr>
                <w:rFonts w:cs="Times New Roman"/>
              </w:rPr>
            </w:pPr>
            <w:r>
              <w:rPr>
                <w:rStyle w:val="fins-bold"/>
                <w:rFonts w:cs="Times New Roman"/>
              </w:rPr>
              <w:t xml:space="preserve">360 </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4903BE8E" w14:textId="77777777" w:rsidR="00C57C9F" w:rsidRDefault="00C57C9F" w:rsidP="006F421D">
            <w:pPr>
              <w:pStyle w:val="3fins-table-figures"/>
              <w:jc w:val="right"/>
              <w:rPr>
                <w:rFonts w:cs="Times New Roman"/>
              </w:rPr>
            </w:pPr>
            <w:r>
              <w:rPr>
                <w:rFonts w:cs="Times New Roman"/>
              </w:rPr>
              <w:t>210</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2FB2197D"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5E88AA53" w14:textId="77777777" w:rsidR="00C57C9F" w:rsidRDefault="00C57C9F" w:rsidP="006F421D">
            <w:pPr>
              <w:pStyle w:val="3fins-table-figures"/>
              <w:jc w:val="right"/>
              <w:rPr>
                <w:rFonts w:cs="Times New Roman"/>
              </w:rPr>
            </w:pPr>
            <w:r>
              <w:rPr>
                <w:rFonts w:cs="Times New Roman"/>
              </w:rPr>
              <w:t xml:space="preserve">(3) </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3BFB0ACB"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28D9E304"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49E6DF0D" w14:textId="77777777" w:rsidR="00C57C9F" w:rsidRDefault="00C57C9F" w:rsidP="006F421D">
            <w:pPr>
              <w:pStyle w:val="3fins-table-figures"/>
              <w:jc w:val="right"/>
              <w:rPr>
                <w:rFonts w:cs="Times New Roman"/>
              </w:rPr>
            </w:pPr>
            <w:r>
              <w:rPr>
                <w:rStyle w:val="fins-bold"/>
                <w:rFonts w:cs="Times New Roman"/>
              </w:rPr>
              <w:t>360</w:t>
            </w: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907E451" w14:textId="77777777" w:rsidR="00C57C9F" w:rsidRDefault="00C57C9F" w:rsidP="006F421D">
            <w:pPr>
              <w:pStyle w:val="3fins-table-figures"/>
              <w:jc w:val="right"/>
              <w:rPr>
                <w:rFonts w:cs="Times New Roman"/>
              </w:rPr>
            </w:pPr>
            <w:r>
              <w:rPr>
                <w:rFonts w:cs="Times New Roman"/>
              </w:rPr>
              <w:t>207</w:t>
            </w:r>
          </w:p>
        </w:tc>
      </w:tr>
      <w:tr w:rsidR="00C57C9F" w14:paraId="29CEEBD3"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5FD468A6" w14:textId="77777777" w:rsidR="00C57C9F" w:rsidRDefault="00C57C9F">
            <w:pPr>
              <w:pStyle w:val="3fins-table"/>
              <w:rPr>
                <w:rFonts w:cs="Times New Roman"/>
              </w:rPr>
            </w:pPr>
            <w:r>
              <w:rPr>
                <w:rStyle w:val="fins-bold"/>
                <w:rFonts w:cs="Times New Roman"/>
              </w:rPr>
              <w:t>Transactions with owners</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2BF91BA"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A467C37"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3D181655"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601D983D"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6A66426F"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00F9A33"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219B9CBA" w14:textId="77777777" w:rsidR="00C57C9F" w:rsidRDefault="00C57C9F" w:rsidP="006F421D">
            <w:pPr>
              <w:jc w:val="right"/>
              <w:rPr>
                <w:rFonts w:eastAsia="Times New Roman" w:cs="Times New Roman"/>
              </w:rPr>
            </w:pP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69D84B55" w14:textId="77777777" w:rsidR="00C57C9F" w:rsidRDefault="00C57C9F" w:rsidP="006F421D">
            <w:pPr>
              <w:jc w:val="right"/>
              <w:rPr>
                <w:rFonts w:eastAsia="Times New Roman" w:cs="Times New Roman"/>
              </w:rPr>
            </w:pPr>
          </w:p>
        </w:tc>
      </w:tr>
      <w:tr w:rsidR="00C57C9F" w14:paraId="0AA49B8A"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0239BF5E" w14:textId="77777777" w:rsidR="00C57C9F" w:rsidRDefault="00C57C9F">
            <w:pPr>
              <w:pStyle w:val="3fins-table"/>
              <w:rPr>
                <w:rFonts w:cs="Times New Roman"/>
              </w:rPr>
            </w:pPr>
            <w:r>
              <w:rPr>
                <w:rStyle w:val="fins-bold"/>
                <w:rFonts w:cs="Times New Roman"/>
              </w:rPr>
              <w:t>Contributions by owners</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C6F3816"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51C79403"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08616C5"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6324820B"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0A9DD137" w14:textId="77777777" w:rsidR="00C57C9F" w:rsidRDefault="00C57C9F" w:rsidP="006F421D">
            <w:pPr>
              <w:jc w:val="right"/>
              <w:rPr>
                <w:rFonts w:eastAsia="Times New Roman" w:cs="Times New Roman"/>
              </w:rPr>
            </w:pP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636FF010" w14:textId="77777777" w:rsidR="00C57C9F" w:rsidRDefault="00C57C9F" w:rsidP="006F421D">
            <w:pPr>
              <w:jc w:val="right"/>
              <w:rPr>
                <w:rFonts w:eastAsia="Times New Roman" w:cs="Times New Roman"/>
              </w:rPr>
            </w:pP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585981C8" w14:textId="77777777" w:rsidR="00C57C9F" w:rsidRDefault="00C57C9F" w:rsidP="006F421D">
            <w:pPr>
              <w:jc w:val="right"/>
              <w:rPr>
                <w:rFonts w:eastAsia="Times New Roman" w:cs="Times New Roman"/>
              </w:rPr>
            </w:pP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CD4CC0A" w14:textId="77777777" w:rsidR="00C57C9F" w:rsidRDefault="00C57C9F" w:rsidP="006F421D">
            <w:pPr>
              <w:jc w:val="right"/>
              <w:rPr>
                <w:rFonts w:eastAsia="Times New Roman" w:cs="Times New Roman"/>
              </w:rPr>
            </w:pPr>
          </w:p>
        </w:tc>
      </w:tr>
      <w:tr w:rsidR="00C57C9F" w14:paraId="45B282DD"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67EFB301" w14:textId="77777777" w:rsidR="00C57C9F" w:rsidRDefault="00C57C9F">
            <w:pPr>
              <w:pStyle w:val="3fins-table"/>
              <w:rPr>
                <w:rFonts w:cs="Times New Roman"/>
              </w:rPr>
            </w:pPr>
            <w:r>
              <w:rPr>
                <w:rFonts w:cs="Times New Roman"/>
              </w:rPr>
              <w:t>Equity injection</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1B31E34"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F9A9FDB"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69F39535"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40B00DD0"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3D0EAC32"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6F0C683"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0DFC9351" w14:textId="77777777" w:rsidR="00C57C9F" w:rsidRDefault="00C57C9F" w:rsidP="006F421D">
            <w:pPr>
              <w:pStyle w:val="3fins-table-figures"/>
              <w:jc w:val="right"/>
              <w:rPr>
                <w:rFonts w:cs="Times New Roman"/>
              </w:rPr>
            </w:pPr>
            <w:r>
              <w:rPr>
                <w:rStyle w:val="fins-bold"/>
                <w:rFonts w:cs="Times New Roman"/>
              </w:rPr>
              <w:t>–</w:t>
            </w: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2DAC4A7E" w14:textId="77777777" w:rsidR="00C57C9F" w:rsidRDefault="00C57C9F" w:rsidP="006F421D">
            <w:pPr>
              <w:pStyle w:val="3fins-table-figures"/>
              <w:jc w:val="right"/>
              <w:rPr>
                <w:rFonts w:cs="Times New Roman"/>
              </w:rPr>
            </w:pPr>
            <w:r>
              <w:rPr>
                <w:rStyle w:val="fins-bold"/>
                <w:rFonts w:cs="Times New Roman"/>
              </w:rPr>
              <w:t>–</w:t>
            </w:r>
          </w:p>
        </w:tc>
      </w:tr>
      <w:tr w:rsidR="00C57C9F" w14:paraId="126821CE"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6C532FE0" w14:textId="77777777" w:rsidR="00C57C9F" w:rsidRDefault="00C57C9F">
            <w:pPr>
              <w:pStyle w:val="3fins-table"/>
              <w:rPr>
                <w:rFonts w:cs="Times New Roman"/>
              </w:rPr>
            </w:pPr>
            <w:r>
              <w:rPr>
                <w:rStyle w:val="fins-bold"/>
                <w:rFonts w:cs="Times New Roman"/>
              </w:rPr>
              <w:t>Sub-total transactions with owners</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4E608B2D"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68C81F47"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6064D024"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1691DDC1"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4F5056F" w14:textId="77777777" w:rsidR="00C57C9F" w:rsidRDefault="00C57C9F" w:rsidP="006F421D">
            <w:pPr>
              <w:pStyle w:val="3fins-table-figures"/>
              <w:jc w:val="right"/>
              <w:rPr>
                <w:rFonts w:cs="Times New Roman"/>
              </w:rPr>
            </w:pPr>
            <w:r>
              <w:rPr>
                <w:rStyle w:val="fins-bold"/>
                <w:rFonts w:cs="Times New Roman"/>
              </w:rPr>
              <w:t>–</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6DE68BC" w14:textId="77777777" w:rsidR="00C57C9F" w:rsidRDefault="00C57C9F" w:rsidP="006F421D">
            <w:pPr>
              <w:pStyle w:val="3fins-table-figures"/>
              <w:jc w:val="right"/>
              <w:rPr>
                <w:rFonts w:cs="Times New Roman"/>
              </w:rPr>
            </w:pPr>
            <w:r>
              <w:rPr>
                <w:rStyle w:val="fins-bold"/>
                <w:rFonts w:cs="Times New Roman"/>
              </w:rPr>
              <w:t>–</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4D64E66A" w14:textId="77777777" w:rsidR="00C57C9F" w:rsidRDefault="00C57C9F" w:rsidP="006F421D">
            <w:pPr>
              <w:pStyle w:val="3fins-table-figures"/>
              <w:jc w:val="right"/>
              <w:rPr>
                <w:rFonts w:cs="Times New Roman"/>
              </w:rPr>
            </w:pPr>
            <w:r>
              <w:rPr>
                <w:rStyle w:val="fins-bold"/>
                <w:rFonts w:cs="Times New Roman"/>
              </w:rPr>
              <w:t>–</w:t>
            </w: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2E83C90" w14:textId="77777777" w:rsidR="00C57C9F" w:rsidRDefault="00C57C9F" w:rsidP="006F421D">
            <w:pPr>
              <w:pStyle w:val="3fins-table-figures"/>
              <w:jc w:val="right"/>
              <w:rPr>
                <w:rFonts w:cs="Times New Roman"/>
              </w:rPr>
            </w:pPr>
            <w:r>
              <w:rPr>
                <w:rStyle w:val="fins-bold"/>
                <w:rFonts w:cs="Times New Roman"/>
              </w:rPr>
              <w:t>–</w:t>
            </w:r>
          </w:p>
        </w:tc>
      </w:tr>
      <w:tr w:rsidR="00C57C9F" w14:paraId="7C8E2AE8"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3FE585DF" w14:textId="77777777" w:rsidR="00C57C9F" w:rsidRDefault="00C57C9F">
            <w:pPr>
              <w:pStyle w:val="3fins-table"/>
              <w:rPr>
                <w:rFonts w:cs="Times New Roman"/>
              </w:rPr>
            </w:pPr>
            <w:r>
              <w:rPr>
                <w:rStyle w:val="fins-bold"/>
                <w:rFonts w:cs="Times New Roman"/>
              </w:rPr>
              <w:t>Closing balance as at 30 June</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634D9207" w14:textId="77777777" w:rsidR="00C57C9F" w:rsidRDefault="00C57C9F" w:rsidP="006F421D">
            <w:pPr>
              <w:pStyle w:val="3fins-table-figures"/>
              <w:jc w:val="right"/>
              <w:rPr>
                <w:rFonts w:cs="Times New Roman"/>
              </w:rPr>
            </w:pPr>
            <w:r>
              <w:rPr>
                <w:rStyle w:val="fins-bold"/>
                <w:rFonts w:cs="Times New Roman"/>
              </w:rPr>
              <w:t xml:space="preserve">(518) </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1E80477" w14:textId="77777777" w:rsidR="00C57C9F" w:rsidRDefault="00C57C9F" w:rsidP="006F421D">
            <w:pPr>
              <w:pStyle w:val="3fins-table-figures"/>
              <w:jc w:val="right"/>
              <w:rPr>
                <w:rFonts w:cs="Times New Roman"/>
              </w:rPr>
            </w:pPr>
            <w:r>
              <w:rPr>
                <w:rFonts w:cs="Times New Roman"/>
              </w:rPr>
              <w:t>(878)</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2D000E9E" w14:textId="77777777" w:rsidR="00C57C9F" w:rsidRDefault="00C57C9F" w:rsidP="006F421D">
            <w:pPr>
              <w:pStyle w:val="3fins-table-figures"/>
              <w:jc w:val="right"/>
              <w:rPr>
                <w:rFonts w:cs="Times New Roman"/>
              </w:rPr>
            </w:pPr>
            <w:r>
              <w:rPr>
                <w:rStyle w:val="fins-bold"/>
                <w:rFonts w:cs="Times New Roman"/>
              </w:rPr>
              <w:t>5</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763D7E84" w14:textId="77777777" w:rsidR="00C57C9F" w:rsidRDefault="00C57C9F" w:rsidP="006F421D">
            <w:pPr>
              <w:pStyle w:val="3fins-table-figures"/>
              <w:jc w:val="right"/>
              <w:rPr>
                <w:rFonts w:cs="Times New Roman"/>
              </w:rPr>
            </w:pPr>
            <w:r>
              <w:rPr>
                <w:rFonts w:cs="Times New Roman"/>
              </w:rPr>
              <w:t xml:space="preserve">5 </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302B73DB" w14:textId="77777777" w:rsidR="00C57C9F" w:rsidRDefault="00C57C9F" w:rsidP="006F421D">
            <w:pPr>
              <w:pStyle w:val="3fins-table-figures"/>
              <w:jc w:val="right"/>
              <w:rPr>
                <w:rFonts w:cs="Times New Roman"/>
              </w:rPr>
            </w:pPr>
            <w:r>
              <w:rPr>
                <w:rStyle w:val="fins-bold"/>
                <w:rFonts w:cs="Times New Roman"/>
              </w:rPr>
              <w:t xml:space="preserve">1,836 </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0E08739A" w14:textId="77777777" w:rsidR="00C57C9F" w:rsidRDefault="00C57C9F" w:rsidP="006F421D">
            <w:pPr>
              <w:pStyle w:val="3fins-table-figures"/>
              <w:jc w:val="right"/>
              <w:rPr>
                <w:rFonts w:cs="Times New Roman"/>
              </w:rPr>
            </w:pPr>
            <w:r>
              <w:rPr>
                <w:rFonts w:cs="Times New Roman"/>
              </w:rPr>
              <w:t xml:space="preserve">1,836 </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54782A8" w14:textId="77777777" w:rsidR="00C57C9F" w:rsidRDefault="00C57C9F" w:rsidP="006F421D">
            <w:pPr>
              <w:pStyle w:val="3fins-table-figures"/>
              <w:jc w:val="right"/>
              <w:rPr>
                <w:rFonts w:cs="Times New Roman"/>
              </w:rPr>
            </w:pPr>
            <w:r>
              <w:rPr>
                <w:rStyle w:val="fins-bold"/>
                <w:rFonts w:cs="Times New Roman"/>
              </w:rPr>
              <w:t xml:space="preserve">1,323 </w:t>
            </w: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536C4B36" w14:textId="77777777" w:rsidR="00C57C9F" w:rsidRDefault="00C57C9F" w:rsidP="006F421D">
            <w:pPr>
              <w:pStyle w:val="3fins-table-figures"/>
              <w:jc w:val="right"/>
              <w:rPr>
                <w:rFonts w:cs="Times New Roman"/>
              </w:rPr>
            </w:pPr>
            <w:r>
              <w:rPr>
                <w:rFonts w:cs="Times New Roman"/>
              </w:rPr>
              <w:t xml:space="preserve">963 </w:t>
            </w:r>
          </w:p>
        </w:tc>
      </w:tr>
      <w:tr w:rsidR="00C57C9F" w14:paraId="49A42C5E" w14:textId="77777777" w:rsidTr="006F421D">
        <w:trPr>
          <w:divId w:val="2075661312"/>
        </w:trPr>
        <w:tc>
          <w:tcPr>
            <w:tcW w:w="354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14:paraId="751113BE" w14:textId="77777777" w:rsidR="00C57C9F" w:rsidRDefault="00C57C9F">
            <w:pPr>
              <w:pStyle w:val="3fins-table"/>
              <w:rPr>
                <w:rFonts w:cs="Times New Roman"/>
              </w:rPr>
            </w:pPr>
            <w:r>
              <w:rPr>
                <w:rStyle w:val="fins-bold"/>
                <w:rFonts w:cs="Times New Roman"/>
              </w:rPr>
              <w:t>Closing balance attributable to the Australian Government</w:t>
            </w:r>
          </w:p>
        </w:tc>
        <w:tc>
          <w:tcPr>
            <w:tcW w:w="679"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2B2F5DD4" w14:textId="77777777" w:rsidR="00C57C9F" w:rsidRDefault="00C57C9F" w:rsidP="006F421D">
            <w:pPr>
              <w:pStyle w:val="3fins-table-figures"/>
              <w:jc w:val="right"/>
              <w:rPr>
                <w:rFonts w:cs="Times New Roman"/>
              </w:rPr>
            </w:pPr>
            <w:r>
              <w:rPr>
                <w:rStyle w:val="fins-bold"/>
                <w:rFonts w:cs="Times New Roman"/>
              </w:rPr>
              <w:t xml:space="preserve">(518) </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532F66F4" w14:textId="77777777" w:rsidR="00C57C9F" w:rsidRDefault="00C57C9F" w:rsidP="006F421D">
            <w:pPr>
              <w:pStyle w:val="3fins-table-figures"/>
              <w:jc w:val="right"/>
              <w:rPr>
                <w:rFonts w:cs="Times New Roman"/>
              </w:rPr>
            </w:pPr>
            <w:r>
              <w:rPr>
                <w:rFonts w:cs="Times New Roman"/>
              </w:rPr>
              <w:t>(878)</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5C8D8FC8" w14:textId="77777777" w:rsidR="00C57C9F" w:rsidRDefault="00C57C9F" w:rsidP="006F421D">
            <w:pPr>
              <w:pStyle w:val="3fins-table-figures"/>
              <w:jc w:val="right"/>
              <w:rPr>
                <w:rFonts w:cs="Times New Roman"/>
              </w:rPr>
            </w:pPr>
            <w:r>
              <w:rPr>
                <w:rStyle w:val="fins-bold"/>
                <w:rFonts w:cs="Times New Roman"/>
              </w:rPr>
              <w:t>5</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DD1D023" w14:textId="77777777" w:rsidR="00C57C9F" w:rsidRDefault="00C57C9F" w:rsidP="006F421D">
            <w:pPr>
              <w:pStyle w:val="3fins-table-figures"/>
              <w:jc w:val="right"/>
              <w:rPr>
                <w:rFonts w:cs="Times New Roman"/>
              </w:rPr>
            </w:pPr>
            <w:r>
              <w:rPr>
                <w:rFonts w:cs="Times New Roman"/>
              </w:rPr>
              <w:t xml:space="preserve">5 </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352A9872" w14:textId="77777777" w:rsidR="00C57C9F" w:rsidRDefault="00C57C9F" w:rsidP="006F421D">
            <w:pPr>
              <w:pStyle w:val="3fins-table-figures"/>
              <w:jc w:val="right"/>
              <w:rPr>
                <w:rFonts w:cs="Times New Roman"/>
              </w:rPr>
            </w:pPr>
            <w:r>
              <w:rPr>
                <w:rStyle w:val="fins-bold"/>
                <w:rFonts w:cs="Times New Roman"/>
              </w:rPr>
              <w:t xml:space="preserve">1,836 </w:t>
            </w:r>
          </w:p>
        </w:tc>
        <w:tc>
          <w:tcPr>
            <w:tcW w:w="820"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3E271D10" w14:textId="77777777" w:rsidR="00C57C9F" w:rsidRDefault="00C57C9F" w:rsidP="006F421D">
            <w:pPr>
              <w:pStyle w:val="3fins-table-figures"/>
              <w:jc w:val="right"/>
              <w:rPr>
                <w:rFonts w:cs="Times New Roman"/>
              </w:rPr>
            </w:pPr>
            <w:r>
              <w:rPr>
                <w:rFonts w:cs="Times New Roman"/>
              </w:rPr>
              <w:t xml:space="preserve">1,836 </w:t>
            </w:r>
          </w:p>
        </w:tc>
        <w:tc>
          <w:tcPr>
            <w:tcW w:w="821" w:type="dxa"/>
            <w:tcBorders>
              <w:top w:val="single" w:sz="4" w:space="0" w:color="0D0D0D" w:themeColor="text1" w:themeTint="F2"/>
              <w:left w:val="single" w:sz="4" w:space="0" w:color="0D0D0D" w:themeColor="text1" w:themeTint="F2"/>
              <w:bottom w:val="single" w:sz="4" w:space="0" w:color="0D0D0D" w:themeColor="text1" w:themeTint="F2"/>
            </w:tcBorders>
            <w:vAlign w:val="center"/>
            <w:hideMark/>
          </w:tcPr>
          <w:p w14:paraId="7D92CBDF" w14:textId="77777777" w:rsidR="00C57C9F" w:rsidRDefault="00C57C9F" w:rsidP="006F421D">
            <w:pPr>
              <w:pStyle w:val="3fins-table-figures"/>
              <w:jc w:val="right"/>
              <w:rPr>
                <w:rFonts w:cs="Times New Roman"/>
              </w:rPr>
            </w:pPr>
            <w:r>
              <w:rPr>
                <w:rStyle w:val="fins-bold"/>
                <w:rFonts w:cs="Times New Roman"/>
              </w:rPr>
              <w:t xml:space="preserve">1,323 </w:t>
            </w:r>
          </w:p>
        </w:tc>
        <w:tc>
          <w:tcPr>
            <w:tcW w:w="843" w:type="dxa"/>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14:paraId="03A41AC8" w14:textId="77777777" w:rsidR="00C57C9F" w:rsidRDefault="00C57C9F" w:rsidP="006F421D">
            <w:pPr>
              <w:pStyle w:val="3fins-table-figures"/>
              <w:jc w:val="right"/>
              <w:rPr>
                <w:rFonts w:cs="Times New Roman"/>
              </w:rPr>
            </w:pPr>
            <w:r>
              <w:rPr>
                <w:rFonts w:cs="Times New Roman"/>
              </w:rPr>
              <w:t xml:space="preserve">963 </w:t>
            </w:r>
          </w:p>
        </w:tc>
      </w:tr>
    </w:tbl>
    <w:p w14:paraId="3A46F774" w14:textId="77777777" w:rsidR="00C57C9F" w:rsidRDefault="00C57C9F">
      <w:pPr>
        <w:pStyle w:val="3fins-table"/>
        <w:divId w:val="2075661312"/>
        <w:rPr>
          <w:rFonts w:cs="Times New Roman"/>
          <w:lang w:val="en-AU"/>
        </w:rPr>
      </w:pPr>
      <w:r>
        <w:rPr>
          <w:rFonts w:cs="Times New Roman"/>
          <w:lang w:val="en-AU"/>
        </w:rPr>
        <w:t>The above statement should be read in conjunction with the accompanying notes.</w:t>
      </w:r>
    </w:p>
    <w:p w14:paraId="4F8FE6CB" w14:textId="77777777" w:rsidR="00C57C9F" w:rsidRDefault="00C57C9F">
      <w:pPr>
        <w:rPr>
          <w:rFonts w:cs="Times New Roman"/>
          <w:sz w:val="32"/>
        </w:rPr>
      </w:pPr>
      <w:r>
        <w:rPr>
          <w:rFonts w:cs="Times New Roman"/>
        </w:rPr>
        <w:br w:type="page"/>
      </w:r>
    </w:p>
    <w:p w14:paraId="5E95E8CA" w14:textId="77777777" w:rsidR="00C57C9F" w:rsidRDefault="00C57C9F" w:rsidP="00093444">
      <w:pPr>
        <w:pStyle w:val="Heading2"/>
        <w:divId w:val="2075661312"/>
      </w:pPr>
      <w:bookmarkStart w:id="46" w:name="_Toc414011904"/>
      <w:r>
        <w:lastRenderedPageBreak/>
        <w:t>Cash Flow Statement</w:t>
      </w:r>
      <w:bookmarkEnd w:id="46"/>
    </w:p>
    <w:p w14:paraId="38106E91" w14:textId="77777777" w:rsidR="00C57C9F" w:rsidRDefault="00C57C9F">
      <w:pPr>
        <w:pStyle w:val="1as-at---"/>
        <w:divId w:val="2075661312"/>
        <w:rPr>
          <w:rFonts w:cs="Times New Roman"/>
          <w:lang w:val="en-AU"/>
        </w:rPr>
      </w:pPr>
      <w:proofErr w:type="gramStart"/>
      <w:r>
        <w:rPr>
          <w:rFonts w:cs="Times New Roman"/>
          <w:lang w:val="en-AU"/>
        </w:rPr>
        <w:t>for</w:t>
      </w:r>
      <w:proofErr w:type="gramEnd"/>
      <w:r>
        <w:rPr>
          <w:rFonts w:cs="Times New Roman"/>
          <w:lang w:val="en-AU"/>
        </w:rPr>
        <w:t xml:space="preserve"> the period ended 30 June 2014</w:t>
      </w:r>
    </w:p>
    <w:tbl>
      <w:tblPr>
        <w:tblW w:w="0" w:type="auto"/>
        <w:tblLayout w:type="fixed"/>
        <w:tblCellMar>
          <w:top w:w="28" w:type="dxa"/>
          <w:left w:w="15" w:type="dxa"/>
          <w:bottom w:w="28" w:type="dxa"/>
          <w:right w:w="15" w:type="dxa"/>
        </w:tblCellMar>
        <w:tblLook w:val="04A0" w:firstRow="1" w:lastRow="0" w:firstColumn="1" w:lastColumn="0" w:noHBand="0" w:noVBand="1"/>
      </w:tblPr>
      <w:tblGrid>
        <w:gridCol w:w="6237"/>
        <w:gridCol w:w="1104"/>
        <w:gridCol w:w="1388"/>
        <w:gridCol w:w="1372"/>
      </w:tblGrid>
      <w:tr w:rsidR="00C57C9F" w14:paraId="293CFD9B" w14:textId="77777777" w:rsidTr="006F421D">
        <w:trPr>
          <w:divId w:val="2075661312"/>
        </w:trPr>
        <w:tc>
          <w:tcPr>
            <w:tcW w:w="6237" w:type="dxa"/>
            <w:vAlign w:val="center"/>
            <w:hideMark/>
          </w:tcPr>
          <w:p w14:paraId="696E7AB4" w14:textId="77777777" w:rsidR="00C57C9F" w:rsidRDefault="00C57C9F">
            <w:pPr>
              <w:rPr>
                <w:rFonts w:eastAsia="Times New Roman" w:cs="Times New Roman"/>
              </w:rPr>
            </w:pPr>
          </w:p>
        </w:tc>
        <w:tc>
          <w:tcPr>
            <w:tcW w:w="1104" w:type="dxa"/>
            <w:vAlign w:val="center"/>
            <w:hideMark/>
          </w:tcPr>
          <w:p w14:paraId="4E6636EA" w14:textId="77777777" w:rsidR="00C57C9F" w:rsidRDefault="00C57C9F" w:rsidP="006F421D">
            <w:pPr>
              <w:jc w:val="center"/>
              <w:rPr>
                <w:rFonts w:eastAsia="Times New Roman" w:cs="Times New Roman"/>
              </w:rPr>
            </w:pPr>
          </w:p>
        </w:tc>
        <w:tc>
          <w:tcPr>
            <w:tcW w:w="1388" w:type="dxa"/>
            <w:vAlign w:val="center"/>
            <w:hideMark/>
          </w:tcPr>
          <w:p w14:paraId="42557B96" w14:textId="77777777" w:rsidR="00C57C9F" w:rsidRDefault="00C57C9F" w:rsidP="006F421D">
            <w:pPr>
              <w:pStyle w:val="3fins-table-figures"/>
              <w:jc w:val="right"/>
              <w:rPr>
                <w:rFonts w:cs="Times New Roman"/>
              </w:rPr>
            </w:pPr>
            <w:r>
              <w:rPr>
                <w:rStyle w:val="fins-bold"/>
                <w:rFonts w:cs="Times New Roman"/>
              </w:rPr>
              <w:t>2014</w:t>
            </w:r>
          </w:p>
        </w:tc>
        <w:tc>
          <w:tcPr>
            <w:tcW w:w="1372" w:type="dxa"/>
            <w:vAlign w:val="center"/>
            <w:hideMark/>
          </w:tcPr>
          <w:p w14:paraId="6472F565" w14:textId="77777777" w:rsidR="00C57C9F" w:rsidRDefault="00C57C9F" w:rsidP="006F421D">
            <w:pPr>
              <w:pStyle w:val="3fins-table-figures"/>
              <w:jc w:val="right"/>
              <w:rPr>
                <w:rFonts w:cs="Times New Roman"/>
              </w:rPr>
            </w:pPr>
            <w:r>
              <w:rPr>
                <w:rFonts w:cs="Times New Roman"/>
              </w:rPr>
              <w:t>2013</w:t>
            </w:r>
          </w:p>
        </w:tc>
      </w:tr>
      <w:tr w:rsidR="00C57C9F" w14:paraId="77DBAEAF" w14:textId="77777777" w:rsidTr="006F421D">
        <w:trPr>
          <w:divId w:val="2075661312"/>
        </w:trPr>
        <w:tc>
          <w:tcPr>
            <w:tcW w:w="6237" w:type="dxa"/>
            <w:vAlign w:val="center"/>
            <w:hideMark/>
          </w:tcPr>
          <w:p w14:paraId="23D9FBF3" w14:textId="77777777" w:rsidR="00C57C9F" w:rsidRDefault="00C57C9F">
            <w:pPr>
              <w:rPr>
                <w:rFonts w:eastAsia="Times New Roman" w:cs="Times New Roman"/>
              </w:rPr>
            </w:pPr>
          </w:p>
        </w:tc>
        <w:tc>
          <w:tcPr>
            <w:tcW w:w="1104" w:type="dxa"/>
            <w:vAlign w:val="center"/>
            <w:hideMark/>
          </w:tcPr>
          <w:p w14:paraId="7CA36E8B" w14:textId="77777777" w:rsidR="00C57C9F" w:rsidRDefault="00C57C9F" w:rsidP="006F421D">
            <w:pPr>
              <w:pStyle w:val="3fins-table-notes"/>
              <w:jc w:val="center"/>
              <w:rPr>
                <w:rFonts w:cs="Times New Roman"/>
              </w:rPr>
            </w:pPr>
            <w:r>
              <w:rPr>
                <w:rStyle w:val="fins-bold"/>
                <w:rFonts w:cs="Times New Roman"/>
              </w:rPr>
              <w:t>Notes</w:t>
            </w:r>
          </w:p>
        </w:tc>
        <w:tc>
          <w:tcPr>
            <w:tcW w:w="1388" w:type="dxa"/>
            <w:vAlign w:val="center"/>
            <w:hideMark/>
          </w:tcPr>
          <w:p w14:paraId="24D4BF76" w14:textId="77777777" w:rsidR="00C57C9F" w:rsidRDefault="00C57C9F" w:rsidP="006F421D">
            <w:pPr>
              <w:pStyle w:val="3fins-table-figures"/>
              <w:jc w:val="right"/>
              <w:rPr>
                <w:rFonts w:cs="Times New Roman"/>
              </w:rPr>
            </w:pPr>
            <w:r>
              <w:rPr>
                <w:rStyle w:val="fins-bold"/>
                <w:rFonts w:cs="Times New Roman"/>
              </w:rPr>
              <w:t>$’000</w:t>
            </w:r>
          </w:p>
        </w:tc>
        <w:tc>
          <w:tcPr>
            <w:tcW w:w="1372" w:type="dxa"/>
            <w:vAlign w:val="center"/>
            <w:hideMark/>
          </w:tcPr>
          <w:p w14:paraId="10C1DA2D" w14:textId="77777777" w:rsidR="00C57C9F" w:rsidRDefault="00C57C9F" w:rsidP="006F421D">
            <w:pPr>
              <w:pStyle w:val="3fins-table-figures"/>
              <w:jc w:val="right"/>
              <w:rPr>
                <w:rFonts w:cs="Times New Roman"/>
              </w:rPr>
            </w:pPr>
            <w:r>
              <w:rPr>
                <w:rFonts w:cs="Times New Roman"/>
              </w:rPr>
              <w:t>$’000</w:t>
            </w:r>
          </w:p>
        </w:tc>
      </w:tr>
      <w:tr w:rsidR="00C57C9F" w14:paraId="11A3C8FC" w14:textId="77777777" w:rsidTr="006F421D">
        <w:trPr>
          <w:divId w:val="2075661312"/>
        </w:trPr>
        <w:tc>
          <w:tcPr>
            <w:tcW w:w="6237" w:type="dxa"/>
            <w:vAlign w:val="center"/>
            <w:hideMark/>
          </w:tcPr>
          <w:p w14:paraId="41C97492" w14:textId="77777777" w:rsidR="00C57C9F" w:rsidRDefault="00C57C9F">
            <w:pPr>
              <w:rPr>
                <w:rFonts w:eastAsia="Times New Roman" w:cs="Times New Roman"/>
              </w:rPr>
            </w:pPr>
          </w:p>
        </w:tc>
        <w:tc>
          <w:tcPr>
            <w:tcW w:w="1104" w:type="dxa"/>
            <w:vAlign w:val="center"/>
            <w:hideMark/>
          </w:tcPr>
          <w:p w14:paraId="6889EEC3" w14:textId="77777777" w:rsidR="00C57C9F" w:rsidRDefault="00C57C9F" w:rsidP="006F421D">
            <w:pPr>
              <w:jc w:val="center"/>
              <w:rPr>
                <w:rFonts w:eastAsia="Times New Roman" w:cs="Times New Roman"/>
              </w:rPr>
            </w:pPr>
          </w:p>
        </w:tc>
        <w:tc>
          <w:tcPr>
            <w:tcW w:w="1388" w:type="dxa"/>
            <w:vAlign w:val="center"/>
            <w:hideMark/>
          </w:tcPr>
          <w:p w14:paraId="0E9993FF" w14:textId="77777777" w:rsidR="00C57C9F" w:rsidRDefault="00C57C9F" w:rsidP="006F421D">
            <w:pPr>
              <w:jc w:val="right"/>
              <w:rPr>
                <w:rFonts w:eastAsia="Times New Roman" w:cs="Times New Roman"/>
              </w:rPr>
            </w:pPr>
          </w:p>
        </w:tc>
        <w:tc>
          <w:tcPr>
            <w:tcW w:w="1372" w:type="dxa"/>
            <w:vAlign w:val="center"/>
            <w:hideMark/>
          </w:tcPr>
          <w:p w14:paraId="34CF595B" w14:textId="77777777" w:rsidR="00C57C9F" w:rsidRDefault="00C57C9F" w:rsidP="006F421D">
            <w:pPr>
              <w:jc w:val="right"/>
              <w:rPr>
                <w:rFonts w:eastAsia="Times New Roman" w:cs="Times New Roman"/>
              </w:rPr>
            </w:pPr>
          </w:p>
        </w:tc>
      </w:tr>
      <w:tr w:rsidR="00C57C9F" w14:paraId="68F7F4F0" w14:textId="77777777" w:rsidTr="006F421D">
        <w:trPr>
          <w:divId w:val="2075661312"/>
        </w:trPr>
        <w:tc>
          <w:tcPr>
            <w:tcW w:w="6237" w:type="dxa"/>
            <w:vAlign w:val="center"/>
            <w:hideMark/>
          </w:tcPr>
          <w:p w14:paraId="5362259E" w14:textId="77777777" w:rsidR="00C57C9F" w:rsidRDefault="00C57C9F">
            <w:pPr>
              <w:pStyle w:val="3fins-table"/>
              <w:rPr>
                <w:rFonts w:cs="Times New Roman"/>
              </w:rPr>
            </w:pPr>
            <w:r>
              <w:rPr>
                <w:rStyle w:val="fins-bold"/>
                <w:rFonts w:cs="Times New Roman"/>
              </w:rPr>
              <w:t>OPERATING ACTIVITIES</w:t>
            </w:r>
          </w:p>
        </w:tc>
        <w:tc>
          <w:tcPr>
            <w:tcW w:w="1104" w:type="dxa"/>
            <w:vAlign w:val="center"/>
            <w:hideMark/>
          </w:tcPr>
          <w:p w14:paraId="7749EF78" w14:textId="77777777" w:rsidR="00C57C9F" w:rsidRDefault="00C57C9F" w:rsidP="006F421D">
            <w:pPr>
              <w:jc w:val="center"/>
              <w:rPr>
                <w:rFonts w:eastAsia="Times New Roman" w:cs="Times New Roman"/>
              </w:rPr>
            </w:pPr>
          </w:p>
        </w:tc>
        <w:tc>
          <w:tcPr>
            <w:tcW w:w="1388" w:type="dxa"/>
            <w:vAlign w:val="center"/>
            <w:hideMark/>
          </w:tcPr>
          <w:p w14:paraId="6A74BCF6" w14:textId="77777777" w:rsidR="00C57C9F" w:rsidRDefault="00C57C9F" w:rsidP="006F421D">
            <w:pPr>
              <w:jc w:val="right"/>
              <w:rPr>
                <w:rFonts w:eastAsia="Times New Roman" w:cs="Times New Roman"/>
              </w:rPr>
            </w:pPr>
          </w:p>
        </w:tc>
        <w:tc>
          <w:tcPr>
            <w:tcW w:w="1372" w:type="dxa"/>
            <w:vAlign w:val="center"/>
            <w:hideMark/>
          </w:tcPr>
          <w:p w14:paraId="1B8218A3" w14:textId="77777777" w:rsidR="00C57C9F" w:rsidRDefault="00C57C9F" w:rsidP="006F421D">
            <w:pPr>
              <w:jc w:val="right"/>
              <w:rPr>
                <w:rFonts w:eastAsia="Times New Roman" w:cs="Times New Roman"/>
              </w:rPr>
            </w:pPr>
          </w:p>
        </w:tc>
      </w:tr>
      <w:tr w:rsidR="00C57C9F" w14:paraId="65D81498" w14:textId="77777777" w:rsidTr="006F421D">
        <w:trPr>
          <w:divId w:val="2075661312"/>
        </w:trPr>
        <w:tc>
          <w:tcPr>
            <w:tcW w:w="6237" w:type="dxa"/>
            <w:vAlign w:val="center"/>
            <w:hideMark/>
          </w:tcPr>
          <w:p w14:paraId="0B7C7F38" w14:textId="77777777" w:rsidR="00C57C9F" w:rsidRDefault="00C57C9F">
            <w:pPr>
              <w:pStyle w:val="3fins-table"/>
              <w:rPr>
                <w:rFonts w:cs="Times New Roman"/>
              </w:rPr>
            </w:pPr>
            <w:r>
              <w:rPr>
                <w:rStyle w:val="fins-bold"/>
                <w:rFonts w:cs="Times New Roman"/>
              </w:rPr>
              <w:t>Cash received</w:t>
            </w:r>
          </w:p>
        </w:tc>
        <w:tc>
          <w:tcPr>
            <w:tcW w:w="1104" w:type="dxa"/>
            <w:vAlign w:val="center"/>
            <w:hideMark/>
          </w:tcPr>
          <w:p w14:paraId="42294DA0" w14:textId="77777777" w:rsidR="00C57C9F" w:rsidRDefault="00C57C9F" w:rsidP="006F421D">
            <w:pPr>
              <w:jc w:val="center"/>
              <w:rPr>
                <w:rFonts w:eastAsia="Times New Roman" w:cs="Times New Roman"/>
              </w:rPr>
            </w:pPr>
          </w:p>
        </w:tc>
        <w:tc>
          <w:tcPr>
            <w:tcW w:w="1388" w:type="dxa"/>
            <w:vAlign w:val="center"/>
            <w:hideMark/>
          </w:tcPr>
          <w:p w14:paraId="4593DB80" w14:textId="77777777" w:rsidR="00C57C9F" w:rsidRDefault="00C57C9F" w:rsidP="006F421D">
            <w:pPr>
              <w:jc w:val="right"/>
              <w:rPr>
                <w:rFonts w:eastAsia="Times New Roman" w:cs="Times New Roman"/>
              </w:rPr>
            </w:pPr>
          </w:p>
        </w:tc>
        <w:tc>
          <w:tcPr>
            <w:tcW w:w="1372" w:type="dxa"/>
            <w:vAlign w:val="center"/>
            <w:hideMark/>
          </w:tcPr>
          <w:p w14:paraId="54589850" w14:textId="77777777" w:rsidR="00C57C9F" w:rsidRDefault="00C57C9F" w:rsidP="006F421D">
            <w:pPr>
              <w:jc w:val="right"/>
              <w:rPr>
                <w:rFonts w:eastAsia="Times New Roman" w:cs="Times New Roman"/>
              </w:rPr>
            </w:pPr>
          </w:p>
        </w:tc>
      </w:tr>
      <w:tr w:rsidR="00C57C9F" w14:paraId="17B141C1" w14:textId="77777777" w:rsidTr="006F421D">
        <w:trPr>
          <w:divId w:val="2075661312"/>
        </w:trPr>
        <w:tc>
          <w:tcPr>
            <w:tcW w:w="6237" w:type="dxa"/>
            <w:vAlign w:val="center"/>
            <w:hideMark/>
          </w:tcPr>
          <w:p w14:paraId="2D9AFBC3" w14:textId="77777777" w:rsidR="00C57C9F" w:rsidRDefault="00C57C9F">
            <w:pPr>
              <w:pStyle w:val="3fins-table"/>
              <w:rPr>
                <w:rFonts w:cs="Times New Roman"/>
              </w:rPr>
            </w:pPr>
            <w:r>
              <w:rPr>
                <w:rFonts w:cs="Times New Roman"/>
              </w:rPr>
              <w:t>Receipts from Government</w:t>
            </w:r>
          </w:p>
        </w:tc>
        <w:tc>
          <w:tcPr>
            <w:tcW w:w="1104" w:type="dxa"/>
            <w:vAlign w:val="center"/>
            <w:hideMark/>
          </w:tcPr>
          <w:p w14:paraId="2DB93AF0" w14:textId="77777777" w:rsidR="00C57C9F" w:rsidRDefault="00C57C9F" w:rsidP="006F421D">
            <w:pPr>
              <w:jc w:val="center"/>
              <w:rPr>
                <w:rFonts w:eastAsia="Times New Roman" w:cs="Times New Roman"/>
              </w:rPr>
            </w:pPr>
          </w:p>
        </w:tc>
        <w:tc>
          <w:tcPr>
            <w:tcW w:w="1388" w:type="dxa"/>
            <w:vAlign w:val="center"/>
            <w:hideMark/>
          </w:tcPr>
          <w:p w14:paraId="3616CD86" w14:textId="77777777" w:rsidR="00C57C9F" w:rsidRDefault="00C57C9F" w:rsidP="006F421D">
            <w:pPr>
              <w:pStyle w:val="3fins-table-figures"/>
              <w:jc w:val="right"/>
              <w:rPr>
                <w:rFonts w:cs="Times New Roman"/>
              </w:rPr>
            </w:pPr>
            <w:r>
              <w:rPr>
                <w:rStyle w:val="fins-bold"/>
                <w:rFonts w:cs="Times New Roman"/>
              </w:rPr>
              <w:t xml:space="preserve">6,335 </w:t>
            </w:r>
          </w:p>
        </w:tc>
        <w:tc>
          <w:tcPr>
            <w:tcW w:w="1372" w:type="dxa"/>
            <w:vAlign w:val="center"/>
            <w:hideMark/>
          </w:tcPr>
          <w:p w14:paraId="23D75A55" w14:textId="77777777" w:rsidR="00C57C9F" w:rsidRDefault="00C57C9F" w:rsidP="006F421D">
            <w:pPr>
              <w:pStyle w:val="3fins-table-figures"/>
              <w:jc w:val="right"/>
              <w:rPr>
                <w:rFonts w:cs="Times New Roman"/>
              </w:rPr>
            </w:pPr>
            <w:r>
              <w:rPr>
                <w:rFonts w:cs="Times New Roman"/>
              </w:rPr>
              <w:t>5,665</w:t>
            </w:r>
          </w:p>
        </w:tc>
      </w:tr>
      <w:tr w:rsidR="00C57C9F" w14:paraId="55CD190C" w14:textId="77777777" w:rsidTr="006F421D">
        <w:trPr>
          <w:divId w:val="2075661312"/>
        </w:trPr>
        <w:tc>
          <w:tcPr>
            <w:tcW w:w="6237" w:type="dxa"/>
            <w:vAlign w:val="center"/>
            <w:hideMark/>
          </w:tcPr>
          <w:p w14:paraId="0634388C" w14:textId="77777777" w:rsidR="00C57C9F" w:rsidRDefault="00C57C9F">
            <w:pPr>
              <w:pStyle w:val="3fins-table"/>
              <w:rPr>
                <w:rFonts w:cs="Times New Roman"/>
              </w:rPr>
            </w:pPr>
            <w:r>
              <w:rPr>
                <w:rFonts w:cs="Times New Roman"/>
              </w:rPr>
              <w:t>External contributions</w:t>
            </w:r>
          </w:p>
        </w:tc>
        <w:tc>
          <w:tcPr>
            <w:tcW w:w="1104" w:type="dxa"/>
            <w:vAlign w:val="center"/>
            <w:hideMark/>
          </w:tcPr>
          <w:p w14:paraId="1C6A0583" w14:textId="77777777" w:rsidR="00C57C9F" w:rsidRDefault="00C57C9F" w:rsidP="006F421D">
            <w:pPr>
              <w:jc w:val="center"/>
              <w:rPr>
                <w:rFonts w:eastAsia="Times New Roman" w:cs="Times New Roman"/>
              </w:rPr>
            </w:pPr>
          </w:p>
        </w:tc>
        <w:tc>
          <w:tcPr>
            <w:tcW w:w="1388" w:type="dxa"/>
            <w:vAlign w:val="center"/>
            <w:hideMark/>
          </w:tcPr>
          <w:p w14:paraId="2A624457" w14:textId="77777777" w:rsidR="00C57C9F" w:rsidRDefault="00C57C9F" w:rsidP="006F421D">
            <w:pPr>
              <w:pStyle w:val="3fins-table-figures"/>
              <w:jc w:val="right"/>
              <w:rPr>
                <w:rFonts w:cs="Times New Roman"/>
              </w:rPr>
            </w:pPr>
            <w:r>
              <w:rPr>
                <w:rStyle w:val="fins-bold"/>
                <w:rFonts w:cs="Times New Roman"/>
              </w:rPr>
              <w:t xml:space="preserve">6,335 </w:t>
            </w:r>
          </w:p>
        </w:tc>
        <w:tc>
          <w:tcPr>
            <w:tcW w:w="1372" w:type="dxa"/>
            <w:vAlign w:val="center"/>
            <w:hideMark/>
          </w:tcPr>
          <w:p w14:paraId="16E4779A" w14:textId="77777777" w:rsidR="00C57C9F" w:rsidRDefault="00C57C9F" w:rsidP="006F421D">
            <w:pPr>
              <w:pStyle w:val="3fins-table-figures"/>
              <w:jc w:val="right"/>
              <w:rPr>
                <w:rFonts w:cs="Times New Roman"/>
              </w:rPr>
            </w:pPr>
            <w:r>
              <w:rPr>
                <w:rFonts w:cs="Times New Roman"/>
              </w:rPr>
              <w:t>5,665</w:t>
            </w:r>
          </w:p>
        </w:tc>
      </w:tr>
      <w:tr w:rsidR="00C57C9F" w14:paraId="53F970BC" w14:textId="77777777" w:rsidTr="006F421D">
        <w:trPr>
          <w:divId w:val="2075661312"/>
        </w:trPr>
        <w:tc>
          <w:tcPr>
            <w:tcW w:w="6237" w:type="dxa"/>
            <w:vAlign w:val="center"/>
            <w:hideMark/>
          </w:tcPr>
          <w:p w14:paraId="3846D3DA" w14:textId="77777777" w:rsidR="00C57C9F" w:rsidRDefault="00C57C9F">
            <w:pPr>
              <w:pStyle w:val="3fins-table"/>
              <w:rPr>
                <w:rFonts w:cs="Times New Roman"/>
              </w:rPr>
            </w:pPr>
            <w:r>
              <w:rPr>
                <w:rFonts w:cs="Times New Roman"/>
              </w:rPr>
              <w:t>Rendering of services</w:t>
            </w:r>
          </w:p>
        </w:tc>
        <w:tc>
          <w:tcPr>
            <w:tcW w:w="1104" w:type="dxa"/>
            <w:vAlign w:val="center"/>
            <w:hideMark/>
          </w:tcPr>
          <w:p w14:paraId="103A1AA7" w14:textId="77777777" w:rsidR="00C57C9F" w:rsidRDefault="00C57C9F" w:rsidP="006F421D">
            <w:pPr>
              <w:jc w:val="center"/>
              <w:rPr>
                <w:rFonts w:eastAsia="Times New Roman" w:cs="Times New Roman"/>
              </w:rPr>
            </w:pPr>
          </w:p>
        </w:tc>
        <w:tc>
          <w:tcPr>
            <w:tcW w:w="1388" w:type="dxa"/>
            <w:vAlign w:val="center"/>
            <w:hideMark/>
          </w:tcPr>
          <w:p w14:paraId="201D44F2" w14:textId="77777777" w:rsidR="00C57C9F" w:rsidRDefault="00C57C9F" w:rsidP="006F421D">
            <w:pPr>
              <w:pStyle w:val="3fins-table-figures"/>
              <w:jc w:val="right"/>
              <w:rPr>
                <w:rFonts w:cs="Times New Roman"/>
              </w:rPr>
            </w:pPr>
            <w:r>
              <w:rPr>
                <w:rStyle w:val="fins-bold"/>
                <w:rFonts w:cs="Times New Roman"/>
              </w:rPr>
              <w:t xml:space="preserve">10,796 </w:t>
            </w:r>
          </w:p>
        </w:tc>
        <w:tc>
          <w:tcPr>
            <w:tcW w:w="1372" w:type="dxa"/>
            <w:vAlign w:val="center"/>
            <w:hideMark/>
          </w:tcPr>
          <w:p w14:paraId="1DEACE4F" w14:textId="77777777" w:rsidR="00C57C9F" w:rsidRDefault="00C57C9F" w:rsidP="006F421D">
            <w:pPr>
              <w:pStyle w:val="3fins-table-figures"/>
              <w:jc w:val="right"/>
              <w:rPr>
                <w:rFonts w:cs="Times New Roman"/>
              </w:rPr>
            </w:pPr>
            <w:r>
              <w:rPr>
                <w:rFonts w:cs="Times New Roman"/>
              </w:rPr>
              <w:t>5,597</w:t>
            </w:r>
          </w:p>
        </w:tc>
      </w:tr>
      <w:tr w:rsidR="00C57C9F" w14:paraId="09B8CCFE" w14:textId="77777777" w:rsidTr="006F421D">
        <w:trPr>
          <w:divId w:val="2075661312"/>
        </w:trPr>
        <w:tc>
          <w:tcPr>
            <w:tcW w:w="6237" w:type="dxa"/>
            <w:vAlign w:val="center"/>
            <w:hideMark/>
          </w:tcPr>
          <w:p w14:paraId="2366B371" w14:textId="77777777" w:rsidR="00C57C9F" w:rsidRDefault="00C57C9F">
            <w:pPr>
              <w:pStyle w:val="3fins-table"/>
              <w:rPr>
                <w:rFonts w:cs="Times New Roman"/>
              </w:rPr>
            </w:pPr>
            <w:r>
              <w:rPr>
                <w:rFonts w:cs="Times New Roman"/>
              </w:rPr>
              <w:t>Interest</w:t>
            </w:r>
          </w:p>
        </w:tc>
        <w:tc>
          <w:tcPr>
            <w:tcW w:w="1104" w:type="dxa"/>
            <w:vAlign w:val="center"/>
            <w:hideMark/>
          </w:tcPr>
          <w:p w14:paraId="35FEB30B" w14:textId="77777777" w:rsidR="00C57C9F" w:rsidRDefault="00C57C9F" w:rsidP="006F421D">
            <w:pPr>
              <w:jc w:val="center"/>
              <w:rPr>
                <w:rFonts w:eastAsia="Times New Roman" w:cs="Times New Roman"/>
              </w:rPr>
            </w:pPr>
          </w:p>
        </w:tc>
        <w:tc>
          <w:tcPr>
            <w:tcW w:w="1388" w:type="dxa"/>
            <w:vAlign w:val="center"/>
            <w:hideMark/>
          </w:tcPr>
          <w:p w14:paraId="0727814B" w14:textId="77777777" w:rsidR="00C57C9F" w:rsidRDefault="00C57C9F" w:rsidP="006F421D">
            <w:pPr>
              <w:pStyle w:val="3fins-table-figures"/>
              <w:jc w:val="right"/>
              <w:rPr>
                <w:rFonts w:cs="Times New Roman"/>
              </w:rPr>
            </w:pPr>
            <w:r>
              <w:rPr>
                <w:rStyle w:val="fins-bold"/>
                <w:rFonts w:cs="Times New Roman"/>
              </w:rPr>
              <w:t xml:space="preserve">301 </w:t>
            </w:r>
          </w:p>
        </w:tc>
        <w:tc>
          <w:tcPr>
            <w:tcW w:w="1372" w:type="dxa"/>
            <w:vAlign w:val="center"/>
            <w:hideMark/>
          </w:tcPr>
          <w:p w14:paraId="1197DAFD" w14:textId="77777777" w:rsidR="00C57C9F" w:rsidRDefault="00C57C9F" w:rsidP="006F421D">
            <w:pPr>
              <w:pStyle w:val="3fins-table-figures"/>
              <w:jc w:val="right"/>
              <w:rPr>
                <w:rFonts w:cs="Times New Roman"/>
              </w:rPr>
            </w:pPr>
            <w:r>
              <w:rPr>
                <w:rFonts w:cs="Times New Roman"/>
              </w:rPr>
              <w:t>449</w:t>
            </w:r>
          </w:p>
        </w:tc>
      </w:tr>
      <w:tr w:rsidR="00C57C9F" w14:paraId="21424AA7" w14:textId="77777777" w:rsidTr="006F421D">
        <w:trPr>
          <w:divId w:val="2075661312"/>
        </w:trPr>
        <w:tc>
          <w:tcPr>
            <w:tcW w:w="6237" w:type="dxa"/>
            <w:vAlign w:val="center"/>
            <w:hideMark/>
          </w:tcPr>
          <w:p w14:paraId="119CDEC7" w14:textId="77777777" w:rsidR="00C57C9F" w:rsidRDefault="00C57C9F">
            <w:pPr>
              <w:pStyle w:val="3fins-table"/>
              <w:rPr>
                <w:rFonts w:cs="Times New Roman"/>
              </w:rPr>
            </w:pPr>
            <w:r>
              <w:rPr>
                <w:rFonts w:cs="Times New Roman"/>
              </w:rPr>
              <w:t>Net GST received</w:t>
            </w:r>
          </w:p>
        </w:tc>
        <w:tc>
          <w:tcPr>
            <w:tcW w:w="1104" w:type="dxa"/>
            <w:vAlign w:val="center"/>
            <w:hideMark/>
          </w:tcPr>
          <w:p w14:paraId="4A1B3C1A" w14:textId="77777777" w:rsidR="00C57C9F" w:rsidRDefault="00C57C9F" w:rsidP="006F421D">
            <w:pPr>
              <w:jc w:val="center"/>
              <w:rPr>
                <w:rFonts w:eastAsia="Times New Roman" w:cs="Times New Roman"/>
              </w:rPr>
            </w:pPr>
          </w:p>
        </w:tc>
        <w:tc>
          <w:tcPr>
            <w:tcW w:w="1388" w:type="dxa"/>
            <w:vAlign w:val="center"/>
            <w:hideMark/>
          </w:tcPr>
          <w:p w14:paraId="11DD9A0C" w14:textId="77777777" w:rsidR="00C57C9F" w:rsidRDefault="00C57C9F" w:rsidP="006F421D">
            <w:pPr>
              <w:pStyle w:val="3fins-table-figures"/>
              <w:jc w:val="right"/>
              <w:rPr>
                <w:rFonts w:cs="Times New Roman"/>
              </w:rPr>
            </w:pPr>
            <w:r>
              <w:rPr>
                <w:rStyle w:val="fins-bold"/>
                <w:rFonts w:cs="Times New Roman"/>
              </w:rPr>
              <w:t xml:space="preserve">529 </w:t>
            </w:r>
          </w:p>
        </w:tc>
        <w:tc>
          <w:tcPr>
            <w:tcW w:w="1372" w:type="dxa"/>
            <w:vAlign w:val="center"/>
            <w:hideMark/>
          </w:tcPr>
          <w:p w14:paraId="7D6B87B6" w14:textId="77777777" w:rsidR="00C57C9F" w:rsidRDefault="00C57C9F" w:rsidP="006F421D">
            <w:pPr>
              <w:pStyle w:val="3fins-table-figures"/>
              <w:jc w:val="right"/>
              <w:rPr>
                <w:rFonts w:cs="Times New Roman"/>
              </w:rPr>
            </w:pPr>
            <w:r>
              <w:rPr>
                <w:rFonts w:cs="Times New Roman"/>
              </w:rPr>
              <w:t>1,226</w:t>
            </w:r>
          </w:p>
        </w:tc>
      </w:tr>
      <w:tr w:rsidR="00C57C9F" w14:paraId="54E9E1FC" w14:textId="77777777" w:rsidTr="006F421D">
        <w:trPr>
          <w:divId w:val="2075661312"/>
        </w:trPr>
        <w:tc>
          <w:tcPr>
            <w:tcW w:w="6237" w:type="dxa"/>
            <w:vAlign w:val="center"/>
            <w:hideMark/>
          </w:tcPr>
          <w:p w14:paraId="0736B420" w14:textId="77777777" w:rsidR="00C57C9F" w:rsidRDefault="00C57C9F">
            <w:pPr>
              <w:pStyle w:val="3fins-table"/>
              <w:rPr>
                <w:rFonts w:cs="Times New Roman"/>
              </w:rPr>
            </w:pPr>
            <w:r>
              <w:rPr>
                <w:rFonts w:cs="Times New Roman"/>
              </w:rPr>
              <w:t>Lease incentive received</w:t>
            </w:r>
          </w:p>
        </w:tc>
        <w:tc>
          <w:tcPr>
            <w:tcW w:w="1104" w:type="dxa"/>
            <w:vAlign w:val="center"/>
            <w:hideMark/>
          </w:tcPr>
          <w:p w14:paraId="58A8DFBA" w14:textId="77777777" w:rsidR="00C57C9F" w:rsidRDefault="00C57C9F" w:rsidP="006F421D">
            <w:pPr>
              <w:jc w:val="center"/>
              <w:rPr>
                <w:rFonts w:eastAsia="Times New Roman" w:cs="Times New Roman"/>
              </w:rPr>
            </w:pPr>
          </w:p>
        </w:tc>
        <w:tc>
          <w:tcPr>
            <w:tcW w:w="1388" w:type="dxa"/>
            <w:vAlign w:val="center"/>
            <w:hideMark/>
          </w:tcPr>
          <w:p w14:paraId="619BD3EF" w14:textId="77777777" w:rsidR="00C57C9F" w:rsidRDefault="00C57C9F" w:rsidP="006F421D">
            <w:pPr>
              <w:pStyle w:val="3fins-table-figures"/>
              <w:jc w:val="right"/>
              <w:rPr>
                <w:rFonts w:cs="Times New Roman"/>
              </w:rPr>
            </w:pPr>
            <w:r>
              <w:rPr>
                <w:rStyle w:val="fins-bold"/>
                <w:rFonts w:cs="Times New Roman"/>
              </w:rPr>
              <w:t>1,180</w:t>
            </w:r>
          </w:p>
        </w:tc>
        <w:tc>
          <w:tcPr>
            <w:tcW w:w="1372" w:type="dxa"/>
            <w:vAlign w:val="center"/>
            <w:hideMark/>
          </w:tcPr>
          <w:p w14:paraId="321E7136" w14:textId="77777777" w:rsidR="00C57C9F" w:rsidRDefault="00C57C9F" w:rsidP="006F421D">
            <w:pPr>
              <w:pStyle w:val="3fins-table-figures"/>
              <w:jc w:val="right"/>
              <w:rPr>
                <w:rFonts w:cs="Times New Roman"/>
              </w:rPr>
            </w:pPr>
            <w:r>
              <w:rPr>
                <w:rStyle w:val="fins-bold"/>
                <w:rFonts w:cs="Times New Roman"/>
              </w:rPr>
              <w:t>–</w:t>
            </w:r>
          </w:p>
        </w:tc>
      </w:tr>
      <w:tr w:rsidR="00C57C9F" w14:paraId="019522E1" w14:textId="77777777" w:rsidTr="006F421D">
        <w:trPr>
          <w:divId w:val="2075661312"/>
        </w:trPr>
        <w:tc>
          <w:tcPr>
            <w:tcW w:w="6237" w:type="dxa"/>
            <w:vAlign w:val="center"/>
            <w:hideMark/>
          </w:tcPr>
          <w:p w14:paraId="2B8F5152" w14:textId="77777777" w:rsidR="00C57C9F" w:rsidRDefault="00C57C9F">
            <w:pPr>
              <w:pStyle w:val="3fins-table"/>
              <w:rPr>
                <w:rFonts w:cs="Times New Roman"/>
              </w:rPr>
            </w:pPr>
            <w:r>
              <w:rPr>
                <w:rStyle w:val="fins-bold"/>
                <w:rFonts w:cs="Times New Roman"/>
              </w:rPr>
              <w:t>Total cash received</w:t>
            </w:r>
          </w:p>
        </w:tc>
        <w:tc>
          <w:tcPr>
            <w:tcW w:w="1104" w:type="dxa"/>
            <w:vAlign w:val="center"/>
            <w:hideMark/>
          </w:tcPr>
          <w:p w14:paraId="342F8949" w14:textId="77777777" w:rsidR="00C57C9F" w:rsidRDefault="00C57C9F" w:rsidP="006F421D">
            <w:pPr>
              <w:jc w:val="center"/>
              <w:rPr>
                <w:rFonts w:eastAsia="Times New Roman" w:cs="Times New Roman"/>
              </w:rPr>
            </w:pPr>
          </w:p>
        </w:tc>
        <w:tc>
          <w:tcPr>
            <w:tcW w:w="1388" w:type="dxa"/>
            <w:tcBorders>
              <w:top w:val="single" w:sz="4" w:space="0" w:color="0D0D0D" w:themeColor="text1" w:themeTint="F2"/>
              <w:bottom w:val="single" w:sz="4" w:space="0" w:color="0D0D0D" w:themeColor="text1" w:themeTint="F2"/>
            </w:tcBorders>
            <w:vAlign w:val="center"/>
            <w:hideMark/>
          </w:tcPr>
          <w:p w14:paraId="1EB28ED6" w14:textId="77777777" w:rsidR="00C57C9F" w:rsidRDefault="00C57C9F" w:rsidP="006F421D">
            <w:pPr>
              <w:pStyle w:val="3fins-table-figures"/>
              <w:jc w:val="right"/>
              <w:rPr>
                <w:rFonts w:cs="Times New Roman"/>
              </w:rPr>
            </w:pPr>
            <w:r>
              <w:rPr>
                <w:rStyle w:val="fins-bold"/>
                <w:rFonts w:cs="Times New Roman"/>
              </w:rPr>
              <w:t xml:space="preserve">25,476 </w:t>
            </w:r>
          </w:p>
        </w:tc>
        <w:tc>
          <w:tcPr>
            <w:tcW w:w="1372" w:type="dxa"/>
            <w:tcBorders>
              <w:top w:val="single" w:sz="4" w:space="0" w:color="0D0D0D" w:themeColor="text1" w:themeTint="F2"/>
              <w:bottom w:val="single" w:sz="4" w:space="0" w:color="0D0D0D" w:themeColor="text1" w:themeTint="F2"/>
            </w:tcBorders>
            <w:vAlign w:val="center"/>
            <w:hideMark/>
          </w:tcPr>
          <w:p w14:paraId="431E6F00" w14:textId="77777777" w:rsidR="00C57C9F" w:rsidRDefault="00C57C9F" w:rsidP="006F421D">
            <w:pPr>
              <w:pStyle w:val="3fins-table-figures"/>
              <w:jc w:val="right"/>
              <w:rPr>
                <w:rFonts w:cs="Times New Roman"/>
              </w:rPr>
            </w:pPr>
            <w:r>
              <w:rPr>
                <w:rFonts w:cs="Times New Roman"/>
              </w:rPr>
              <w:t>18,602</w:t>
            </w:r>
          </w:p>
        </w:tc>
      </w:tr>
      <w:tr w:rsidR="00C57C9F" w14:paraId="3D7AE2C3" w14:textId="77777777" w:rsidTr="006F421D">
        <w:trPr>
          <w:divId w:val="2075661312"/>
        </w:trPr>
        <w:tc>
          <w:tcPr>
            <w:tcW w:w="6237" w:type="dxa"/>
            <w:vAlign w:val="center"/>
            <w:hideMark/>
          </w:tcPr>
          <w:p w14:paraId="5167B6FA" w14:textId="77777777" w:rsidR="00C57C9F" w:rsidRDefault="00C57C9F">
            <w:pPr>
              <w:rPr>
                <w:rFonts w:eastAsia="Times New Roman" w:cs="Times New Roman"/>
              </w:rPr>
            </w:pPr>
          </w:p>
        </w:tc>
        <w:tc>
          <w:tcPr>
            <w:tcW w:w="1104" w:type="dxa"/>
            <w:vAlign w:val="center"/>
            <w:hideMark/>
          </w:tcPr>
          <w:p w14:paraId="12E3793A" w14:textId="77777777" w:rsidR="00C57C9F" w:rsidRDefault="00C57C9F" w:rsidP="006F421D">
            <w:pPr>
              <w:jc w:val="center"/>
              <w:rPr>
                <w:rFonts w:eastAsia="Times New Roman" w:cs="Times New Roman"/>
              </w:rPr>
            </w:pPr>
          </w:p>
        </w:tc>
        <w:tc>
          <w:tcPr>
            <w:tcW w:w="1388" w:type="dxa"/>
            <w:vAlign w:val="center"/>
            <w:hideMark/>
          </w:tcPr>
          <w:p w14:paraId="3BAE744C" w14:textId="77777777" w:rsidR="00C57C9F" w:rsidRDefault="00C57C9F" w:rsidP="006F421D">
            <w:pPr>
              <w:jc w:val="right"/>
              <w:rPr>
                <w:rFonts w:eastAsia="Times New Roman" w:cs="Times New Roman"/>
              </w:rPr>
            </w:pPr>
          </w:p>
        </w:tc>
        <w:tc>
          <w:tcPr>
            <w:tcW w:w="1372" w:type="dxa"/>
            <w:vAlign w:val="center"/>
            <w:hideMark/>
          </w:tcPr>
          <w:p w14:paraId="2EB0535D" w14:textId="77777777" w:rsidR="00C57C9F" w:rsidRDefault="00C57C9F" w:rsidP="006F421D">
            <w:pPr>
              <w:jc w:val="right"/>
              <w:rPr>
                <w:rFonts w:eastAsia="Times New Roman" w:cs="Times New Roman"/>
              </w:rPr>
            </w:pPr>
          </w:p>
        </w:tc>
      </w:tr>
      <w:tr w:rsidR="00C57C9F" w14:paraId="6BBBDF70" w14:textId="77777777" w:rsidTr="006F421D">
        <w:trPr>
          <w:divId w:val="2075661312"/>
        </w:trPr>
        <w:tc>
          <w:tcPr>
            <w:tcW w:w="6237" w:type="dxa"/>
            <w:vAlign w:val="center"/>
            <w:hideMark/>
          </w:tcPr>
          <w:p w14:paraId="2E5A33B9" w14:textId="77777777" w:rsidR="00C57C9F" w:rsidRDefault="00C57C9F">
            <w:pPr>
              <w:pStyle w:val="3fins-table"/>
              <w:rPr>
                <w:rFonts w:cs="Times New Roman"/>
              </w:rPr>
            </w:pPr>
            <w:r>
              <w:rPr>
                <w:rStyle w:val="fins-bold"/>
                <w:rFonts w:cs="Times New Roman"/>
              </w:rPr>
              <w:t>Cash used</w:t>
            </w:r>
          </w:p>
        </w:tc>
        <w:tc>
          <w:tcPr>
            <w:tcW w:w="1104" w:type="dxa"/>
            <w:vAlign w:val="center"/>
            <w:hideMark/>
          </w:tcPr>
          <w:p w14:paraId="557F14BA" w14:textId="77777777" w:rsidR="00C57C9F" w:rsidRDefault="00C57C9F" w:rsidP="006F421D">
            <w:pPr>
              <w:jc w:val="center"/>
              <w:rPr>
                <w:rFonts w:eastAsia="Times New Roman" w:cs="Times New Roman"/>
              </w:rPr>
            </w:pPr>
          </w:p>
        </w:tc>
        <w:tc>
          <w:tcPr>
            <w:tcW w:w="1388" w:type="dxa"/>
            <w:vAlign w:val="center"/>
            <w:hideMark/>
          </w:tcPr>
          <w:p w14:paraId="074AF938" w14:textId="77777777" w:rsidR="00C57C9F" w:rsidRDefault="00C57C9F" w:rsidP="006F421D">
            <w:pPr>
              <w:jc w:val="right"/>
              <w:rPr>
                <w:rFonts w:eastAsia="Times New Roman" w:cs="Times New Roman"/>
              </w:rPr>
            </w:pPr>
          </w:p>
        </w:tc>
        <w:tc>
          <w:tcPr>
            <w:tcW w:w="1372" w:type="dxa"/>
            <w:vAlign w:val="center"/>
            <w:hideMark/>
          </w:tcPr>
          <w:p w14:paraId="62477E0F" w14:textId="77777777" w:rsidR="00C57C9F" w:rsidRDefault="00C57C9F" w:rsidP="006F421D">
            <w:pPr>
              <w:jc w:val="right"/>
              <w:rPr>
                <w:rFonts w:eastAsia="Times New Roman" w:cs="Times New Roman"/>
              </w:rPr>
            </w:pPr>
          </w:p>
        </w:tc>
      </w:tr>
      <w:tr w:rsidR="00C57C9F" w14:paraId="315C8A54" w14:textId="77777777" w:rsidTr="006F421D">
        <w:trPr>
          <w:divId w:val="2075661312"/>
        </w:trPr>
        <w:tc>
          <w:tcPr>
            <w:tcW w:w="6237" w:type="dxa"/>
            <w:vAlign w:val="center"/>
            <w:hideMark/>
          </w:tcPr>
          <w:p w14:paraId="2177AB4C" w14:textId="77777777" w:rsidR="00C57C9F" w:rsidRDefault="00C57C9F">
            <w:pPr>
              <w:pStyle w:val="3fins-table"/>
              <w:rPr>
                <w:rFonts w:cs="Times New Roman"/>
              </w:rPr>
            </w:pPr>
            <w:r>
              <w:rPr>
                <w:rFonts w:cs="Times New Roman"/>
              </w:rPr>
              <w:t>Employees</w:t>
            </w:r>
          </w:p>
        </w:tc>
        <w:tc>
          <w:tcPr>
            <w:tcW w:w="1104" w:type="dxa"/>
            <w:vAlign w:val="center"/>
            <w:hideMark/>
          </w:tcPr>
          <w:p w14:paraId="06F353C3" w14:textId="77777777" w:rsidR="00C57C9F" w:rsidRDefault="00C57C9F" w:rsidP="006F421D">
            <w:pPr>
              <w:jc w:val="center"/>
              <w:rPr>
                <w:rFonts w:eastAsia="Times New Roman" w:cs="Times New Roman"/>
              </w:rPr>
            </w:pPr>
          </w:p>
        </w:tc>
        <w:tc>
          <w:tcPr>
            <w:tcW w:w="1388" w:type="dxa"/>
            <w:vAlign w:val="center"/>
            <w:hideMark/>
          </w:tcPr>
          <w:p w14:paraId="3FE10874" w14:textId="77777777" w:rsidR="00C57C9F" w:rsidRDefault="00C57C9F" w:rsidP="006F421D">
            <w:pPr>
              <w:pStyle w:val="3fins-table-figures"/>
              <w:jc w:val="right"/>
              <w:rPr>
                <w:rFonts w:cs="Times New Roman"/>
              </w:rPr>
            </w:pPr>
            <w:r>
              <w:rPr>
                <w:rStyle w:val="fins-bold"/>
                <w:rFonts w:cs="Times New Roman"/>
              </w:rPr>
              <w:t>(8,250)</w:t>
            </w:r>
          </w:p>
        </w:tc>
        <w:tc>
          <w:tcPr>
            <w:tcW w:w="1372" w:type="dxa"/>
            <w:vAlign w:val="center"/>
            <w:hideMark/>
          </w:tcPr>
          <w:p w14:paraId="370E0EDA" w14:textId="77777777" w:rsidR="00C57C9F" w:rsidRDefault="00C57C9F" w:rsidP="006F421D">
            <w:pPr>
              <w:pStyle w:val="3fins-table-figures"/>
              <w:jc w:val="right"/>
              <w:rPr>
                <w:rFonts w:cs="Times New Roman"/>
              </w:rPr>
            </w:pPr>
            <w:r>
              <w:rPr>
                <w:rFonts w:cs="Times New Roman"/>
              </w:rPr>
              <w:t>(10,320)</w:t>
            </w:r>
          </w:p>
        </w:tc>
      </w:tr>
      <w:tr w:rsidR="00C57C9F" w14:paraId="29FBD034" w14:textId="77777777" w:rsidTr="006F421D">
        <w:trPr>
          <w:divId w:val="2075661312"/>
        </w:trPr>
        <w:tc>
          <w:tcPr>
            <w:tcW w:w="6237" w:type="dxa"/>
            <w:vAlign w:val="center"/>
            <w:hideMark/>
          </w:tcPr>
          <w:p w14:paraId="463376C8" w14:textId="77777777" w:rsidR="00C57C9F" w:rsidRDefault="00C57C9F">
            <w:pPr>
              <w:pStyle w:val="3fins-table"/>
              <w:rPr>
                <w:rFonts w:cs="Times New Roman"/>
              </w:rPr>
            </w:pPr>
            <w:r>
              <w:rPr>
                <w:rFonts w:cs="Times New Roman"/>
              </w:rPr>
              <w:t>Suppliers</w:t>
            </w:r>
          </w:p>
        </w:tc>
        <w:tc>
          <w:tcPr>
            <w:tcW w:w="1104" w:type="dxa"/>
            <w:vAlign w:val="center"/>
            <w:hideMark/>
          </w:tcPr>
          <w:p w14:paraId="3F60AE53" w14:textId="77777777" w:rsidR="00C57C9F" w:rsidRDefault="00C57C9F" w:rsidP="006F421D">
            <w:pPr>
              <w:jc w:val="center"/>
              <w:rPr>
                <w:rFonts w:eastAsia="Times New Roman" w:cs="Times New Roman"/>
              </w:rPr>
            </w:pPr>
          </w:p>
        </w:tc>
        <w:tc>
          <w:tcPr>
            <w:tcW w:w="1388" w:type="dxa"/>
            <w:vAlign w:val="center"/>
            <w:hideMark/>
          </w:tcPr>
          <w:p w14:paraId="7B0C6D8E" w14:textId="77777777" w:rsidR="00C57C9F" w:rsidRDefault="00C57C9F" w:rsidP="006F421D">
            <w:pPr>
              <w:pStyle w:val="3fins-table-figures"/>
              <w:jc w:val="right"/>
              <w:rPr>
                <w:rFonts w:cs="Times New Roman"/>
              </w:rPr>
            </w:pPr>
            <w:r>
              <w:rPr>
                <w:rStyle w:val="fins-bold"/>
                <w:rFonts w:cs="Times New Roman"/>
              </w:rPr>
              <w:t xml:space="preserve">(11,117) </w:t>
            </w:r>
          </w:p>
        </w:tc>
        <w:tc>
          <w:tcPr>
            <w:tcW w:w="1372" w:type="dxa"/>
            <w:vAlign w:val="center"/>
            <w:hideMark/>
          </w:tcPr>
          <w:p w14:paraId="26D3E4C3" w14:textId="77777777" w:rsidR="00C57C9F" w:rsidRDefault="00C57C9F" w:rsidP="006F421D">
            <w:pPr>
              <w:pStyle w:val="3fins-table-figures"/>
              <w:jc w:val="right"/>
              <w:rPr>
                <w:rFonts w:cs="Times New Roman"/>
              </w:rPr>
            </w:pPr>
            <w:r>
              <w:rPr>
                <w:rFonts w:cs="Times New Roman"/>
              </w:rPr>
              <w:t>(13,072)</w:t>
            </w:r>
          </w:p>
        </w:tc>
      </w:tr>
      <w:tr w:rsidR="00C57C9F" w14:paraId="5965E428" w14:textId="77777777" w:rsidTr="006F421D">
        <w:trPr>
          <w:divId w:val="2075661312"/>
        </w:trPr>
        <w:tc>
          <w:tcPr>
            <w:tcW w:w="6237" w:type="dxa"/>
            <w:vAlign w:val="center"/>
            <w:hideMark/>
          </w:tcPr>
          <w:p w14:paraId="3C6F19AE" w14:textId="77777777" w:rsidR="00C57C9F" w:rsidRDefault="00C57C9F">
            <w:pPr>
              <w:pStyle w:val="3fins-table"/>
              <w:rPr>
                <w:rFonts w:cs="Times New Roman"/>
              </w:rPr>
            </w:pPr>
            <w:r>
              <w:rPr>
                <w:rStyle w:val="fins-bold"/>
                <w:rFonts w:cs="Times New Roman"/>
              </w:rPr>
              <w:t>Total cash used</w:t>
            </w:r>
          </w:p>
        </w:tc>
        <w:tc>
          <w:tcPr>
            <w:tcW w:w="1104" w:type="dxa"/>
            <w:vAlign w:val="center"/>
            <w:hideMark/>
          </w:tcPr>
          <w:p w14:paraId="0D390A4C" w14:textId="77777777" w:rsidR="00C57C9F" w:rsidRDefault="00C57C9F" w:rsidP="006F421D">
            <w:pPr>
              <w:jc w:val="center"/>
              <w:rPr>
                <w:rFonts w:eastAsia="Times New Roman" w:cs="Times New Roman"/>
              </w:rPr>
            </w:pPr>
          </w:p>
        </w:tc>
        <w:tc>
          <w:tcPr>
            <w:tcW w:w="1388" w:type="dxa"/>
            <w:tcBorders>
              <w:top w:val="single" w:sz="4" w:space="0" w:color="0D0D0D" w:themeColor="text1" w:themeTint="F2"/>
              <w:bottom w:val="single" w:sz="4" w:space="0" w:color="0D0D0D" w:themeColor="text1" w:themeTint="F2"/>
            </w:tcBorders>
            <w:vAlign w:val="center"/>
            <w:hideMark/>
          </w:tcPr>
          <w:p w14:paraId="604CB02B" w14:textId="77777777" w:rsidR="00C57C9F" w:rsidRDefault="00C57C9F" w:rsidP="006F421D">
            <w:pPr>
              <w:pStyle w:val="3fins-table-figures"/>
              <w:jc w:val="right"/>
              <w:rPr>
                <w:rFonts w:cs="Times New Roman"/>
              </w:rPr>
            </w:pPr>
            <w:r>
              <w:rPr>
                <w:rStyle w:val="fins-bold"/>
                <w:rFonts w:cs="Times New Roman"/>
              </w:rPr>
              <w:t xml:space="preserve">(19,367) </w:t>
            </w:r>
          </w:p>
        </w:tc>
        <w:tc>
          <w:tcPr>
            <w:tcW w:w="1372" w:type="dxa"/>
            <w:tcBorders>
              <w:top w:val="single" w:sz="4" w:space="0" w:color="0D0D0D" w:themeColor="text1" w:themeTint="F2"/>
              <w:bottom w:val="single" w:sz="4" w:space="0" w:color="0D0D0D" w:themeColor="text1" w:themeTint="F2"/>
            </w:tcBorders>
            <w:vAlign w:val="center"/>
            <w:hideMark/>
          </w:tcPr>
          <w:p w14:paraId="790F420D" w14:textId="77777777" w:rsidR="00C57C9F" w:rsidRDefault="00C57C9F" w:rsidP="006F421D">
            <w:pPr>
              <w:pStyle w:val="3fins-table-figures"/>
              <w:jc w:val="right"/>
              <w:rPr>
                <w:rFonts w:cs="Times New Roman"/>
              </w:rPr>
            </w:pPr>
            <w:r>
              <w:rPr>
                <w:rFonts w:cs="Times New Roman"/>
              </w:rPr>
              <w:t>(23,392)</w:t>
            </w:r>
          </w:p>
        </w:tc>
      </w:tr>
      <w:tr w:rsidR="00C57C9F" w14:paraId="2751731A" w14:textId="77777777" w:rsidTr="006F421D">
        <w:trPr>
          <w:divId w:val="2075661312"/>
        </w:trPr>
        <w:tc>
          <w:tcPr>
            <w:tcW w:w="6237" w:type="dxa"/>
            <w:vAlign w:val="center"/>
            <w:hideMark/>
          </w:tcPr>
          <w:p w14:paraId="34EEC10D" w14:textId="77777777" w:rsidR="00C57C9F" w:rsidRDefault="00C57C9F">
            <w:pPr>
              <w:pStyle w:val="3fins-table"/>
              <w:rPr>
                <w:rFonts w:cs="Times New Roman"/>
              </w:rPr>
            </w:pPr>
            <w:r>
              <w:rPr>
                <w:rStyle w:val="fins-bold"/>
                <w:rFonts w:cs="Times New Roman"/>
              </w:rPr>
              <w:t>Net cash from (used by) operating activities</w:t>
            </w:r>
          </w:p>
        </w:tc>
        <w:tc>
          <w:tcPr>
            <w:tcW w:w="1104" w:type="dxa"/>
            <w:vAlign w:val="center"/>
            <w:hideMark/>
          </w:tcPr>
          <w:p w14:paraId="4670E67D" w14:textId="77777777" w:rsidR="00C57C9F" w:rsidRDefault="00C57C9F" w:rsidP="006F421D">
            <w:pPr>
              <w:pStyle w:val="3fins-table-notes"/>
              <w:jc w:val="center"/>
              <w:rPr>
                <w:rFonts w:cs="Times New Roman"/>
              </w:rPr>
            </w:pPr>
            <w:r>
              <w:rPr>
                <w:rFonts w:cs="Times New Roman"/>
              </w:rPr>
              <w:t>10</w:t>
            </w:r>
          </w:p>
        </w:tc>
        <w:tc>
          <w:tcPr>
            <w:tcW w:w="1388" w:type="dxa"/>
            <w:tcBorders>
              <w:top w:val="single" w:sz="4" w:space="0" w:color="0D0D0D" w:themeColor="text1" w:themeTint="F2"/>
              <w:bottom w:val="single" w:sz="4" w:space="0" w:color="0D0D0D" w:themeColor="text1" w:themeTint="F2"/>
            </w:tcBorders>
            <w:vAlign w:val="center"/>
            <w:hideMark/>
          </w:tcPr>
          <w:p w14:paraId="74473049" w14:textId="77777777" w:rsidR="00C57C9F" w:rsidRDefault="00C57C9F" w:rsidP="006F421D">
            <w:pPr>
              <w:pStyle w:val="3fins-table-figures"/>
              <w:jc w:val="right"/>
              <w:rPr>
                <w:rFonts w:cs="Times New Roman"/>
              </w:rPr>
            </w:pPr>
            <w:r>
              <w:rPr>
                <w:rStyle w:val="fins-bold"/>
                <w:rFonts w:cs="Times New Roman"/>
              </w:rPr>
              <w:t xml:space="preserve">6,109 </w:t>
            </w:r>
          </w:p>
        </w:tc>
        <w:tc>
          <w:tcPr>
            <w:tcW w:w="1372" w:type="dxa"/>
            <w:tcBorders>
              <w:top w:val="single" w:sz="4" w:space="0" w:color="0D0D0D" w:themeColor="text1" w:themeTint="F2"/>
              <w:bottom w:val="single" w:sz="4" w:space="0" w:color="0D0D0D" w:themeColor="text1" w:themeTint="F2"/>
            </w:tcBorders>
            <w:vAlign w:val="center"/>
            <w:hideMark/>
          </w:tcPr>
          <w:p w14:paraId="6A14496B" w14:textId="77777777" w:rsidR="00C57C9F" w:rsidRDefault="00C57C9F" w:rsidP="006F421D">
            <w:pPr>
              <w:pStyle w:val="3fins-table-figures"/>
              <w:jc w:val="right"/>
              <w:rPr>
                <w:rFonts w:cs="Times New Roman"/>
              </w:rPr>
            </w:pPr>
            <w:r>
              <w:rPr>
                <w:rFonts w:cs="Times New Roman"/>
              </w:rPr>
              <w:t>(4,790)</w:t>
            </w:r>
          </w:p>
        </w:tc>
      </w:tr>
      <w:tr w:rsidR="00C57C9F" w14:paraId="2A94C42B" w14:textId="77777777" w:rsidTr="006F421D">
        <w:trPr>
          <w:divId w:val="2075661312"/>
        </w:trPr>
        <w:tc>
          <w:tcPr>
            <w:tcW w:w="6237" w:type="dxa"/>
            <w:vAlign w:val="center"/>
            <w:hideMark/>
          </w:tcPr>
          <w:p w14:paraId="7AB96F21" w14:textId="77777777" w:rsidR="00C57C9F" w:rsidRDefault="00C57C9F">
            <w:pPr>
              <w:rPr>
                <w:rFonts w:eastAsia="Times New Roman" w:cs="Times New Roman"/>
              </w:rPr>
            </w:pPr>
          </w:p>
        </w:tc>
        <w:tc>
          <w:tcPr>
            <w:tcW w:w="1104" w:type="dxa"/>
            <w:vAlign w:val="center"/>
            <w:hideMark/>
          </w:tcPr>
          <w:p w14:paraId="36E93827" w14:textId="77777777" w:rsidR="00C57C9F" w:rsidRDefault="00C57C9F" w:rsidP="006F421D">
            <w:pPr>
              <w:jc w:val="center"/>
              <w:rPr>
                <w:rFonts w:eastAsia="Times New Roman" w:cs="Times New Roman"/>
              </w:rPr>
            </w:pPr>
          </w:p>
        </w:tc>
        <w:tc>
          <w:tcPr>
            <w:tcW w:w="1388" w:type="dxa"/>
            <w:vAlign w:val="center"/>
            <w:hideMark/>
          </w:tcPr>
          <w:p w14:paraId="2C1C110D" w14:textId="77777777" w:rsidR="00C57C9F" w:rsidRDefault="00C57C9F" w:rsidP="006F421D">
            <w:pPr>
              <w:jc w:val="right"/>
              <w:rPr>
                <w:rFonts w:eastAsia="Times New Roman" w:cs="Times New Roman"/>
              </w:rPr>
            </w:pPr>
          </w:p>
        </w:tc>
        <w:tc>
          <w:tcPr>
            <w:tcW w:w="1372" w:type="dxa"/>
            <w:vAlign w:val="center"/>
            <w:hideMark/>
          </w:tcPr>
          <w:p w14:paraId="4BC6F43E" w14:textId="77777777" w:rsidR="00C57C9F" w:rsidRDefault="00C57C9F" w:rsidP="006F421D">
            <w:pPr>
              <w:jc w:val="right"/>
              <w:rPr>
                <w:rFonts w:eastAsia="Times New Roman" w:cs="Times New Roman"/>
              </w:rPr>
            </w:pPr>
          </w:p>
        </w:tc>
      </w:tr>
      <w:tr w:rsidR="00C57C9F" w14:paraId="02151C59" w14:textId="77777777" w:rsidTr="006F421D">
        <w:trPr>
          <w:divId w:val="2075661312"/>
        </w:trPr>
        <w:tc>
          <w:tcPr>
            <w:tcW w:w="6237" w:type="dxa"/>
            <w:vAlign w:val="center"/>
            <w:hideMark/>
          </w:tcPr>
          <w:p w14:paraId="283670B3" w14:textId="77777777" w:rsidR="00C57C9F" w:rsidRDefault="00C57C9F">
            <w:pPr>
              <w:pStyle w:val="3fins-table"/>
              <w:rPr>
                <w:rFonts w:cs="Times New Roman"/>
              </w:rPr>
            </w:pPr>
            <w:r>
              <w:rPr>
                <w:rStyle w:val="fins-bold"/>
                <w:rFonts w:cs="Times New Roman"/>
              </w:rPr>
              <w:t>INVESTING ACTIVITIES</w:t>
            </w:r>
          </w:p>
        </w:tc>
        <w:tc>
          <w:tcPr>
            <w:tcW w:w="1104" w:type="dxa"/>
            <w:vAlign w:val="center"/>
            <w:hideMark/>
          </w:tcPr>
          <w:p w14:paraId="4B8E5D04" w14:textId="77777777" w:rsidR="00C57C9F" w:rsidRDefault="00C57C9F" w:rsidP="006F421D">
            <w:pPr>
              <w:jc w:val="center"/>
              <w:rPr>
                <w:rFonts w:eastAsia="Times New Roman" w:cs="Times New Roman"/>
              </w:rPr>
            </w:pPr>
          </w:p>
        </w:tc>
        <w:tc>
          <w:tcPr>
            <w:tcW w:w="1388" w:type="dxa"/>
            <w:vAlign w:val="center"/>
            <w:hideMark/>
          </w:tcPr>
          <w:p w14:paraId="2F934210" w14:textId="77777777" w:rsidR="00C57C9F" w:rsidRDefault="00C57C9F" w:rsidP="006F421D">
            <w:pPr>
              <w:jc w:val="right"/>
              <w:rPr>
                <w:rFonts w:eastAsia="Times New Roman" w:cs="Times New Roman"/>
              </w:rPr>
            </w:pPr>
          </w:p>
        </w:tc>
        <w:tc>
          <w:tcPr>
            <w:tcW w:w="1372" w:type="dxa"/>
            <w:vAlign w:val="center"/>
            <w:hideMark/>
          </w:tcPr>
          <w:p w14:paraId="3F5A30F6" w14:textId="77777777" w:rsidR="00C57C9F" w:rsidRDefault="00C57C9F" w:rsidP="006F421D">
            <w:pPr>
              <w:jc w:val="right"/>
              <w:rPr>
                <w:rFonts w:eastAsia="Times New Roman" w:cs="Times New Roman"/>
              </w:rPr>
            </w:pPr>
          </w:p>
        </w:tc>
      </w:tr>
      <w:tr w:rsidR="00C57C9F" w14:paraId="198DADF7" w14:textId="77777777" w:rsidTr="006F421D">
        <w:trPr>
          <w:divId w:val="2075661312"/>
        </w:trPr>
        <w:tc>
          <w:tcPr>
            <w:tcW w:w="6237" w:type="dxa"/>
            <w:vAlign w:val="center"/>
            <w:hideMark/>
          </w:tcPr>
          <w:p w14:paraId="7EED20AD" w14:textId="77777777" w:rsidR="00C57C9F" w:rsidRDefault="00C57C9F">
            <w:pPr>
              <w:pStyle w:val="3fins-table"/>
              <w:rPr>
                <w:rFonts w:cs="Times New Roman"/>
              </w:rPr>
            </w:pPr>
            <w:r>
              <w:rPr>
                <w:rStyle w:val="fins-bold"/>
                <w:rFonts w:cs="Times New Roman"/>
              </w:rPr>
              <w:t>Cash used</w:t>
            </w:r>
          </w:p>
        </w:tc>
        <w:tc>
          <w:tcPr>
            <w:tcW w:w="1104" w:type="dxa"/>
            <w:vAlign w:val="center"/>
            <w:hideMark/>
          </w:tcPr>
          <w:p w14:paraId="6A0B7C57" w14:textId="77777777" w:rsidR="00C57C9F" w:rsidRDefault="00C57C9F" w:rsidP="006F421D">
            <w:pPr>
              <w:jc w:val="center"/>
              <w:rPr>
                <w:rFonts w:eastAsia="Times New Roman" w:cs="Times New Roman"/>
              </w:rPr>
            </w:pPr>
          </w:p>
        </w:tc>
        <w:tc>
          <w:tcPr>
            <w:tcW w:w="1388" w:type="dxa"/>
            <w:vAlign w:val="center"/>
            <w:hideMark/>
          </w:tcPr>
          <w:p w14:paraId="55AE1150" w14:textId="77777777" w:rsidR="00C57C9F" w:rsidRDefault="00C57C9F" w:rsidP="006F421D">
            <w:pPr>
              <w:jc w:val="right"/>
              <w:rPr>
                <w:rFonts w:eastAsia="Times New Roman" w:cs="Times New Roman"/>
              </w:rPr>
            </w:pPr>
          </w:p>
        </w:tc>
        <w:tc>
          <w:tcPr>
            <w:tcW w:w="1372" w:type="dxa"/>
            <w:vAlign w:val="center"/>
            <w:hideMark/>
          </w:tcPr>
          <w:p w14:paraId="11DAFFA2" w14:textId="77777777" w:rsidR="00C57C9F" w:rsidRDefault="00C57C9F" w:rsidP="006F421D">
            <w:pPr>
              <w:jc w:val="right"/>
              <w:rPr>
                <w:rFonts w:eastAsia="Times New Roman" w:cs="Times New Roman"/>
              </w:rPr>
            </w:pPr>
          </w:p>
        </w:tc>
      </w:tr>
      <w:tr w:rsidR="00C57C9F" w14:paraId="7F0CBB09" w14:textId="77777777" w:rsidTr="006F421D">
        <w:trPr>
          <w:divId w:val="2075661312"/>
        </w:trPr>
        <w:tc>
          <w:tcPr>
            <w:tcW w:w="6237" w:type="dxa"/>
            <w:vAlign w:val="center"/>
            <w:hideMark/>
          </w:tcPr>
          <w:p w14:paraId="6B57947A" w14:textId="77777777" w:rsidR="00C57C9F" w:rsidRDefault="00C57C9F">
            <w:pPr>
              <w:pStyle w:val="3fins-table"/>
              <w:rPr>
                <w:rFonts w:cs="Times New Roman"/>
              </w:rPr>
            </w:pPr>
            <w:r>
              <w:rPr>
                <w:rFonts w:cs="Times New Roman"/>
              </w:rPr>
              <w:t>Purchase of property, plant and equipment</w:t>
            </w:r>
          </w:p>
        </w:tc>
        <w:tc>
          <w:tcPr>
            <w:tcW w:w="1104" w:type="dxa"/>
            <w:vAlign w:val="center"/>
            <w:hideMark/>
          </w:tcPr>
          <w:p w14:paraId="19E7EB8F" w14:textId="77777777" w:rsidR="00C57C9F" w:rsidRDefault="00C57C9F" w:rsidP="006F421D">
            <w:pPr>
              <w:jc w:val="center"/>
              <w:rPr>
                <w:rFonts w:eastAsia="Times New Roman" w:cs="Times New Roman"/>
              </w:rPr>
            </w:pPr>
          </w:p>
        </w:tc>
        <w:tc>
          <w:tcPr>
            <w:tcW w:w="1388" w:type="dxa"/>
            <w:tcBorders>
              <w:bottom w:val="single" w:sz="4" w:space="0" w:color="0D0D0D" w:themeColor="text1" w:themeTint="F2"/>
            </w:tcBorders>
            <w:vAlign w:val="center"/>
            <w:hideMark/>
          </w:tcPr>
          <w:p w14:paraId="71447B54" w14:textId="77777777" w:rsidR="00C57C9F" w:rsidRDefault="00C57C9F" w:rsidP="006F421D">
            <w:pPr>
              <w:pStyle w:val="3fins-table-figures"/>
              <w:jc w:val="right"/>
              <w:rPr>
                <w:rFonts w:cs="Times New Roman"/>
              </w:rPr>
            </w:pPr>
            <w:r>
              <w:rPr>
                <w:rStyle w:val="fins-bold"/>
                <w:rFonts w:cs="Times New Roman"/>
              </w:rPr>
              <w:t>–</w:t>
            </w:r>
          </w:p>
        </w:tc>
        <w:tc>
          <w:tcPr>
            <w:tcW w:w="1372" w:type="dxa"/>
            <w:tcBorders>
              <w:bottom w:val="single" w:sz="4" w:space="0" w:color="0D0D0D" w:themeColor="text1" w:themeTint="F2"/>
            </w:tcBorders>
            <w:vAlign w:val="center"/>
            <w:hideMark/>
          </w:tcPr>
          <w:p w14:paraId="6B3C3010" w14:textId="77777777" w:rsidR="00C57C9F" w:rsidRDefault="00C57C9F" w:rsidP="006F421D">
            <w:pPr>
              <w:pStyle w:val="3fins-table-figures"/>
              <w:jc w:val="right"/>
              <w:rPr>
                <w:rFonts w:cs="Times New Roman"/>
              </w:rPr>
            </w:pPr>
            <w:r>
              <w:rPr>
                <w:rFonts w:cs="Times New Roman"/>
              </w:rPr>
              <w:t>(144)</w:t>
            </w:r>
          </w:p>
        </w:tc>
      </w:tr>
      <w:tr w:rsidR="00C57C9F" w14:paraId="1E4017F7" w14:textId="77777777" w:rsidTr="006F421D">
        <w:trPr>
          <w:divId w:val="2075661312"/>
        </w:trPr>
        <w:tc>
          <w:tcPr>
            <w:tcW w:w="6237" w:type="dxa"/>
            <w:vAlign w:val="center"/>
            <w:hideMark/>
          </w:tcPr>
          <w:p w14:paraId="267057C2" w14:textId="77777777" w:rsidR="00C57C9F" w:rsidRDefault="00C57C9F">
            <w:pPr>
              <w:pStyle w:val="3fins-table"/>
              <w:rPr>
                <w:rFonts w:cs="Times New Roman"/>
              </w:rPr>
            </w:pPr>
            <w:r>
              <w:rPr>
                <w:rStyle w:val="fins-bold"/>
                <w:rFonts w:cs="Times New Roman"/>
              </w:rPr>
              <w:t>Total cash used</w:t>
            </w:r>
          </w:p>
        </w:tc>
        <w:tc>
          <w:tcPr>
            <w:tcW w:w="1104" w:type="dxa"/>
            <w:vAlign w:val="center"/>
            <w:hideMark/>
          </w:tcPr>
          <w:p w14:paraId="3EE38152" w14:textId="77777777" w:rsidR="00C57C9F" w:rsidRDefault="00C57C9F" w:rsidP="006F421D">
            <w:pPr>
              <w:jc w:val="center"/>
              <w:rPr>
                <w:rFonts w:eastAsia="Times New Roman" w:cs="Times New Roman"/>
              </w:rPr>
            </w:pPr>
          </w:p>
        </w:tc>
        <w:tc>
          <w:tcPr>
            <w:tcW w:w="1388" w:type="dxa"/>
            <w:tcBorders>
              <w:top w:val="single" w:sz="4" w:space="0" w:color="0D0D0D" w:themeColor="text1" w:themeTint="F2"/>
              <w:bottom w:val="single" w:sz="4" w:space="0" w:color="0D0D0D" w:themeColor="text1" w:themeTint="F2"/>
            </w:tcBorders>
            <w:vAlign w:val="center"/>
            <w:hideMark/>
          </w:tcPr>
          <w:p w14:paraId="38E50A72" w14:textId="77777777" w:rsidR="00C57C9F" w:rsidRDefault="00C57C9F" w:rsidP="006F421D">
            <w:pPr>
              <w:pStyle w:val="3fins-table-figures"/>
              <w:jc w:val="right"/>
              <w:rPr>
                <w:rFonts w:cs="Times New Roman"/>
              </w:rPr>
            </w:pPr>
            <w:r>
              <w:rPr>
                <w:rStyle w:val="fins-bold"/>
                <w:rFonts w:cs="Times New Roman"/>
              </w:rPr>
              <w:t>–</w:t>
            </w:r>
          </w:p>
        </w:tc>
        <w:tc>
          <w:tcPr>
            <w:tcW w:w="1372" w:type="dxa"/>
            <w:tcBorders>
              <w:top w:val="single" w:sz="4" w:space="0" w:color="0D0D0D" w:themeColor="text1" w:themeTint="F2"/>
              <w:bottom w:val="single" w:sz="4" w:space="0" w:color="0D0D0D" w:themeColor="text1" w:themeTint="F2"/>
            </w:tcBorders>
            <w:vAlign w:val="center"/>
            <w:hideMark/>
          </w:tcPr>
          <w:p w14:paraId="45CE8138" w14:textId="77777777" w:rsidR="00C57C9F" w:rsidRDefault="00C57C9F" w:rsidP="006F421D">
            <w:pPr>
              <w:pStyle w:val="3fins-table-figures"/>
              <w:jc w:val="right"/>
              <w:rPr>
                <w:rFonts w:cs="Times New Roman"/>
              </w:rPr>
            </w:pPr>
            <w:r>
              <w:rPr>
                <w:rFonts w:cs="Times New Roman"/>
              </w:rPr>
              <w:t>(144)</w:t>
            </w:r>
          </w:p>
        </w:tc>
      </w:tr>
      <w:tr w:rsidR="00C57C9F" w14:paraId="3270668A" w14:textId="77777777" w:rsidTr="006F421D">
        <w:trPr>
          <w:divId w:val="2075661312"/>
        </w:trPr>
        <w:tc>
          <w:tcPr>
            <w:tcW w:w="6237" w:type="dxa"/>
            <w:vAlign w:val="center"/>
            <w:hideMark/>
          </w:tcPr>
          <w:p w14:paraId="1BE4114F" w14:textId="77777777" w:rsidR="00C57C9F" w:rsidRDefault="00C57C9F">
            <w:pPr>
              <w:pStyle w:val="3fins-table"/>
              <w:rPr>
                <w:rFonts w:cs="Times New Roman"/>
              </w:rPr>
            </w:pPr>
            <w:r>
              <w:rPr>
                <w:rStyle w:val="fins-bold"/>
                <w:rFonts w:cs="Times New Roman"/>
              </w:rPr>
              <w:t>Net cash from (used by) investing activities</w:t>
            </w:r>
          </w:p>
        </w:tc>
        <w:tc>
          <w:tcPr>
            <w:tcW w:w="1104" w:type="dxa"/>
            <w:vAlign w:val="center"/>
            <w:hideMark/>
          </w:tcPr>
          <w:p w14:paraId="1778CE7B" w14:textId="77777777" w:rsidR="00C57C9F" w:rsidRDefault="00C57C9F" w:rsidP="006F421D">
            <w:pPr>
              <w:jc w:val="center"/>
              <w:rPr>
                <w:rFonts w:eastAsia="Times New Roman" w:cs="Times New Roman"/>
              </w:rPr>
            </w:pPr>
          </w:p>
        </w:tc>
        <w:tc>
          <w:tcPr>
            <w:tcW w:w="1388" w:type="dxa"/>
            <w:tcBorders>
              <w:top w:val="single" w:sz="4" w:space="0" w:color="0D0D0D" w:themeColor="text1" w:themeTint="F2"/>
              <w:bottom w:val="single" w:sz="4" w:space="0" w:color="0D0D0D" w:themeColor="text1" w:themeTint="F2"/>
            </w:tcBorders>
            <w:vAlign w:val="center"/>
            <w:hideMark/>
          </w:tcPr>
          <w:p w14:paraId="109602CD" w14:textId="77777777" w:rsidR="00C57C9F" w:rsidRDefault="00C57C9F" w:rsidP="006F421D">
            <w:pPr>
              <w:pStyle w:val="3fins-table-figures"/>
              <w:jc w:val="right"/>
              <w:rPr>
                <w:rFonts w:cs="Times New Roman"/>
              </w:rPr>
            </w:pPr>
            <w:r>
              <w:rPr>
                <w:rStyle w:val="fins-bold"/>
                <w:rFonts w:cs="Times New Roman"/>
              </w:rPr>
              <w:t>–</w:t>
            </w:r>
          </w:p>
        </w:tc>
        <w:tc>
          <w:tcPr>
            <w:tcW w:w="1372" w:type="dxa"/>
            <w:tcBorders>
              <w:top w:val="single" w:sz="4" w:space="0" w:color="0D0D0D" w:themeColor="text1" w:themeTint="F2"/>
              <w:bottom w:val="single" w:sz="4" w:space="0" w:color="0D0D0D" w:themeColor="text1" w:themeTint="F2"/>
            </w:tcBorders>
            <w:vAlign w:val="center"/>
            <w:hideMark/>
          </w:tcPr>
          <w:p w14:paraId="65F63C33" w14:textId="77777777" w:rsidR="00C57C9F" w:rsidRDefault="00C57C9F" w:rsidP="006F421D">
            <w:pPr>
              <w:pStyle w:val="3fins-table-figures"/>
              <w:jc w:val="right"/>
              <w:rPr>
                <w:rFonts w:cs="Times New Roman"/>
              </w:rPr>
            </w:pPr>
            <w:r>
              <w:rPr>
                <w:rFonts w:cs="Times New Roman"/>
              </w:rPr>
              <w:t>(144)</w:t>
            </w:r>
          </w:p>
        </w:tc>
      </w:tr>
      <w:tr w:rsidR="00C57C9F" w14:paraId="46041ADA" w14:textId="77777777" w:rsidTr="006F421D">
        <w:trPr>
          <w:divId w:val="2075661312"/>
        </w:trPr>
        <w:tc>
          <w:tcPr>
            <w:tcW w:w="6237" w:type="dxa"/>
            <w:vAlign w:val="center"/>
            <w:hideMark/>
          </w:tcPr>
          <w:p w14:paraId="1D1A9932" w14:textId="77777777" w:rsidR="00C57C9F" w:rsidRDefault="00C57C9F">
            <w:pPr>
              <w:rPr>
                <w:rFonts w:eastAsia="Times New Roman" w:cs="Times New Roman"/>
              </w:rPr>
            </w:pPr>
          </w:p>
        </w:tc>
        <w:tc>
          <w:tcPr>
            <w:tcW w:w="1104" w:type="dxa"/>
            <w:vAlign w:val="center"/>
            <w:hideMark/>
          </w:tcPr>
          <w:p w14:paraId="2073DD92" w14:textId="77777777" w:rsidR="00C57C9F" w:rsidRDefault="00C57C9F" w:rsidP="006F421D">
            <w:pPr>
              <w:jc w:val="center"/>
              <w:rPr>
                <w:rFonts w:eastAsia="Times New Roman" w:cs="Times New Roman"/>
              </w:rPr>
            </w:pPr>
          </w:p>
        </w:tc>
        <w:tc>
          <w:tcPr>
            <w:tcW w:w="1388" w:type="dxa"/>
            <w:vAlign w:val="center"/>
            <w:hideMark/>
          </w:tcPr>
          <w:p w14:paraId="1807EBAE" w14:textId="77777777" w:rsidR="00C57C9F" w:rsidRDefault="00C57C9F" w:rsidP="006F421D">
            <w:pPr>
              <w:jc w:val="right"/>
              <w:rPr>
                <w:rFonts w:eastAsia="Times New Roman" w:cs="Times New Roman"/>
              </w:rPr>
            </w:pPr>
          </w:p>
        </w:tc>
        <w:tc>
          <w:tcPr>
            <w:tcW w:w="1372" w:type="dxa"/>
            <w:vAlign w:val="center"/>
            <w:hideMark/>
          </w:tcPr>
          <w:p w14:paraId="02E92A30" w14:textId="77777777" w:rsidR="00C57C9F" w:rsidRDefault="00C57C9F" w:rsidP="006F421D">
            <w:pPr>
              <w:jc w:val="right"/>
              <w:rPr>
                <w:rFonts w:eastAsia="Times New Roman" w:cs="Times New Roman"/>
              </w:rPr>
            </w:pPr>
          </w:p>
        </w:tc>
      </w:tr>
      <w:tr w:rsidR="00C57C9F" w14:paraId="0507EE07" w14:textId="77777777" w:rsidTr="006F421D">
        <w:trPr>
          <w:divId w:val="2075661312"/>
        </w:trPr>
        <w:tc>
          <w:tcPr>
            <w:tcW w:w="6237" w:type="dxa"/>
            <w:vAlign w:val="center"/>
            <w:hideMark/>
          </w:tcPr>
          <w:p w14:paraId="2686E581" w14:textId="77777777" w:rsidR="00C57C9F" w:rsidRDefault="00C57C9F">
            <w:pPr>
              <w:pStyle w:val="3fins-table"/>
              <w:rPr>
                <w:rFonts w:cs="Times New Roman"/>
              </w:rPr>
            </w:pPr>
            <w:r>
              <w:rPr>
                <w:rStyle w:val="fins-bold"/>
                <w:rFonts w:cs="Times New Roman"/>
              </w:rPr>
              <w:t>Net increase (decrease) in cash held</w:t>
            </w:r>
          </w:p>
        </w:tc>
        <w:tc>
          <w:tcPr>
            <w:tcW w:w="1104" w:type="dxa"/>
            <w:vAlign w:val="center"/>
            <w:hideMark/>
          </w:tcPr>
          <w:p w14:paraId="201F5B35" w14:textId="77777777" w:rsidR="00C57C9F" w:rsidRDefault="00C57C9F" w:rsidP="006F421D">
            <w:pPr>
              <w:jc w:val="center"/>
              <w:rPr>
                <w:rFonts w:eastAsia="Times New Roman" w:cs="Times New Roman"/>
              </w:rPr>
            </w:pPr>
          </w:p>
        </w:tc>
        <w:tc>
          <w:tcPr>
            <w:tcW w:w="1388" w:type="dxa"/>
            <w:tcBorders>
              <w:top w:val="single" w:sz="4" w:space="0" w:color="0D0D0D" w:themeColor="text1" w:themeTint="F2"/>
              <w:bottom w:val="single" w:sz="4" w:space="0" w:color="0D0D0D" w:themeColor="text1" w:themeTint="F2"/>
            </w:tcBorders>
            <w:vAlign w:val="center"/>
            <w:hideMark/>
          </w:tcPr>
          <w:p w14:paraId="6DFAD5D2" w14:textId="77777777" w:rsidR="00C57C9F" w:rsidRDefault="00C57C9F" w:rsidP="006F421D">
            <w:pPr>
              <w:pStyle w:val="3fins-table-figures"/>
              <w:jc w:val="right"/>
              <w:rPr>
                <w:rFonts w:cs="Times New Roman"/>
              </w:rPr>
            </w:pPr>
            <w:r>
              <w:rPr>
                <w:rStyle w:val="fins-bold"/>
                <w:rFonts w:cs="Times New Roman"/>
              </w:rPr>
              <w:t xml:space="preserve">6,109 </w:t>
            </w:r>
          </w:p>
        </w:tc>
        <w:tc>
          <w:tcPr>
            <w:tcW w:w="1372" w:type="dxa"/>
            <w:tcBorders>
              <w:top w:val="single" w:sz="4" w:space="0" w:color="0D0D0D" w:themeColor="text1" w:themeTint="F2"/>
              <w:bottom w:val="single" w:sz="4" w:space="0" w:color="0D0D0D" w:themeColor="text1" w:themeTint="F2"/>
            </w:tcBorders>
            <w:vAlign w:val="center"/>
            <w:hideMark/>
          </w:tcPr>
          <w:p w14:paraId="4AE9C3C3" w14:textId="77777777" w:rsidR="00C57C9F" w:rsidRDefault="00C57C9F" w:rsidP="006F421D">
            <w:pPr>
              <w:pStyle w:val="3fins-table-figures"/>
              <w:jc w:val="right"/>
              <w:rPr>
                <w:rFonts w:cs="Times New Roman"/>
              </w:rPr>
            </w:pPr>
            <w:r>
              <w:rPr>
                <w:rFonts w:cs="Times New Roman"/>
              </w:rPr>
              <w:t>(4,934)</w:t>
            </w:r>
          </w:p>
        </w:tc>
      </w:tr>
      <w:tr w:rsidR="00C57C9F" w14:paraId="3EBA3BAA" w14:textId="77777777" w:rsidTr="006F421D">
        <w:trPr>
          <w:divId w:val="2075661312"/>
        </w:trPr>
        <w:tc>
          <w:tcPr>
            <w:tcW w:w="6237" w:type="dxa"/>
            <w:vAlign w:val="center"/>
            <w:hideMark/>
          </w:tcPr>
          <w:p w14:paraId="1C434262" w14:textId="77777777" w:rsidR="00C57C9F" w:rsidRDefault="00C57C9F">
            <w:pPr>
              <w:pStyle w:val="3fins-table"/>
              <w:rPr>
                <w:rFonts w:cs="Times New Roman"/>
              </w:rPr>
            </w:pPr>
            <w:r>
              <w:rPr>
                <w:rStyle w:val="fins-bold"/>
                <w:rFonts w:cs="Times New Roman"/>
              </w:rPr>
              <w:t>Cash and cash equivalents at the beginning of the reporting period</w:t>
            </w:r>
          </w:p>
        </w:tc>
        <w:tc>
          <w:tcPr>
            <w:tcW w:w="1104" w:type="dxa"/>
            <w:vAlign w:val="center"/>
            <w:hideMark/>
          </w:tcPr>
          <w:p w14:paraId="5B567A26" w14:textId="77777777" w:rsidR="00C57C9F" w:rsidRDefault="00C57C9F" w:rsidP="006F421D">
            <w:pPr>
              <w:jc w:val="center"/>
              <w:rPr>
                <w:rFonts w:eastAsia="Times New Roman" w:cs="Times New Roman"/>
              </w:rPr>
            </w:pPr>
          </w:p>
        </w:tc>
        <w:tc>
          <w:tcPr>
            <w:tcW w:w="1388" w:type="dxa"/>
            <w:tcBorders>
              <w:top w:val="single" w:sz="4" w:space="0" w:color="0D0D0D" w:themeColor="text1" w:themeTint="F2"/>
              <w:bottom w:val="single" w:sz="4" w:space="0" w:color="0D0D0D" w:themeColor="text1" w:themeTint="F2"/>
            </w:tcBorders>
            <w:vAlign w:val="center"/>
            <w:hideMark/>
          </w:tcPr>
          <w:p w14:paraId="1F98E7C3" w14:textId="77777777" w:rsidR="00C57C9F" w:rsidRDefault="00C57C9F" w:rsidP="006F421D">
            <w:pPr>
              <w:pStyle w:val="3fins-table-figures"/>
              <w:jc w:val="right"/>
              <w:rPr>
                <w:rFonts w:cs="Times New Roman"/>
              </w:rPr>
            </w:pPr>
            <w:r>
              <w:rPr>
                <w:rStyle w:val="fins-bold"/>
                <w:rFonts w:cs="Times New Roman"/>
              </w:rPr>
              <w:t>7,050</w:t>
            </w:r>
          </w:p>
        </w:tc>
        <w:tc>
          <w:tcPr>
            <w:tcW w:w="1372" w:type="dxa"/>
            <w:tcBorders>
              <w:top w:val="single" w:sz="4" w:space="0" w:color="0D0D0D" w:themeColor="text1" w:themeTint="F2"/>
              <w:bottom w:val="single" w:sz="4" w:space="0" w:color="0D0D0D" w:themeColor="text1" w:themeTint="F2"/>
            </w:tcBorders>
            <w:vAlign w:val="center"/>
            <w:hideMark/>
          </w:tcPr>
          <w:p w14:paraId="47FFE327" w14:textId="77777777" w:rsidR="00C57C9F" w:rsidRDefault="00C57C9F" w:rsidP="006F421D">
            <w:pPr>
              <w:pStyle w:val="3fins-table-figures"/>
              <w:jc w:val="right"/>
              <w:rPr>
                <w:rFonts w:cs="Times New Roman"/>
              </w:rPr>
            </w:pPr>
            <w:r>
              <w:rPr>
                <w:rFonts w:cs="Times New Roman"/>
              </w:rPr>
              <w:t>11,984</w:t>
            </w:r>
          </w:p>
        </w:tc>
      </w:tr>
      <w:tr w:rsidR="00C57C9F" w14:paraId="72A7576E" w14:textId="77777777" w:rsidTr="006F421D">
        <w:trPr>
          <w:divId w:val="2075661312"/>
        </w:trPr>
        <w:tc>
          <w:tcPr>
            <w:tcW w:w="6237" w:type="dxa"/>
            <w:vAlign w:val="center"/>
            <w:hideMark/>
          </w:tcPr>
          <w:p w14:paraId="098FC333" w14:textId="77777777" w:rsidR="00C57C9F" w:rsidRDefault="00C57C9F">
            <w:pPr>
              <w:pStyle w:val="3fins-table"/>
              <w:rPr>
                <w:rFonts w:cs="Times New Roman"/>
              </w:rPr>
            </w:pPr>
            <w:r>
              <w:rPr>
                <w:rStyle w:val="fins-bold"/>
                <w:rFonts w:cs="Times New Roman"/>
              </w:rPr>
              <w:t xml:space="preserve">Cash and cash equivalents at the end of the reporting </w:t>
            </w:r>
            <w:r>
              <w:rPr>
                <w:rFonts w:cs="Times New Roman"/>
              </w:rPr>
              <w:br/>
            </w:r>
            <w:r>
              <w:rPr>
                <w:rStyle w:val="fins-bold"/>
                <w:rFonts w:cs="Times New Roman"/>
              </w:rPr>
              <w:t>period</w:t>
            </w:r>
          </w:p>
        </w:tc>
        <w:tc>
          <w:tcPr>
            <w:tcW w:w="1104" w:type="dxa"/>
            <w:vAlign w:val="center"/>
            <w:hideMark/>
          </w:tcPr>
          <w:p w14:paraId="6B403838" w14:textId="77777777" w:rsidR="00C57C9F" w:rsidRDefault="00C57C9F" w:rsidP="006F421D">
            <w:pPr>
              <w:pStyle w:val="3fins-table-notes"/>
              <w:jc w:val="center"/>
              <w:rPr>
                <w:rFonts w:cs="Times New Roman"/>
              </w:rPr>
            </w:pPr>
            <w:r>
              <w:rPr>
                <w:rFonts w:cs="Times New Roman"/>
              </w:rPr>
              <w:t>6A</w:t>
            </w:r>
          </w:p>
        </w:tc>
        <w:tc>
          <w:tcPr>
            <w:tcW w:w="1388" w:type="dxa"/>
            <w:tcBorders>
              <w:top w:val="single" w:sz="4" w:space="0" w:color="0D0D0D" w:themeColor="text1" w:themeTint="F2"/>
              <w:bottom w:val="single" w:sz="4" w:space="0" w:color="0D0D0D" w:themeColor="text1" w:themeTint="F2"/>
            </w:tcBorders>
            <w:vAlign w:val="center"/>
            <w:hideMark/>
          </w:tcPr>
          <w:p w14:paraId="19B99B21" w14:textId="77777777" w:rsidR="00C57C9F" w:rsidRDefault="00C57C9F" w:rsidP="006F421D">
            <w:pPr>
              <w:pStyle w:val="3fins-table-figures"/>
              <w:jc w:val="right"/>
              <w:rPr>
                <w:rFonts w:cs="Times New Roman"/>
              </w:rPr>
            </w:pPr>
            <w:r>
              <w:rPr>
                <w:rStyle w:val="fins-bold"/>
                <w:rFonts w:cs="Times New Roman"/>
              </w:rPr>
              <w:t xml:space="preserve">13,159 </w:t>
            </w:r>
          </w:p>
        </w:tc>
        <w:tc>
          <w:tcPr>
            <w:tcW w:w="1372" w:type="dxa"/>
            <w:tcBorders>
              <w:top w:val="single" w:sz="4" w:space="0" w:color="0D0D0D" w:themeColor="text1" w:themeTint="F2"/>
              <w:bottom w:val="single" w:sz="4" w:space="0" w:color="0D0D0D" w:themeColor="text1" w:themeTint="F2"/>
            </w:tcBorders>
            <w:vAlign w:val="center"/>
            <w:hideMark/>
          </w:tcPr>
          <w:p w14:paraId="0081124A" w14:textId="77777777" w:rsidR="00C57C9F" w:rsidRDefault="00C57C9F" w:rsidP="006F421D">
            <w:pPr>
              <w:pStyle w:val="3fins-table-figures"/>
              <w:jc w:val="right"/>
              <w:rPr>
                <w:rFonts w:cs="Times New Roman"/>
              </w:rPr>
            </w:pPr>
            <w:r>
              <w:rPr>
                <w:rFonts w:cs="Times New Roman"/>
              </w:rPr>
              <w:t>7,050</w:t>
            </w:r>
          </w:p>
        </w:tc>
      </w:tr>
    </w:tbl>
    <w:p w14:paraId="18D1F9CC" w14:textId="77777777" w:rsidR="00C57C9F" w:rsidRDefault="00C57C9F" w:rsidP="006F421D">
      <w:pPr>
        <w:pStyle w:val="3fins-table"/>
        <w:spacing w:before="120"/>
        <w:divId w:val="2075661312"/>
        <w:rPr>
          <w:rFonts w:cs="Times New Roman"/>
          <w:lang w:val="en-AU"/>
        </w:rPr>
      </w:pPr>
      <w:r>
        <w:rPr>
          <w:rFonts w:cs="Times New Roman"/>
          <w:lang w:val="en-AU"/>
        </w:rPr>
        <w:t>The above statement should be read in conjunction with the accompanying notes.</w:t>
      </w:r>
    </w:p>
    <w:p w14:paraId="4A68B63D" w14:textId="77777777" w:rsidR="00C57C9F" w:rsidRDefault="00C57C9F">
      <w:pPr>
        <w:rPr>
          <w:rFonts w:cs="Times New Roman"/>
          <w:b/>
          <w:sz w:val="32"/>
        </w:rPr>
      </w:pPr>
      <w:r>
        <w:rPr>
          <w:rFonts w:cs="Times New Roman"/>
        </w:rPr>
        <w:br w:type="page"/>
      </w:r>
    </w:p>
    <w:p w14:paraId="2E2425AB" w14:textId="77777777" w:rsidR="00C57C9F" w:rsidRDefault="00C57C9F" w:rsidP="00093444">
      <w:pPr>
        <w:pStyle w:val="Heading2"/>
        <w:divId w:val="2075661312"/>
      </w:pPr>
      <w:bookmarkStart w:id="47" w:name="_Toc414011905"/>
      <w:r>
        <w:lastRenderedPageBreak/>
        <w:t>Schedule of Commitments</w:t>
      </w:r>
      <w:bookmarkEnd w:id="47"/>
    </w:p>
    <w:p w14:paraId="3BC5CCFD" w14:textId="77777777" w:rsidR="00C57C9F" w:rsidRDefault="00C57C9F">
      <w:pPr>
        <w:pStyle w:val="1as-at---"/>
        <w:divId w:val="2075661312"/>
        <w:rPr>
          <w:rFonts w:cs="Times New Roman"/>
          <w:lang w:val="en-AU"/>
        </w:rPr>
      </w:pPr>
      <w:proofErr w:type="gramStart"/>
      <w:r>
        <w:rPr>
          <w:rFonts w:cs="Times New Roman"/>
          <w:lang w:val="en-AU"/>
        </w:rPr>
        <w:t>as</w:t>
      </w:r>
      <w:proofErr w:type="gramEnd"/>
      <w:r>
        <w:rPr>
          <w:rFonts w:cs="Times New Roman"/>
          <w:lang w:val="en-AU"/>
        </w:rPr>
        <w:t xml:space="preserve"> at 30 June 2014</w:t>
      </w:r>
    </w:p>
    <w:tbl>
      <w:tblPr>
        <w:tblW w:w="0" w:type="auto"/>
        <w:tblCellMar>
          <w:left w:w="15" w:type="dxa"/>
          <w:right w:w="15" w:type="dxa"/>
        </w:tblCellMar>
        <w:tblLook w:val="04A0" w:firstRow="1" w:lastRow="0" w:firstColumn="1" w:lastColumn="0" w:noHBand="0" w:noVBand="1"/>
      </w:tblPr>
      <w:tblGrid>
        <w:gridCol w:w="7371"/>
        <w:gridCol w:w="1388"/>
        <w:gridCol w:w="1231"/>
      </w:tblGrid>
      <w:tr w:rsidR="00C57C9F" w14:paraId="1CE197F0" w14:textId="77777777" w:rsidTr="006F421D">
        <w:trPr>
          <w:divId w:val="2075661312"/>
        </w:trPr>
        <w:tc>
          <w:tcPr>
            <w:tcW w:w="7371" w:type="dxa"/>
            <w:vAlign w:val="center"/>
            <w:hideMark/>
          </w:tcPr>
          <w:p w14:paraId="2E55E4C5" w14:textId="77777777" w:rsidR="00C57C9F" w:rsidRDefault="00C57C9F" w:rsidP="006F421D">
            <w:pPr>
              <w:spacing w:before="40" w:after="40"/>
              <w:rPr>
                <w:rFonts w:eastAsia="Times New Roman" w:cs="Times New Roman"/>
              </w:rPr>
            </w:pPr>
          </w:p>
        </w:tc>
        <w:tc>
          <w:tcPr>
            <w:tcW w:w="1388" w:type="dxa"/>
            <w:vAlign w:val="center"/>
            <w:hideMark/>
          </w:tcPr>
          <w:p w14:paraId="303631C2"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2014</w:t>
            </w:r>
          </w:p>
        </w:tc>
        <w:tc>
          <w:tcPr>
            <w:tcW w:w="1231" w:type="dxa"/>
            <w:vAlign w:val="center"/>
            <w:hideMark/>
          </w:tcPr>
          <w:p w14:paraId="2A1FB14D" w14:textId="77777777" w:rsidR="00C57C9F" w:rsidRDefault="00C57C9F" w:rsidP="006F421D">
            <w:pPr>
              <w:pStyle w:val="3fins-table-figures"/>
              <w:spacing w:before="40" w:beforeAutospacing="0" w:after="40" w:afterAutospacing="0"/>
              <w:jc w:val="right"/>
              <w:rPr>
                <w:rFonts w:cs="Times New Roman"/>
              </w:rPr>
            </w:pPr>
            <w:r>
              <w:rPr>
                <w:rFonts w:cs="Times New Roman"/>
              </w:rPr>
              <w:t>2013</w:t>
            </w:r>
          </w:p>
        </w:tc>
      </w:tr>
      <w:tr w:rsidR="00C57C9F" w14:paraId="6C220A00" w14:textId="77777777" w:rsidTr="006F421D">
        <w:trPr>
          <w:divId w:val="2075661312"/>
        </w:trPr>
        <w:tc>
          <w:tcPr>
            <w:tcW w:w="7371" w:type="dxa"/>
            <w:vAlign w:val="center"/>
            <w:hideMark/>
          </w:tcPr>
          <w:p w14:paraId="158E982C" w14:textId="77777777" w:rsidR="00C57C9F" w:rsidRDefault="00C57C9F" w:rsidP="006F421D">
            <w:pPr>
              <w:pStyle w:val="3fins-table"/>
              <w:rPr>
                <w:rFonts w:cs="Times New Roman"/>
              </w:rPr>
            </w:pPr>
            <w:r>
              <w:rPr>
                <w:rStyle w:val="fins-bold"/>
                <w:rFonts w:cs="Times New Roman"/>
              </w:rPr>
              <w:t>BY TYPE</w:t>
            </w:r>
          </w:p>
        </w:tc>
        <w:tc>
          <w:tcPr>
            <w:tcW w:w="1388" w:type="dxa"/>
            <w:vAlign w:val="center"/>
            <w:hideMark/>
          </w:tcPr>
          <w:p w14:paraId="1A709C7D"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$’000</w:t>
            </w:r>
          </w:p>
        </w:tc>
        <w:tc>
          <w:tcPr>
            <w:tcW w:w="1231" w:type="dxa"/>
            <w:vAlign w:val="center"/>
            <w:hideMark/>
          </w:tcPr>
          <w:p w14:paraId="6D302C57" w14:textId="77777777" w:rsidR="00C57C9F" w:rsidRDefault="00C57C9F" w:rsidP="006F421D">
            <w:pPr>
              <w:pStyle w:val="3fins-table-figures"/>
              <w:spacing w:before="40" w:beforeAutospacing="0" w:after="40" w:afterAutospacing="0"/>
              <w:jc w:val="right"/>
              <w:rPr>
                <w:rFonts w:cs="Times New Roman"/>
              </w:rPr>
            </w:pPr>
            <w:r>
              <w:rPr>
                <w:rFonts w:cs="Times New Roman"/>
              </w:rPr>
              <w:t>$’000</w:t>
            </w:r>
          </w:p>
        </w:tc>
      </w:tr>
      <w:tr w:rsidR="00C57C9F" w14:paraId="06960C53" w14:textId="77777777" w:rsidTr="006F421D">
        <w:trPr>
          <w:divId w:val="2075661312"/>
        </w:trPr>
        <w:tc>
          <w:tcPr>
            <w:tcW w:w="7371" w:type="dxa"/>
            <w:vAlign w:val="center"/>
            <w:hideMark/>
          </w:tcPr>
          <w:p w14:paraId="70E6A0B3" w14:textId="77777777" w:rsidR="00C57C9F" w:rsidRDefault="00C57C9F" w:rsidP="006F421D">
            <w:pPr>
              <w:pStyle w:val="3fins-table"/>
              <w:rPr>
                <w:rFonts w:cs="Times New Roman"/>
              </w:rPr>
            </w:pPr>
            <w:r>
              <w:rPr>
                <w:rStyle w:val="fins-bold"/>
                <w:rFonts w:cs="Times New Roman"/>
              </w:rPr>
              <w:t>Commitments receivable</w:t>
            </w:r>
          </w:p>
        </w:tc>
        <w:tc>
          <w:tcPr>
            <w:tcW w:w="1388" w:type="dxa"/>
            <w:vAlign w:val="center"/>
            <w:hideMark/>
          </w:tcPr>
          <w:p w14:paraId="5AAFF939" w14:textId="77777777" w:rsidR="00C57C9F" w:rsidRDefault="00C57C9F" w:rsidP="006F421D">
            <w:pPr>
              <w:spacing w:before="40" w:after="40"/>
              <w:jc w:val="right"/>
              <w:rPr>
                <w:rFonts w:eastAsia="Times New Roman" w:cs="Times New Roman"/>
              </w:rPr>
            </w:pPr>
          </w:p>
        </w:tc>
        <w:tc>
          <w:tcPr>
            <w:tcW w:w="1231" w:type="dxa"/>
            <w:vAlign w:val="center"/>
            <w:hideMark/>
          </w:tcPr>
          <w:p w14:paraId="2BF8E5D6" w14:textId="77777777" w:rsidR="00C57C9F" w:rsidRDefault="00C57C9F" w:rsidP="006F421D">
            <w:pPr>
              <w:spacing w:before="40" w:after="40"/>
              <w:jc w:val="right"/>
              <w:rPr>
                <w:rFonts w:eastAsia="Times New Roman" w:cs="Times New Roman"/>
              </w:rPr>
            </w:pPr>
          </w:p>
        </w:tc>
      </w:tr>
      <w:tr w:rsidR="00C57C9F" w14:paraId="1D2B0846" w14:textId="77777777" w:rsidTr="006F421D">
        <w:trPr>
          <w:divId w:val="2075661312"/>
        </w:trPr>
        <w:tc>
          <w:tcPr>
            <w:tcW w:w="7371" w:type="dxa"/>
            <w:vAlign w:val="center"/>
            <w:hideMark/>
          </w:tcPr>
          <w:p w14:paraId="45638DDD" w14:textId="77777777" w:rsidR="00C57C9F" w:rsidRDefault="00C57C9F" w:rsidP="006F421D">
            <w:pPr>
              <w:pStyle w:val="3fins-table"/>
              <w:rPr>
                <w:rFonts w:cs="Times New Roman"/>
              </w:rPr>
            </w:pPr>
            <w:r>
              <w:rPr>
                <w:rFonts w:cs="Times New Roman"/>
              </w:rPr>
              <w:t>Project Commitments</w:t>
            </w:r>
            <w:r>
              <w:rPr>
                <w:rStyle w:val="superscript"/>
                <w:rFonts w:cs="Times New Roman"/>
              </w:rPr>
              <w:t>1</w:t>
            </w:r>
          </w:p>
        </w:tc>
        <w:tc>
          <w:tcPr>
            <w:tcW w:w="1388" w:type="dxa"/>
            <w:vAlign w:val="center"/>
            <w:hideMark/>
          </w:tcPr>
          <w:p w14:paraId="17463C97"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15,056 </w:t>
            </w:r>
          </w:p>
        </w:tc>
        <w:tc>
          <w:tcPr>
            <w:tcW w:w="1231" w:type="dxa"/>
            <w:vAlign w:val="center"/>
            <w:hideMark/>
          </w:tcPr>
          <w:p w14:paraId="7C8F3682" w14:textId="77777777" w:rsidR="00C57C9F" w:rsidRDefault="00C57C9F" w:rsidP="006F421D">
            <w:pPr>
              <w:pStyle w:val="3fins-table-figures"/>
              <w:spacing w:before="40" w:beforeAutospacing="0" w:after="40" w:afterAutospacing="0"/>
              <w:jc w:val="right"/>
              <w:rPr>
                <w:rFonts w:cs="Times New Roman"/>
              </w:rPr>
            </w:pPr>
            <w:r>
              <w:rPr>
                <w:rFonts w:cs="Times New Roman"/>
              </w:rPr>
              <w:t>7,127</w:t>
            </w:r>
          </w:p>
        </w:tc>
      </w:tr>
      <w:tr w:rsidR="00C57C9F" w14:paraId="15374C69" w14:textId="77777777" w:rsidTr="006F421D">
        <w:trPr>
          <w:divId w:val="2075661312"/>
        </w:trPr>
        <w:tc>
          <w:tcPr>
            <w:tcW w:w="7371" w:type="dxa"/>
            <w:vAlign w:val="center"/>
            <w:hideMark/>
          </w:tcPr>
          <w:p w14:paraId="16E92067" w14:textId="77777777" w:rsidR="00C57C9F" w:rsidRDefault="00C57C9F" w:rsidP="006F421D">
            <w:pPr>
              <w:pStyle w:val="3fins-table"/>
              <w:rPr>
                <w:rFonts w:cs="Times New Roman"/>
              </w:rPr>
            </w:pPr>
            <w:r>
              <w:rPr>
                <w:rFonts w:cs="Times New Roman"/>
              </w:rPr>
              <w:t>Net GST recoverable on commitments</w:t>
            </w:r>
          </w:p>
        </w:tc>
        <w:tc>
          <w:tcPr>
            <w:tcW w:w="1388" w:type="dxa"/>
            <w:tcBorders>
              <w:bottom w:val="single" w:sz="4" w:space="0" w:color="0D0D0D" w:themeColor="text1" w:themeTint="F2"/>
            </w:tcBorders>
            <w:vAlign w:val="center"/>
            <w:hideMark/>
          </w:tcPr>
          <w:p w14:paraId="088CC106"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298 </w:t>
            </w:r>
          </w:p>
        </w:tc>
        <w:tc>
          <w:tcPr>
            <w:tcW w:w="1231" w:type="dxa"/>
            <w:tcBorders>
              <w:bottom w:val="single" w:sz="4" w:space="0" w:color="0D0D0D" w:themeColor="text1" w:themeTint="F2"/>
            </w:tcBorders>
            <w:vAlign w:val="center"/>
            <w:hideMark/>
          </w:tcPr>
          <w:p w14:paraId="1AD5C019" w14:textId="77777777" w:rsidR="00C57C9F" w:rsidRDefault="00C57C9F" w:rsidP="006F421D">
            <w:pPr>
              <w:pStyle w:val="3fins-table-figures"/>
              <w:spacing w:before="40" w:beforeAutospacing="0" w:after="40" w:afterAutospacing="0"/>
              <w:jc w:val="right"/>
              <w:rPr>
                <w:rFonts w:cs="Times New Roman"/>
              </w:rPr>
            </w:pPr>
            <w:r>
              <w:rPr>
                <w:rFonts w:cs="Times New Roman"/>
              </w:rPr>
              <w:t>136</w:t>
            </w:r>
          </w:p>
        </w:tc>
      </w:tr>
      <w:tr w:rsidR="00C57C9F" w14:paraId="17DE5CC0" w14:textId="77777777" w:rsidTr="006F421D">
        <w:trPr>
          <w:divId w:val="2075661312"/>
        </w:trPr>
        <w:tc>
          <w:tcPr>
            <w:tcW w:w="7371" w:type="dxa"/>
            <w:vAlign w:val="center"/>
            <w:hideMark/>
          </w:tcPr>
          <w:p w14:paraId="057B1D02" w14:textId="77777777" w:rsidR="00C57C9F" w:rsidRDefault="00C57C9F" w:rsidP="006F421D">
            <w:pPr>
              <w:pStyle w:val="3fins-table"/>
              <w:rPr>
                <w:rFonts w:cs="Times New Roman"/>
              </w:rPr>
            </w:pPr>
            <w:r>
              <w:rPr>
                <w:rStyle w:val="fins-bold"/>
                <w:rFonts w:cs="Times New Roman"/>
              </w:rPr>
              <w:t>Total commitments receivable</w:t>
            </w:r>
          </w:p>
        </w:tc>
        <w:tc>
          <w:tcPr>
            <w:tcW w:w="1388" w:type="dxa"/>
            <w:tcBorders>
              <w:top w:val="single" w:sz="4" w:space="0" w:color="0D0D0D" w:themeColor="text1" w:themeTint="F2"/>
              <w:bottom w:val="single" w:sz="4" w:space="0" w:color="0D0D0D" w:themeColor="text1" w:themeTint="F2"/>
            </w:tcBorders>
            <w:vAlign w:val="center"/>
            <w:hideMark/>
          </w:tcPr>
          <w:p w14:paraId="5F14866E"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15,354 </w:t>
            </w:r>
          </w:p>
        </w:tc>
        <w:tc>
          <w:tcPr>
            <w:tcW w:w="1231" w:type="dxa"/>
            <w:tcBorders>
              <w:top w:val="single" w:sz="4" w:space="0" w:color="0D0D0D" w:themeColor="text1" w:themeTint="F2"/>
              <w:bottom w:val="single" w:sz="4" w:space="0" w:color="0D0D0D" w:themeColor="text1" w:themeTint="F2"/>
            </w:tcBorders>
            <w:vAlign w:val="center"/>
            <w:hideMark/>
          </w:tcPr>
          <w:p w14:paraId="31760659" w14:textId="77777777" w:rsidR="00C57C9F" w:rsidRDefault="00C57C9F" w:rsidP="006F421D">
            <w:pPr>
              <w:pStyle w:val="3fins-table-figures"/>
              <w:spacing w:before="40" w:beforeAutospacing="0" w:after="40" w:afterAutospacing="0"/>
              <w:jc w:val="right"/>
              <w:rPr>
                <w:rFonts w:cs="Times New Roman"/>
              </w:rPr>
            </w:pPr>
            <w:r>
              <w:rPr>
                <w:rFonts w:cs="Times New Roman"/>
              </w:rPr>
              <w:t>7,263</w:t>
            </w:r>
          </w:p>
        </w:tc>
      </w:tr>
      <w:tr w:rsidR="00C57C9F" w14:paraId="1252E89D" w14:textId="77777777" w:rsidTr="006F421D">
        <w:trPr>
          <w:divId w:val="2075661312"/>
        </w:trPr>
        <w:tc>
          <w:tcPr>
            <w:tcW w:w="7371" w:type="dxa"/>
            <w:vAlign w:val="center"/>
            <w:hideMark/>
          </w:tcPr>
          <w:p w14:paraId="4898F21D" w14:textId="77777777" w:rsidR="00C57C9F" w:rsidRDefault="00C57C9F" w:rsidP="006F421D">
            <w:pPr>
              <w:spacing w:before="40" w:after="40"/>
              <w:rPr>
                <w:rFonts w:eastAsia="Times New Roman" w:cs="Times New Roman"/>
              </w:rPr>
            </w:pPr>
          </w:p>
        </w:tc>
        <w:tc>
          <w:tcPr>
            <w:tcW w:w="1388" w:type="dxa"/>
            <w:tcBorders>
              <w:top w:val="single" w:sz="4" w:space="0" w:color="0D0D0D" w:themeColor="text1" w:themeTint="F2"/>
            </w:tcBorders>
            <w:vAlign w:val="center"/>
            <w:hideMark/>
          </w:tcPr>
          <w:p w14:paraId="2E8D1D80" w14:textId="77777777" w:rsidR="00C57C9F" w:rsidRDefault="00C57C9F" w:rsidP="006F421D">
            <w:pPr>
              <w:spacing w:before="40" w:after="40"/>
              <w:jc w:val="right"/>
              <w:rPr>
                <w:rFonts w:eastAsia="Times New Roman" w:cs="Times New Roman"/>
              </w:rPr>
            </w:pPr>
          </w:p>
        </w:tc>
        <w:tc>
          <w:tcPr>
            <w:tcW w:w="1231" w:type="dxa"/>
            <w:tcBorders>
              <w:top w:val="single" w:sz="4" w:space="0" w:color="0D0D0D" w:themeColor="text1" w:themeTint="F2"/>
            </w:tcBorders>
            <w:vAlign w:val="center"/>
            <w:hideMark/>
          </w:tcPr>
          <w:p w14:paraId="76B17E9B" w14:textId="77777777" w:rsidR="00C57C9F" w:rsidRDefault="00C57C9F" w:rsidP="006F421D">
            <w:pPr>
              <w:spacing w:before="40" w:after="40"/>
              <w:jc w:val="right"/>
              <w:rPr>
                <w:rFonts w:eastAsia="Times New Roman" w:cs="Times New Roman"/>
              </w:rPr>
            </w:pPr>
          </w:p>
        </w:tc>
      </w:tr>
      <w:tr w:rsidR="00C57C9F" w14:paraId="52C00FF0" w14:textId="77777777" w:rsidTr="006F421D">
        <w:trPr>
          <w:divId w:val="2075661312"/>
        </w:trPr>
        <w:tc>
          <w:tcPr>
            <w:tcW w:w="7371" w:type="dxa"/>
            <w:vAlign w:val="center"/>
            <w:hideMark/>
          </w:tcPr>
          <w:p w14:paraId="11B27C85" w14:textId="77777777" w:rsidR="00C57C9F" w:rsidRDefault="00C57C9F" w:rsidP="006F421D">
            <w:pPr>
              <w:pStyle w:val="3fins-table"/>
              <w:rPr>
                <w:rFonts w:cs="Times New Roman"/>
              </w:rPr>
            </w:pPr>
            <w:r>
              <w:rPr>
                <w:rStyle w:val="fins-bold"/>
                <w:rFonts w:cs="Times New Roman"/>
              </w:rPr>
              <w:t>Commitments payable</w:t>
            </w:r>
          </w:p>
        </w:tc>
        <w:tc>
          <w:tcPr>
            <w:tcW w:w="1388" w:type="dxa"/>
            <w:vAlign w:val="center"/>
            <w:hideMark/>
          </w:tcPr>
          <w:p w14:paraId="075FB79D" w14:textId="77777777" w:rsidR="00C57C9F" w:rsidRDefault="00C57C9F" w:rsidP="006F421D">
            <w:pPr>
              <w:spacing w:before="40" w:after="40"/>
              <w:jc w:val="right"/>
              <w:rPr>
                <w:rFonts w:eastAsia="Times New Roman" w:cs="Times New Roman"/>
              </w:rPr>
            </w:pPr>
          </w:p>
        </w:tc>
        <w:tc>
          <w:tcPr>
            <w:tcW w:w="1231" w:type="dxa"/>
            <w:vAlign w:val="center"/>
            <w:hideMark/>
          </w:tcPr>
          <w:p w14:paraId="7E13A579" w14:textId="77777777" w:rsidR="00C57C9F" w:rsidRDefault="00C57C9F" w:rsidP="006F421D">
            <w:pPr>
              <w:spacing w:before="40" w:after="40"/>
              <w:jc w:val="right"/>
              <w:rPr>
                <w:rFonts w:eastAsia="Times New Roman" w:cs="Times New Roman"/>
              </w:rPr>
            </w:pPr>
          </w:p>
        </w:tc>
      </w:tr>
      <w:tr w:rsidR="00C57C9F" w14:paraId="2B75454E" w14:textId="77777777" w:rsidTr="006F421D">
        <w:trPr>
          <w:divId w:val="2075661312"/>
        </w:trPr>
        <w:tc>
          <w:tcPr>
            <w:tcW w:w="7371" w:type="dxa"/>
            <w:vAlign w:val="center"/>
            <w:hideMark/>
          </w:tcPr>
          <w:p w14:paraId="2D304321" w14:textId="77777777" w:rsidR="00C57C9F" w:rsidRDefault="00C57C9F" w:rsidP="006F421D">
            <w:pPr>
              <w:pStyle w:val="3fins-table"/>
              <w:rPr>
                <w:rFonts w:cs="Times New Roman"/>
              </w:rPr>
            </w:pPr>
            <w:r>
              <w:rPr>
                <w:rFonts w:cs="Times New Roman"/>
              </w:rPr>
              <w:t>Operating lease</w:t>
            </w:r>
            <w:r>
              <w:rPr>
                <w:rStyle w:val="superscript"/>
                <w:rFonts w:cs="Times New Roman"/>
              </w:rPr>
              <w:t>2</w:t>
            </w:r>
          </w:p>
        </w:tc>
        <w:tc>
          <w:tcPr>
            <w:tcW w:w="1388" w:type="dxa"/>
            <w:vAlign w:val="center"/>
            <w:hideMark/>
          </w:tcPr>
          <w:p w14:paraId="2F8C13C5"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1,636 </w:t>
            </w:r>
          </w:p>
        </w:tc>
        <w:tc>
          <w:tcPr>
            <w:tcW w:w="1231" w:type="dxa"/>
            <w:vAlign w:val="center"/>
            <w:hideMark/>
          </w:tcPr>
          <w:p w14:paraId="2BDF2AAF" w14:textId="77777777" w:rsidR="00C57C9F" w:rsidRDefault="00C57C9F" w:rsidP="006F421D">
            <w:pPr>
              <w:pStyle w:val="3fins-table-figures"/>
              <w:spacing w:before="40" w:beforeAutospacing="0" w:after="40" w:afterAutospacing="0"/>
              <w:jc w:val="right"/>
              <w:rPr>
                <w:rFonts w:cs="Times New Roman"/>
              </w:rPr>
            </w:pPr>
            <w:r>
              <w:rPr>
                <w:rFonts w:cs="Times New Roman"/>
              </w:rPr>
              <w:t>793</w:t>
            </w:r>
          </w:p>
        </w:tc>
      </w:tr>
      <w:tr w:rsidR="00C57C9F" w14:paraId="11A7CFE8" w14:textId="77777777" w:rsidTr="006F421D">
        <w:trPr>
          <w:divId w:val="2075661312"/>
        </w:trPr>
        <w:tc>
          <w:tcPr>
            <w:tcW w:w="7371" w:type="dxa"/>
            <w:vAlign w:val="center"/>
            <w:hideMark/>
          </w:tcPr>
          <w:p w14:paraId="4CF090FC" w14:textId="77777777" w:rsidR="00C57C9F" w:rsidRDefault="00C57C9F" w:rsidP="006F421D">
            <w:pPr>
              <w:pStyle w:val="3fins-table"/>
              <w:rPr>
                <w:rFonts w:cs="Times New Roman"/>
              </w:rPr>
            </w:pPr>
            <w:r>
              <w:rPr>
                <w:rFonts w:cs="Times New Roman"/>
              </w:rPr>
              <w:t>Other Commitments</w:t>
            </w:r>
            <w:r>
              <w:rPr>
                <w:rStyle w:val="superscript"/>
                <w:rFonts w:cs="Times New Roman"/>
              </w:rPr>
              <w:t>3</w:t>
            </w:r>
          </w:p>
        </w:tc>
        <w:tc>
          <w:tcPr>
            <w:tcW w:w="1388" w:type="dxa"/>
            <w:tcBorders>
              <w:bottom w:val="single" w:sz="4" w:space="0" w:color="0D0D0D" w:themeColor="text1" w:themeTint="F2"/>
            </w:tcBorders>
            <w:vAlign w:val="center"/>
            <w:hideMark/>
          </w:tcPr>
          <w:p w14:paraId="43F6F09C"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1,955 </w:t>
            </w:r>
          </w:p>
        </w:tc>
        <w:tc>
          <w:tcPr>
            <w:tcW w:w="1231" w:type="dxa"/>
            <w:tcBorders>
              <w:bottom w:val="single" w:sz="4" w:space="0" w:color="0D0D0D" w:themeColor="text1" w:themeTint="F2"/>
            </w:tcBorders>
            <w:vAlign w:val="center"/>
            <w:hideMark/>
          </w:tcPr>
          <w:p w14:paraId="73795B13" w14:textId="77777777" w:rsidR="00C57C9F" w:rsidRDefault="00C57C9F" w:rsidP="006F421D">
            <w:pPr>
              <w:pStyle w:val="3fins-table-figures"/>
              <w:spacing w:before="40" w:beforeAutospacing="0" w:after="40" w:afterAutospacing="0"/>
              <w:jc w:val="right"/>
              <w:rPr>
                <w:rFonts w:cs="Times New Roman"/>
              </w:rPr>
            </w:pPr>
            <w:r>
              <w:rPr>
                <w:rFonts w:cs="Times New Roman"/>
              </w:rPr>
              <w:t>1,964</w:t>
            </w:r>
          </w:p>
        </w:tc>
      </w:tr>
      <w:tr w:rsidR="00C57C9F" w14:paraId="54C1AD4C" w14:textId="77777777" w:rsidTr="006F421D">
        <w:trPr>
          <w:divId w:val="2075661312"/>
        </w:trPr>
        <w:tc>
          <w:tcPr>
            <w:tcW w:w="7371" w:type="dxa"/>
            <w:vAlign w:val="center"/>
            <w:hideMark/>
          </w:tcPr>
          <w:p w14:paraId="6DDFAF40" w14:textId="77777777" w:rsidR="00C57C9F" w:rsidRDefault="00C57C9F" w:rsidP="006F421D">
            <w:pPr>
              <w:pStyle w:val="3fins-table"/>
              <w:rPr>
                <w:rFonts w:cs="Times New Roman"/>
              </w:rPr>
            </w:pPr>
            <w:r>
              <w:rPr>
                <w:rStyle w:val="fins-bold"/>
                <w:rFonts w:cs="Times New Roman"/>
              </w:rPr>
              <w:t>Total commitments payable</w:t>
            </w:r>
          </w:p>
        </w:tc>
        <w:tc>
          <w:tcPr>
            <w:tcW w:w="1388" w:type="dxa"/>
            <w:tcBorders>
              <w:top w:val="single" w:sz="4" w:space="0" w:color="0D0D0D" w:themeColor="text1" w:themeTint="F2"/>
              <w:bottom w:val="single" w:sz="4" w:space="0" w:color="0D0D0D" w:themeColor="text1" w:themeTint="F2"/>
            </w:tcBorders>
            <w:vAlign w:val="center"/>
            <w:hideMark/>
          </w:tcPr>
          <w:p w14:paraId="39531E64"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3,591 </w:t>
            </w:r>
          </w:p>
        </w:tc>
        <w:tc>
          <w:tcPr>
            <w:tcW w:w="1231" w:type="dxa"/>
            <w:tcBorders>
              <w:top w:val="single" w:sz="4" w:space="0" w:color="0D0D0D" w:themeColor="text1" w:themeTint="F2"/>
              <w:bottom w:val="single" w:sz="4" w:space="0" w:color="0D0D0D" w:themeColor="text1" w:themeTint="F2"/>
            </w:tcBorders>
            <w:vAlign w:val="center"/>
            <w:hideMark/>
          </w:tcPr>
          <w:p w14:paraId="44C1AAC9" w14:textId="77777777" w:rsidR="00C57C9F" w:rsidRDefault="00C57C9F" w:rsidP="006F421D">
            <w:pPr>
              <w:pStyle w:val="3fins-table-figures"/>
              <w:spacing w:before="40" w:beforeAutospacing="0" w:after="40" w:afterAutospacing="0"/>
              <w:jc w:val="right"/>
              <w:rPr>
                <w:rFonts w:cs="Times New Roman"/>
              </w:rPr>
            </w:pPr>
            <w:r>
              <w:rPr>
                <w:rFonts w:cs="Times New Roman"/>
              </w:rPr>
              <w:t>2,757</w:t>
            </w:r>
          </w:p>
        </w:tc>
      </w:tr>
      <w:tr w:rsidR="00C57C9F" w14:paraId="7E741A84" w14:textId="77777777" w:rsidTr="006F421D">
        <w:trPr>
          <w:divId w:val="2075661312"/>
        </w:trPr>
        <w:tc>
          <w:tcPr>
            <w:tcW w:w="7371" w:type="dxa"/>
            <w:vAlign w:val="center"/>
            <w:hideMark/>
          </w:tcPr>
          <w:p w14:paraId="25221301" w14:textId="77777777" w:rsidR="00C57C9F" w:rsidRDefault="00C57C9F" w:rsidP="006F421D">
            <w:pPr>
              <w:spacing w:before="40" w:after="40"/>
              <w:rPr>
                <w:rFonts w:eastAsia="Times New Roman" w:cs="Times New Roman"/>
              </w:rPr>
            </w:pPr>
          </w:p>
        </w:tc>
        <w:tc>
          <w:tcPr>
            <w:tcW w:w="1388" w:type="dxa"/>
            <w:tcBorders>
              <w:top w:val="single" w:sz="4" w:space="0" w:color="0D0D0D" w:themeColor="text1" w:themeTint="F2"/>
            </w:tcBorders>
            <w:vAlign w:val="center"/>
            <w:hideMark/>
          </w:tcPr>
          <w:p w14:paraId="273FD166" w14:textId="77777777" w:rsidR="00C57C9F" w:rsidRDefault="00C57C9F" w:rsidP="006F421D">
            <w:pPr>
              <w:spacing w:before="40" w:after="40"/>
              <w:jc w:val="right"/>
              <w:rPr>
                <w:rFonts w:eastAsia="Times New Roman" w:cs="Times New Roman"/>
              </w:rPr>
            </w:pPr>
          </w:p>
        </w:tc>
        <w:tc>
          <w:tcPr>
            <w:tcW w:w="1231" w:type="dxa"/>
            <w:tcBorders>
              <w:top w:val="single" w:sz="4" w:space="0" w:color="0D0D0D" w:themeColor="text1" w:themeTint="F2"/>
            </w:tcBorders>
            <w:vAlign w:val="center"/>
            <w:hideMark/>
          </w:tcPr>
          <w:p w14:paraId="56510D32" w14:textId="77777777" w:rsidR="00C57C9F" w:rsidRDefault="00C57C9F" w:rsidP="006F421D">
            <w:pPr>
              <w:spacing w:before="40" w:after="40"/>
              <w:jc w:val="right"/>
              <w:rPr>
                <w:rFonts w:eastAsia="Times New Roman" w:cs="Times New Roman"/>
              </w:rPr>
            </w:pPr>
          </w:p>
        </w:tc>
      </w:tr>
      <w:tr w:rsidR="00C57C9F" w14:paraId="009ED946" w14:textId="77777777" w:rsidTr="006F421D">
        <w:trPr>
          <w:divId w:val="2075661312"/>
        </w:trPr>
        <w:tc>
          <w:tcPr>
            <w:tcW w:w="7371" w:type="dxa"/>
            <w:vAlign w:val="center"/>
            <w:hideMark/>
          </w:tcPr>
          <w:p w14:paraId="472A349C" w14:textId="77777777" w:rsidR="00C57C9F" w:rsidRDefault="00C57C9F" w:rsidP="006F421D">
            <w:pPr>
              <w:pStyle w:val="3fins-table"/>
              <w:rPr>
                <w:rFonts w:cs="Times New Roman"/>
              </w:rPr>
            </w:pPr>
            <w:r>
              <w:rPr>
                <w:rStyle w:val="fins-bold"/>
                <w:rFonts w:cs="Times New Roman"/>
              </w:rPr>
              <w:t>Net commitments by type</w:t>
            </w:r>
          </w:p>
        </w:tc>
        <w:tc>
          <w:tcPr>
            <w:tcW w:w="1388" w:type="dxa"/>
            <w:tcBorders>
              <w:bottom w:val="single" w:sz="4" w:space="0" w:color="0D0D0D" w:themeColor="text1" w:themeTint="F2"/>
            </w:tcBorders>
            <w:vAlign w:val="center"/>
            <w:hideMark/>
          </w:tcPr>
          <w:p w14:paraId="39312BD9"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11,763 </w:t>
            </w:r>
          </w:p>
        </w:tc>
        <w:tc>
          <w:tcPr>
            <w:tcW w:w="1231" w:type="dxa"/>
            <w:tcBorders>
              <w:bottom w:val="single" w:sz="4" w:space="0" w:color="0D0D0D" w:themeColor="text1" w:themeTint="F2"/>
            </w:tcBorders>
            <w:vAlign w:val="center"/>
            <w:hideMark/>
          </w:tcPr>
          <w:p w14:paraId="2E6C023E" w14:textId="77777777" w:rsidR="00C57C9F" w:rsidRDefault="00C57C9F" w:rsidP="006F421D">
            <w:pPr>
              <w:pStyle w:val="3fins-table-figures"/>
              <w:spacing w:before="40" w:beforeAutospacing="0" w:after="40" w:afterAutospacing="0"/>
              <w:jc w:val="right"/>
              <w:rPr>
                <w:rFonts w:cs="Times New Roman"/>
              </w:rPr>
            </w:pPr>
            <w:r>
              <w:rPr>
                <w:rFonts w:cs="Times New Roman"/>
              </w:rPr>
              <w:t>4,506</w:t>
            </w:r>
          </w:p>
        </w:tc>
      </w:tr>
      <w:tr w:rsidR="00C57C9F" w14:paraId="7E9DDABE" w14:textId="77777777" w:rsidTr="006F421D">
        <w:trPr>
          <w:divId w:val="2075661312"/>
        </w:trPr>
        <w:tc>
          <w:tcPr>
            <w:tcW w:w="7371" w:type="dxa"/>
            <w:vAlign w:val="center"/>
            <w:hideMark/>
          </w:tcPr>
          <w:p w14:paraId="6901F040" w14:textId="77777777" w:rsidR="00C57C9F" w:rsidRDefault="00C57C9F" w:rsidP="006F421D">
            <w:pPr>
              <w:spacing w:before="40" w:after="40"/>
              <w:rPr>
                <w:rFonts w:eastAsia="Times New Roman" w:cs="Times New Roman"/>
              </w:rPr>
            </w:pPr>
          </w:p>
        </w:tc>
        <w:tc>
          <w:tcPr>
            <w:tcW w:w="1388" w:type="dxa"/>
            <w:tcBorders>
              <w:top w:val="single" w:sz="4" w:space="0" w:color="0D0D0D" w:themeColor="text1" w:themeTint="F2"/>
            </w:tcBorders>
            <w:vAlign w:val="center"/>
            <w:hideMark/>
          </w:tcPr>
          <w:p w14:paraId="0A6AAC55" w14:textId="77777777" w:rsidR="00C57C9F" w:rsidRDefault="00C57C9F" w:rsidP="006F421D">
            <w:pPr>
              <w:spacing w:before="40" w:after="40"/>
              <w:jc w:val="right"/>
              <w:rPr>
                <w:rFonts w:eastAsia="Times New Roman" w:cs="Times New Roman"/>
              </w:rPr>
            </w:pPr>
          </w:p>
        </w:tc>
        <w:tc>
          <w:tcPr>
            <w:tcW w:w="1231" w:type="dxa"/>
            <w:tcBorders>
              <w:top w:val="single" w:sz="4" w:space="0" w:color="0D0D0D" w:themeColor="text1" w:themeTint="F2"/>
            </w:tcBorders>
            <w:vAlign w:val="center"/>
            <w:hideMark/>
          </w:tcPr>
          <w:p w14:paraId="3961F918" w14:textId="77777777" w:rsidR="00C57C9F" w:rsidRDefault="00C57C9F" w:rsidP="006F421D">
            <w:pPr>
              <w:spacing w:before="40" w:after="40"/>
              <w:jc w:val="right"/>
              <w:rPr>
                <w:rFonts w:eastAsia="Times New Roman" w:cs="Times New Roman"/>
              </w:rPr>
            </w:pPr>
          </w:p>
        </w:tc>
      </w:tr>
      <w:tr w:rsidR="00C57C9F" w14:paraId="299F713D" w14:textId="77777777" w:rsidTr="006F421D">
        <w:trPr>
          <w:divId w:val="2075661312"/>
        </w:trPr>
        <w:tc>
          <w:tcPr>
            <w:tcW w:w="7371" w:type="dxa"/>
            <w:vAlign w:val="center"/>
            <w:hideMark/>
          </w:tcPr>
          <w:p w14:paraId="08DDA0BD" w14:textId="77777777" w:rsidR="00C57C9F" w:rsidRDefault="00C57C9F" w:rsidP="006F421D">
            <w:pPr>
              <w:pStyle w:val="3fins-table"/>
              <w:rPr>
                <w:rFonts w:cs="Times New Roman"/>
              </w:rPr>
            </w:pPr>
            <w:r>
              <w:rPr>
                <w:rStyle w:val="fins-bold"/>
                <w:rFonts w:cs="Times New Roman"/>
              </w:rPr>
              <w:t>BY MATURITY</w:t>
            </w:r>
          </w:p>
        </w:tc>
        <w:tc>
          <w:tcPr>
            <w:tcW w:w="1388" w:type="dxa"/>
            <w:vAlign w:val="center"/>
            <w:hideMark/>
          </w:tcPr>
          <w:p w14:paraId="396C33EC" w14:textId="77777777" w:rsidR="00C57C9F" w:rsidRDefault="00C57C9F" w:rsidP="006F421D">
            <w:pPr>
              <w:spacing w:before="40" w:after="40"/>
              <w:jc w:val="right"/>
              <w:rPr>
                <w:rFonts w:eastAsia="Times New Roman" w:cs="Times New Roman"/>
              </w:rPr>
            </w:pPr>
          </w:p>
        </w:tc>
        <w:tc>
          <w:tcPr>
            <w:tcW w:w="1231" w:type="dxa"/>
            <w:vAlign w:val="center"/>
            <w:hideMark/>
          </w:tcPr>
          <w:p w14:paraId="0710C698" w14:textId="77777777" w:rsidR="00C57C9F" w:rsidRDefault="00C57C9F" w:rsidP="006F421D">
            <w:pPr>
              <w:spacing w:before="40" w:after="40"/>
              <w:jc w:val="right"/>
              <w:rPr>
                <w:rFonts w:eastAsia="Times New Roman" w:cs="Times New Roman"/>
              </w:rPr>
            </w:pPr>
          </w:p>
        </w:tc>
      </w:tr>
      <w:tr w:rsidR="00C57C9F" w14:paraId="51784E15" w14:textId="77777777" w:rsidTr="006F421D">
        <w:trPr>
          <w:divId w:val="2075661312"/>
        </w:trPr>
        <w:tc>
          <w:tcPr>
            <w:tcW w:w="7371" w:type="dxa"/>
            <w:vAlign w:val="center"/>
            <w:hideMark/>
          </w:tcPr>
          <w:p w14:paraId="64C7F797" w14:textId="77777777" w:rsidR="00C57C9F" w:rsidRDefault="00C57C9F" w:rsidP="006F421D">
            <w:pPr>
              <w:pStyle w:val="3fins-table"/>
              <w:rPr>
                <w:rFonts w:cs="Times New Roman"/>
              </w:rPr>
            </w:pPr>
            <w:r>
              <w:rPr>
                <w:rStyle w:val="fins-bold"/>
                <w:rFonts w:cs="Times New Roman"/>
              </w:rPr>
              <w:t>Commitments receivable</w:t>
            </w:r>
          </w:p>
        </w:tc>
        <w:tc>
          <w:tcPr>
            <w:tcW w:w="1388" w:type="dxa"/>
            <w:vAlign w:val="center"/>
            <w:hideMark/>
          </w:tcPr>
          <w:p w14:paraId="6672522A" w14:textId="77777777" w:rsidR="00C57C9F" w:rsidRDefault="00C57C9F" w:rsidP="006F421D">
            <w:pPr>
              <w:spacing w:before="40" w:after="40"/>
              <w:jc w:val="right"/>
              <w:rPr>
                <w:rFonts w:eastAsia="Times New Roman" w:cs="Times New Roman"/>
              </w:rPr>
            </w:pPr>
          </w:p>
        </w:tc>
        <w:tc>
          <w:tcPr>
            <w:tcW w:w="1231" w:type="dxa"/>
            <w:vAlign w:val="center"/>
            <w:hideMark/>
          </w:tcPr>
          <w:p w14:paraId="4AC70E31" w14:textId="77777777" w:rsidR="00C57C9F" w:rsidRDefault="00C57C9F" w:rsidP="006F421D">
            <w:pPr>
              <w:spacing w:before="40" w:after="40"/>
              <w:jc w:val="right"/>
              <w:rPr>
                <w:rFonts w:eastAsia="Times New Roman" w:cs="Times New Roman"/>
              </w:rPr>
            </w:pPr>
          </w:p>
        </w:tc>
      </w:tr>
      <w:tr w:rsidR="00C57C9F" w14:paraId="68E22152" w14:textId="77777777" w:rsidTr="006F421D">
        <w:trPr>
          <w:divId w:val="2075661312"/>
        </w:trPr>
        <w:tc>
          <w:tcPr>
            <w:tcW w:w="7371" w:type="dxa"/>
            <w:vAlign w:val="center"/>
            <w:hideMark/>
          </w:tcPr>
          <w:p w14:paraId="0F586522" w14:textId="77777777" w:rsidR="00C57C9F" w:rsidRDefault="00C57C9F" w:rsidP="006F421D">
            <w:pPr>
              <w:pStyle w:val="3fins-table"/>
              <w:rPr>
                <w:rFonts w:cs="Times New Roman"/>
              </w:rPr>
            </w:pPr>
            <w:r>
              <w:rPr>
                <w:rFonts w:cs="Times New Roman"/>
              </w:rPr>
              <w:t>One year or less</w:t>
            </w:r>
          </w:p>
        </w:tc>
        <w:tc>
          <w:tcPr>
            <w:tcW w:w="1388" w:type="dxa"/>
            <w:vAlign w:val="center"/>
            <w:hideMark/>
          </w:tcPr>
          <w:p w14:paraId="4D2C733C"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10,216 </w:t>
            </w:r>
          </w:p>
        </w:tc>
        <w:tc>
          <w:tcPr>
            <w:tcW w:w="1231" w:type="dxa"/>
            <w:vAlign w:val="center"/>
            <w:hideMark/>
          </w:tcPr>
          <w:p w14:paraId="3D4DB33E" w14:textId="77777777" w:rsidR="00C57C9F" w:rsidRDefault="00C57C9F" w:rsidP="006F421D">
            <w:pPr>
              <w:pStyle w:val="3fins-table-figures"/>
              <w:spacing w:before="40" w:beforeAutospacing="0" w:after="40" w:afterAutospacing="0"/>
              <w:jc w:val="right"/>
              <w:rPr>
                <w:rFonts w:cs="Times New Roman"/>
              </w:rPr>
            </w:pPr>
            <w:r>
              <w:rPr>
                <w:rFonts w:cs="Times New Roman"/>
              </w:rPr>
              <w:t>5,340</w:t>
            </w:r>
          </w:p>
        </w:tc>
      </w:tr>
      <w:tr w:rsidR="00C57C9F" w14:paraId="1A5B652E" w14:textId="77777777" w:rsidTr="006F421D">
        <w:trPr>
          <w:divId w:val="2075661312"/>
        </w:trPr>
        <w:tc>
          <w:tcPr>
            <w:tcW w:w="7371" w:type="dxa"/>
            <w:vAlign w:val="center"/>
            <w:hideMark/>
          </w:tcPr>
          <w:p w14:paraId="462531C9" w14:textId="77777777" w:rsidR="00C57C9F" w:rsidRDefault="00C57C9F" w:rsidP="006F421D">
            <w:pPr>
              <w:pStyle w:val="3fins-table"/>
              <w:rPr>
                <w:rFonts w:cs="Times New Roman"/>
              </w:rPr>
            </w:pPr>
            <w:r>
              <w:rPr>
                <w:rFonts w:cs="Times New Roman"/>
              </w:rPr>
              <w:t>From one to five years</w:t>
            </w:r>
          </w:p>
        </w:tc>
        <w:tc>
          <w:tcPr>
            <w:tcW w:w="1388" w:type="dxa"/>
            <w:tcBorders>
              <w:bottom w:val="single" w:sz="4" w:space="0" w:color="0D0D0D" w:themeColor="text1" w:themeTint="F2"/>
            </w:tcBorders>
            <w:vAlign w:val="center"/>
            <w:hideMark/>
          </w:tcPr>
          <w:p w14:paraId="1BF3D48C"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5,138 </w:t>
            </w:r>
          </w:p>
        </w:tc>
        <w:tc>
          <w:tcPr>
            <w:tcW w:w="1231" w:type="dxa"/>
            <w:tcBorders>
              <w:bottom w:val="single" w:sz="4" w:space="0" w:color="0D0D0D" w:themeColor="text1" w:themeTint="F2"/>
            </w:tcBorders>
            <w:vAlign w:val="center"/>
            <w:hideMark/>
          </w:tcPr>
          <w:p w14:paraId="742DC13E" w14:textId="77777777" w:rsidR="00C57C9F" w:rsidRDefault="00C57C9F" w:rsidP="006F421D">
            <w:pPr>
              <w:pStyle w:val="3fins-table-figures"/>
              <w:spacing w:before="40" w:beforeAutospacing="0" w:after="40" w:afterAutospacing="0"/>
              <w:jc w:val="right"/>
              <w:rPr>
                <w:rFonts w:cs="Times New Roman"/>
              </w:rPr>
            </w:pPr>
            <w:r>
              <w:rPr>
                <w:rFonts w:cs="Times New Roman"/>
              </w:rPr>
              <w:t>1,923</w:t>
            </w:r>
          </w:p>
        </w:tc>
      </w:tr>
      <w:tr w:rsidR="00C57C9F" w14:paraId="51DF8935" w14:textId="77777777" w:rsidTr="006F421D">
        <w:trPr>
          <w:divId w:val="2075661312"/>
        </w:trPr>
        <w:tc>
          <w:tcPr>
            <w:tcW w:w="7371" w:type="dxa"/>
            <w:vAlign w:val="center"/>
            <w:hideMark/>
          </w:tcPr>
          <w:p w14:paraId="3F4560B7" w14:textId="77777777" w:rsidR="00C57C9F" w:rsidRDefault="00C57C9F" w:rsidP="006F421D">
            <w:pPr>
              <w:pStyle w:val="3fins-table"/>
              <w:rPr>
                <w:rFonts w:cs="Times New Roman"/>
              </w:rPr>
            </w:pPr>
            <w:r>
              <w:rPr>
                <w:rStyle w:val="fins-bold"/>
                <w:rFonts w:cs="Times New Roman"/>
              </w:rPr>
              <w:t>Total receivable on commitments</w:t>
            </w:r>
          </w:p>
        </w:tc>
        <w:tc>
          <w:tcPr>
            <w:tcW w:w="1388" w:type="dxa"/>
            <w:tcBorders>
              <w:top w:val="single" w:sz="4" w:space="0" w:color="0D0D0D" w:themeColor="text1" w:themeTint="F2"/>
              <w:bottom w:val="single" w:sz="4" w:space="0" w:color="0D0D0D" w:themeColor="text1" w:themeTint="F2"/>
            </w:tcBorders>
            <w:vAlign w:val="center"/>
            <w:hideMark/>
          </w:tcPr>
          <w:p w14:paraId="639C1F80"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15,354 </w:t>
            </w:r>
          </w:p>
        </w:tc>
        <w:tc>
          <w:tcPr>
            <w:tcW w:w="1231" w:type="dxa"/>
            <w:tcBorders>
              <w:top w:val="single" w:sz="4" w:space="0" w:color="0D0D0D" w:themeColor="text1" w:themeTint="F2"/>
              <w:bottom w:val="single" w:sz="4" w:space="0" w:color="0D0D0D" w:themeColor="text1" w:themeTint="F2"/>
            </w:tcBorders>
            <w:vAlign w:val="center"/>
            <w:hideMark/>
          </w:tcPr>
          <w:p w14:paraId="7771553A" w14:textId="77777777" w:rsidR="00C57C9F" w:rsidRDefault="00C57C9F" w:rsidP="006F421D">
            <w:pPr>
              <w:pStyle w:val="3fins-table-figures"/>
              <w:spacing w:before="40" w:beforeAutospacing="0" w:after="40" w:afterAutospacing="0"/>
              <w:jc w:val="right"/>
              <w:rPr>
                <w:rFonts w:cs="Times New Roman"/>
              </w:rPr>
            </w:pPr>
            <w:r>
              <w:rPr>
                <w:rFonts w:cs="Times New Roman"/>
              </w:rPr>
              <w:t>7,263</w:t>
            </w:r>
          </w:p>
        </w:tc>
      </w:tr>
      <w:tr w:rsidR="00C57C9F" w14:paraId="4C07B89A" w14:textId="77777777" w:rsidTr="006F421D">
        <w:trPr>
          <w:divId w:val="2075661312"/>
        </w:trPr>
        <w:tc>
          <w:tcPr>
            <w:tcW w:w="7371" w:type="dxa"/>
            <w:vAlign w:val="center"/>
            <w:hideMark/>
          </w:tcPr>
          <w:p w14:paraId="079F88E7" w14:textId="77777777" w:rsidR="00C57C9F" w:rsidRDefault="00C57C9F" w:rsidP="006F421D">
            <w:pPr>
              <w:spacing w:before="40" w:after="40"/>
              <w:rPr>
                <w:rFonts w:eastAsia="Times New Roman" w:cs="Times New Roman"/>
              </w:rPr>
            </w:pPr>
          </w:p>
        </w:tc>
        <w:tc>
          <w:tcPr>
            <w:tcW w:w="1388" w:type="dxa"/>
            <w:tcBorders>
              <w:top w:val="single" w:sz="4" w:space="0" w:color="0D0D0D" w:themeColor="text1" w:themeTint="F2"/>
            </w:tcBorders>
            <w:vAlign w:val="center"/>
            <w:hideMark/>
          </w:tcPr>
          <w:p w14:paraId="0E53C6CF" w14:textId="77777777" w:rsidR="00C57C9F" w:rsidRDefault="00C57C9F" w:rsidP="006F421D">
            <w:pPr>
              <w:spacing w:before="40" w:after="40"/>
              <w:jc w:val="right"/>
              <w:rPr>
                <w:rFonts w:eastAsia="Times New Roman" w:cs="Times New Roman"/>
              </w:rPr>
            </w:pPr>
          </w:p>
        </w:tc>
        <w:tc>
          <w:tcPr>
            <w:tcW w:w="1231" w:type="dxa"/>
            <w:tcBorders>
              <w:top w:val="single" w:sz="4" w:space="0" w:color="0D0D0D" w:themeColor="text1" w:themeTint="F2"/>
            </w:tcBorders>
            <w:vAlign w:val="center"/>
            <w:hideMark/>
          </w:tcPr>
          <w:p w14:paraId="3EFEB237" w14:textId="77777777" w:rsidR="00C57C9F" w:rsidRDefault="00C57C9F" w:rsidP="006F421D">
            <w:pPr>
              <w:spacing w:before="40" w:after="40"/>
              <w:jc w:val="right"/>
              <w:rPr>
                <w:rFonts w:eastAsia="Times New Roman" w:cs="Times New Roman"/>
              </w:rPr>
            </w:pPr>
          </w:p>
        </w:tc>
      </w:tr>
      <w:tr w:rsidR="00C57C9F" w14:paraId="759D8ED4" w14:textId="77777777" w:rsidTr="006F421D">
        <w:trPr>
          <w:divId w:val="2075661312"/>
        </w:trPr>
        <w:tc>
          <w:tcPr>
            <w:tcW w:w="7371" w:type="dxa"/>
            <w:vAlign w:val="center"/>
            <w:hideMark/>
          </w:tcPr>
          <w:p w14:paraId="5F41D6DE" w14:textId="77777777" w:rsidR="00C57C9F" w:rsidRDefault="00C57C9F" w:rsidP="006F421D">
            <w:pPr>
              <w:pStyle w:val="3fins-table"/>
              <w:rPr>
                <w:rFonts w:cs="Times New Roman"/>
              </w:rPr>
            </w:pPr>
            <w:r>
              <w:rPr>
                <w:rStyle w:val="fins-bold"/>
                <w:rFonts w:cs="Times New Roman"/>
              </w:rPr>
              <w:t>Commitments payable</w:t>
            </w:r>
          </w:p>
        </w:tc>
        <w:tc>
          <w:tcPr>
            <w:tcW w:w="1388" w:type="dxa"/>
            <w:vAlign w:val="center"/>
            <w:hideMark/>
          </w:tcPr>
          <w:p w14:paraId="7BDCE434" w14:textId="77777777" w:rsidR="00C57C9F" w:rsidRDefault="00C57C9F" w:rsidP="006F421D">
            <w:pPr>
              <w:spacing w:before="40" w:after="40"/>
              <w:jc w:val="right"/>
              <w:rPr>
                <w:rFonts w:eastAsia="Times New Roman" w:cs="Times New Roman"/>
              </w:rPr>
            </w:pPr>
          </w:p>
        </w:tc>
        <w:tc>
          <w:tcPr>
            <w:tcW w:w="1231" w:type="dxa"/>
            <w:vAlign w:val="center"/>
            <w:hideMark/>
          </w:tcPr>
          <w:p w14:paraId="642B8BC2" w14:textId="77777777" w:rsidR="00C57C9F" w:rsidRDefault="00C57C9F" w:rsidP="006F421D">
            <w:pPr>
              <w:spacing w:before="40" w:after="40"/>
              <w:jc w:val="right"/>
              <w:rPr>
                <w:rFonts w:eastAsia="Times New Roman" w:cs="Times New Roman"/>
              </w:rPr>
            </w:pPr>
          </w:p>
        </w:tc>
      </w:tr>
      <w:tr w:rsidR="00C57C9F" w14:paraId="6C7547BA" w14:textId="77777777" w:rsidTr="006F421D">
        <w:trPr>
          <w:divId w:val="2075661312"/>
        </w:trPr>
        <w:tc>
          <w:tcPr>
            <w:tcW w:w="7371" w:type="dxa"/>
            <w:vAlign w:val="center"/>
            <w:hideMark/>
          </w:tcPr>
          <w:p w14:paraId="387D56CC" w14:textId="77777777" w:rsidR="00C57C9F" w:rsidRDefault="00C57C9F" w:rsidP="006F421D">
            <w:pPr>
              <w:pStyle w:val="3fins-table"/>
              <w:rPr>
                <w:rFonts w:cs="Times New Roman"/>
              </w:rPr>
            </w:pPr>
            <w:r>
              <w:rPr>
                <w:rStyle w:val="fins-bold"/>
                <w:rFonts w:cs="Times New Roman"/>
              </w:rPr>
              <w:t>Operating lease</w:t>
            </w:r>
          </w:p>
        </w:tc>
        <w:tc>
          <w:tcPr>
            <w:tcW w:w="1388" w:type="dxa"/>
            <w:vAlign w:val="center"/>
            <w:hideMark/>
          </w:tcPr>
          <w:p w14:paraId="3B77ACA5" w14:textId="77777777" w:rsidR="00C57C9F" w:rsidRDefault="00C57C9F" w:rsidP="006F421D">
            <w:pPr>
              <w:spacing w:before="40" w:after="40"/>
              <w:jc w:val="right"/>
              <w:rPr>
                <w:rFonts w:eastAsia="Times New Roman" w:cs="Times New Roman"/>
              </w:rPr>
            </w:pPr>
          </w:p>
        </w:tc>
        <w:tc>
          <w:tcPr>
            <w:tcW w:w="1231" w:type="dxa"/>
            <w:vAlign w:val="center"/>
            <w:hideMark/>
          </w:tcPr>
          <w:p w14:paraId="79271C4A" w14:textId="77777777" w:rsidR="00C57C9F" w:rsidRDefault="00C57C9F" w:rsidP="006F421D">
            <w:pPr>
              <w:spacing w:before="40" w:after="40"/>
              <w:jc w:val="right"/>
              <w:rPr>
                <w:rFonts w:eastAsia="Times New Roman" w:cs="Times New Roman"/>
              </w:rPr>
            </w:pPr>
          </w:p>
        </w:tc>
      </w:tr>
      <w:tr w:rsidR="00C57C9F" w14:paraId="6454D0A1" w14:textId="77777777" w:rsidTr="006F421D">
        <w:trPr>
          <w:divId w:val="2075661312"/>
        </w:trPr>
        <w:tc>
          <w:tcPr>
            <w:tcW w:w="7371" w:type="dxa"/>
            <w:vAlign w:val="center"/>
            <w:hideMark/>
          </w:tcPr>
          <w:p w14:paraId="6A4DACB8" w14:textId="77777777" w:rsidR="00C57C9F" w:rsidRDefault="00C57C9F" w:rsidP="006F421D">
            <w:pPr>
              <w:pStyle w:val="3fins-table"/>
              <w:rPr>
                <w:rFonts w:cs="Times New Roman"/>
              </w:rPr>
            </w:pPr>
            <w:r>
              <w:rPr>
                <w:rFonts w:cs="Times New Roman"/>
              </w:rPr>
              <w:t>One year or less</w:t>
            </w:r>
          </w:p>
        </w:tc>
        <w:tc>
          <w:tcPr>
            <w:tcW w:w="1388" w:type="dxa"/>
            <w:vAlign w:val="center"/>
            <w:hideMark/>
          </w:tcPr>
          <w:p w14:paraId="40E7FC50"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1,091 </w:t>
            </w:r>
          </w:p>
        </w:tc>
        <w:tc>
          <w:tcPr>
            <w:tcW w:w="1231" w:type="dxa"/>
            <w:vAlign w:val="center"/>
            <w:hideMark/>
          </w:tcPr>
          <w:p w14:paraId="1EC7715D" w14:textId="77777777" w:rsidR="00C57C9F" w:rsidRDefault="00C57C9F" w:rsidP="006F421D">
            <w:pPr>
              <w:pStyle w:val="3fins-table-figures"/>
              <w:spacing w:before="40" w:beforeAutospacing="0" w:after="40" w:afterAutospacing="0"/>
              <w:jc w:val="right"/>
              <w:rPr>
                <w:rFonts w:cs="Times New Roman"/>
              </w:rPr>
            </w:pPr>
            <w:r>
              <w:rPr>
                <w:rFonts w:cs="Times New Roman"/>
              </w:rPr>
              <w:t>666</w:t>
            </w:r>
          </w:p>
        </w:tc>
      </w:tr>
      <w:tr w:rsidR="00C57C9F" w14:paraId="3DAE99CE" w14:textId="77777777" w:rsidTr="006F421D">
        <w:trPr>
          <w:divId w:val="2075661312"/>
        </w:trPr>
        <w:tc>
          <w:tcPr>
            <w:tcW w:w="7371" w:type="dxa"/>
            <w:vAlign w:val="center"/>
            <w:hideMark/>
          </w:tcPr>
          <w:p w14:paraId="24D49425" w14:textId="77777777" w:rsidR="00C57C9F" w:rsidRDefault="00C57C9F" w:rsidP="006F421D">
            <w:pPr>
              <w:pStyle w:val="3fins-table"/>
              <w:rPr>
                <w:rFonts w:cs="Times New Roman"/>
              </w:rPr>
            </w:pPr>
            <w:r>
              <w:rPr>
                <w:rFonts w:cs="Times New Roman"/>
              </w:rPr>
              <w:t>From one to five years</w:t>
            </w:r>
          </w:p>
        </w:tc>
        <w:tc>
          <w:tcPr>
            <w:tcW w:w="1388" w:type="dxa"/>
            <w:tcBorders>
              <w:bottom w:val="single" w:sz="4" w:space="0" w:color="0D0D0D" w:themeColor="text1" w:themeTint="F2"/>
            </w:tcBorders>
            <w:vAlign w:val="center"/>
            <w:hideMark/>
          </w:tcPr>
          <w:p w14:paraId="0A441940"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545 </w:t>
            </w:r>
          </w:p>
        </w:tc>
        <w:tc>
          <w:tcPr>
            <w:tcW w:w="1231" w:type="dxa"/>
            <w:tcBorders>
              <w:bottom w:val="single" w:sz="4" w:space="0" w:color="0D0D0D" w:themeColor="text1" w:themeTint="F2"/>
            </w:tcBorders>
            <w:vAlign w:val="center"/>
            <w:hideMark/>
          </w:tcPr>
          <w:p w14:paraId="71895C80" w14:textId="77777777" w:rsidR="00C57C9F" w:rsidRDefault="00C57C9F" w:rsidP="006F421D">
            <w:pPr>
              <w:pStyle w:val="3fins-table-figures"/>
              <w:spacing w:before="40" w:beforeAutospacing="0" w:after="40" w:afterAutospacing="0"/>
              <w:jc w:val="right"/>
              <w:rPr>
                <w:rFonts w:cs="Times New Roman"/>
              </w:rPr>
            </w:pPr>
            <w:r>
              <w:rPr>
                <w:rFonts w:cs="Times New Roman"/>
              </w:rPr>
              <w:t>127</w:t>
            </w:r>
          </w:p>
        </w:tc>
      </w:tr>
      <w:tr w:rsidR="00C57C9F" w14:paraId="0066FF3F" w14:textId="77777777" w:rsidTr="006F421D">
        <w:trPr>
          <w:divId w:val="2075661312"/>
        </w:trPr>
        <w:tc>
          <w:tcPr>
            <w:tcW w:w="7371" w:type="dxa"/>
            <w:vAlign w:val="center"/>
            <w:hideMark/>
          </w:tcPr>
          <w:p w14:paraId="6E4F3EB0" w14:textId="77777777" w:rsidR="00C57C9F" w:rsidRDefault="00C57C9F" w:rsidP="006F421D">
            <w:pPr>
              <w:pStyle w:val="3fins-table"/>
              <w:rPr>
                <w:rFonts w:cs="Times New Roman"/>
              </w:rPr>
            </w:pPr>
            <w:r>
              <w:rPr>
                <w:rStyle w:val="fins-bold"/>
                <w:rFonts w:cs="Times New Roman"/>
              </w:rPr>
              <w:t>Total operating lease commitments payable</w:t>
            </w:r>
          </w:p>
        </w:tc>
        <w:tc>
          <w:tcPr>
            <w:tcW w:w="1388" w:type="dxa"/>
            <w:tcBorders>
              <w:top w:val="single" w:sz="4" w:space="0" w:color="0D0D0D" w:themeColor="text1" w:themeTint="F2"/>
              <w:bottom w:val="single" w:sz="4" w:space="0" w:color="0D0D0D" w:themeColor="text1" w:themeTint="F2"/>
            </w:tcBorders>
            <w:vAlign w:val="center"/>
            <w:hideMark/>
          </w:tcPr>
          <w:p w14:paraId="7124D162"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1,636 </w:t>
            </w:r>
          </w:p>
        </w:tc>
        <w:tc>
          <w:tcPr>
            <w:tcW w:w="1231" w:type="dxa"/>
            <w:tcBorders>
              <w:top w:val="single" w:sz="4" w:space="0" w:color="0D0D0D" w:themeColor="text1" w:themeTint="F2"/>
              <w:bottom w:val="single" w:sz="4" w:space="0" w:color="0D0D0D" w:themeColor="text1" w:themeTint="F2"/>
            </w:tcBorders>
            <w:vAlign w:val="center"/>
            <w:hideMark/>
          </w:tcPr>
          <w:p w14:paraId="2C8188B9" w14:textId="77777777" w:rsidR="00C57C9F" w:rsidRDefault="00C57C9F" w:rsidP="006F421D">
            <w:pPr>
              <w:pStyle w:val="3fins-table-figures"/>
              <w:spacing w:before="40" w:beforeAutospacing="0" w:after="40" w:afterAutospacing="0"/>
              <w:jc w:val="right"/>
              <w:rPr>
                <w:rFonts w:cs="Times New Roman"/>
              </w:rPr>
            </w:pPr>
            <w:r>
              <w:rPr>
                <w:rFonts w:cs="Times New Roman"/>
              </w:rPr>
              <w:t>793</w:t>
            </w:r>
          </w:p>
        </w:tc>
      </w:tr>
      <w:tr w:rsidR="00C57C9F" w14:paraId="603FBF50" w14:textId="77777777" w:rsidTr="006F421D">
        <w:trPr>
          <w:divId w:val="2075661312"/>
        </w:trPr>
        <w:tc>
          <w:tcPr>
            <w:tcW w:w="7371" w:type="dxa"/>
            <w:vAlign w:val="center"/>
            <w:hideMark/>
          </w:tcPr>
          <w:p w14:paraId="0A5AC5CB" w14:textId="77777777" w:rsidR="00C57C9F" w:rsidRDefault="00C57C9F" w:rsidP="006F421D">
            <w:pPr>
              <w:spacing w:before="40" w:after="40"/>
              <w:rPr>
                <w:rFonts w:eastAsia="Times New Roman" w:cs="Times New Roman"/>
              </w:rPr>
            </w:pPr>
          </w:p>
        </w:tc>
        <w:tc>
          <w:tcPr>
            <w:tcW w:w="1388" w:type="dxa"/>
            <w:tcBorders>
              <w:top w:val="single" w:sz="4" w:space="0" w:color="0D0D0D" w:themeColor="text1" w:themeTint="F2"/>
            </w:tcBorders>
            <w:vAlign w:val="center"/>
            <w:hideMark/>
          </w:tcPr>
          <w:p w14:paraId="5762AF2C" w14:textId="77777777" w:rsidR="00C57C9F" w:rsidRDefault="00C57C9F" w:rsidP="006F421D">
            <w:pPr>
              <w:spacing w:before="40" w:after="40"/>
              <w:jc w:val="right"/>
              <w:rPr>
                <w:rFonts w:eastAsia="Times New Roman" w:cs="Times New Roman"/>
              </w:rPr>
            </w:pPr>
          </w:p>
        </w:tc>
        <w:tc>
          <w:tcPr>
            <w:tcW w:w="1231" w:type="dxa"/>
            <w:tcBorders>
              <w:top w:val="single" w:sz="4" w:space="0" w:color="0D0D0D" w:themeColor="text1" w:themeTint="F2"/>
            </w:tcBorders>
            <w:vAlign w:val="center"/>
            <w:hideMark/>
          </w:tcPr>
          <w:p w14:paraId="7FE71C90" w14:textId="77777777" w:rsidR="00C57C9F" w:rsidRDefault="00C57C9F" w:rsidP="006F421D">
            <w:pPr>
              <w:spacing w:before="40" w:after="40"/>
              <w:jc w:val="right"/>
              <w:rPr>
                <w:rFonts w:eastAsia="Times New Roman" w:cs="Times New Roman"/>
              </w:rPr>
            </w:pPr>
          </w:p>
        </w:tc>
      </w:tr>
      <w:tr w:rsidR="00C57C9F" w14:paraId="269470C4" w14:textId="77777777" w:rsidTr="006F421D">
        <w:trPr>
          <w:divId w:val="2075661312"/>
        </w:trPr>
        <w:tc>
          <w:tcPr>
            <w:tcW w:w="7371" w:type="dxa"/>
            <w:vAlign w:val="center"/>
            <w:hideMark/>
          </w:tcPr>
          <w:p w14:paraId="089B5BC6" w14:textId="77777777" w:rsidR="00C57C9F" w:rsidRDefault="00C57C9F" w:rsidP="006F421D">
            <w:pPr>
              <w:pStyle w:val="3fins-table"/>
              <w:rPr>
                <w:rFonts w:cs="Times New Roman"/>
              </w:rPr>
            </w:pPr>
            <w:r>
              <w:rPr>
                <w:rStyle w:val="fins-bold"/>
                <w:rFonts w:cs="Times New Roman"/>
              </w:rPr>
              <w:t>Other commitments</w:t>
            </w:r>
          </w:p>
        </w:tc>
        <w:tc>
          <w:tcPr>
            <w:tcW w:w="1388" w:type="dxa"/>
            <w:vAlign w:val="center"/>
            <w:hideMark/>
          </w:tcPr>
          <w:p w14:paraId="4B1C6A22" w14:textId="77777777" w:rsidR="00C57C9F" w:rsidRDefault="00C57C9F" w:rsidP="006F421D">
            <w:pPr>
              <w:spacing w:before="40" w:after="40"/>
              <w:jc w:val="right"/>
              <w:rPr>
                <w:rFonts w:eastAsia="Times New Roman" w:cs="Times New Roman"/>
              </w:rPr>
            </w:pPr>
          </w:p>
        </w:tc>
        <w:tc>
          <w:tcPr>
            <w:tcW w:w="1231" w:type="dxa"/>
            <w:vAlign w:val="center"/>
            <w:hideMark/>
          </w:tcPr>
          <w:p w14:paraId="1C2084D4" w14:textId="77777777" w:rsidR="00C57C9F" w:rsidRDefault="00C57C9F" w:rsidP="006F421D">
            <w:pPr>
              <w:spacing w:before="40" w:after="40"/>
              <w:jc w:val="right"/>
              <w:rPr>
                <w:rFonts w:eastAsia="Times New Roman" w:cs="Times New Roman"/>
              </w:rPr>
            </w:pPr>
          </w:p>
        </w:tc>
      </w:tr>
      <w:tr w:rsidR="00C57C9F" w14:paraId="6FB78798" w14:textId="77777777" w:rsidTr="006F421D">
        <w:trPr>
          <w:divId w:val="2075661312"/>
        </w:trPr>
        <w:tc>
          <w:tcPr>
            <w:tcW w:w="7371" w:type="dxa"/>
            <w:vAlign w:val="center"/>
            <w:hideMark/>
          </w:tcPr>
          <w:p w14:paraId="27B6C813" w14:textId="77777777" w:rsidR="00C57C9F" w:rsidRDefault="00C57C9F" w:rsidP="006F421D">
            <w:pPr>
              <w:pStyle w:val="3fins-table"/>
              <w:rPr>
                <w:rFonts w:cs="Times New Roman"/>
              </w:rPr>
            </w:pPr>
            <w:r>
              <w:rPr>
                <w:rFonts w:cs="Times New Roman"/>
              </w:rPr>
              <w:t>One year or less</w:t>
            </w:r>
          </w:p>
        </w:tc>
        <w:tc>
          <w:tcPr>
            <w:tcW w:w="1388" w:type="dxa"/>
            <w:vAlign w:val="center"/>
            <w:hideMark/>
          </w:tcPr>
          <w:p w14:paraId="2A265593"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1,784 </w:t>
            </w:r>
          </w:p>
        </w:tc>
        <w:tc>
          <w:tcPr>
            <w:tcW w:w="1231" w:type="dxa"/>
            <w:vAlign w:val="center"/>
            <w:hideMark/>
          </w:tcPr>
          <w:p w14:paraId="1BADA59F" w14:textId="77777777" w:rsidR="00C57C9F" w:rsidRDefault="00C57C9F" w:rsidP="006F421D">
            <w:pPr>
              <w:pStyle w:val="3fins-table-figures"/>
              <w:spacing w:before="40" w:beforeAutospacing="0" w:after="40" w:afterAutospacing="0"/>
              <w:jc w:val="right"/>
              <w:rPr>
                <w:rFonts w:cs="Times New Roman"/>
              </w:rPr>
            </w:pPr>
            <w:r>
              <w:rPr>
                <w:rFonts w:cs="Times New Roman"/>
              </w:rPr>
              <w:t>1,887</w:t>
            </w:r>
          </w:p>
        </w:tc>
      </w:tr>
      <w:tr w:rsidR="00C57C9F" w14:paraId="41B3C3E7" w14:textId="77777777" w:rsidTr="006F421D">
        <w:trPr>
          <w:divId w:val="2075661312"/>
        </w:trPr>
        <w:tc>
          <w:tcPr>
            <w:tcW w:w="7371" w:type="dxa"/>
            <w:vAlign w:val="center"/>
            <w:hideMark/>
          </w:tcPr>
          <w:p w14:paraId="6ED9D351" w14:textId="77777777" w:rsidR="00C57C9F" w:rsidRDefault="00C57C9F" w:rsidP="006F421D">
            <w:pPr>
              <w:pStyle w:val="3fins-table"/>
              <w:rPr>
                <w:rFonts w:cs="Times New Roman"/>
              </w:rPr>
            </w:pPr>
            <w:r>
              <w:rPr>
                <w:rFonts w:cs="Times New Roman"/>
              </w:rPr>
              <w:t>From one to five years</w:t>
            </w:r>
          </w:p>
        </w:tc>
        <w:tc>
          <w:tcPr>
            <w:tcW w:w="1388" w:type="dxa"/>
            <w:tcBorders>
              <w:bottom w:val="single" w:sz="4" w:space="0" w:color="0D0D0D" w:themeColor="text1" w:themeTint="F2"/>
            </w:tcBorders>
            <w:vAlign w:val="center"/>
            <w:hideMark/>
          </w:tcPr>
          <w:p w14:paraId="358CC96E"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171 </w:t>
            </w:r>
          </w:p>
        </w:tc>
        <w:tc>
          <w:tcPr>
            <w:tcW w:w="1231" w:type="dxa"/>
            <w:tcBorders>
              <w:bottom w:val="single" w:sz="4" w:space="0" w:color="0D0D0D" w:themeColor="text1" w:themeTint="F2"/>
            </w:tcBorders>
            <w:vAlign w:val="center"/>
            <w:hideMark/>
          </w:tcPr>
          <w:p w14:paraId="7518564D" w14:textId="77777777" w:rsidR="00C57C9F" w:rsidRDefault="00C57C9F" w:rsidP="006F421D">
            <w:pPr>
              <w:pStyle w:val="3fins-table-figures"/>
              <w:spacing w:before="40" w:beforeAutospacing="0" w:after="40" w:afterAutospacing="0"/>
              <w:jc w:val="right"/>
              <w:rPr>
                <w:rFonts w:cs="Times New Roman"/>
              </w:rPr>
            </w:pPr>
            <w:r>
              <w:rPr>
                <w:rFonts w:cs="Times New Roman"/>
              </w:rPr>
              <w:t>77</w:t>
            </w:r>
          </w:p>
        </w:tc>
      </w:tr>
      <w:tr w:rsidR="00C57C9F" w14:paraId="7A8D82CE" w14:textId="77777777" w:rsidTr="006F421D">
        <w:trPr>
          <w:divId w:val="2075661312"/>
        </w:trPr>
        <w:tc>
          <w:tcPr>
            <w:tcW w:w="7371" w:type="dxa"/>
            <w:vAlign w:val="center"/>
            <w:hideMark/>
          </w:tcPr>
          <w:p w14:paraId="286F5F8B" w14:textId="77777777" w:rsidR="00C57C9F" w:rsidRDefault="00C57C9F" w:rsidP="006F421D">
            <w:pPr>
              <w:pStyle w:val="3fins-table"/>
              <w:rPr>
                <w:rFonts w:cs="Times New Roman"/>
              </w:rPr>
            </w:pPr>
            <w:r>
              <w:rPr>
                <w:rStyle w:val="fins-bold"/>
                <w:rFonts w:cs="Times New Roman"/>
              </w:rPr>
              <w:t>Total other commitments payable</w:t>
            </w:r>
          </w:p>
        </w:tc>
        <w:tc>
          <w:tcPr>
            <w:tcW w:w="1388" w:type="dxa"/>
            <w:tcBorders>
              <w:top w:val="single" w:sz="4" w:space="0" w:color="0D0D0D" w:themeColor="text1" w:themeTint="F2"/>
              <w:bottom w:val="single" w:sz="4" w:space="0" w:color="0D0D0D" w:themeColor="text1" w:themeTint="F2"/>
            </w:tcBorders>
            <w:vAlign w:val="center"/>
            <w:hideMark/>
          </w:tcPr>
          <w:p w14:paraId="53B11D2E"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1,955 </w:t>
            </w:r>
          </w:p>
        </w:tc>
        <w:tc>
          <w:tcPr>
            <w:tcW w:w="1231" w:type="dxa"/>
            <w:tcBorders>
              <w:top w:val="single" w:sz="4" w:space="0" w:color="0D0D0D" w:themeColor="text1" w:themeTint="F2"/>
              <w:bottom w:val="single" w:sz="4" w:space="0" w:color="0D0D0D" w:themeColor="text1" w:themeTint="F2"/>
            </w:tcBorders>
            <w:vAlign w:val="center"/>
            <w:hideMark/>
          </w:tcPr>
          <w:p w14:paraId="4CB944B4" w14:textId="77777777" w:rsidR="00C57C9F" w:rsidRDefault="00C57C9F" w:rsidP="006F421D">
            <w:pPr>
              <w:pStyle w:val="3fins-table-figures"/>
              <w:spacing w:before="40" w:beforeAutospacing="0" w:after="40" w:afterAutospacing="0"/>
              <w:jc w:val="right"/>
              <w:rPr>
                <w:rFonts w:cs="Times New Roman"/>
              </w:rPr>
            </w:pPr>
            <w:r>
              <w:rPr>
                <w:rFonts w:cs="Times New Roman"/>
              </w:rPr>
              <w:t>1,964</w:t>
            </w:r>
          </w:p>
        </w:tc>
      </w:tr>
      <w:tr w:rsidR="00C57C9F" w14:paraId="135D39FD" w14:textId="77777777" w:rsidTr="006F421D">
        <w:trPr>
          <w:divId w:val="2075661312"/>
        </w:trPr>
        <w:tc>
          <w:tcPr>
            <w:tcW w:w="7371" w:type="dxa"/>
            <w:vAlign w:val="center"/>
            <w:hideMark/>
          </w:tcPr>
          <w:p w14:paraId="21E01BBD" w14:textId="77777777" w:rsidR="00C57C9F" w:rsidRDefault="00C57C9F" w:rsidP="006F421D">
            <w:pPr>
              <w:spacing w:before="40" w:after="40"/>
              <w:rPr>
                <w:rFonts w:eastAsia="Times New Roman" w:cs="Times New Roman"/>
              </w:rPr>
            </w:pPr>
          </w:p>
        </w:tc>
        <w:tc>
          <w:tcPr>
            <w:tcW w:w="1388" w:type="dxa"/>
            <w:tcBorders>
              <w:top w:val="single" w:sz="4" w:space="0" w:color="0D0D0D" w:themeColor="text1" w:themeTint="F2"/>
            </w:tcBorders>
            <w:vAlign w:val="center"/>
            <w:hideMark/>
          </w:tcPr>
          <w:p w14:paraId="2D94E1BA" w14:textId="77777777" w:rsidR="00C57C9F" w:rsidRDefault="00C57C9F" w:rsidP="006F421D">
            <w:pPr>
              <w:spacing w:before="40" w:after="40"/>
              <w:jc w:val="right"/>
              <w:rPr>
                <w:rFonts w:eastAsia="Times New Roman" w:cs="Times New Roman"/>
              </w:rPr>
            </w:pPr>
          </w:p>
        </w:tc>
        <w:tc>
          <w:tcPr>
            <w:tcW w:w="1231" w:type="dxa"/>
            <w:tcBorders>
              <w:top w:val="single" w:sz="4" w:space="0" w:color="0D0D0D" w:themeColor="text1" w:themeTint="F2"/>
            </w:tcBorders>
            <w:vAlign w:val="center"/>
            <w:hideMark/>
          </w:tcPr>
          <w:p w14:paraId="43A45BA9" w14:textId="77777777" w:rsidR="00C57C9F" w:rsidRDefault="00C57C9F" w:rsidP="006F421D">
            <w:pPr>
              <w:spacing w:before="40" w:after="40"/>
              <w:jc w:val="right"/>
              <w:rPr>
                <w:rFonts w:eastAsia="Times New Roman" w:cs="Times New Roman"/>
              </w:rPr>
            </w:pPr>
          </w:p>
        </w:tc>
      </w:tr>
      <w:tr w:rsidR="00C57C9F" w14:paraId="7158427B" w14:textId="77777777" w:rsidTr="006F421D">
        <w:trPr>
          <w:divId w:val="2075661312"/>
        </w:trPr>
        <w:tc>
          <w:tcPr>
            <w:tcW w:w="7371" w:type="dxa"/>
            <w:vAlign w:val="center"/>
            <w:hideMark/>
          </w:tcPr>
          <w:p w14:paraId="7A865F58" w14:textId="77777777" w:rsidR="00C57C9F" w:rsidRDefault="00C57C9F" w:rsidP="006F421D">
            <w:pPr>
              <w:pStyle w:val="3fins-table"/>
              <w:rPr>
                <w:rFonts w:cs="Times New Roman"/>
              </w:rPr>
            </w:pPr>
            <w:r>
              <w:rPr>
                <w:rStyle w:val="fins-bold"/>
                <w:rFonts w:cs="Times New Roman"/>
              </w:rPr>
              <w:t>Total commitments payable</w:t>
            </w:r>
          </w:p>
        </w:tc>
        <w:tc>
          <w:tcPr>
            <w:tcW w:w="1388" w:type="dxa"/>
            <w:tcBorders>
              <w:bottom w:val="single" w:sz="4" w:space="0" w:color="0D0D0D" w:themeColor="text1" w:themeTint="F2"/>
            </w:tcBorders>
            <w:vAlign w:val="center"/>
            <w:hideMark/>
          </w:tcPr>
          <w:p w14:paraId="1004BB44"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3,591 </w:t>
            </w:r>
          </w:p>
        </w:tc>
        <w:tc>
          <w:tcPr>
            <w:tcW w:w="1231" w:type="dxa"/>
            <w:tcBorders>
              <w:bottom w:val="single" w:sz="4" w:space="0" w:color="0D0D0D" w:themeColor="text1" w:themeTint="F2"/>
            </w:tcBorders>
            <w:vAlign w:val="center"/>
            <w:hideMark/>
          </w:tcPr>
          <w:p w14:paraId="2090E2C4" w14:textId="77777777" w:rsidR="00C57C9F" w:rsidRDefault="00C57C9F" w:rsidP="006F421D">
            <w:pPr>
              <w:pStyle w:val="3fins-table-figures"/>
              <w:spacing w:before="40" w:beforeAutospacing="0" w:after="40" w:afterAutospacing="0"/>
              <w:jc w:val="right"/>
              <w:rPr>
                <w:rFonts w:cs="Times New Roman"/>
              </w:rPr>
            </w:pPr>
            <w:r>
              <w:rPr>
                <w:rFonts w:cs="Times New Roman"/>
              </w:rPr>
              <w:t>2,757</w:t>
            </w:r>
          </w:p>
        </w:tc>
      </w:tr>
      <w:tr w:rsidR="00C57C9F" w14:paraId="57260506" w14:textId="77777777" w:rsidTr="006F421D">
        <w:trPr>
          <w:divId w:val="2075661312"/>
        </w:trPr>
        <w:tc>
          <w:tcPr>
            <w:tcW w:w="7371" w:type="dxa"/>
            <w:vAlign w:val="center"/>
            <w:hideMark/>
          </w:tcPr>
          <w:p w14:paraId="61FB5B3F" w14:textId="77777777" w:rsidR="00C57C9F" w:rsidRDefault="00C57C9F" w:rsidP="006F421D">
            <w:pPr>
              <w:spacing w:before="40" w:after="40"/>
              <w:rPr>
                <w:rFonts w:eastAsia="Times New Roman" w:cs="Times New Roman"/>
              </w:rPr>
            </w:pPr>
          </w:p>
        </w:tc>
        <w:tc>
          <w:tcPr>
            <w:tcW w:w="1388" w:type="dxa"/>
            <w:tcBorders>
              <w:top w:val="single" w:sz="4" w:space="0" w:color="0D0D0D" w:themeColor="text1" w:themeTint="F2"/>
            </w:tcBorders>
            <w:vAlign w:val="center"/>
            <w:hideMark/>
          </w:tcPr>
          <w:p w14:paraId="02E875C1" w14:textId="77777777" w:rsidR="00C57C9F" w:rsidRDefault="00C57C9F" w:rsidP="006F421D">
            <w:pPr>
              <w:spacing w:before="40" w:after="40"/>
              <w:jc w:val="right"/>
              <w:rPr>
                <w:rFonts w:eastAsia="Times New Roman" w:cs="Times New Roman"/>
              </w:rPr>
            </w:pPr>
          </w:p>
        </w:tc>
        <w:tc>
          <w:tcPr>
            <w:tcW w:w="1231" w:type="dxa"/>
            <w:tcBorders>
              <w:top w:val="single" w:sz="4" w:space="0" w:color="0D0D0D" w:themeColor="text1" w:themeTint="F2"/>
            </w:tcBorders>
            <w:vAlign w:val="center"/>
            <w:hideMark/>
          </w:tcPr>
          <w:p w14:paraId="2AFA15E0" w14:textId="77777777" w:rsidR="00C57C9F" w:rsidRDefault="00C57C9F" w:rsidP="006F421D">
            <w:pPr>
              <w:spacing w:before="40" w:after="40"/>
              <w:jc w:val="right"/>
              <w:rPr>
                <w:rFonts w:eastAsia="Times New Roman" w:cs="Times New Roman"/>
              </w:rPr>
            </w:pPr>
          </w:p>
        </w:tc>
      </w:tr>
      <w:tr w:rsidR="00C57C9F" w14:paraId="57E1D36D" w14:textId="77777777" w:rsidTr="006F421D">
        <w:trPr>
          <w:divId w:val="2075661312"/>
        </w:trPr>
        <w:tc>
          <w:tcPr>
            <w:tcW w:w="7371" w:type="dxa"/>
            <w:vAlign w:val="center"/>
            <w:hideMark/>
          </w:tcPr>
          <w:p w14:paraId="689B8F12" w14:textId="77777777" w:rsidR="00C57C9F" w:rsidRDefault="00C57C9F" w:rsidP="006F421D">
            <w:pPr>
              <w:pStyle w:val="3fins-table"/>
              <w:rPr>
                <w:rFonts w:cs="Times New Roman"/>
              </w:rPr>
            </w:pPr>
            <w:r>
              <w:rPr>
                <w:rStyle w:val="fins-bold"/>
                <w:rFonts w:cs="Times New Roman"/>
              </w:rPr>
              <w:t>Net commitments by maturity</w:t>
            </w:r>
          </w:p>
        </w:tc>
        <w:tc>
          <w:tcPr>
            <w:tcW w:w="1388" w:type="dxa"/>
            <w:tcBorders>
              <w:bottom w:val="single" w:sz="4" w:space="0" w:color="0D0D0D" w:themeColor="text1" w:themeTint="F2"/>
            </w:tcBorders>
            <w:vAlign w:val="center"/>
            <w:hideMark/>
          </w:tcPr>
          <w:p w14:paraId="32CC81DA"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11,763 </w:t>
            </w:r>
          </w:p>
        </w:tc>
        <w:tc>
          <w:tcPr>
            <w:tcW w:w="1231" w:type="dxa"/>
            <w:tcBorders>
              <w:bottom w:val="single" w:sz="4" w:space="0" w:color="0D0D0D" w:themeColor="text1" w:themeTint="F2"/>
            </w:tcBorders>
            <w:vAlign w:val="center"/>
            <w:hideMark/>
          </w:tcPr>
          <w:p w14:paraId="6A9E59A4" w14:textId="77777777" w:rsidR="00C57C9F" w:rsidRDefault="00C57C9F" w:rsidP="006F421D">
            <w:pPr>
              <w:pStyle w:val="3fins-table-figures"/>
              <w:spacing w:before="40" w:beforeAutospacing="0" w:after="40" w:afterAutospacing="0"/>
              <w:jc w:val="right"/>
              <w:rPr>
                <w:rFonts w:cs="Times New Roman"/>
              </w:rPr>
            </w:pPr>
            <w:r>
              <w:rPr>
                <w:rFonts w:cs="Times New Roman"/>
              </w:rPr>
              <w:t>4,506</w:t>
            </w:r>
          </w:p>
        </w:tc>
      </w:tr>
    </w:tbl>
    <w:p w14:paraId="0D78D730" w14:textId="77777777" w:rsidR="00C57C9F" w:rsidRDefault="00C57C9F">
      <w:pPr>
        <w:pStyle w:val="3fins-table"/>
        <w:divId w:val="2075661312"/>
        <w:rPr>
          <w:rFonts w:cs="Times New Roman"/>
          <w:lang w:val="en-AU"/>
        </w:rPr>
      </w:pPr>
      <w:r>
        <w:rPr>
          <w:rFonts w:cs="Times New Roman"/>
          <w:lang w:val="en-AU"/>
        </w:rPr>
        <w:t xml:space="preserve">Note: Commitments are GST inclusive where relevant. </w:t>
      </w:r>
    </w:p>
    <w:p w14:paraId="6FE41710" w14:textId="77777777" w:rsidR="00C57C9F" w:rsidRDefault="00C57C9F" w:rsidP="006F421D">
      <w:pPr>
        <w:pStyle w:val="3fins-table"/>
        <w:ind w:left="284" w:hanging="284"/>
        <w:divId w:val="2075661312"/>
        <w:rPr>
          <w:rFonts w:cs="Times New Roman"/>
          <w:lang w:val="en-AU"/>
        </w:rPr>
      </w:pPr>
      <w:r>
        <w:rPr>
          <w:rFonts w:cs="Times New Roman"/>
          <w:lang w:val="en-AU"/>
        </w:rPr>
        <w:t>1.</w:t>
      </w:r>
      <w:r>
        <w:rPr>
          <w:rFonts w:cs="Times New Roman"/>
          <w:lang w:val="en-AU"/>
        </w:rPr>
        <w:tab/>
        <w:t>Project commitments: services committed to be provided by the Commission, under signed agreements, where the Commission has yet to perform the services required.</w:t>
      </w:r>
    </w:p>
    <w:p w14:paraId="1C55BDB8" w14:textId="77777777" w:rsidR="00C57C9F" w:rsidRDefault="00C57C9F" w:rsidP="006F421D">
      <w:pPr>
        <w:pStyle w:val="3fins-table"/>
        <w:ind w:left="284" w:hanging="284"/>
        <w:divId w:val="2075661312"/>
        <w:rPr>
          <w:rFonts w:cs="Times New Roman"/>
          <w:lang w:val="en-AU"/>
        </w:rPr>
      </w:pPr>
      <w:r>
        <w:rPr>
          <w:rFonts w:cs="Times New Roman"/>
          <w:lang w:val="en-AU"/>
        </w:rPr>
        <w:t>2.</w:t>
      </w:r>
      <w:r>
        <w:rPr>
          <w:rFonts w:cs="Times New Roman"/>
          <w:lang w:val="en-AU"/>
        </w:rPr>
        <w:tab/>
        <w:t xml:space="preserve">Operating lease commitments: the Commission has committed to a 2 year lease term </w:t>
      </w:r>
      <w:r>
        <w:rPr>
          <w:rFonts w:cs="Times New Roman"/>
          <w:lang w:val="en-AU"/>
        </w:rPr>
        <w:br/>
        <w:t xml:space="preserve">agreement which commenced in December 2013. The lease is </w:t>
      </w:r>
      <w:proofErr w:type="spellStart"/>
      <w:r>
        <w:rPr>
          <w:rFonts w:cs="Times New Roman"/>
          <w:lang w:val="en-AU"/>
        </w:rPr>
        <w:t>effectivelwy</w:t>
      </w:r>
      <w:proofErr w:type="spellEnd"/>
      <w:r>
        <w:rPr>
          <w:rFonts w:cs="Times New Roman"/>
          <w:lang w:val="en-AU"/>
        </w:rPr>
        <w:t xml:space="preserve"> non-cancellable. Lease payments are subject to annual increases or reviews until the end of the lease.</w:t>
      </w:r>
    </w:p>
    <w:p w14:paraId="205C0DE4" w14:textId="77777777" w:rsidR="00C57C9F" w:rsidRDefault="00C57C9F" w:rsidP="006F421D">
      <w:pPr>
        <w:pStyle w:val="3fins-table"/>
        <w:ind w:left="284" w:hanging="284"/>
        <w:divId w:val="2075661312"/>
        <w:rPr>
          <w:rFonts w:cs="Times New Roman"/>
          <w:lang w:val="en-AU"/>
        </w:rPr>
      </w:pPr>
      <w:r>
        <w:rPr>
          <w:rFonts w:cs="Times New Roman"/>
          <w:lang w:val="en-AU"/>
        </w:rPr>
        <w:t>3.</w:t>
      </w:r>
      <w:r>
        <w:rPr>
          <w:rFonts w:cs="Times New Roman"/>
          <w:lang w:val="en-AU"/>
        </w:rPr>
        <w:tab/>
        <w:t>Other commitments: amounts committed under signed agreements where the contracted organisation has yet to perform the services required.</w:t>
      </w:r>
    </w:p>
    <w:p w14:paraId="0619C1A7" w14:textId="2D01387F" w:rsidR="00C57C9F" w:rsidRPr="00161EA4" w:rsidRDefault="00C57C9F" w:rsidP="00161EA4">
      <w:pPr>
        <w:pStyle w:val="3fins-table"/>
        <w:divId w:val="2075661312"/>
        <w:rPr>
          <w:rFonts w:cs="Times New Roman"/>
          <w:lang w:val="en-AU"/>
        </w:rPr>
      </w:pPr>
      <w:r>
        <w:rPr>
          <w:rFonts w:cs="Times New Roman"/>
          <w:lang w:val="en-AU"/>
        </w:rPr>
        <w:t>This schedule should be read in conjunction with the accompanying notes.</w:t>
      </w:r>
      <w:r>
        <w:rPr>
          <w:rFonts w:cs="Times New Roman"/>
          <w:lang w:val="en-AU"/>
        </w:rPr>
        <w:br w:type="page"/>
      </w:r>
    </w:p>
    <w:p w14:paraId="2526CAEF" w14:textId="77777777" w:rsidR="00C57C9F" w:rsidRDefault="00C57C9F">
      <w:pPr>
        <w:pStyle w:val="1heading-1"/>
        <w:divId w:val="1126236401"/>
        <w:rPr>
          <w:rFonts w:cs="Times New Roman"/>
          <w:lang w:val="en-AU"/>
        </w:rPr>
      </w:pPr>
      <w:r>
        <w:rPr>
          <w:rFonts w:cs="Times New Roman"/>
          <w:lang w:val="en-AU"/>
        </w:rPr>
        <w:lastRenderedPageBreak/>
        <w:t>Table of Contents – Notes</w:t>
      </w:r>
    </w:p>
    <w:p w14:paraId="5C43ED31" w14:textId="77777777" w:rsidR="00C57C9F" w:rsidRDefault="00C57C9F" w:rsidP="006F421D">
      <w:pPr>
        <w:pStyle w:val="2fins-body"/>
        <w:ind w:left="1418"/>
        <w:divId w:val="1126236401"/>
        <w:rPr>
          <w:rFonts w:cs="Times New Roman"/>
          <w:lang w:val="en-AU"/>
        </w:rPr>
      </w:pPr>
      <w:r>
        <w:rPr>
          <w:rFonts w:cs="Times New Roman"/>
          <w:lang w:val="en-AU"/>
        </w:rPr>
        <w:t>Note 1: Summary of Significant Accounting Policies</w:t>
      </w:r>
    </w:p>
    <w:p w14:paraId="34EF5DBF" w14:textId="77777777" w:rsidR="00C57C9F" w:rsidRDefault="00C57C9F" w:rsidP="006F421D">
      <w:pPr>
        <w:pStyle w:val="2fins-body"/>
        <w:ind w:left="1418"/>
        <w:divId w:val="1126236401"/>
        <w:rPr>
          <w:rFonts w:cs="Times New Roman"/>
          <w:lang w:val="en-AU"/>
        </w:rPr>
      </w:pPr>
      <w:r>
        <w:rPr>
          <w:rFonts w:cs="Times New Roman"/>
          <w:lang w:val="en-AU"/>
        </w:rPr>
        <w:t>Note 2: Events After the Reporting Period</w:t>
      </w:r>
    </w:p>
    <w:p w14:paraId="5DEC4645" w14:textId="77777777" w:rsidR="00C57C9F" w:rsidRDefault="00C57C9F" w:rsidP="006F421D">
      <w:pPr>
        <w:pStyle w:val="2fins-body"/>
        <w:ind w:left="1418"/>
        <w:divId w:val="1126236401"/>
        <w:rPr>
          <w:rFonts w:cs="Times New Roman"/>
          <w:lang w:val="en-AU"/>
        </w:rPr>
      </w:pPr>
      <w:r>
        <w:rPr>
          <w:rFonts w:cs="Times New Roman"/>
          <w:lang w:val="en-AU"/>
        </w:rPr>
        <w:t>Note 3: Expenses</w:t>
      </w:r>
    </w:p>
    <w:p w14:paraId="4C50B5C2" w14:textId="77777777" w:rsidR="00C57C9F" w:rsidRDefault="00C57C9F" w:rsidP="006F421D">
      <w:pPr>
        <w:pStyle w:val="2fins-body"/>
        <w:ind w:left="1418"/>
        <w:divId w:val="1126236401"/>
        <w:rPr>
          <w:rFonts w:cs="Times New Roman"/>
          <w:lang w:val="en-AU"/>
        </w:rPr>
      </w:pPr>
      <w:r>
        <w:rPr>
          <w:rFonts w:cs="Times New Roman"/>
          <w:lang w:val="en-AU"/>
        </w:rPr>
        <w:t>Note 4: Income</w:t>
      </w:r>
    </w:p>
    <w:p w14:paraId="4F59B482" w14:textId="77777777" w:rsidR="00C57C9F" w:rsidRDefault="00C57C9F" w:rsidP="006F421D">
      <w:pPr>
        <w:pStyle w:val="2fins-body"/>
        <w:ind w:left="1418"/>
        <w:divId w:val="1126236401"/>
        <w:rPr>
          <w:rFonts w:cs="Times New Roman"/>
          <w:lang w:val="en-AU"/>
        </w:rPr>
      </w:pPr>
      <w:r>
        <w:rPr>
          <w:rFonts w:cs="Times New Roman"/>
          <w:lang w:val="en-AU"/>
        </w:rPr>
        <w:t>Note 5: Fair Value Measurement</w:t>
      </w:r>
    </w:p>
    <w:p w14:paraId="3F6EC1AF" w14:textId="77777777" w:rsidR="00C57C9F" w:rsidRDefault="00C57C9F" w:rsidP="006F421D">
      <w:pPr>
        <w:pStyle w:val="2fins-body"/>
        <w:ind w:left="1418"/>
        <w:divId w:val="1126236401"/>
        <w:rPr>
          <w:rFonts w:cs="Times New Roman"/>
          <w:lang w:val="en-AU"/>
        </w:rPr>
      </w:pPr>
      <w:r>
        <w:rPr>
          <w:rFonts w:cs="Times New Roman"/>
          <w:lang w:val="en-AU"/>
        </w:rPr>
        <w:t>Note 6: Financial Assets</w:t>
      </w:r>
    </w:p>
    <w:p w14:paraId="170923FA" w14:textId="77777777" w:rsidR="00C57C9F" w:rsidRDefault="00C57C9F" w:rsidP="006F421D">
      <w:pPr>
        <w:pStyle w:val="2fins-body"/>
        <w:ind w:left="1418"/>
        <w:divId w:val="1126236401"/>
        <w:rPr>
          <w:rFonts w:cs="Times New Roman"/>
          <w:lang w:val="en-AU"/>
        </w:rPr>
      </w:pPr>
      <w:r>
        <w:rPr>
          <w:rFonts w:cs="Times New Roman"/>
          <w:lang w:val="en-AU"/>
        </w:rPr>
        <w:t>Note 7: Non-Financial Assets</w:t>
      </w:r>
    </w:p>
    <w:p w14:paraId="54B5F9A6" w14:textId="77777777" w:rsidR="00C57C9F" w:rsidRDefault="00C57C9F" w:rsidP="006F421D">
      <w:pPr>
        <w:pStyle w:val="2fins-body"/>
        <w:ind w:left="1418"/>
        <w:divId w:val="1126236401"/>
        <w:rPr>
          <w:rFonts w:cs="Times New Roman"/>
          <w:lang w:val="en-AU"/>
        </w:rPr>
      </w:pPr>
      <w:r>
        <w:rPr>
          <w:rFonts w:cs="Times New Roman"/>
          <w:lang w:val="en-AU"/>
        </w:rPr>
        <w:t>Note 8: Payables</w:t>
      </w:r>
    </w:p>
    <w:p w14:paraId="64372840" w14:textId="77777777" w:rsidR="00C57C9F" w:rsidRDefault="00C57C9F" w:rsidP="006F421D">
      <w:pPr>
        <w:pStyle w:val="2fins-body"/>
        <w:ind w:left="1418"/>
        <w:divId w:val="1126236401"/>
        <w:rPr>
          <w:rFonts w:cs="Times New Roman"/>
          <w:lang w:val="en-AU"/>
        </w:rPr>
      </w:pPr>
      <w:r>
        <w:rPr>
          <w:rFonts w:cs="Times New Roman"/>
          <w:lang w:val="en-AU"/>
        </w:rPr>
        <w:t>Note 9: Provisions</w:t>
      </w:r>
    </w:p>
    <w:p w14:paraId="330FFC03" w14:textId="77777777" w:rsidR="00C57C9F" w:rsidRDefault="00C57C9F" w:rsidP="006F421D">
      <w:pPr>
        <w:pStyle w:val="2fins-body"/>
        <w:ind w:left="1418"/>
        <w:divId w:val="1126236401"/>
        <w:rPr>
          <w:rFonts w:cs="Times New Roman"/>
          <w:lang w:val="en-AU"/>
        </w:rPr>
      </w:pPr>
      <w:r>
        <w:rPr>
          <w:rFonts w:cs="Times New Roman"/>
          <w:lang w:val="en-AU"/>
        </w:rPr>
        <w:t>Note 10: Cash Flow Reconciliation</w:t>
      </w:r>
    </w:p>
    <w:p w14:paraId="0743D3FD" w14:textId="77777777" w:rsidR="00C57C9F" w:rsidRDefault="00C57C9F" w:rsidP="006F421D">
      <w:pPr>
        <w:pStyle w:val="2fins-body"/>
        <w:ind w:left="1418"/>
        <w:divId w:val="1126236401"/>
        <w:rPr>
          <w:rFonts w:cs="Times New Roman"/>
          <w:lang w:val="en-AU"/>
        </w:rPr>
      </w:pPr>
      <w:r>
        <w:rPr>
          <w:rFonts w:cs="Times New Roman"/>
          <w:lang w:val="en-AU"/>
        </w:rPr>
        <w:t>Note 11: Contingent Assets and Liabilities</w:t>
      </w:r>
    </w:p>
    <w:p w14:paraId="50283CAB" w14:textId="77777777" w:rsidR="00C57C9F" w:rsidRDefault="00C57C9F" w:rsidP="006F421D">
      <w:pPr>
        <w:pStyle w:val="2fins-body"/>
        <w:ind w:left="1418"/>
        <w:divId w:val="1126236401"/>
        <w:rPr>
          <w:rFonts w:cs="Times New Roman"/>
          <w:lang w:val="en-AU"/>
        </w:rPr>
      </w:pPr>
      <w:r>
        <w:rPr>
          <w:rFonts w:cs="Times New Roman"/>
          <w:lang w:val="en-AU"/>
        </w:rPr>
        <w:t>Note 12: Directors Remuneration</w:t>
      </w:r>
    </w:p>
    <w:p w14:paraId="32AC48F5" w14:textId="77777777" w:rsidR="00C57C9F" w:rsidRDefault="00C57C9F" w:rsidP="006F421D">
      <w:pPr>
        <w:pStyle w:val="2fins-body"/>
        <w:ind w:left="1418"/>
        <w:divId w:val="1126236401"/>
        <w:rPr>
          <w:rFonts w:cs="Times New Roman"/>
          <w:lang w:val="en-AU"/>
        </w:rPr>
      </w:pPr>
      <w:r>
        <w:rPr>
          <w:rFonts w:cs="Times New Roman"/>
          <w:lang w:val="en-AU"/>
        </w:rPr>
        <w:t>Note 13: Related Party Disclosures</w:t>
      </w:r>
    </w:p>
    <w:p w14:paraId="1677BADE" w14:textId="77777777" w:rsidR="00C57C9F" w:rsidRDefault="00C57C9F" w:rsidP="006F421D">
      <w:pPr>
        <w:pStyle w:val="2fins-body"/>
        <w:ind w:left="1418"/>
        <w:divId w:val="1126236401"/>
        <w:rPr>
          <w:rFonts w:cs="Times New Roman"/>
          <w:lang w:val="en-AU"/>
        </w:rPr>
      </w:pPr>
      <w:r>
        <w:rPr>
          <w:rFonts w:cs="Times New Roman"/>
          <w:lang w:val="en-AU"/>
        </w:rPr>
        <w:t>Note 14: Senior Executive Remuneration</w:t>
      </w:r>
    </w:p>
    <w:p w14:paraId="0A48A4A7" w14:textId="77777777" w:rsidR="00C57C9F" w:rsidRDefault="00C57C9F" w:rsidP="006F421D">
      <w:pPr>
        <w:pStyle w:val="2fins-body"/>
        <w:ind w:left="1418"/>
        <w:divId w:val="1126236401"/>
        <w:rPr>
          <w:rFonts w:cs="Times New Roman"/>
          <w:lang w:val="en-AU"/>
        </w:rPr>
      </w:pPr>
      <w:r>
        <w:rPr>
          <w:rFonts w:cs="Times New Roman"/>
          <w:lang w:val="en-AU"/>
        </w:rPr>
        <w:t>Note 15: Remuneration of Auditors</w:t>
      </w:r>
    </w:p>
    <w:p w14:paraId="1FE15185" w14:textId="77777777" w:rsidR="00C57C9F" w:rsidRDefault="00C57C9F" w:rsidP="006F421D">
      <w:pPr>
        <w:pStyle w:val="2fins-body"/>
        <w:ind w:left="1418"/>
        <w:divId w:val="1126236401"/>
        <w:rPr>
          <w:rFonts w:cs="Times New Roman"/>
          <w:lang w:val="en-AU"/>
        </w:rPr>
      </w:pPr>
      <w:r>
        <w:rPr>
          <w:rFonts w:cs="Times New Roman"/>
          <w:lang w:val="en-AU"/>
        </w:rPr>
        <w:t>Note 16: Financial Instruments</w:t>
      </w:r>
    </w:p>
    <w:p w14:paraId="22010D4C" w14:textId="77777777" w:rsidR="00C57C9F" w:rsidRDefault="00C57C9F" w:rsidP="006F421D">
      <w:pPr>
        <w:pStyle w:val="2fins-body"/>
        <w:ind w:left="1418"/>
        <w:divId w:val="1126236401"/>
        <w:rPr>
          <w:rFonts w:cs="Times New Roman"/>
          <w:lang w:val="en-AU"/>
        </w:rPr>
      </w:pPr>
      <w:r>
        <w:rPr>
          <w:rFonts w:cs="Times New Roman"/>
          <w:lang w:val="en-AU"/>
        </w:rPr>
        <w:t>Note 17: Financial Assets Reconciliation</w:t>
      </w:r>
    </w:p>
    <w:p w14:paraId="1D67D602" w14:textId="77777777" w:rsidR="00C57C9F" w:rsidRDefault="00C57C9F" w:rsidP="006F421D">
      <w:pPr>
        <w:pStyle w:val="2fins-body"/>
        <w:ind w:left="1418"/>
        <w:divId w:val="1126236401"/>
        <w:rPr>
          <w:rFonts w:cs="Times New Roman"/>
          <w:lang w:val="en-AU"/>
        </w:rPr>
      </w:pPr>
      <w:r>
        <w:rPr>
          <w:rFonts w:cs="Times New Roman"/>
          <w:lang w:val="en-AU"/>
        </w:rPr>
        <w:t>Note 18: Compensation and Debt Relief</w:t>
      </w:r>
    </w:p>
    <w:p w14:paraId="3389C373" w14:textId="77777777" w:rsidR="00C57C9F" w:rsidRDefault="00C57C9F" w:rsidP="006F421D">
      <w:pPr>
        <w:pStyle w:val="2fins-body"/>
        <w:ind w:left="1418"/>
        <w:divId w:val="1126236401"/>
        <w:rPr>
          <w:rFonts w:cs="Times New Roman"/>
          <w:lang w:val="en-AU"/>
        </w:rPr>
      </w:pPr>
      <w:r>
        <w:rPr>
          <w:rFonts w:cs="Times New Roman"/>
          <w:lang w:val="en-AU"/>
        </w:rPr>
        <w:t>Note 19: Reporting of Outcomes</w:t>
      </w:r>
    </w:p>
    <w:p w14:paraId="471BD982" w14:textId="77777777" w:rsidR="00C57C9F" w:rsidRDefault="00C57C9F">
      <w:pPr>
        <w:rPr>
          <w:rFonts w:cs="Times New Roman"/>
          <w:b/>
          <w:sz w:val="28"/>
        </w:rPr>
      </w:pPr>
      <w:r>
        <w:rPr>
          <w:rFonts w:cs="Times New Roman"/>
        </w:rPr>
        <w:br w:type="page"/>
      </w:r>
    </w:p>
    <w:p w14:paraId="12743C0D" w14:textId="77777777" w:rsidR="00C57C9F" w:rsidRDefault="00C57C9F" w:rsidP="00093444">
      <w:pPr>
        <w:pStyle w:val="Heading2"/>
        <w:divId w:val="1139883726"/>
      </w:pPr>
      <w:bookmarkStart w:id="48" w:name="_Toc414011906"/>
      <w:r>
        <w:lastRenderedPageBreak/>
        <w:t xml:space="preserve">Notes to and forming part of the Financial Statements </w:t>
      </w:r>
      <w:r>
        <w:br/>
        <w:t>for the period ended 30 June 2014</w:t>
      </w:r>
      <w:bookmarkEnd w:id="48"/>
    </w:p>
    <w:p w14:paraId="103080D0" w14:textId="77777777" w:rsidR="00C57C9F" w:rsidRDefault="00C57C9F">
      <w:pPr>
        <w:pStyle w:val="1heading-2"/>
        <w:divId w:val="1139883726"/>
        <w:rPr>
          <w:rFonts w:cs="Times New Roman"/>
          <w:lang w:val="en-AU"/>
        </w:rPr>
      </w:pPr>
      <w:r>
        <w:rPr>
          <w:rFonts w:cs="Times New Roman"/>
          <w:lang w:val="en-AU"/>
        </w:rPr>
        <w:t>Note 1: Summary of Significant Accounting Policies</w:t>
      </w:r>
    </w:p>
    <w:p w14:paraId="2FCA66FB" w14:textId="77777777" w:rsidR="00C57C9F" w:rsidRPr="00ED772D" w:rsidRDefault="00C57C9F" w:rsidP="00ED772D">
      <w:pPr>
        <w:divId w:val="1139883726"/>
        <w:rPr>
          <w:b/>
        </w:rPr>
      </w:pPr>
      <w:r w:rsidRPr="00ED772D">
        <w:rPr>
          <w:b/>
        </w:rPr>
        <w:t>1.1 Objectives of the entity</w:t>
      </w:r>
    </w:p>
    <w:p w14:paraId="02DD869A" w14:textId="77777777" w:rsidR="00C57C9F" w:rsidRDefault="00C57C9F">
      <w:pPr>
        <w:pStyle w:val="2fins-body"/>
        <w:divId w:val="1139883726"/>
        <w:rPr>
          <w:rFonts w:cs="Times New Roman"/>
          <w:lang w:val="en-AU"/>
        </w:rPr>
      </w:pPr>
      <w:r>
        <w:rPr>
          <w:rFonts w:cs="Times New Roman"/>
          <w:lang w:val="en-AU"/>
        </w:rPr>
        <w:t>The Australian Commission on Safety and Quality in Health Care (the Commission) is an Australian Government controlled entity. It is a not-for-profit entity. The objective of the Commission is to lead and coordinate health care safety and quality improvements in Australia.</w:t>
      </w:r>
    </w:p>
    <w:p w14:paraId="07816624" w14:textId="77777777" w:rsidR="00C57C9F" w:rsidRDefault="00C57C9F">
      <w:pPr>
        <w:pStyle w:val="2fins-body"/>
        <w:divId w:val="1139883726"/>
        <w:rPr>
          <w:rFonts w:cs="Times New Roman"/>
          <w:lang w:val="en-AU"/>
        </w:rPr>
      </w:pPr>
      <w:r>
        <w:rPr>
          <w:rFonts w:cs="Times New Roman"/>
          <w:lang w:val="en-AU"/>
        </w:rPr>
        <w:t xml:space="preserve">Initially established in 2006 by the Australian, state and territory governments to lead and coordinate national improvements in safety and quality, the Commission’s permanent status was </w:t>
      </w:r>
      <w:r>
        <w:rPr>
          <w:rFonts w:cs="Times New Roman"/>
          <w:lang w:val="en-AU"/>
        </w:rPr>
        <w:br/>
        <w:t xml:space="preserve">confirmed with the assent of the </w:t>
      </w:r>
      <w:r>
        <w:rPr>
          <w:rStyle w:val="fins-italic"/>
          <w:rFonts w:cs="Times New Roman"/>
          <w:lang w:val="en-AU"/>
        </w:rPr>
        <w:t>National Health Reform Act 2011</w:t>
      </w:r>
      <w:r>
        <w:rPr>
          <w:rFonts w:cs="Times New Roman"/>
          <w:lang w:val="en-AU"/>
        </w:rPr>
        <w:t xml:space="preserve"> (NHR Act). It is a Commonwealth Authority operating under the requirements of the </w:t>
      </w:r>
      <w:r>
        <w:rPr>
          <w:rStyle w:val="fins-italic"/>
          <w:rFonts w:cs="Times New Roman"/>
          <w:lang w:val="en-AU"/>
        </w:rPr>
        <w:t>Commonwealth Authorities and Companies Act 1997</w:t>
      </w:r>
      <w:r>
        <w:rPr>
          <w:rFonts w:cs="Times New Roman"/>
          <w:lang w:val="en-AU"/>
        </w:rPr>
        <w:t>. The Commission commenced as an independent, statutory authority on 1 July 2011, funded jointly by the Commonwealth, State and Territory governments.</w:t>
      </w:r>
    </w:p>
    <w:p w14:paraId="0A381C4B" w14:textId="77777777" w:rsidR="00C57C9F" w:rsidRDefault="00C57C9F">
      <w:pPr>
        <w:pStyle w:val="2fins-body-before-bullet"/>
        <w:divId w:val="1139883726"/>
        <w:rPr>
          <w:rFonts w:cs="Times New Roman"/>
          <w:lang w:val="en-AU"/>
        </w:rPr>
      </w:pPr>
      <w:r>
        <w:rPr>
          <w:rFonts w:cs="Times New Roman"/>
          <w:lang w:val="en-AU"/>
        </w:rPr>
        <w:t>The Commission is structured to meet a single outcome:</w:t>
      </w:r>
    </w:p>
    <w:p w14:paraId="25A22FF9" w14:textId="77777777" w:rsidR="00C57C9F" w:rsidRDefault="00C57C9F">
      <w:pPr>
        <w:pStyle w:val="2fins-body"/>
        <w:divId w:val="1139883726"/>
        <w:rPr>
          <w:rFonts w:cs="Times New Roman"/>
          <w:lang w:val="en-AU"/>
        </w:rPr>
      </w:pPr>
      <w:r>
        <w:rPr>
          <w:rStyle w:val="fins-italic"/>
          <w:rFonts w:cs="Times New Roman"/>
          <w:lang w:val="en-AU"/>
        </w:rPr>
        <w:t>To improve safety and quality in healthcare across the health system, including through the development, support for implementation, and monitoring of national clinical safety and quality guidelines and standards.</w:t>
      </w:r>
    </w:p>
    <w:p w14:paraId="5A1719A8" w14:textId="77777777" w:rsidR="00C57C9F" w:rsidRDefault="00C57C9F">
      <w:pPr>
        <w:pStyle w:val="2fins-body"/>
        <w:divId w:val="1139883726"/>
        <w:rPr>
          <w:rFonts w:cs="Times New Roman"/>
          <w:lang w:val="en-AU"/>
        </w:rPr>
      </w:pPr>
      <w:r>
        <w:rPr>
          <w:rFonts w:cs="Times New Roman"/>
          <w:lang w:val="en-AU"/>
        </w:rPr>
        <w:t xml:space="preserve">The continued existence of the Commission in its present form and with its present programs is dependent on Government policy and on continuing funding by Parliament for the Commission’s administration and programs. The 2014-15 Budget proposed the merger of the Commission with a number of other Commonwealth entities to create </w:t>
      </w:r>
      <w:proofErr w:type="gramStart"/>
      <w:r>
        <w:rPr>
          <w:rFonts w:cs="Times New Roman"/>
          <w:lang w:val="en-AU"/>
        </w:rPr>
        <w:t>a new</w:t>
      </w:r>
      <w:proofErr w:type="gramEnd"/>
      <w:r>
        <w:rPr>
          <w:rFonts w:cs="Times New Roman"/>
          <w:lang w:val="en-AU"/>
        </w:rPr>
        <w:t xml:space="preserve"> health productivity and performance commission. This is subject to consultation with the States and Territories and currently no further details are provided on the role or timeframe for creation of the merged entity.</w:t>
      </w:r>
    </w:p>
    <w:p w14:paraId="43402FCD" w14:textId="77777777" w:rsidR="00C57C9F" w:rsidRPr="00ED772D" w:rsidRDefault="00C57C9F" w:rsidP="00ED772D">
      <w:pPr>
        <w:divId w:val="1139883726"/>
        <w:rPr>
          <w:b/>
        </w:rPr>
      </w:pPr>
      <w:r w:rsidRPr="00ED772D">
        <w:rPr>
          <w:b/>
        </w:rPr>
        <w:t>1.2 Basis of Preparation of the Financial Statements</w:t>
      </w:r>
    </w:p>
    <w:p w14:paraId="1076A949" w14:textId="77777777" w:rsidR="00C57C9F" w:rsidRDefault="00C57C9F">
      <w:pPr>
        <w:pStyle w:val="2fins-body"/>
        <w:divId w:val="1139883726"/>
        <w:rPr>
          <w:rFonts w:cs="Times New Roman"/>
          <w:lang w:val="en-AU"/>
        </w:rPr>
      </w:pPr>
      <w:r>
        <w:rPr>
          <w:rFonts w:cs="Times New Roman"/>
          <w:lang w:val="en-AU"/>
        </w:rPr>
        <w:t xml:space="preserve">The financial statements are general purpose financial statements and are required by clause 1(b) of Schedule 1 to </w:t>
      </w:r>
      <w:r>
        <w:rPr>
          <w:rStyle w:val="fins-italic"/>
          <w:rFonts w:cs="Times New Roman"/>
          <w:lang w:val="en-AU"/>
        </w:rPr>
        <w:t>the Commonwealth Authorities and Companies Act 1997</w:t>
      </w:r>
      <w:r>
        <w:rPr>
          <w:rFonts w:cs="Times New Roman"/>
          <w:lang w:val="en-AU"/>
        </w:rPr>
        <w:t>.</w:t>
      </w:r>
    </w:p>
    <w:p w14:paraId="334918E2" w14:textId="77777777" w:rsidR="00C57C9F" w:rsidRDefault="00C57C9F">
      <w:pPr>
        <w:pStyle w:val="2fins-body"/>
        <w:divId w:val="1139883726"/>
        <w:rPr>
          <w:rFonts w:cs="Times New Roman"/>
          <w:lang w:val="en-AU"/>
        </w:rPr>
      </w:pPr>
      <w:r>
        <w:rPr>
          <w:rFonts w:cs="Times New Roman"/>
          <w:lang w:val="en-AU"/>
        </w:rPr>
        <w:t>The financial statements have been prepared in accordance with:</w:t>
      </w:r>
    </w:p>
    <w:p w14:paraId="164C54E5" w14:textId="77777777" w:rsidR="00C57C9F" w:rsidRDefault="00C57C9F" w:rsidP="006F421D">
      <w:pPr>
        <w:pStyle w:val="2fins-body-before-bullet"/>
        <w:ind w:left="284" w:hanging="284"/>
        <w:divId w:val="1139883726"/>
        <w:rPr>
          <w:rFonts w:cs="Times New Roman"/>
          <w:lang w:val="en-AU"/>
        </w:rPr>
      </w:pPr>
      <w:r>
        <w:rPr>
          <w:rFonts w:cs="Times New Roman"/>
          <w:lang w:val="en-AU"/>
        </w:rPr>
        <w:t>a)</w:t>
      </w:r>
      <w:r>
        <w:rPr>
          <w:rFonts w:cs="Times New Roman"/>
          <w:lang w:val="en-AU"/>
        </w:rPr>
        <w:tab/>
        <w:t xml:space="preserve">Finance Minister’s Orders (FMOs) for reporting periods ending on or after 1 July 2011; and </w:t>
      </w:r>
    </w:p>
    <w:p w14:paraId="096190EA" w14:textId="77777777" w:rsidR="00C57C9F" w:rsidRDefault="00C57C9F" w:rsidP="006F421D">
      <w:pPr>
        <w:pStyle w:val="2fins-body"/>
        <w:ind w:left="284" w:hanging="284"/>
        <w:divId w:val="1139883726"/>
        <w:rPr>
          <w:rFonts w:cs="Times New Roman"/>
          <w:lang w:val="en-AU"/>
        </w:rPr>
      </w:pPr>
      <w:r>
        <w:rPr>
          <w:rFonts w:cs="Times New Roman"/>
          <w:lang w:val="en-AU"/>
        </w:rPr>
        <w:t xml:space="preserve">b) </w:t>
      </w:r>
      <w:r>
        <w:rPr>
          <w:rFonts w:cs="Times New Roman"/>
          <w:lang w:val="en-AU"/>
        </w:rPr>
        <w:tab/>
        <w:t>Australian Accounting Standards and Interpretations issued by the Australian Accounting Standards Board (AASB) that apply for the reporting period.</w:t>
      </w:r>
    </w:p>
    <w:p w14:paraId="7F010B90" w14:textId="77777777" w:rsidR="00C57C9F" w:rsidRDefault="00C57C9F">
      <w:pPr>
        <w:pStyle w:val="2fins-body"/>
        <w:divId w:val="1139883726"/>
        <w:rPr>
          <w:rFonts w:cs="Times New Roman"/>
          <w:lang w:val="en-AU"/>
        </w:rPr>
      </w:pPr>
      <w:r>
        <w:rPr>
          <w:rFonts w:cs="Times New Roman"/>
          <w:lang w:val="en-AU"/>
        </w:rPr>
        <w:t>The financial statements have been prepared on an accrual basis and in accordance with the historical cost convention, except for certain assets and liabilities at fair value. Except where stated, no allowance is made for the effect of changing prices on the results or the financial position.</w:t>
      </w:r>
    </w:p>
    <w:p w14:paraId="66259A1B" w14:textId="77777777" w:rsidR="00C57C9F" w:rsidRDefault="00C57C9F">
      <w:pPr>
        <w:pStyle w:val="2fins-body"/>
        <w:divId w:val="1139883726"/>
        <w:rPr>
          <w:rFonts w:cs="Times New Roman"/>
          <w:lang w:val="en-AU"/>
        </w:rPr>
      </w:pPr>
      <w:r>
        <w:rPr>
          <w:rFonts w:cs="Times New Roman"/>
          <w:lang w:val="en-AU"/>
        </w:rPr>
        <w:t>The financial statements are presented in Australian dollars and values are rounded to the nearest thousand dollars unless otherwise specified.</w:t>
      </w:r>
    </w:p>
    <w:p w14:paraId="4B95F552" w14:textId="77777777" w:rsidR="00C57C9F" w:rsidRDefault="00C57C9F">
      <w:pPr>
        <w:pStyle w:val="2fins-body"/>
        <w:divId w:val="1139883726"/>
        <w:rPr>
          <w:rFonts w:cs="Times New Roman"/>
          <w:lang w:val="en-AU"/>
        </w:rPr>
      </w:pPr>
      <w:r>
        <w:rPr>
          <w:rFonts w:cs="Times New Roman"/>
          <w:lang w:val="en-AU"/>
        </w:rPr>
        <w:t>Unless an alternative treatment is specifically required by an accounting standard or the FMOs, assets and liabilities are recognised in the statement of financial position when and only when it is probable that future economic benefits will flow to the Commission or a future sacrifice of economic benefits will be required and the amounts of the assets or liabilities can be reliably measured. However, assets and liabilities arising under executor contracts are not recognised unless required by an accounting standard. Liabilities and assets that are unrecognised are reported in the schedule of commitments or the schedule of contingencies.</w:t>
      </w:r>
    </w:p>
    <w:p w14:paraId="52F119C3" w14:textId="77777777" w:rsidR="00C57C9F" w:rsidRDefault="00C57C9F">
      <w:pPr>
        <w:pStyle w:val="2fins-body"/>
        <w:divId w:val="1139883726"/>
        <w:rPr>
          <w:rFonts w:cs="Times New Roman"/>
          <w:lang w:val="en-AU"/>
        </w:rPr>
      </w:pPr>
      <w:r>
        <w:rPr>
          <w:rFonts w:cs="Times New Roman"/>
          <w:lang w:val="en-AU"/>
        </w:rPr>
        <w:t>Unless alternative treatment is specifically required by an Accounting Standard, income and expenses are recognised in the statement of comprehensive income when and only when the flow, consumption or loss of economic benefits has occurred and can be reliably measured.</w:t>
      </w:r>
    </w:p>
    <w:p w14:paraId="067638EB" w14:textId="77777777" w:rsidR="00C57C9F" w:rsidRPr="00ED772D" w:rsidRDefault="00C57C9F" w:rsidP="00ED772D">
      <w:pPr>
        <w:divId w:val="1139883726"/>
        <w:rPr>
          <w:b/>
        </w:rPr>
      </w:pPr>
      <w:r w:rsidRPr="00ED772D">
        <w:rPr>
          <w:b/>
        </w:rPr>
        <w:t>1.3 Significant Accounting Judgements and Estimates</w:t>
      </w:r>
    </w:p>
    <w:p w14:paraId="00723224" w14:textId="77777777" w:rsidR="00C57C9F" w:rsidRDefault="00C57C9F">
      <w:pPr>
        <w:pStyle w:val="2fins-body"/>
        <w:divId w:val="1139883726"/>
        <w:rPr>
          <w:rFonts w:cs="Times New Roman"/>
          <w:lang w:val="en-AU"/>
        </w:rPr>
      </w:pPr>
      <w:r>
        <w:rPr>
          <w:rFonts w:cs="Times New Roman"/>
          <w:lang w:val="en-AU"/>
        </w:rPr>
        <w:t>No accounting assumptions or estimates have been identified that have a significant impact on the amounts recorded in the financial statements or risk causing a material adjustment to the carrying amounts of assets or liabilities within the next reporting period.</w:t>
      </w:r>
    </w:p>
    <w:p w14:paraId="37FA4D58" w14:textId="77777777" w:rsidR="00C57C9F" w:rsidRPr="00ED772D" w:rsidRDefault="00C57C9F" w:rsidP="00ED772D">
      <w:pPr>
        <w:divId w:val="1139883726"/>
        <w:rPr>
          <w:b/>
        </w:rPr>
      </w:pPr>
      <w:r w:rsidRPr="00ED772D">
        <w:rPr>
          <w:b/>
        </w:rPr>
        <w:lastRenderedPageBreak/>
        <w:t>1.4 New Australian Accounting Standards</w:t>
      </w:r>
    </w:p>
    <w:p w14:paraId="187600A4" w14:textId="77777777" w:rsidR="00C57C9F" w:rsidRDefault="00C57C9F">
      <w:pPr>
        <w:pStyle w:val="1heading-4"/>
        <w:divId w:val="1139883726"/>
        <w:rPr>
          <w:rFonts w:cs="Times New Roman"/>
          <w:lang w:val="en-AU"/>
        </w:rPr>
      </w:pPr>
      <w:r>
        <w:rPr>
          <w:rFonts w:cs="Times New Roman"/>
          <w:lang w:val="en-AU"/>
        </w:rPr>
        <w:t>Adoption of New Australian Accounting Standard Requirements</w:t>
      </w:r>
    </w:p>
    <w:p w14:paraId="02034017" w14:textId="77777777" w:rsidR="00C57C9F" w:rsidRDefault="00C57C9F">
      <w:pPr>
        <w:pStyle w:val="2fins-body"/>
        <w:divId w:val="1139883726"/>
        <w:rPr>
          <w:rFonts w:cs="Times New Roman"/>
          <w:lang w:val="en-AU"/>
        </w:rPr>
      </w:pPr>
      <w:r>
        <w:rPr>
          <w:rFonts w:cs="Times New Roman"/>
          <w:lang w:val="en-AU"/>
        </w:rPr>
        <w:t>No Accounting Standard has been adopted earlier than the application date as stated in the standard.</w:t>
      </w:r>
    </w:p>
    <w:p w14:paraId="51BE61C9" w14:textId="77777777" w:rsidR="00C57C9F" w:rsidRDefault="00C57C9F">
      <w:pPr>
        <w:pStyle w:val="2fins-body"/>
        <w:divId w:val="1139883726"/>
        <w:rPr>
          <w:rFonts w:cs="Times New Roman"/>
          <w:lang w:val="en-AU"/>
        </w:rPr>
      </w:pPr>
      <w:r>
        <w:rPr>
          <w:rFonts w:cs="Times New Roman"/>
          <w:lang w:val="en-AU"/>
        </w:rPr>
        <w:t>No new standards, revised standards, interpretations or amending standards that were issued prior to the sign off date and were applicable to the current reporting period had a financial impact on the Commission.</w:t>
      </w:r>
    </w:p>
    <w:p w14:paraId="0FBA350A" w14:textId="77777777" w:rsidR="00C57C9F" w:rsidRDefault="00C57C9F">
      <w:pPr>
        <w:pStyle w:val="1heading-4"/>
        <w:divId w:val="1139883726"/>
        <w:rPr>
          <w:rFonts w:cs="Times New Roman"/>
          <w:lang w:val="en-AU"/>
        </w:rPr>
      </w:pPr>
      <w:r>
        <w:rPr>
          <w:rFonts w:cs="Times New Roman"/>
          <w:lang w:val="en-AU"/>
        </w:rPr>
        <w:t>Future Australian Accounting Standard Requirements</w:t>
      </w:r>
    </w:p>
    <w:p w14:paraId="75918304" w14:textId="77777777" w:rsidR="00C57C9F" w:rsidRDefault="00C57C9F">
      <w:pPr>
        <w:pStyle w:val="2fins-body"/>
        <w:divId w:val="1139883726"/>
        <w:rPr>
          <w:rFonts w:cs="Times New Roman"/>
          <w:lang w:val="en-AU"/>
        </w:rPr>
      </w:pPr>
      <w:r>
        <w:rPr>
          <w:rFonts w:cs="Times New Roman"/>
          <w:lang w:val="en-AU"/>
        </w:rPr>
        <w:t>New standards, revised standards and interpretations that were issued by the Australian Accounting Standards Board prior to the sign off date and are applicable to the future reporting period are not expected to have a material future financial impact on the Commission.</w:t>
      </w:r>
    </w:p>
    <w:p w14:paraId="6A5C2E1B" w14:textId="77777777" w:rsidR="00C57C9F" w:rsidRPr="00ED772D" w:rsidRDefault="00C57C9F" w:rsidP="00ED772D">
      <w:pPr>
        <w:divId w:val="1139883726"/>
        <w:rPr>
          <w:b/>
        </w:rPr>
      </w:pPr>
      <w:r w:rsidRPr="00ED772D">
        <w:rPr>
          <w:b/>
        </w:rPr>
        <w:t>1.5 Revenue</w:t>
      </w:r>
    </w:p>
    <w:p w14:paraId="6D61B32C" w14:textId="77777777" w:rsidR="00C57C9F" w:rsidRDefault="00C57C9F">
      <w:pPr>
        <w:pStyle w:val="2fins-body-before-bullet"/>
        <w:divId w:val="1139883726"/>
        <w:rPr>
          <w:rFonts w:cs="Times New Roman"/>
          <w:lang w:val="en-AU"/>
        </w:rPr>
      </w:pPr>
      <w:r>
        <w:rPr>
          <w:rFonts w:cs="Times New Roman"/>
          <w:lang w:val="en-AU"/>
        </w:rPr>
        <w:t>Revenue from rendering of services is recognised by reference to the stage of completion of contracts at the reporting date. The revenue is recognised when:</w:t>
      </w:r>
    </w:p>
    <w:p w14:paraId="5823985E" w14:textId="77777777" w:rsidR="00C57C9F" w:rsidRDefault="00C57C9F" w:rsidP="006F421D">
      <w:pPr>
        <w:pStyle w:val="2fins-body-before-bullet"/>
        <w:ind w:left="284" w:hanging="284"/>
        <w:divId w:val="1139883726"/>
        <w:rPr>
          <w:rFonts w:cs="Times New Roman"/>
          <w:lang w:val="en-AU"/>
        </w:rPr>
      </w:pPr>
      <w:r>
        <w:rPr>
          <w:rFonts w:cs="Times New Roman"/>
          <w:lang w:val="en-AU"/>
        </w:rPr>
        <w:t xml:space="preserve">a) </w:t>
      </w:r>
      <w:r>
        <w:rPr>
          <w:rFonts w:cs="Times New Roman"/>
          <w:lang w:val="en-AU"/>
        </w:rPr>
        <w:tab/>
      </w:r>
      <w:proofErr w:type="gramStart"/>
      <w:r>
        <w:rPr>
          <w:rFonts w:cs="Times New Roman"/>
          <w:lang w:val="en-AU"/>
        </w:rPr>
        <w:t>the</w:t>
      </w:r>
      <w:proofErr w:type="gramEnd"/>
      <w:r>
        <w:rPr>
          <w:rFonts w:cs="Times New Roman"/>
          <w:lang w:val="en-AU"/>
        </w:rPr>
        <w:t xml:space="preserve"> amount of revenue, stage of completion and transaction costs incurred can be reliably measured; and</w:t>
      </w:r>
    </w:p>
    <w:p w14:paraId="689931E0" w14:textId="77777777" w:rsidR="00C57C9F" w:rsidRDefault="00C57C9F" w:rsidP="006F421D">
      <w:pPr>
        <w:pStyle w:val="2fins-body"/>
        <w:ind w:left="284" w:hanging="284"/>
        <w:divId w:val="1139883726"/>
        <w:rPr>
          <w:rFonts w:cs="Times New Roman"/>
          <w:lang w:val="en-AU"/>
        </w:rPr>
      </w:pPr>
      <w:r>
        <w:rPr>
          <w:rFonts w:cs="Times New Roman"/>
          <w:lang w:val="en-AU"/>
        </w:rPr>
        <w:t xml:space="preserve">b) </w:t>
      </w:r>
      <w:r>
        <w:rPr>
          <w:rFonts w:cs="Times New Roman"/>
          <w:lang w:val="en-AU"/>
        </w:rPr>
        <w:tab/>
      </w:r>
      <w:proofErr w:type="gramStart"/>
      <w:r>
        <w:rPr>
          <w:rFonts w:cs="Times New Roman"/>
          <w:lang w:val="en-AU"/>
        </w:rPr>
        <w:t>the</w:t>
      </w:r>
      <w:proofErr w:type="gramEnd"/>
      <w:r>
        <w:rPr>
          <w:rFonts w:cs="Times New Roman"/>
          <w:lang w:val="en-AU"/>
        </w:rPr>
        <w:t xml:space="preserve"> probable economic benefits associated with the transaction will flow to the Commission. </w:t>
      </w:r>
    </w:p>
    <w:p w14:paraId="581B5583" w14:textId="77777777" w:rsidR="00C57C9F" w:rsidRDefault="00C57C9F">
      <w:pPr>
        <w:pStyle w:val="2fins-body"/>
        <w:divId w:val="1139883726"/>
        <w:rPr>
          <w:rFonts w:cs="Times New Roman"/>
          <w:lang w:val="en-AU"/>
        </w:rPr>
      </w:pPr>
      <w:r>
        <w:rPr>
          <w:rFonts w:cs="Times New Roman"/>
          <w:lang w:val="en-AU"/>
        </w:rPr>
        <w:t>The stage of completion of contracts at the reporting date is determined by reference to surveys of work performed.</w:t>
      </w:r>
    </w:p>
    <w:p w14:paraId="2BAC5516" w14:textId="77777777" w:rsidR="00C57C9F" w:rsidRDefault="00C57C9F">
      <w:pPr>
        <w:pStyle w:val="2fins-body"/>
        <w:divId w:val="1139883726"/>
        <w:rPr>
          <w:rFonts w:cs="Times New Roman"/>
          <w:lang w:val="en-AU"/>
        </w:rPr>
      </w:pPr>
      <w:r>
        <w:rPr>
          <w:rFonts w:cs="Times New Roman"/>
          <w:lang w:val="en-AU"/>
        </w:rPr>
        <w:t>Receivables for goods and services, which have 30 day terms, are recognised at the nominal amounts due less any impairment allowance. Collectability of debts is reviewed at the end of the reporting period. Allowances are made when collectability of the debt is no longer probable.</w:t>
      </w:r>
    </w:p>
    <w:p w14:paraId="0D49064F" w14:textId="77777777" w:rsidR="00C57C9F" w:rsidRDefault="00C57C9F">
      <w:pPr>
        <w:pStyle w:val="2fins-body"/>
        <w:divId w:val="1139883726"/>
        <w:rPr>
          <w:rFonts w:cs="Times New Roman"/>
          <w:lang w:val="en-AU"/>
        </w:rPr>
      </w:pPr>
      <w:r>
        <w:rPr>
          <w:rFonts w:cs="Times New Roman"/>
          <w:lang w:val="en-AU"/>
        </w:rPr>
        <w:t xml:space="preserve">Interest revenue is recognised using the effective interest method as set out in AASB 139 </w:t>
      </w:r>
      <w:r>
        <w:rPr>
          <w:rStyle w:val="fins-italic"/>
          <w:rFonts w:cs="Times New Roman"/>
          <w:lang w:val="en-AU"/>
        </w:rPr>
        <w:t>Financial Instruments: Recognition and Measurement</w:t>
      </w:r>
      <w:r>
        <w:rPr>
          <w:rFonts w:cs="Times New Roman"/>
          <w:lang w:val="en-AU"/>
        </w:rPr>
        <w:t>.</w:t>
      </w:r>
    </w:p>
    <w:p w14:paraId="4583CBF5" w14:textId="77777777" w:rsidR="00C57C9F" w:rsidRDefault="00C57C9F">
      <w:pPr>
        <w:pStyle w:val="1heading-4"/>
        <w:divId w:val="1139883726"/>
        <w:rPr>
          <w:rFonts w:cs="Times New Roman"/>
          <w:lang w:val="en-AU"/>
        </w:rPr>
      </w:pPr>
      <w:r>
        <w:rPr>
          <w:rFonts w:cs="Times New Roman"/>
          <w:lang w:val="en-AU"/>
        </w:rPr>
        <w:t>Revenue from Government - CAC Act body payment item</w:t>
      </w:r>
    </w:p>
    <w:p w14:paraId="6C3445E0" w14:textId="77777777" w:rsidR="00C57C9F" w:rsidRDefault="00C57C9F">
      <w:pPr>
        <w:pStyle w:val="2fins-body"/>
        <w:divId w:val="1139883726"/>
        <w:rPr>
          <w:rFonts w:cs="Times New Roman"/>
          <w:lang w:val="en-AU"/>
        </w:rPr>
      </w:pPr>
      <w:r>
        <w:rPr>
          <w:rFonts w:cs="Times New Roman"/>
          <w:lang w:val="en-AU"/>
        </w:rPr>
        <w:t>Funding received or receivable from agencies (appropriated to the Department of Health as a CAC Act body payment item for payment to the Commission) is recognised as Revenue from Government unless they are in the nature of an equity injection or a loan.</w:t>
      </w:r>
    </w:p>
    <w:p w14:paraId="2C699458" w14:textId="77777777" w:rsidR="00C57C9F" w:rsidRPr="00ED772D" w:rsidRDefault="00C57C9F" w:rsidP="00ED772D">
      <w:pPr>
        <w:divId w:val="1139883726"/>
        <w:rPr>
          <w:b/>
        </w:rPr>
      </w:pPr>
      <w:r w:rsidRPr="00ED772D">
        <w:rPr>
          <w:b/>
        </w:rPr>
        <w:t>1.6 Gains</w:t>
      </w:r>
    </w:p>
    <w:p w14:paraId="696CB215" w14:textId="77777777" w:rsidR="00C57C9F" w:rsidRDefault="00C57C9F">
      <w:pPr>
        <w:pStyle w:val="1heading-4"/>
        <w:divId w:val="1139883726"/>
        <w:rPr>
          <w:rFonts w:cs="Times New Roman"/>
          <w:lang w:val="en-AU"/>
        </w:rPr>
      </w:pPr>
      <w:r>
        <w:rPr>
          <w:rFonts w:cs="Times New Roman"/>
          <w:lang w:val="en-AU"/>
        </w:rPr>
        <w:t>Resources Received Free of Charge</w:t>
      </w:r>
    </w:p>
    <w:p w14:paraId="09F8BFBA" w14:textId="77777777" w:rsidR="00C57C9F" w:rsidRDefault="00C57C9F">
      <w:pPr>
        <w:pStyle w:val="2fins-body"/>
        <w:divId w:val="1139883726"/>
        <w:rPr>
          <w:rFonts w:cs="Times New Roman"/>
          <w:lang w:val="en-AU"/>
        </w:rPr>
      </w:pPr>
      <w:r>
        <w:rPr>
          <w:rFonts w:cs="Times New Roman"/>
          <w:lang w:val="en-AU"/>
        </w:rPr>
        <w:t>Resources received free of charge are recognised as gains when, and only when, a fair value can be reliably determined and the services would have been purchased if they had not been donated. Use of those resources is recognised as an expense.</w:t>
      </w:r>
    </w:p>
    <w:p w14:paraId="26DFEBDC" w14:textId="77777777" w:rsidR="00C57C9F" w:rsidRDefault="00C57C9F">
      <w:pPr>
        <w:pStyle w:val="2fins-body"/>
        <w:divId w:val="1139883726"/>
        <w:rPr>
          <w:rFonts w:cs="Times New Roman"/>
          <w:lang w:val="en-AU"/>
        </w:rPr>
      </w:pPr>
      <w:r>
        <w:rPr>
          <w:rFonts w:cs="Times New Roman"/>
          <w:lang w:val="en-AU"/>
        </w:rPr>
        <w:t>Resources received free of charge are recorded as either revenue or gains depending on their nature.</w:t>
      </w:r>
    </w:p>
    <w:p w14:paraId="77680D9E" w14:textId="77777777" w:rsidR="00C57C9F" w:rsidRDefault="00C57C9F">
      <w:pPr>
        <w:pStyle w:val="2fins-body"/>
        <w:divId w:val="1139883726"/>
        <w:rPr>
          <w:rFonts w:cs="Times New Roman"/>
          <w:lang w:val="en-AU"/>
        </w:rPr>
      </w:pPr>
      <w:r>
        <w:rPr>
          <w:rFonts w:cs="Times New Roman"/>
          <w:lang w:val="en-AU"/>
        </w:rPr>
        <w:t>Contributions of assets at no cost of acquisition or for nominal consideration are recognised as gains at their fair value when the asset qualifies for recognition, unless received from another Government entity as a consequence of a restructuring of administrative arrangements (Refer to Note 1.7).</w:t>
      </w:r>
    </w:p>
    <w:p w14:paraId="6DDF572A" w14:textId="77777777" w:rsidR="00C57C9F" w:rsidRDefault="00C57C9F">
      <w:pPr>
        <w:pStyle w:val="1heading-4"/>
        <w:divId w:val="1139883726"/>
        <w:rPr>
          <w:rFonts w:cs="Times New Roman"/>
          <w:lang w:val="en-AU"/>
        </w:rPr>
      </w:pPr>
      <w:r>
        <w:rPr>
          <w:rFonts w:cs="Times New Roman"/>
          <w:lang w:val="en-AU"/>
        </w:rPr>
        <w:t>Sale of Assets</w:t>
      </w:r>
    </w:p>
    <w:p w14:paraId="2C1FCE56" w14:textId="77777777" w:rsidR="00C57C9F" w:rsidRDefault="00C57C9F">
      <w:pPr>
        <w:pStyle w:val="2fins-body"/>
        <w:divId w:val="1139883726"/>
        <w:rPr>
          <w:rFonts w:cs="Times New Roman"/>
          <w:lang w:val="en-AU"/>
        </w:rPr>
      </w:pPr>
      <w:r>
        <w:rPr>
          <w:rFonts w:cs="Times New Roman"/>
          <w:lang w:val="en-AU"/>
        </w:rPr>
        <w:t>Gains from disposal of assets are recognised when control of the asset has passed to the buyer.</w:t>
      </w:r>
    </w:p>
    <w:p w14:paraId="5B3B7841" w14:textId="77777777" w:rsidR="00C57C9F" w:rsidRPr="00ED772D" w:rsidRDefault="00C57C9F" w:rsidP="00ED772D">
      <w:pPr>
        <w:divId w:val="1139883726"/>
        <w:rPr>
          <w:b/>
        </w:rPr>
      </w:pPr>
      <w:r w:rsidRPr="00ED772D">
        <w:rPr>
          <w:b/>
        </w:rPr>
        <w:t>1.7 Transactions with the Government as Owner</w:t>
      </w:r>
    </w:p>
    <w:p w14:paraId="13814C9A" w14:textId="77777777" w:rsidR="00C57C9F" w:rsidRDefault="00C57C9F">
      <w:pPr>
        <w:pStyle w:val="1heading-4"/>
        <w:divId w:val="1139883726"/>
        <w:rPr>
          <w:rFonts w:cs="Times New Roman"/>
          <w:lang w:val="en-AU"/>
        </w:rPr>
      </w:pPr>
      <w:r>
        <w:rPr>
          <w:rFonts w:cs="Times New Roman"/>
          <w:lang w:val="en-AU"/>
        </w:rPr>
        <w:t>Equity Injections</w:t>
      </w:r>
    </w:p>
    <w:p w14:paraId="62647481" w14:textId="77777777" w:rsidR="00C57C9F" w:rsidRDefault="00C57C9F">
      <w:pPr>
        <w:pStyle w:val="2fins-body"/>
        <w:divId w:val="1139883726"/>
        <w:rPr>
          <w:rFonts w:cs="Times New Roman"/>
          <w:lang w:val="en-AU"/>
        </w:rPr>
      </w:pPr>
      <w:r>
        <w:rPr>
          <w:rFonts w:cs="Times New Roman"/>
          <w:lang w:val="en-AU"/>
        </w:rPr>
        <w:t>Amounts that are designated as equity injections for a year are recognised directly in contributed equity in that year.</w:t>
      </w:r>
    </w:p>
    <w:p w14:paraId="42D65A6C" w14:textId="77777777" w:rsidR="00C57C9F" w:rsidRDefault="00C57C9F">
      <w:pPr>
        <w:pStyle w:val="1heading-4"/>
        <w:divId w:val="1139883726"/>
        <w:rPr>
          <w:rFonts w:cs="Times New Roman"/>
          <w:lang w:val="en-AU"/>
        </w:rPr>
      </w:pPr>
      <w:r>
        <w:rPr>
          <w:rFonts w:cs="Times New Roman"/>
          <w:lang w:val="en-AU"/>
        </w:rPr>
        <w:t>Restructuring of Administrative Arrangements</w:t>
      </w:r>
    </w:p>
    <w:p w14:paraId="3457A7BE" w14:textId="77777777" w:rsidR="00C57C9F" w:rsidRDefault="00C57C9F">
      <w:pPr>
        <w:pStyle w:val="2fins-body"/>
        <w:divId w:val="1139883726"/>
        <w:rPr>
          <w:rFonts w:cs="Times New Roman"/>
          <w:lang w:val="en-AU"/>
        </w:rPr>
      </w:pPr>
      <w:r>
        <w:rPr>
          <w:rFonts w:cs="Times New Roman"/>
          <w:lang w:val="en-AU"/>
        </w:rPr>
        <w:t>Net assets received from or relinquished to another Government entity under a restructuring of administrative arrangements are adjusted at their book value directly against contributed equity.</w:t>
      </w:r>
    </w:p>
    <w:p w14:paraId="21CAFAF1" w14:textId="77777777" w:rsidR="00C57C9F" w:rsidRDefault="00C57C9F">
      <w:pPr>
        <w:rPr>
          <w:rFonts w:cs="Times New Roman"/>
          <w:b/>
          <w:sz w:val="24"/>
        </w:rPr>
      </w:pPr>
      <w:r>
        <w:rPr>
          <w:rFonts w:cs="Times New Roman"/>
        </w:rPr>
        <w:br w:type="page"/>
      </w:r>
    </w:p>
    <w:p w14:paraId="0309BE01" w14:textId="77777777" w:rsidR="00C57C9F" w:rsidRPr="00ED772D" w:rsidRDefault="00C57C9F" w:rsidP="00ED772D">
      <w:pPr>
        <w:divId w:val="1139883726"/>
        <w:rPr>
          <w:b/>
        </w:rPr>
      </w:pPr>
      <w:r w:rsidRPr="00ED772D">
        <w:rPr>
          <w:b/>
        </w:rPr>
        <w:lastRenderedPageBreak/>
        <w:t>1.8 Employee Benefits</w:t>
      </w:r>
    </w:p>
    <w:p w14:paraId="27CAE6A9" w14:textId="77777777" w:rsidR="00C57C9F" w:rsidRDefault="00C57C9F">
      <w:pPr>
        <w:pStyle w:val="2fins-body"/>
        <w:divId w:val="1139883726"/>
        <w:rPr>
          <w:rFonts w:cs="Times New Roman"/>
          <w:lang w:val="en-AU"/>
        </w:rPr>
      </w:pPr>
      <w:r>
        <w:rPr>
          <w:rFonts w:cs="Times New Roman"/>
          <w:lang w:val="en-AU"/>
        </w:rPr>
        <w:t xml:space="preserve">Liabilities for ‘short-term employee benefits’ (as defined in AASB 119 </w:t>
      </w:r>
      <w:r>
        <w:rPr>
          <w:rStyle w:val="fins-italic"/>
          <w:rFonts w:cs="Times New Roman"/>
          <w:lang w:val="en-AU"/>
        </w:rPr>
        <w:t>Employee Benefits</w:t>
      </w:r>
      <w:r>
        <w:rPr>
          <w:rFonts w:cs="Times New Roman"/>
          <w:lang w:val="en-AU"/>
        </w:rPr>
        <w:t>) and termination benefits due within twelve months of the end of the reporting period are measured at their nominal amounts.</w:t>
      </w:r>
    </w:p>
    <w:p w14:paraId="2DFFA103" w14:textId="77777777" w:rsidR="00C57C9F" w:rsidRDefault="00C57C9F">
      <w:pPr>
        <w:pStyle w:val="2fins-body"/>
        <w:divId w:val="1139883726"/>
        <w:rPr>
          <w:rFonts w:cs="Times New Roman"/>
          <w:lang w:val="en-AU"/>
        </w:rPr>
      </w:pPr>
      <w:r>
        <w:rPr>
          <w:rFonts w:cs="Times New Roman"/>
          <w:lang w:val="en-AU"/>
        </w:rPr>
        <w:t>The nominal amount is calculated with regard to the rates expected to be paid on settlement of the liability.</w:t>
      </w:r>
    </w:p>
    <w:p w14:paraId="42D0C2BC" w14:textId="77777777" w:rsidR="00C57C9F" w:rsidRDefault="00C57C9F">
      <w:pPr>
        <w:pStyle w:val="2fins-body"/>
        <w:divId w:val="1139883726"/>
        <w:rPr>
          <w:rFonts w:cs="Times New Roman"/>
          <w:lang w:val="en-AU"/>
        </w:rPr>
      </w:pPr>
      <w:r>
        <w:rPr>
          <w:rFonts w:cs="Times New Roman"/>
          <w:lang w:val="en-AU"/>
        </w:rPr>
        <w:t xml:space="preserve">Other long-term employee benefits are measured as net total of the present value of the defined benefit obligation at the end of the reporting period minus the fair value at the end of the reporting period of plan assets (if any) out of which the obligations are to be settled directly. </w:t>
      </w:r>
    </w:p>
    <w:p w14:paraId="5DCB8D8C" w14:textId="77777777" w:rsidR="00C57C9F" w:rsidRDefault="00C57C9F">
      <w:pPr>
        <w:pStyle w:val="1heading-4"/>
        <w:divId w:val="1139883726"/>
        <w:rPr>
          <w:rFonts w:cs="Times New Roman"/>
          <w:lang w:val="en-AU"/>
        </w:rPr>
      </w:pPr>
      <w:r>
        <w:rPr>
          <w:rFonts w:cs="Times New Roman"/>
          <w:lang w:val="en-AU"/>
        </w:rPr>
        <w:t>Leave</w:t>
      </w:r>
    </w:p>
    <w:p w14:paraId="6502193C" w14:textId="77777777" w:rsidR="00C57C9F" w:rsidRDefault="00C57C9F">
      <w:pPr>
        <w:pStyle w:val="2fins-body"/>
        <w:divId w:val="1139883726"/>
        <w:rPr>
          <w:rFonts w:cs="Times New Roman"/>
          <w:lang w:val="en-AU"/>
        </w:rPr>
      </w:pPr>
      <w:r>
        <w:rPr>
          <w:rFonts w:cs="Times New Roman"/>
          <w:lang w:val="en-AU"/>
        </w:rPr>
        <w:t xml:space="preserve">The liability for employee benefits includes provision for annual leave and long service leave. No provision has been made for sick leave as all sick </w:t>
      </w:r>
      <w:proofErr w:type="gramStart"/>
      <w:r>
        <w:rPr>
          <w:rFonts w:cs="Times New Roman"/>
          <w:lang w:val="en-AU"/>
        </w:rPr>
        <w:t>leave</w:t>
      </w:r>
      <w:proofErr w:type="gramEnd"/>
      <w:r>
        <w:rPr>
          <w:rFonts w:cs="Times New Roman"/>
          <w:lang w:val="en-AU"/>
        </w:rPr>
        <w:t xml:space="preserve"> is non-vesting and the average sick leave taken in future years by employees of the Commission is estimated to be less than the annual entitlement for sick leave.</w:t>
      </w:r>
    </w:p>
    <w:p w14:paraId="1C8F09C9" w14:textId="77777777" w:rsidR="00C57C9F" w:rsidRDefault="00C57C9F">
      <w:pPr>
        <w:pStyle w:val="2fins-body"/>
        <w:divId w:val="1139883726"/>
        <w:rPr>
          <w:rFonts w:cs="Times New Roman"/>
          <w:lang w:val="en-AU"/>
        </w:rPr>
      </w:pPr>
      <w:r>
        <w:rPr>
          <w:rFonts w:cs="Times New Roman"/>
          <w:lang w:val="en-AU"/>
        </w:rPr>
        <w:t>The leave liabilities are calculated on the basis of employees’ remuneration at the estimated salary rates that will be applied at the time the leave is taken, including the Commission’s employer superannuation contribution rates to the extent that the leave is likely to be taken during service rather than paid out on termination.</w:t>
      </w:r>
    </w:p>
    <w:p w14:paraId="36772894" w14:textId="77777777" w:rsidR="00C57C9F" w:rsidRDefault="00C57C9F">
      <w:pPr>
        <w:pStyle w:val="2fins-body"/>
        <w:divId w:val="1139883726"/>
        <w:rPr>
          <w:rFonts w:cs="Times New Roman"/>
          <w:lang w:val="en-AU"/>
        </w:rPr>
      </w:pPr>
      <w:r>
        <w:rPr>
          <w:rFonts w:cs="Times New Roman"/>
          <w:lang w:val="en-AU"/>
        </w:rPr>
        <w:t>The liability for long service leave is measured at the present value of the estimated future cash flows to be made in respect of all employees at year end. The estimate of the present value of the liability takes into account attrition rates and pay increases through promotion and inflation.</w:t>
      </w:r>
    </w:p>
    <w:p w14:paraId="145C9753" w14:textId="77777777" w:rsidR="00C57C9F" w:rsidRDefault="00C57C9F">
      <w:pPr>
        <w:pStyle w:val="1heading-4"/>
        <w:divId w:val="1139883726"/>
        <w:rPr>
          <w:rFonts w:cs="Times New Roman"/>
          <w:lang w:val="en-AU"/>
        </w:rPr>
      </w:pPr>
      <w:r>
        <w:rPr>
          <w:rFonts w:cs="Times New Roman"/>
          <w:lang w:val="en-AU"/>
        </w:rPr>
        <w:t>Superannuation</w:t>
      </w:r>
    </w:p>
    <w:p w14:paraId="3F2611A9" w14:textId="77777777" w:rsidR="00C57C9F" w:rsidRDefault="00C57C9F">
      <w:pPr>
        <w:pStyle w:val="2fins-body"/>
        <w:divId w:val="1139883726"/>
        <w:rPr>
          <w:rFonts w:cs="Times New Roman"/>
          <w:lang w:val="en-AU"/>
        </w:rPr>
      </w:pPr>
      <w:r>
        <w:rPr>
          <w:rFonts w:cs="Times New Roman"/>
          <w:lang w:val="en-AU"/>
        </w:rPr>
        <w:t>The Commission’s staff are members of the Commonwealth Superannuation Scheme (CSS), the Public Sector Superannuation Scheme (PSS), the PSS accumulation plan (</w:t>
      </w:r>
      <w:proofErr w:type="spellStart"/>
      <w:r>
        <w:rPr>
          <w:rFonts w:cs="Times New Roman"/>
          <w:lang w:val="en-AU"/>
        </w:rPr>
        <w:t>PSSap</w:t>
      </w:r>
      <w:proofErr w:type="spellEnd"/>
      <w:r>
        <w:rPr>
          <w:rFonts w:cs="Times New Roman"/>
          <w:lang w:val="en-AU"/>
        </w:rPr>
        <w:t>) or other funds.</w:t>
      </w:r>
    </w:p>
    <w:p w14:paraId="32805750" w14:textId="77777777" w:rsidR="00C57C9F" w:rsidRDefault="00C57C9F">
      <w:pPr>
        <w:pStyle w:val="2fins-body"/>
        <w:divId w:val="1139883726"/>
        <w:rPr>
          <w:rFonts w:cs="Times New Roman"/>
          <w:lang w:val="en-AU"/>
        </w:rPr>
      </w:pPr>
      <w:r>
        <w:rPr>
          <w:rFonts w:cs="Times New Roman"/>
          <w:lang w:val="en-AU"/>
        </w:rPr>
        <w:t xml:space="preserve">The CSS and PSS are defined benefit schemes for the Australian Government. The </w:t>
      </w:r>
      <w:proofErr w:type="spellStart"/>
      <w:r>
        <w:rPr>
          <w:rFonts w:cs="Times New Roman"/>
          <w:lang w:val="en-AU"/>
        </w:rPr>
        <w:t>PSSap</w:t>
      </w:r>
      <w:proofErr w:type="spellEnd"/>
      <w:r>
        <w:rPr>
          <w:rFonts w:cs="Times New Roman"/>
          <w:lang w:val="en-AU"/>
        </w:rPr>
        <w:t xml:space="preserve"> and other funds are defined contribution schemes.</w:t>
      </w:r>
    </w:p>
    <w:p w14:paraId="00A26684" w14:textId="77777777" w:rsidR="00C57C9F" w:rsidRDefault="00C57C9F">
      <w:pPr>
        <w:pStyle w:val="2fins-body"/>
        <w:divId w:val="1139883726"/>
        <w:rPr>
          <w:rFonts w:cs="Times New Roman"/>
          <w:lang w:val="en-AU"/>
        </w:rPr>
      </w:pPr>
      <w:r>
        <w:rPr>
          <w:rFonts w:cs="Times New Roman"/>
          <w:lang w:val="en-AU"/>
        </w:rPr>
        <w:t>The liability for defined benefits is recognised in the financial statements of the Australian Government and is settled by the Australian Government in due course. This liability is reported by the Department of Finance’s administered schedules and notes.</w:t>
      </w:r>
    </w:p>
    <w:p w14:paraId="7143903F" w14:textId="77777777" w:rsidR="00C57C9F" w:rsidRDefault="00C57C9F">
      <w:pPr>
        <w:pStyle w:val="2fins-body"/>
        <w:divId w:val="1139883726"/>
        <w:rPr>
          <w:rFonts w:cs="Times New Roman"/>
          <w:lang w:val="en-AU"/>
        </w:rPr>
      </w:pPr>
      <w:r>
        <w:rPr>
          <w:rFonts w:cs="Times New Roman"/>
          <w:lang w:val="en-AU"/>
        </w:rPr>
        <w:t>The Commission makes employer contributions to the employees’ superannuation scheme at rates determined by an actuary to be sufficient to meet the current cost to the Government. The Commission accounts for the contributions as if they were contributions to defined contribution plans.</w:t>
      </w:r>
    </w:p>
    <w:p w14:paraId="4801A6DD" w14:textId="77777777" w:rsidR="00C57C9F" w:rsidRDefault="00C57C9F">
      <w:pPr>
        <w:pStyle w:val="2fins-body"/>
        <w:divId w:val="1139883726"/>
        <w:rPr>
          <w:rFonts w:cs="Times New Roman"/>
          <w:lang w:val="en-AU"/>
        </w:rPr>
      </w:pPr>
      <w:r>
        <w:rPr>
          <w:rFonts w:cs="Times New Roman"/>
          <w:lang w:val="en-AU"/>
        </w:rPr>
        <w:t>The liability for superannuation recognised as at 30 June represents outstanding contributions for the final fortnight of the year.</w:t>
      </w:r>
    </w:p>
    <w:p w14:paraId="026B59E9" w14:textId="77777777" w:rsidR="00C57C9F" w:rsidRPr="00ED772D" w:rsidRDefault="00C57C9F" w:rsidP="00ED772D">
      <w:pPr>
        <w:divId w:val="1139883726"/>
        <w:rPr>
          <w:b/>
        </w:rPr>
      </w:pPr>
      <w:r w:rsidRPr="00ED772D">
        <w:rPr>
          <w:b/>
        </w:rPr>
        <w:t>1.9 Leases</w:t>
      </w:r>
    </w:p>
    <w:p w14:paraId="6B64E927" w14:textId="77777777" w:rsidR="00C57C9F" w:rsidRDefault="00C57C9F">
      <w:pPr>
        <w:pStyle w:val="2fins-body"/>
        <w:divId w:val="1139883726"/>
        <w:rPr>
          <w:rFonts w:cs="Times New Roman"/>
          <w:lang w:val="en-AU"/>
        </w:rPr>
      </w:pPr>
      <w:r>
        <w:rPr>
          <w:rFonts w:cs="Times New Roman"/>
          <w:lang w:val="en-AU"/>
        </w:rPr>
        <w:t>A distinction is made between finance leases and operating leases. Finance leases effectively transfer from the lessor to the lessee substantially all the risks and rewards incidental to ownership of leased assets. An operating lease is a lease that is not a finance lease. In operating leases, the lessor effectively retains substantially all such risks and benefits.</w:t>
      </w:r>
    </w:p>
    <w:p w14:paraId="19516F24" w14:textId="77777777" w:rsidR="00C57C9F" w:rsidRDefault="00C57C9F">
      <w:pPr>
        <w:pStyle w:val="2fins-body"/>
        <w:divId w:val="1139883726"/>
        <w:rPr>
          <w:rFonts w:cs="Times New Roman"/>
          <w:lang w:val="en-AU"/>
        </w:rPr>
      </w:pPr>
      <w:r>
        <w:rPr>
          <w:rFonts w:cs="Times New Roman"/>
          <w:lang w:val="en-AU"/>
        </w:rPr>
        <w:t>Operating lease payments are expensed on a straight-line basis which is representative of the pattern of benefits derived from the leased assets.</w:t>
      </w:r>
    </w:p>
    <w:p w14:paraId="642166C2" w14:textId="77777777" w:rsidR="00C57C9F" w:rsidRDefault="00C57C9F">
      <w:pPr>
        <w:pStyle w:val="2fins-body"/>
        <w:divId w:val="1139883726"/>
        <w:rPr>
          <w:rFonts w:cs="Times New Roman"/>
          <w:lang w:val="en-AU"/>
        </w:rPr>
      </w:pPr>
      <w:r>
        <w:rPr>
          <w:rFonts w:cs="Times New Roman"/>
          <w:lang w:val="en-AU"/>
        </w:rPr>
        <w:t>The Commission did not have any finance leases during the year.</w:t>
      </w:r>
    </w:p>
    <w:p w14:paraId="70700088" w14:textId="77777777" w:rsidR="00C57C9F" w:rsidRPr="00ED772D" w:rsidRDefault="00C57C9F" w:rsidP="00ED772D">
      <w:pPr>
        <w:divId w:val="1139883726"/>
        <w:rPr>
          <w:b/>
        </w:rPr>
      </w:pPr>
      <w:r w:rsidRPr="00ED772D">
        <w:rPr>
          <w:b/>
        </w:rPr>
        <w:t>1.10 Borrowing Costs</w:t>
      </w:r>
    </w:p>
    <w:p w14:paraId="13D15C5E" w14:textId="77777777" w:rsidR="00C57C9F" w:rsidRDefault="00C57C9F">
      <w:pPr>
        <w:pStyle w:val="2fins-body"/>
        <w:divId w:val="1139883726"/>
        <w:rPr>
          <w:rFonts w:cs="Times New Roman"/>
          <w:lang w:val="en-AU"/>
        </w:rPr>
      </w:pPr>
      <w:r>
        <w:rPr>
          <w:rFonts w:cs="Times New Roman"/>
          <w:lang w:val="en-AU"/>
        </w:rPr>
        <w:t xml:space="preserve">All borrowing costs are expensed as incurred. </w:t>
      </w:r>
    </w:p>
    <w:p w14:paraId="61D13878" w14:textId="77777777" w:rsidR="00C57C9F" w:rsidRPr="00ED772D" w:rsidRDefault="00C57C9F" w:rsidP="00ED772D">
      <w:pPr>
        <w:divId w:val="1139883726"/>
        <w:rPr>
          <w:b/>
        </w:rPr>
      </w:pPr>
      <w:r w:rsidRPr="00ED772D">
        <w:rPr>
          <w:b/>
        </w:rPr>
        <w:t>1.11 Fair Value Measurement</w:t>
      </w:r>
    </w:p>
    <w:p w14:paraId="327047E2" w14:textId="77777777" w:rsidR="00C57C9F" w:rsidRDefault="00C57C9F">
      <w:pPr>
        <w:pStyle w:val="2fins-body"/>
        <w:divId w:val="1139883726"/>
        <w:rPr>
          <w:rFonts w:cs="Times New Roman"/>
          <w:lang w:val="en-AU"/>
        </w:rPr>
      </w:pPr>
      <w:r>
        <w:rPr>
          <w:rFonts w:cs="Times New Roman"/>
          <w:lang w:val="en-AU"/>
        </w:rPr>
        <w:t>The entity deems transfers between levels of the fair value hierarchy to have occurred at the end of the period.</w:t>
      </w:r>
    </w:p>
    <w:p w14:paraId="18827F59" w14:textId="77777777" w:rsidR="00C57C9F" w:rsidRDefault="00C57C9F">
      <w:pPr>
        <w:rPr>
          <w:rFonts w:cs="Times New Roman"/>
          <w:b/>
          <w:sz w:val="24"/>
        </w:rPr>
      </w:pPr>
      <w:r>
        <w:rPr>
          <w:rFonts w:cs="Times New Roman"/>
        </w:rPr>
        <w:br w:type="page"/>
      </w:r>
    </w:p>
    <w:p w14:paraId="615C2F6E" w14:textId="77777777" w:rsidR="00C57C9F" w:rsidRPr="00ED772D" w:rsidRDefault="00C57C9F" w:rsidP="00ED772D">
      <w:pPr>
        <w:divId w:val="1139883726"/>
        <w:rPr>
          <w:b/>
        </w:rPr>
      </w:pPr>
      <w:r w:rsidRPr="00ED772D">
        <w:rPr>
          <w:b/>
        </w:rPr>
        <w:lastRenderedPageBreak/>
        <w:t>1.12 Cash</w:t>
      </w:r>
    </w:p>
    <w:p w14:paraId="28946E59" w14:textId="77777777" w:rsidR="00C57C9F" w:rsidRDefault="00C57C9F">
      <w:pPr>
        <w:pStyle w:val="2fins-body-before-bullet"/>
        <w:divId w:val="1139883726"/>
        <w:rPr>
          <w:rFonts w:cs="Times New Roman"/>
          <w:lang w:val="en-AU"/>
        </w:rPr>
      </w:pPr>
      <w:r>
        <w:rPr>
          <w:rFonts w:cs="Times New Roman"/>
          <w:lang w:val="en-AU"/>
        </w:rPr>
        <w:t>Cash is recognised at its nominal amount. Cash and cash equivalents includes:</w:t>
      </w:r>
    </w:p>
    <w:p w14:paraId="615A0893" w14:textId="77777777" w:rsidR="00C57C9F" w:rsidRDefault="00C57C9F" w:rsidP="006F421D">
      <w:pPr>
        <w:pStyle w:val="2fins-body-before-bullet"/>
        <w:ind w:left="284" w:hanging="284"/>
        <w:divId w:val="1139883726"/>
        <w:rPr>
          <w:rFonts w:cs="Times New Roman"/>
          <w:lang w:val="en-AU"/>
        </w:rPr>
      </w:pPr>
      <w:r>
        <w:rPr>
          <w:rFonts w:cs="Times New Roman"/>
          <w:lang w:val="en-AU"/>
        </w:rPr>
        <w:t xml:space="preserve">a) </w:t>
      </w:r>
      <w:r>
        <w:rPr>
          <w:rFonts w:cs="Times New Roman"/>
          <w:lang w:val="en-AU"/>
        </w:rPr>
        <w:tab/>
      </w:r>
      <w:proofErr w:type="gramStart"/>
      <w:r>
        <w:rPr>
          <w:rFonts w:cs="Times New Roman"/>
          <w:lang w:val="en-AU"/>
        </w:rPr>
        <w:t>cash</w:t>
      </w:r>
      <w:proofErr w:type="gramEnd"/>
      <w:r>
        <w:rPr>
          <w:rFonts w:cs="Times New Roman"/>
          <w:lang w:val="en-AU"/>
        </w:rPr>
        <w:t xml:space="preserve"> on hand; and</w:t>
      </w:r>
    </w:p>
    <w:p w14:paraId="5607CABD" w14:textId="77777777" w:rsidR="00C57C9F" w:rsidRDefault="00C57C9F" w:rsidP="006F421D">
      <w:pPr>
        <w:pStyle w:val="2fins-body"/>
        <w:ind w:left="284" w:hanging="284"/>
        <w:divId w:val="1139883726"/>
        <w:rPr>
          <w:rFonts w:cs="Times New Roman"/>
          <w:lang w:val="en-AU"/>
        </w:rPr>
      </w:pPr>
      <w:r>
        <w:rPr>
          <w:rFonts w:cs="Times New Roman"/>
          <w:lang w:val="en-AU"/>
        </w:rPr>
        <w:t>b)</w:t>
      </w:r>
      <w:r>
        <w:rPr>
          <w:rFonts w:cs="Times New Roman"/>
          <w:lang w:val="en-AU"/>
        </w:rPr>
        <w:tab/>
      </w:r>
      <w:proofErr w:type="gramStart"/>
      <w:r>
        <w:rPr>
          <w:rFonts w:cs="Times New Roman"/>
          <w:lang w:val="en-AU"/>
        </w:rPr>
        <w:t>demand</w:t>
      </w:r>
      <w:proofErr w:type="gramEnd"/>
      <w:r>
        <w:rPr>
          <w:rFonts w:cs="Times New Roman"/>
          <w:lang w:val="en-AU"/>
        </w:rPr>
        <w:t xml:space="preserve"> deposits in bank accounts with an original maturity of 3 months or less that are readily convertible to known amounts of cash and subject to insignificant risk of changes in value.</w:t>
      </w:r>
    </w:p>
    <w:p w14:paraId="03F99E9D" w14:textId="77777777" w:rsidR="00C57C9F" w:rsidRPr="00ED772D" w:rsidRDefault="00C57C9F" w:rsidP="00ED772D">
      <w:pPr>
        <w:divId w:val="1139883726"/>
        <w:rPr>
          <w:b/>
        </w:rPr>
      </w:pPr>
      <w:r w:rsidRPr="00ED772D">
        <w:rPr>
          <w:b/>
        </w:rPr>
        <w:t>1.13 Financial Assets</w:t>
      </w:r>
    </w:p>
    <w:p w14:paraId="1A469A5F" w14:textId="77777777" w:rsidR="00C57C9F" w:rsidRDefault="00C57C9F">
      <w:pPr>
        <w:pStyle w:val="2fins-body"/>
        <w:divId w:val="1139883726"/>
        <w:rPr>
          <w:rFonts w:cs="Times New Roman"/>
          <w:lang w:val="en-AU"/>
        </w:rPr>
      </w:pPr>
      <w:r>
        <w:rPr>
          <w:rFonts w:cs="Times New Roman"/>
          <w:lang w:val="en-AU"/>
        </w:rPr>
        <w:t>The Commission classifies its financial assets as loans and receivables.</w:t>
      </w:r>
    </w:p>
    <w:p w14:paraId="219CDDDE" w14:textId="77777777" w:rsidR="00C57C9F" w:rsidRDefault="00C57C9F">
      <w:pPr>
        <w:pStyle w:val="2fins-body"/>
        <w:divId w:val="1139883726"/>
        <w:rPr>
          <w:rFonts w:cs="Times New Roman"/>
          <w:lang w:val="en-AU"/>
        </w:rPr>
      </w:pPr>
      <w:r>
        <w:rPr>
          <w:rFonts w:cs="Times New Roman"/>
          <w:lang w:val="en-AU"/>
        </w:rPr>
        <w:t>The classification depends on the nature and purpose of the financial assets and is determined at the time of initial recognition. Financial assets are recognised and derecognised upon trade date. The Commission only held cash and receivables.</w:t>
      </w:r>
    </w:p>
    <w:p w14:paraId="19F85FB3" w14:textId="77777777" w:rsidR="00C57C9F" w:rsidRDefault="00C57C9F">
      <w:pPr>
        <w:pStyle w:val="1heading-4"/>
        <w:divId w:val="1139883726"/>
        <w:rPr>
          <w:rFonts w:cs="Times New Roman"/>
          <w:lang w:val="en-AU"/>
        </w:rPr>
      </w:pPr>
      <w:r>
        <w:rPr>
          <w:rFonts w:cs="Times New Roman"/>
          <w:lang w:val="en-AU"/>
        </w:rPr>
        <w:t>Effective Interest Method</w:t>
      </w:r>
    </w:p>
    <w:p w14:paraId="687C0588" w14:textId="77777777" w:rsidR="00C57C9F" w:rsidRDefault="00C57C9F">
      <w:pPr>
        <w:pStyle w:val="2fins-body"/>
        <w:divId w:val="1139883726"/>
        <w:rPr>
          <w:rFonts w:cs="Times New Roman"/>
          <w:lang w:val="en-AU"/>
        </w:rPr>
      </w:pPr>
      <w:r>
        <w:rPr>
          <w:rFonts w:cs="Times New Roman"/>
          <w:lang w:val="en-AU"/>
        </w:rPr>
        <w:t>The effective interest method is a method of calculating the amortised cost of a financial asset and of allocating interest income over the relevant period. The effective interest rate is the rate that exactly discounts estimated future cash receipts through the expected life of the financial asset, or, where appropriate, a shorter period.</w:t>
      </w:r>
    </w:p>
    <w:p w14:paraId="78ED1263" w14:textId="77777777" w:rsidR="00C57C9F" w:rsidRDefault="00C57C9F">
      <w:pPr>
        <w:pStyle w:val="2fins-body"/>
        <w:divId w:val="1139883726"/>
        <w:rPr>
          <w:rFonts w:cs="Times New Roman"/>
          <w:lang w:val="en-AU"/>
        </w:rPr>
      </w:pPr>
      <w:r>
        <w:rPr>
          <w:rFonts w:cs="Times New Roman"/>
          <w:lang w:val="en-AU"/>
        </w:rPr>
        <w:t>Income is recognised on an effective interest rate basis except for financial assets that are recognised at fair value through profit or loss.</w:t>
      </w:r>
    </w:p>
    <w:p w14:paraId="39E753F4" w14:textId="77777777" w:rsidR="00C57C9F" w:rsidRDefault="00C57C9F">
      <w:pPr>
        <w:pStyle w:val="1heading-4"/>
        <w:divId w:val="1139883726"/>
        <w:rPr>
          <w:rFonts w:cs="Times New Roman"/>
          <w:lang w:val="en-AU"/>
        </w:rPr>
      </w:pPr>
      <w:r>
        <w:rPr>
          <w:rFonts w:cs="Times New Roman"/>
          <w:lang w:val="en-AU"/>
        </w:rPr>
        <w:t>Loans and Receivables</w:t>
      </w:r>
    </w:p>
    <w:p w14:paraId="7A8C985F" w14:textId="77777777" w:rsidR="00C57C9F" w:rsidRDefault="00C57C9F">
      <w:pPr>
        <w:pStyle w:val="2fins-body"/>
        <w:divId w:val="1139883726"/>
        <w:rPr>
          <w:rFonts w:cs="Times New Roman"/>
          <w:lang w:val="en-AU"/>
        </w:rPr>
      </w:pPr>
      <w:r>
        <w:rPr>
          <w:rFonts w:cs="Times New Roman"/>
          <w:lang w:val="en-AU"/>
        </w:rPr>
        <w:t>Trade receivables, loans and other receivables that have fixed or determinable payments that are not quoted in an active market are classified as ‘loans and receivables’. Loans and receivables are measured at amortised cost using the effective interest method less impairment. Interest is recognised by applying the effective interest rate.</w:t>
      </w:r>
    </w:p>
    <w:p w14:paraId="7EBE6174" w14:textId="77777777" w:rsidR="00C57C9F" w:rsidRDefault="00C57C9F">
      <w:pPr>
        <w:pStyle w:val="1heading-4"/>
        <w:divId w:val="1139883726"/>
        <w:rPr>
          <w:rFonts w:cs="Times New Roman"/>
          <w:lang w:val="en-AU"/>
        </w:rPr>
      </w:pPr>
      <w:r>
        <w:rPr>
          <w:rFonts w:cs="Times New Roman"/>
          <w:lang w:val="en-AU"/>
        </w:rPr>
        <w:t>Impairment of Financial Assets</w:t>
      </w:r>
    </w:p>
    <w:p w14:paraId="68ADA389" w14:textId="77777777" w:rsidR="00C57C9F" w:rsidRDefault="00C57C9F">
      <w:pPr>
        <w:pStyle w:val="2fins-body"/>
        <w:divId w:val="1139883726"/>
        <w:rPr>
          <w:rFonts w:cs="Times New Roman"/>
          <w:lang w:val="en-AU"/>
        </w:rPr>
      </w:pPr>
      <w:r>
        <w:rPr>
          <w:rFonts w:cs="Times New Roman"/>
          <w:lang w:val="en-AU"/>
        </w:rPr>
        <w:t>Financial assets are assessed for impairment at the end of each reporting period.</w:t>
      </w:r>
    </w:p>
    <w:p w14:paraId="6867BD79" w14:textId="77777777" w:rsidR="00C57C9F" w:rsidRDefault="00C57C9F">
      <w:pPr>
        <w:pStyle w:val="2fins-body"/>
        <w:divId w:val="1139883726"/>
        <w:rPr>
          <w:rFonts w:cs="Times New Roman"/>
          <w:lang w:val="en-AU"/>
        </w:rPr>
      </w:pPr>
      <w:r>
        <w:rPr>
          <w:rFonts w:cs="Times New Roman"/>
          <w:lang w:val="en-AU"/>
        </w:rPr>
        <w:t>If there is objective evidence that an impairment loss has been incurred for loans and receivables, the amount of the loss is measured as the difference between the asset’s carrying amount and the present value of estimated future cash flows discounted at the asset’s original effective interest rate. The carrying amount is reduced by way of an allowance account. The loss is recognised in the statement of comprehensive income.</w:t>
      </w:r>
    </w:p>
    <w:p w14:paraId="6EDCAAB6" w14:textId="77777777" w:rsidR="00C57C9F" w:rsidRPr="00ED772D" w:rsidRDefault="00C57C9F" w:rsidP="00ED772D">
      <w:pPr>
        <w:divId w:val="1139883726"/>
        <w:rPr>
          <w:b/>
        </w:rPr>
      </w:pPr>
      <w:r w:rsidRPr="00ED772D">
        <w:rPr>
          <w:b/>
        </w:rPr>
        <w:t>1.14 Financial Liabilities</w:t>
      </w:r>
    </w:p>
    <w:p w14:paraId="228E0D91" w14:textId="77777777" w:rsidR="00C57C9F" w:rsidRDefault="00C57C9F">
      <w:pPr>
        <w:pStyle w:val="2fins-body"/>
        <w:divId w:val="1139883726"/>
        <w:rPr>
          <w:rFonts w:cs="Times New Roman"/>
          <w:lang w:val="en-AU"/>
        </w:rPr>
      </w:pPr>
      <w:r>
        <w:rPr>
          <w:rFonts w:cs="Times New Roman"/>
          <w:lang w:val="en-AU"/>
        </w:rPr>
        <w:t>Financial liabilities are classified as either financial liabilities ‘at fair value through profit or loss’ or other financial liabilities. Financial liabilities are recognised and derecognised upon ‘trade date’.</w:t>
      </w:r>
    </w:p>
    <w:p w14:paraId="3EAB3A7C" w14:textId="77777777" w:rsidR="00C57C9F" w:rsidRDefault="00C57C9F">
      <w:pPr>
        <w:pStyle w:val="2fins-body"/>
        <w:divId w:val="1139883726"/>
        <w:rPr>
          <w:rFonts w:cs="Times New Roman"/>
          <w:lang w:val="en-AU"/>
        </w:rPr>
      </w:pPr>
      <w:r>
        <w:rPr>
          <w:rFonts w:cs="Times New Roman"/>
          <w:lang w:val="en-AU"/>
        </w:rPr>
        <w:t>The Commission only incurred other financial liabilities. These consist of trade creditors and accruals and other payables. Other financial liabilities are recognised at their nominal amount, being the amounts the Commission expects the liabilities to be settled. Liabilities are recognised to the extent that the goods or services have been received (and irrespective of having been invoiced).</w:t>
      </w:r>
    </w:p>
    <w:p w14:paraId="49EF7379" w14:textId="77777777" w:rsidR="00C57C9F" w:rsidRPr="00ED772D" w:rsidRDefault="00C57C9F" w:rsidP="00ED772D">
      <w:pPr>
        <w:divId w:val="1139883726"/>
        <w:rPr>
          <w:b/>
        </w:rPr>
      </w:pPr>
      <w:r w:rsidRPr="00ED772D">
        <w:rPr>
          <w:b/>
        </w:rPr>
        <w:t>1.15 Contingent Liabilities and Contingent Assets</w:t>
      </w:r>
    </w:p>
    <w:p w14:paraId="022DCD4A" w14:textId="77777777" w:rsidR="00C57C9F" w:rsidRDefault="00C57C9F">
      <w:pPr>
        <w:pStyle w:val="2fins-body"/>
        <w:divId w:val="1139883726"/>
        <w:rPr>
          <w:rFonts w:cs="Times New Roman"/>
          <w:lang w:val="en-AU"/>
        </w:rPr>
      </w:pPr>
      <w:r>
        <w:rPr>
          <w:rFonts w:cs="Times New Roman"/>
          <w:lang w:val="en-AU"/>
        </w:rPr>
        <w:t>Contingent liabilities and contingent assets are not recognised in the statement of financial position but are reported in the relevant schedules and notes. They may arise from uncertainty as to the existence of a liability or asset or represent an asset or liability in respect of which the amount cannot be reliably measured. Contingent assets are disclosed when settlement is probable but not virtually certain and contingent liabilities are disclosed when settlement is greater than remote.</w:t>
      </w:r>
    </w:p>
    <w:p w14:paraId="32294BAD" w14:textId="77777777" w:rsidR="00C57C9F" w:rsidRDefault="00C57C9F">
      <w:pPr>
        <w:pStyle w:val="2fins-body"/>
        <w:divId w:val="1139883726"/>
        <w:rPr>
          <w:rFonts w:cs="Times New Roman"/>
          <w:lang w:val="en-AU"/>
        </w:rPr>
      </w:pPr>
      <w:r>
        <w:rPr>
          <w:rFonts w:cs="Times New Roman"/>
          <w:lang w:val="en-AU"/>
        </w:rPr>
        <w:t xml:space="preserve">The Commission has no contingent assets and liabilities. Hence, a Schedule of Contingencies has not been prepared. </w:t>
      </w:r>
    </w:p>
    <w:p w14:paraId="754903BD" w14:textId="77777777" w:rsidR="00C57C9F" w:rsidRPr="00ED772D" w:rsidRDefault="00C57C9F" w:rsidP="00ED772D">
      <w:pPr>
        <w:divId w:val="1139883726"/>
        <w:rPr>
          <w:b/>
        </w:rPr>
      </w:pPr>
      <w:r w:rsidRPr="00ED772D">
        <w:rPr>
          <w:b/>
        </w:rPr>
        <w:t>1.16 Acquisition of Assets</w:t>
      </w:r>
    </w:p>
    <w:p w14:paraId="0D215CFA" w14:textId="77777777" w:rsidR="00C57C9F" w:rsidRDefault="00C57C9F">
      <w:pPr>
        <w:pStyle w:val="2fins-body"/>
        <w:divId w:val="1139883726"/>
        <w:rPr>
          <w:rFonts w:cs="Times New Roman"/>
          <w:lang w:val="en-AU"/>
        </w:rPr>
      </w:pPr>
      <w:r>
        <w:rPr>
          <w:rFonts w:cs="Times New Roman"/>
          <w:lang w:val="en-AU"/>
        </w:rPr>
        <w:t>Assets are recorded at cost on acquisition except as stated below. The cost of acquisition includes the fair value of assets transferred in exchange and liabilities undertaken. Financial assets are initially measured at their fair value plus transaction costs where appropriate.</w:t>
      </w:r>
    </w:p>
    <w:p w14:paraId="53F8AB46" w14:textId="77777777" w:rsidR="00C57C9F" w:rsidRDefault="00C57C9F">
      <w:pPr>
        <w:pStyle w:val="2fins-body"/>
        <w:divId w:val="1139883726"/>
        <w:rPr>
          <w:rFonts w:cs="Times New Roman"/>
          <w:lang w:val="en-AU"/>
        </w:rPr>
      </w:pPr>
      <w:r>
        <w:rPr>
          <w:rFonts w:cs="Times New Roman"/>
          <w:lang w:val="en-AU"/>
        </w:rPr>
        <w:t xml:space="preserve">Assets acquired at no cost, or for nominal consideration, are initially recognised as assets and income at their fair value at the date of acquisition, unless acquired as a consequence of restructuring of administrative arrangements. </w:t>
      </w:r>
      <w:r>
        <w:rPr>
          <w:rFonts w:cs="Times New Roman"/>
          <w:lang w:val="en-AU"/>
        </w:rPr>
        <w:lastRenderedPageBreak/>
        <w:t xml:space="preserve">In the latter case, assets are initially recognised as contributions by owners at the amounts at which they were recognised in the transferor’s accounts immediately prior to the restructuring. </w:t>
      </w:r>
    </w:p>
    <w:p w14:paraId="05CF8F13" w14:textId="77777777" w:rsidR="00C57C9F" w:rsidRPr="00ED772D" w:rsidRDefault="00C57C9F" w:rsidP="00ED772D">
      <w:pPr>
        <w:divId w:val="1139883726"/>
        <w:rPr>
          <w:b/>
        </w:rPr>
      </w:pPr>
      <w:r w:rsidRPr="00ED772D">
        <w:rPr>
          <w:b/>
        </w:rPr>
        <w:t xml:space="preserve">1.17 Property, Plant and Equipment </w:t>
      </w:r>
    </w:p>
    <w:p w14:paraId="06B07BEF" w14:textId="77777777" w:rsidR="00C57C9F" w:rsidRDefault="00C57C9F">
      <w:pPr>
        <w:pStyle w:val="1heading-4"/>
        <w:divId w:val="1139883726"/>
        <w:rPr>
          <w:rFonts w:cs="Times New Roman"/>
          <w:lang w:val="en-AU"/>
        </w:rPr>
      </w:pPr>
      <w:r>
        <w:rPr>
          <w:rFonts w:cs="Times New Roman"/>
          <w:lang w:val="en-AU"/>
        </w:rPr>
        <w:t>Asset Recognition Threshold</w:t>
      </w:r>
    </w:p>
    <w:p w14:paraId="3B8F43DC" w14:textId="77777777" w:rsidR="00C57C9F" w:rsidRDefault="00C57C9F">
      <w:pPr>
        <w:pStyle w:val="2fins-body"/>
        <w:divId w:val="1139883726"/>
        <w:rPr>
          <w:rFonts w:cs="Times New Roman"/>
          <w:lang w:val="en-AU"/>
        </w:rPr>
      </w:pPr>
      <w:r>
        <w:rPr>
          <w:rFonts w:cs="Times New Roman"/>
          <w:lang w:val="en-AU"/>
        </w:rPr>
        <w:t>Purchases of property, plant and equipment are recognised initially at cost in the balance sheet, except for purchases of leasehold improvements costing less than $10,000 and for all other purchased of property, plant and equipment costing less than $2,000, which are expensed in the year of acquisition (other than where they form part of a group of similar items which are significant in total).</w:t>
      </w:r>
    </w:p>
    <w:p w14:paraId="022B2611" w14:textId="77777777" w:rsidR="00C57C9F" w:rsidRDefault="00C57C9F">
      <w:pPr>
        <w:pStyle w:val="2fins-body"/>
        <w:divId w:val="1139883726"/>
        <w:rPr>
          <w:rFonts w:cs="Times New Roman"/>
          <w:lang w:val="en-AU"/>
        </w:rPr>
      </w:pPr>
      <w:r>
        <w:rPr>
          <w:rFonts w:cs="Times New Roman"/>
          <w:lang w:val="en-AU"/>
        </w:rPr>
        <w:t xml:space="preserve">The initial cost of an asset includes an estimate of the cost of dismantling and removing the item and restoring the site on which it is located. This is particularly relevant to ‘make good’ provisions in property taken up by the Commission where there exists an obligation to restore the leased premises to the condition they were in prior to </w:t>
      </w:r>
      <w:proofErr w:type="spellStart"/>
      <w:r>
        <w:rPr>
          <w:rFonts w:cs="Times New Roman"/>
          <w:lang w:val="en-AU"/>
        </w:rPr>
        <w:t>fitout</w:t>
      </w:r>
      <w:proofErr w:type="spellEnd"/>
      <w:r>
        <w:rPr>
          <w:rFonts w:cs="Times New Roman"/>
          <w:lang w:val="en-AU"/>
        </w:rPr>
        <w:t>. These costs are included in the value of the Commission’s leasehold improvements with a corresponding provision for the ‘make good’ recognised.</w:t>
      </w:r>
    </w:p>
    <w:p w14:paraId="4C60172B" w14:textId="77777777" w:rsidR="00C57C9F" w:rsidRDefault="00C57C9F">
      <w:pPr>
        <w:pStyle w:val="1heading-4"/>
        <w:divId w:val="1139883726"/>
        <w:rPr>
          <w:rFonts w:cs="Times New Roman"/>
          <w:lang w:val="en-AU"/>
        </w:rPr>
      </w:pPr>
      <w:r>
        <w:rPr>
          <w:rFonts w:cs="Times New Roman"/>
          <w:lang w:val="en-AU"/>
        </w:rPr>
        <w:t>Revaluations</w:t>
      </w:r>
    </w:p>
    <w:p w14:paraId="1D65A0EC" w14:textId="77777777" w:rsidR="00C57C9F" w:rsidRDefault="00C57C9F">
      <w:pPr>
        <w:pStyle w:val="2fins-body"/>
        <w:divId w:val="1139883726"/>
        <w:rPr>
          <w:rFonts w:cs="Times New Roman"/>
          <w:lang w:val="en-AU"/>
        </w:rPr>
      </w:pPr>
      <w:r>
        <w:rPr>
          <w:rFonts w:cs="Times New Roman"/>
          <w:lang w:val="en-AU"/>
        </w:rPr>
        <w:t>Following initial recognition at cost, property, plant and equipment are carried at fair value less subsequent accumulated depreciation and accumulated impairment losses. Valuations are conducted to ensure that the carrying amounts of assets do not differ materially from the assets’ fair values as at the reporting date. The regularity of independent valuations will depend upon the volatility of movements in market values for the relevant assets.</w:t>
      </w:r>
    </w:p>
    <w:p w14:paraId="5EDB2F1C" w14:textId="77777777" w:rsidR="00C57C9F" w:rsidRDefault="00C57C9F">
      <w:pPr>
        <w:pStyle w:val="2fins-body"/>
        <w:divId w:val="1139883726"/>
        <w:rPr>
          <w:rFonts w:cs="Times New Roman"/>
          <w:lang w:val="en-AU"/>
        </w:rPr>
      </w:pPr>
      <w:r>
        <w:rPr>
          <w:rFonts w:cs="Times New Roman"/>
          <w:lang w:val="en-AU"/>
        </w:rPr>
        <w:t>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 Revaluation decrements for a class of assets are recognised directly in the surplus/deficit except to the extent that they reversed a previous revaluation increment for that class.</w:t>
      </w:r>
    </w:p>
    <w:p w14:paraId="19AB39EA" w14:textId="77777777" w:rsidR="00C57C9F" w:rsidRDefault="00C57C9F">
      <w:pPr>
        <w:pStyle w:val="2fins-body"/>
        <w:divId w:val="1139883726"/>
        <w:rPr>
          <w:rFonts w:cs="Times New Roman"/>
          <w:lang w:val="en-AU"/>
        </w:rPr>
      </w:pPr>
      <w:r>
        <w:rPr>
          <w:rFonts w:cs="Times New Roman"/>
          <w:lang w:val="en-AU"/>
        </w:rPr>
        <w:t>Any accumulated depreciation as at the revaluation date is eliminated against the gross carrying amount of the asset and the asset restated to the revalued amount.</w:t>
      </w:r>
    </w:p>
    <w:p w14:paraId="58D97955" w14:textId="77777777" w:rsidR="00C57C9F" w:rsidRDefault="00C57C9F">
      <w:pPr>
        <w:pStyle w:val="1heading-4"/>
        <w:divId w:val="1139883726"/>
        <w:rPr>
          <w:rFonts w:cs="Times New Roman"/>
          <w:lang w:val="en-AU"/>
        </w:rPr>
      </w:pPr>
      <w:r>
        <w:rPr>
          <w:rFonts w:cs="Times New Roman"/>
          <w:lang w:val="en-AU"/>
        </w:rPr>
        <w:t>Depreciation</w:t>
      </w:r>
    </w:p>
    <w:p w14:paraId="2A109BFB" w14:textId="77777777" w:rsidR="00C57C9F" w:rsidRDefault="00C57C9F">
      <w:pPr>
        <w:pStyle w:val="2fins-body"/>
        <w:divId w:val="1139883726"/>
        <w:rPr>
          <w:rFonts w:cs="Times New Roman"/>
          <w:lang w:val="en-AU"/>
        </w:rPr>
      </w:pPr>
      <w:r>
        <w:rPr>
          <w:rFonts w:cs="Times New Roman"/>
          <w:lang w:val="en-AU"/>
        </w:rPr>
        <w:t xml:space="preserve">Depreciable property, plant and equipment assets are written-off to their estimated residual values over their estimated useful lives to the Commission using, in all cases, the straight-line method of depreciation. </w:t>
      </w:r>
    </w:p>
    <w:p w14:paraId="5A3CA773" w14:textId="77777777" w:rsidR="00C57C9F" w:rsidRDefault="00C57C9F">
      <w:pPr>
        <w:pStyle w:val="2fins-body"/>
        <w:divId w:val="1139883726"/>
        <w:rPr>
          <w:rFonts w:cs="Times New Roman"/>
          <w:lang w:val="en-AU"/>
        </w:rPr>
      </w:pPr>
      <w:r>
        <w:rPr>
          <w:rFonts w:cs="Times New Roman"/>
          <w:lang w:val="en-AU"/>
        </w:rPr>
        <w:t>Depreciation rates (useful lives), residual values and methods are reviewed at each reporting date and necessary adjustments are recognised in the current, or current and future reporting periods, as appropriate.</w:t>
      </w:r>
    </w:p>
    <w:p w14:paraId="63F0DA9D" w14:textId="77777777" w:rsidR="00C57C9F" w:rsidRDefault="00C57C9F">
      <w:pPr>
        <w:pStyle w:val="2fins-body"/>
        <w:divId w:val="1139883726"/>
        <w:rPr>
          <w:rFonts w:cs="Times New Roman"/>
          <w:lang w:val="en-AU"/>
        </w:rPr>
      </w:pPr>
      <w:r>
        <w:rPr>
          <w:rFonts w:cs="Times New Roman"/>
          <w:lang w:val="en-AU"/>
        </w:rPr>
        <w:t>Depreciation rates applying to each class of depreciable asset are based on the following useful lives:</w:t>
      </w:r>
    </w:p>
    <w:p w14:paraId="29FFB232" w14:textId="77777777" w:rsidR="00C57C9F" w:rsidRDefault="00C57C9F" w:rsidP="006F421D">
      <w:pPr>
        <w:pStyle w:val="2fins-body"/>
        <w:tabs>
          <w:tab w:val="left" w:pos="2977"/>
          <w:tab w:val="left" w:pos="4678"/>
        </w:tabs>
        <w:divId w:val="1139883726"/>
        <w:rPr>
          <w:rFonts w:cs="Times New Roman"/>
          <w:lang w:val="en-AU"/>
        </w:rPr>
      </w:pPr>
      <w:r>
        <w:rPr>
          <w:rStyle w:val="bold-underlined"/>
          <w:rFonts w:cs="Times New Roman"/>
          <w:lang w:val="en-AU"/>
        </w:rPr>
        <w:t>Asset Class</w:t>
      </w:r>
      <w:r>
        <w:rPr>
          <w:rFonts w:cs="Times New Roman"/>
          <w:lang w:val="en-AU"/>
        </w:rPr>
        <w:tab/>
      </w:r>
      <w:r>
        <w:rPr>
          <w:rStyle w:val="bold-underlined"/>
          <w:rFonts w:cs="Times New Roman"/>
          <w:lang w:val="en-AU"/>
        </w:rPr>
        <w:t>2014</w:t>
      </w:r>
      <w:r>
        <w:rPr>
          <w:rFonts w:cs="Times New Roman"/>
          <w:lang w:val="en-AU"/>
        </w:rPr>
        <w:tab/>
      </w:r>
      <w:r>
        <w:rPr>
          <w:rStyle w:val="bold-underlined"/>
          <w:rFonts w:cs="Times New Roman"/>
          <w:lang w:val="en-AU"/>
        </w:rPr>
        <w:t>2013</w:t>
      </w:r>
      <w:r>
        <w:rPr>
          <w:rFonts w:cs="Times New Roman"/>
          <w:lang w:val="en-AU"/>
        </w:rPr>
        <w:br/>
        <w:t>Leasehold improvements</w:t>
      </w:r>
      <w:r>
        <w:rPr>
          <w:rFonts w:cs="Times New Roman"/>
          <w:lang w:val="en-AU"/>
        </w:rPr>
        <w:tab/>
        <w:t>Lease term</w:t>
      </w:r>
      <w:r>
        <w:rPr>
          <w:rFonts w:cs="Times New Roman"/>
          <w:lang w:val="en-AU"/>
        </w:rPr>
        <w:tab/>
        <w:t>Lease term</w:t>
      </w:r>
      <w:r>
        <w:rPr>
          <w:rFonts w:cs="Times New Roman"/>
          <w:lang w:val="en-AU"/>
        </w:rPr>
        <w:br/>
        <w:t>Plant and equipment</w:t>
      </w:r>
      <w:r>
        <w:rPr>
          <w:rFonts w:cs="Times New Roman"/>
          <w:lang w:val="en-AU"/>
        </w:rPr>
        <w:tab/>
        <w:t>5 years</w:t>
      </w:r>
      <w:r>
        <w:rPr>
          <w:rFonts w:cs="Times New Roman"/>
          <w:lang w:val="en-AU"/>
        </w:rPr>
        <w:tab/>
        <w:t>5 years</w:t>
      </w:r>
    </w:p>
    <w:p w14:paraId="5163F6FD" w14:textId="77777777" w:rsidR="00C57C9F" w:rsidRDefault="00C57C9F">
      <w:pPr>
        <w:pStyle w:val="1heading-4"/>
        <w:divId w:val="1139883726"/>
        <w:rPr>
          <w:rFonts w:cs="Times New Roman"/>
          <w:lang w:val="en-AU"/>
        </w:rPr>
      </w:pPr>
      <w:r>
        <w:rPr>
          <w:rFonts w:cs="Times New Roman"/>
          <w:lang w:val="en-AU"/>
        </w:rPr>
        <w:t>Impairment</w:t>
      </w:r>
    </w:p>
    <w:p w14:paraId="0307250D" w14:textId="77777777" w:rsidR="00C57C9F" w:rsidRDefault="00C57C9F">
      <w:pPr>
        <w:pStyle w:val="2fins-body"/>
        <w:divId w:val="1139883726"/>
        <w:rPr>
          <w:rFonts w:cs="Times New Roman"/>
          <w:lang w:val="en-AU"/>
        </w:rPr>
      </w:pPr>
      <w:r>
        <w:rPr>
          <w:rFonts w:cs="Times New Roman"/>
          <w:lang w:val="en-AU"/>
        </w:rPr>
        <w:t>All assets were assessed for impairment at 30 June 2014. Where indications of impairment exist, the asset’s recoverable amount is estimated and an impairment adjustment made if the asset’s recoverable amount is less than its carrying amount.</w:t>
      </w:r>
    </w:p>
    <w:p w14:paraId="44250EBB" w14:textId="77777777" w:rsidR="00C57C9F" w:rsidRDefault="00C57C9F">
      <w:pPr>
        <w:pStyle w:val="2fins-body"/>
        <w:divId w:val="1139883726"/>
        <w:rPr>
          <w:rFonts w:cs="Times New Roman"/>
          <w:lang w:val="en-AU"/>
        </w:rPr>
      </w:pPr>
      <w:r>
        <w:rPr>
          <w:rFonts w:cs="Times New Roman"/>
          <w:lang w:val="en-AU"/>
        </w:rPr>
        <w:t>The recoverable amount of an asset is the higher of its fair value less costs to sell and its value in use. Value in use is the present value of the future cash flows expected to be derived from the asset. Where the future economic benefit of an asset is not primarily dependent on the asset’s ability to generate future cash flows, and the asset would be replaced if the Commission were deprived of the asset, its value in use is taken to be its depreciated replacement cost.</w:t>
      </w:r>
    </w:p>
    <w:p w14:paraId="5CB2FFD0" w14:textId="77777777" w:rsidR="00C57C9F" w:rsidRDefault="00C57C9F">
      <w:pPr>
        <w:pStyle w:val="1heading-4"/>
        <w:divId w:val="1139883726"/>
        <w:rPr>
          <w:rFonts w:cs="Times New Roman"/>
          <w:lang w:val="en-AU"/>
        </w:rPr>
      </w:pPr>
      <w:proofErr w:type="spellStart"/>
      <w:r>
        <w:rPr>
          <w:rFonts w:cs="Times New Roman"/>
          <w:lang w:val="en-AU"/>
        </w:rPr>
        <w:t>Derecognition</w:t>
      </w:r>
      <w:proofErr w:type="spellEnd"/>
    </w:p>
    <w:p w14:paraId="5A0CC446" w14:textId="77777777" w:rsidR="00C57C9F" w:rsidRDefault="00C57C9F">
      <w:pPr>
        <w:pStyle w:val="2fins-body"/>
        <w:divId w:val="1139883726"/>
        <w:rPr>
          <w:rFonts w:cs="Times New Roman"/>
          <w:lang w:val="en-AU"/>
        </w:rPr>
      </w:pPr>
      <w:r>
        <w:rPr>
          <w:rFonts w:cs="Times New Roman"/>
          <w:lang w:val="en-AU"/>
        </w:rPr>
        <w:t>An item of property, plant and equipment is derecognised upon disposal or when no further future economic benefits are expected from its use or disposal.</w:t>
      </w:r>
    </w:p>
    <w:p w14:paraId="36D298FB" w14:textId="77777777" w:rsidR="00C57C9F" w:rsidRPr="00ED772D" w:rsidRDefault="00C57C9F" w:rsidP="00ED772D">
      <w:pPr>
        <w:divId w:val="1139883726"/>
        <w:rPr>
          <w:b/>
        </w:rPr>
      </w:pPr>
      <w:r w:rsidRPr="00ED772D">
        <w:rPr>
          <w:b/>
        </w:rPr>
        <w:t>1.18 Taxation</w:t>
      </w:r>
    </w:p>
    <w:p w14:paraId="4843B012" w14:textId="77777777" w:rsidR="00C57C9F" w:rsidRDefault="00C57C9F">
      <w:pPr>
        <w:pStyle w:val="2fins-body"/>
        <w:divId w:val="1139883726"/>
        <w:rPr>
          <w:rFonts w:cs="Times New Roman"/>
          <w:lang w:val="en-AU"/>
        </w:rPr>
      </w:pPr>
      <w:r>
        <w:rPr>
          <w:rFonts w:cs="Times New Roman"/>
          <w:lang w:val="en-AU"/>
        </w:rPr>
        <w:t>The Commission is exempt from all forms of taxation, except for Fringe Benefits Tax and Goods and Services Tax.</w:t>
      </w:r>
    </w:p>
    <w:p w14:paraId="67C6890A" w14:textId="77777777" w:rsidR="00C57C9F" w:rsidRDefault="00C57C9F">
      <w:pPr>
        <w:pStyle w:val="2fins-body-before-bullet"/>
        <w:divId w:val="1139883726"/>
        <w:rPr>
          <w:rFonts w:cs="Times New Roman"/>
          <w:lang w:val="en-AU"/>
        </w:rPr>
      </w:pPr>
      <w:r>
        <w:rPr>
          <w:rFonts w:cs="Times New Roman"/>
          <w:lang w:val="en-AU"/>
        </w:rPr>
        <w:lastRenderedPageBreak/>
        <w:t>Revenues, expenses, assets and liabilities are recognised net of GST except:</w:t>
      </w:r>
    </w:p>
    <w:p w14:paraId="4684310E" w14:textId="77777777" w:rsidR="00C57C9F" w:rsidRDefault="00C57C9F" w:rsidP="006F421D">
      <w:pPr>
        <w:pStyle w:val="2fins-body-before-bullet"/>
        <w:ind w:left="284" w:hanging="284"/>
        <w:divId w:val="1139883726"/>
        <w:rPr>
          <w:rFonts w:cs="Times New Roman"/>
          <w:lang w:val="en-AU"/>
        </w:rPr>
      </w:pPr>
      <w:proofErr w:type="spellStart"/>
      <w:r>
        <w:rPr>
          <w:rFonts w:cs="Times New Roman"/>
          <w:lang w:val="en-AU"/>
        </w:rPr>
        <w:t>i</w:t>
      </w:r>
      <w:proofErr w:type="spellEnd"/>
      <w:r>
        <w:rPr>
          <w:rFonts w:cs="Times New Roman"/>
          <w:lang w:val="en-AU"/>
        </w:rPr>
        <w:t xml:space="preserve">) </w:t>
      </w:r>
      <w:r>
        <w:rPr>
          <w:rFonts w:cs="Times New Roman"/>
          <w:lang w:val="en-AU"/>
        </w:rPr>
        <w:tab/>
      </w:r>
      <w:proofErr w:type="gramStart"/>
      <w:r>
        <w:rPr>
          <w:rFonts w:cs="Times New Roman"/>
          <w:lang w:val="en-AU"/>
        </w:rPr>
        <w:t>where</w:t>
      </w:r>
      <w:proofErr w:type="gramEnd"/>
      <w:r>
        <w:rPr>
          <w:rFonts w:cs="Times New Roman"/>
          <w:lang w:val="en-AU"/>
        </w:rPr>
        <w:t xml:space="preserve"> the amount of GST incurred is not recoverable from the Australian Taxation Office; and</w:t>
      </w:r>
    </w:p>
    <w:p w14:paraId="585AB98E" w14:textId="77777777" w:rsidR="00C57C9F" w:rsidRDefault="00C57C9F" w:rsidP="006F421D">
      <w:pPr>
        <w:pStyle w:val="2fins-body"/>
        <w:ind w:left="284" w:hanging="284"/>
        <w:divId w:val="1139883726"/>
        <w:rPr>
          <w:rFonts w:cs="Times New Roman"/>
          <w:lang w:val="en-AU"/>
        </w:rPr>
      </w:pPr>
      <w:r>
        <w:rPr>
          <w:rFonts w:cs="Times New Roman"/>
          <w:lang w:val="en-AU"/>
        </w:rPr>
        <w:t xml:space="preserve">ii) </w:t>
      </w:r>
      <w:r>
        <w:rPr>
          <w:rFonts w:cs="Times New Roman"/>
          <w:lang w:val="en-AU"/>
        </w:rPr>
        <w:tab/>
      </w:r>
      <w:proofErr w:type="gramStart"/>
      <w:r>
        <w:rPr>
          <w:rFonts w:cs="Times New Roman"/>
          <w:lang w:val="en-AU"/>
        </w:rPr>
        <w:t>for</w:t>
      </w:r>
      <w:proofErr w:type="gramEnd"/>
      <w:r>
        <w:rPr>
          <w:rFonts w:cs="Times New Roman"/>
          <w:lang w:val="en-AU"/>
        </w:rPr>
        <w:t xml:space="preserve"> receivables and payables.</w:t>
      </w:r>
    </w:p>
    <w:p w14:paraId="2B8D63C4" w14:textId="77777777" w:rsidR="00C57C9F" w:rsidRDefault="00C57C9F">
      <w:pPr>
        <w:pStyle w:val="1heading-2"/>
        <w:divId w:val="1139883726"/>
        <w:rPr>
          <w:rFonts w:cs="Times New Roman"/>
          <w:lang w:val="en-AU"/>
        </w:rPr>
      </w:pPr>
      <w:r>
        <w:rPr>
          <w:rFonts w:cs="Times New Roman"/>
          <w:lang w:val="en-AU"/>
        </w:rPr>
        <w:t>Note 2: Events After the Reporting Period</w:t>
      </w:r>
    </w:p>
    <w:p w14:paraId="6A390E3F" w14:textId="77777777" w:rsidR="00C57C9F" w:rsidRDefault="00C57C9F">
      <w:pPr>
        <w:pStyle w:val="2fins-body"/>
        <w:divId w:val="1139883726"/>
        <w:rPr>
          <w:rFonts w:cs="Times New Roman"/>
          <w:lang w:val="en-AU"/>
        </w:rPr>
      </w:pPr>
      <w:r>
        <w:rPr>
          <w:rFonts w:cs="Times New Roman"/>
          <w:lang w:val="en-AU"/>
        </w:rPr>
        <w:t>No matters or circumstances have arisen since the end of the financial year which significantly affected or may affect the operations of the Commission.</w:t>
      </w:r>
    </w:p>
    <w:p w14:paraId="29E481FF" w14:textId="77777777" w:rsidR="00C57C9F" w:rsidRDefault="00C57C9F">
      <w:pPr>
        <w:rPr>
          <w:rFonts w:cs="Times New Roman"/>
          <w:b/>
          <w:sz w:val="28"/>
        </w:rPr>
      </w:pPr>
      <w:r>
        <w:rPr>
          <w:rFonts w:cs="Times New Roman"/>
        </w:rPr>
        <w:br w:type="page"/>
      </w:r>
    </w:p>
    <w:p w14:paraId="3E5BD7D2" w14:textId="77777777" w:rsidR="00C57C9F" w:rsidRDefault="00C57C9F">
      <w:pPr>
        <w:pStyle w:val="1heading-2"/>
        <w:divId w:val="1139883726"/>
        <w:rPr>
          <w:rFonts w:cs="Times New Roman"/>
          <w:lang w:val="en-AU"/>
        </w:rPr>
      </w:pPr>
      <w:r>
        <w:rPr>
          <w:rFonts w:cs="Times New Roman"/>
          <w:lang w:val="en-AU"/>
        </w:rPr>
        <w:lastRenderedPageBreak/>
        <w:t>Note 3: Expenses</w:t>
      </w:r>
    </w:p>
    <w:tbl>
      <w:tblPr>
        <w:tblW w:w="0" w:type="auto"/>
        <w:tblCellMar>
          <w:top w:w="28" w:type="dxa"/>
          <w:left w:w="15" w:type="dxa"/>
          <w:bottom w:w="28" w:type="dxa"/>
          <w:right w:w="15" w:type="dxa"/>
        </w:tblCellMar>
        <w:tblLook w:val="04A0" w:firstRow="1" w:lastRow="0" w:firstColumn="1" w:lastColumn="0" w:noHBand="0" w:noVBand="1"/>
      </w:tblPr>
      <w:tblGrid>
        <w:gridCol w:w="7655"/>
        <w:gridCol w:w="1387"/>
        <w:gridCol w:w="1089"/>
      </w:tblGrid>
      <w:tr w:rsidR="00C57C9F" w14:paraId="669A23A8" w14:textId="77777777" w:rsidTr="006F421D">
        <w:trPr>
          <w:divId w:val="1139883726"/>
        </w:trPr>
        <w:tc>
          <w:tcPr>
            <w:tcW w:w="7655" w:type="dxa"/>
            <w:vAlign w:val="center"/>
            <w:hideMark/>
          </w:tcPr>
          <w:p w14:paraId="6473785E" w14:textId="77777777" w:rsidR="00C57C9F" w:rsidRDefault="00C57C9F">
            <w:pPr>
              <w:rPr>
                <w:rFonts w:eastAsia="Times New Roman" w:cs="Times New Roman"/>
              </w:rPr>
            </w:pPr>
          </w:p>
        </w:tc>
        <w:tc>
          <w:tcPr>
            <w:tcW w:w="1387" w:type="dxa"/>
            <w:vAlign w:val="center"/>
            <w:hideMark/>
          </w:tcPr>
          <w:p w14:paraId="3CDD8943" w14:textId="77777777" w:rsidR="00C57C9F" w:rsidRDefault="00C57C9F" w:rsidP="006F421D">
            <w:pPr>
              <w:pStyle w:val="3fins-table-figures"/>
              <w:jc w:val="right"/>
              <w:rPr>
                <w:rFonts w:cs="Times New Roman"/>
              </w:rPr>
            </w:pPr>
            <w:r>
              <w:rPr>
                <w:rStyle w:val="fins-bold"/>
                <w:rFonts w:cs="Times New Roman"/>
              </w:rPr>
              <w:t>2014</w:t>
            </w:r>
          </w:p>
        </w:tc>
        <w:tc>
          <w:tcPr>
            <w:tcW w:w="1089" w:type="dxa"/>
            <w:vAlign w:val="center"/>
            <w:hideMark/>
          </w:tcPr>
          <w:p w14:paraId="19E7A463" w14:textId="77777777" w:rsidR="00C57C9F" w:rsidRDefault="00C57C9F" w:rsidP="006F421D">
            <w:pPr>
              <w:pStyle w:val="3fins-table-figures"/>
              <w:jc w:val="right"/>
              <w:rPr>
                <w:rFonts w:cs="Times New Roman"/>
              </w:rPr>
            </w:pPr>
            <w:r>
              <w:rPr>
                <w:rFonts w:cs="Times New Roman"/>
              </w:rPr>
              <w:t>2013</w:t>
            </w:r>
          </w:p>
        </w:tc>
      </w:tr>
      <w:tr w:rsidR="00C57C9F" w14:paraId="0AC4A295" w14:textId="77777777" w:rsidTr="006F421D">
        <w:trPr>
          <w:divId w:val="1139883726"/>
        </w:trPr>
        <w:tc>
          <w:tcPr>
            <w:tcW w:w="7655" w:type="dxa"/>
            <w:vAlign w:val="center"/>
            <w:hideMark/>
          </w:tcPr>
          <w:p w14:paraId="4256DEFD" w14:textId="77777777" w:rsidR="00C57C9F" w:rsidRDefault="00C57C9F">
            <w:pPr>
              <w:rPr>
                <w:rFonts w:eastAsia="Times New Roman" w:cs="Times New Roman"/>
              </w:rPr>
            </w:pPr>
          </w:p>
        </w:tc>
        <w:tc>
          <w:tcPr>
            <w:tcW w:w="1387" w:type="dxa"/>
            <w:vAlign w:val="center"/>
            <w:hideMark/>
          </w:tcPr>
          <w:p w14:paraId="19B56C86" w14:textId="77777777" w:rsidR="00C57C9F" w:rsidRDefault="00C57C9F" w:rsidP="006F421D">
            <w:pPr>
              <w:pStyle w:val="3fins-table-figures"/>
              <w:jc w:val="right"/>
              <w:rPr>
                <w:rFonts w:cs="Times New Roman"/>
              </w:rPr>
            </w:pPr>
            <w:r>
              <w:rPr>
                <w:rStyle w:val="fins-bold"/>
                <w:rFonts w:cs="Times New Roman"/>
              </w:rPr>
              <w:t>$’000</w:t>
            </w:r>
          </w:p>
        </w:tc>
        <w:tc>
          <w:tcPr>
            <w:tcW w:w="1089" w:type="dxa"/>
            <w:vAlign w:val="center"/>
            <w:hideMark/>
          </w:tcPr>
          <w:p w14:paraId="601117A3" w14:textId="77777777" w:rsidR="00C57C9F" w:rsidRDefault="00C57C9F" w:rsidP="006F421D">
            <w:pPr>
              <w:pStyle w:val="3fins-table-figures"/>
              <w:jc w:val="right"/>
              <w:rPr>
                <w:rFonts w:cs="Times New Roman"/>
              </w:rPr>
            </w:pPr>
            <w:r>
              <w:rPr>
                <w:rFonts w:cs="Times New Roman"/>
              </w:rPr>
              <w:t>$’000</w:t>
            </w:r>
          </w:p>
        </w:tc>
      </w:tr>
      <w:tr w:rsidR="00C57C9F" w14:paraId="4F3621B6" w14:textId="77777777" w:rsidTr="00161EA4">
        <w:trPr>
          <w:divId w:val="1139883726"/>
          <w:trHeight w:val="436"/>
        </w:trPr>
        <w:tc>
          <w:tcPr>
            <w:tcW w:w="7655" w:type="dxa"/>
            <w:vAlign w:val="center"/>
            <w:hideMark/>
          </w:tcPr>
          <w:p w14:paraId="349DE3DB" w14:textId="77777777" w:rsidR="00C57C9F" w:rsidRDefault="00C57C9F" w:rsidP="00161EA4">
            <w:pPr>
              <w:pStyle w:val="1heading-3"/>
              <w:spacing w:before="0"/>
              <w:rPr>
                <w:rFonts w:cs="Times New Roman"/>
              </w:rPr>
            </w:pPr>
            <w:r>
              <w:rPr>
                <w:rFonts w:cs="Times New Roman"/>
              </w:rPr>
              <w:t>Note 3A: Employee Benefits</w:t>
            </w:r>
          </w:p>
        </w:tc>
        <w:tc>
          <w:tcPr>
            <w:tcW w:w="1387" w:type="dxa"/>
            <w:vAlign w:val="center"/>
            <w:hideMark/>
          </w:tcPr>
          <w:p w14:paraId="283B051A" w14:textId="77777777" w:rsidR="00C57C9F" w:rsidRDefault="00C57C9F" w:rsidP="00161EA4">
            <w:pPr>
              <w:jc w:val="right"/>
              <w:rPr>
                <w:rFonts w:eastAsia="Times New Roman" w:cs="Times New Roman"/>
              </w:rPr>
            </w:pPr>
          </w:p>
        </w:tc>
        <w:tc>
          <w:tcPr>
            <w:tcW w:w="1089" w:type="dxa"/>
            <w:vAlign w:val="center"/>
            <w:hideMark/>
          </w:tcPr>
          <w:p w14:paraId="7B3F874A" w14:textId="77777777" w:rsidR="00C57C9F" w:rsidRDefault="00C57C9F" w:rsidP="00161EA4">
            <w:pPr>
              <w:jc w:val="right"/>
              <w:rPr>
                <w:rFonts w:eastAsia="Times New Roman" w:cs="Times New Roman"/>
              </w:rPr>
            </w:pPr>
          </w:p>
        </w:tc>
      </w:tr>
      <w:tr w:rsidR="00C57C9F" w14:paraId="56716838" w14:textId="77777777" w:rsidTr="006F421D">
        <w:trPr>
          <w:divId w:val="1139883726"/>
        </w:trPr>
        <w:tc>
          <w:tcPr>
            <w:tcW w:w="7655" w:type="dxa"/>
            <w:vAlign w:val="center"/>
            <w:hideMark/>
          </w:tcPr>
          <w:p w14:paraId="6AB81875" w14:textId="77777777" w:rsidR="00C57C9F" w:rsidRDefault="00C57C9F">
            <w:pPr>
              <w:pStyle w:val="3fins-table"/>
              <w:rPr>
                <w:rFonts w:cs="Times New Roman"/>
              </w:rPr>
            </w:pPr>
            <w:r>
              <w:rPr>
                <w:rFonts w:cs="Times New Roman"/>
              </w:rPr>
              <w:t>Wages and salaries</w:t>
            </w:r>
          </w:p>
        </w:tc>
        <w:tc>
          <w:tcPr>
            <w:tcW w:w="1387" w:type="dxa"/>
            <w:vAlign w:val="center"/>
            <w:hideMark/>
          </w:tcPr>
          <w:p w14:paraId="338F3C70" w14:textId="77777777" w:rsidR="00C57C9F" w:rsidRDefault="00C57C9F" w:rsidP="006F421D">
            <w:pPr>
              <w:pStyle w:val="3fins-table-figures"/>
              <w:jc w:val="right"/>
              <w:rPr>
                <w:rFonts w:cs="Times New Roman"/>
              </w:rPr>
            </w:pPr>
            <w:r>
              <w:rPr>
                <w:rStyle w:val="fins-bold"/>
                <w:rFonts w:cs="Times New Roman"/>
              </w:rPr>
              <w:t xml:space="preserve">6,428 </w:t>
            </w:r>
          </w:p>
        </w:tc>
        <w:tc>
          <w:tcPr>
            <w:tcW w:w="1089" w:type="dxa"/>
            <w:vAlign w:val="center"/>
            <w:hideMark/>
          </w:tcPr>
          <w:p w14:paraId="190E58CD" w14:textId="77777777" w:rsidR="00C57C9F" w:rsidRDefault="00C57C9F" w:rsidP="006F421D">
            <w:pPr>
              <w:pStyle w:val="3fins-table-figures"/>
              <w:jc w:val="right"/>
              <w:rPr>
                <w:rFonts w:cs="Times New Roman"/>
              </w:rPr>
            </w:pPr>
            <w:r>
              <w:rPr>
                <w:rFonts w:cs="Times New Roman"/>
              </w:rPr>
              <w:t xml:space="preserve">5,072 </w:t>
            </w:r>
          </w:p>
        </w:tc>
      </w:tr>
      <w:tr w:rsidR="00C57C9F" w14:paraId="0BCDA11F" w14:textId="77777777" w:rsidTr="006F421D">
        <w:trPr>
          <w:divId w:val="1139883726"/>
        </w:trPr>
        <w:tc>
          <w:tcPr>
            <w:tcW w:w="7655" w:type="dxa"/>
            <w:vAlign w:val="center"/>
            <w:hideMark/>
          </w:tcPr>
          <w:p w14:paraId="57B80B94" w14:textId="77777777" w:rsidR="00C57C9F" w:rsidRDefault="00C57C9F">
            <w:pPr>
              <w:pStyle w:val="3fins-table"/>
              <w:rPr>
                <w:rFonts w:cs="Times New Roman"/>
              </w:rPr>
            </w:pPr>
            <w:r>
              <w:rPr>
                <w:rFonts w:cs="Times New Roman"/>
              </w:rPr>
              <w:t>Superannuation:</w:t>
            </w:r>
          </w:p>
        </w:tc>
        <w:tc>
          <w:tcPr>
            <w:tcW w:w="1387" w:type="dxa"/>
            <w:vAlign w:val="center"/>
            <w:hideMark/>
          </w:tcPr>
          <w:p w14:paraId="4AA1016F" w14:textId="77777777" w:rsidR="00C57C9F" w:rsidRDefault="00C57C9F" w:rsidP="006F421D">
            <w:pPr>
              <w:jc w:val="right"/>
              <w:rPr>
                <w:rFonts w:eastAsia="Times New Roman" w:cs="Times New Roman"/>
              </w:rPr>
            </w:pPr>
          </w:p>
        </w:tc>
        <w:tc>
          <w:tcPr>
            <w:tcW w:w="1089" w:type="dxa"/>
            <w:vAlign w:val="center"/>
            <w:hideMark/>
          </w:tcPr>
          <w:p w14:paraId="1DC0E2E8" w14:textId="77777777" w:rsidR="00C57C9F" w:rsidRDefault="00C57C9F" w:rsidP="006F421D">
            <w:pPr>
              <w:jc w:val="right"/>
              <w:rPr>
                <w:rFonts w:eastAsia="Times New Roman" w:cs="Times New Roman"/>
              </w:rPr>
            </w:pPr>
          </w:p>
        </w:tc>
      </w:tr>
      <w:tr w:rsidR="00C57C9F" w14:paraId="10D9D2BA" w14:textId="77777777" w:rsidTr="006F421D">
        <w:trPr>
          <w:divId w:val="1139883726"/>
        </w:trPr>
        <w:tc>
          <w:tcPr>
            <w:tcW w:w="7655" w:type="dxa"/>
            <w:vAlign w:val="center"/>
            <w:hideMark/>
          </w:tcPr>
          <w:p w14:paraId="6AAAD6A2" w14:textId="77777777" w:rsidR="00C57C9F" w:rsidRDefault="00C57C9F" w:rsidP="006F421D">
            <w:pPr>
              <w:pStyle w:val="3fins-table"/>
              <w:ind w:left="567"/>
              <w:rPr>
                <w:rFonts w:cs="Times New Roman"/>
              </w:rPr>
            </w:pPr>
            <w:r>
              <w:rPr>
                <w:rFonts w:cs="Times New Roman"/>
              </w:rPr>
              <w:t>Defined contribution plans</w:t>
            </w:r>
          </w:p>
        </w:tc>
        <w:tc>
          <w:tcPr>
            <w:tcW w:w="1387" w:type="dxa"/>
            <w:vAlign w:val="center"/>
            <w:hideMark/>
          </w:tcPr>
          <w:p w14:paraId="36F903C8" w14:textId="77777777" w:rsidR="00C57C9F" w:rsidRDefault="00C57C9F" w:rsidP="006F421D">
            <w:pPr>
              <w:pStyle w:val="3fins-table-figures"/>
              <w:jc w:val="right"/>
              <w:rPr>
                <w:rFonts w:cs="Times New Roman"/>
              </w:rPr>
            </w:pPr>
            <w:r>
              <w:rPr>
                <w:rStyle w:val="fins-bold"/>
                <w:rFonts w:cs="Times New Roman"/>
              </w:rPr>
              <w:t xml:space="preserve">908 </w:t>
            </w:r>
          </w:p>
        </w:tc>
        <w:tc>
          <w:tcPr>
            <w:tcW w:w="1089" w:type="dxa"/>
            <w:vAlign w:val="center"/>
            <w:hideMark/>
          </w:tcPr>
          <w:p w14:paraId="0A12DDF6" w14:textId="77777777" w:rsidR="00C57C9F" w:rsidRDefault="00C57C9F" w:rsidP="006F421D">
            <w:pPr>
              <w:pStyle w:val="3fins-table-figures"/>
              <w:jc w:val="right"/>
              <w:rPr>
                <w:rFonts w:cs="Times New Roman"/>
              </w:rPr>
            </w:pPr>
            <w:r>
              <w:rPr>
                <w:rFonts w:cs="Times New Roman"/>
              </w:rPr>
              <w:t xml:space="preserve">666 </w:t>
            </w:r>
          </w:p>
        </w:tc>
      </w:tr>
      <w:tr w:rsidR="00C57C9F" w14:paraId="7A2523FC" w14:textId="77777777" w:rsidTr="006F421D">
        <w:trPr>
          <w:divId w:val="1139883726"/>
        </w:trPr>
        <w:tc>
          <w:tcPr>
            <w:tcW w:w="7655" w:type="dxa"/>
            <w:vAlign w:val="center"/>
            <w:hideMark/>
          </w:tcPr>
          <w:p w14:paraId="0F75F16E" w14:textId="77777777" w:rsidR="00C57C9F" w:rsidRDefault="00C57C9F" w:rsidP="006F421D">
            <w:pPr>
              <w:pStyle w:val="3fins-table"/>
              <w:ind w:left="567"/>
              <w:rPr>
                <w:rFonts w:cs="Times New Roman"/>
              </w:rPr>
            </w:pPr>
            <w:r>
              <w:rPr>
                <w:rFonts w:cs="Times New Roman"/>
              </w:rPr>
              <w:t>Defined benefit plans</w:t>
            </w:r>
          </w:p>
        </w:tc>
        <w:tc>
          <w:tcPr>
            <w:tcW w:w="1387" w:type="dxa"/>
            <w:vAlign w:val="center"/>
            <w:hideMark/>
          </w:tcPr>
          <w:p w14:paraId="3ABBC3DB" w14:textId="77777777" w:rsidR="00C57C9F" w:rsidRDefault="00C57C9F" w:rsidP="006F421D">
            <w:pPr>
              <w:pStyle w:val="3fins-table-figures"/>
              <w:jc w:val="right"/>
              <w:rPr>
                <w:rFonts w:cs="Times New Roman"/>
              </w:rPr>
            </w:pPr>
            <w:r>
              <w:rPr>
                <w:rStyle w:val="fins-bold"/>
                <w:rFonts w:cs="Times New Roman"/>
              </w:rPr>
              <w:t xml:space="preserve">195 </w:t>
            </w:r>
          </w:p>
        </w:tc>
        <w:tc>
          <w:tcPr>
            <w:tcW w:w="1089" w:type="dxa"/>
            <w:vAlign w:val="center"/>
            <w:hideMark/>
          </w:tcPr>
          <w:p w14:paraId="5055798E" w14:textId="77777777" w:rsidR="00C57C9F" w:rsidRDefault="00C57C9F" w:rsidP="006F421D">
            <w:pPr>
              <w:pStyle w:val="3fins-table-figures"/>
              <w:jc w:val="right"/>
              <w:rPr>
                <w:rFonts w:cs="Times New Roman"/>
              </w:rPr>
            </w:pPr>
            <w:r>
              <w:rPr>
                <w:rFonts w:cs="Times New Roman"/>
              </w:rPr>
              <w:t xml:space="preserve">209 </w:t>
            </w:r>
          </w:p>
        </w:tc>
      </w:tr>
      <w:tr w:rsidR="00C57C9F" w14:paraId="1EC30850" w14:textId="77777777" w:rsidTr="006F421D">
        <w:trPr>
          <w:divId w:val="1139883726"/>
        </w:trPr>
        <w:tc>
          <w:tcPr>
            <w:tcW w:w="7655" w:type="dxa"/>
            <w:vAlign w:val="center"/>
            <w:hideMark/>
          </w:tcPr>
          <w:p w14:paraId="7DE26DDC" w14:textId="77777777" w:rsidR="00C57C9F" w:rsidRDefault="00C57C9F">
            <w:pPr>
              <w:pStyle w:val="3fins-table"/>
              <w:rPr>
                <w:rFonts w:cs="Times New Roman"/>
              </w:rPr>
            </w:pPr>
            <w:r>
              <w:rPr>
                <w:rFonts w:cs="Times New Roman"/>
              </w:rPr>
              <w:t>Leave and other entitlements</w:t>
            </w:r>
          </w:p>
        </w:tc>
        <w:tc>
          <w:tcPr>
            <w:tcW w:w="1387" w:type="dxa"/>
            <w:vAlign w:val="center"/>
            <w:hideMark/>
          </w:tcPr>
          <w:p w14:paraId="729D7FBD" w14:textId="77777777" w:rsidR="00C57C9F" w:rsidRDefault="00C57C9F" w:rsidP="006F421D">
            <w:pPr>
              <w:pStyle w:val="3fins-table-figures"/>
              <w:jc w:val="right"/>
              <w:rPr>
                <w:rFonts w:cs="Times New Roman"/>
              </w:rPr>
            </w:pPr>
            <w:r>
              <w:rPr>
                <w:rStyle w:val="fins-bold"/>
                <w:rFonts w:cs="Times New Roman"/>
              </w:rPr>
              <w:t xml:space="preserve">1,033 </w:t>
            </w:r>
          </w:p>
        </w:tc>
        <w:tc>
          <w:tcPr>
            <w:tcW w:w="1089" w:type="dxa"/>
            <w:vAlign w:val="center"/>
            <w:hideMark/>
          </w:tcPr>
          <w:p w14:paraId="1F3A6861" w14:textId="77777777" w:rsidR="00C57C9F" w:rsidRDefault="00C57C9F" w:rsidP="006F421D">
            <w:pPr>
              <w:pStyle w:val="3fins-table-figures"/>
              <w:jc w:val="right"/>
              <w:rPr>
                <w:rFonts w:cs="Times New Roman"/>
              </w:rPr>
            </w:pPr>
            <w:r>
              <w:rPr>
                <w:rFonts w:cs="Times New Roman"/>
              </w:rPr>
              <w:t xml:space="preserve">735 </w:t>
            </w:r>
          </w:p>
        </w:tc>
      </w:tr>
      <w:tr w:rsidR="00C57C9F" w14:paraId="0CF92AD1" w14:textId="77777777" w:rsidTr="006F421D">
        <w:trPr>
          <w:divId w:val="1139883726"/>
        </w:trPr>
        <w:tc>
          <w:tcPr>
            <w:tcW w:w="7655" w:type="dxa"/>
            <w:vAlign w:val="center"/>
            <w:hideMark/>
          </w:tcPr>
          <w:p w14:paraId="3B22ABF2" w14:textId="77777777" w:rsidR="00C57C9F" w:rsidRDefault="00C57C9F">
            <w:pPr>
              <w:pStyle w:val="3fins-table"/>
              <w:rPr>
                <w:rFonts w:cs="Times New Roman"/>
              </w:rPr>
            </w:pPr>
            <w:r>
              <w:rPr>
                <w:rFonts w:cs="Times New Roman"/>
              </w:rPr>
              <w:t>Other employee benefits</w:t>
            </w:r>
          </w:p>
        </w:tc>
        <w:tc>
          <w:tcPr>
            <w:tcW w:w="1387" w:type="dxa"/>
            <w:tcBorders>
              <w:bottom w:val="single" w:sz="4" w:space="0" w:color="0D0D0D" w:themeColor="text1" w:themeTint="F2"/>
            </w:tcBorders>
            <w:vAlign w:val="center"/>
            <w:hideMark/>
          </w:tcPr>
          <w:p w14:paraId="3C2B364F" w14:textId="77777777" w:rsidR="00C57C9F" w:rsidRDefault="00C57C9F" w:rsidP="006F421D">
            <w:pPr>
              <w:pStyle w:val="3fins-table-figures"/>
              <w:jc w:val="right"/>
              <w:rPr>
                <w:rFonts w:cs="Times New Roman"/>
              </w:rPr>
            </w:pPr>
            <w:r>
              <w:rPr>
                <w:rStyle w:val="fins-bold"/>
                <w:rFonts w:cs="Times New Roman"/>
              </w:rPr>
              <w:t xml:space="preserve">36 </w:t>
            </w:r>
          </w:p>
        </w:tc>
        <w:tc>
          <w:tcPr>
            <w:tcW w:w="1089" w:type="dxa"/>
            <w:tcBorders>
              <w:bottom w:val="single" w:sz="4" w:space="0" w:color="0D0D0D" w:themeColor="text1" w:themeTint="F2"/>
            </w:tcBorders>
            <w:vAlign w:val="center"/>
            <w:hideMark/>
          </w:tcPr>
          <w:p w14:paraId="60CF54E8" w14:textId="77777777" w:rsidR="00C57C9F" w:rsidRDefault="00C57C9F" w:rsidP="006F421D">
            <w:pPr>
              <w:pStyle w:val="3fins-table-figures"/>
              <w:jc w:val="right"/>
              <w:rPr>
                <w:rFonts w:cs="Times New Roman"/>
              </w:rPr>
            </w:pPr>
            <w:r>
              <w:rPr>
                <w:rFonts w:cs="Times New Roman"/>
              </w:rPr>
              <w:t xml:space="preserve">36 </w:t>
            </w:r>
          </w:p>
        </w:tc>
      </w:tr>
      <w:tr w:rsidR="00C57C9F" w14:paraId="30B539D0" w14:textId="77777777" w:rsidTr="006F421D">
        <w:trPr>
          <w:divId w:val="1139883726"/>
        </w:trPr>
        <w:tc>
          <w:tcPr>
            <w:tcW w:w="7655" w:type="dxa"/>
            <w:vAlign w:val="center"/>
            <w:hideMark/>
          </w:tcPr>
          <w:p w14:paraId="4DEC41EE" w14:textId="77777777" w:rsidR="00C57C9F" w:rsidRDefault="00C57C9F">
            <w:pPr>
              <w:pStyle w:val="3fins-table"/>
              <w:rPr>
                <w:rFonts w:cs="Times New Roman"/>
              </w:rPr>
            </w:pPr>
            <w:r>
              <w:rPr>
                <w:rStyle w:val="fins-bold"/>
                <w:rFonts w:cs="Times New Roman"/>
              </w:rPr>
              <w:t>Total employee benefits</w:t>
            </w:r>
          </w:p>
        </w:tc>
        <w:tc>
          <w:tcPr>
            <w:tcW w:w="1387" w:type="dxa"/>
            <w:tcBorders>
              <w:top w:val="single" w:sz="4" w:space="0" w:color="0D0D0D" w:themeColor="text1" w:themeTint="F2"/>
              <w:bottom w:val="single" w:sz="4" w:space="0" w:color="0D0D0D" w:themeColor="text1" w:themeTint="F2"/>
            </w:tcBorders>
            <w:vAlign w:val="center"/>
            <w:hideMark/>
          </w:tcPr>
          <w:p w14:paraId="7BAA3587" w14:textId="77777777" w:rsidR="00C57C9F" w:rsidRDefault="00C57C9F" w:rsidP="006F421D">
            <w:pPr>
              <w:pStyle w:val="3fins-table-figures"/>
              <w:jc w:val="right"/>
              <w:rPr>
                <w:rFonts w:cs="Times New Roman"/>
              </w:rPr>
            </w:pPr>
            <w:r>
              <w:rPr>
                <w:rStyle w:val="fins-bold"/>
                <w:rFonts w:cs="Times New Roman"/>
              </w:rPr>
              <w:t xml:space="preserve">8,600 </w:t>
            </w:r>
          </w:p>
        </w:tc>
        <w:tc>
          <w:tcPr>
            <w:tcW w:w="1089" w:type="dxa"/>
            <w:tcBorders>
              <w:top w:val="single" w:sz="4" w:space="0" w:color="0D0D0D" w:themeColor="text1" w:themeTint="F2"/>
              <w:bottom w:val="single" w:sz="4" w:space="0" w:color="0D0D0D" w:themeColor="text1" w:themeTint="F2"/>
            </w:tcBorders>
            <w:vAlign w:val="center"/>
            <w:hideMark/>
          </w:tcPr>
          <w:p w14:paraId="4BD475BA" w14:textId="77777777" w:rsidR="00C57C9F" w:rsidRDefault="00C57C9F" w:rsidP="006F421D">
            <w:pPr>
              <w:pStyle w:val="3fins-table-figures"/>
              <w:jc w:val="right"/>
              <w:rPr>
                <w:rFonts w:cs="Times New Roman"/>
              </w:rPr>
            </w:pPr>
            <w:r>
              <w:rPr>
                <w:rFonts w:cs="Times New Roman"/>
              </w:rPr>
              <w:t xml:space="preserve">6,718 </w:t>
            </w:r>
          </w:p>
        </w:tc>
      </w:tr>
      <w:tr w:rsidR="00C57C9F" w14:paraId="73628277" w14:textId="77777777" w:rsidTr="006F421D">
        <w:trPr>
          <w:divId w:val="1139883726"/>
        </w:trPr>
        <w:tc>
          <w:tcPr>
            <w:tcW w:w="7655" w:type="dxa"/>
            <w:vAlign w:val="center"/>
            <w:hideMark/>
          </w:tcPr>
          <w:p w14:paraId="3377A0DA" w14:textId="77777777" w:rsidR="00C57C9F" w:rsidRDefault="00C57C9F">
            <w:pPr>
              <w:rPr>
                <w:rFonts w:eastAsia="Times New Roman" w:cs="Times New Roman"/>
              </w:rPr>
            </w:pPr>
          </w:p>
        </w:tc>
        <w:tc>
          <w:tcPr>
            <w:tcW w:w="1387" w:type="dxa"/>
            <w:tcBorders>
              <w:top w:val="single" w:sz="4" w:space="0" w:color="0D0D0D" w:themeColor="text1" w:themeTint="F2"/>
            </w:tcBorders>
            <w:vAlign w:val="center"/>
            <w:hideMark/>
          </w:tcPr>
          <w:p w14:paraId="0F629F31" w14:textId="77777777" w:rsidR="00C57C9F" w:rsidRDefault="00C57C9F" w:rsidP="006F421D">
            <w:pPr>
              <w:jc w:val="right"/>
              <w:rPr>
                <w:rFonts w:eastAsia="Times New Roman" w:cs="Times New Roman"/>
              </w:rPr>
            </w:pPr>
          </w:p>
        </w:tc>
        <w:tc>
          <w:tcPr>
            <w:tcW w:w="1089" w:type="dxa"/>
            <w:tcBorders>
              <w:top w:val="single" w:sz="4" w:space="0" w:color="0D0D0D" w:themeColor="text1" w:themeTint="F2"/>
            </w:tcBorders>
            <w:vAlign w:val="center"/>
            <w:hideMark/>
          </w:tcPr>
          <w:p w14:paraId="5581E607" w14:textId="77777777" w:rsidR="00C57C9F" w:rsidRDefault="00C57C9F" w:rsidP="006F421D">
            <w:pPr>
              <w:jc w:val="right"/>
              <w:rPr>
                <w:rFonts w:eastAsia="Times New Roman" w:cs="Times New Roman"/>
              </w:rPr>
            </w:pPr>
          </w:p>
        </w:tc>
      </w:tr>
      <w:tr w:rsidR="00C57C9F" w14:paraId="1873BDDC" w14:textId="77777777" w:rsidTr="006F421D">
        <w:trPr>
          <w:divId w:val="1139883726"/>
        </w:trPr>
        <w:tc>
          <w:tcPr>
            <w:tcW w:w="7655" w:type="dxa"/>
            <w:vAlign w:val="center"/>
            <w:hideMark/>
          </w:tcPr>
          <w:p w14:paraId="25340CF6" w14:textId="77777777" w:rsidR="00C57C9F" w:rsidRDefault="00C57C9F">
            <w:pPr>
              <w:pStyle w:val="1heading-3"/>
              <w:rPr>
                <w:rFonts w:cs="Times New Roman"/>
              </w:rPr>
            </w:pPr>
            <w:r>
              <w:rPr>
                <w:rFonts w:cs="Times New Roman"/>
              </w:rPr>
              <w:t>Note 3B: Suppliers</w:t>
            </w:r>
          </w:p>
        </w:tc>
        <w:tc>
          <w:tcPr>
            <w:tcW w:w="1387" w:type="dxa"/>
            <w:vAlign w:val="center"/>
            <w:hideMark/>
          </w:tcPr>
          <w:p w14:paraId="58E20B6A" w14:textId="77777777" w:rsidR="00C57C9F" w:rsidRDefault="00C57C9F" w:rsidP="006F421D">
            <w:pPr>
              <w:jc w:val="right"/>
              <w:rPr>
                <w:rFonts w:eastAsia="Times New Roman" w:cs="Times New Roman"/>
              </w:rPr>
            </w:pPr>
          </w:p>
        </w:tc>
        <w:tc>
          <w:tcPr>
            <w:tcW w:w="1089" w:type="dxa"/>
            <w:vAlign w:val="center"/>
            <w:hideMark/>
          </w:tcPr>
          <w:p w14:paraId="72DCB75F" w14:textId="77777777" w:rsidR="00C57C9F" w:rsidRDefault="00C57C9F" w:rsidP="006F421D">
            <w:pPr>
              <w:jc w:val="right"/>
              <w:rPr>
                <w:rFonts w:eastAsia="Times New Roman" w:cs="Times New Roman"/>
              </w:rPr>
            </w:pPr>
          </w:p>
        </w:tc>
      </w:tr>
      <w:tr w:rsidR="00C57C9F" w14:paraId="42E938A3" w14:textId="77777777" w:rsidTr="006F421D">
        <w:trPr>
          <w:divId w:val="1139883726"/>
        </w:trPr>
        <w:tc>
          <w:tcPr>
            <w:tcW w:w="7655" w:type="dxa"/>
            <w:vAlign w:val="center"/>
            <w:hideMark/>
          </w:tcPr>
          <w:p w14:paraId="2B476EA0" w14:textId="77777777" w:rsidR="00C57C9F" w:rsidRDefault="00C57C9F">
            <w:pPr>
              <w:pStyle w:val="3fins-table"/>
              <w:rPr>
                <w:rFonts w:cs="Times New Roman"/>
              </w:rPr>
            </w:pPr>
            <w:r>
              <w:rPr>
                <w:rStyle w:val="fins-bold"/>
                <w:rFonts w:cs="Times New Roman"/>
              </w:rPr>
              <w:t>Goods and services</w:t>
            </w:r>
          </w:p>
        </w:tc>
        <w:tc>
          <w:tcPr>
            <w:tcW w:w="1387" w:type="dxa"/>
            <w:vAlign w:val="center"/>
            <w:hideMark/>
          </w:tcPr>
          <w:p w14:paraId="6E6BB176" w14:textId="77777777" w:rsidR="00C57C9F" w:rsidRDefault="00C57C9F" w:rsidP="006F421D">
            <w:pPr>
              <w:jc w:val="right"/>
              <w:rPr>
                <w:rFonts w:eastAsia="Times New Roman" w:cs="Times New Roman"/>
              </w:rPr>
            </w:pPr>
          </w:p>
        </w:tc>
        <w:tc>
          <w:tcPr>
            <w:tcW w:w="1089" w:type="dxa"/>
            <w:vAlign w:val="center"/>
            <w:hideMark/>
          </w:tcPr>
          <w:p w14:paraId="3483E4B1" w14:textId="77777777" w:rsidR="00C57C9F" w:rsidRDefault="00C57C9F" w:rsidP="006F421D">
            <w:pPr>
              <w:jc w:val="right"/>
              <w:rPr>
                <w:rFonts w:eastAsia="Times New Roman" w:cs="Times New Roman"/>
              </w:rPr>
            </w:pPr>
          </w:p>
        </w:tc>
      </w:tr>
      <w:tr w:rsidR="00C57C9F" w14:paraId="18E4D63B" w14:textId="77777777" w:rsidTr="006F421D">
        <w:trPr>
          <w:divId w:val="1139883726"/>
        </w:trPr>
        <w:tc>
          <w:tcPr>
            <w:tcW w:w="7655" w:type="dxa"/>
            <w:vAlign w:val="center"/>
            <w:hideMark/>
          </w:tcPr>
          <w:p w14:paraId="082E92FF" w14:textId="77777777" w:rsidR="00C57C9F" w:rsidRDefault="00C57C9F">
            <w:pPr>
              <w:pStyle w:val="3fins-table"/>
              <w:rPr>
                <w:rFonts w:cs="Times New Roman"/>
              </w:rPr>
            </w:pPr>
            <w:r>
              <w:rPr>
                <w:rFonts w:cs="Times New Roman"/>
              </w:rPr>
              <w:t>Consultants</w:t>
            </w:r>
          </w:p>
        </w:tc>
        <w:tc>
          <w:tcPr>
            <w:tcW w:w="1387" w:type="dxa"/>
            <w:vAlign w:val="center"/>
            <w:hideMark/>
          </w:tcPr>
          <w:p w14:paraId="7DC9E293" w14:textId="77777777" w:rsidR="00C57C9F" w:rsidRDefault="00C57C9F" w:rsidP="006F421D">
            <w:pPr>
              <w:pStyle w:val="3fins-table-figures"/>
              <w:jc w:val="right"/>
              <w:rPr>
                <w:rFonts w:cs="Times New Roman"/>
              </w:rPr>
            </w:pPr>
            <w:r>
              <w:rPr>
                <w:rStyle w:val="fins-bold"/>
                <w:rFonts w:cs="Times New Roman"/>
              </w:rPr>
              <w:t xml:space="preserve">34 </w:t>
            </w:r>
          </w:p>
        </w:tc>
        <w:tc>
          <w:tcPr>
            <w:tcW w:w="1089" w:type="dxa"/>
            <w:vAlign w:val="center"/>
            <w:hideMark/>
          </w:tcPr>
          <w:p w14:paraId="45062C78" w14:textId="77777777" w:rsidR="00C57C9F" w:rsidRDefault="00C57C9F" w:rsidP="006F421D">
            <w:pPr>
              <w:pStyle w:val="3fins-table-figures"/>
              <w:jc w:val="right"/>
              <w:rPr>
                <w:rFonts w:cs="Times New Roman"/>
              </w:rPr>
            </w:pPr>
            <w:r>
              <w:rPr>
                <w:rFonts w:cs="Times New Roman"/>
              </w:rPr>
              <w:t xml:space="preserve">31 </w:t>
            </w:r>
          </w:p>
        </w:tc>
      </w:tr>
      <w:tr w:rsidR="00C57C9F" w14:paraId="78FCCAEE" w14:textId="77777777" w:rsidTr="006F421D">
        <w:trPr>
          <w:divId w:val="1139883726"/>
        </w:trPr>
        <w:tc>
          <w:tcPr>
            <w:tcW w:w="7655" w:type="dxa"/>
            <w:vAlign w:val="center"/>
            <w:hideMark/>
          </w:tcPr>
          <w:p w14:paraId="1DFB58B9" w14:textId="77777777" w:rsidR="00C57C9F" w:rsidRDefault="00C57C9F">
            <w:pPr>
              <w:pStyle w:val="3fins-table"/>
              <w:rPr>
                <w:rFonts w:cs="Times New Roman"/>
              </w:rPr>
            </w:pPr>
            <w:r>
              <w:rPr>
                <w:rFonts w:cs="Times New Roman"/>
              </w:rPr>
              <w:t>Contracts for services</w:t>
            </w:r>
          </w:p>
        </w:tc>
        <w:tc>
          <w:tcPr>
            <w:tcW w:w="1387" w:type="dxa"/>
            <w:vAlign w:val="center"/>
            <w:hideMark/>
          </w:tcPr>
          <w:p w14:paraId="4E876907" w14:textId="77777777" w:rsidR="00C57C9F" w:rsidRDefault="00C57C9F" w:rsidP="006F421D">
            <w:pPr>
              <w:pStyle w:val="3fins-table-figures"/>
              <w:jc w:val="right"/>
              <w:rPr>
                <w:rFonts w:cs="Times New Roman"/>
              </w:rPr>
            </w:pPr>
            <w:r>
              <w:rPr>
                <w:rStyle w:val="fins-bold"/>
                <w:rFonts w:cs="Times New Roman"/>
              </w:rPr>
              <w:t xml:space="preserve">5,820 </w:t>
            </w:r>
          </w:p>
        </w:tc>
        <w:tc>
          <w:tcPr>
            <w:tcW w:w="1089" w:type="dxa"/>
            <w:vAlign w:val="center"/>
            <w:hideMark/>
          </w:tcPr>
          <w:p w14:paraId="3BD517BF" w14:textId="77777777" w:rsidR="00C57C9F" w:rsidRDefault="00C57C9F" w:rsidP="006F421D">
            <w:pPr>
              <w:pStyle w:val="3fins-table-figures"/>
              <w:jc w:val="right"/>
              <w:rPr>
                <w:rFonts w:cs="Times New Roman"/>
              </w:rPr>
            </w:pPr>
            <w:r>
              <w:rPr>
                <w:rFonts w:cs="Times New Roman"/>
              </w:rPr>
              <w:t xml:space="preserve">4,371 </w:t>
            </w:r>
          </w:p>
        </w:tc>
      </w:tr>
      <w:tr w:rsidR="00C57C9F" w14:paraId="5B056A13" w14:textId="77777777" w:rsidTr="006F421D">
        <w:trPr>
          <w:divId w:val="1139883726"/>
        </w:trPr>
        <w:tc>
          <w:tcPr>
            <w:tcW w:w="7655" w:type="dxa"/>
            <w:vAlign w:val="center"/>
            <w:hideMark/>
          </w:tcPr>
          <w:p w14:paraId="150216C8" w14:textId="77777777" w:rsidR="00C57C9F" w:rsidRDefault="00C57C9F">
            <w:pPr>
              <w:pStyle w:val="3fins-table"/>
              <w:rPr>
                <w:rFonts w:cs="Times New Roman"/>
              </w:rPr>
            </w:pPr>
            <w:r>
              <w:rPr>
                <w:rFonts w:cs="Times New Roman"/>
              </w:rPr>
              <w:t>Travel</w:t>
            </w:r>
          </w:p>
        </w:tc>
        <w:tc>
          <w:tcPr>
            <w:tcW w:w="1387" w:type="dxa"/>
            <w:vAlign w:val="center"/>
            <w:hideMark/>
          </w:tcPr>
          <w:p w14:paraId="0C30B620" w14:textId="77777777" w:rsidR="00C57C9F" w:rsidRDefault="00C57C9F" w:rsidP="006F421D">
            <w:pPr>
              <w:pStyle w:val="3fins-table-figures"/>
              <w:jc w:val="right"/>
              <w:rPr>
                <w:rFonts w:cs="Times New Roman"/>
              </w:rPr>
            </w:pPr>
            <w:r>
              <w:rPr>
                <w:rStyle w:val="fins-bold"/>
                <w:rFonts w:cs="Times New Roman"/>
              </w:rPr>
              <w:t xml:space="preserve">723 </w:t>
            </w:r>
          </w:p>
        </w:tc>
        <w:tc>
          <w:tcPr>
            <w:tcW w:w="1089" w:type="dxa"/>
            <w:vAlign w:val="center"/>
            <w:hideMark/>
          </w:tcPr>
          <w:p w14:paraId="43C79755" w14:textId="77777777" w:rsidR="00C57C9F" w:rsidRDefault="00C57C9F" w:rsidP="006F421D">
            <w:pPr>
              <w:pStyle w:val="3fins-table-figures"/>
              <w:jc w:val="right"/>
              <w:rPr>
                <w:rFonts w:cs="Times New Roman"/>
              </w:rPr>
            </w:pPr>
            <w:r>
              <w:rPr>
                <w:rFonts w:cs="Times New Roman"/>
              </w:rPr>
              <w:t xml:space="preserve">517 </w:t>
            </w:r>
          </w:p>
        </w:tc>
      </w:tr>
      <w:tr w:rsidR="00C57C9F" w14:paraId="4F743E26" w14:textId="77777777" w:rsidTr="006F421D">
        <w:trPr>
          <w:divId w:val="1139883726"/>
        </w:trPr>
        <w:tc>
          <w:tcPr>
            <w:tcW w:w="7655" w:type="dxa"/>
            <w:vAlign w:val="center"/>
            <w:hideMark/>
          </w:tcPr>
          <w:p w14:paraId="79C33EB4" w14:textId="77777777" w:rsidR="00C57C9F" w:rsidRDefault="00C57C9F">
            <w:pPr>
              <w:pStyle w:val="3fins-table"/>
              <w:rPr>
                <w:rFonts w:cs="Times New Roman"/>
              </w:rPr>
            </w:pPr>
            <w:r>
              <w:rPr>
                <w:rFonts w:cs="Times New Roman"/>
              </w:rPr>
              <w:t>Information and communication</w:t>
            </w:r>
          </w:p>
        </w:tc>
        <w:tc>
          <w:tcPr>
            <w:tcW w:w="1387" w:type="dxa"/>
            <w:vAlign w:val="center"/>
            <w:hideMark/>
          </w:tcPr>
          <w:p w14:paraId="52497D7F" w14:textId="77777777" w:rsidR="00C57C9F" w:rsidRDefault="00C57C9F" w:rsidP="006F421D">
            <w:pPr>
              <w:pStyle w:val="3fins-table-figures"/>
              <w:jc w:val="right"/>
              <w:rPr>
                <w:rFonts w:cs="Times New Roman"/>
              </w:rPr>
            </w:pPr>
            <w:r>
              <w:rPr>
                <w:rStyle w:val="fins-bold"/>
                <w:rFonts w:cs="Times New Roman"/>
              </w:rPr>
              <w:t xml:space="preserve">693 </w:t>
            </w:r>
          </w:p>
        </w:tc>
        <w:tc>
          <w:tcPr>
            <w:tcW w:w="1089" w:type="dxa"/>
            <w:vAlign w:val="center"/>
            <w:hideMark/>
          </w:tcPr>
          <w:p w14:paraId="68603F96" w14:textId="77777777" w:rsidR="00C57C9F" w:rsidRDefault="00C57C9F" w:rsidP="006F421D">
            <w:pPr>
              <w:pStyle w:val="3fins-table-figures"/>
              <w:jc w:val="right"/>
              <w:rPr>
                <w:rFonts w:cs="Times New Roman"/>
              </w:rPr>
            </w:pPr>
            <w:r>
              <w:rPr>
                <w:rFonts w:cs="Times New Roman"/>
              </w:rPr>
              <w:t xml:space="preserve">516 </w:t>
            </w:r>
          </w:p>
        </w:tc>
      </w:tr>
      <w:tr w:rsidR="00C57C9F" w14:paraId="28C53CAC" w14:textId="77777777" w:rsidTr="006F421D">
        <w:trPr>
          <w:divId w:val="1139883726"/>
        </w:trPr>
        <w:tc>
          <w:tcPr>
            <w:tcW w:w="7655" w:type="dxa"/>
            <w:vAlign w:val="center"/>
            <w:hideMark/>
          </w:tcPr>
          <w:p w14:paraId="39811DC8" w14:textId="77777777" w:rsidR="00C57C9F" w:rsidRDefault="00C57C9F">
            <w:pPr>
              <w:pStyle w:val="3fins-table"/>
              <w:rPr>
                <w:rFonts w:cs="Times New Roman"/>
              </w:rPr>
            </w:pPr>
            <w:r>
              <w:rPr>
                <w:rFonts w:cs="Times New Roman"/>
              </w:rPr>
              <w:t>Printing and postage</w:t>
            </w:r>
          </w:p>
        </w:tc>
        <w:tc>
          <w:tcPr>
            <w:tcW w:w="1387" w:type="dxa"/>
            <w:vAlign w:val="center"/>
            <w:hideMark/>
          </w:tcPr>
          <w:p w14:paraId="296063AA" w14:textId="77777777" w:rsidR="00C57C9F" w:rsidRDefault="00C57C9F" w:rsidP="006F421D">
            <w:pPr>
              <w:pStyle w:val="3fins-table-figures"/>
              <w:jc w:val="right"/>
              <w:rPr>
                <w:rFonts w:cs="Times New Roman"/>
              </w:rPr>
            </w:pPr>
            <w:r>
              <w:rPr>
                <w:rStyle w:val="fins-bold"/>
                <w:rFonts w:cs="Times New Roman"/>
              </w:rPr>
              <w:t xml:space="preserve">162 </w:t>
            </w:r>
          </w:p>
        </w:tc>
        <w:tc>
          <w:tcPr>
            <w:tcW w:w="1089" w:type="dxa"/>
            <w:vAlign w:val="center"/>
            <w:hideMark/>
          </w:tcPr>
          <w:p w14:paraId="71DC3AB6" w14:textId="77777777" w:rsidR="00C57C9F" w:rsidRDefault="00C57C9F" w:rsidP="006F421D">
            <w:pPr>
              <w:pStyle w:val="3fins-table-figures"/>
              <w:jc w:val="right"/>
              <w:rPr>
                <w:rFonts w:cs="Times New Roman"/>
              </w:rPr>
            </w:pPr>
            <w:r>
              <w:rPr>
                <w:rFonts w:cs="Times New Roman"/>
              </w:rPr>
              <w:t xml:space="preserve">117 </w:t>
            </w:r>
          </w:p>
        </w:tc>
      </w:tr>
      <w:tr w:rsidR="00C57C9F" w14:paraId="2BFC98E4" w14:textId="77777777" w:rsidTr="006F421D">
        <w:trPr>
          <w:divId w:val="1139883726"/>
        </w:trPr>
        <w:tc>
          <w:tcPr>
            <w:tcW w:w="7655" w:type="dxa"/>
            <w:vAlign w:val="center"/>
            <w:hideMark/>
          </w:tcPr>
          <w:p w14:paraId="31B56355" w14:textId="77777777" w:rsidR="00C57C9F" w:rsidRDefault="00C57C9F">
            <w:pPr>
              <w:pStyle w:val="3fins-table"/>
              <w:rPr>
                <w:rFonts w:cs="Times New Roman"/>
              </w:rPr>
            </w:pPr>
            <w:r>
              <w:rPr>
                <w:rFonts w:cs="Times New Roman"/>
              </w:rPr>
              <w:t>Property outgoings</w:t>
            </w:r>
          </w:p>
        </w:tc>
        <w:tc>
          <w:tcPr>
            <w:tcW w:w="1387" w:type="dxa"/>
            <w:vAlign w:val="center"/>
            <w:hideMark/>
          </w:tcPr>
          <w:p w14:paraId="16B08D59" w14:textId="77777777" w:rsidR="00C57C9F" w:rsidRDefault="00C57C9F" w:rsidP="006F421D">
            <w:pPr>
              <w:pStyle w:val="3fins-table-figures"/>
              <w:jc w:val="right"/>
              <w:rPr>
                <w:rFonts w:cs="Times New Roman"/>
              </w:rPr>
            </w:pPr>
            <w:r>
              <w:rPr>
                <w:rStyle w:val="fins-bold"/>
                <w:rFonts w:cs="Times New Roman"/>
              </w:rPr>
              <w:t>447</w:t>
            </w:r>
          </w:p>
        </w:tc>
        <w:tc>
          <w:tcPr>
            <w:tcW w:w="1089" w:type="dxa"/>
            <w:vAlign w:val="center"/>
            <w:hideMark/>
          </w:tcPr>
          <w:p w14:paraId="0E2B3E2A" w14:textId="77777777" w:rsidR="00C57C9F" w:rsidRDefault="00C57C9F" w:rsidP="006F421D">
            <w:pPr>
              <w:pStyle w:val="3fins-table-figures"/>
              <w:jc w:val="right"/>
              <w:rPr>
                <w:rFonts w:cs="Times New Roman"/>
              </w:rPr>
            </w:pPr>
            <w:r>
              <w:rPr>
                <w:rFonts w:cs="Times New Roman"/>
              </w:rPr>
              <w:t>138</w:t>
            </w:r>
          </w:p>
        </w:tc>
      </w:tr>
      <w:tr w:rsidR="00C57C9F" w14:paraId="2F669E72" w14:textId="77777777" w:rsidTr="006F421D">
        <w:trPr>
          <w:divId w:val="1139883726"/>
        </w:trPr>
        <w:tc>
          <w:tcPr>
            <w:tcW w:w="7655" w:type="dxa"/>
            <w:vAlign w:val="center"/>
            <w:hideMark/>
          </w:tcPr>
          <w:p w14:paraId="14822F2F" w14:textId="77777777" w:rsidR="00C57C9F" w:rsidRDefault="00C57C9F">
            <w:pPr>
              <w:pStyle w:val="3fins-table"/>
              <w:rPr>
                <w:rFonts w:cs="Times New Roman"/>
              </w:rPr>
            </w:pPr>
            <w:r>
              <w:rPr>
                <w:rFonts w:cs="Times New Roman"/>
              </w:rPr>
              <w:t>Other</w:t>
            </w:r>
          </w:p>
        </w:tc>
        <w:tc>
          <w:tcPr>
            <w:tcW w:w="1387" w:type="dxa"/>
            <w:tcBorders>
              <w:bottom w:val="single" w:sz="4" w:space="0" w:color="0D0D0D" w:themeColor="text1" w:themeTint="F2"/>
            </w:tcBorders>
            <w:vAlign w:val="center"/>
            <w:hideMark/>
          </w:tcPr>
          <w:p w14:paraId="6158D512" w14:textId="77777777" w:rsidR="00C57C9F" w:rsidRDefault="00C57C9F" w:rsidP="006F421D">
            <w:pPr>
              <w:pStyle w:val="3fins-table-figures"/>
              <w:jc w:val="right"/>
              <w:rPr>
                <w:rFonts w:cs="Times New Roman"/>
              </w:rPr>
            </w:pPr>
            <w:r>
              <w:rPr>
                <w:rStyle w:val="fins-bold"/>
                <w:rFonts w:cs="Times New Roman"/>
              </w:rPr>
              <w:t xml:space="preserve">881 </w:t>
            </w:r>
          </w:p>
        </w:tc>
        <w:tc>
          <w:tcPr>
            <w:tcW w:w="1089" w:type="dxa"/>
            <w:tcBorders>
              <w:bottom w:val="single" w:sz="4" w:space="0" w:color="0D0D0D" w:themeColor="text1" w:themeTint="F2"/>
            </w:tcBorders>
            <w:vAlign w:val="center"/>
            <w:hideMark/>
          </w:tcPr>
          <w:p w14:paraId="27F2F9D1" w14:textId="77777777" w:rsidR="00C57C9F" w:rsidRDefault="00C57C9F" w:rsidP="006F421D">
            <w:pPr>
              <w:pStyle w:val="3fins-table-figures"/>
              <w:jc w:val="right"/>
              <w:rPr>
                <w:rFonts w:cs="Times New Roman"/>
              </w:rPr>
            </w:pPr>
            <w:r>
              <w:rPr>
                <w:rFonts w:cs="Times New Roman"/>
              </w:rPr>
              <w:t>656</w:t>
            </w:r>
          </w:p>
        </w:tc>
      </w:tr>
      <w:tr w:rsidR="00C57C9F" w14:paraId="2AD25647" w14:textId="77777777" w:rsidTr="006F421D">
        <w:trPr>
          <w:divId w:val="1139883726"/>
        </w:trPr>
        <w:tc>
          <w:tcPr>
            <w:tcW w:w="7655" w:type="dxa"/>
            <w:vAlign w:val="center"/>
            <w:hideMark/>
          </w:tcPr>
          <w:p w14:paraId="0ED934E3" w14:textId="77777777" w:rsidR="00C57C9F" w:rsidRDefault="00C57C9F">
            <w:pPr>
              <w:pStyle w:val="3fins-table"/>
              <w:rPr>
                <w:rFonts w:cs="Times New Roman"/>
              </w:rPr>
            </w:pPr>
            <w:r>
              <w:rPr>
                <w:rStyle w:val="fins-bold"/>
                <w:rFonts w:cs="Times New Roman"/>
              </w:rPr>
              <w:t>Total goods and services</w:t>
            </w:r>
          </w:p>
        </w:tc>
        <w:tc>
          <w:tcPr>
            <w:tcW w:w="1387" w:type="dxa"/>
            <w:tcBorders>
              <w:top w:val="single" w:sz="4" w:space="0" w:color="0D0D0D" w:themeColor="text1" w:themeTint="F2"/>
              <w:bottom w:val="single" w:sz="4" w:space="0" w:color="0D0D0D" w:themeColor="text1" w:themeTint="F2"/>
            </w:tcBorders>
            <w:vAlign w:val="center"/>
            <w:hideMark/>
          </w:tcPr>
          <w:p w14:paraId="3DCEA828" w14:textId="77777777" w:rsidR="00C57C9F" w:rsidRDefault="00C57C9F" w:rsidP="006F421D">
            <w:pPr>
              <w:pStyle w:val="3fins-table-figures"/>
              <w:jc w:val="right"/>
              <w:rPr>
                <w:rFonts w:cs="Times New Roman"/>
              </w:rPr>
            </w:pPr>
            <w:r>
              <w:rPr>
                <w:rStyle w:val="fins-bold"/>
                <w:rFonts w:cs="Times New Roman"/>
              </w:rPr>
              <w:t xml:space="preserve">8,760 </w:t>
            </w:r>
          </w:p>
        </w:tc>
        <w:tc>
          <w:tcPr>
            <w:tcW w:w="1089" w:type="dxa"/>
            <w:tcBorders>
              <w:top w:val="single" w:sz="4" w:space="0" w:color="0D0D0D" w:themeColor="text1" w:themeTint="F2"/>
              <w:bottom w:val="single" w:sz="4" w:space="0" w:color="0D0D0D" w:themeColor="text1" w:themeTint="F2"/>
            </w:tcBorders>
            <w:vAlign w:val="center"/>
            <w:hideMark/>
          </w:tcPr>
          <w:p w14:paraId="3C15C925" w14:textId="77777777" w:rsidR="00C57C9F" w:rsidRDefault="00C57C9F" w:rsidP="006F421D">
            <w:pPr>
              <w:pStyle w:val="3fins-table-figures"/>
              <w:jc w:val="right"/>
              <w:rPr>
                <w:rFonts w:cs="Times New Roman"/>
              </w:rPr>
            </w:pPr>
            <w:r>
              <w:rPr>
                <w:rFonts w:cs="Times New Roman"/>
              </w:rPr>
              <w:t xml:space="preserve">6,346 </w:t>
            </w:r>
          </w:p>
        </w:tc>
      </w:tr>
      <w:tr w:rsidR="00C57C9F" w14:paraId="021F6C09" w14:textId="77777777" w:rsidTr="006F421D">
        <w:trPr>
          <w:divId w:val="1139883726"/>
        </w:trPr>
        <w:tc>
          <w:tcPr>
            <w:tcW w:w="7655" w:type="dxa"/>
            <w:vAlign w:val="center"/>
            <w:hideMark/>
          </w:tcPr>
          <w:p w14:paraId="6244A05B" w14:textId="77777777" w:rsidR="00C57C9F" w:rsidRDefault="00C57C9F">
            <w:pPr>
              <w:rPr>
                <w:rFonts w:eastAsia="Times New Roman" w:cs="Times New Roman"/>
              </w:rPr>
            </w:pPr>
          </w:p>
        </w:tc>
        <w:tc>
          <w:tcPr>
            <w:tcW w:w="1387" w:type="dxa"/>
            <w:tcBorders>
              <w:top w:val="single" w:sz="4" w:space="0" w:color="0D0D0D" w:themeColor="text1" w:themeTint="F2"/>
            </w:tcBorders>
            <w:vAlign w:val="center"/>
            <w:hideMark/>
          </w:tcPr>
          <w:p w14:paraId="7DC8B698" w14:textId="77777777" w:rsidR="00C57C9F" w:rsidRDefault="00C57C9F" w:rsidP="006F421D">
            <w:pPr>
              <w:jc w:val="right"/>
              <w:rPr>
                <w:rFonts w:eastAsia="Times New Roman" w:cs="Times New Roman"/>
              </w:rPr>
            </w:pPr>
          </w:p>
        </w:tc>
        <w:tc>
          <w:tcPr>
            <w:tcW w:w="1089" w:type="dxa"/>
            <w:tcBorders>
              <w:top w:val="single" w:sz="4" w:space="0" w:color="0D0D0D" w:themeColor="text1" w:themeTint="F2"/>
            </w:tcBorders>
            <w:vAlign w:val="center"/>
            <w:hideMark/>
          </w:tcPr>
          <w:p w14:paraId="1811E8DF" w14:textId="77777777" w:rsidR="00C57C9F" w:rsidRDefault="00C57C9F" w:rsidP="006F421D">
            <w:pPr>
              <w:jc w:val="right"/>
              <w:rPr>
                <w:rFonts w:eastAsia="Times New Roman" w:cs="Times New Roman"/>
              </w:rPr>
            </w:pPr>
          </w:p>
        </w:tc>
      </w:tr>
      <w:tr w:rsidR="00C57C9F" w14:paraId="3243A36A" w14:textId="77777777" w:rsidTr="006F421D">
        <w:trPr>
          <w:divId w:val="1139883726"/>
        </w:trPr>
        <w:tc>
          <w:tcPr>
            <w:tcW w:w="7655" w:type="dxa"/>
            <w:vAlign w:val="center"/>
            <w:hideMark/>
          </w:tcPr>
          <w:p w14:paraId="0A805184" w14:textId="77777777" w:rsidR="00C57C9F" w:rsidRDefault="00C57C9F">
            <w:pPr>
              <w:pStyle w:val="3fins-table"/>
              <w:rPr>
                <w:rFonts w:cs="Times New Roman"/>
              </w:rPr>
            </w:pPr>
            <w:r>
              <w:rPr>
                <w:rStyle w:val="fins-bold"/>
                <w:rFonts w:cs="Times New Roman"/>
              </w:rPr>
              <w:t>Goods and services are made up of:</w:t>
            </w:r>
          </w:p>
        </w:tc>
        <w:tc>
          <w:tcPr>
            <w:tcW w:w="1387" w:type="dxa"/>
            <w:vAlign w:val="center"/>
            <w:hideMark/>
          </w:tcPr>
          <w:p w14:paraId="77C3E9ED" w14:textId="77777777" w:rsidR="00C57C9F" w:rsidRDefault="00C57C9F" w:rsidP="006F421D">
            <w:pPr>
              <w:jc w:val="right"/>
              <w:rPr>
                <w:rFonts w:eastAsia="Times New Roman" w:cs="Times New Roman"/>
              </w:rPr>
            </w:pPr>
          </w:p>
        </w:tc>
        <w:tc>
          <w:tcPr>
            <w:tcW w:w="1089" w:type="dxa"/>
            <w:vAlign w:val="center"/>
            <w:hideMark/>
          </w:tcPr>
          <w:p w14:paraId="31F22A0B" w14:textId="77777777" w:rsidR="00C57C9F" w:rsidRDefault="00C57C9F" w:rsidP="006F421D">
            <w:pPr>
              <w:jc w:val="right"/>
              <w:rPr>
                <w:rFonts w:eastAsia="Times New Roman" w:cs="Times New Roman"/>
              </w:rPr>
            </w:pPr>
          </w:p>
        </w:tc>
      </w:tr>
      <w:tr w:rsidR="00C57C9F" w14:paraId="1F4D1899" w14:textId="77777777" w:rsidTr="006F421D">
        <w:trPr>
          <w:divId w:val="1139883726"/>
        </w:trPr>
        <w:tc>
          <w:tcPr>
            <w:tcW w:w="7655" w:type="dxa"/>
            <w:vAlign w:val="center"/>
            <w:hideMark/>
          </w:tcPr>
          <w:p w14:paraId="67E0F4EB" w14:textId="77777777" w:rsidR="00C57C9F" w:rsidRDefault="00C57C9F">
            <w:pPr>
              <w:pStyle w:val="3fins-table"/>
              <w:rPr>
                <w:rFonts w:cs="Times New Roman"/>
              </w:rPr>
            </w:pPr>
            <w:r>
              <w:rPr>
                <w:rFonts w:cs="Times New Roman"/>
              </w:rPr>
              <w:t>Provision of goods – external parties</w:t>
            </w:r>
          </w:p>
        </w:tc>
        <w:tc>
          <w:tcPr>
            <w:tcW w:w="1387" w:type="dxa"/>
            <w:vAlign w:val="center"/>
            <w:hideMark/>
          </w:tcPr>
          <w:p w14:paraId="3C20CC4A" w14:textId="77777777" w:rsidR="00C57C9F" w:rsidRDefault="00C57C9F" w:rsidP="006F421D">
            <w:pPr>
              <w:pStyle w:val="3fins-table-figures"/>
              <w:jc w:val="right"/>
              <w:rPr>
                <w:rFonts w:cs="Times New Roman"/>
              </w:rPr>
            </w:pPr>
            <w:r>
              <w:rPr>
                <w:rStyle w:val="fins-bold"/>
                <w:rFonts w:cs="Times New Roman"/>
              </w:rPr>
              <w:t xml:space="preserve">189 </w:t>
            </w:r>
          </w:p>
        </w:tc>
        <w:tc>
          <w:tcPr>
            <w:tcW w:w="1089" w:type="dxa"/>
            <w:vAlign w:val="center"/>
            <w:hideMark/>
          </w:tcPr>
          <w:p w14:paraId="514A0275" w14:textId="77777777" w:rsidR="00C57C9F" w:rsidRDefault="00C57C9F" w:rsidP="006F421D">
            <w:pPr>
              <w:pStyle w:val="3fins-table-figures"/>
              <w:jc w:val="right"/>
              <w:rPr>
                <w:rFonts w:cs="Times New Roman"/>
              </w:rPr>
            </w:pPr>
            <w:r>
              <w:rPr>
                <w:rFonts w:cs="Times New Roman"/>
              </w:rPr>
              <w:t xml:space="preserve">127 </w:t>
            </w:r>
          </w:p>
        </w:tc>
      </w:tr>
      <w:tr w:rsidR="00C57C9F" w14:paraId="6048A9F6" w14:textId="77777777" w:rsidTr="006F421D">
        <w:trPr>
          <w:divId w:val="1139883726"/>
        </w:trPr>
        <w:tc>
          <w:tcPr>
            <w:tcW w:w="7655" w:type="dxa"/>
            <w:vAlign w:val="center"/>
            <w:hideMark/>
          </w:tcPr>
          <w:p w14:paraId="6BB5741B" w14:textId="77777777" w:rsidR="00C57C9F" w:rsidRDefault="00C57C9F">
            <w:pPr>
              <w:pStyle w:val="3fins-table"/>
              <w:rPr>
                <w:rFonts w:cs="Times New Roman"/>
              </w:rPr>
            </w:pPr>
            <w:r>
              <w:rPr>
                <w:rFonts w:cs="Times New Roman"/>
              </w:rPr>
              <w:t>Rendering of services – related parties</w:t>
            </w:r>
          </w:p>
        </w:tc>
        <w:tc>
          <w:tcPr>
            <w:tcW w:w="1387" w:type="dxa"/>
            <w:vAlign w:val="center"/>
            <w:hideMark/>
          </w:tcPr>
          <w:p w14:paraId="2B341770" w14:textId="77777777" w:rsidR="00C57C9F" w:rsidRDefault="00C57C9F" w:rsidP="006F421D">
            <w:pPr>
              <w:pStyle w:val="3fins-table-figures"/>
              <w:jc w:val="right"/>
              <w:rPr>
                <w:rFonts w:cs="Times New Roman"/>
              </w:rPr>
            </w:pPr>
            <w:r>
              <w:rPr>
                <w:rStyle w:val="fins-bold"/>
                <w:rFonts w:cs="Times New Roman"/>
              </w:rPr>
              <w:t xml:space="preserve">1,054 </w:t>
            </w:r>
          </w:p>
        </w:tc>
        <w:tc>
          <w:tcPr>
            <w:tcW w:w="1089" w:type="dxa"/>
            <w:vAlign w:val="center"/>
            <w:hideMark/>
          </w:tcPr>
          <w:p w14:paraId="0873DF42" w14:textId="77777777" w:rsidR="00C57C9F" w:rsidRDefault="00C57C9F" w:rsidP="006F421D">
            <w:pPr>
              <w:pStyle w:val="3fins-table-figures"/>
              <w:jc w:val="right"/>
              <w:rPr>
                <w:rFonts w:cs="Times New Roman"/>
              </w:rPr>
            </w:pPr>
            <w:r>
              <w:rPr>
                <w:rFonts w:cs="Times New Roman"/>
              </w:rPr>
              <w:t xml:space="preserve">1,321 </w:t>
            </w:r>
          </w:p>
        </w:tc>
      </w:tr>
      <w:tr w:rsidR="00C57C9F" w14:paraId="364D38C9" w14:textId="77777777" w:rsidTr="006F421D">
        <w:trPr>
          <w:divId w:val="1139883726"/>
        </w:trPr>
        <w:tc>
          <w:tcPr>
            <w:tcW w:w="7655" w:type="dxa"/>
            <w:vAlign w:val="center"/>
            <w:hideMark/>
          </w:tcPr>
          <w:p w14:paraId="5EAD2B0A" w14:textId="77777777" w:rsidR="00C57C9F" w:rsidRDefault="00C57C9F">
            <w:pPr>
              <w:pStyle w:val="3fins-table"/>
              <w:rPr>
                <w:rFonts w:cs="Times New Roman"/>
              </w:rPr>
            </w:pPr>
            <w:r>
              <w:rPr>
                <w:rFonts w:cs="Times New Roman"/>
              </w:rPr>
              <w:t>Rendering of services – external parties</w:t>
            </w:r>
          </w:p>
        </w:tc>
        <w:tc>
          <w:tcPr>
            <w:tcW w:w="1387" w:type="dxa"/>
            <w:tcBorders>
              <w:bottom w:val="single" w:sz="4" w:space="0" w:color="0D0D0D" w:themeColor="text1" w:themeTint="F2"/>
            </w:tcBorders>
            <w:vAlign w:val="center"/>
            <w:hideMark/>
          </w:tcPr>
          <w:p w14:paraId="34591552" w14:textId="77777777" w:rsidR="00C57C9F" w:rsidRDefault="00C57C9F" w:rsidP="006F421D">
            <w:pPr>
              <w:pStyle w:val="3fins-table-figures"/>
              <w:jc w:val="right"/>
              <w:rPr>
                <w:rFonts w:cs="Times New Roman"/>
              </w:rPr>
            </w:pPr>
            <w:r>
              <w:rPr>
                <w:rStyle w:val="fins-bold"/>
                <w:rFonts w:cs="Times New Roman"/>
              </w:rPr>
              <w:t xml:space="preserve">7,517 </w:t>
            </w:r>
          </w:p>
        </w:tc>
        <w:tc>
          <w:tcPr>
            <w:tcW w:w="1089" w:type="dxa"/>
            <w:tcBorders>
              <w:bottom w:val="single" w:sz="4" w:space="0" w:color="0D0D0D" w:themeColor="text1" w:themeTint="F2"/>
            </w:tcBorders>
            <w:vAlign w:val="center"/>
            <w:hideMark/>
          </w:tcPr>
          <w:p w14:paraId="5893B9D6" w14:textId="77777777" w:rsidR="00C57C9F" w:rsidRDefault="00C57C9F" w:rsidP="006F421D">
            <w:pPr>
              <w:pStyle w:val="3fins-table-figures"/>
              <w:jc w:val="right"/>
              <w:rPr>
                <w:rFonts w:cs="Times New Roman"/>
              </w:rPr>
            </w:pPr>
            <w:r>
              <w:rPr>
                <w:rFonts w:cs="Times New Roman"/>
              </w:rPr>
              <w:t xml:space="preserve">4,898 </w:t>
            </w:r>
          </w:p>
        </w:tc>
      </w:tr>
      <w:tr w:rsidR="00C57C9F" w14:paraId="2F779787" w14:textId="77777777" w:rsidTr="006F421D">
        <w:trPr>
          <w:divId w:val="1139883726"/>
        </w:trPr>
        <w:tc>
          <w:tcPr>
            <w:tcW w:w="7655" w:type="dxa"/>
            <w:vAlign w:val="center"/>
            <w:hideMark/>
          </w:tcPr>
          <w:p w14:paraId="4B883C07" w14:textId="77777777" w:rsidR="00C57C9F" w:rsidRDefault="00C57C9F">
            <w:pPr>
              <w:pStyle w:val="3fins-table"/>
              <w:rPr>
                <w:rFonts w:cs="Times New Roman"/>
              </w:rPr>
            </w:pPr>
            <w:r>
              <w:rPr>
                <w:rStyle w:val="fins-bold"/>
                <w:rFonts w:cs="Times New Roman"/>
              </w:rPr>
              <w:t>Total goods and services</w:t>
            </w:r>
          </w:p>
        </w:tc>
        <w:tc>
          <w:tcPr>
            <w:tcW w:w="1387" w:type="dxa"/>
            <w:tcBorders>
              <w:top w:val="single" w:sz="4" w:space="0" w:color="0D0D0D" w:themeColor="text1" w:themeTint="F2"/>
              <w:bottom w:val="single" w:sz="4" w:space="0" w:color="0D0D0D" w:themeColor="text1" w:themeTint="F2"/>
            </w:tcBorders>
            <w:vAlign w:val="center"/>
            <w:hideMark/>
          </w:tcPr>
          <w:p w14:paraId="4473BD8C" w14:textId="77777777" w:rsidR="00C57C9F" w:rsidRDefault="00C57C9F" w:rsidP="006F421D">
            <w:pPr>
              <w:pStyle w:val="3fins-table-figures"/>
              <w:jc w:val="right"/>
              <w:rPr>
                <w:rFonts w:cs="Times New Roman"/>
              </w:rPr>
            </w:pPr>
            <w:r>
              <w:rPr>
                <w:rStyle w:val="fins-bold"/>
                <w:rFonts w:cs="Times New Roman"/>
              </w:rPr>
              <w:t xml:space="preserve">8,760 </w:t>
            </w:r>
          </w:p>
        </w:tc>
        <w:tc>
          <w:tcPr>
            <w:tcW w:w="1089" w:type="dxa"/>
            <w:tcBorders>
              <w:top w:val="single" w:sz="4" w:space="0" w:color="0D0D0D" w:themeColor="text1" w:themeTint="F2"/>
              <w:bottom w:val="single" w:sz="4" w:space="0" w:color="0D0D0D" w:themeColor="text1" w:themeTint="F2"/>
            </w:tcBorders>
            <w:vAlign w:val="center"/>
            <w:hideMark/>
          </w:tcPr>
          <w:p w14:paraId="273B7801" w14:textId="77777777" w:rsidR="00C57C9F" w:rsidRDefault="00C57C9F" w:rsidP="006F421D">
            <w:pPr>
              <w:pStyle w:val="3fins-table-figures"/>
              <w:jc w:val="right"/>
              <w:rPr>
                <w:rFonts w:cs="Times New Roman"/>
              </w:rPr>
            </w:pPr>
            <w:r>
              <w:rPr>
                <w:rFonts w:cs="Times New Roman"/>
              </w:rPr>
              <w:t xml:space="preserve">6,346 </w:t>
            </w:r>
          </w:p>
        </w:tc>
      </w:tr>
      <w:tr w:rsidR="00C57C9F" w14:paraId="440CEAD4" w14:textId="77777777" w:rsidTr="006F421D">
        <w:trPr>
          <w:divId w:val="1139883726"/>
        </w:trPr>
        <w:tc>
          <w:tcPr>
            <w:tcW w:w="7655" w:type="dxa"/>
            <w:vAlign w:val="center"/>
            <w:hideMark/>
          </w:tcPr>
          <w:p w14:paraId="19FCF5BB" w14:textId="77777777" w:rsidR="00C57C9F" w:rsidRDefault="00C57C9F">
            <w:pPr>
              <w:rPr>
                <w:rFonts w:eastAsia="Times New Roman" w:cs="Times New Roman"/>
              </w:rPr>
            </w:pPr>
          </w:p>
        </w:tc>
        <w:tc>
          <w:tcPr>
            <w:tcW w:w="1387" w:type="dxa"/>
            <w:tcBorders>
              <w:top w:val="single" w:sz="4" w:space="0" w:color="0D0D0D" w:themeColor="text1" w:themeTint="F2"/>
            </w:tcBorders>
            <w:vAlign w:val="center"/>
            <w:hideMark/>
          </w:tcPr>
          <w:p w14:paraId="186BB8B0" w14:textId="77777777" w:rsidR="00C57C9F" w:rsidRDefault="00C57C9F" w:rsidP="006F421D">
            <w:pPr>
              <w:jc w:val="right"/>
              <w:rPr>
                <w:rFonts w:eastAsia="Times New Roman" w:cs="Times New Roman"/>
              </w:rPr>
            </w:pPr>
          </w:p>
        </w:tc>
        <w:tc>
          <w:tcPr>
            <w:tcW w:w="1089" w:type="dxa"/>
            <w:tcBorders>
              <w:top w:val="single" w:sz="4" w:space="0" w:color="0D0D0D" w:themeColor="text1" w:themeTint="F2"/>
            </w:tcBorders>
            <w:vAlign w:val="center"/>
            <w:hideMark/>
          </w:tcPr>
          <w:p w14:paraId="779902CA" w14:textId="77777777" w:rsidR="00C57C9F" w:rsidRDefault="00C57C9F" w:rsidP="006F421D">
            <w:pPr>
              <w:jc w:val="right"/>
              <w:rPr>
                <w:rFonts w:eastAsia="Times New Roman" w:cs="Times New Roman"/>
              </w:rPr>
            </w:pPr>
          </w:p>
        </w:tc>
      </w:tr>
      <w:tr w:rsidR="00C57C9F" w14:paraId="1215E95B" w14:textId="77777777" w:rsidTr="006F421D">
        <w:trPr>
          <w:divId w:val="1139883726"/>
        </w:trPr>
        <w:tc>
          <w:tcPr>
            <w:tcW w:w="7655" w:type="dxa"/>
            <w:vAlign w:val="center"/>
            <w:hideMark/>
          </w:tcPr>
          <w:p w14:paraId="3E99B323" w14:textId="77777777" w:rsidR="00C57C9F" w:rsidRDefault="00C57C9F">
            <w:pPr>
              <w:pStyle w:val="3fins-table"/>
              <w:rPr>
                <w:rFonts w:cs="Times New Roman"/>
              </w:rPr>
            </w:pPr>
            <w:r>
              <w:rPr>
                <w:rStyle w:val="fins-bold"/>
                <w:rFonts w:cs="Times New Roman"/>
              </w:rPr>
              <w:t>Other supplier expenses</w:t>
            </w:r>
          </w:p>
        </w:tc>
        <w:tc>
          <w:tcPr>
            <w:tcW w:w="1387" w:type="dxa"/>
            <w:vAlign w:val="center"/>
            <w:hideMark/>
          </w:tcPr>
          <w:p w14:paraId="297A23AD" w14:textId="77777777" w:rsidR="00C57C9F" w:rsidRDefault="00C57C9F" w:rsidP="006F421D">
            <w:pPr>
              <w:jc w:val="right"/>
              <w:rPr>
                <w:rFonts w:eastAsia="Times New Roman" w:cs="Times New Roman"/>
              </w:rPr>
            </w:pPr>
          </w:p>
        </w:tc>
        <w:tc>
          <w:tcPr>
            <w:tcW w:w="1089" w:type="dxa"/>
            <w:vAlign w:val="center"/>
            <w:hideMark/>
          </w:tcPr>
          <w:p w14:paraId="4DB77525" w14:textId="77777777" w:rsidR="00C57C9F" w:rsidRDefault="00C57C9F" w:rsidP="006F421D">
            <w:pPr>
              <w:jc w:val="right"/>
              <w:rPr>
                <w:rFonts w:eastAsia="Times New Roman" w:cs="Times New Roman"/>
              </w:rPr>
            </w:pPr>
          </w:p>
        </w:tc>
      </w:tr>
      <w:tr w:rsidR="00C57C9F" w14:paraId="70A48559" w14:textId="77777777" w:rsidTr="006F421D">
        <w:trPr>
          <w:divId w:val="1139883726"/>
        </w:trPr>
        <w:tc>
          <w:tcPr>
            <w:tcW w:w="7655" w:type="dxa"/>
            <w:vAlign w:val="center"/>
            <w:hideMark/>
          </w:tcPr>
          <w:p w14:paraId="6DA60486" w14:textId="77777777" w:rsidR="00C57C9F" w:rsidRDefault="00C57C9F">
            <w:pPr>
              <w:pStyle w:val="3fins-table"/>
              <w:rPr>
                <w:rFonts w:cs="Times New Roman"/>
              </w:rPr>
            </w:pPr>
            <w:r>
              <w:rPr>
                <w:rFonts w:cs="Times New Roman"/>
              </w:rPr>
              <w:t>Operating lease rentals</w:t>
            </w:r>
          </w:p>
        </w:tc>
        <w:tc>
          <w:tcPr>
            <w:tcW w:w="1387" w:type="dxa"/>
            <w:vAlign w:val="center"/>
            <w:hideMark/>
          </w:tcPr>
          <w:p w14:paraId="150878ED" w14:textId="77777777" w:rsidR="00C57C9F" w:rsidRDefault="00C57C9F" w:rsidP="006F421D">
            <w:pPr>
              <w:jc w:val="right"/>
              <w:rPr>
                <w:rFonts w:eastAsia="Times New Roman" w:cs="Times New Roman"/>
              </w:rPr>
            </w:pPr>
          </w:p>
        </w:tc>
        <w:tc>
          <w:tcPr>
            <w:tcW w:w="1089" w:type="dxa"/>
            <w:vAlign w:val="center"/>
            <w:hideMark/>
          </w:tcPr>
          <w:p w14:paraId="0113D379" w14:textId="77777777" w:rsidR="00C57C9F" w:rsidRDefault="00C57C9F" w:rsidP="006F421D">
            <w:pPr>
              <w:jc w:val="right"/>
              <w:rPr>
                <w:rFonts w:eastAsia="Times New Roman" w:cs="Times New Roman"/>
              </w:rPr>
            </w:pPr>
          </w:p>
        </w:tc>
      </w:tr>
      <w:tr w:rsidR="00C57C9F" w14:paraId="4B77A83A" w14:textId="77777777" w:rsidTr="006F421D">
        <w:trPr>
          <w:divId w:val="1139883726"/>
        </w:trPr>
        <w:tc>
          <w:tcPr>
            <w:tcW w:w="7655" w:type="dxa"/>
            <w:vAlign w:val="center"/>
            <w:hideMark/>
          </w:tcPr>
          <w:p w14:paraId="729C909B" w14:textId="77777777" w:rsidR="00C57C9F" w:rsidRDefault="00C57C9F" w:rsidP="006F421D">
            <w:pPr>
              <w:pStyle w:val="3fins-table"/>
              <w:ind w:left="567"/>
              <w:rPr>
                <w:rFonts w:cs="Times New Roman"/>
              </w:rPr>
            </w:pPr>
            <w:r>
              <w:rPr>
                <w:rFonts w:cs="Times New Roman"/>
              </w:rPr>
              <w:t>Minimum lease payments – external parties</w:t>
            </w:r>
          </w:p>
        </w:tc>
        <w:tc>
          <w:tcPr>
            <w:tcW w:w="1387" w:type="dxa"/>
            <w:vAlign w:val="center"/>
            <w:hideMark/>
          </w:tcPr>
          <w:p w14:paraId="7B6477A0" w14:textId="77777777" w:rsidR="00C57C9F" w:rsidRDefault="00C57C9F" w:rsidP="006F421D">
            <w:pPr>
              <w:pStyle w:val="3fins-table-figures"/>
              <w:jc w:val="right"/>
              <w:rPr>
                <w:rFonts w:cs="Times New Roman"/>
              </w:rPr>
            </w:pPr>
            <w:r>
              <w:rPr>
                <w:rStyle w:val="fins-bold"/>
                <w:rFonts w:cs="Times New Roman"/>
              </w:rPr>
              <w:t xml:space="preserve">672 </w:t>
            </w:r>
          </w:p>
        </w:tc>
        <w:tc>
          <w:tcPr>
            <w:tcW w:w="1089" w:type="dxa"/>
            <w:vAlign w:val="center"/>
            <w:hideMark/>
          </w:tcPr>
          <w:p w14:paraId="584E35ED" w14:textId="77777777" w:rsidR="00C57C9F" w:rsidRDefault="00C57C9F" w:rsidP="006F421D">
            <w:pPr>
              <w:pStyle w:val="3fins-table-figures"/>
              <w:jc w:val="right"/>
              <w:rPr>
                <w:rFonts w:cs="Times New Roman"/>
              </w:rPr>
            </w:pPr>
            <w:r>
              <w:rPr>
                <w:rFonts w:cs="Times New Roman"/>
              </w:rPr>
              <w:t xml:space="preserve">53 </w:t>
            </w:r>
          </w:p>
        </w:tc>
      </w:tr>
      <w:tr w:rsidR="00C57C9F" w14:paraId="69D7F263" w14:textId="77777777" w:rsidTr="006F421D">
        <w:trPr>
          <w:divId w:val="1139883726"/>
        </w:trPr>
        <w:tc>
          <w:tcPr>
            <w:tcW w:w="7655" w:type="dxa"/>
            <w:vAlign w:val="center"/>
            <w:hideMark/>
          </w:tcPr>
          <w:p w14:paraId="487D9ED3" w14:textId="77777777" w:rsidR="00C57C9F" w:rsidRDefault="00C57C9F" w:rsidP="006F421D">
            <w:pPr>
              <w:pStyle w:val="3fins-table"/>
              <w:ind w:left="567"/>
              <w:rPr>
                <w:rFonts w:cs="Times New Roman"/>
              </w:rPr>
            </w:pPr>
            <w:r>
              <w:rPr>
                <w:rFonts w:cs="Times New Roman"/>
              </w:rPr>
              <w:t>Sublease – related parties</w:t>
            </w:r>
          </w:p>
        </w:tc>
        <w:tc>
          <w:tcPr>
            <w:tcW w:w="1387" w:type="dxa"/>
            <w:vAlign w:val="center"/>
            <w:hideMark/>
          </w:tcPr>
          <w:p w14:paraId="1642D1C2" w14:textId="77777777" w:rsidR="00C57C9F" w:rsidRDefault="00C57C9F" w:rsidP="006F421D">
            <w:pPr>
              <w:pStyle w:val="3fins-table-figures"/>
              <w:jc w:val="right"/>
              <w:rPr>
                <w:rFonts w:cs="Times New Roman"/>
              </w:rPr>
            </w:pPr>
            <w:r>
              <w:rPr>
                <w:rStyle w:val="fins-bold"/>
                <w:rFonts w:cs="Times New Roman"/>
              </w:rPr>
              <w:t xml:space="preserve">452 </w:t>
            </w:r>
          </w:p>
        </w:tc>
        <w:tc>
          <w:tcPr>
            <w:tcW w:w="1089" w:type="dxa"/>
            <w:vAlign w:val="center"/>
            <w:hideMark/>
          </w:tcPr>
          <w:p w14:paraId="1C75AF6F" w14:textId="77777777" w:rsidR="00C57C9F" w:rsidRDefault="00C57C9F" w:rsidP="006F421D">
            <w:pPr>
              <w:pStyle w:val="3fins-table-figures"/>
              <w:jc w:val="right"/>
              <w:rPr>
                <w:rFonts w:cs="Times New Roman"/>
              </w:rPr>
            </w:pPr>
            <w:r>
              <w:rPr>
                <w:rFonts w:cs="Times New Roman"/>
              </w:rPr>
              <w:t xml:space="preserve">651 </w:t>
            </w:r>
          </w:p>
        </w:tc>
      </w:tr>
      <w:tr w:rsidR="00C57C9F" w14:paraId="70CF884A" w14:textId="77777777" w:rsidTr="006F421D">
        <w:trPr>
          <w:divId w:val="1139883726"/>
        </w:trPr>
        <w:tc>
          <w:tcPr>
            <w:tcW w:w="7655" w:type="dxa"/>
            <w:vAlign w:val="center"/>
            <w:hideMark/>
          </w:tcPr>
          <w:p w14:paraId="1C7AC198" w14:textId="77777777" w:rsidR="00C57C9F" w:rsidRDefault="00C57C9F">
            <w:pPr>
              <w:pStyle w:val="3fins-table"/>
              <w:rPr>
                <w:rFonts w:cs="Times New Roman"/>
              </w:rPr>
            </w:pPr>
            <w:r>
              <w:rPr>
                <w:rFonts w:cs="Times New Roman"/>
              </w:rPr>
              <w:t>Workers compensation expenses</w:t>
            </w:r>
          </w:p>
        </w:tc>
        <w:tc>
          <w:tcPr>
            <w:tcW w:w="1387" w:type="dxa"/>
            <w:tcBorders>
              <w:bottom w:val="single" w:sz="4" w:space="0" w:color="0D0D0D" w:themeColor="text1" w:themeTint="F2"/>
            </w:tcBorders>
            <w:vAlign w:val="center"/>
            <w:hideMark/>
          </w:tcPr>
          <w:p w14:paraId="2C61A0D6" w14:textId="77777777" w:rsidR="00C57C9F" w:rsidRDefault="00C57C9F" w:rsidP="006F421D">
            <w:pPr>
              <w:pStyle w:val="3fins-table-figures"/>
              <w:jc w:val="right"/>
              <w:rPr>
                <w:rFonts w:cs="Times New Roman"/>
              </w:rPr>
            </w:pPr>
            <w:r>
              <w:rPr>
                <w:rStyle w:val="fins-bold"/>
                <w:rFonts w:cs="Times New Roman"/>
              </w:rPr>
              <w:t xml:space="preserve">93 </w:t>
            </w:r>
          </w:p>
        </w:tc>
        <w:tc>
          <w:tcPr>
            <w:tcW w:w="1089" w:type="dxa"/>
            <w:tcBorders>
              <w:bottom w:val="single" w:sz="4" w:space="0" w:color="0D0D0D" w:themeColor="text1" w:themeTint="F2"/>
            </w:tcBorders>
            <w:vAlign w:val="center"/>
            <w:hideMark/>
          </w:tcPr>
          <w:p w14:paraId="3864098F" w14:textId="77777777" w:rsidR="00C57C9F" w:rsidRDefault="00C57C9F" w:rsidP="006F421D">
            <w:pPr>
              <w:pStyle w:val="3fins-table-figures"/>
              <w:jc w:val="right"/>
              <w:rPr>
                <w:rFonts w:cs="Times New Roman"/>
              </w:rPr>
            </w:pPr>
            <w:r>
              <w:rPr>
                <w:rFonts w:cs="Times New Roman"/>
              </w:rPr>
              <w:t xml:space="preserve">69 </w:t>
            </w:r>
          </w:p>
        </w:tc>
      </w:tr>
      <w:tr w:rsidR="00C57C9F" w14:paraId="7885DF40" w14:textId="77777777" w:rsidTr="006F421D">
        <w:trPr>
          <w:divId w:val="1139883726"/>
        </w:trPr>
        <w:tc>
          <w:tcPr>
            <w:tcW w:w="7655" w:type="dxa"/>
            <w:vAlign w:val="center"/>
            <w:hideMark/>
          </w:tcPr>
          <w:p w14:paraId="64AC7AD0" w14:textId="77777777" w:rsidR="00C57C9F" w:rsidRDefault="00C57C9F">
            <w:pPr>
              <w:pStyle w:val="3fins-table"/>
              <w:rPr>
                <w:rFonts w:cs="Times New Roman"/>
              </w:rPr>
            </w:pPr>
            <w:r>
              <w:rPr>
                <w:rStyle w:val="fins-bold"/>
                <w:rFonts w:cs="Times New Roman"/>
              </w:rPr>
              <w:t>Total other supplier expenses</w:t>
            </w:r>
          </w:p>
        </w:tc>
        <w:tc>
          <w:tcPr>
            <w:tcW w:w="1387" w:type="dxa"/>
            <w:tcBorders>
              <w:top w:val="single" w:sz="4" w:space="0" w:color="0D0D0D" w:themeColor="text1" w:themeTint="F2"/>
              <w:bottom w:val="single" w:sz="4" w:space="0" w:color="0D0D0D" w:themeColor="text1" w:themeTint="F2"/>
            </w:tcBorders>
            <w:vAlign w:val="center"/>
            <w:hideMark/>
          </w:tcPr>
          <w:p w14:paraId="47F0682F" w14:textId="77777777" w:rsidR="00C57C9F" w:rsidRDefault="00C57C9F" w:rsidP="006F421D">
            <w:pPr>
              <w:pStyle w:val="3fins-table-figures"/>
              <w:jc w:val="right"/>
              <w:rPr>
                <w:rFonts w:cs="Times New Roman"/>
              </w:rPr>
            </w:pPr>
            <w:r>
              <w:rPr>
                <w:rStyle w:val="fins-bold"/>
                <w:rFonts w:cs="Times New Roman"/>
              </w:rPr>
              <w:t xml:space="preserve">1,217 </w:t>
            </w:r>
          </w:p>
        </w:tc>
        <w:tc>
          <w:tcPr>
            <w:tcW w:w="1089" w:type="dxa"/>
            <w:tcBorders>
              <w:top w:val="single" w:sz="4" w:space="0" w:color="0D0D0D" w:themeColor="text1" w:themeTint="F2"/>
              <w:bottom w:val="single" w:sz="4" w:space="0" w:color="0D0D0D" w:themeColor="text1" w:themeTint="F2"/>
            </w:tcBorders>
            <w:vAlign w:val="center"/>
            <w:hideMark/>
          </w:tcPr>
          <w:p w14:paraId="6CD9BF1E" w14:textId="77777777" w:rsidR="00C57C9F" w:rsidRDefault="00C57C9F" w:rsidP="006F421D">
            <w:pPr>
              <w:pStyle w:val="3fins-table-figures"/>
              <w:jc w:val="right"/>
              <w:rPr>
                <w:rFonts w:cs="Times New Roman"/>
              </w:rPr>
            </w:pPr>
            <w:r>
              <w:rPr>
                <w:rFonts w:cs="Times New Roman"/>
              </w:rPr>
              <w:t xml:space="preserve">773 </w:t>
            </w:r>
          </w:p>
        </w:tc>
      </w:tr>
      <w:tr w:rsidR="00C57C9F" w14:paraId="198D1E00" w14:textId="77777777" w:rsidTr="006F421D">
        <w:trPr>
          <w:divId w:val="1139883726"/>
        </w:trPr>
        <w:tc>
          <w:tcPr>
            <w:tcW w:w="7655" w:type="dxa"/>
            <w:vAlign w:val="center"/>
            <w:hideMark/>
          </w:tcPr>
          <w:p w14:paraId="42D2961B" w14:textId="77777777" w:rsidR="00C57C9F" w:rsidRDefault="00C57C9F">
            <w:pPr>
              <w:pStyle w:val="3fins-table"/>
              <w:rPr>
                <w:rFonts w:cs="Times New Roman"/>
              </w:rPr>
            </w:pPr>
            <w:r>
              <w:rPr>
                <w:rStyle w:val="fins-bold"/>
                <w:rFonts w:cs="Times New Roman"/>
              </w:rPr>
              <w:t>Total supplier expenses</w:t>
            </w:r>
          </w:p>
        </w:tc>
        <w:tc>
          <w:tcPr>
            <w:tcW w:w="1387" w:type="dxa"/>
            <w:tcBorders>
              <w:top w:val="single" w:sz="4" w:space="0" w:color="0D0D0D" w:themeColor="text1" w:themeTint="F2"/>
              <w:bottom w:val="single" w:sz="4" w:space="0" w:color="0D0D0D" w:themeColor="text1" w:themeTint="F2"/>
            </w:tcBorders>
            <w:vAlign w:val="center"/>
            <w:hideMark/>
          </w:tcPr>
          <w:p w14:paraId="23D56D64" w14:textId="77777777" w:rsidR="00C57C9F" w:rsidRDefault="00C57C9F" w:rsidP="006F421D">
            <w:pPr>
              <w:pStyle w:val="3fins-table-figures"/>
              <w:jc w:val="right"/>
              <w:rPr>
                <w:rFonts w:cs="Times New Roman"/>
              </w:rPr>
            </w:pPr>
            <w:r>
              <w:rPr>
                <w:rStyle w:val="fins-bold"/>
                <w:rFonts w:cs="Times New Roman"/>
              </w:rPr>
              <w:t xml:space="preserve">9,977 </w:t>
            </w:r>
          </w:p>
        </w:tc>
        <w:tc>
          <w:tcPr>
            <w:tcW w:w="1089" w:type="dxa"/>
            <w:tcBorders>
              <w:top w:val="single" w:sz="4" w:space="0" w:color="0D0D0D" w:themeColor="text1" w:themeTint="F2"/>
              <w:bottom w:val="single" w:sz="4" w:space="0" w:color="0D0D0D" w:themeColor="text1" w:themeTint="F2"/>
            </w:tcBorders>
            <w:vAlign w:val="center"/>
            <w:hideMark/>
          </w:tcPr>
          <w:p w14:paraId="4DD2582A" w14:textId="77777777" w:rsidR="00C57C9F" w:rsidRDefault="00C57C9F" w:rsidP="006F421D">
            <w:pPr>
              <w:pStyle w:val="3fins-table-figures"/>
              <w:jc w:val="right"/>
              <w:rPr>
                <w:rFonts w:cs="Times New Roman"/>
              </w:rPr>
            </w:pPr>
            <w:r>
              <w:rPr>
                <w:rFonts w:cs="Times New Roman"/>
              </w:rPr>
              <w:t xml:space="preserve">7,119 </w:t>
            </w:r>
          </w:p>
        </w:tc>
      </w:tr>
    </w:tbl>
    <w:p w14:paraId="720FD130" w14:textId="5D92A202" w:rsidR="00C57C9F" w:rsidRDefault="00C57C9F">
      <w:pPr>
        <w:rPr>
          <w:rFonts w:eastAsia="Times New Roman" w:cs="Times New Roman"/>
          <w:vanish/>
        </w:rPr>
      </w:pPr>
    </w:p>
    <w:tbl>
      <w:tblPr>
        <w:tblW w:w="0" w:type="auto"/>
        <w:tblLayout w:type="fixed"/>
        <w:tblCellMar>
          <w:top w:w="28" w:type="dxa"/>
          <w:left w:w="15" w:type="dxa"/>
          <w:bottom w:w="28" w:type="dxa"/>
          <w:right w:w="15" w:type="dxa"/>
        </w:tblCellMar>
        <w:tblLook w:val="04A0" w:firstRow="1" w:lastRow="0" w:firstColumn="1" w:lastColumn="0" w:noHBand="0" w:noVBand="1"/>
      </w:tblPr>
      <w:tblGrid>
        <w:gridCol w:w="7655"/>
        <w:gridCol w:w="1529"/>
        <w:gridCol w:w="985"/>
      </w:tblGrid>
      <w:tr w:rsidR="00C57C9F" w14:paraId="2135318B" w14:textId="77777777" w:rsidTr="006F421D">
        <w:trPr>
          <w:divId w:val="1139883726"/>
        </w:trPr>
        <w:tc>
          <w:tcPr>
            <w:tcW w:w="7655" w:type="dxa"/>
            <w:vAlign w:val="center"/>
            <w:hideMark/>
          </w:tcPr>
          <w:p w14:paraId="63D91785" w14:textId="77777777" w:rsidR="00C57C9F" w:rsidRDefault="00C57C9F">
            <w:pPr>
              <w:rPr>
                <w:rFonts w:eastAsia="Times New Roman" w:cs="Times New Roman"/>
              </w:rPr>
            </w:pPr>
          </w:p>
        </w:tc>
        <w:tc>
          <w:tcPr>
            <w:tcW w:w="1529" w:type="dxa"/>
            <w:vAlign w:val="center"/>
            <w:hideMark/>
          </w:tcPr>
          <w:p w14:paraId="1A68378A" w14:textId="77777777" w:rsidR="00C57C9F" w:rsidRDefault="00C57C9F" w:rsidP="006F421D">
            <w:pPr>
              <w:pStyle w:val="3fins-table-figures"/>
              <w:jc w:val="right"/>
              <w:rPr>
                <w:rFonts w:cs="Times New Roman"/>
              </w:rPr>
            </w:pPr>
            <w:r>
              <w:rPr>
                <w:rStyle w:val="fins-bold"/>
                <w:rFonts w:cs="Times New Roman"/>
              </w:rPr>
              <w:t>2014</w:t>
            </w:r>
          </w:p>
        </w:tc>
        <w:tc>
          <w:tcPr>
            <w:tcW w:w="985" w:type="dxa"/>
            <w:vAlign w:val="center"/>
            <w:hideMark/>
          </w:tcPr>
          <w:p w14:paraId="2B276407" w14:textId="77777777" w:rsidR="00C57C9F" w:rsidRDefault="00C57C9F" w:rsidP="006F421D">
            <w:pPr>
              <w:pStyle w:val="3fins-table-figures"/>
              <w:jc w:val="right"/>
              <w:rPr>
                <w:rFonts w:cs="Times New Roman"/>
              </w:rPr>
            </w:pPr>
            <w:r>
              <w:rPr>
                <w:rFonts w:cs="Times New Roman"/>
              </w:rPr>
              <w:t>2013</w:t>
            </w:r>
          </w:p>
        </w:tc>
      </w:tr>
      <w:tr w:rsidR="00C57C9F" w14:paraId="4663212A" w14:textId="77777777" w:rsidTr="006F421D">
        <w:trPr>
          <w:divId w:val="1139883726"/>
        </w:trPr>
        <w:tc>
          <w:tcPr>
            <w:tcW w:w="7655" w:type="dxa"/>
            <w:vAlign w:val="center"/>
            <w:hideMark/>
          </w:tcPr>
          <w:p w14:paraId="10BA6289" w14:textId="77777777" w:rsidR="00C57C9F" w:rsidRDefault="00C57C9F">
            <w:pPr>
              <w:rPr>
                <w:rFonts w:eastAsia="Times New Roman" w:cs="Times New Roman"/>
              </w:rPr>
            </w:pPr>
          </w:p>
        </w:tc>
        <w:tc>
          <w:tcPr>
            <w:tcW w:w="1529" w:type="dxa"/>
            <w:vAlign w:val="center"/>
            <w:hideMark/>
          </w:tcPr>
          <w:p w14:paraId="5962EEB8" w14:textId="77777777" w:rsidR="00C57C9F" w:rsidRDefault="00C57C9F" w:rsidP="006F421D">
            <w:pPr>
              <w:pStyle w:val="3fins-table-figures"/>
              <w:jc w:val="right"/>
              <w:rPr>
                <w:rFonts w:cs="Times New Roman"/>
              </w:rPr>
            </w:pPr>
            <w:r>
              <w:rPr>
                <w:rStyle w:val="fins-bold"/>
                <w:rFonts w:cs="Times New Roman"/>
              </w:rPr>
              <w:t>$’000</w:t>
            </w:r>
          </w:p>
        </w:tc>
        <w:tc>
          <w:tcPr>
            <w:tcW w:w="985" w:type="dxa"/>
            <w:vAlign w:val="center"/>
            <w:hideMark/>
          </w:tcPr>
          <w:p w14:paraId="436CF796" w14:textId="77777777" w:rsidR="00C57C9F" w:rsidRDefault="00C57C9F" w:rsidP="006F421D">
            <w:pPr>
              <w:pStyle w:val="3fins-table-figures"/>
              <w:jc w:val="right"/>
              <w:rPr>
                <w:rFonts w:cs="Times New Roman"/>
              </w:rPr>
            </w:pPr>
            <w:r>
              <w:rPr>
                <w:rFonts w:cs="Times New Roman"/>
              </w:rPr>
              <w:t>$’000</w:t>
            </w:r>
          </w:p>
        </w:tc>
      </w:tr>
      <w:tr w:rsidR="00C57C9F" w14:paraId="29073FEA" w14:textId="77777777" w:rsidTr="006F421D">
        <w:trPr>
          <w:divId w:val="1139883726"/>
        </w:trPr>
        <w:tc>
          <w:tcPr>
            <w:tcW w:w="7655" w:type="dxa"/>
            <w:vAlign w:val="center"/>
            <w:hideMark/>
          </w:tcPr>
          <w:p w14:paraId="63FC22C5" w14:textId="77777777" w:rsidR="00C57C9F" w:rsidRDefault="00C57C9F">
            <w:pPr>
              <w:pStyle w:val="1heading-3"/>
              <w:rPr>
                <w:rFonts w:cs="Times New Roman"/>
              </w:rPr>
            </w:pPr>
            <w:r>
              <w:rPr>
                <w:rFonts w:cs="Times New Roman"/>
              </w:rPr>
              <w:t xml:space="preserve">Note 3C: Depreciation and </w:t>
            </w:r>
            <w:proofErr w:type="spellStart"/>
            <w:r>
              <w:rPr>
                <w:rFonts w:cs="Times New Roman"/>
              </w:rPr>
              <w:t>Amortisation</w:t>
            </w:r>
            <w:proofErr w:type="spellEnd"/>
          </w:p>
        </w:tc>
        <w:tc>
          <w:tcPr>
            <w:tcW w:w="1529" w:type="dxa"/>
            <w:vAlign w:val="center"/>
            <w:hideMark/>
          </w:tcPr>
          <w:p w14:paraId="5ACEC997" w14:textId="77777777" w:rsidR="00C57C9F" w:rsidRDefault="00C57C9F" w:rsidP="006F421D">
            <w:pPr>
              <w:jc w:val="right"/>
              <w:rPr>
                <w:rFonts w:eastAsia="Times New Roman" w:cs="Times New Roman"/>
              </w:rPr>
            </w:pPr>
          </w:p>
        </w:tc>
        <w:tc>
          <w:tcPr>
            <w:tcW w:w="985" w:type="dxa"/>
            <w:vAlign w:val="center"/>
            <w:hideMark/>
          </w:tcPr>
          <w:p w14:paraId="4A188085" w14:textId="77777777" w:rsidR="00C57C9F" w:rsidRDefault="00C57C9F" w:rsidP="006F421D">
            <w:pPr>
              <w:jc w:val="right"/>
              <w:rPr>
                <w:rFonts w:eastAsia="Times New Roman" w:cs="Times New Roman"/>
              </w:rPr>
            </w:pPr>
          </w:p>
        </w:tc>
      </w:tr>
      <w:tr w:rsidR="00C57C9F" w14:paraId="0D31C4C5" w14:textId="77777777" w:rsidTr="006F421D">
        <w:trPr>
          <w:divId w:val="1139883726"/>
        </w:trPr>
        <w:tc>
          <w:tcPr>
            <w:tcW w:w="7655" w:type="dxa"/>
            <w:vAlign w:val="center"/>
            <w:hideMark/>
          </w:tcPr>
          <w:p w14:paraId="162BC66F" w14:textId="77777777" w:rsidR="00C57C9F" w:rsidRDefault="00C57C9F">
            <w:pPr>
              <w:pStyle w:val="3fins-table"/>
              <w:rPr>
                <w:rFonts w:cs="Times New Roman"/>
              </w:rPr>
            </w:pPr>
            <w:r>
              <w:rPr>
                <w:rStyle w:val="fins-bold"/>
                <w:rFonts w:cs="Times New Roman"/>
              </w:rPr>
              <w:t>Depreciation:</w:t>
            </w:r>
          </w:p>
        </w:tc>
        <w:tc>
          <w:tcPr>
            <w:tcW w:w="1529" w:type="dxa"/>
            <w:vAlign w:val="center"/>
            <w:hideMark/>
          </w:tcPr>
          <w:p w14:paraId="28683C4F" w14:textId="77777777" w:rsidR="00C57C9F" w:rsidRDefault="00C57C9F" w:rsidP="006F421D">
            <w:pPr>
              <w:jc w:val="right"/>
              <w:rPr>
                <w:rFonts w:eastAsia="Times New Roman" w:cs="Times New Roman"/>
              </w:rPr>
            </w:pPr>
          </w:p>
        </w:tc>
        <w:tc>
          <w:tcPr>
            <w:tcW w:w="985" w:type="dxa"/>
            <w:vAlign w:val="center"/>
            <w:hideMark/>
          </w:tcPr>
          <w:p w14:paraId="41DE6E14" w14:textId="77777777" w:rsidR="00C57C9F" w:rsidRDefault="00C57C9F" w:rsidP="006F421D">
            <w:pPr>
              <w:jc w:val="right"/>
              <w:rPr>
                <w:rFonts w:eastAsia="Times New Roman" w:cs="Times New Roman"/>
              </w:rPr>
            </w:pPr>
          </w:p>
        </w:tc>
      </w:tr>
      <w:tr w:rsidR="00C57C9F" w14:paraId="567E27D1" w14:textId="77777777" w:rsidTr="006F421D">
        <w:trPr>
          <w:divId w:val="1139883726"/>
        </w:trPr>
        <w:tc>
          <w:tcPr>
            <w:tcW w:w="7655" w:type="dxa"/>
            <w:vAlign w:val="center"/>
            <w:hideMark/>
          </w:tcPr>
          <w:p w14:paraId="49566254" w14:textId="77777777" w:rsidR="00C57C9F" w:rsidRDefault="00C57C9F" w:rsidP="006F421D">
            <w:pPr>
              <w:pStyle w:val="3fins-table"/>
              <w:ind w:left="567"/>
              <w:rPr>
                <w:rFonts w:cs="Times New Roman"/>
              </w:rPr>
            </w:pPr>
            <w:r>
              <w:rPr>
                <w:rFonts w:cs="Times New Roman"/>
              </w:rPr>
              <w:t>Property, plant and equipment</w:t>
            </w:r>
          </w:p>
        </w:tc>
        <w:tc>
          <w:tcPr>
            <w:tcW w:w="1529" w:type="dxa"/>
            <w:tcBorders>
              <w:bottom w:val="single" w:sz="4" w:space="0" w:color="0D0D0D" w:themeColor="text1" w:themeTint="F2"/>
            </w:tcBorders>
            <w:vAlign w:val="center"/>
            <w:hideMark/>
          </w:tcPr>
          <w:p w14:paraId="1207032A" w14:textId="77777777" w:rsidR="00C57C9F" w:rsidRDefault="00C57C9F" w:rsidP="006F421D">
            <w:pPr>
              <w:pStyle w:val="3fins-table-figures"/>
              <w:jc w:val="right"/>
              <w:rPr>
                <w:rFonts w:cs="Times New Roman"/>
              </w:rPr>
            </w:pPr>
            <w:r>
              <w:rPr>
                <w:rStyle w:val="fins-bold"/>
                <w:rFonts w:cs="Times New Roman"/>
              </w:rPr>
              <w:t xml:space="preserve">87 </w:t>
            </w:r>
          </w:p>
        </w:tc>
        <w:tc>
          <w:tcPr>
            <w:tcW w:w="985" w:type="dxa"/>
            <w:tcBorders>
              <w:bottom w:val="single" w:sz="4" w:space="0" w:color="0D0D0D" w:themeColor="text1" w:themeTint="F2"/>
            </w:tcBorders>
            <w:vAlign w:val="center"/>
            <w:hideMark/>
          </w:tcPr>
          <w:p w14:paraId="32112326" w14:textId="77777777" w:rsidR="00C57C9F" w:rsidRDefault="00C57C9F" w:rsidP="006F421D">
            <w:pPr>
              <w:pStyle w:val="3fins-table-figures"/>
              <w:jc w:val="right"/>
              <w:rPr>
                <w:rFonts w:cs="Times New Roman"/>
              </w:rPr>
            </w:pPr>
            <w:r>
              <w:rPr>
                <w:rFonts w:cs="Times New Roman"/>
              </w:rPr>
              <w:t xml:space="preserve">120 </w:t>
            </w:r>
          </w:p>
        </w:tc>
      </w:tr>
      <w:tr w:rsidR="00C57C9F" w14:paraId="646BEC4D" w14:textId="77777777" w:rsidTr="006F421D">
        <w:trPr>
          <w:divId w:val="1139883726"/>
        </w:trPr>
        <w:tc>
          <w:tcPr>
            <w:tcW w:w="7655" w:type="dxa"/>
            <w:vAlign w:val="center"/>
            <w:hideMark/>
          </w:tcPr>
          <w:p w14:paraId="40CA73EA" w14:textId="77777777" w:rsidR="00C57C9F" w:rsidRDefault="00C57C9F">
            <w:pPr>
              <w:pStyle w:val="3fins-table"/>
              <w:rPr>
                <w:rFonts w:cs="Times New Roman"/>
              </w:rPr>
            </w:pPr>
            <w:r>
              <w:rPr>
                <w:rStyle w:val="fins-bold"/>
                <w:rFonts w:cs="Times New Roman"/>
              </w:rPr>
              <w:t>Total depreciation</w:t>
            </w:r>
          </w:p>
        </w:tc>
        <w:tc>
          <w:tcPr>
            <w:tcW w:w="1529" w:type="dxa"/>
            <w:tcBorders>
              <w:top w:val="single" w:sz="4" w:space="0" w:color="0D0D0D" w:themeColor="text1" w:themeTint="F2"/>
              <w:bottom w:val="single" w:sz="4" w:space="0" w:color="0D0D0D" w:themeColor="text1" w:themeTint="F2"/>
            </w:tcBorders>
            <w:vAlign w:val="center"/>
            <w:hideMark/>
          </w:tcPr>
          <w:p w14:paraId="31CD9C92" w14:textId="77777777" w:rsidR="00C57C9F" w:rsidRDefault="00C57C9F" w:rsidP="006F421D">
            <w:pPr>
              <w:pStyle w:val="3fins-table-figures"/>
              <w:jc w:val="right"/>
              <w:rPr>
                <w:rFonts w:cs="Times New Roman"/>
              </w:rPr>
            </w:pPr>
            <w:r>
              <w:rPr>
                <w:rStyle w:val="fins-bold"/>
                <w:rFonts w:cs="Times New Roman"/>
              </w:rPr>
              <w:t xml:space="preserve">87 </w:t>
            </w:r>
          </w:p>
        </w:tc>
        <w:tc>
          <w:tcPr>
            <w:tcW w:w="985" w:type="dxa"/>
            <w:tcBorders>
              <w:top w:val="single" w:sz="4" w:space="0" w:color="0D0D0D" w:themeColor="text1" w:themeTint="F2"/>
              <w:bottom w:val="single" w:sz="4" w:space="0" w:color="0D0D0D" w:themeColor="text1" w:themeTint="F2"/>
            </w:tcBorders>
            <w:vAlign w:val="center"/>
            <w:hideMark/>
          </w:tcPr>
          <w:p w14:paraId="37FC483C" w14:textId="77777777" w:rsidR="00C57C9F" w:rsidRDefault="00C57C9F" w:rsidP="006F421D">
            <w:pPr>
              <w:pStyle w:val="3fins-table-figures"/>
              <w:jc w:val="right"/>
              <w:rPr>
                <w:rFonts w:cs="Times New Roman"/>
              </w:rPr>
            </w:pPr>
            <w:r>
              <w:rPr>
                <w:rFonts w:cs="Times New Roman"/>
              </w:rPr>
              <w:t xml:space="preserve">120 </w:t>
            </w:r>
          </w:p>
        </w:tc>
      </w:tr>
      <w:tr w:rsidR="00C57C9F" w14:paraId="70218A92" w14:textId="77777777" w:rsidTr="006F421D">
        <w:trPr>
          <w:divId w:val="1139883726"/>
        </w:trPr>
        <w:tc>
          <w:tcPr>
            <w:tcW w:w="7655" w:type="dxa"/>
            <w:vAlign w:val="center"/>
            <w:hideMark/>
          </w:tcPr>
          <w:p w14:paraId="1B554341" w14:textId="77777777" w:rsidR="00C57C9F" w:rsidRDefault="00C57C9F">
            <w:pPr>
              <w:rPr>
                <w:rFonts w:eastAsia="Times New Roman" w:cs="Times New Roman"/>
              </w:rPr>
            </w:pPr>
          </w:p>
        </w:tc>
        <w:tc>
          <w:tcPr>
            <w:tcW w:w="1529" w:type="dxa"/>
            <w:tcBorders>
              <w:top w:val="single" w:sz="4" w:space="0" w:color="0D0D0D" w:themeColor="text1" w:themeTint="F2"/>
            </w:tcBorders>
            <w:vAlign w:val="center"/>
            <w:hideMark/>
          </w:tcPr>
          <w:p w14:paraId="3101E310" w14:textId="77777777" w:rsidR="00C57C9F" w:rsidRDefault="00C57C9F" w:rsidP="006F421D">
            <w:pPr>
              <w:jc w:val="right"/>
              <w:rPr>
                <w:rFonts w:eastAsia="Times New Roman" w:cs="Times New Roman"/>
              </w:rPr>
            </w:pPr>
          </w:p>
        </w:tc>
        <w:tc>
          <w:tcPr>
            <w:tcW w:w="985" w:type="dxa"/>
            <w:tcBorders>
              <w:top w:val="single" w:sz="4" w:space="0" w:color="0D0D0D" w:themeColor="text1" w:themeTint="F2"/>
            </w:tcBorders>
            <w:vAlign w:val="center"/>
            <w:hideMark/>
          </w:tcPr>
          <w:p w14:paraId="3070BD79" w14:textId="77777777" w:rsidR="00C57C9F" w:rsidRDefault="00C57C9F" w:rsidP="006F421D">
            <w:pPr>
              <w:jc w:val="right"/>
              <w:rPr>
                <w:rFonts w:eastAsia="Times New Roman" w:cs="Times New Roman"/>
              </w:rPr>
            </w:pPr>
          </w:p>
        </w:tc>
      </w:tr>
      <w:tr w:rsidR="00C57C9F" w14:paraId="44B37A19" w14:textId="77777777" w:rsidTr="006F421D">
        <w:trPr>
          <w:divId w:val="1139883726"/>
        </w:trPr>
        <w:tc>
          <w:tcPr>
            <w:tcW w:w="7655" w:type="dxa"/>
            <w:vAlign w:val="center"/>
            <w:hideMark/>
          </w:tcPr>
          <w:p w14:paraId="51CDE50B" w14:textId="77777777" w:rsidR="00C57C9F" w:rsidRDefault="00C57C9F">
            <w:pPr>
              <w:pStyle w:val="1heading-3"/>
              <w:rPr>
                <w:rFonts w:cs="Times New Roman"/>
              </w:rPr>
            </w:pPr>
            <w:r>
              <w:rPr>
                <w:rFonts w:cs="Times New Roman"/>
              </w:rPr>
              <w:t>Note 3D: Finance Costs</w:t>
            </w:r>
          </w:p>
        </w:tc>
        <w:tc>
          <w:tcPr>
            <w:tcW w:w="1529" w:type="dxa"/>
            <w:vAlign w:val="center"/>
            <w:hideMark/>
          </w:tcPr>
          <w:p w14:paraId="62D8C750" w14:textId="77777777" w:rsidR="00C57C9F" w:rsidRDefault="00C57C9F" w:rsidP="006F421D">
            <w:pPr>
              <w:jc w:val="right"/>
              <w:rPr>
                <w:rFonts w:eastAsia="Times New Roman" w:cs="Times New Roman"/>
              </w:rPr>
            </w:pPr>
          </w:p>
        </w:tc>
        <w:tc>
          <w:tcPr>
            <w:tcW w:w="985" w:type="dxa"/>
            <w:vAlign w:val="center"/>
            <w:hideMark/>
          </w:tcPr>
          <w:p w14:paraId="31632C9E" w14:textId="77777777" w:rsidR="00C57C9F" w:rsidRDefault="00C57C9F" w:rsidP="006F421D">
            <w:pPr>
              <w:jc w:val="right"/>
              <w:rPr>
                <w:rFonts w:eastAsia="Times New Roman" w:cs="Times New Roman"/>
              </w:rPr>
            </w:pPr>
          </w:p>
        </w:tc>
      </w:tr>
      <w:tr w:rsidR="00C57C9F" w14:paraId="06295B7C" w14:textId="77777777" w:rsidTr="006F421D">
        <w:trPr>
          <w:divId w:val="1139883726"/>
        </w:trPr>
        <w:tc>
          <w:tcPr>
            <w:tcW w:w="7655" w:type="dxa"/>
            <w:vAlign w:val="center"/>
            <w:hideMark/>
          </w:tcPr>
          <w:p w14:paraId="345FDC9C" w14:textId="77777777" w:rsidR="00C57C9F" w:rsidRDefault="00C57C9F">
            <w:pPr>
              <w:pStyle w:val="3fins-table"/>
              <w:rPr>
                <w:rFonts w:cs="Times New Roman"/>
              </w:rPr>
            </w:pPr>
            <w:r>
              <w:rPr>
                <w:rFonts w:cs="Times New Roman"/>
              </w:rPr>
              <w:t>Unwinding of discount</w:t>
            </w:r>
          </w:p>
        </w:tc>
        <w:tc>
          <w:tcPr>
            <w:tcW w:w="1529" w:type="dxa"/>
            <w:tcBorders>
              <w:bottom w:val="single" w:sz="4" w:space="0" w:color="0D0D0D" w:themeColor="text1" w:themeTint="F2"/>
            </w:tcBorders>
            <w:vAlign w:val="center"/>
            <w:hideMark/>
          </w:tcPr>
          <w:p w14:paraId="5C9F2A1B" w14:textId="77777777" w:rsidR="00C57C9F" w:rsidRDefault="00C57C9F" w:rsidP="006F421D">
            <w:pPr>
              <w:pStyle w:val="3fins-table-figures"/>
              <w:jc w:val="right"/>
              <w:rPr>
                <w:rFonts w:cs="Times New Roman"/>
              </w:rPr>
            </w:pPr>
            <w:r>
              <w:rPr>
                <w:rStyle w:val="fins-bold"/>
                <w:rFonts w:cs="Times New Roman"/>
              </w:rPr>
              <w:t xml:space="preserve">6 </w:t>
            </w:r>
          </w:p>
        </w:tc>
        <w:tc>
          <w:tcPr>
            <w:tcW w:w="985" w:type="dxa"/>
            <w:tcBorders>
              <w:bottom w:val="single" w:sz="4" w:space="0" w:color="0D0D0D" w:themeColor="text1" w:themeTint="F2"/>
            </w:tcBorders>
            <w:vAlign w:val="center"/>
            <w:hideMark/>
          </w:tcPr>
          <w:p w14:paraId="611F3B0D" w14:textId="77777777" w:rsidR="00C57C9F" w:rsidRDefault="00C57C9F" w:rsidP="006F421D">
            <w:pPr>
              <w:pStyle w:val="3fins-table-figures"/>
              <w:jc w:val="right"/>
              <w:rPr>
                <w:rFonts w:cs="Times New Roman"/>
              </w:rPr>
            </w:pPr>
            <w:r>
              <w:rPr>
                <w:rFonts w:cs="Times New Roman"/>
              </w:rPr>
              <w:t xml:space="preserve">7 </w:t>
            </w:r>
          </w:p>
        </w:tc>
      </w:tr>
      <w:tr w:rsidR="00C57C9F" w14:paraId="009E2254" w14:textId="77777777" w:rsidTr="006F421D">
        <w:trPr>
          <w:divId w:val="1139883726"/>
        </w:trPr>
        <w:tc>
          <w:tcPr>
            <w:tcW w:w="7655" w:type="dxa"/>
            <w:vAlign w:val="center"/>
            <w:hideMark/>
          </w:tcPr>
          <w:p w14:paraId="7BA75DE3" w14:textId="77777777" w:rsidR="00C57C9F" w:rsidRDefault="00C57C9F">
            <w:pPr>
              <w:pStyle w:val="3fins-table"/>
              <w:rPr>
                <w:rFonts w:cs="Times New Roman"/>
              </w:rPr>
            </w:pPr>
            <w:r>
              <w:rPr>
                <w:rStyle w:val="fins-bold"/>
                <w:rFonts w:cs="Times New Roman"/>
              </w:rPr>
              <w:t>Total finance costs</w:t>
            </w:r>
          </w:p>
        </w:tc>
        <w:tc>
          <w:tcPr>
            <w:tcW w:w="1529" w:type="dxa"/>
            <w:tcBorders>
              <w:top w:val="single" w:sz="4" w:space="0" w:color="0D0D0D" w:themeColor="text1" w:themeTint="F2"/>
              <w:bottom w:val="single" w:sz="4" w:space="0" w:color="0D0D0D" w:themeColor="text1" w:themeTint="F2"/>
            </w:tcBorders>
            <w:vAlign w:val="center"/>
            <w:hideMark/>
          </w:tcPr>
          <w:p w14:paraId="5EC9D65B" w14:textId="77777777" w:rsidR="00C57C9F" w:rsidRDefault="00C57C9F" w:rsidP="006F421D">
            <w:pPr>
              <w:pStyle w:val="3fins-table-figures"/>
              <w:jc w:val="right"/>
              <w:rPr>
                <w:rFonts w:cs="Times New Roman"/>
              </w:rPr>
            </w:pPr>
            <w:r>
              <w:rPr>
                <w:rStyle w:val="fins-bold"/>
                <w:rFonts w:cs="Times New Roman"/>
              </w:rPr>
              <w:t xml:space="preserve">6 </w:t>
            </w:r>
          </w:p>
        </w:tc>
        <w:tc>
          <w:tcPr>
            <w:tcW w:w="985" w:type="dxa"/>
            <w:tcBorders>
              <w:top w:val="single" w:sz="4" w:space="0" w:color="0D0D0D" w:themeColor="text1" w:themeTint="F2"/>
              <w:bottom w:val="single" w:sz="4" w:space="0" w:color="0D0D0D" w:themeColor="text1" w:themeTint="F2"/>
            </w:tcBorders>
            <w:vAlign w:val="center"/>
            <w:hideMark/>
          </w:tcPr>
          <w:p w14:paraId="00315BDF" w14:textId="77777777" w:rsidR="00C57C9F" w:rsidRDefault="00C57C9F" w:rsidP="006F421D">
            <w:pPr>
              <w:pStyle w:val="3fins-table-figures"/>
              <w:jc w:val="right"/>
              <w:rPr>
                <w:rFonts w:cs="Times New Roman"/>
              </w:rPr>
            </w:pPr>
            <w:r>
              <w:rPr>
                <w:rFonts w:cs="Times New Roman"/>
              </w:rPr>
              <w:t xml:space="preserve">7 </w:t>
            </w:r>
          </w:p>
        </w:tc>
      </w:tr>
      <w:tr w:rsidR="00C57C9F" w14:paraId="3222A814" w14:textId="77777777" w:rsidTr="006F421D">
        <w:trPr>
          <w:divId w:val="1139883726"/>
        </w:trPr>
        <w:tc>
          <w:tcPr>
            <w:tcW w:w="7655" w:type="dxa"/>
            <w:vAlign w:val="center"/>
            <w:hideMark/>
          </w:tcPr>
          <w:p w14:paraId="4D97995A" w14:textId="77777777" w:rsidR="00C57C9F" w:rsidRDefault="00C57C9F">
            <w:pPr>
              <w:pStyle w:val="3fins-table"/>
              <w:rPr>
                <w:rFonts w:cs="Times New Roman"/>
              </w:rPr>
            </w:pPr>
            <w:r>
              <w:rPr>
                <w:rFonts w:cs="Times New Roman"/>
              </w:rPr>
              <w:t>The unwinding of discount relates to make good on lease.</w:t>
            </w:r>
          </w:p>
        </w:tc>
        <w:tc>
          <w:tcPr>
            <w:tcW w:w="1529" w:type="dxa"/>
            <w:tcBorders>
              <w:top w:val="single" w:sz="4" w:space="0" w:color="0D0D0D" w:themeColor="text1" w:themeTint="F2"/>
            </w:tcBorders>
            <w:vAlign w:val="center"/>
            <w:hideMark/>
          </w:tcPr>
          <w:p w14:paraId="4BE2F9AF" w14:textId="77777777" w:rsidR="00C57C9F" w:rsidRDefault="00C57C9F" w:rsidP="006F421D">
            <w:pPr>
              <w:jc w:val="right"/>
              <w:rPr>
                <w:rFonts w:eastAsia="Times New Roman" w:cs="Times New Roman"/>
              </w:rPr>
            </w:pPr>
          </w:p>
        </w:tc>
        <w:tc>
          <w:tcPr>
            <w:tcW w:w="985" w:type="dxa"/>
            <w:tcBorders>
              <w:top w:val="single" w:sz="4" w:space="0" w:color="0D0D0D" w:themeColor="text1" w:themeTint="F2"/>
            </w:tcBorders>
            <w:vAlign w:val="center"/>
            <w:hideMark/>
          </w:tcPr>
          <w:p w14:paraId="5D918185" w14:textId="77777777" w:rsidR="00C57C9F" w:rsidRDefault="00C57C9F" w:rsidP="006F421D">
            <w:pPr>
              <w:jc w:val="right"/>
              <w:rPr>
                <w:rFonts w:eastAsia="Times New Roman" w:cs="Times New Roman"/>
              </w:rPr>
            </w:pPr>
          </w:p>
        </w:tc>
      </w:tr>
      <w:tr w:rsidR="00C57C9F" w14:paraId="7A910BBE" w14:textId="77777777" w:rsidTr="006F421D">
        <w:trPr>
          <w:divId w:val="1139883726"/>
        </w:trPr>
        <w:tc>
          <w:tcPr>
            <w:tcW w:w="7655" w:type="dxa"/>
            <w:vAlign w:val="center"/>
            <w:hideMark/>
          </w:tcPr>
          <w:p w14:paraId="7696DC28" w14:textId="77777777" w:rsidR="00C57C9F" w:rsidRDefault="00C57C9F">
            <w:pPr>
              <w:rPr>
                <w:rFonts w:eastAsia="Times New Roman" w:cs="Times New Roman"/>
              </w:rPr>
            </w:pPr>
          </w:p>
        </w:tc>
        <w:tc>
          <w:tcPr>
            <w:tcW w:w="1529" w:type="dxa"/>
            <w:vAlign w:val="center"/>
            <w:hideMark/>
          </w:tcPr>
          <w:p w14:paraId="1488E305" w14:textId="77777777" w:rsidR="00C57C9F" w:rsidRDefault="00C57C9F" w:rsidP="006F421D">
            <w:pPr>
              <w:jc w:val="right"/>
              <w:rPr>
                <w:rFonts w:eastAsia="Times New Roman" w:cs="Times New Roman"/>
              </w:rPr>
            </w:pPr>
          </w:p>
        </w:tc>
        <w:tc>
          <w:tcPr>
            <w:tcW w:w="985" w:type="dxa"/>
            <w:vAlign w:val="center"/>
            <w:hideMark/>
          </w:tcPr>
          <w:p w14:paraId="6279ED4A" w14:textId="77777777" w:rsidR="00C57C9F" w:rsidRDefault="00C57C9F" w:rsidP="006F421D">
            <w:pPr>
              <w:jc w:val="right"/>
              <w:rPr>
                <w:rFonts w:eastAsia="Times New Roman" w:cs="Times New Roman"/>
              </w:rPr>
            </w:pPr>
          </w:p>
        </w:tc>
      </w:tr>
      <w:tr w:rsidR="00C57C9F" w14:paraId="1883CE97" w14:textId="77777777" w:rsidTr="006F421D">
        <w:trPr>
          <w:divId w:val="1139883726"/>
        </w:trPr>
        <w:tc>
          <w:tcPr>
            <w:tcW w:w="7655" w:type="dxa"/>
            <w:vAlign w:val="center"/>
            <w:hideMark/>
          </w:tcPr>
          <w:p w14:paraId="297C6C64" w14:textId="77777777" w:rsidR="00C57C9F" w:rsidRDefault="00C57C9F">
            <w:pPr>
              <w:pStyle w:val="1heading-3"/>
              <w:rPr>
                <w:rFonts w:cs="Times New Roman"/>
              </w:rPr>
            </w:pPr>
            <w:r>
              <w:rPr>
                <w:rFonts w:cs="Times New Roman"/>
              </w:rPr>
              <w:t>Note 3E: Impairment of Assets</w:t>
            </w:r>
          </w:p>
        </w:tc>
        <w:tc>
          <w:tcPr>
            <w:tcW w:w="1529" w:type="dxa"/>
            <w:vAlign w:val="center"/>
            <w:hideMark/>
          </w:tcPr>
          <w:p w14:paraId="2556EF41" w14:textId="77777777" w:rsidR="00C57C9F" w:rsidRDefault="00C57C9F" w:rsidP="006F421D">
            <w:pPr>
              <w:jc w:val="right"/>
              <w:rPr>
                <w:rFonts w:eastAsia="Times New Roman" w:cs="Times New Roman"/>
              </w:rPr>
            </w:pPr>
          </w:p>
        </w:tc>
        <w:tc>
          <w:tcPr>
            <w:tcW w:w="985" w:type="dxa"/>
            <w:vAlign w:val="center"/>
            <w:hideMark/>
          </w:tcPr>
          <w:p w14:paraId="13254990" w14:textId="77777777" w:rsidR="00C57C9F" w:rsidRDefault="00C57C9F" w:rsidP="006F421D">
            <w:pPr>
              <w:jc w:val="right"/>
              <w:rPr>
                <w:rFonts w:eastAsia="Times New Roman" w:cs="Times New Roman"/>
              </w:rPr>
            </w:pPr>
          </w:p>
        </w:tc>
      </w:tr>
      <w:tr w:rsidR="00C57C9F" w14:paraId="38A7F678" w14:textId="77777777" w:rsidTr="006F421D">
        <w:trPr>
          <w:divId w:val="1139883726"/>
        </w:trPr>
        <w:tc>
          <w:tcPr>
            <w:tcW w:w="7655" w:type="dxa"/>
            <w:vAlign w:val="center"/>
            <w:hideMark/>
          </w:tcPr>
          <w:p w14:paraId="13992FF4" w14:textId="77777777" w:rsidR="00C57C9F" w:rsidRDefault="00C57C9F">
            <w:pPr>
              <w:pStyle w:val="3fins-table"/>
              <w:rPr>
                <w:rFonts w:cs="Times New Roman"/>
              </w:rPr>
            </w:pPr>
            <w:r>
              <w:rPr>
                <w:rFonts w:cs="Times New Roman"/>
              </w:rPr>
              <w:t>Impairment of property, plant and equipment</w:t>
            </w:r>
          </w:p>
        </w:tc>
        <w:tc>
          <w:tcPr>
            <w:tcW w:w="1529" w:type="dxa"/>
            <w:tcBorders>
              <w:bottom w:val="single" w:sz="4" w:space="0" w:color="0D0D0D" w:themeColor="text1" w:themeTint="F2"/>
            </w:tcBorders>
            <w:vAlign w:val="center"/>
            <w:hideMark/>
          </w:tcPr>
          <w:p w14:paraId="76D166D9" w14:textId="77777777" w:rsidR="00C57C9F" w:rsidRDefault="00C57C9F" w:rsidP="006F421D">
            <w:pPr>
              <w:pStyle w:val="3fins-table-figures"/>
              <w:jc w:val="right"/>
              <w:rPr>
                <w:rFonts w:cs="Times New Roman"/>
              </w:rPr>
            </w:pPr>
            <w:r>
              <w:rPr>
                <w:rStyle w:val="fins-bold"/>
                <w:rFonts w:cs="Times New Roman"/>
              </w:rPr>
              <w:t>56</w:t>
            </w:r>
          </w:p>
        </w:tc>
        <w:tc>
          <w:tcPr>
            <w:tcW w:w="985" w:type="dxa"/>
            <w:tcBorders>
              <w:bottom w:val="single" w:sz="4" w:space="0" w:color="0D0D0D" w:themeColor="text1" w:themeTint="F2"/>
            </w:tcBorders>
            <w:vAlign w:val="center"/>
            <w:hideMark/>
          </w:tcPr>
          <w:p w14:paraId="5A639069" w14:textId="77777777" w:rsidR="00C57C9F" w:rsidRDefault="00C57C9F" w:rsidP="006F421D">
            <w:pPr>
              <w:pStyle w:val="3fins-table-figures"/>
              <w:jc w:val="right"/>
              <w:rPr>
                <w:rFonts w:cs="Times New Roman"/>
              </w:rPr>
            </w:pPr>
            <w:r>
              <w:rPr>
                <w:rStyle w:val="fins-bold"/>
                <w:rFonts w:cs="Times New Roman"/>
              </w:rPr>
              <w:t>–</w:t>
            </w:r>
          </w:p>
        </w:tc>
      </w:tr>
      <w:tr w:rsidR="00C57C9F" w14:paraId="7EA88A9C" w14:textId="77777777" w:rsidTr="006F421D">
        <w:trPr>
          <w:divId w:val="1139883726"/>
        </w:trPr>
        <w:tc>
          <w:tcPr>
            <w:tcW w:w="7655" w:type="dxa"/>
            <w:vAlign w:val="center"/>
            <w:hideMark/>
          </w:tcPr>
          <w:p w14:paraId="1EA729C5" w14:textId="77777777" w:rsidR="00C57C9F" w:rsidRDefault="00C57C9F">
            <w:pPr>
              <w:pStyle w:val="3fins-table"/>
              <w:rPr>
                <w:rFonts w:cs="Times New Roman"/>
              </w:rPr>
            </w:pPr>
            <w:r>
              <w:rPr>
                <w:rStyle w:val="fins-bold"/>
                <w:rFonts w:cs="Times New Roman"/>
              </w:rPr>
              <w:t>Total impairment of assets</w:t>
            </w:r>
          </w:p>
        </w:tc>
        <w:tc>
          <w:tcPr>
            <w:tcW w:w="1529" w:type="dxa"/>
            <w:tcBorders>
              <w:top w:val="single" w:sz="4" w:space="0" w:color="0D0D0D" w:themeColor="text1" w:themeTint="F2"/>
              <w:bottom w:val="single" w:sz="4" w:space="0" w:color="0D0D0D" w:themeColor="text1" w:themeTint="F2"/>
            </w:tcBorders>
            <w:vAlign w:val="center"/>
            <w:hideMark/>
          </w:tcPr>
          <w:p w14:paraId="0DFA2BAF" w14:textId="77777777" w:rsidR="00C57C9F" w:rsidRDefault="00C57C9F" w:rsidP="006F421D">
            <w:pPr>
              <w:pStyle w:val="3fins-table-figures"/>
              <w:jc w:val="right"/>
              <w:rPr>
                <w:rFonts w:cs="Times New Roman"/>
              </w:rPr>
            </w:pPr>
            <w:r>
              <w:rPr>
                <w:rStyle w:val="fins-bold"/>
                <w:rFonts w:cs="Times New Roman"/>
              </w:rPr>
              <w:t>56</w:t>
            </w:r>
          </w:p>
        </w:tc>
        <w:tc>
          <w:tcPr>
            <w:tcW w:w="985" w:type="dxa"/>
            <w:tcBorders>
              <w:top w:val="single" w:sz="4" w:space="0" w:color="0D0D0D" w:themeColor="text1" w:themeTint="F2"/>
              <w:bottom w:val="single" w:sz="4" w:space="0" w:color="0D0D0D" w:themeColor="text1" w:themeTint="F2"/>
            </w:tcBorders>
            <w:vAlign w:val="center"/>
            <w:hideMark/>
          </w:tcPr>
          <w:p w14:paraId="516A8621" w14:textId="77777777" w:rsidR="00C57C9F" w:rsidRDefault="00C57C9F" w:rsidP="006F421D">
            <w:pPr>
              <w:pStyle w:val="3fins-table-figures"/>
              <w:jc w:val="right"/>
              <w:rPr>
                <w:rFonts w:cs="Times New Roman"/>
              </w:rPr>
            </w:pPr>
            <w:r>
              <w:rPr>
                <w:rStyle w:val="fins-bold"/>
                <w:rFonts w:cs="Times New Roman"/>
              </w:rPr>
              <w:t>–</w:t>
            </w:r>
          </w:p>
        </w:tc>
      </w:tr>
      <w:tr w:rsidR="00C57C9F" w14:paraId="7EAD5735" w14:textId="77777777" w:rsidTr="006F421D">
        <w:trPr>
          <w:divId w:val="1139883726"/>
        </w:trPr>
        <w:tc>
          <w:tcPr>
            <w:tcW w:w="7655" w:type="dxa"/>
            <w:vAlign w:val="center"/>
            <w:hideMark/>
          </w:tcPr>
          <w:p w14:paraId="22DA6EB8" w14:textId="77777777" w:rsidR="00C57C9F" w:rsidRDefault="00C57C9F">
            <w:pPr>
              <w:rPr>
                <w:rFonts w:eastAsia="Times New Roman" w:cs="Times New Roman"/>
              </w:rPr>
            </w:pPr>
          </w:p>
        </w:tc>
        <w:tc>
          <w:tcPr>
            <w:tcW w:w="1529" w:type="dxa"/>
            <w:tcBorders>
              <w:top w:val="single" w:sz="4" w:space="0" w:color="0D0D0D" w:themeColor="text1" w:themeTint="F2"/>
            </w:tcBorders>
            <w:vAlign w:val="center"/>
            <w:hideMark/>
          </w:tcPr>
          <w:p w14:paraId="30D65FFD" w14:textId="77777777" w:rsidR="00C57C9F" w:rsidRDefault="00C57C9F" w:rsidP="006F421D">
            <w:pPr>
              <w:jc w:val="right"/>
              <w:rPr>
                <w:rFonts w:eastAsia="Times New Roman" w:cs="Times New Roman"/>
              </w:rPr>
            </w:pPr>
          </w:p>
        </w:tc>
        <w:tc>
          <w:tcPr>
            <w:tcW w:w="985" w:type="dxa"/>
            <w:tcBorders>
              <w:top w:val="single" w:sz="4" w:space="0" w:color="0D0D0D" w:themeColor="text1" w:themeTint="F2"/>
            </w:tcBorders>
            <w:vAlign w:val="center"/>
            <w:hideMark/>
          </w:tcPr>
          <w:p w14:paraId="2B2D29E7" w14:textId="77777777" w:rsidR="00C57C9F" w:rsidRDefault="00C57C9F" w:rsidP="006F421D">
            <w:pPr>
              <w:jc w:val="right"/>
              <w:rPr>
                <w:rFonts w:eastAsia="Times New Roman" w:cs="Times New Roman"/>
              </w:rPr>
            </w:pPr>
          </w:p>
        </w:tc>
      </w:tr>
      <w:tr w:rsidR="00C57C9F" w14:paraId="0AF0D5C7" w14:textId="77777777" w:rsidTr="006F421D">
        <w:trPr>
          <w:divId w:val="1139883726"/>
        </w:trPr>
        <w:tc>
          <w:tcPr>
            <w:tcW w:w="7655" w:type="dxa"/>
            <w:vAlign w:val="center"/>
            <w:hideMark/>
          </w:tcPr>
          <w:p w14:paraId="5AF799B8" w14:textId="77777777" w:rsidR="00C57C9F" w:rsidRDefault="00C57C9F">
            <w:pPr>
              <w:pStyle w:val="3fins-table"/>
              <w:rPr>
                <w:rFonts w:cs="Times New Roman"/>
              </w:rPr>
            </w:pPr>
            <w:r>
              <w:rPr>
                <w:rFonts w:cs="Times New Roman"/>
              </w:rPr>
              <w:t>During the period, the Commission relocated office premises. Leasehold improvements not transferrable to the new office premises were impaired.</w:t>
            </w:r>
          </w:p>
        </w:tc>
        <w:tc>
          <w:tcPr>
            <w:tcW w:w="1529" w:type="dxa"/>
            <w:vAlign w:val="center"/>
            <w:hideMark/>
          </w:tcPr>
          <w:p w14:paraId="67D0FF48" w14:textId="77777777" w:rsidR="00C57C9F" w:rsidRDefault="00C57C9F" w:rsidP="006F421D">
            <w:pPr>
              <w:jc w:val="right"/>
              <w:rPr>
                <w:rFonts w:eastAsia="Times New Roman" w:cs="Times New Roman"/>
              </w:rPr>
            </w:pPr>
          </w:p>
        </w:tc>
        <w:tc>
          <w:tcPr>
            <w:tcW w:w="985" w:type="dxa"/>
            <w:vAlign w:val="center"/>
            <w:hideMark/>
          </w:tcPr>
          <w:p w14:paraId="57DE6C62" w14:textId="77777777" w:rsidR="00C57C9F" w:rsidRDefault="00C57C9F" w:rsidP="006F421D">
            <w:pPr>
              <w:jc w:val="right"/>
              <w:rPr>
                <w:rFonts w:eastAsia="Times New Roman" w:cs="Times New Roman"/>
              </w:rPr>
            </w:pPr>
          </w:p>
        </w:tc>
      </w:tr>
    </w:tbl>
    <w:p w14:paraId="5445F587" w14:textId="77777777" w:rsidR="00C57C9F" w:rsidRDefault="00C57C9F">
      <w:pPr>
        <w:pStyle w:val="1heading-2"/>
        <w:divId w:val="1139883726"/>
        <w:rPr>
          <w:rFonts w:cs="Times New Roman"/>
          <w:lang w:val="en-AU"/>
        </w:rPr>
      </w:pPr>
    </w:p>
    <w:p w14:paraId="1AE92BC3" w14:textId="77777777" w:rsidR="00C57C9F" w:rsidRDefault="00C57C9F">
      <w:pPr>
        <w:rPr>
          <w:rFonts w:cs="Times New Roman"/>
          <w:b/>
          <w:sz w:val="28"/>
        </w:rPr>
      </w:pPr>
      <w:r>
        <w:rPr>
          <w:rFonts w:cs="Times New Roman"/>
        </w:rPr>
        <w:br w:type="page"/>
      </w:r>
    </w:p>
    <w:p w14:paraId="7E40AB02" w14:textId="77777777" w:rsidR="00C57C9F" w:rsidRDefault="00C57C9F">
      <w:pPr>
        <w:pStyle w:val="1heading-2"/>
        <w:divId w:val="1139883726"/>
        <w:rPr>
          <w:rFonts w:cs="Times New Roman"/>
          <w:lang w:val="en-AU"/>
        </w:rPr>
      </w:pPr>
      <w:r>
        <w:rPr>
          <w:rFonts w:cs="Times New Roman"/>
          <w:lang w:val="en-AU"/>
        </w:rPr>
        <w:lastRenderedPageBreak/>
        <w:t xml:space="preserve">Note 4: Income </w:t>
      </w:r>
    </w:p>
    <w:tbl>
      <w:tblPr>
        <w:tblW w:w="0" w:type="auto"/>
        <w:tblCellMar>
          <w:top w:w="28" w:type="dxa"/>
          <w:left w:w="15" w:type="dxa"/>
          <w:bottom w:w="28" w:type="dxa"/>
          <w:right w:w="15" w:type="dxa"/>
        </w:tblCellMar>
        <w:tblLook w:val="04A0" w:firstRow="1" w:lastRow="0" w:firstColumn="1" w:lastColumn="0" w:noHBand="0" w:noVBand="1"/>
      </w:tblPr>
      <w:tblGrid>
        <w:gridCol w:w="7655"/>
        <w:gridCol w:w="1529"/>
        <w:gridCol w:w="947"/>
      </w:tblGrid>
      <w:tr w:rsidR="00C57C9F" w14:paraId="37BDE9CE" w14:textId="77777777" w:rsidTr="006F421D">
        <w:trPr>
          <w:divId w:val="1139883726"/>
        </w:trPr>
        <w:tc>
          <w:tcPr>
            <w:tcW w:w="7655" w:type="dxa"/>
            <w:vAlign w:val="center"/>
            <w:hideMark/>
          </w:tcPr>
          <w:p w14:paraId="11ED5D65" w14:textId="77777777" w:rsidR="00C57C9F" w:rsidRDefault="00C57C9F">
            <w:pPr>
              <w:rPr>
                <w:rFonts w:eastAsia="Times New Roman" w:cs="Times New Roman"/>
              </w:rPr>
            </w:pPr>
          </w:p>
        </w:tc>
        <w:tc>
          <w:tcPr>
            <w:tcW w:w="1529" w:type="dxa"/>
            <w:vAlign w:val="center"/>
            <w:hideMark/>
          </w:tcPr>
          <w:p w14:paraId="5A24B44C" w14:textId="77777777" w:rsidR="00C57C9F" w:rsidRDefault="00C57C9F" w:rsidP="006F421D">
            <w:pPr>
              <w:pStyle w:val="3fins-table-figures"/>
              <w:jc w:val="right"/>
              <w:rPr>
                <w:rFonts w:cs="Times New Roman"/>
              </w:rPr>
            </w:pPr>
            <w:r>
              <w:rPr>
                <w:rStyle w:val="fins-bold"/>
                <w:rFonts w:cs="Times New Roman"/>
              </w:rPr>
              <w:t>2014</w:t>
            </w:r>
          </w:p>
        </w:tc>
        <w:tc>
          <w:tcPr>
            <w:tcW w:w="947" w:type="dxa"/>
            <w:vAlign w:val="center"/>
            <w:hideMark/>
          </w:tcPr>
          <w:p w14:paraId="4D25A1D3" w14:textId="77777777" w:rsidR="00C57C9F" w:rsidRDefault="00C57C9F" w:rsidP="006F421D">
            <w:pPr>
              <w:pStyle w:val="3fins-table-figures"/>
              <w:jc w:val="right"/>
              <w:rPr>
                <w:rFonts w:cs="Times New Roman"/>
              </w:rPr>
            </w:pPr>
            <w:r>
              <w:rPr>
                <w:rFonts w:cs="Times New Roman"/>
              </w:rPr>
              <w:t>2013</w:t>
            </w:r>
          </w:p>
        </w:tc>
      </w:tr>
      <w:tr w:rsidR="00C57C9F" w14:paraId="44EC2F00" w14:textId="77777777" w:rsidTr="006F421D">
        <w:trPr>
          <w:divId w:val="1139883726"/>
        </w:trPr>
        <w:tc>
          <w:tcPr>
            <w:tcW w:w="7655" w:type="dxa"/>
            <w:vAlign w:val="center"/>
            <w:hideMark/>
          </w:tcPr>
          <w:p w14:paraId="0BBF48A0" w14:textId="77777777" w:rsidR="00C57C9F" w:rsidRDefault="00C57C9F">
            <w:pPr>
              <w:pStyle w:val="3fins-table"/>
              <w:rPr>
                <w:rFonts w:cs="Times New Roman"/>
              </w:rPr>
            </w:pPr>
            <w:r>
              <w:rPr>
                <w:rStyle w:val="fins-bold"/>
                <w:rFonts w:cs="Times New Roman"/>
              </w:rPr>
              <w:t>OWN-SOURCE REVENUE</w:t>
            </w:r>
          </w:p>
        </w:tc>
        <w:tc>
          <w:tcPr>
            <w:tcW w:w="1529" w:type="dxa"/>
            <w:vAlign w:val="center"/>
            <w:hideMark/>
          </w:tcPr>
          <w:p w14:paraId="4451CBDC" w14:textId="77777777" w:rsidR="00C57C9F" w:rsidRDefault="00C57C9F" w:rsidP="006F421D">
            <w:pPr>
              <w:pStyle w:val="3fins-table-figures"/>
              <w:jc w:val="right"/>
              <w:rPr>
                <w:rFonts w:cs="Times New Roman"/>
              </w:rPr>
            </w:pPr>
            <w:r>
              <w:rPr>
                <w:rStyle w:val="fins-bold"/>
                <w:rFonts w:cs="Times New Roman"/>
              </w:rPr>
              <w:t>$’000</w:t>
            </w:r>
          </w:p>
        </w:tc>
        <w:tc>
          <w:tcPr>
            <w:tcW w:w="947" w:type="dxa"/>
            <w:vAlign w:val="center"/>
            <w:hideMark/>
          </w:tcPr>
          <w:p w14:paraId="1106976F" w14:textId="77777777" w:rsidR="00C57C9F" w:rsidRDefault="00C57C9F" w:rsidP="006F421D">
            <w:pPr>
              <w:pStyle w:val="3fins-table-figures"/>
              <w:jc w:val="right"/>
              <w:rPr>
                <w:rFonts w:cs="Times New Roman"/>
              </w:rPr>
            </w:pPr>
            <w:r>
              <w:rPr>
                <w:rFonts w:cs="Times New Roman"/>
              </w:rPr>
              <w:t>$’000</w:t>
            </w:r>
          </w:p>
        </w:tc>
      </w:tr>
      <w:tr w:rsidR="00C57C9F" w14:paraId="05D67036" w14:textId="77777777" w:rsidTr="006F421D">
        <w:trPr>
          <w:divId w:val="1139883726"/>
        </w:trPr>
        <w:tc>
          <w:tcPr>
            <w:tcW w:w="7655" w:type="dxa"/>
            <w:vAlign w:val="center"/>
            <w:hideMark/>
          </w:tcPr>
          <w:p w14:paraId="33D3FD40" w14:textId="77777777" w:rsidR="00C57C9F" w:rsidRDefault="00C57C9F">
            <w:pPr>
              <w:rPr>
                <w:rFonts w:eastAsia="Times New Roman" w:cs="Times New Roman"/>
              </w:rPr>
            </w:pPr>
          </w:p>
        </w:tc>
        <w:tc>
          <w:tcPr>
            <w:tcW w:w="1529" w:type="dxa"/>
            <w:vAlign w:val="center"/>
            <w:hideMark/>
          </w:tcPr>
          <w:p w14:paraId="66A74974" w14:textId="77777777" w:rsidR="00C57C9F" w:rsidRDefault="00C57C9F" w:rsidP="006F421D">
            <w:pPr>
              <w:jc w:val="right"/>
              <w:rPr>
                <w:rFonts w:eastAsia="Times New Roman" w:cs="Times New Roman"/>
              </w:rPr>
            </w:pPr>
          </w:p>
        </w:tc>
        <w:tc>
          <w:tcPr>
            <w:tcW w:w="947" w:type="dxa"/>
            <w:vAlign w:val="center"/>
            <w:hideMark/>
          </w:tcPr>
          <w:p w14:paraId="3AB9D2BD" w14:textId="77777777" w:rsidR="00C57C9F" w:rsidRDefault="00C57C9F" w:rsidP="006F421D">
            <w:pPr>
              <w:jc w:val="right"/>
              <w:rPr>
                <w:rFonts w:eastAsia="Times New Roman" w:cs="Times New Roman"/>
              </w:rPr>
            </w:pPr>
          </w:p>
        </w:tc>
      </w:tr>
      <w:tr w:rsidR="00C57C9F" w14:paraId="1151E235" w14:textId="77777777" w:rsidTr="006F421D">
        <w:trPr>
          <w:divId w:val="1139883726"/>
        </w:trPr>
        <w:tc>
          <w:tcPr>
            <w:tcW w:w="7655" w:type="dxa"/>
            <w:vAlign w:val="center"/>
            <w:hideMark/>
          </w:tcPr>
          <w:p w14:paraId="0E9B690A" w14:textId="77777777" w:rsidR="00C57C9F" w:rsidRDefault="00C57C9F">
            <w:pPr>
              <w:pStyle w:val="1heading-3"/>
              <w:rPr>
                <w:rFonts w:cs="Times New Roman"/>
              </w:rPr>
            </w:pPr>
            <w:r>
              <w:rPr>
                <w:rFonts w:cs="Times New Roman"/>
              </w:rPr>
              <w:t>Note 4A: Rendering of Services</w:t>
            </w:r>
          </w:p>
        </w:tc>
        <w:tc>
          <w:tcPr>
            <w:tcW w:w="1529" w:type="dxa"/>
            <w:tcBorders>
              <w:bottom w:val="single" w:sz="4" w:space="0" w:color="0D0D0D" w:themeColor="text1" w:themeTint="F2"/>
            </w:tcBorders>
            <w:vAlign w:val="center"/>
            <w:hideMark/>
          </w:tcPr>
          <w:p w14:paraId="7B19588E" w14:textId="77777777" w:rsidR="00C57C9F" w:rsidRDefault="00C57C9F" w:rsidP="006F421D">
            <w:pPr>
              <w:jc w:val="right"/>
              <w:rPr>
                <w:rFonts w:eastAsia="Times New Roman" w:cs="Times New Roman"/>
              </w:rPr>
            </w:pPr>
          </w:p>
        </w:tc>
        <w:tc>
          <w:tcPr>
            <w:tcW w:w="947" w:type="dxa"/>
            <w:tcBorders>
              <w:bottom w:val="single" w:sz="4" w:space="0" w:color="0D0D0D" w:themeColor="text1" w:themeTint="F2"/>
            </w:tcBorders>
            <w:vAlign w:val="center"/>
            <w:hideMark/>
          </w:tcPr>
          <w:p w14:paraId="16673B12" w14:textId="77777777" w:rsidR="00C57C9F" w:rsidRDefault="00C57C9F" w:rsidP="006F421D">
            <w:pPr>
              <w:jc w:val="right"/>
              <w:rPr>
                <w:rFonts w:eastAsia="Times New Roman" w:cs="Times New Roman"/>
              </w:rPr>
            </w:pPr>
          </w:p>
        </w:tc>
      </w:tr>
      <w:tr w:rsidR="00C57C9F" w14:paraId="41EBE3E8" w14:textId="77777777" w:rsidTr="006F421D">
        <w:trPr>
          <w:divId w:val="1139883726"/>
        </w:trPr>
        <w:tc>
          <w:tcPr>
            <w:tcW w:w="7655" w:type="dxa"/>
            <w:vAlign w:val="center"/>
            <w:hideMark/>
          </w:tcPr>
          <w:p w14:paraId="0D5FB55E" w14:textId="77777777" w:rsidR="00C57C9F" w:rsidRDefault="00C57C9F">
            <w:pPr>
              <w:pStyle w:val="3fins-table"/>
              <w:rPr>
                <w:rFonts w:cs="Times New Roman"/>
              </w:rPr>
            </w:pPr>
            <w:r>
              <w:rPr>
                <w:rFonts w:cs="Times New Roman"/>
              </w:rPr>
              <w:t>Rendering of services – related parties</w:t>
            </w:r>
          </w:p>
        </w:tc>
        <w:tc>
          <w:tcPr>
            <w:tcW w:w="1529" w:type="dxa"/>
            <w:tcBorders>
              <w:top w:val="single" w:sz="4" w:space="0" w:color="0D0D0D" w:themeColor="text1" w:themeTint="F2"/>
              <w:bottom w:val="single" w:sz="4" w:space="0" w:color="0D0D0D" w:themeColor="text1" w:themeTint="F2"/>
            </w:tcBorders>
            <w:vAlign w:val="center"/>
            <w:hideMark/>
          </w:tcPr>
          <w:p w14:paraId="2BBD8DC6" w14:textId="77777777" w:rsidR="00C57C9F" w:rsidRDefault="00C57C9F" w:rsidP="006F421D">
            <w:pPr>
              <w:pStyle w:val="3fins-table-figures"/>
              <w:jc w:val="right"/>
              <w:rPr>
                <w:rFonts w:cs="Times New Roman"/>
              </w:rPr>
            </w:pPr>
            <w:r>
              <w:rPr>
                <w:rStyle w:val="fins-bold"/>
                <w:rFonts w:cs="Times New Roman"/>
              </w:rPr>
              <w:t xml:space="preserve">6,104 </w:t>
            </w:r>
          </w:p>
        </w:tc>
        <w:tc>
          <w:tcPr>
            <w:tcW w:w="947" w:type="dxa"/>
            <w:tcBorders>
              <w:top w:val="single" w:sz="4" w:space="0" w:color="0D0D0D" w:themeColor="text1" w:themeTint="F2"/>
              <w:bottom w:val="single" w:sz="4" w:space="0" w:color="0D0D0D" w:themeColor="text1" w:themeTint="F2"/>
            </w:tcBorders>
            <w:vAlign w:val="center"/>
            <w:hideMark/>
          </w:tcPr>
          <w:p w14:paraId="21F4A85E" w14:textId="77777777" w:rsidR="00C57C9F" w:rsidRDefault="00C57C9F" w:rsidP="006F421D">
            <w:pPr>
              <w:pStyle w:val="3fins-table-figures"/>
              <w:jc w:val="right"/>
              <w:rPr>
                <w:rFonts w:cs="Times New Roman"/>
              </w:rPr>
            </w:pPr>
            <w:r>
              <w:rPr>
                <w:rFonts w:cs="Times New Roman"/>
              </w:rPr>
              <w:t>2,379</w:t>
            </w:r>
          </w:p>
        </w:tc>
      </w:tr>
      <w:tr w:rsidR="00C57C9F" w14:paraId="287F185C" w14:textId="77777777" w:rsidTr="006F421D">
        <w:trPr>
          <w:divId w:val="1139883726"/>
        </w:trPr>
        <w:tc>
          <w:tcPr>
            <w:tcW w:w="7655" w:type="dxa"/>
            <w:vAlign w:val="center"/>
            <w:hideMark/>
          </w:tcPr>
          <w:p w14:paraId="1193193F" w14:textId="77777777" w:rsidR="00C57C9F" w:rsidRDefault="00C57C9F">
            <w:pPr>
              <w:pStyle w:val="3fins-table"/>
              <w:rPr>
                <w:rFonts w:cs="Times New Roman"/>
              </w:rPr>
            </w:pPr>
            <w:r>
              <w:rPr>
                <w:rFonts w:cs="Times New Roman"/>
              </w:rPr>
              <w:t>Rendering of services – external parties</w:t>
            </w:r>
          </w:p>
        </w:tc>
        <w:tc>
          <w:tcPr>
            <w:tcW w:w="1529" w:type="dxa"/>
            <w:tcBorders>
              <w:top w:val="single" w:sz="4" w:space="0" w:color="0D0D0D" w:themeColor="text1" w:themeTint="F2"/>
            </w:tcBorders>
            <w:vAlign w:val="center"/>
            <w:hideMark/>
          </w:tcPr>
          <w:p w14:paraId="533C30D2" w14:textId="77777777" w:rsidR="00C57C9F" w:rsidRDefault="00C57C9F" w:rsidP="006F421D">
            <w:pPr>
              <w:pStyle w:val="3fins-table-figures"/>
              <w:jc w:val="right"/>
              <w:rPr>
                <w:rFonts w:cs="Times New Roman"/>
              </w:rPr>
            </w:pPr>
            <w:r>
              <w:rPr>
                <w:rStyle w:val="fins-bold"/>
                <w:rFonts w:cs="Times New Roman"/>
              </w:rPr>
              <w:t>–</w:t>
            </w:r>
          </w:p>
        </w:tc>
        <w:tc>
          <w:tcPr>
            <w:tcW w:w="947" w:type="dxa"/>
            <w:tcBorders>
              <w:top w:val="single" w:sz="4" w:space="0" w:color="0D0D0D" w:themeColor="text1" w:themeTint="F2"/>
            </w:tcBorders>
            <w:vAlign w:val="center"/>
            <w:hideMark/>
          </w:tcPr>
          <w:p w14:paraId="4729C533" w14:textId="77777777" w:rsidR="00C57C9F" w:rsidRDefault="00C57C9F" w:rsidP="006F421D">
            <w:pPr>
              <w:pStyle w:val="3fins-table-figures"/>
              <w:jc w:val="right"/>
              <w:rPr>
                <w:rFonts w:cs="Times New Roman"/>
              </w:rPr>
            </w:pPr>
            <w:r>
              <w:rPr>
                <w:rFonts w:cs="Times New Roman"/>
              </w:rPr>
              <w:t xml:space="preserve">34 </w:t>
            </w:r>
          </w:p>
        </w:tc>
      </w:tr>
      <w:tr w:rsidR="00C57C9F" w14:paraId="5563A0B8" w14:textId="77777777" w:rsidTr="006F421D">
        <w:trPr>
          <w:divId w:val="1139883726"/>
        </w:trPr>
        <w:tc>
          <w:tcPr>
            <w:tcW w:w="7655" w:type="dxa"/>
            <w:vAlign w:val="center"/>
            <w:hideMark/>
          </w:tcPr>
          <w:p w14:paraId="2ED64B4D" w14:textId="77777777" w:rsidR="00C57C9F" w:rsidRDefault="00C57C9F">
            <w:pPr>
              <w:pStyle w:val="3fins-table"/>
              <w:rPr>
                <w:rFonts w:cs="Times New Roman"/>
              </w:rPr>
            </w:pPr>
            <w:r>
              <w:rPr>
                <w:rStyle w:val="fins-bold"/>
                <w:rFonts w:cs="Times New Roman"/>
              </w:rPr>
              <w:t>Total sale of goods and rendering of services</w:t>
            </w:r>
          </w:p>
        </w:tc>
        <w:tc>
          <w:tcPr>
            <w:tcW w:w="1529" w:type="dxa"/>
            <w:vAlign w:val="center"/>
            <w:hideMark/>
          </w:tcPr>
          <w:p w14:paraId="6E13A68E" w14:textId="77777777" w:rsidR="00C57C9F" w:rsidRDefault="00C57C9F" w:rsidP="006F421D">
            <w:pPr>
              <w:pStyle w:val="3fins-table-figures"/>
              <w:jc w:val="right"/>
              <w:rPr>
                <w:rFonts w:cs="Times New Roman"/>
              </w:rPr>
            </w:pPr>
            <w:r>
              <w:rPr>
                <w:rStyle w:val="fins-bold"/>
                <w:rFonts w:cs="Times New Roman"/>
              </w:rPr>
              <w:t xml:space="preserve">6,104 </w:t>
            </w:r>
          </w:p>
        </w:tc>
        <w:tc>
          <w:tcPr>
            <w:tcW w:w="947" w:type="dxa"/>
            <w:vAlign w:val="center"/>
            <w:hideMark/>
          </w:tcPr>
          <w:p w14:paraId="02E990C6" w14:textId="77777777" w:rsidR="00C57C9F" w:rsidRDefault="00C57C9F" w:rsidP="006F421D">
            <w:pPr>
              <w:pStyle w:val="3fins-table-figures"/>
              <w:jc w:val="right"/>
              <w:rPr>
                <w:rFonts w:cs="Times New Roman"/>
              </w:rPr>
            </w:pPr>
            <w:r>
              <w:rPr>
                <w:rFonts w:cs="Times New Roman"/>
              </w:rPr>
              <w:t xml:space="preserve">2,413 </w:t>
            </w:r>
          </w:p>
        </w:tc>
      </w:tr>
      <w:tr w:rsidR="00C57C9F" w14:paraId="7E9572C9" w14:textId="77777777" w:rsidTr="006F421D">
        <w:trPr>
          <w:divId w:val="1139883726"/>
        </w:trPr>
        <w:tc>
          <w:tcPr>
            <w:tcW w:w="7655" w:type="dxa"/>
            <w:vAlign w:val="center"/>
            <w:hideMark/>
          </w:tcPr>
          <w:p w14:paraId="6A1993CD" w14:textId="77777777" w:rsidR="00C57C9F" w:rsidRDefault="00C57C9F">
            <w:pPr>
              <w:rPr>
                <w:rFonts w:eastAsia="Times New Roman" w:cs="Times New Roman"/>
              </w:rPr>
            </w:pPr>
          </w:p>
        </w:tc>
        <w:tc>
          <w:tcPr>
            <w:tcW w:w="1529" w:type="dxa"/>
            <w:vAlign w:val="center"/>
            <w:hideMark/>
          </w:tcPr>
          <w:p w14:paraId="724811F6" w14:textId="77777777" w:rsidR="00C57C9F" w:rsidRDefault="00C57C9F" w:rsidP="006F421D">
            <w:pPr>
              <w:jc w:val="right"/>
              <w:rPr>
                <w:rFonts w:eastAsia="Times New Roman" w:cs="Times New Roman"/>
              </w:rPr>
            </w:pPr>
          </w:p>
        </w:tc>
        <w:tc>
          <w:tcPr>
            <w:tcW w:w="947" w:type="dxa"/>
            <w:vAlign w:val="center"/>
            <w:hideMark/>
          </w:tcPr>
          <w:p w14:paraId="51E5F92F" w14:textId="77777777" w:rsidR="00C57C9F" w:rsidRDefault="00C57C9F" w:rsidP="006F421D">
            <w:pPr>
              <w:jc w:val="right"/>
              <w:rPr>
                <w:rFonts w:eastAsia="Times New Roman" w:cs="Times New Roman"/>
              </w:rPr>
            </w:pPr>
          </w:p>
        </w:tc>
      </w:tr>
      <w:tr w:rsidR="00C57C9F" w14:paraId="26D3FF07" w14:textId="77777777" w:rsidTr="006F421D">
        <w:trPr>
          <w:divId w:val="1139883726"/>
        </w:trPr>
        <w:tc>
          <w:tcPr>
            <w:tcW w:w="7655" w:type="dxa"/>
            <w:vAlign w:val="center"/>
            <w:hideMark/>
          </w:tcPr>
          <w:p w14:paraId="46618CBE" w14:textId="77777777" w:rsidR="00C57C9F" w:rsidRDefault="00C57C9F">
            <w:pPr>
              <w:pStyle w:val="1heading-3"/>
              <w:rPr>
                <w:rFonts w:cs="Times New Roman"/>
              </w:rPr>
            </w:pPr>
            <w:r>
              <w:rPr>
                <w:rFonts w:cs="Times New Roman"/>
              </w:rPr>
              <w:t>Note 4B: Interest</w:t>
            </w:r>
          </w:p>
        </w:tc>
        <w:tc>
          <w:tcPr>
            <w:tcW w:w="1529" w:type="dxa"/>
            <w:vAlign w:val="center"/>
            <w:hideMark/>
          </w:tcPr>
          <w:p w14:paraId="27613B74" w14:textId="77777777" w:rsidR="00C57C9F" w:rsidRDefault="00C57C9F" w:rsidP="006F421D">
            <w:pPr>
              <w:jc w:val="right"/>
              <w:rPr>
                <w:rFonts w:eastAsia="Times New Roman" w:cs="Times New Roman"/>
              </w:rPr>
            </w:pPr>
          </w:p>
        </w:tc>
        <w:tc>
          <w:tcPr>
            <w:tcW w:w="947" w:type="dxa"/>
            <w:vAlign w:val="center"/>
            <w:hideMark/>
          </w:tcPr>
          <w:p w14:paraId="5832903B" w14:textId="77777777" w:rsidR="00C57C9F" w:rsidRDefault="00C57C9F" w:rsidP="006F421D">
            <w:pPr>
              <w:jc w:val="right"/>
              <w:rPr>
                <w:rFonts w:eastAsia="Times New Roman" w:cs="Times New Roman"/>
              </w:rPr>
            </w:pPr>
          </w:p>
        </w:tc>
      </w:tr>
      <w:tr w:rsidR="00C57C9F" w14:paraId="34D345C7" w14:textId="77777777" w:rsidTr="006F421D">
        <w:trPr>
          <w:divId w:val="1139883726"/>
        </w:trPr>
        <w:tc>
          <w:tcPr>
            <w:tcW w:w="7655" w:type="dxa"/>
            <w:vAlign w:val="center"/>
            <w:hideMark/>
          </w:tcPr>
          <w:p w14:paraId="2DEB6FFC" w14:textId="77777777" w:rsidR="00C57C9F" w:rsidRDefault="00C57C9F">
            <w:pPr>
              <w:pStyle w:val="3fins-table"/>
              <w:rPr>
                <w:rFonts w:cs="Times New Roman"/>
              </w:rPr>
            </w:pPr>
            <w:r>
              <w:rPr>
                <w:rFonts w:cs="Times New Roman"/>
              </w:rPr>
              <w:t>Deposits</w:t>
            </w:r>
          </w:p>
        </w:tc>
        <w:tc>
          <w:tcPr>
            <w:tcW w:w="1529" w:type="dxa"/>
            <w:tcBorders>
              <w:bottom w:val="single" w:sz="4" w:space="0" w:color="0D0D0D" w:themeColor="text1" w:themeTint="F2"/>
            </w:tcBorders>
            <w:vAlign w:val="center"/>
            <w:hideMark/>
          </w:tcPr>
          <w:p w14:paraId="3C33D21E" w14:textId="77777777" w:rsidR="00C57C9F" w:rsidRDefault="00C57C9F" w:rsidP="006F421D">
            <w:pPr>
              <w:pStyle w:val="3fins-table-figures"/>
              <w:jc w:val="right"/>
              <w:rPr>
                <w:rFonts w:cs="Times New Roman"/>
              </w:rPr>
            </w:pPr>
            <w:r>
              <w:rPr>
                <w:rStyle w:val="fins-bold"/>
                <w:rFonts w:cs="Times New Roman"/>
              </w:rPr>
              <w:t xml:space="preserve">312 </w:t>
            </w:r>
          </w:p>
        </w:tc>
        <w:tc>
          <w:tcPr>
            <w:tcW w:w="947" w:type="dxa"/>
            <w:tcBorders>
              <w:bottom w:val="single" w:sz="4" w:space="0" w:color="0D0D0D" w:themeColor="text1" w:themeTint="F2"/>
            </w:tcBorders>
            <w:vAlign w:val="center"/>
            <w:hideMark/>
          </w:tcPr>
          <w:p w14:paraId="2B108BE3" w14:textId="77777777" w:rsidR="00C57C9F" w:rsidRDefault="00C57C9F" w:rsidP="006F421D">
            <w:pPr>
              <w:pStyle w:val="3fins-table-figures"/>
              <w:jc w:val="right"/>
              <w:rPr>
                <w:rFonts w:cs="Times New Roman"/>
              </w:rPr>
            </w:pPr>
            <w:r>
              <w:rPr>
                <w:rFonts w:cs="Times New Roman"/>
              </w:rPr>
              <w:t xml:space="preserve">431 </w:t>
            </w:r>
          </w:p>
        </w:tc>
      </w:tr>
      <w:tr w:rsidR="00C57C9F" w14:paraId="4AE5B383" w14:textId="77777777" w:rsidTr="006F421D">
        <w:trPr>
          <w:divId w:val="1139883726"/>
        </w:trPr>
        <w:tc>
          <w:tcPr>
            <w:tcW w:w="7655" w:type="dxa"/>
            <w:vAlign w:val="center"/>
            <w:hideMark/>
          </w:tcPr>
          <w:p w14:paraId="2828B39E" w14:textId="77777777" w:rsidR="00C57C9F" w:rsidRDefault="00C57C9F">
            <w:pPr>
              <w:pStyle w:val="3fins-table"/>
              <w:rPr>
                <w:rFonts w:cs="Times New Roman"/>
              </w:rPr>
            </w:pPr>
            <w:r>
              <w:rPr>
                <w:rStyle w:val="fins-bold"/>
                <w:rFonts w:cs="Times New Roman"/>
              </w:rPr>
              <w:t>Total interest</w:t>
            </w:r>
          </w:p>
        </w:tc>
        <w:tc>
          <w:tcPr>
            <w:tcW w:w="1529" w:type="dxa"/>
            <w:tcBorders>
              <w:top w:val="single" w:sz="4" w:space="0" w:color="0D0D0D" w:themeColor="text1" w:themeTint="F2"/>
              <w:bottom w:val="single" w:sz="4" w:space="0" w:color="0D0D0D" w:themeColor="text1" w:themeTint="F2"/>
            </w:tcBorders>
            <w:vAlign w:val="center"/>
            <w:hideMark/>
          </w:tcPr>
          <w:p w14:paraId="3C7F8373" w14:textId="77777777" w:rsidR="00C57C9F" w:rsidRDefault="00C57C9F" w:rsidP="006F421D">
            <w:pPr>
              <w:pStyle w:val="3fins-table-figures"/>
              <w:jc w:val="right"/>
              <w:rPr>
                <w:rFonts w:cs="Times New Roman"/>
              </w:rPr>
            </w:pPr>
            <w:r>
              <w:rPr>
                <w:rStyle w:val="fins-bold"/>
                <w:rFonts w:cs="Times New Roman"/>
              </w:rPr>
              <w:t xml:space="preserve">312 </w:t>
            </w:r>
          </w:p>
        </w:tc>
        <w:tc>
          <w:tcPr>
            <w:tcW w:w="947" w:type="dxa"/>
            <w:tcBorders>
              <w:top w:val="single" w:sz="4" w:space="0" w:color="0D0D0D" w:themeColor="text1" w:themeTint="F2"/>
              <w:bottom w:val="single" w:sz="4" w:space="0" w:color="0D0D0D" w:themeColor="text1" w:themeTint="F2"/>
            </w:tcBorders>
            <w:vAlign w:val="center"/>
            <w:hideMark/>
          </w:tcPr>
          <w:p w14:paraId="02E29E75" w14:textId="77777777" w:rsidR="00C57C9F" w:rsidRDefault="00C57C9F" w:rsidP="006F421D">
            <w:pPr>
              <w:pStyle w:val="3fins-table-figures"/>
              <w:jc w:val="right"/>
              <w:rPr>
                <w:rFonts w:cs="Times New Roman"/>
              </w:rPr>
            </w:pPr>
            <w:r>
              <w:rPr>
                <w:rFonts w:cs="Times New Roman"/>
              </w:rPr>
              <w:t xml:space="preserve">431 </w:t>
            </w:r>
          </w:p>
        </w:tc>
      </w:tr>
      <w:tr w:rsidR="00C57C9F" w14:paraId="3C4F6265" w14:textId="77777777" w:rsidTr="006F421D">
        <w:trPr>
          <w:divId w:val="1139883726"/>
        </w:trPr>
        <w:tc>
          <w:tcPr>
            <w:tcW w:w="7655" w:type="dxa"/>
            <w:vAlign w:val="center"/>
            <w:hideMark/>
          </w:tcPr>
          <w:p w14:paraId="69248D98" w14:textId="77777777" w:rsidR="00C57C9F" w:rsidRDefault="00C57C9F">
            <w:pPr>
              <w:rPr>
                <w:rFonts w:eastAsia="Times New Roman" w:cs="Times New Roman"/>
              </w:rPr>
            </w:pPr>
          </w:p>
        </w:tc>
        <w:tc>
          <w:tcPr>
            <w:tcW w:w="1529" w:type="dxa"/>
            <w:tcBorders>
              <w:top w:val="single" w:sz="4" w:space="0" w:color="0D0D0D" w:themeColor="text1" w:themeTint="F2"/>
            </w:tcBorders>
            <w:vAlign w:val="center"/>
            <w:hideMark/>
          </w:tcPr>
          <w:p w14:paraId="3A58EB5E" w14:textId="77777777" w:rsidR="00C57C9F" w:rsidRDefault="00C57C9F" w:rsidP="006F421D">
            <w:pPr>
              <w:jc w:val="right"/>
              <w:rPr>
                <w:rFonts w:eastAsia="Times New Roman" w:cs="Times New Roman"/>
              </w:rPr>
            </w:pPr>
          </w:p>
        </w:tc>
        <w:tc>
          <w:tcPr>
            <w:tcW w:w="947" w:type="dxa"/>
            <w:tcBorders>
              <w:top w:val="single" w:sz="4" w:space="0" w:color="0D0D0D" w:themeColor="text1" w:themeTint="F2"/>
            </w:tcBorders>
            <w:vAlign w:val="center"/>
            <w:hideMark/>
          </w:tcPr>
          <w:p w14:paraId="004A4540" w14:textId="77777777" w:rsidR="00C57C9F" w:rsidRDefault="00C57C9F" w:rsidP="006F421D">
            <w:pPr>
              <w:jc w:val="right"/>
              <w:rPr>
                <w:rFonts w:eastAsia="Times New Roman" w:cs="Times New Roman"/>
              </w:rPr>
            </w:pPr>
          </w:p>
        </w:tc>
      </w:tr>
      <w:tr w:rsidR="00C57C9F" w14:paraId="12005267" w14:textId="77777777" w:rsidTr="006F421D">
        <w:trPr>
          <w:divId w:val="1139883726"/>
        </w:trPr>
        <w:tc>
          <w:tcPr>
            <w:tcW w:w="7655" w:type="dxa"/>
            <w:vAlign w:val="center"/>
            <w:hideMark/>
          </w:tcPr>
          <w:p w14:paraId="4C7E94BC" w14:textId="77777777" w:rsidR="00C57C9F" w:rsidRDefault="00C57C9F">
            <w:pPr>
              <w:pStyle w:val="1heading-3"/>
              <w:rPr>
                <w:rFonts w:cs="Times New Roman"/>
              </w:rPr>
            </w:pPr>
            <w:r>
              <w:rPr>
                <w:rFonts w:cs="Times New Roman"/>
              </w:rPr>
              <w:t>Note 4C: External Contributions</w:t>
            </w:r>
          </w:p>
        </w:tc>
        <w:tc>
          <w:tcPr>
            <w:tcW w:w="1529" w:type="dxa"/>
            <w:vAlign w:val="center"/>
            <w:hideMark/>
          </w:tcPr>
          <w:p w14:paraId="2F1CC292" w14:textId="77777777" w:rsidR="00C57C9F" w:rsidRDefault="00C57C9F" w:rsidP="006F421D">
            <w:pPr>
              <w:jc w:val="right"/>
              <w:rPr>
                <w:rFonts w:eastAsia="Times New Roman" w:cs="Times New Roman"/>
              </w:rPr>
            </w:pPr>
          </w:p>
        </w:tc>
        <w:tc>
          <w:tcPr>
            <w:tcW w:w="947" w:type="dxa"/>
            <w:vAlign w:val="center"/>
            <w:hideMark/>
          </w:tcPr>
          <w:p w14:paraId="7D611F72" w14:textId="77777777" w:rsidR="00C57C9F" w:rsidRDefault="00C57C9F" w:rsidP="006F421D">
            <w:pPr>
              <w:jc w:val="right"/>
              <w:rPr>
                <w:rFonts w:eastAsia="Times New Roman" w:cs="Times New Roman"/>
              </w:rPr>
            </w:pPr>
          </w:p>
        </w:tc>
      </w:tr>
      <w:tr w:rsidR="00C57C9F" w14:paraId="02DE6611" w14:textId="77777777" w:rsidTr="006F421D">
        <w:trPr>
          <w:divId w:val="1139883726"/>
        </w:trPr>
        <w:tc>
          <w:tcPr>
            <w:tcW w:w="7655" w:type="dxa"/>
            <w:vAlign w:val="center"/>
            <w:hideMark/>
          </w:tcPr>
          <w:p w14:paraId="3165E1CE" w14:textId="77777777" w:rsidR="00C57C9F" w:rsidRDefault="00C57C9F">
            <w:pPr>
              <w:pStyle w:val="3fins-table"/>
              <w:rPr>
                <w:rFonts w:cs="Times New Roman"/>
              </w:rPr>
            </w:pPr>
            <w:r>
              <w:rPr>
                <w:rFonts w:cs="Times New Roman"/>
              </w:rPr>
              <w:t>States and Territories contributions</w:t>
            </w:r>
          </w:p>
        </w:tc>
        <w:tc>
          <w:tcPr>
            <w:tcW w:w="1529" w:type="dxa"/>
            <w:tcBorders>
              <w:bottom w:val="single" w:sz="4" w:space="0" w:color="0D0D0D" w:themeColor="text1" w:themeTint="F2"/>
            </w:tcBorders>
            <w:vAlign w:val="center"/>
            <w:hideMark/>
          </w:tcPr>
          <w:p w14:paraId="2C947201" w14:textId="77777777" w:rsidR="00C57C9F" w:rsidRDefault="00C57C9F" w:rsidP="006F421D">
            <w:pPr>
              <w:pStyle w:val="3fins-table-figures"/>
              <w:jc w:val="right"/>
              <w:rPr>
                <w:rFonts w:cs="Times New Roman"/>
              </w:rPr>
            </w:pPr>
            <w:r>
              <w:rPr>
                <w:rStyle w:val="fins-bold"/>
                <w:rFonts w:cs="Times New Roman"/>
              </w:rPr>
              <w:t xml:space="preserve">6,335 </w:t>
            </w:r>
          </w:p>
        </w:tc>
        <w:tc>
          <w:tcPr>
            <w:tcW w:w="947" w:type="dxa"/>
            <w:tcBorders>
              <w:bottom w:val="single" w:sz="4" w:space="0" w:color="0D0D0D" w:themeColor="text1" w:themeTint="F2"/>
            </w:tcBorders>
            <w:vAlign w:val="center"/>
            <w:hideMark/>
          </w:tcPr>
          <w:p w14:paraId="55E665DB" w14:textId="77777777" w:rsidR="00C57C9F" w:rsidRDefault="00C57C9F" w:rsidP="006F421D">
            <w:pPr>
              <w:pStyle w:val="3fins-table-figures"/>
              <w:jc w:val="right"/>
              <w:rPr>
                <w:rFonts w:cs="Times New Roman"/>
              </w:rPr>
            </w:pPr>
            <w:r>
              <w:rPr>
                <w:rFonts w:cs="Times New Roman"/>
              </w:rPr>
              <w:t xml:space="preserve">5,665 </w:t>
            </w:r>
          </w:p>
        </w:tc>
      </w:tr>
      <w:tr w:rsidR="00C57C9F" w14:paraId="1949C6DF" w14:textId="77777777" w:rsidTr="006F421D">
        <w:trPr>
          <w:divId w:val="1139883726"/>
        </w:trPr>
        <w:tc>
          <w:tcPr>
            <w:tcW w:w="7655" w:type="dxa"/>
            <w:vAlign w:val="center"/>
            <w:hideMark/>
          </w:tcPr>
          <w:p w14:paraId="28FE560C" w14:textId="77777777" w:rsidR="00C57C9F" w:rsidRDefault="00C57C9F">
            <w:pPr>
              <w:pStyle w:val="3fins-table"/>
              <w:rPr>
                <w:rFonts w:cs="Times New Roman"/>
              </w:rPr>
            </w:pPr>
            <w:r>
              <w:rPr>
                <w:rStyle w:val="fins-bold"/>
                <w:rFonts w:cs="Times New Roman"/>
              </w:rPr>
              <w:t>Total external contributions</w:t>
            </w:r>
          </w:p>
        </w:tc>
        <w:tc>
          <w:tcPr>
            <w:tcW w:w="1529" w:type="dxa"/>
            <w:tcBorders>
              <w:top w:val="single" w:sz="4" w:space="0" w:color="0D0D0D" w:themeColor="text1" w:themeTint="F2"/>
              <w:bottom w:val="single" w:sz="4" w:space="0" w:color="0D0D0D" w:themeColor="text1" w:themeTint="F2"/>
            </w:tcBorders>
            <w:vAlign w:val="center"/>
            <w:hideMark/>
          </w:tcPr>
          <w:p w14:paraId="4037C2DC" w14:textId="77777777" w:rsidR="00C57C9F" w:rsidRDefault="00C57C9F" w:rsidP="006F421D">
            <w:pPr>
              <w:pStyle w:val="3fins-table-figures"/>
              <w:jc w:val="right"/>
              <w:rPr>
                <w:rFonts w:cs="Times New Roman"/>
              </w:rPr>
            </w:pPr>
            <w:r>
              <w:rPr>
                <w:rStyle w:val="fins-bold"/>
                <w:rFonts w:cs="Times New Roman"/>
              </w:rPr>
              <w:t xml:space="preserve">6,335 </w:t>
            </w:r>
          </w:p>
        </w:tc>
        <w:tc>
          <w:tcPr>
            <w:tcW w:w="947" w:type="dxa"/>
            <w:tcBorders>
              <w:top w:val="single" w:sz="4" w:space="0" w:color="0D0D0D" w:themeColor="text1" w:themeTint="F2"/>
              <w:bottom w:val="single" w:sz="4" w:space="0" w:color="0D0D0D" w:themeColor="text1" w:themeTint="F2"/>
            </w:tcBorders>
            <w:vAlign w:val="center"/>
            <w:hideMark/>
          </w:tcPr>
          <w:p w14:paraId="363B3AC1" w14:textId="77777777" w:rsidR="00C57C9F" w:rsidRDefault="00C57C9F" w:rsidP="006F421D">
            <w:pPr>
              <w:pStyle w:val="3fins-table-figures"/>
              <w:jc w:val="right"/>
              <w:rPr>
                <w:rFonts w:cs="Times New Roman"/>
              </w:rPr>
            </w:pPr>
            <w:r>
              <w:rPr>
                <w:rFonts w:cs="Times New Roman"/>
              </w:rPr>
              <w:t xml:space="preserve">5,665 </w:t>
            </w:r>
          </w:p>
        </w:tc>
      </w:tr>
      <w:tr w:rsidR="00C57C9F" w14:paraId="6CC0F8C4" w14:textId="77777777" w:rsidTr="006F421D">
        <w:trPr>
          <w:divId w:val="1139883726"/>
        </w:trPr>
        <w:tc>
          <w:tcPr>
            <w:tcW w:w="7655" w:type="dxa"/>
            <w:vAlign w:val="center"/>
            <w:hideMark/>
          </w:tcPr>
          <w:p w14:paraId="3E5F1ACD" w14:textId="77777777" w:rsidR="00C57C9F" w:rsidRDefault="00C57C9F">
            <w:pPr>
              <w:rPr>
                <w:rFonts w:eastAsia="Times New Roman" w:cs="Times New Roman"/>
              </w:rPr>
            </w:pPr>
          </w:p>
        </w:tc>
        <w:tc>
          <w:tcPr>
            <w:tcW w:w="1529" w:type="dxa"/>
            <w:tcBorders>
              <w:top w:val="single" w:sz="4" w:space="0" w:color="0D0D0D" w:themeColor="text1" w:themeTint="F2"/>
            </w:tcBorders>
            <w:vAlign w:val="center"/>
            <w:hideMark/>
          </w:tcPr>
          <w:p w14:paraId="6193F061" w14:textId="77777777" w:rsidR="00C57C9F" w:rsidRDefault="00C57C9F" w:rsidP="006F421D">
            <w:pPr>
              <w:jc w:val="right"/>
              <w:rPr>
                <w:rFonts w:eastAsia="Times New Roman" w:cs="Times New Roman"/>
              </w:rPr>
            </w:pPr>
          </w:p>
        </w:tc>
        <w:tc>
          <w:tcPr>
            <w:tcW w:w="947" w:type="dxa"/>
            <w:tcBorders>
              <w:top w:val="single" w:sz="4" w:space="0" w:color="0D0D0D" w:themeColor="text1" w:themeTint="F2"/>
            </w:tcBorders>
            <w:vAlign w:val="center"/>
            <w:hideMark/>
          </w:tcPr>
          <w:p w14:paraId="0379A524" w14:textId="77777777" w:rsidR="00C57C9F" w:rsidRDefault="00C57C9F" w:rsidP="006F421D">
            <w:pPr>
              <w:jc w:val="right"/>
              <w:rPr>
                <w:rFonts w:eastAsia="Times New Roman" w:cs="Times New Roman"/>
              </w:rPr>
            </w:pPr>
          </w:p>
        </w:tc>
      </w:tr>
      <w:tr w:rsidR="00C57C9F" w14:paraId="6D559EC0" w14:textId="77777777" w:rsidTr="006F421D">
        <w:trPr>
          <w:divId w:val="1139883726"/>
        </w:trPr>
        <w:tc>
          <w:tcPr>
            <w:tcW w:w="7655" w:type="dxa"/>
            <w:vAlign w:val="center"/>
            <w:hideMark/>
          </w:tcPr>
          <w:p w14:paraId="42147B3A" w14:textId="77777777" w:rsidR="00C57C9F" w:rsidRDefault="00C57C9F">
            <w:pPr>
              <w:pStyle w:val="3fins-table"/>
              <w:rPr>
                <w:rFonts w:cs="Times New Roman"/>
              </w:rPr>
            </w:pPr>
            <w:r>
              <w:rPr>
                <w:rStyle w:val="fins-bold"/>
                <w:rFonts w:cs="Times New Roman"/>
              </w:rPr>
              <w:t>REVENUE FROM GOVERNMENT</w:t>
            </w:r>
          </w:p>
        </w:tc>
        <w:tc>
          <w:tcPr>
            <w:tcW w:w="1529" w:type="dxa"/>
            <w:vAlign w:val="center"/>
            <w:hideMark/>
          </w:tcPr>
          <w:p w14:paraId="26C83C02" w14:textId="77777777" w:rsidR="00C57C9F" w:rsidRDefault="00C57C9F" w:rsidP="006F421D">
            <w:pPr>
              <w:jc w:val="right"/>
              <w:rPr>
                <w:rFonts w:eastAsia="Times New Roman" w:cs="Times New Roman"/>
              </w:rPr>
            </w:pPr>
          </w:p>
        </w:tc>
        <w:tc>
          <w:tcPr>
            <w:tcW w:w="947" w:type="dxa"/>
            <w:vAlign w:val="center"/>
            <w:hideMark/>
          </w:tcPr>
          <w:p w14:paraId="6AB2EDB1" w14:textId="77777777" w:rsidR="00C57C9F" w:rsidRDefault="00C57C9F" w:rsidP="006F421D">
            <w:pPr>
              <w:jc w:val="right"/>
              <w:rPr>
                <w:rFonts w:eastAsia="Times New Roman" w:cs="Times New Roman"/>
              </w:rPr>
            </w:pPr>
          </w:p>
        </w:tc>
      </w:tr>
      <w:tr w:rsidR="00C57C9F" w14:paraId="5CC00453" w14:textId="77777777" w:rsidTr="006F421D">
        <w:trPr>
          <w:divId w:val="1139883726"/>
        </w:trPr>
        <w:tc>
          <w:tcPr>
            <w:tcW w:w="7655" w:type="dxa"/>
            <w:vAlign w:val="center"/>
            <w:hideMark/>
          </w:tcPr>
          <w:p w14:paraId="08B82AD5" w14:textId="77777777" w:rsidR="00C57C9F" w:rsidRDefault="00C57C9F">
            <w:pPr>
              <w:rPr>
                <w:rFonts w:eastAsia="Times New Roman" w:cs="Times New Roman"/>
              </w:rPr>
            </w:pPr>
          </w:p>
        </w:tc>
        <w:tc>
          <w:tcPr>
            <w:tcW w:w="1529" w:type="dxa"/>
            <w:vAlign w:val="center"/>
            <w:hideMark/>
          </w:tcPr>
          <w:p w14:paraId="1C4FE341" w14:textId="77777777" w:rsidR="00C57C9F" w:rsidRDefault="00C57C9F" w:rsidP="006F421D">
            <w:pPr>
              <w:jc w:val="right"/>
              <w:rPr>
                <w:rFonts w:eastAsia="Times New Roman" w:cs="Times New Roman"/>
              </w:rPr>
            </w:pPr>
          </w:p>
        </w:tc>
        <w:tc>
          <w:tcPr>
            <w:tcW w:w="947" w:type="dxa"/>
            <w:vAlign w:val="center"/>
            <w:hideMark/>
          </w:tcPr>
          <w:p w14:paraId="3FCDFF18" w14:textId="77777777" w:rsidR="00C57C9F" w:rsidRDefault="00C57C9F" w:rsidP="006F421D">
            <w:pPr>
              <w:jc w:val="right"/>
              <w:rPr>
                <w:rFonts w:eastAsia="Times New Roman" w:cs="Times New Roman"/>
              </w:rPr>
            </w:pPr>
          </w:p>
        </w:tc>
      </w:tr>
      <w:tr w:rsidR="00C57C9F" w14:paraId="0EB0F294" w14:textId="77777777" w:rsidTr="006F421D">
        <w:trPr>
          <w:divId w:val="1139883726"/>
        </w:trPr>
        <w:tc>
          <w:tcPr>
            <w:tcW w:w="7655" w:type="dxa"/>
            <w:vAlign w:val="center"/>
            <w:hideMark/>
          </w:tcPr>
          <w:p w14:paraId="4D72BE5E" w14:textId="77777777" w:rsidR="00C57C9F" w:rsidRDefault="00C57C9F">
            <w:pPr>
              <w:pStyle w:val="1heading-3"/>
              <w:rPr>
                <w:rFonts w:cs="Times New Roman"/>
              </w:rPr>
            </w:pPr>
            <w:r>
              <w:rPr>
                <w:rFonts w:cs="Times New Roman"/>
              </w:rPr>
              <w:t>Note 4D: Revenue from Government</w:t>
            </w:r>
          </w:p>
        </w:tc>
        <w:tc>
          <w:tcPr>
            <w:tcW w:w="1529" w:type="dxa"/>
            <w:vAlign w:val="center"/>
            <w:hideMark/>
          </w:tcPr>
          <w:p w14:paraId="45FDEA4C" w14:textId="77777777" w:rsidR="00C57C9F" w:rsidRDefault="00C57C9F" w:rsidP="006F421D">
            <w:pPr>
              <w:jc w:val="right"/>
              <w:rPr>
                <w:rFonts w:eastAsia="Times New Roman" w:cs="Times New Roman"/>
              </w:rPr>
            </w:pPr>
          </w:p>
        </w:tc>
        <w:tc>
          <w:tcPr>
            <w:tcW w:w="947" w:type="dxa"/>
            <w:vAlign w:val="center"/>
            <w:hideMark/>
          </w:tcPr>
          <w:p w14:paraId="391250C2" w14:textId="77777777" w:rsidR="00C57C9F" w:rsidRDefault="00C57C9F" w:rsidP="006F421D">
            <w:pPr>
              <w:jc w:val="right"/>
              <w:rPr>
                <w:rFonts w:eastAsia="Times New Roman" w:cs="Times New Roman"/>
              </w:rPr>
            </w:pPr>
          </w:p>
        </w:tc>
      </w:tr>
      <w:tr w:rsidR="00C57C9F" w14:paraId="414985DC" w14:textId="77777777" w:rsidTr="006F421D">
        <w:trPr>
          <w:divId w:val="1139883726"/>
        </w:trPr>
        <w:tc>
          <w:tcPr>
            <w:tcW w:w="7655" w:type="dxa"/>
            <w:vAlign w:val="center"/>
            <w:hideMark/>
          </w:tcPr>
          <w:p w14:paraId="3556D1E9" w14:textId="77777777" w:rsidR="00C57C9F" w:rsidRDefault="00C57C9F">
            <w:pPr>
              <w:pStyle w:val="3fins-table"/>
              <w:rPr>
                <w:rFonts w:cs="Times New Roman"/>
              </w:rPr>
            </w:pPr>
            <w:r>
              <w:rPr>
                <w:rStyle w:val="fins-bold"/>
                <w:rFonts w:cs="Times New Roman"/>
              </w:rPr>
              <w:t>Department of Health:</w:t>
            </w:r>
          </w:p>
        </w:tc>
        <w:tc>
          <w:tcPr>
            <w:tcW w:w="1529" w:type="dxa"/>
            <w:vAlign w:val="center"/>
            <w:hideMark/>
          </w:tcPr>
          <w:p w14:paraId="5EBFAFAF" w14:textId="77777777" w:rsidR="00C57C9F" w:rsidRDefault="00C57C9F" w:rsidP="006F421D">
            <w:pPr>
              <w:jc w:val="right"/>
              <w:rPr>
                <w:rFonts w:eastAsia="Times New Roman" w:cs="Times New Roman"/>
              </w:rPr>
            </w:pPr>
          </w:p>
        </w:tc>
        <w:tc>
          <w:tcPr>
            <w:tcW w:w="947" w:type="dxa"/>
            <w:vAlign w:val="center"/>
            <w:hideMark/>
          </w:tcPr>
          <w:p w14:paraId="7AC3B6D2" w14:textId="77777777" w:rsidR="00C57C9F" w:rsidRDefault="00C57C9F" w:rsidP="006F421D">
            <w:pPr>
              <w:jc w:val="right"/>
              <w:rPr>
                <w:rFonts w:eastAsia="Times New Roman" w:cs="Times New Roman"/>
              </w:rPr>
            </w:pPr>
          </w:p>
        </w:tc>
      </w:tr>
      <w:tr w:rsidR="00C57C9F" w14:paraId="2B8669DA" w14:textId="77777777" w:rsidTr="006F421D">
        <w:trPr>
          <w:divId w:val="1139883726"/>
        </w:trPr>
        <w:tc>
          <w:tcPr>
            <w:tcW w:w="7655" w:type="dxa"/>
            <w:vAlign w:val="center"/>
            <w:hideMark/>
          </w:tcPr>
          <w:p w14:paraId="3CA10E3B" w14:textId="77777777" w:rsidR="00C57C9F" w:rsidRDefault="00C57C9F" w:rsidP="006F421D">
            <w:pPr>
              <w:pStyle w:val="3fins-table"/>
              <w:ind w:left="567"/>
              <w:rPr>
                <w:rFonts w:cs="Times New Roman"/>
              </w:rPr>
            </w:pPr>
            <w:r>
              <w:rPr>
                <w:rFonts w:cs="Times New Roman"/>
              </w:rPr>
              <w:t>CAC Act body payment item</w:t>
            </w:r>
          </w:p>
        </w:tc>
        <w:tc>
          <w:tcPr>
            <w:tcW w:w="1529" w:type="dxa"/>
            <w:tcBorders>
              <w:bottom w:val="single" w:sz="4" w:space="0" w:color="0D0D0D" w:themeColor="text1" w:themeTint="F2"/>
            </w:tcBorders>
            <w:vAlign w:val="center"/>
            <w:hideMark/>
          </w:tcPr>
          <w:p w14:paraId="09ABC7F3" w14:textId="77777777" w:rsidR="00C57C9F" w:rsidRDefault="00C57C9F" w:rsidP="006F421D">
            <w:pPr>
              <w:pStyle w:val="3fins-table-figures"/>
              <w:jc w:val="right"/>
              <w:rPr>
                <w:rFonts w:cs="Times New Roman"/>
              </w:rPr>
            </w:pPr>
            <w:r>
              <w:rPr>
                <w:rStyle w:val="fins-bold"/>
                <w:rFonts w:cs="Times New Roman"/>
              </w:rPr>
              <w:t xml:space="preserve">6,335 </w:t>
            </w:r>
          </w:p>
        </w:tc>
        <w:tc>
          <w:tcPr>
            <w:tcW w:w="947" w:type="dxa"/>
            <w:tcBorders>
              <w:bottom w:val="single" w:sz="4" w:space="0" w:color="0D0D0D" w:themeColor="text1" w:themeTint="F2"/>
            </w:tcBorders>
            <w:vAlign w:val="center"/>
            <w:hideMark/>
          </w:tcPr>
          <w:p w14:paraId="1E2278F1" w14:textId="77777777" w:rsidR="00C57C9F" w:rsidRDefault="00C57C9F" w:rsidP="006F421D">
            <w:pPr>
              <w:pStyle w:val="3fins-table-figures"/>
              <w:jc w:val="right"/>
              <w:rPr>
                <w:rFonts w:cs="Times New Roman"/>
              </w:rPr>
            </w:pPr>
            <w:r>
              <w:rPr>
                <w:rFonts w:cs="Times New Roman"/>
              </w:rPr>
              <w:t xml:space="preserve">5,665 </w:t>
            </w:r>
          </w:p>
        </w:tc>
      </w:tr>
      <w:tr w:rsidR="00C57C9F" w14:paraId="529B1F8C" w14:textId="77777777" w:rsidTr="006F421D">
        <w:trPr>
          <w:divId w:val="1139883726"/>
        </w:trPr>
        <w:tc>
          <w:tcPr>
            <w:tcW w:w="7655" w:type="dxa"/>
            <w:vAlign w:val="center"/>
            <w:hideMark/>
          </w:tcPr>
          <w:p w14:paraId="5E97A1CA" w14:textId="77777777" w:rsidR="00C57C9F" w:rsidRDefault="00C57C9F">
            <w:pPr>
              <w:pStyle w:val="3fins-table"/>
              <w:rPr>
                <w:rFonts w:cs="Times New Roman"/>
              </w:rPr>
            </w:pPr>
            <w:r>
              <w:rPr>
                <w:rStyle w:val="fins-bold"/>
                <w:rFonts w:cs="Times New Roman"/>
              </w:rPr>
              <w:t>Total revenue from Government</w:t>
            </w:r>
          </w:p>
        </w:tc>
        <w:tc>
          <w:tcPr>
            <w:tcW w:w="1529" w:type="dxa"/>
            <w:tcBorders>
              <w:top w:val="single" w:sz="4" w:space="0" w:color="0D0D0D" w:themeColor="text1" w:themeTint="F2"/>
              <w:bottom w:val="single" w:sz="4" w:space="0" w:color="0D0D0D" w:themeColor="text1" w:themeTint="F2"/>
            </w:tcBorders>
            <w:vAlign w:val="center"/>
            <w:hideMark/>
          </w:tcPr>
          <w:p w14:paraId="7A26BB2A" w14:textId="77777777" w:rsidR="00C57C9F" w:rsidRDefault="00C57C9F" w:rsidP="006F421D">
            <w:pPr>
              <w:pStyle w:val="3fins-table-figures"/>
              <w:jc w:val="right"/>
              <w:rPr>
                <w:rFonts w:cs="Times New Roman"/>
              </w:rPr>
            </w:pPr>
            <w:r>
              <w:rPr>
                <w:rStyle w:val="fins-bold"/>
                <w:rFonts w:cs="Times New Roman"/>
              </w:rPr>
              <w:t xml:space="preserve">6,335 </w:t>
            </w:r>
          </w:p>
        </w:tc>
        <w:tc>
          <w:tcPr>
            <w:tcW w:w="947" w:type="dxa"/>
            <w:tcBorders>
              <w:top w:val="single" w:sz="4" w:space="0" w:color="0D0D0D" w:themeColor="text1" w:themeTint="F2"/>
              <w:bottom w:val="single" w:sz="4" w:space="0" w:color="0D0D0D" w:themeColor="text1" w:themeTint="F2"/>
            </w:tcBorders>
            <w:vAlign w:val="center"/>
            <w:hideMark/>
          </w:tcPr>
          <w:p w14:paraId="3AE732F8" w14:textId="77777777" w:rsidR="00C57C9F" w:rsidRDefault="00C57C9F" w:rsidP="006F421D">
            <w:pPr>
              <w:pStyle w:val="3fins-table-figures"/>
              <w:jc w:val="right"/>
              <w:rPr>
                <w:rFonts w:cs="Times New Roman"/>
              </w:rPr>
            </w:pPr>
            <w:r>
              <w:rPr>
                <w:rFonts w:cs="Times New Roman"/>
              </w:rPr>
              <w:t xml:space="preserve">5,665 </w:t>
            </w:r>
          </w:p>
        </w:tc>
      </w:tr>
    </w:tbl>
    <w:p w14:paraId="24161454" w14:textId="77777777" w:rsidR="00C57C9F" w:rsidRDefault="00C57C9F">
      <w:pPr>
        <w:pStyle w:val="1heading-2"/>
        <w:divId w:val="1139883726"/>
        <w:rPr>
          <w:rFonts w:cs="Times New Roman"/>
          <w:lang w:val="en-AU"/>
        </w:rPr>
      </w:pPr>
    </w:p>
    <w:p w14:paraId="7E16A584" w14:textId="77777777" w:rsidR="00C57C9F" w:rsidRDefault="00C57C9F">
      <w:pPr>
        <w:rPr>
          <w:rFonts w:cs="Times New Roman"/>
          <w:b/>
          <w:sz w:val="28"/>
        </w:rPr>
      </w:pPr>
      <w:r>
        <w:rPr>
          <w:rFonts w:cs="Times New Roman"/>
        </w:rPr>
        <w:br w:type="page"/>
      </w:r>
    </w:p>
    <w:p w14:paraId="45D8B256" w14:textId="77777777" w:rsidR="00C57C9F" w:rsidRDefault="00C57C9F">
      <w:pPr>
        <w:pStyle w:val="1heading-2"/>
        <w:divId w:val="1139883726"/>
        <w:rPr>
          <w:rFonts w:cs="Times New Roman"/>
          <w:lang w:val="en-AU"/>
        </w:rPr>
      </w:pPr>
      <w:r>
        <w:rPr>
          <w:rFonts w:cs="Times New Roman"/>
          <w:lang w:val="en-AU"/>
        </w:rPr>
        <w:lastRenderedPageBreak/>
        <w:t>Note 5: Fair Value Measurement</w:t>
      </w:r>
    </w:p>
    <w:p w14:paraId="253E70F9" w14:textId="77777777" w:rsidR="00C57C9F" w:rsidRDefault="00C57C9F">
      <w:pPr>
        <w:pStyle w:val="3fins-table"/>
        <w:divId w:val="1139883726"/>
        <w:rPr>
          <w:rFonts w:cs="Times New Roman"/>
          <w:lang w:val="en-AU"/>
        </w:rPr>
      </w:pPr>
      <w:r>
        <w:rPr>
          <w:rFonts w:cs="Times New Roman"/>
          <w:lang w:val="en-AU"/>
        </w:rPr>
        <w:t>The following tables provide an analysis of assets and liabilities that are measured at fair value.</w:t>
      </w:r>
    </w:p>
    <w:p w14:paraId="6780D13A" w14:textId="77777777" w:rsidR="00C57C9F" w:rsidRDefault="00C57C9F">
      <w:pPr>
        <w:pStyle w:val="3fins-table"/>
        <w:divId w:val="1139883726"/>
        <w:rPr>
          <w:rFonts w:cs="Times New Roman"/>
          <w:lang w:val="en-AU"/>
        </w:rPr>
      </w:pPr>
      <w:r>
        <w:rPr>
          <w:rFonts w:cs="Times New Roman"/>
          <w:lang w:val="en-AU"/>
        </w:rPr>
        <w:t>The different levels of the fair value hierarchy are defined below:</w:t>
      </w:r>
    </w:p>
    <w:p w14:paraId="53E796EE" w14:textId="77777777" w:rsidR="00C57C9F" w:rsidRDefault="00C57C9F" w:rsidP="006F421D">
      <w:pPr>
        <w:pStyle w:val="3fins-table"/>
        <w:ind w:left="1134" w:hanging="708"/>
        <w:divId w:val="1139883726"/>
        <w:rPr>
          <w:rFonts w:cs="Times New Roman"/>
          <w:lang w:val="en-AU"/>
        </w:rPr>
      </w:pPr>
      <w:r>
        <w:rPr>
          <w:rFonts w:cs="Times New Roman"/>
          <w:lang w:val="en-AU"/>
        </w:rPr>
        <w:t xml:space="preserve">Level 1: </w:t>
      </w:r>
      <w:r>
        <w:rPr>
          <w:rFonts w:cs="Times New Roman"/>
          <w:lang w:val="en-AU"/>
        </w:rPr>
        <w:tab/>
        <w:t>Quoted prices (unadjusted) in active markets for identical assets or liabilities that the entity can access at measurement date.</w:t>
      </w:r>
    </w:p>
    <w:p w14:paraId="769601C6" w14:textId="77777777" w:rsidR="00C57C9F" w:rsidRDefault="00C57C9F" w:rsidP="006F421D">
      <w:pPr>
        <w:pStyle w:val="3fins-table"/>
        <w:ind w:left="1134" w:hanging="708"/>
        <w:divId w:val="1139883726"/>
        <w:rPr>
          <w:rFonts w:cs="Times New Roman"/>
          <w:lang w:val="en-AU"/>
        </w:rPr>
      </w:pPr>
      <w:r>
        <w:rPr>
          <w:rFonts w:cs="Times New Roman"/>
          <w:lang w:val="en-AU"/>
        </w:rPr>
        <w:t xml:space="preserve">Level 2: </w:t>
      </w:r>
      <w:r>
        <w:rPr>
          <w:rFonts w:cs="Times New Roman"/>
          <w:lang w:val="en-AU"/>
        </w:rPr>
        <w:tab/>
        <w:t>Inputs other than quoted prices included within Level 1 that are observable for the asset or liability, either directly or indirectly.</w:t>
      </w:r>
    </w:p>
    <w:p w14:paraId="73CEF68C" w14:textId="77777777" w:rsidR="00C57C9F" w:rsidRDefault="00C57C9F" w:rsidP="006F421D">
      <w:pPr>
        <w:pStyle w:val="3fins-table"/>
        <w:ind w:left="1134" w:hanging="708"/>
        <w:divId w:val="1139883726"/>
        <w:rPr>
          <w:rFonts w:cs="Times New Roman"/>
          <w:lang w:val="en-AU"/>
        </w:rPr>
      </w:pPr>
      <w:r>
        <w:rPr>
          <w:rFonts w:cs="Times New Roman"/>
          <w:lang w:val="en-AU"/>
        </w:rPr>
        <w:t xml:space="preserve">Level 3: </w:t>
      </w:r>
      <w:r>
        <w:rPr>
          <w:rFonts w:cs="Times New Roman"/>
          <w:lang w:val="en-AU"/>
        </w:rPr>
        <w:tab/>
        <w:t>Unobservable inputs for the asset or liability.</w:t>
      </w:r>
    </w:p>
    <w:p w14:paraId="65D54F2B" w14:textId="77777777" w:rsidR="00C57C9F" w:rsidRDefault="00C57C9F">
      <w:pPr>
        <w:pStyle w:val="1heading-3"/>
        <w:divId w:val="1139883726"/>
        <w:rPr>
          <w:rFonts w:cs="Times New Roman"/>
          <w:lang w:val="en-AU"/>
        </w:rPr>
      </w:pPr>
      <w:r>
        <w:rPr>
          <w:rFonts w:cs="Times New Roman"/>
          <w:lang w:val="en-AU"/>
        </w:rPr>
        <w:t>Note 5A: Fair Value Measurement</w:t>
      </w:r>
    </w:p>
    <w:p w14:paraId="434B1DA1" w14:textId="77777777" w:rsidR="00C57C9F" w:rsidRDefault="00C57C9F">
      <w:pPr>
        <w:pStyle w:val="3fins-table"/>
        <w:divId w:val="1139883726"/>
        <w:rPr>
          <w:rFonts w:cs="Times New Roman"/>
          <w:lang w:val="en-AU"/>
        </w:rPr>
      </w:pPr>
      <w:r>
        <w:rPr>
          <w:rStyle w:val="fins-bold"/>
          <w:rFonts w:cs="Times New Roman"/>
          <w:lang w:val="en-AU"/>
        </w:rPr>
        <w:t>Fair value measurements at the end of the reporting period by hierarchy for assets and liabilities in 2014:</w:t>
      </w:r>
    </w:p>
    <w:tbl>
      <w:tblPr>
        <w:tblW w:w="0" w:type="auto"/>
        <w:tblCellMar>
          <w:top w:w="28" w:type="dxa"/>
          <w:left w:w="57" w:type="dxa"/>
          <w:bottom w:w="28" w:type="dxa"/>
          <w:right w:w="57" w:type="dxa"/>
        </w:tblCellMar>
        <w:tblLook w:val="04A0" w:firstRow="1" w:lastRow="0" w:firstColumn="1" w:lastColumn="0" w:noHBand="0" w:noVBand="1"/>
      </w:tblPr>
      <w:tblGrid>
        <w:gridCol w:w="3594"/>
        <w:gridCol w:w="992"/>
        <w:gridCol w:w="1909"/>
        <w:gridCol w:w="1909"/>
        <w:gridCol w:w="1909"/>
      </w:tblGrid>
      <w:tr w:rsidR="00C57C9F" w14:paraId="1C0D808A" w14:textId="77777777" w:rsidTr="006F421D">
        <w:trPr>
          <w:divId w:val="1139883726"/>
        </w:trPr>
        <w:tc>
          <w:tcPr>
            <w:tcW w:w="0" w:type="auto"/>
            <w:vAlign w:val="center"/>
            <w:hideMark/>
          </w:tcPr>
          <w:p w14:paraId="33BC90BE" w14:textId="77777777" w:rsidR="00C57C9F" w:rsidRDefault="00C57C9F">
            <w:pPr>
              <w:rPr>
                <w:rFonts w:eastAsia="Times New Roman" w:cs="Times New Roman"/>
              </w:rPr>
            </w:pPr>
          </w:p>
        </w:tc>
        <w:tc>
          <w:tcPr>
            <w:tcW w:w="0" w:type="auto"/>
            <w:vMerge w:val="restart"/>
            <w:vAlign w:val="center"/>
            <w:hideMark/>
          </w:tcPr>
          <w:p w14:paraId="64098809" w14:textId="77777777" w:rsidR="00C57C9F" w:rsidRDefault="00C57C9F" w:rsidP="006F421D">
            <w:pPr>
              <w:pStyle w:val="3fins-table-figures"/>
              <w:jc w:val="right"/>
              <w:rPr>
                <w:rFonts w:cs="Times New Roman"/>
              </w:rPr>
            </w:pPr>
            <w:r>
              <w:rPr>
                <w:rStyle w:val="fins-bold"/>
                <w:rFonts w:cs="Times New Roman"/>
              </w:rPr>
              <w:t>Fair value</w:t>
            </w:r>
            <w:r>
              <w:rPr>
                <w:rFonts w:cs="Times New Roman"/>
              </w:rPr>
              <w:br/>
            </w:r>
            <w:r>
              <w:rPr>
                <w:rStyle w:val="fins-bold"/>
                <w:rFonts w:cs="Times New Roman"/>
              </w:rPr>
              <w:t>$’000</w:t>
            </w:r>
          </w:p>
        </w:tc>
        <w:tc>
          <w:tcPr>
            <w:tcW w:w="0" w:type="auto"/>
            <w:gridSpan w:val="3"/>
            <w:tcBorders>
              <w:bottom w:val="single" w:sz="4" w:space="0" w:color="0D0D0D" w:themeColor="text1" w:themeTint="F2"/>
            </w:tcBorders>
            <w:vAlign w:val="center"/>
            <w:hideMark/>
          </w:tcPr>
          <w:p w14:paraId="5CB4B841" w14:textId="77777777" w:rsidR="00C57C9F" w:rsidRDefault="00C57C9F" w:rsidP="006F421D">
            <w:pPr>
              <w:pStyle w:val="3fins-table-figures-c"/>
              <w:jc w:val="center"/>
              <w:rPr>
                <w:rFonts w:cs="Times New Roman"/>
              </w:rPr>
            </w:pPr>
            <w:r>
              <w:rPr>
                <w:rStyle w:val="fins-bold"/>
                <w:rFonts w:cs="Times New Roman"/>
              </w:rPr>
              <w:t>Fair value measurements at the end of the reporting period using</w:t>
            </w:r>
          </w:p>
        </w:tc>
      </w:tr>
      <w:tr w:rsidR="00C57C9F" w14:paraId="49704DCA" w14:textId="77777777" w:rsidTr="006F421D">
        <w:trPr>
          <w:divId w:val="1139883726"/>
        </w:trPr>
        <w:tc>
          <w:tcPr>
            <w:tcW w:w="0" w:type="auto"/>
            <w:vAlign w:val="center"/>
            <w:hideMark/>
          </w:tcPr>
          <w:p w14:paraId="4D08E953" w14:textId="77777777" w:rsidR="00C57C9F" w:rsidRDefault="00C57C9F">
            <w:pPr>
              <w:rPr>
                <w:rFonts w:eastAsia="Times New Roman" w:cs="Times New Roman"/>
              </w:rPr>
            </w:pPr>
          </w:p>
        </w:tc>
        <w:tc>
          <w:tcPr>
            <w:tcW w:w="0" w:type="auto"/>
            <w:vMerge/>
            <w:tcBorders>
              <w:bottom w:val="single" w:sz="4" w:space="0" w:color="0D0D0D" w:themeColor="text1" w:themeTint="F2"/>
            </w:tcBorders>
            <w:vAlign w:val="center"/>
            <w:hideMark/>
          </w:tcPr>
          <w:p w14:paraId="69EC0205" w14:textId="77777777" w:rsidR="00C57C9F" w:rsidRDefault="00C57C9F" w:rsidP="006F421D">
            <w:pPr>
              <w:jc w:val="right"/>
              <w:rPr>
                <w:rFonts w:cs="Times New Roman"/>
              </w:rPr>
            </w:pPr>
          </w:p>
        </w:tc>
        <w:tc>
          <w:tcPr>
            <w:tcW w:w="0" w:type="auto"/>
            <w:tcBorders>
              <w:top w:val="single" w:sz="4" w:space="0" w:color="0D0D0D" w:themeColor="text1" w:themeTint="F2"/>
              <w:bottom w:val="single" w:sz="4" w:space="0" w:color="0D0D0D" w:themeColor="text1" w:themeTint="F2"/>
            </w:tcBorders>
            <w:vAlign w:val="center"/>
            <w:hideMark/>
          </w:tcPr>
          <w:p w14:paraId="1E167719" w14:textId="77777777" w:rsidR="00C57C9F" w:rsidRDefault="00C57C9F" w:rsidP="006F421D">
            <w:pPr>
              <w:pStyle w:val="3fins-table-figures"/>
              <w:jc w:val="right"/>
              <w:rPr>
                <w:rFonts w:cs="Times New Roman"/>
              </w:rPr>
            </w:pPr>
            <w:r>
              <w:rPr>
                <w:rStyle w:val="charoverride-1"/>
                <w:rFonts w:cs="Times New Roman"/>
              </w:rPr>
              <w:t xml:space="preserve">Level 1 inputs </w:t>
            </w:r>
            <w:r>
              <w:rPr>
                <w:rFonts w:cs="Times New Roman"/>
              </w:rPr>
              <w:br/>
            </w:r>
            <w:r>
              <w:rPr>
                <w:rStyle w:val="charoverride-1"/>
                <w:rFonts w:cs="Times New Roman"/>
              </w:rPr>
              <w:t>$’000</w:t>
            </w:r>
          </w:p>
        </w:tc>
        <w:tc>
          <w:tcPr>
            <w:tcW w:w="0" w:type="auto"/>
            <w:tcBorders>
              <w:top w:val="single" w:sz="4" w:space="0" w:color="0D0D0D" w:themeColor="text1" w:themeTint="F2"/>
              <w:bottom w:val="single" w:sz="4" w:space="0" w:color="0D0D0D" w:themeColor="text1" w:themeTint="F2"/>
            </w:tcBorders>
            <w:vAlign w:val="center"/>
            <w:hideMark/>
          </w:tcPr>
          <w:p w14:paraId="5EE3C888" w14:textId="77777777" w:rsidR="00C57C9F" w:rsidRDefault="00C57C9F" w:rsidP="006F421D">
            <w:pPr>
              <w:pStyle w:val="3fins-table-figures"/>
              <w:jc w:val="right"/>
              <w:rPr>
                <w:rFonts w:cs="Times New Roman"/>
              </w:rPr>
            </w:pPr>
            <w:r>
              <w:rPr>
                <w:rStyle w:val="charoverride-1"/>
                <w:rFonts w:cs="Times New Roman"/>
              </w:rPr>
              <w:t xml:space="preserve">Level 2 inputs </w:t>
            </w:r>
            <w:r>
              <w:rPr>
                <w:rFonts w:cs="Times New Roman"/>
              </w:rPr>
              <w:br/>
            </w:r>
            <w:r>
              <w:rPr>
                <w:rStyle w:val="charoverride-1"/>
                <w:rFonts w:cs="Times New Roman"/>
              </w:rPr>
              <w:t>$’000</w:t>
            </w:r>
          </w:p>
        </w:tc>
        <w:tc>
          <w:tcPr>
            <w:tcW w:w="0" w:type="auto"/>
            <w:tcBorders>
              <w:top w:val="single" w:sz="4" w:space="0" w:color="0D0D0D" w:themeColor="text1" w:themeTint="F2"/>
              <w:bottom w:val="single" w:sz="4" w:space="0" w:color="0D0D0D" w:themeColor="text1" w:themeTint="F2"/>
            </w:tcBorders>
            <w:vAlign w:val="center"/>
            <w:hideMark/>
          </w:tcPr>
          <w:p w14:paraId="6390EA10" w14:textId="77777777" w:rsidR="00C57C9F" w:rsidRDefault="00C57C9F" w:rsidP="006F421D">
            <w:pPr>
              <w:pStyle w:val="3fins-table-figures"/>
              <w:jc w:val="right"/>
              <w:rPr>
                <w:rFonts w:cs="Times New Roman"/>
              </w:rPr>
            </w:pPr>
            <w:r>
              <w:rPr>
                <w:rStyle w:val="charoverride-1"/>
                <w:rFonts w:cs="Times New Roman"/>
              </w:rPr>
              <w:t xml:space="preserve">Level 3 inputs </w:t>
            </w:r>
            <w:r>
              <w:rPr>
                <w:rFonts w:cs="Times New Roman"/>
              </w:rPr>
              <w:br/>
            </w:r>
            <w:r>
              <w:rPr>
                <w:rStyle w:val="charoverride-1"/>
                <w:rFonts w:cs="Times New Roman"/>
              </w:rPr>
              <w:t>$’000</w:t>
            </w:r>
          </w:p>
        </w:tc>
      </w:tr>
      <w:tr w:rsidR="00C57C9F" w14:paraId="2357CA86" w14:textId="77777777" w:rsidTr="006F421D">
        <w:trPr>
          <w:divId w:val="1139883726"/>
        </w:trPr>
        <w:tc>
          <w:tcPr>
            <w:tcW w:w="0" w:type="auto"/>
            <w:vAlign w:val="center"/>
            <w:hideMark/>
          </w:tcPr>
          <w:p w14:paraId="74652063" w14:textId="77777777" w:rsidR="00C57C9F" w:rsidRDefault="00C57C9F">
            <w:pPr>
              <w:pStyle w:val="3fins-table"/>
              <w:rPr>
                <w:rFonts w:cs="Times New Roman"/>
              </w:rPr>
            </w:pPr>
            <w:r>
              <w:rPr>
                <w:rStyle w:val="fins-bold"/>
                <w:rFonts w:cs="Times New Roman"/>
              </w:rPr>
              <w:t>Non-financial assets</w:t>
            </w:r>
          </w:p>
        </w:tc>
        <w:tc>
          <w:tcPr>
            <w:tcW w:w="0" w:type="auto"/>
            <w:tcBorders>
              <w:top w:val="single" w:sz="4" w:space="0" w:color="0D0D0D" w:themeColor="text1" w:themeTint="F2"/>
            </w:tcBorders>
            <w:vAlign w:val="center"/>
            <w:hideMark/>
          </w:tcPr>
          <w:p w14:paraId="66986648" w14:textId="77777777" w:rsidR="00C57C9F" w:rsidRDefault="00C57C9F" w:rsidP="006F421D">
            <w:pPr>
              <w:jc w:val="right"/>
              <w:rPr>
                <w:rFonts w:eastAsia="Times New Roman" w:cs="Times New Roman"/>
              </w:rPr>
            </w:pPr>
          </w:p>
        </w:tc>
        <w:tc>
          <w:tcPr>
            <w:tcW w:w="0" w:type="auto"/>
            <w:tcBorders>
              <w:top w:val="single" w:sz="4" w:space="0" w:color="0D0D0D" w:themeColor="text1" w:themeTint="F2"/>
            </w:tcBorders>
            <w:vAlign w:val="center"/>
            <w:hideMark/>
          </w:tcPr>
          <w:p w14:paraId="7F98BCC8" w14:textId="77777777" w:rsidR="00C57C9F" w:rsidRDefault="00C57C9F" w:rsidP="006F421D">
            <w:pPr>
              <w:jc w:val="right"/>
              <w:rPr>
                <w:rFonts w:eastAsia="Times New Roman" w:cs="Times New Roman"/>
              </w:rPr>
            </w:pPr>
          </w:p>
        </w:tc>
        <w:tc>
          <w:tcPr>
            <w:tcW w:w="0" w:type="auto"/>
            <w:tcBorders>
              <w:top w:val="single" w:sz="4" w:space="0" w:color="0D0D0D" w:themeColor="text1" w:themeTint="F2"/>
            </w:tcBorders>
            <w:vAlign w:val="center"/>
            <w:hideMark/>
          </w:tcPr>
          <w:p w14:paraId="218F42B0" w14:textId="77777777" w:rsidR="00C57C9F" w:rsidRDefault="00C57C9F" w:rsidP="006F421D">
            <w:pPr>
              <w:jc w:val="right"/>
              <w:rPr>
                <w:rFonts w:eastAsia="Times New Roman" w:cs="Times New Roman"/>
              </w:rPr>
            </w:pPr>
          </w:p>
        </w:tc>
        <w:tc>
          <w:tcPr>
            <w:tcW w:w="0" w:type="auto"/>
            <w:tcBorders>
              <w:top w:val="single" w:sz="4" w:space="0" w:color="0D0D0D" w:themeColor="text1" w:themeTint="F2"/>
            </w:tcBorders>
            <w:vAlign w:val="center"/>
            <w:hideMark/>
          </w:tcPr>
          <w:p w14:paraId="0FFE217F" w14:textId="77777777" w:rsidR="00C57C9F" w:rsidRDefault="00C57C9F" w:rsidP="006F421D">
            <w:pPr>
              <w:jc w:val="right"/>
              <w:rPr>
                <w:rFonts w:eastAsia="Times New Roman" w:cs="Times New Roman"/>
              </w:rPr>
            </w:pPr>
          </w:p>
        </w:tc>
      </w:tr>
      <w:tr w:rsidR="00C57C9F" w14:paraId="5354047E" w14:textId="77777777" w:rsidTr="006F421D">
        <w:trPr>
          <w:divId w:val="1139883726"/>
        </w:trPr>
        <w:tc>
          <w:tcPr>
            <w:tcW w:w="0" w:type="auto"/>
            <w:vAlign w:val="center"/>
            <w:hideMark/>
          </w:tcPr>
          <w:p w14:paraId="7A0131CB" w14:textId="77777777" w:rsidR="00C57C9F" w:rsidRDefault="00C57C9F" w:rsidP="006F421D">
            <w:pPr>
              <w:pStyle w:val="3fins-table"/>
              <w:ind w:left="426"/>
              <w:rPr>
                <w:rFonts w:cs="Times New Roman"/>
              </w:rPr>
            </w:pPr>
            <w:r>
              <w:rPr>
                <w:rFonts w:cs="Times New Roman"/>
              </w:rPr>
              <w:t>Recurring - Property, Plant and Equipment</w:t>
            </w:r>
          </w:p>
        </w:tc>
        <w:tc>
          <w:tcPr>
            <w:tcW w:w="0" w:type="auto"/>
            <w:tcBorders>
              <w:bottom w:val="single" w:sz="4" w:space="0" w:color="0D0D0D" w:themeColor="text1" w:themeTint="F2"/>
            </w:tcBorders>
            <w:vAlign w:val="center"/>
            <w:hideMark/>
          </w:tcPr>
          <w:p w14:paraId="1AE04504" w14:textId="77777777" w:rsidR="00C57C9F" w:rsidRDefault="00C57C9F" w:rsidP="006F421D">
            <w:pPr>
              <w:pStyle w:val="3fins-table-figures"/>
              <w:jc w:val="right"/>
              <w:rPr>
                <w:rFonts w:cs="Times New Roman"/>
              </w:rPr>
            </w:pPr>
            <w:r>
              <w:rPr>
                <w:rFonts w:cs="Times New Roman"/>
              </w:rPr>
              <w:t>56</w:t>
            </w:r>
          </w:p>
        </w:tc>
        <w:tc>
          <w:tcPr>
            <w:tcW w:w="0" w:type="auto"/>
            <w:tcBorders>
              <w:bottom w:val="single" w:sz="4" w:space="0" w:color="0D0D0D" w:themeColor="text1" w:themeTint="F2"/>
            </w:tcBorders>
            <w:vAlign w:val="center"/>
            <w:hideMark/>
          </w:tcPr>
          <w:p w14:paraId="28C45F21"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10824311" w14:textId="77777777" w:rsidR="00C57C9F" w:rsidRDefault="00C57C9F" w:rsidP="006F421D">
            <w:pPr>
              <w:pStyle w:val="3fins-table-figures"/>
              <w:jc w:val="right"/>
              <w:rPr>
                <w:rFonts w:cs="Times New Roman"/>
              </w:rPr>
            </w:pPr>
            <w:r>
              <w:rPr>
                <w:rFonts w:cs="Times New Roman"/>
              </w:rPr>
              <w:t>56</w:t>
            </w:r>
          </w:p>
        </w:tc>
        <w:tc>
          <w:tcPr>
            <w:tcW w:w="0" w:type="auto"/>
            <w:tcBorders>
              <w:bottom w:val="single" w:sz="4" w:space="0" w:color="0D0D0D" w:themeColor="text1" w:themeTint="F2"/>
            </w:tcBorders>
            <w:vAlign w:val="center"/>
            <w:hideMark/>
          </w:tcPr>
          <w:p w14:paraId="7053A0FD" w14:textId="77777777" w:rsidR="00C57C9F" w:rsidRDefault="00C57C9F" w:rsidP="006F421D">
            <w:pPr>
              <w:pStyle w:val="3fins-table-figures"/>
              <w:jc w:val="right"/>
              <w:rPr>
                <w:rFonts w:cs="Times New Roman"/>
              </w:rPr>
            </w:pPr>
            <w:r>
              <w:rPr>
                <w:rStyle w:val="fins-bold"/>
                <w:rFonts w:cs="Times New Roman"/>
              </w:rPr>
              <w:t>–</w:t>
            </w:r>
          </w:p>
        </w:tc>
      </w:tr>
      <w:tr w:rsidR="00C57C9F" w14:paraId="653C497E" w14:textId="77777777" w:rsidTr="006F421D">
        <w:trPr>
          <w:divId w:val="1139883726"/>
        </w:trPr>
        <w:tc>
          <w:tcPr>
            <w:tcW w:w="0" w:type="auto"/>
            <w:vAlign w:val="center"/>
            <w:hideMark/>
          </w:tcPr>
          <w:p w14:paraId="593D35E8" w14:textId="77777777" w:rsidR="00C57C9F" w:rsidRDefault="00C57C9F">
            <w:pPr>
              <w:pStyle w:val="3fins-table"/>
              <w:rPr>
                <w:rFonts w:cs="Times New Roman"/>
              </w:rPr>
            </w:pPr>
            <w:r>
              <w:rPr>
                <w:rStyle w:val="fins-bold"/>
                <w:rFonts w:cs="Times New Roman"/>
              </w:rPr>
              <w:t>Total non-financial assets</w:t>
            </w:r>
          </w:p>
        </w:tc>
        <w:tc>
          <w:tcPr>
            <w:tcW w:w="0" w:type="auto"/>
            <w:tcBorders>
              <w:top w:val="single" w:sz="4" w:space="0" w:color="0D0D0D" w:themeColor="text1" w:themeTint="F2"/>
              <w:bottom w:val="single" w:sz="4" w:space="0" w:color="0D0D0D" w:themeColor="text1" w:themeTint="F2"/>
            </w:tcBorders>
            <w:vAlign w:val="center"/>
            <w:hideMark/>
          </w:tcPr>
          <w:p w14:paraId="1C49E0D9" w14:textId="77777777" w:rsidR="00C57C9F" w:rsidRDefault="00C57C9F" w:rsidP="006F421D">
            <w:pPr>
              <w:pStyle w:val="3fins-table-figures"/>
              <w:jc w:val="right"/>
              <w:rPr>
                <w:rFonts w:cs="Times New Roman"/>
              </w:rPr>
            </w:pPr>
            <w:r>
              <w:rPr>
                <w:rStyle w:val="fins-bold"/>
                <w:rFonts w:cs="Times New Roman"/>
              </w:rPr>
              <w:t>56</w:t>
            </w:r>
          </w:p>
        </w:tc>
        <w:tc>
          <w:tcPr>
            <w:tcW w:w="0" w:type="auto"/>
            <w:tcBorders>
              <w:top w:val="single" w:sz="4" w:space="0" w:color="0D0D0D" w:themeColor="text1" w:themeTint="F2"/>
              <w:bottom w:val="single" w:sz="4" w:space="0" w:color="0D0D0D" w:themeColor="text1" w:themeTint="F2"/>
            </w:tcBorders>
            <w:vAlign w:val="center"/>
            <w:hideMark/>
          </w:tcPr>
          <w:p w14:paraId="594396F5" w14:textId="77777777" w:rsidR="00C57C9F" w:rsidRDefault="00C57C9F" w:rsidP="006F421D">
            <w:pPr>
              <w:pStyle w:val="3fins-table-figures"/>
              <w:jc w:val="right"/>
              <w:rPr>
                <w:rFonts w:cs="Times New Roman"/>
              </w:rPr>
            </w:pPr>
            <w:r>
              <w:rPr>
                <w:rStyle w:val="fins-bold"/>
                <w:rFonts w:cs="Times New Roman"/>
              </w:rPr>
              <w:t>–</w:t>
            </w:r>
          </w:p>
        </w:tc>
        <w:tc>
          <w:tcPr>
            <w:tcW w:w="0" w:type="auto"/>
            <w:tcBorders>
              <w:top w:val="single" w:sz="4" w:space="0" w:color="0D0D0D" w:themeColor="text1" w:themeTint="F2"/>
              <w:bottom w:val="single" w:sz="4" w:space="0" w:color="0D0D0D" w:themeColor="text1" w:themeTint="F2"/>
            </w:tcBorders>
            <w:vAlign w:val="center"/>
            <w:hideMark/>
          </w:tcPr>
          <w:p w14:paraId="110322B4" w14:textId="77777777" w:rsidR="00C57C9F" w:rsidRDefault="00C57C9F" w:rsidP="006F421D">
            <w:pPr>
              <w:pStyle w:val="3fins-table-figures"/>
              <w:jc w:val="right"/>
              <w:rPr>
                <w:rFonts w:cs="Times New Roman"/>
              </w:rPr>
            </w:pPr>
            <w:r>
              <w:rPr>
                <w:rStyle w:val="fins-bold"/>
                <w:rFonts w:cs="Times New Roman"/>
              </w:rPr>
              <w:t>56</w:t>
            </w:r>
          </w:p>
        </w:tc>
        <w:tc>
          <w:tcPr>
            <w:tcW w:w="0" w:type="auto"/>
            <w:tcBorders>
              <w:top w:val="single" w:sz="4" w:space="0" w:color="0D0D0D" w:themeColor="text1" w:themeTint="F2"/>
              <w:bottom w:val="single" w:sz="4" w:space="0" w:color="0D0D0D" w:themeColor="text1" w:themeTint="F2"/>
            </w:tcBorders>
            <w:vAlign w:val="center"/>
            <w:hideMark/>
          </w:tcPr>
          <w:p w14:paraId="405703DF" w14:textId="77777777" w:rsidR="00C57C9F" w:rsidRDefault="00C57C9F" w:rsidP="006F421D">
            <w:pPr>
              <w:pStyle w:val="3fins-table-figures"/>
              <w:jc w:val="right"/>
              <w:rPr>
                <w:rFonts w:cs="Times New Roman"/>
              </w:rPr>
            </w:pPr>
            <w:r>
              <w:rPr>
                <w:rStyle w:val="fins-bold"/>
                <w:rFonts w:cs="Times New Roman"/>
              </w:rPr>
              <w:t>–</w:t>
            </w:r>
          </w:p>
        </w:tc>
      </w:tr>
      <w:tr w:rsidR="00C57C9F" w14:paraId="3EBF3AB1" w14:textId="77777777" w:rsidTr="006F421D">
        <w:trPr>
          <w:divId w:val="1139883726"/>
        </w:trPr>
        <w:tc>
          <w:tcPr>
            <w:tcW w:w="0" w:type="auto"/>
            <w:vAlign w:val="center"/>
            <w:hideMark/>
          </w:tcPr>
          <w:p w14:paraId="54DC4B8D" w14:textId="77777777" w:rsidR="00C57C9F" w:rsidRDefault="00C57C9F">
            <w:pPr>
              <w:pStyle w:val="3fins-table"/>
              <w:rPr>
                <w:rFonts w:cs="Times New Roman"/>
              </w:rPr>
            </w:pPr>
            <w:r>
              <w:rPr>
                <w:rStyle w:val="fins-bold"/>
                <w:rFonts w:cs="Times New Roman"/>
              </w:rPr>
              <w:t>Total fair value measurements</w:t>
            </w:r>
          </w:p>
        </w:tc>
        <w:tc>
          <w:tcPr>
            <w:tcW w:w="0" w:type="auto"/>
            <w:tcBorders>
              <w:top w:val="single" w:sz="4" w:space="0" w:color="0D0D0D" w:themeColor="text1" w:themeTint="F2"/>
              <w:bottom w:val="single" w:sz="4" w:space="0" w:color="0D0D0D" w:themeColor="text1" w:themeTint="F2"/>
            </w:tcBorders>
            <w:vAlign w:val="center"/>
            <w:hideMark/>
          </w:tcPr>
          <w:p w14:paraId="224B45D4" w14:textId="77777777" w:rsidR="00C57C9F" w:rsidRDefault="00C57C9F" w:rsidP="006F421D">
            <w:pPr>
              <w:pStyle w:val="3fins-table-figures"/>
              <w:jc w:val="right"/>
              <w:rPr>
                <w:rFonts w:cs="Times New Roman"/>
              </w:rPr>
            </w:pPr>
            <w:r>
              <w:rPr>
                <w:rStyle w:val="fins-bold"/>
                <w:rFonts w:cs="Times New Roman"/>
              </w:rPr>
              <w:t>56</w:t>
            </w:r>
          </w:p>
        </w:tc>
        <w:tc>
          <w:tcPr>
            <w:tcW w:w="0" w:type="auto"/>
            <w:tcBorders>
              <w:top w:val="single" w:sz="4" w:space="0" w:color="0D0D0D" w:themeColor="text1" w:themeTint="F2"/>
              <w:bottom w:val="single" w:sz="4" w:space="0" w:color="0D0D0D" w:themeColor="text1" w:themeTint="F2"/>
            </w:tcBorders>
            <w:vAlign w:val="center"/>
            <w:hideMark/>
          </w:tcPr>
          <w:p w14:paraId="3CC2952E" w14:textId="77777777" w:rsidR="00C57C9F" w:rsidRDefault="00C57C9F" w:rsidP="006F421D">
            <w:pPr>
              <w:pStyle w:val="3fins-table-figures"/>
              <w:jc w:val="right"/>
              <w:rPr>
                <w:rFonts w:cs="Times New Roman"/>
              </w:rPr>
            </w:pPr>
            <w:r>
              <w:rPr>
                <w:rStyle w:val="fins-bold"/>
                <w:rFonts w:cs="Times New Roman"/>
              </w:rPr>
              <w:t>–</w:t>
            </w:r>
          </w:p>
        </w:tc>
        <w:tc>
          <w:tcPr>
            <w:tcW w:w="0" w:type="auto"/>
            <w:tcBorders>
              <w:top w:val="single" w:sz="4" w:space="0" w:color="0D0D0D" w:themeColor="text1" w:themeTint="F2"/>
              <w:bottom w:val="single" w:sz="4" w:space="0" w:color="0D0D0D" w:themeColor="text1" w:themeTint="F2"/>
            </w:tcBorders>
            <w:vAlign w:val="center"/>
            <w:hideMark/>
          </w:tcPr>
          <w:p w14:paraId="0FE1E446" w14:textId="77777777" w:rsidR="00C57C9F" w:rsidRDefault="00C57C9F" w:rsidP="006F421D">
            <w:pPr>
              <w:pStyle w:val="3fins-table-figures"/>
              <w:jc w:val="right"/>
              <w:rPr>
                <w:rFonts w:cs="Times New Roman"/>
              </w:rPr>
            </w:pPr>
            <w:r>
              <w:rPr>
                <w:rStyle w:val="fins-bold"/>
                <w:rFonts w:cs="Times New Roman"/>
              </w:rPr>
              <w:t>56</w:t>
            </w:r>
          </w:p>
        </w:tc>
        <w:tc>
          <w:tcPr>
            <w:tcW w:w="0" w:type="auto"/>
            <w:tcBorders>
              <w:top w:val="single" w:sz="4" w:space="0" w:color="0D0D0D" w:themeColor="text1" w:themeTint="F2"/>
              <w:bottom w:val="single" w:sz="4" w:space="0" w:color="0D0D0D" w:themeColor="text1" w:themeTint="F2"/>
            </w:tcBorders>
            <w:vAlign w:val="center"/>
            <w:hideMark/>
          </w:tcPr>
          <w:p w14:paraId="67FF0DBF" w14:textId="77777777" w:rsidR="00C57C9F" w:rsidRDefault="00C57C9F" w:rsidP="006F421D">
            <w:pPr>
              <w:pStyle w:val="3fins-table-figures"/>
              <w:jc w:val="right"/>
              <w:rPr>
                <w:rFonts w:cs="Times New Roman"/>
              </w:rPr>
            </w:pPr>
            <w:r>
              <w:rPr>
                <w:rStyle w:val="fins-bold"/>
                <w:rFonts w:cs="Times New Roman"/>
              </w:rPr>
              <w:t>–</w:t>
            </w:r>
          </w:p>
        </w:tc>
      </w:tr>
    </w:tbl>
    <w:p w14:paraId="493B7E21" w14:textId="77777777" w:rsidR="00C57C9F" w:rsidRDefault="00C57C9F">
      <w:pPr>
        <w:pStyle w:val="1heading-3"/>
        <w:divId w:val="1139883726"/>
        <w:rPr>
          <w:rFonts w:cs="Times New Roman"/>
          <w:lang w:val="en-AU"/>
        </w:rPr>
      </w:pPr>
      <w:r>
        <w:rPr>
          <w:rFonts w:cs="Times New Roman"/>
          <w:lang w:val="en-AU"/>
        </w:rPr>
        <w:t>Note 5B: Level 1 and Level 2 Transfers for Recurring Fair Value Measurements</w:t>
      </w:r>
    </w:p>
    <w:p w14:paraId="0A628C10" w14:textId="77777777" w:rsidR="00C57C9F" w:rsidRDefault="00C57C9F">
      <w:pPr>
        <w:pStyle w:val="3fins-table"/>
        <w:divId w:val="1139883726"/>
        <w:rPr>
          <w:rFonts w:cs="Times New Roman"/>
          <w:lang w:val="en-AU"/>
        </w:rPr>
      </w:pPr>
      <w:r>
        <w:rPr>
          <w:rFonts w:cs="Times New Roman"/>
          <w:lang w:val="en-AU"/>
        </w:rPr>
        <w:t>There were no transfers between Levels 1 and 2 during the period.</w:t>
      </w:r>
    </w:p>
    <w:p w14:paraId="01A3EDA6" w14:textId="77777777" w:rsidR="00C57C9F" w:rsidRDefault="00C57C9F">
      <w:pPr>
        <w:pStyle w:val="3fins-table"/>
        <w:divId w:val="1139883726"/>
        <w:rPr>
          <w:rFonts w:cs="Times New Roman"/>
          <w:lang w:val="en-AU"/>
        </w:rPr>
      </w:pPr>
      <w:r>
        <w:rPr>
          <w:rFonts w:cs="Times New Roman"/>
          <w:lang w:val="en-AU"/>
        </w:rPr>
        <w:t>The Commission’s policy for determining when transfers between levels are deemed to have occurred can be found in Note 1.</w:t>
      </w:r>
    </w:p>
    <w:p w14:paraId="08E0B6C0" w14:textId="77777777" w:rsidR="00C57C9F" w:rsidRPr="00ED772D" w:rsidRDefault="00C57C9F" w:rsidP="00ED772D">
      <w:pPr>
        <w:divId w:val="1139883726"/>
        <w:rPr>
          <w:b/>
          <w:sz w:val="24"/>
          <w:szCs w:val="24"/>
        </w:rPr>
      </w:pPr>
      <w:r w:rsidRPr="00ED772D">
        <w:rPr>
          <w:b/>
          <w:sz w:val="24"/>
          <w:szCs w:val="24"/>
        </w:rPr>
        <w:t>Note 5C: Valuation Technique and Inputs for Level 2 and Level 3 Fair Value Measurements</w:t>
      </w:r>
    </w:p>
    <w:p w14:paraId="2FCF9521" w14:textId="77777777" w:rsidR="00C57C9F" w:rsidRDefault="00C57C9F">
      <w:pPr>
        <w:pStyle w:val="3fins-table"/>
        <w:divId w:val="1139883726"/>
        <w:rPr>
          <w:rFonts w:cs="Times New Roman"/>
          <w:lang w:val="en-AU"/>
        </w:rPr>
      </w:pPr>
      <w:r>
        <w:rPr>
          <w:rStyle w:val="fins-bold"/>
          <w:rFonts w:cs="Times New Roman"/>
          <w:lang w:val="en-AU"/>
        </w:rPr>
        <w:t>Level 2 and 3 fair value measurements - valuation technique and the inputs used for assets and liabilities in 2014:</w:t>
      </w:r>
    </w:p>
    <w:tbl>
      <w:tblPr>
        <w:tblW w:w="0" w:type="auto"/>
        <w:tblCellMar>
          <w:top w:w="28" w:type="dxa"/>
          <w:left w:w="28" w:type="dxa"/>
          <w:bottom w:w="28" w:type="dxa"/>
          <w:right w:w="28" w:type="dxa"/>
        </w:tblCellMar>
        <w:tblLook w:val="04A0" w:firstRow="1" w:lastRow="0" w:firstColumn="1" w:lastColumn="0" w:noHBand="0" w:noVBand="1"/>
      </w:tblPr>
      <w:tblGrid>
        <w:gridCol w:w="3572"/>
        <w:gridCol w:w="1418"/>
        <w:gridCol w:w="1417"/>
        <w:gridCol w:w="1985"/>
        <w:gridCol w:w="1863"/>
      </w:tblGrid>
      <w:tr w:rsidR="00C57C9F" w14:paraId="7FCC2ED2" w14:textId="77777777" w:rsidTr="006F421D">
        <w:trPr>
          <w:divId w:val="1139883726"/>
        </w:trPr>
        <w:tc>
          <w:tcPr>
            <w:tcW w:w="3572" w:type="dxa"/>
            <w:vAlign w:val="center"/>
            <w:hideMark/>
          </w:tcPr>
          <w:p w14:paraId="4998ECDD" w14:textId="77777777" w:rsidR="00C57C9F" w:rsidRDefault="00C57C9F">
            <w:pPr>
              <w:rPr>
                <w:rFonts w:eastAsia="Times New Roman" w:cs="Times New Roman"/>
              </w:rPr>
            </w:pPr>
          </w:p>
        </w:tc>
        <w:tc>
          <w:tcPr>
            <w:tcW w:w="1418" w:type="dxa"/>
            <w:tcBorders>
              <w:bottom w:val="single" w:sz="4" w:space="0" w:color="0D0D0D" w:themeColor="text1" w:themeTint="F2"/>
            </w:tcBorders>
            <w:vAlign w:val="center"/>
            <w:hideMark/>
          </w:tcPr>
          <w:p w14:paraId="0AC3C2A0" w14:textId="77777777" w:rsidR="00C57C9F" w:rsidRDefault="00C57C9F" w:rsidP="006F421D">
            <w:pPr>
              <w:pStyle w:val="3fins-table-figures"/>
              <w:jc w:val="right"/>
              <w:rPr>
                <w:rFonts w:cs="Times New Roman"/>
              </w:rPr>
            </w:pPr>
            <w:r>
              <w:rPr>
                <w:rStyle w:val="fins-bold"/>
                <w:rFonts w:cs="Times New Roman"/>
              </w:rPr>
              <w:t>Category (Level 2 or 3)</w:t>
            </w:r>
          </w:p>
        </w:tc>
        <w:tc>
          <w:tcPr>
            <w:tcW w:w="1417" w:type="dxa"/>
            <w:tcBorders>
              <w:bottom w:val="single" w:sz="4" w:space="0" w:color="0D0D0D" w:themeColor="text1" w:themeTint="F2"/>
            </w:tcBorders>
            <w:vAlign w:val="center"/>
            <w:hideMark/>
          </w:tcPr>
          <w:p w14:paraId="130E3850" w14:textId="77777777" w:rsidR="00C57C9F" w:rsidRDefault="00C57C9F" w:rsidP="006F421D">
            <w:pPr>
              <w:pStyle w:val="3fins-table-figures"/>
              <w:jc w:val="right"/>
              <w:rPr>
                <w:rFonts w:cs="Times New Roman"/>
              </w:rPr>
            </w:pPr>
            <w:r>
              <w:rPr>
                <w:rStyle w:val="fins-bold"/>
                <w:rFonts w:cs="Times New Roman"/>
              </w:rPr>
              <w:t>Fair value $’000</w:t>
            </w:r>
          </w:p>
        </w:tc>
        <w:tc>
          <w:tcPr>
            <w:tcW w:w="1985" w:type="dxa"/>
            <w:tcBorders>
              <w:bottom w:val="single" w:sz="4" w:space="0" w:color="0D0D0D" w:themeColor="text1" w:themeTint="F2"/>
            </w:tcBorders>
            <w:vAlign w:val="center"/>
            <w:hideMark/>
          </w:tcPr>
          <w:p w14:paraId="239313C8" w14:textId="77777777" w:rsidR="00C57C9F" w:rsidRDefault="00C57C9F" w:rsidP="006F421D">
            <w:pPr>
              <w:pStyle w:val="3fins-table-figures"/>
              <w:jc w:val="right"/>
              <w:rPr>
                <w:rFonts w:cs="Times New Roman"/>
              </w:rPr>
            </w:pPr>
            <w:r>
              <w:rPr>
                <w:rStyle w:val="fins-bold"/>
                <w:rFonts w:cs="Times New Roman"/>
              </w:rPr>
              <w:t>Valuation technique(s)</w:t>
            </w:r>
          </w:p>
        </w:tc>
        <w:tc>
          <w:tcPr>
            <w:tcW w:w="1863" w:type="dxa"/>
            <w:tcBorders>
              <w:bottom w:val="single" w:sz="4" w:space="0" w:color="0D0D0D" w:themeColor="text1" w:themeTint="F2"/>
            </w:tcBorders>
            <w:vAlign w:val="center"/>
            <w:hideMark/>
          </w:tcPr>
          <w:p w14:paraId="5C6A9468" w14:textId="77777777" w:rsidR="00C57C9F" w:rsidRDefault="00C57C9F" w:rsidP="006F421D">
            <w:pPr>
              <w:pStyle w:val="3fins-table-figures"/>
              <w:jc w:val="right"/>
              <w:rPr>
                <w:rFonts w:cs="Times New Roman"/>
              </w:rPr>
            </w:pPr>
            <w:r>
              <w:rPr>
                <w:rStyle w:val="fins-bold"/>
                <w:rFonts w:cs="Times New Roman"/>
              </w:rPr>
              <w:t>Inputs used</w:t>
            </w:r>
          </w:p>
        </w:tc>
      </w:tr>
      <w:tr w:rsidR="00C57C9F" w14:paraId="3AEEBB8F" w14:textId="77777777" w:rsidTr="006F421D">
        <w:trPr>
          <w:divId w:val="1139883726"/>
        </w:trPr>
        <w:tc>
          <w:tcPr>
            <w:tcW w:w="3572" w:type="dxa"/>
            <w:vAlign w:val="center"/>
            <w:hideMark/>
          </w:tcPr>
          <w:p w14:paraId="572D34B6" w14:textId="77777777" w:rsidR="00C57C9F" w:rsidRDefault="00C57C9F">
            <w:pPr>
              <w:pStyle w:val="3fins-table"/>
              <w:rPr>
                <w:rFonts w:cs="Times New Roman"/>
              </w:rPr>
            </w:pPr>
            <w:r>
              <w:rPr>
                <w:rStyle w:val="fins-bold"/>
                <w:rFonts w:cs="Times New Roman"/>
              </w:rPr>
              <w:t>Non-financial assets</w:t>
            </w:r>
          </w:p>
        </w:tc>
        <w:tc>
          <w:tcPr>
            <w:tcW w:w="1418" w:type="dxa"/>
            <w:tcBorders>
              <w:top w:val="single" w:sz="4" w:space="0" w:color="0D0D0D" w:themeColor="text1" w:themeTint="F2"/>
            </w:tcBorders>
            <w:vAlign w:val="center"/>
            <w:hideMark/>
          </w:tcPr>
          <w:p w14:paraId="7C4BFEDC" w14:textId="77777777" w:rsidR="00C57C9F" w:rsidRDefault="00C57C9F" w:rsidP="006F421D">
            <w:pPr>
              <w:jc w:val="right"/>
              <w:rPr>
                <w:rFonts w:eastAsia="Times New Roman" w:cs="Times New Roman"/>
              </w:rPr>
            </w:pPr>
          </w:p>
        </w:tc>
        <w:tc>
          <w:tcPr>
            <w:tcW w:w="1417" w:type="dxa"/>
            <w:tcBorders>
              <w:top w:val="single" w:sz="4" w:space="0" w:color="0D0D0D" w:themeColor="text1" w:themeTint="F2"/>
            </w:tcBorders>
            <w:vAlign w:val="center"/>
            <w:hideMark/>
          </w:tcPr>
          <w:p w14:paraId="0A7D2879" w14:textId="77777777" w:rsidR="00C57C9F" w:rsidRDefault="00C57C9F" w:rsidP="006F421D">
            <w:pPr>
              <w:jc w:val="right"/>
              <w:rPr>
                <w:rFonts w:eastAsia="Times New Roman" w:cs="Times New Roman"/>
              </w:rPr>
            </w:pPr>
          </w:p>
        </w:tc>
        <w:tc>
          <w:tcPr>
            <w:tcW w:w="1985" w:type="dxa"/>
            <w:tcBorders>
              <w:top w:val="single" w:sz="4" w:space="0" w:color="0D0D0D" w:themeColor="text1" w:themeTint="F2"/>
            </w:tcBorders>
            <w:vAlign w:val="center"/>
            <w:hideMark/>
          </w:tcPr>
          <w:p w14:paraId="7E8668D2" w14:textId="77777777" w:rsidR="00C57C9F" w:rsidRDefault="00C57C9F" w:rsidP="006F421D">
            <w:pPr>
              <w:jc w:val="right"/>
              <w:rPr>
                <w:rFonts w:eastAsia="Times New Roman" w:cs="Times New Roman"/>
              </w:rPr>
            </w:pPr>
          </w:p>
        </w:tc>
        <w:tc>
          <w:tcPr>
            <w:tcW w:w="1863" w:type="dxa"/>
            <w:tcBorders>
              <w:top w:val="single" w:sz="4" w:space="0" w:color="0D0D0D" w:themeColor="text1" w:themeTint="F2"/>
            </w:tcBorders>
            <w:vAlign w:val="center"/>
            <w:hideMark/>
          </w:tcPr>
          <w:p w14:paraId="05702958" w14:textId="77777777" w:rsidR="00C57C9F" w:rsidRDefault="00C57C9F" w:rsidP="006F421D">
            <w:pPr>
              <w:jc w:val="right"/>
              <w:rPr>
                <w:rFonts w:eastAsia="Times New Roman" w:cs="Times New Roman"/>
              </w:rPr>
            </w:pPr>
          </w:p>
        </w:tc>
      </w:tr>
      <w:tr w:rsidR="00C57C9F" w14:paraId="727A755A" w14:textId="77777777" w:rsidTr="006F421D">
        <w:trPr>
          <w:divId w:val="1139883726"/>
        </w:trPr>
        <w:tc>
          <w:tcPr>
            <w:tcW w:w="3572" w:type="dxa"/>
            <w:vAlign w:val="center"/>
            <w:hideMark/>
          </w:tcPr>
          <w:p w14:paraId="739E2554" w14:textId="77777777" w:rsidR="00C57C9F" w:rsidRDefault="00C57C9F" w:rsidP="006F421D">
            <w:pPr>
              <w:pStyle w:val="3fins-table"/>
              <w:ind w:left="426"/>
              <w:rPr>
                <w:rFonts w:cs="Times New Roman"/>
              </w:rPr>
            </w:pPr>
            <w:r>
              <w:rPr>
                <w:rFonts w:cs="Times New Roman"/>
              </w:rPr>
              <w:t>Recurring - Property, Plant and Equipment</w:t>
            </w:r>
          </w:p>
        </w:tc>
        <w:tc>
          <w:tcPr>
            <w:tcW w:w="1418" w:type="dxa"/>
            <w:vAlign w:val="center"/>
            <w:hideMark/>
          </w:tcPr>
          <w:p w14:paraId="150AF331" w14:textId="77777777" w:rsidR="00C57C9F" w:rsidRDefault="00C57C9F" w:rsidP="006F421D">
            <w:pPr>
              <w:pStyle w:val="3fins-table-figures"/>
              <w:jc w:val="right"/>
              <w:rPr>
                <w:rFonts w:cs="Times New Roman"/>
              </w:rPr>
            </w:pPr>
            <w:r>
              <w:rPr>
                <w:rFonts w:cs="Times New Roman"/>
              </w:rPr>
              <w:t>Level 2</w:t>
            </w:r>
          </w:p>
        </w:tc>
        <w:tc>
          <w:tcPr>
            <w:tcW w:w="1417" w:type="dxa"/>
            <w:vAlign w:val="center"/>
            <w:hideMark/>
          </w:tcPr>
          <w:p w14:paraId="60205306" w14:textId="77777777" w:rsidR="00C57C9F" w:rsidRDefault="00C57C9F" w:rsidP="006F421D">
            <w:pPr>
              <w:pStyle w:val="3fins-table-figures"/>
              <w:jc w:val="right"/>
              <w:rPr>
                <w:rFonts w:cs="Times New Roman"/>
              </w:rPr>
            </w:pPr>
            <w:r>
              <w:rPr>
                <w:rFonts w:cs="Times New Roman"/>
              </w:rPr>
              <w:t>56</w:t>
            </w:r>
          </w:p>
        </w:tc>
        <w:tc>
          <w:tcPr>
            <w:tcW w:w="1985" w:type="dxa"/>
            <w:vAlign w:val="center"/>
            <w:hideMark/>
          </w:tcPr>
          <w:p w14:paraId="531DFE2C" w14:textId="77777777" w:rsidR="00C57C9F" w:rsidRDefault="00C57C9F" w:rsidP="006F421D">
            <w:pPr>
              <w:pStyle w:val="3fins-table-figures"/>
              <w:jc w:val="right"/>
              <w:rPr>
                <w:rFonts w:cs="Times New Roman"/>
              </w:rPr>
            </w:pPr>
            <w:r>
              <w:rPr>
                <w:rFonts w:cs="Times New Roman"/>
              </w:rPr>
              <w:t>Depreciated Replacement Cost</w:t>
            </w:r>
          </w:p>
        </w:tc>
        <w:tc>
          <w:tcPr>
            <w:tcW w:w="1863" w:type="dxa"/>
            <w:vAlign w:val="center"/>
            <w:hideMark/>
          </w:tcPr>
          <w:p w14:paraId="40ACB487" w14:textId="77777777" w:rsidR="00C57C9F" w:rsidRDefault="00C57C9F" w:rsidP="006F421D">
            <w:pPr>
              <w:pStyle w:val="3fins-table-figures"/>
              <w:jc w:val="right"/>
              <w:rPr>
                <w:rFonts w:cs="Times New Roman"/>
              </w:rPr>
            </w:pPr>
            <w:r>
              <w:rPr>
                <w:rFonts w:cs="Times New Roman"/>
              </w:rPr>
              <w:t>Replacement cost</w:t>
            </w:r>
          </w:p>
          <w:p w14:paraId="3C967104" w14:textId="77777777" w:rsidR="00C57C9F" w:rsidRDefault="00C57C9F" w:rsidP="006F421D">
            <w:pPr>
              <w:pStyle w:val="3fins-table-figures"/>
              <w:jc w:val="right"/>
              <w:rPr>
                <w:rFonts w:cs="Times New Roman"/>
              </w:rPr>
            </w:pPr>
            <w:r>
              <w:rPr>
                <w:rFonts w:cs="Times New Roman"/>
              </w:rPr>
              <w:t>Useful life</w:t>
            </w:r>
          </w:p>
        </w:tc>
      </w:tr>
    </w:tbl>
    <w:p w14:paraId="5EF4E1CC" w14:textId="77777777" w:rsidR="00C57C9F" w:rsidRDefault="00C57C9F">
      <w:pPr>
        <w:pStyle w:val="1heading-2"/>
        <w:divId w:val="1139883726"/>
        <w:rPr>
          <w:rFonts w:cs="Times New Roman"/>
          <w:lang w:val="en-AU"/>
        </w:rPr>
      </w:pPr>
    </w:p>
    <w:p w14:paraId="738742B9" w14:textId="77777777" w:rsidR="00C57C9F" w:rsidRDefault="00C57C9F">
      <w:pPr>
        <w:rPr>
          <w:rFonts w:cs="Times New Roman"/>
          <w:b/>
          <w:sz w:val="28"/>
        </w:rPr>
      </w:pPr>
      <w:r>
        <w:rPr>
          <w:rFonts w:cs="Times New Roman"/>
        </w:rPr>
        <w:br w:type="page"/>
      </w:r>
    </w:p>
    <w:p w14:paraId="27179777" w14:textId="77777777" w:rsidR="00C57C9F" w:rsidRDefault="00C57C9F" w:rsidP="00161EA4">
      <w:pPr>
        <w:pStyle w:val="1heading-2"/>
        <w:spacing w:after="0"/>
        <w:divId w:val="1139883726"/>
        <w:rPr>
          <w:rFonts w:cs="Times New Roman"/>
          <w:lang w:val="en-AU"/>
        </w:rPr>
      </w:pPr>
      <w:r>
        <w:rPr>
          <w:rFonts w:cs="Times New Roman"/>
          <w:lang w:val="en-AU"/>
        </w:rPr>
        <w:lastRenderedPageBreak/>
        <w:t>Note 6: Financial Assets</w:t>
      </w:r>
    </w:p>
    <w:tbl>
      <w:tblPr>
        <w:tblW w:w="10093" w:type="dxa"/>
        <w:tblLayout w:type="fixed"/>
        <w:tblCellMar>
          <w:top w:w="28" w:type="dxa"/>
          <w:left w:w="28" w:type="dxa"/>
          <w:bottom w:w="28" w:type="dxa"/>
          <w:right w:w="28" w:type="dxa"/>
        </w:tblCellMar>
        <w:tblLook w:val="04A0" w:firstRow="1" w:lastRow="0" w:firstColumn="1" w:lastColumn="0" w:noHBand="0" w:noVBand="1"/>
      </w:tblPr>
      <w:tblGrid>
        <w:gridCol w:w="7541"/>
        <w:gridCol w:w="1418"/>
        <w:gridCol w:w="1134"/>
      </w:tblGrid>
      <w:tr w:rsidR="00C57C9F" w14:paraId="6BBBDA30" w14:textId="77777777" w:rsidTr="00161EA4">
        <w:trPr>
          <w:divId w:val="1139883726"/>
        </w:trPr>
        <w:tc>
          <w:tcPr>
            <w:tcW w:w="7541" w:type="dxa"/>
            <w:vAlign w:val="center"/>
            <w:hideMark/>
          </w:tcPr>
          <w:p w14:paraId="4F1A6534" w14:textId="77777777" w:rsidR="00C57C9F" w:rsidRDefault="00C57C9F">
            <w:pPr>
              <w:rPr>
                <w:rFonts w:eastAsia="Times New Roman" w:cs="Times New Roman"/>
              </w:rPr>
            </w:pPr>
          </w:p>
        </w:tc>
        <w:tc>
          <w:tcPr>
            <w:tcW w:w="1418" w:type="dxa"/>
            <w:vAlign w:val="center"/>
            <w:hideMark/>
          </w:tcPr>
          <w:p w14:paraId="42A965D7" w14:textId="77777777" w:rsidR="00C57C9F" w:rsidRDefault="00C57C9F" w:rsidP="006F421D">
            <w:pPr>
              <w:pStyle w:val="3fins-table-figures"/>
              <w:jc w:val="right"/>
              <w:rPr>
                <w:rFonts w:cs="Times New Roman"/>
              </w:rPr>
            </w:pPr>
            <w:r>
              <w:rPr>
                <w:rStyle w:val="fins-bold"/>
                <w:rFonts w:cs="Times New Roman"/>
              </w:rPr>
              <w:t>2014</w:t>
            </w:r>
          </w:p>
        </w:tc>
        <w:tc>
          <w:tcPr>
            <w:tcW w:w="1134" w:type="dxa"/>
            <w:vAlign w:val="center"/>
            <w:hideMark/>
          </w:tcPr>
          <w:p w14:paraId="77B4BCCC" w14:textId="77777777" w:rsidR="00C57C9F" w:rsidRDefault="00C57C9F" w:rsidP="006F421D">
            <w:pPr>
              <w:pStyle w:val="3fins-table-figures"/>
              <w:jc w:val="right"/>
              <w:rPr>
                <w:rFonts w:cs="Times New Roman"/>
              </w:rPr>
            </w:pPr>
            <w:r>
              <w:rPr>
                <w:rFonts w:cs="Times New Roman"/>
              </w:rPr>
              <w:t>2013</w:t>
            </w:r>
          </w:p>
        </w:tc>
      </w:tr>
      <w:tr w:rsidR="00C57C9F" w14:paraId="1EDF229C" w14:textId="77777777" w:rsidTr="00161EA4">
        <w:trPr>
          <w:divId w:val="1139883726"/>
        </w:trPr>
        <w:tc>
          <w:tcPr>
            <w:tcW w:w="7541" w:type="dxa"/>
            <w:vAlign w:val="center"/>
            <w:hideMark/>
          </w:tcPr>
          <w:p w14:paraId="20AE5BD9" w14:textId="77777777" w:rsidR="00C57C9F" w:rsidRDefault="00C57C9F">
            <w:pPr>
              <w:rPr>
                <w:rFonts w:eastAsia="Times New Roman" w:cs="Times New Roman"/>
              </w:rPr>
            </w:pPr>
          </w:p>
        </w:tc>
        <w:tc>
          <w:tcPr>
            <w:tcW w:w="1418" w:type="dxa"/>
            <w:vAlign w:val="center"/>
            <w:hideMark/>
          </w:tcPr>
          <w:p w14:paraId="5C0669C6" w14:textId="77777777" w:rsidR="00C57C9F" w:rsidRDefault="00C57C9F" w:rsidP="006F421D">
            <w:pPr>
              <w:pStyle w:val="3fins-table-figures"/>
              <w:jc w:val="right"/>
              <w:rPr>
                <w:rFonts w:cs="Times New Roman"/>
              </w:rPr>
            </w:pPr>
            <w:r>
              <w:rPr>
                <w:rStyle w:val="fins-bold"/>
                <w:rFonts w:cs="Times New Roman"/>
              </w:rPr>
              <w:t>$’000</w:t>
            </w:r>
          </w:p>
        </w:tc>
        <w:tc>
          <w:tcPr>
            <w:tcW w:w="1134" w:type="dxa"/>
            <w:vAlign w:val="center"/>
            <w:hideMark/>
          </w:tcPr>
          <w:p w14:paraId="7D14B7E1" w14:textId="77777777" w:rsidR="00C57C9F" w:rsidRDefault="00C57C9F" w:rsidP="006F421D">
            <w:pPr>
              <w:pStyle w:val="3fins-table-figures"/>
              <w:jc w:val="right"/>
              <w:rPr>
                <w:rFonts w:cs="Times New Roman"/>
              </w:rPr>
            </w:pPr>
            <w:r>
              <w:rPr>
                <w:rFonts w:cs="Times New Roman"/>
              </w:rPr>
              <w:t>$’000</w:t>
            </w:r>
          </w:p>
        </w:tc>
      </w:tr>
      <w:tr w:rsidR="00C57C9F" w14:paraId="6F00C636" w14:textId="77777777" w:rsidTr="00161EA4">
        <w:trPr>
          <w:divId w:val="1139883726"/>
        </w:trPr>
        <w:tc>
          <w:tcPr>
            <w:tcW w:w="7541" w:type="dxa"/>
            <w:vAlign w:val="center"/>
            <w:hideMark/>
          </w:tcPr>
          <w:p w14:paraId="713F757D" w14:textId="77777777" w:rsidR="00C57C9F" w:rsidRDefault="00C57C9F">
            <w:pPr>
              <w:pStyle w:val="1heading-3"/>
              <w:rPr>
                <w:rFonts w:cs="Times New Roman"/>
              </w:rPr>
            </w:pPr>
            <w:r>
              <w:rPr>
                <w:rFonts w:cs="Times New Roman"/>
              </w:rPr>
              <w:t>Note 6A: Cash and Cash Equivalents</w:t>
            </w:r>
          </w:p>
        </w:tc>
        <w:tc>
          <w:tcPr>
            <w:tcW w:w="1418" w:type="dxa"/>
            <w:vAlign w:val="center"/>
            <w:hideMark/>
          </w:tcPr>
          <w:p w14:paraId="2A8B2CCE" w14:textId="77777777" w:rsidR="00C57C9F" w:rsidRDefault="00C57C9F" w:rsidP="006F421D">
            <w:pPr>
              <w:jc w:val="right"/>
              <w:rPr>
                <w:rFonts w:eastAsia="Times New Roman" w:cs="Times New Roman"/>
              </w:rPr>
            </w:pPr>
          </w:p>
        </w:tc>
        <w:tc>
          <w:tcPr>
            <w:tcW w:w="1134" w:type="dxa"/>
            <w:vAlign w:val="center"/>
            <w:hideMark/>
          </w:tcPr>
          <w:p w14:paraId="38429FFF" w14:textId="77777777" w:rsidR="00C57C9F" w:rsidRDefault="00C57C9F" w:rsidP="006F421D">
            <w:pPr>
              <w:jc w:val="right"/>
              <w:rPr>
                <w:rFonts w:eastAsia="Times New Roman" w:cs="Times New Roman"/>
              </w:rPr>
            </w:pPr>
          </w:p>
        </w:tc>
      </w:tr>
      <w:tr w:rsidR="00C57C9F" w14:paraId="0A688CE2" w14:textId="77777777" w:rsidTr="00161EA4">
        <w:trPr>
          <w:divId w:val="1139883726"/>
        </w:trPr>
        <w:tc>
          <w:tcPr>
            <w:tcW w:w="7541" w:type="dxa"/>
            <w:vAlign w:val="center"/>
            <w:hideMark/>
          </w:tcPr>
          <w:p w14:paraId="0BC0F7E3" w14:textId="77777777" w:rsidR="00C57C9F" w:rsidRDefault="00C57C9F">
            <w:pPr>
              <w:pStyle w:val="3fins-table"/>
              <w:rPr>
                <w:rFonts w:cs="Times New Roman"/>
              </w:rPr>
            </w:pPr>
            <w:r>
              <w:rPr>
                <w:rFonts w:cs="Times New Roman"/>
              </w:rPr>
              <w:t>Cash on hand and at bank</w:t>
            </w:r>
          </w:p>
        </w:tc>
        <w:tc>
          <w:tcPr>
            <w:tcW w:w="1418" w:type="dxa"/>
            <w:tcBorders>
              <w:bottom w:val="single" w:sz="4" w:space="0" w:color="0D0D0D" w:themeColor="text1" w:themeTint="F2"/>
            </w:tcBorders>
            <w:vAlign w:val="center"/>
            <w:hideMark/>
          </w:tcPr>
          <w:p w14:paraId="04F27318" w14:textId="77777777" w:rsidR="00C57C9F" w:rsidRDefault="00C57C9F" w:rsidP="006F421D">
            <w:pPr>
              <w:pStyle w:val="3fins-table-figures"/>
              <w:jc w:val="right"/>
              <w:rPr>
                <w:rFonts w:cs="Times New Roman"/>
              </w:rPr>
            </w:pPr>
            <w:r>
              <w:rPr>
                <w:rStyle w:val="fins-bold"/>
                <w:rFonts w:cs="Times New Roman"/>
              </w:rPr>
              <w:t xml:space="preserve">13,159 </w:t>
            </w:r>
          </w:p>
        </w:tc>
        <w:tc>
          <w:tcPr>
            <w:tcW w:w="1134" w:type="dxa"/>
            <w:tcBorders>
              <w:bottom w:val="single" w:sz="4" w:space="0" w:color="0D0D0D" w:themeColor="text1" w:themeTint="F2"/>
            </w:tcBorders>
            <w:vAlign w:val="center"/>
            <w:hideMark/>
          </w:tcPr>
          <w:p w14:paraId="643618F6" w14:textId="77777777" w:rsidR="00C57C9F" w:rsidRDefault="00C57C9F" w:rsidP="006F421D">
            <w:pPr>
              <w:pStyle w:val="3fins-table-figures"/>
              <w:jc w:val="right"/>
              <w:rPr>
                <w:rFonts w:cs="Times New Roman"/>
              </w:rPr>
            </w:pPr>
            <w:r>
              <w:rPr>
                <w:rFonts w:cs="Times New Roman"/>
              </w:rPr>
              <w:t xml:space="preserve">7,050 </w:t>
            </w:r>
          </w:p>
        </w:tc>
      </w:tr>
      <w:tr w:rsidR="00C57C9F" w14:paraId="5E429217" w14:textId="77777777" w:rsidTr="00161EA4">
        <w:trPr>
          <w:divId w:val="1139883726"/>
        </w:trPr>
        <w:tc>
          <w:tcPr>
            <w:tcW w:w="7541" w:type="dxa"/>
            <w:vAlign w:val="center"/>
            <w:hideMark/>
          </w:tcPr>
          <w:p w14:paraId="67F162B6" w14:textId="77777777" w:rsidR="00C57C9F" w:rsidRDefault="00C57C9F">
            <w:pPr>
              <w:pStyle w:val="3fins-table"/>
              <w:rPr>
                <w:rFonts w:cs="Times New Roman"/>
              </w:rPr>
            </w:pPr>
            <w:r>
              <w:rPr>
                <w:rStyle w:val="fins-bold"/>
                <w:rFonts w:cs="Times New Roman"/>
              </w:rPr>
              <w:t>Total cash and cash equivalents</w:t>
            </w:r>
          </w:p>
        </w:tc>
        <w:tc>
          <w:tcPr>
            <w:tcW w:w="1418" w:type="dxa"/>
            <w:tcBorders>
              <w:top w:val="single" w:sz="4" w:space="0" w:color="0D0D0D" w:themeColor="text1" w:themeTint="F2"/>
              <w:bottom w:val="single" w:sz="4" w:space="0" w:color="0D0D0D" w:themeColor="text1" w:themeTint="F2"/>
            </w:tcBorders>
            <w:vAlign w:val="center"/>
            <w:hideMark/>
          </w:tcPr>
          <w:p w14:paraId="3264CB31" w14:textId="77777777" w:rsidR="00C57C9F" w:rsidRDefault="00C57C9F" w:rsidP="006F421D">
            <w:pPr>
              <w:pStyle w:val="3fins-table-figures"/>
              <w:jc w:val="right"/>
              <w:rPr>
                <w:rFonts w:cs="Times New Roman"/>
              </w:rPr>
            </w:pPr>
            <w:r>
              <w:rPr>
                <w:rStyle w:val="fins-bold"/>
                <w:rFonts w:cs="Times New Roman"/>
              </w:rPr>
              <w:t xml:space="preserve">13,159 </w:t>
            </w:r>
          </w:p>
        </w:tc>
        <w:tc>
          <w:tcPr>
            <w:tcW w:w="1134" w:type="dxa"/>
            <w:tcBorders>
              <w:top w:val="single" w:sz="4" w:space="0" w:color="0D0D0D" w:themeColor="text1" w:themeTint="F2"/>
              <w:bottom w:val="single" w:sz="4" w:space="0" w:color="0D0D0D" w:themeColor="text1" w:themeTint="F2"/>
            </w:tcBorders>
            <w:vAlign w:val="center"/>
            <w:hideMark/>
          </w:tcPr>
          <w:p w14:paraId="5FD3DFEE" w14:textId="77777777" w:rsidR="00C57C9F" w:rsidRDefault="00C57C9F" w:rsidP="006F421D">
            <w:pPr>
              <w:pStyle w:val="3fins-table-figures"/>
              <w:jc w:val="right"/>
              <w:rPr>
                <w:rFonts w:cs="Times New Roman"/>
              </w:rPr>
            </w:pPr>
            <w:r>
              <w:rPr>
                <w:rFonts w:cs="Times New Roman"/>
              </w:rPr>
              <w:t xml:space="preserve">7,050 </w:t>
            </w:r>
          </w:p>
        </w:tc>
      </w:tr>
      <w:tr w:rsidR="00C57C9F" w14:paraId="5BADE4B2" w14:textId="77777777" w:rsidTr="00161EA4">
        <w:trPr>
          <w:divId w:val="1139883726"/>
        </w:trPr>
        <w:tc>
          <w:tcPr>
            <w:tcW w:w="7541" w:type="dxa"/>
            <w:vAlign w:val="center"/>
            <w:hideMark/>
          </w:tcPr>
          <w:p w14:paraId="3AEB5406" w14:textId="77777777" w:rsidR="00C57C9F" w:rsidRDefault="00C57C9F">
            <w:pPr>
              <w:rPr>
                <w:rFonts w:eastAsia="Times New Roman" w:cs="Times New Roman"/>
              </w:rPr>
            </w:pPr>
          </w:p>
        </w:tc>
        <w:tc>
          <w:tcPr>
            <w:tcW w:w="1418" w:type="dxa"/>
            <w:tcBorders>
              <w:top w:val="single" w:sz="4" w:space="0" w:color="0D0D0D" w:themeColor="text1" w:themeTint="F2"/>
            </w:tcBorders>
            <w:vAlign w:val="center"/>
            <w:hideMark/>
          </w:tcPr>
          <w:p w14:paraId="71033195" w14:textId="77777777" w:rsidR="00C57C9F" w:rsidRDefault="00C57C9F" w:rsidP="006F421D">
            <w:pPr>
              <w:jc w:val="right"/>
              <w:rPr>
                <w:rFonts w:eastAsia="Times New Roman" w:cs="Times New Roman"/>
              </w:rPr>
            </w:pPr>
          </w:p>
        </w:tc>
        <w:tc>
          <w:tcPr>
            <w:tcW w:w="1134" w:type="dxa"/>
            <w:tcBorders>
              <w:top w:val="single" w:sz="4" w:space="0" w:color="0D0D0D" w:themeColor="text1" w:themeTint="F2"/>
            </w:tcBorders>
            <w:vAlign w:val="center"/>
            <w:hideMark/>
          </w:tcPr>
          <w:p w14:paraId="2292254E" w14:textId="77777777" w:rsidR="00C57C9F" w:rsidRDefault="00C57C9F" w:rsidP="006F421D">
            <w:pPr>
              <w:jc w:val="right"/>
              <w:rPr>
                <w:rFonts w:eastAsia="Times New Roman" w:cs="Times New Roman"/>
              </w:rPr>
            </w:pPr>
          </w:p>
        </w:tc>
      </w:tr>
      <w:tr w:rsidR="00C57C9F" w14:paraId="1B2B6861" w14:textId="77777777" w:rsidTr="00161EA4">
        <w:trPr>
          <w:divId w:val="1139883726"/>
        </w:trPr>
        <w:tc>
          <w:tcPr>
            <w:tcW w:w="7541" w:type="dxa"/>
            <w:vAlign w:val="center"/>
            <w:hideMark/>
          </w:tcPr>
          <w:p w14:paraId="4FA221BB" w14:textId="77777777" w:rsidR="00C57C9F" w:rsidRDefault="00C57C9F">
            <w:pPr>
              <w:pStyle w:val="1heading-3"/>
              <w:rPr>
                <w:rFonts w:cs="Times New Roman"/>
              </w:rPr>
            </w:pPr>
            <w:r>
              <w:rPr>
                <w:rFonts w:cs="Times New Roman"/>
              </w:rPr>
              <w:t>Note 6B: Trade and Other Receivables</w:t>
            </w:r>
          </w:p>
        </w:tc>
        <w:tc>
          <w:tcPr>
            <w:tcW w:w="1418" w:type="dxa"/>
            <w:vAlign w:val="center"/>
            <w:hideMark/>
          </w:tcPr>
          <w:p w14:paraId="19F4F14E" w14:textId="77777777" w:rsidR="00C57C9F" w:rsidRDefault="00C57C9F" w:rsidP="006F421D">
            <w:pPr>
              <w:jc w:val="right"/>
              <w:rPr>
                <w:rFonts w:eastAsia="Times New Roman" w:cs="Times New Roman"/>
              </w:rPr>
            </w:pPr>
          </w:p>
        </w:tc>
        <w:tc>
          <w:tcPr>
            <w:tcW w:w="1134" w:type="dxa"/>
            <w:vAlign w:val="center"/>
            <w:hideMark/>
          </w:tcPr>
          <w:p w14:paraId="64DA062A" w14:textId="77777777" w:rsidR="00C57C9F" w:rsidRDefault="00C57C9F" w:rsidP="006F421D">
            <w:pPr>
              <w:jc w:val="right"/>
              <w:rPr>
                <w:rFonts w:eastAsia="Times New Roman" w:cs="Times New Roman"/>
              </w:rPr>
            </w:pPr>
          </w:p>
        </w:tc>
      </w:tr>
      <w:tr w:rsidR="00C57C9F" w14:paraId="5F3401D9" w14:textId="77777777" w:rsidTr="00161EA4">
        <w:trPr>
          <w:divId w:val="1139883726"/>
        </w:trPr>
        <w:tc>
          <w:tcPr>
            <w:tcW w:w="7541" w:type="dxa"/>
            <w:vAlign w:val="center"/>
            <w:hideMark/>
          </w:tcPr>
          <w:p w14:paraId="6B501306" w14:textId="77777777" w:rsidR="00C57C9F" w:rsidRDefault="00C57C9F">
            <w:pPr>
              <w:pStyle w:val="3fins-table"/>
              <w:rPr>
                <w:rFonts w:cs="Times New Roman"/>
              </w:rPr>
            </w:pPr>
            <w:r>
              <w:rPr>
                <w:rStyle w:val="fins-bold"/>
                <w:rFonts w:cs="Times New Roman"/>
              </w:rPr>
              <w:t>Good and Services:</w:t>
            </w:r>
          </w:p>
        </w:tc>
        <w:tc>
          <w:tcPr>
            <w:tcW w:w="1418" w:type="dxa"/>
            <w:vAlign w:val="center"/>
            <w:hideMark/>
          </w:tcPr>
          <w:p w14:paraId="79F6B973" w14:textId="77777777" w:rsidR="00C57C9F" w:rsidRDefault="00C57C9F" w:rsidP="006F421D">
            <w:pPr>
              <w:jc w:val="right"/>
              <w:rPr>
                <w:rFonts w:eastAsia="Times New Roman" w:cs="Times New Roman"/>
              </w:rPr>
            </w:pPr>
          </w:p>
        </w:tc>
        <w:tc>
          <w:tcPr>
            <w:tcW w:w="1134" w:type="dxa"/>
            <w:vAlign w:val="center"/>
            <w:hideMark/>
          </w:tcPr>
          <w:p w14:paraId="09355CC1" w14:textId="77777777" w:rsidR="00C57C9F" w:rsidRDefault="00C57C9F" w:rsidP="006F421D">
            <w:pPr>
              <w:jc w:val="right"/>
              <w:rPr>
                <w:rFonts w:eastAsia="Times New Roman" w:cs="Times New Roman"/>
              </w:rPr>
            </w:pPr>
          </w:p>
        </w:tc>
      </w:tr>
      <w:tr w:rsidR="00C57C9F" w14:paraId="532E2801" w14:textId="77777777" w:rsidTr="00161EA4">
        <w:trPr>
          <w:divId w:val="1139883726"/>
        </w:trPr>
        <w:tc>
          <w:tcPr>
            <w:tcW w:w="7541" w:type="dxa"/>
            <w:vAlign w:val="center"/>
            <w:hideMark/>
          </w:tcPr>
          <w:p w14:paraId="6937C256" w14:textId="77777777" w:rsidR="00C57C9F" w:rsidRDefault="00C57C9F" w:rsidP="006F421D">
            <w:pPr>
              <w:pStyle w:val="3fins-table"/>
              <w:ind w:left="567"/>
              <w:rPr>
                <w:rFonts w:cs="Times New Roman"/>
              </w:rPr>
            </w:pPr>
            <w:r>
              <w:rPr>
                <w:rFonts w:cs="Times New Roman"/>
              </w:rPr>
              <w:t>Related parties – Department of Health</w:t>
            </w:r>
          </w:p>
        </w:tc>
        <w:tc>
          <w:tcPr>
            <w:tcW w:w="1418" w:type="dxa"/>
            <w:vAlign w:val="center"/>
            <w:hideMark/>
          </w:tcPr>
          <w:p w14:paraId="1B275BA6" w14:textId="77777777" w:rsidR="00C57C9F" w:rsidRDefault="00C57C9F" w:rsidP="006F421D">
            <w:pPr>
              <w:pStyle w:val="3fins-table-figures"/>
              <w:jc w:val="right"/>
              <w:rPr>
                <w:rFonts w:cs="Times New Roman"/>
              </w:rPr>
            </w:pPr>
            <w:r>
              <w:rPr>
                <w:rStyle w:val="fins-bold"/>
                <w:rFonts w:cs="Times New Roman"/>
              </w:rPr>
              <w:t xml:space="preserve">1,806 </w:t>
            </w:r>
          </w:p>
        </w:tc>
        <w:tc>
          <w:tcPr>
            <w:tcW w:w="1134" w:type="dxa"/>
            <w:vAlign w:val="center"/>
            <w:hideMark/>
          </w:tcPr>
          <w:p w14:paraId="4FF3B330" w14:textId="77777777" w:rsidR="00C57C9F" w:rsidRDefault="00C57C9F" w:rsidP="006F421D">
            <w:pPr>
              <w:pStyle w:val="3fins-table-figures"/>
              <w:jc w:val="right"/>
              <w:rPr>
                <w:rFonts w:cs="Times New Roman"/>
              </w:rPr>
            </w:pPr>
            <w:r>
              <w:rPr>
                <w:rFonts w:cs="Times New Roman"/>
              </w:rPr>
              <w:t xml:space="preserve">1,000 </w:t>
            </w:r>
          </w:p>
        </w:tc>
      </w:tr>
      <w:tr w:rsidR="00C57C9F" w14:paraId="28DFC4AC" w14:textId="77777777" w:rsidTr="00161EA4">
        <w:trPr>
          <w:divId w:val="1139883726"/>
        </w:trPr>
        <w:tc>
          <w:tcPr>
            <w:tcW w:w="7541" w:type="dxa"/>
            <w:vAlign w:val="center"/>
            <w:hideMark/>
          </w:tcPr>
          <w:p w14:paraId="2CC199F6" w14:textId="77777777" w:rsidR="00C57C9F" w:rsidRDefault="00C57C9F" w:rsidP="006F421D">
            <w:pPr>
              <w:pStyle w:val="3fins-table"/>
              <w:ind w:left="567"/>
              <w:rPr>
                <w:rFonts w:cs="Times New Roman"/>
              </w:rPr>
            </w:pPr>
            <w:r>
              <w:rPr>
                <w:rFonts w:cs="Times New Roman"/>
              </w:rPr>
              <w:t>External parties</w:t>
            </w:r>
          </w:p>
        </w:tc>
        <w:tc>
          <w:tcPr>
            <w:tcW w:w="1418" w:type="dxa"/>
            <w:tcBorders>
              <w:bottom w:val="single" w:sz="4" w:space="0" w:color="0D0D0D" w:themeColor="text1" w:themeTint="F2"/>
            </w:tcBorders>
            <w:vAlign w:val="center"/>
            <w:hideMark/>
          </w:tcPr>
          <w:p w14:paraId="1A3C45EA" w14:textId="77777777" w:rsidR="00C57C9F" w:rsidRDefault="00C57C9F" w:rsidP="006F421D">
            <w:pPr>
              <w:pStyle w:val="3fins-table-figures"/>
              <w:jc w:val="right"/>
              <w:rPr>
                <w:rFonts w:cs="Times New Roman"/>
              </w:rPr>
            </w:pPr>
            <w:r>
              <w:rPr>
                <w:rStyle w:val="fins-bold"/>
                <w:rFonts w:cs="Times New Roman"/>
              </w:rPr>
              <w:t xml:space="preserve">170 </w:t>
            </w:r>
          </w:p>
        </w:tc>
        <w:tc>
          <w:tcPr>
            <w:tcW w:w="1134" w:type="dxa"/>
            <w:tcBorders>
              <w:bottom w:val="single" w:sz="4" w:space="0" w:color="0D0D0D" w:themeColor="text1" w:themeTint="F2"/>
            </w:tcBorders>
            <w:vAlign w:val="center"/>
            <w:hideMark/>
          </w:tcPr>
          <w:p w14:paraId="1552E9CB" w14:textId="77777777" w:rsidR="00C57C9F" w:rsidRDefault="00C57C9F" w:rsidP="006F421D">
            <w:pPr>
              <w:pStyle w:val="3fins-table-figures"/>
              <w:jc w:val="right"/>
              <w:rPr>
                <w:rFonts w:cs="Times New Roman"/>
              </w:rPr>
            </w:pPr>
            <w:r>
              <w:rPr>
                <w:rFonts w:cs="Times New Roman"/>
              </w:rPr>
              <w:t xml:space="preserve">- </w:t>
            </w:r>
          </w:p>
        </w:tc>
      </w:tr>
      <w:tr w:rsidR="00C57C9F" w14:paraId="2A5B7C73" w14:textId="77777777" w:rsidTr="00161EA4">
        <w:trPr>
          <w:divId w:val="1139883726"/>
        </w:trPr>
        <w:tc>
          <w:tcPr>
            <w:tcW w:w="7541" w:type="dxa"/>
            <w:vAlign w:val="center"/>
            <w:hideMark/>
          </w:tcPr>
          <w:p w14:paraId="2B88CF9B" w14:textId="77777777" w:rsidR="00C57C9F" w:rsidRDefault="00C57C9F">
            <w:pPr>
              <w:pStyle w:val="3fins-table"/>
              <w:rPr>
                <w:rFonts w:cs="Times New Roman"/>
              </w:rPr>
            </w:pPr>
            <w:r>
              <w:rPr>
                <w:rStyle w:val="fins-bold"/>
                <w:rFonts w:cs="Times New Roman"/>
              </w:rPr>
              <w:t>Total receivables for goods and services</w:t>
            </w:r>
          </w:p>
        </w:tc>
        <w:tc>
          <w:tcPr>
            <w:tcW w:w="1418" w:type="dxa"/>
            <w:tcBorders>
              <w:top w:val="single" w:sz="4" w:space="0" w:color="0D0D0D" w:themeColor="text1" w:themeTint="F2"/>
              <w:bottom w:val="single" w:sz="4" w:space="0" w:color="0D0D0D" w:themeColor="text1" w:themeTint="F2"/>
            </w:tcBorders>
            <w:vAlign w:val="center"/>
            <w:hideMark/>
          </w:tcPr>
          <w:p w14:paraId="3A912DF9" w14:textId="77777777" w:rsidR="00C57C9F" w:rsidRDefault="00C57C9F" w:rsidP="006F421D">
            <w:pPr>
              <w:pStyle w:val="3fins-table-figures"/>
              <w:jc w:val="right"/>
              <w:rPr>
                <w:rFonts w:cs="Times New Roman"/>
              </w:rPr>
            </w:pPr>
            <w:r>
              <w:rPr>
                <w:rStyle w:val="fins-bold"/>
                <w:rFonts w:cs="Times New Roman"/>
              </w:rPr>
              <w:t xml:space="preserve">1,976 </w:t>
            </w:r>
          </w:p>
        </w:tc>
        <w:tc>
          <w:tcPr>
            <w:tcW w:w="1134" w:type="dxa"/>
            <w:tcBorders>
              <w:top w:val="single" w:sz="4" w:space="0" w:color="0D0D0D" w:themeColor="text1" w:themeTint="F2"/>
              <w:bottom w:val="single" w:sz="4" w:space="0" w:color="0D0D0D" w:themeColor="text1" w:themeTint="F2"/>
            </w:tcBorders>
            <w:vAlign w:val="center"/>
            <w:hideMark/>
          </w:tcPr>
          <w:p w14:paraId="6E9D79ED" w14:textId="77777777" w:rsidR="00C57C9F" w:rsidRDefault="00C57C9F" w:rsidP="006F421D">
            <w:pPr>
              <w:pStyle w:val="3fins-table-figures"/>
              <w:jc w:val="right"/>
              <w:rPr>
                <w:rFonts w:cs="Times New Roman"/>
              </w:rPr>
            </w:pPr>
            <w:r>
              <w:rPr>
                <w:rFonts w:cs="Times New Roman"/>
              </w:rPr>
              <w:t xml:space="preserve">1,000 </w:t>
            </w:r>
          </w:p>
        </w:tc>
      </w:tr>
      <w:tr w:rsidR="00C57C9F" w14:paraId="249FF744" w14:textId="77777777" w:rsidTr="00161EA4">
        <w:trPr>
          <w:divId w:val="1139883726"/>
        </w:trPr>
        <w:tc>
          <w:tcPr>
            <w:tcW w:w="7541" w:type="dxa"/>
            <w:vAlign w:val="center"/>
            <w:hideMark/>
          </w:tcPr>
          <w:p w14:paraId="12C20B4A" w14:textId="77777777" w:rsidR="00C57C9F" w:rsidRDefault="00C57C9F">
            <w:pPr>
              <w:rPr>
                <w:rFonts w:eastAsia="Times New Roman" w:cs="Times New Roman"/>
              </w:rPr>
            </w:pPr>
          </w:p>
        </w:tc>
        <w:tc>
          <w:tcPr>
            <w:tcW w:w="1418" w:type="dxa"/>
            <w:tcBorders>
              <w:top w:val="single" w:sz="4" w:space="0" w:color="0D0D0D" w:themeColor="text1" w:themeTint="F2"/>
            </w:tcBorders>
            <w:vAlign w:val="center"/>
            <w:hideMark/>
          </w:tcPr>
          <w:p w14:paraId="3937E29C" w14:textId="77777777" w:rsidR="00C57C9F" w:rsidRDefault="00C57C9F" w:rsidP="006F421D">
            <w:pPr>
              <w:jc w:val="right"/>
              <w:rPr>
                <w:rFonts w:eastAsia="Times New Roman" w:cs="Times New Roman"/>
              </w:rPr>
            </w:pPr>
          </w:p>
        </w:tc>
        <w:tc>
          <w:tcPr>
            <w:tcW w:w="1134" w:type="dxa"/>
            <w:tcBorders>
              <w:top w:val="single" w:sz="4" w:space="0" w:color="0D0D0D" w:themeColor="text1" w:themeTint="F2"/>
            </w:tcBorders>
            <w:vAlign w:val="center"/>
            <w:hideMark/>
          </w:tcPr>
          <w:p w14:paraId="2FFD5483" w14:textId="77777777" w:rsidR="00C57C9F" w:rsidRDefault="00C57C9F" w:rsidP="006F421D">
            <w:pPr>
              <w:jc w:val="right"/>
              <w:rPr>
                <w:rFonts w:eastAsia="Times New Roman" w:cs="Times New Roman"/>
              </w:rPr>
            </w:pPr>
          </w:p>
        </w:tc>
      </w:tr>
      <w:tr w:rsidR="00C57C9F" w14:paraId="08FD665C" w14:textId="77777777" w:rsidTr="00161EA4">
        <w:trPr>
          <w:divId w:val="1139883726"/>
        </w:trPr>
        <w:tc>
          <w:tcPr>
            <w:tcW w:w="7541" w:type="dxa"/>
            <w:vAlign w:val="center"/>
            <w:hideMark/>
          </w:tcPr>
          <w:p w14:paraId="27DD9EBB" w14:textId="77777777" w:rsidR="00C57C9F" w:rsidRDefault="00C57C9F">
            <w:pPr>
              <w:pStyle w:val="3fins-table"/>
              <w:rPr>
                <w:rFonts w:cs="Times New Roman"/>
              </w:rPr>
            </w:pPr>
            <w:r>
              <w:rPr>
                <w:rStyle w:val="fins-bold"/>
                <w:rFonts w:cs="Times New Roman"/>
              </w:rPr>
              <w:t>Other receivables:</w:t>
            </w:r>
          </w:p>
        </w:tc>
        <w:tc>
          <w:tcPr>
            <w:tcW w:w="1418" w:type="dxa"/>
            <w:vAlign w:val="center"/>
            <w:hideMark/>
          </w:tcPr>
          <w:p w14:paraId="7C1F3A28" w14:textId="77777777" w:rsidR="00C57C9F" w:rsidRDefault="00C57C9F" w:rsidP="006F421D">
            <w:pPr>
              <w:jc w:val="right"/>
              <w:rPr>
                <w:rFonts w:eastAsia="Times New Roman" w:cs="Times New Roman"/>
              </w:rPr>
            </w:pPr>
          </w:p>
        </w:tc>
        <w:tc>
          <w:tcPr>
            <w:tcW w:w="1134" w:type="dxa"/>
            <w:vAlign w:val="center"/>
            <w:hideMark/>
          </w:tcPr>
          <w:p w14:paraId="550702A5" w14:textId="77777777" w:rsidR="00C57C9F" w:rsidRDefault="00C57C9F" w:rsidP="006F421D">
            <w:pPr>
              <w:jc w:val="right"/>
              <w:rPr>
                <w:rFonts w:eastAsia="Times New Roman" w:cs="Times New Roman"/>
              </w:rPr>
            </w:pPr>
          </w:p>
        </w:tc>
      </w:tr>
      <w:tr w:rsidR="00C57C9F" w14:paraId="3C8317E1" w14:textId="77777777" w:rsidTr="00161EA4">
        <w:trPr>
          <w:divId w:val="1139883726"/>
        </w:trPr>
        <w:tc>
          <w:tcPr>
            <w:tcW w:w="7541" w:type="dxa"/>
            <w:vAlign w:val="center"/>
            <w:hideMark/>
          </w:tcPr>
          <w:p w14:paraId="7C4C98E8" w14:textId="77777777" w:rsidR="00C57C9F" w:rsidRDefault="00C57C9F" w:rsidP="006F421D">
            <w:pPr>
              <w:pStyle w:val="3fins-table"/>
              <w:ind w:left="567"/>
              <w:rPr>
                <w:rFonts w:cs="Times New Roman"/>
              </w:rPr>
            </w:pPr>
            <w:r>
              <w:rPr>
                <w:rFonts w:cs="Times New Roman"/>
              </w:rPr>
              <w:t>GST receivable from the Australian Taxation Office</w:t>
            </w:r>
          </w:p>
        </w:tc>
        <w:tc>
          <w:tcPr>
            <w:tcW w:w="1418" w:type="dxa"/>
            <w:vAlign w:val="center"/>
            <w:hideMark/>
          </w:tcPr>
          <w:p w14:paraId="2192F30B" w14:textId="77777777" w:rsidR="00C57C9F" w:rsidRDefault="00C57C9F" w:rsidP="006F421D">
            <w:pPr>
              <w:pStyle w:val="3fins-table-figures"/>
              <w:jc w:val="right"/>
              <w:rPr>
                <w:rFonts w:cs="Times New Roman"/>
              </w:rPr>
            </w:pPr>
            <w:r>
              <w:rPr>
                <w:rStyle w:val="fins-bold"/>
                <w:rFonts w:cs="Times New Roman"/>
              </w:rPr>
              <w:t xml:space="preserve">212 </w:t>
            </w:r>
          </w:p>
        </w:tc>
        <w:tc>
          <w:tcPr>
            <w:tcW w:w="1134" w:type="dxa"/>
            <w:vAlign w:val="center"/>
            <w:hideMark/>
          </w:tcPr>
          <w:p w14:paraId="1D82C317" w14:textId="77777777" w:rsidR="00C57C9F" w:rsidRDefault="00C57C9F" w:rsidP="006F421D">
            <w:pPr>
              <w:pStyle w:val="3fins-table-figures"/>
              <w:jc w:val="right"/>
              <w:rPr>
                <w:rFonts w:cs="Times New Roman"/>
              </w:rPr>
            </w:pPr>
            <w:r>
              <w:rPr>
                <w:rFonts w:cs="Times New Roman"/>
              </w:rPr>
              <w:t xml:space="preserve">134 </w:t>
            </w:r>
          </w:p>
        </w:tc>
      </w:tr>
      <w:tr w:rsidR="00C57C9F" w14:paraId="10EE1FCE" w14:textId="77777777" w:rsidTr="00161EA4">
        <w:trPr>
          <w:divId w:val="1139883726"/>
        </w:trPr>
        <w:tc>
          <w:tcPr>
            <w:tcW w:w="7541" w:type="dxa"/>
            <w:vAlign w:val="center"/>
            <w:hideMark/>
          </w:tcPr>
          <w:p w14:paraId="0C37FA5E" w14:textId="77777777" w:rsidR="00C57C9F" w:rsidRDefault="00C57C9F" w:rsidP="006F421D">
            <w:pPr>
              <w:pStyle w:val="3fins-table"/>
              <w:ind w:left="567"/>
              <w:rPr>
                <w:rFonts w:cs="Times New Roman"/>
              </w:rPr>
            </w:pPr>
            <w:r>
              <w:rPr>
                <w:rFonts w:cs="Times New Roman"/>
              </w:rPr>
              <w:t>Interest - related parties</w:t>
            </w:r>
          </w:p>
        </w:tc>
        <w:tc>
          <w:tcPr>
            <w:tcW w:w="1418" w:type="dxa"/>
            <w:vAlign w:val="center"/>
            <w:hideMark/>
          </w:tcPr>
          <w:p w14:paraId="5A8CA3A4" w14:textId="77777777" w:rsidR="00C57C9F" w:rsidRDefault="00C57C9F" w:rsidP="006F421D">
            <w:pPr>
              <w:pStyle w:val="3fins-table-figures"/>
              <w:jc w:val="right"/>
              <w:rPr>
                <w:rFonts w:cs="Times New Roman"/>
              </w:rPr>
            </w:pPr>
            <w:r>
              <w:rPr>
                <w:rStyle w:val="fins-bold"/>
                <w:rFonts w:cs="Times New Roman"/>
              </w:rPr>
              <w:t xml:space="preserve">4 </w:t>
            </w:r>
          </w:p>
        </w:tc>
        <w:tc>
          <w:tcPr>
            <w:tcW w:w="1134" w:type="dxa"/>
            <w:vAlign w:val="center"/>
            <w:hideMark/>
          </w:tcPr>
          <w:p w14:paraId="606EACF5" w14:textId="77777777" w:rsidR="00C57C9F" w:rsidRDefault="00C57C9F" w:rsidP="006F421D">
            <w:pPr>
              <w:pStyle w:val="3fins-table-figures"/>
              <w:jc w:val="right"/>
              <w:rPr>
                <w:rFonts w:cs="Times New Roman"/>
              </w:rPr>
            </w:pPr>
            <w:r>
              <w:rPr>
                <w:rFonts w:cs="Times New Roman"/>
              </w:rPr>
              <w:t>4</w:t>
            </w:r>
          </w:p>
        </w:tc>
      </w:tr>
      <w:tr w:rsidR="00C57C9F" w14:paraId="0DCC8B67" w14:textId="77777777" w:rsidTr="00161EA4">
        <w:trPr>
          <w:divId w:val="1139883726"/>
        </w:trPr>
        <w:tc>
          <w:tcPr>
            <w:tcW w:w="7541" w:type="dxa"/>
            <w:vAlign w:val="center"/>
            <w:hideMark/>
          </w:tcPr>
          <w:p w14:paraId="1A46CB6C" w14:textId="77777777" w:rsidR="00C57C9F" w:rsidRDefault="00C57C9F" w:rsidP="006F421D">
            <w:pPr>
              <w:pStyle w:val="3fins-table"/>
              <w:ind w:left="567"/>
              <w:rPr>
                <w:rFonts w:cs="Times New Roman"/>
              </w:rPr>
            </w:pPr>
            <w:r>
              <w:rPr>
                <w:rFonts w:cs="Times New Roman"/>
              </w:rPr>
              <w:t>Interest - external parties</w:t>
            </w:r>
          </w:p>
        </w:tc>
        <w:tc>
          <w:tcPr>
            <w:tcW w:w="1418" w:type="dxa"/>
            <w:vAlign w:val="center"/>
            <w:hideMark/>
          </w:tcPr>
          <w:p w14:paraId="28F6C0CF" w14:textId="77777777" w:rsidR="00C57C9F" w:rsidRDefault="00C57C9F" w:rsidP="006F421D">
            <w:pPr>
              <w:pStyle w:val="3fins-table-figures"/>
              <w:jc w:val="right"/>
              <w:rPr>
                <w:rFonts w:cs="Times New Roman"/>
              </w:rPr>
            </w:pPr>
            <w:r>
              <w:rPr>
                <w:rStyle w:val="fins-bold"/>
                <w:rFonts w:cs="Times New Roman"/>
              </w:rPr>
              <w:t xml:space="preserve">22 </w:t>
            </w:r>
          </w:p>
        </w:tc>
        <w:tc>
          <w:tcPr>
            <w:tcW w:w="1134" w:type="dxa"/>
            <w:vAlign w:val="center"/>
            <w:hideMark/>
          </w:tcPr>
          <w:p w14:paraId="1D4F7F1F" w14:textId="77777777" w:rsidR="00C57C9F" w:rsidRDefault="00C57C9F" w:rsidP="006F421D">
            <w:pPr>
              <w:pStyle w:val="3fins-table-figures"/>
              <w:jc w:val="right"/>
              <w:rPr>
                <w:rFonts w:cs="Times New Roman"/>
              </w:rPr>
            </w:pPr>
            <w:r>
              <w:rPr>
                <w:rFonts w:cs="Times New Roman"/>
              </w:rPr>
              <w:t>11</w:t>
            </w:r>
          </w:p>
        </w:tc>
      </w:tr>
      <w:tr w:rsidR="00C57C9F" w14:paraId="2183F2DD" w14:textId="77777777" w:rsidTr="00161EA4">
        <w:trPr>
          <w:divId w:val="1139883726"/>
        </w:trPr>
        <w:tc>
          <w:tcPr>
            <w:tcW w:w="7541" w:type="dxa"/>
            <w:vAlign w:val="center"/>
            <w:hideMark/>
          </w:tcPr>
          <w:p w14:paraId="7B0C984D" w14:textId="77777777" w:rsidR="00C57C9F" w:rsidRDefault="00C57C9F" w:rsidP="006F421D">
            <w:pPr>
              <w:pStyle w:val="3fins-table"/>
              <w:ind w:left="567"/>
              <w:rPr>
                <w:rFonts w:cs="Times New Roman"/>
              </w:rPr>
            </w:pPr>
            <w:r>
              <w:rPr>
                <w:rFonts w:cs="Times New Roman"/>
              </w:rPr>
              <w:t>Other - related parties</w:t>
            </w:r>
          </w:p>
        </w:tc>
        <w:tc>
          <w:tcPr>
            <w:tcW w:w="1418" w:type="dxa"/>
            <w:tcBorders>
              <w:bottom w:val="single" w:sz="4" w:space="0" w:color="0D0D0D" w:themeColor="text1" w:themeTint="F2"/>
            </w:tcBorders>
            <w:vAlign w:val="center"/>
            <w:hideMark/>
          </w:tcPr>
          <w:p w14:paraId="2D3BB06B" w14:textId="77777777" w:rsidR="00C57C9F" w:rsidRDefault="00C57C9F" w:rsidP="006F421D">
            <w:pPr>
              <w:pStyle w:val="3fins-table-figures"/>
              <w:jc w:val="right"/>
              <w:rPr>
                <w:rFonts w:cs="Times New Roman"/>
              </w:rPr>
            </w:pPr>
            <w:r>
              <w:rPr>
                <w:rStyle w:val="fins-bold"/>
                <w:rFonts w:cs="Times New Roman"/>
              </w:rPr>
              <w:t>–</w:t>
            </w:r>
          </w:p>
        </w:tc>
        <w:tc>
          <w:tcPr>
            <w:tcW w:w="1134" w:type="dxa"/>
            <w:tcBorders>
              <w:bottom w:val="single" w:sz="4" w:space="0" w:color="0D0D0D" w:themeColor="text1" w:themeTint="F2"/>
            </w:tcBorders>
            <w:vAlign w:val="center"/>
            <w:hideMark/>
          </w:tcPr>
          <w:p w14:paraId="65EBC8D1" w14:textId="77777777" w:rsidR="00C57C9F" w:rsidRDefault="00C57C9F" w:rsidP="006F421D">
            <w:pPr>
              <w:pStyle w:val="3fins-table-figures"/>
              <w:jc w:val="right"/>
              <w:rPr>
                <w:rFonts w:cs="Times New Roman"/>
              </w:rPr>
            </w:pPr>
            <w:r>
              <w:rPr>
                <w:rFonts w:cs="Times New Roman"/>
              </w:rPr>
              <w:t>12</w:t>
            </w:r>
          </w:p>
        </w:tc>
      </w:tr>
      <w:tr w:rsidR="00C57C9F" w14:paraId="00652FDA" w14:textId="77777777" w:rsidTr="00161EA4">
        <w:trPr>
          <w:divId w:val="1139883726"/>
        </w:trPr>
        <w:tc>
          <w:tcPr>
            <w:tcW w:w="7541" w:type="dxa"/>
            <w:vAlign w:val="center"/>
            <w:hideMark/>
          </w:tcPr>
          <w:p w14:paraId="5E08C234" w14:textId="77777777" w:rsidR="00C57C9F" w:rsidRDefault="00C57C9F">
            <w:pPr>
              <w:pStyle w:val="3fins-table"/>
              <w:rPr>
                <w:rFonts w:cs="Times New Roman"/>
              </w:rPr>
            </w:pPr>
            <w:r>
              <w:rPr>
                <w:rStyle w:val="fins-bold"/>
                <w:rFonts w:cs="Times New Roman"/>
              </w:rPr>
              <w:t>Total other receivables</w:t>
            </w:r>
          </w:p>
        </w:tc>
        <w:tc>
          <w:tcPr>
            <w:tcW w:w="1418" w:type="dxa"/>
            <w:tcBorders>
              <w:top w:val="single" w:sz="4" w:space="0" w:color="0D0D0D" w:themeColor="text1" w:themeTint="F2"/>
              <w:bottom w:val="single" w:sz="4" w:space="0" w:color="0D0D0D" w:themeColor="text1" w:themeTint="F2"/>
            </w:tcBorders>
            <w:vAlign w:val="center"/>
            <w:hideMark/>
          </w:tcPr>
          <w:p w14:paraId="110F2E65" w14:textId="77777777" w:rsidR="00C57C9F" w:rsidRDefault="00C57C9F" w:rsidP="006F421D">
            <w:pPr>
              <w:pStyle w:val="3fins-table-figures"/>
              <w:jc w:val="right"/>
              <w:rPr>
                <w:rFonts w:cs="Times New Roman"/>
              </w:rPr>
            </w:pPr>
            <w:r>
              <w:rPr>
                <w:rStyle w:val="fins-bold"/>
                <w:rFonts w:cs="Times New Roman"/>
              </w:rPr>
              <w:t xml:space="preserve">238 </w:t>
            </w:r>
          </w:p>
        </w:tc>
        <w:tc>
          <w:tcPr>
            <w:tcW w:w="1134" w:type="dxa"/>
            <w:tcBorders>
              <w:top w:val="single" w:sz="4" w:space="0" w:color="0D0D0D" w:themeColor="text1" w:themeTint="F2"/>
              <w:bottom w:val="single" w:sz="4" w:space="0" w:color="0D0D0D" w:themeColor="text1" w:themeTint="F2"/>
            </w:tcBorders>
            <w:vAlign w:val="center"/>
            <w:hideMark/>
          </w:tcPr>
          <w:p w14:paraId="0E738294" w14:textId="77777777" w:rsidR="00C57C9F" w:rsidRDefault="00C57C9F" w:rsidP="006F421D">
            <w:pPr>
              <w:pStyle w:val="3fins-table-figures"/>
              <w:jc w:val="right"/>
              <w:rPr>
                <w:rFonts w:cs="Times New Roman"/>
              </w:rPr>
            </w:pPr>
            <w:r>
              <w:rPr>
                <w:rFonts w:cs="Times New Roman"/>
              </w:rPr>
              <w:t xml:space="preserve">161 </w:t>
            </w:r>
          </w:p>
        </w:tc>
      </w:tr>
      <w:tr w:rsidR="00C57C9F" w14:paraId="1884BFF6" w14:textId="77777777" w:rsidTr="00161EA4">
        <w:trPr>
          <w:divId w:val="1139883726"/>
        </w:trPr>
        <w:tc>
          <w:tcPr>
            <w:tcW w:w="7541" w:type="dxa"/>
            <w:vAlign w:val="center"/>
            <w:hideMark/>
          </w:tcPr>
          <w:p w14:paraId="44E967A1" w14:textId="77777777" w:rsidR="00C57C9F" w:rsidRDefault="00C57C9F">
            <w:pPr>
              <w:pStyle w:val="3fins-table"/>
              <w:rPr>
                <w:rFonts w:cs="Times New Roman"/>
              </w:rPr>
            </w:pPr>
            <w:r>
              <w:rPr>
                <w:rStyle w:val="fins-bold"/>
                <w:rFonts w:cs="Times New Roman"/>
              </w:rPr>
              <w:t>Total trade and other receivables (gross)</w:t>
            </w:r>
          </w:p>
        </w:tc>
        <w:tc>
          <w:tcPr>
            <w:tcW w:w="1418" w:type="dxa"/>
            <w:tcBorders>
              <w:top w:val="single" w:sz="4" w:space="0" w:color="0D0D0D" w:themeColor="text1" w:themeTint="F2"/>
              <w:bottom w:val="single" w:sz="4" w:space="0" w:color="0D0D0D" w:themeColor="text1" w:themeTint="F2"/>
            </w:tcBorders>
            <w:vAlign w:val="center"/>
            <w:hideMark/>
          </w:tcPr>
          <w:p w14:paraId="4939767D" w14:textId="77777777" w:rsidR="00C57C9F" w:rsidRDefault="00C57C9F" w:rsidP="006F421D">
            <w:pPr>
              <w:pStyle w:val="3fins-table-figures"/>
              <w:jc w:val="right"/>
              <w:rPr>
                <w:rFonts w:cs="Times New Roman"/>
              </w:rPr>
            </w:pPr>
            <w:r>
              <w:rPr>
                <w:rStyle w:val="fins-bold"/>
                <w:rFonts w:cs="Times New Roman"/>
              </w:rPr>
              <w:t xml:space="preserve">2,214 </w:t>
            </w:r>
          </w:p>
        </w:tc>
        <w:tc>
          <w:tcPr>
            <w:tcW w:w="1134" w:type="dxa"/>
            <w:tcBorders>
              <w:top w:val="single" w:sz="4" w:space="0" w:color="0D0D0D" w:themeColor="text1" w:themeTint="F2"/>
              <w:bottom w:val="single" w:sz="4" w:space="0" w:color="0D0D0D" w:themeColor="text1" w:themeTint="F2"/>
            </w:tcBorders>
            <w:vAlign w:val="center"/>
            <w:hideMark/>
          </w:tcPr>
          <w:p w14:paraId="3C8369F5" w14:textId="77777777" w:rsidR="00C57C9F" w:rsidRDefault="00C57C9F" w:rsidP="006F421D">
            <w:pPr>
              <w:pStyle w:val="3fins-table-figures"/>
              <w:jc w:val="right"/>
              <w:rPr>
                <w:rFonts w:cs="Times New Roman"/>
              </w:rPr>
            </w:pPr>
            <w:r>
              <w:rPr>
                <w:rFonts w:cs="Times New Roman"/>
              </w:rPr>
              <w:t xml:space="preserve">1,161 </w:t>
            </w:r>
          </w:p>
        </w:tc>
      </w:tr>
      <w:tr w:rsidR="00C57C9F" w14:paraId="6FA83EDA" w14:textId="77777777" w:rsidTr="00161EA4">
        <w:trPr>
          <w:divId w:val="1139883726"/>
        </w:trPr>
        <w:tc>
          <w:tcPr>
            <w:tcW w:w="7541" w:type="dxa"/>
            <w:vAlign w:val="center"/>
            <w:hideMark/>
          </w:tcPr>
          <w:p w14:paraId="37C4FFAF" w14:textId="77777777" w:rsidR="00C57C9F" w:rsidRDefault="00C57C9F">
            <w:pPr>
              <w:rPr>
                <w:rFonts w:eastAsia="Times New Roman" w:cs="Times New Roman"/>
              </w:rPr>
            </w:pPr>
          </w:p>
        </w:tc>
        <w:tc>
          <w:tcPr>
            <w:tcW w:w="1418" w:type="dxa"/>
            <w:tcBorders>
              <w:top w:val="single" w:sz="4" w:space="0" w:color="0D0D0D" w:themeColor="text1" w:themeTint="F2"/>
            </w:tcBorders>
            <w:vAlign w:val="center"/>
            <w:hideMark/>
          </w:tcPr>
          <w:p w14:paraId="1B91A2B6" w14:textId="77777777" w:rsidR="00C57C9F" w:rsidRDefault="00C57C9F" w:rsidP="006F421D">
            <w:pPr>
              <w:jc w:val="right"/>
              <w:rPr>
                <w:rFonts w:eastAsia="Times New Roman" w:cs="Times New Roman"/>
              </w:rPr>
            </w:pPr>
          </w:p>
        </w:tc>
        <w:tc>
          <w:tcPr>
            <w:tcW w:w="1134" w:type="dxa"/>
            <w:tcBorders>
              <w:top w:val="single" w:sz="4" w:space="0" w:color="0D0D0D" w:themeColor="text1" w:themeTint="F2"/>
            </w:tcBorders>
            <w:vAlign w:val="center"/>
            <w:hideMark/>
          </w:tcPr>
          <w:p w14:paraId="3D1BD431" w14:textId="77777777" w:rsidR="00C57C9F" w:rsidRDefault="00C57C9F" w:rsidP="006F421D">
            <w:pPr>
              <w:jc w:val="right"/>
              <w:rPr>
                <w:rFonts w:eastAsia="Times New Roman" w:cs="Times New Roman"/>
              </w:rPr>
            </w:pPr>
          </w:p>
        </w:tc>
      </w:tr>
      <w:tr w:rsidR="00C57C9F" w14:paraId="7A4AF9DD" w14:textId="77777777" w:rsidTr="00161EA4">
        <w:trPr>
          <w:divId w:val="1139883726"/>
        </w:trPr>
        <w:tc>
          <w:tcPr>
            <w:tcW w:w="7541" w:type="dxa"/>
            <w:vAlign w:val="center"/>
            <w:hideMark/>
          </w:tcPr>
          <w:p w14:paraId="24803658" w14:textId="77777777" w:rsidR="00C57C9F" w:rsidRDefault="00C57C9F">
            <w:pPr>
              <w:pStyle w:val="3fins-table"/>
              <w:rPr>
                <w:rFonts w:cs="Times New Roman"/>
              </w:rPr>
            </w:pPr>
            <w:r>
              <w:rPr>
                <w:rStyle w:val="fins-bold"/>
                <w:rFonts w:cs="Times New Roman"/>
              </w:rPr>
              <w:t>Less impairment allowance account:</w:t>
            </w:r>
          </w:p>
        </w:tc>
        <w:tc>
          <w:tcPr>
            <w:tcW w:w="1418" w:type="dxa"/>
            <w:vAlign w:val="center"/>
            <w:hideMark/>
          </w:tcPr>
          <w:p w14:paraId="65B19F44" w14:textId="77777777" w:rsidR="00C57C9F" w:rsidRDefault="00C57C9F" w:rsidP="006F421D">
            <w:pPr>
              <w:jc w:val="right"/>
              <w:rPr>
                <w:rFonts w:eastAsia="Times New Roman" w:cs="Times New Roman"/>
              </w:rPr>
            </w:pPr>
          </w:p>
        </w:tc>
        <w:tc>
          <w:tcPr>
            <w:tcW w:w="1134" w:type="dxa"/>
            <w:vAlign w:val="center"/>
            <w:hideMark/>
          </w:tcPr>
          <w:p w14:paraId="6A37D09D" w14:textId="77777777" w:rsidR="00C57C9F" w:rsidRDefault="00C57C9F" w:rsidP="006F421D">
            <w:pPr>
              <w:jc w:val="right"/>
              <w:rPr>
                <w:rFonts w:eastAsia="Times New Roman" w:cs="Times New Roman"/>
              </w:rPr>
            </w:pPr>
          </w:p>
        </w:tc>
      </w:tr>
      <w:tr w:rsidR="00C57C9F" w14:paraId="225EDDC9" w14:textId="77777777" w:rsidTr="00161EA4">
        <w:trPr>
          <w:divId w:val="1139883726"/>
        </w:trPr>
        <w:tc>
          <w:tcPr>
            <w:tcW w:w="7541" w:type="dxa"/>
            <w:vAlign w:val="center"/>
            <w:hideMark/>
          </w:tcPr>
          <w:p w14:paraId="29608388" w14:textId="77777777" w:rsidR="00C57C9F" w:rsidRDefault="00C57C9F" w:rsidP="006F421D">
            <w:pPr>
              <w:pStyle w:val="3fins-table"/>
              <w:ind w:left="567"/>
              <w:rPr>
                <w:rFonts w:cs="Times New Roman"/>
              </w:rPr>
            </w:pPr>
            <w:r>
              <w:rPr>
                <w:rFonts w:cs="Times New Roman"/>
              </w:rPr>
              <w:t>Goods and services</w:t>
            </w:r>
          </w:p>
        </w:tc>
        <w:tc>
          <w:tcPr>
            <w:tcW w:w="1418" w:type="dxa"/>
            <w:tcBorders>
              <w:bottom w:val="single" w:sz="4" w:space="0" w:color="0D0D0D" w:themeColor="text1" w:themeTint="F2"/>
            </w:tcBorders>
            <w:vAlign w:val="center"/>
            <w:hideMark/>
          </w:tcPr>
          <w:p w14:paraId="76A2AFC6" w14:textId="77777777" w:rsidR="00C57C9F" w:rsidRDefault="00C57C9F" w:rsidP="006F421D">
            <w:pPr>
              <w:pStyle w:val="3fins-table-figures"/>
              <w:jc w:val="right"/>
              <w:rPr>
                <w:rFonts w:cs="Times New Roman"/>
              </w:rPr>
            </w:pPr>
            <w:r>
              <w:rPr>
                <w:rStyle w:val="fins-bold"/>
                <w:rFonts w:cs="Times New Roman"/>
              </w:rPr>
              <w:t>–</w:t>
            </w:r>
          </w:p>
        </w:tc>
        <w:tc>
          <w:tcPr>
            <w:tcW w:w="1134" w:type="dxa"/>
            <w:tcBorders>
              <w:bottom w:val="single" w:sz="4" w:space="0" w:color="0D0D0D" w:themeColor="text1" w:themeTint="F2"/>
            </w:tcBorders>
            <w:vAlign w:val="center"/>
            <w:hideMark/>
          </w:tcPr>
          <w:p w14:paraId="5A3E480C" w14:textId="77777777" w:rsidR="00C57C9F" w:rsidRDefault="00C57C9F" w:rsidP="006F421D">
            <w:pPr>
              <w:pStyle w:val="3fins-table-figures"/>
              <w:jc w:val="right"/>
              <w:rPr>
                <w:rFonts w:cs="Times New Roman"/>
              </w:rPr>
            </w:pPr>
            <w:r>
              <w:rPr>
                <w:rStyle w:val="fins-bold"/>
                <w:rFonts w:cs="Times New Roman"/>
              </w:rPr>
              <w:t>–</w:t>
            </w:r>
          </w:p>
        </w:tc>
      </w:tr>
      <w:tr w:rsidR="00C57C9F" w14:paraId="5F402816" w14:textId="77777777" w:rsidTr="00161EA4">
        <w:trPr>
          <w:divId w:val="1139883726"/>
        </w:trPr>
        <w:tc>
          <w:tcPr>
            <w:tcW w:w="7541" w:type="dxa"/>
            <w:vAlign w:val="center"/>
            <w:hideMark/>
          </w:tcPr>
          <w:p w14:paraId="2C6F314D" w14:textId="77777777" w:rsidR="00C57C9F" w:rsidRDefault="00C57C9F">
            <w:pPr>
              <w:pStyle w:val="3fins-table"/>
              <w:rPr>
                <w:rFonts w:cs="Times New Roman"/>
              </w:rPr>
            </w:pPr>
            <w:r>
              <w:rPr>
                <w:rStyle w:val="fins-bold"/>
                <w:rFonts w:cs="Times New Roman"/>
              </w:rPr>
              <w:t>Total impairment allowance account</w:t>
            </w:r>
          </w:p>
        </w:tc>
        <w:tc>
          <w:tcPr>
            <w:tcW w:w="1418" w:type="dxa"/>
            <w:tcBorders>
              <w:top w:val="single" w:sz="4" w:space="0" w:color="0D0D0D" w:themeColor="text1" w:themeTint="F2"/>
              <w:bottom w:val="single" w:sz="4" w:space="0" w:color="0D0D0D" w:themeColor="text1" w:themeTint="F2"/>
            </w:tcBorders>
            <w:vAlign w:val="center"/>
            <w:hideMark/>
          </w:tcPr>
          <w:p w14:paraId="40C3232D" w14:textId="77777777" w:rsidR="00C57C9F" w:rsidRDefault="00C57C9F" w:rsidP="006F421D">
            <w:pPr>
              <w:pStyle w:val="3fins-table-figures"/>
              <w:jc w:val="right"/>
              <w:rPr>
                <w:rFonts w:cs="Times New Roman"/>
              </w:rPr>
            </w:pPr>
            <w:r>
              <w:rPr>
                <w:rStyle w:val="fins-bold"/>
                <w:rFonts w:cs="Times New Roman"/>
              </w:rPr>
              <w:t>–</w:t>
            </w:r>
          </w:p>
        </w:tc>
        <w:tc>
          <w:tcPr>
            <w:tcW w:w="1134" w:type="dxa"/>
            <w:tcBorders>
              <w:top w:val="single" w:sz="4" w:space="0" w:color="0D0D0D" w:themeColor="text1" w:themeTint="F2"/>
              <w:bottom w:val="single" w:sz="4" w:space="0" w:color="0D0D0D" w:themeColor="text1" w:themeTint="F2"/>
            </w:tcBorders>
            <w:vAlign w:val="center"/>
            <w:hideMark/>
          </w:tcPr>
          <w:p w14:paraId="192944C6" w14:textId="77777777" w:rsidR="00C57C9F" w:rsidRDefault="00C57C9F" w:rsidP="006F421D">
            <w:pPr>
              <w:pStyle w:val="3fins-table-figures"/>
              <w:jc w:val="right"/>
              <w:rPr>
                <w:rFonts w:cs="Times New Roman"/>
              </w:rPr>
            </w:pPr>
            <w:r>
              <w:rPr>
                <w:rStyle w:val="fins-bold"/>
                <w:rFonts w:cs="Times New Roman"/>
              </w:rPr>
              <w:t>–</w:t>
            </w:r>
          </w:p>
        </w:tc>
      </w:tr>
      <w:tr w:rsidR="00C57C9F" w14:paraId="31DB3073" w14:textId="77777777" w:rsidTr="00161EA4">
        <w:trPr>
          <w:divId w:val="1139883726"/>
        </w:trPr>
        <w:tc>
          <w:tcPr>
            <w:tcW w:w="7541" w:type="dxa"/>
            <w:vAlign w:val="center"/>
            <w:hideMark/>
          </w:tcPr>
          <w:p w14:paraId="3B4EAAC2" w14:textId="77777777" w:rsidR="00C57C9F" w:rsidRDefault="00C57C9F">
            <w:pPr>
              <w:pStyle w:val="3fins-table"/>
              <w:rPr>
                <w:rFonts w:cs="Times New Roman"/>
              </w:rPr>
            </w:pPr>
            <w:r>
              <w:rPr>
                <w:rStyle w:val="fins-bold"/>
                <w:rFonts w:cs="Times New Roman"/>
              </w:rPr>
              <w:t>Total trade and other receivables (net)</w:t>
            </w:r>
          </w:p>
        </w:tc>
        <w:tc>
          <w:tcPr>
            <w:tcW w:w="1418" w:type="dxa"/>
            <w:tcBorders>
              <w:top w:val="single" w:sz="4" w:space="0" w:color="0D0D0D" w:themeColor="text1" w:themeTint="F2"/>
              <w:bottom w:val="single" w:sz="4" w:space="0" w:color="0D0D0D" w:themeColor="text1" w:themeTint="F2"/>
            </w:tcBorders>
            <w:vAlign w:val="center"/>
            <w:hideMark/>
          </w:tcPr>
          <w:p w14:paraId="53F9BB5A" w14:textId="77777777" w:rsidR="00C57C9F" w:rsidRDefault="00C57C9F" w:rsidP="006F421D">
            <w:pPr>
              <w:pStyle w:val="3fins-table-figures"/>
              <w:jc w:val="right"/>
              <w:rPr>
                <w:rFonts w:cs="Times New Roman"/>
              </w:rPr>
            </w:pPr>
            <w:r>
              <w:rPr>
                <w:rStyle w:val="fins-bold"/>
                <w:rFonts w:cs="Times New Roman"/>
              </w:rPr>
              <w:t xml:space="preserve">2,214 </w:t>
            </w:r>
          </w:p>
        </w:tc>
        <w:tc>
          <w:tcPr>
            <w:tcW w:w="1134" w:type="dxa"/>
            <w:tcBorders>
              <w:top w:val="single" w:sz="4" w:space="0" w:color="0D0D0D" w:themeColor="text1" w:themeTint="F2"/>
              <w:bottom w:val="single" w:sz="4" w:space="0" w:color="0D0D0D" w:themeColor="text1" w:themeTint="F2"/>
            </w:tcBorders>
            <w:vAlign w:val="center"/>
            <w:hideMark/>
          </w:tcPr>
          <w:p w14:paraId="2E955499" w14:textId="77777777" w:rsidR="00C57C9F" w:rsidRDefault="00C57C9F" w:rsidP="006F421D">
            <w:pPr>
              <w:pStyle w:val="3fins-table-figures"/>
              <w:jc w:val="right"/>
              <w:rPr>
                <w:rFonts w:cs="Times New Roman"/>
              </w:rPr>
            </w:pPr>
            <w:r>
              <w:rPr>
                <w:rFonts w:cs="Times New Roman"/>
              </w:rPr>
              <w:t xml:space="preserve">1,161 </w:t>
            </w:r>
          </w:p>
        </w:tc>
      </w:tr>
      <w:tr w:rsidR="00C57C9F" w14:paraId="01067909" w14:textId="77777777" w:rsidTr="00161EA4">
        <w:trPr>
          <w:divId w:val="1139883726"/>
        </w:trPr>
        <w:tc>
          <w:tcPr>
            <w:tcW w:w="7541" w:type="dxa"/>
            <w:vAlign w:val="center"/>
            <w:hideMark/>
          </w:tcPr>
          <w:p w14:paraId="40DE6E77" w14:textId="77777777" w:rsidR="00C57C9F" w:rsidRDefault="00C57C9F" w:rsidP="00161EA4">
            <w:pPr>
              <w:spacing w:after="0"/>
              <w:rPr>
                <w:rFonts w:eastAsia="Times New Roman" w:cs="Times New Roman"/>
              </w:rPr>
            </w:pPr>
          </w:p>
        </w:tc>
        <w:tc>
          <w:tcPr>
            <w:tcW w:w="1418" w:type="dxa"/>
            <w:tcBorders>
              <w:top w:val="single" w:sz="4" w:space="0" w:color="0D0D0D" w:themeColor="text1" w:themeTint="F2"/>
            </w:tcBorders>
            <w:vAlign w:val="center"/>
            <w:hideMark/>
          </w:tcPr>
          <w:p w14:paraId="30409809" w14:textId="77777777" w:rsidR="00C57C9F" w:rsidRDefault="00C57C9F" w:rsidP="00161EA4">
            <w:pPr>
              <w:spacing w:after="0"/>
              <w:jc w:val="right"/>
              <w:rPr>
                <w:rFonts w:eastAsia="Times New Roman" w:cs="Times New Roman"/>
              </w:rPr>
            </w:pPr>
          </w:p>
        </w:tc>
        <w:tc>
          <w:tcPr>
            <w:tcW w:w="1134" w:type="dxa"/>
            <w:tcBorders>
              <w:top w:val="single" w:sz="4" w:space="0" w:color="0D0D0D" w:themeColor="text1" w:themeTint="F2"/>
            </w:tcBorders>
            <w:vAlign w:val="center"/>
            <w:hideMark/>
          </w:tcPr>
          <w:p w14:paraId="39154BB7" w14:textId="77777777" w:rsidR="00C57C9F" w:rsidRDefault="00C57C9F" w:rsidP="00161EA4">
            <w:pPr>
              <w:spacing w:after="0"/>
              <w:jc w:val="right"/>
              <w:rPr>
                <w:rFonts w:eastAsia="Times New Roman" w:cs="Times New Roman"/>
              </w:rPr>
            </w:pPr>
          </w:p>
        </w:tc>
      </w:tr>
      <w:tr w:rsidR="00C57C9F" w14:paraId="5C3EB815" w14:textId="77777777" w:rsidTr="00161EA4">
        <w:trPr>
          <w:divId w:val="1139883726"/>
        </w:trPr>
        <w:tc>
          <w:tcPr>
            <w:tcW w:w="7541" w:type="dxa"/>
            <w:vAlign w:val="center"/>
            <w:hideMark/>
          </w:tcPr>
          <w:p w14:paraId="705E01AB" w14:textId="77777777" w:rsidR="00C57C9F" w:rsidRDefault="00C57C9F">
            <w:pPr>
              <w:pStyle w:val="3fins-table"/>
              <w:rPr>
                <w:rFonts w:cs="Times New Roman"/>
              </w:rPr>
            </w:pPr>
            <w:r>
              <w:rPr>
                <w:rStyle w:val="fins-bold"/>
                <w:rFonts w:cs="Times New Roman"/>
              </w:rPr>
              <w:t>Receivables are expected to be recovered in:</w:t>
            </w:r>
          </w:p>
        </w:tc>
        <w:tc>
          <w:tcPr>
            <w:tcW w:w="1418" w:type="dxa"/>
            <w:vAlign w:val="center"/>
            <w:hideMark/>
          </w:tcPr>
          <w:p w14:paraId="6172EE30" w14:textId="77777777" w:rsidR="00C57C9F" w:rsidRDefault="00C57C9F" w:rsidP="006F421D">
            <w:pPr>
              <w:jc w:val="right"/>
              <w:rPr>
                <w:rFonts w:eastAsia="Times New Roman" w:cs="Times New Roman"/>
              </w:rPr>
            </w:pPr>
          </w:p>
        </w:tc>
        <w:tc>
          <w:tcPr>
            <w:tcW w:w="1134" w:type="dxa"/>
            <w:vAlign w:val="center"/>
            <w:hideMark/>
          </w:tcPr>
          <w:p w14:paraId="11289091" w14:textId="77777777" w:rsidR="00C57C9F" w:rsidRDefault="00C57C9F" w:rsidP="006F421D">
            <w:pPr>
              <w:jc w:val="right"/>
              <w:rPr>
                <w:rFonts w:eastAsia="Times New Roman" w:cs="Times New Roman"/>
              </w:rPr>
            </w:pPr>
          </w:p>
        </w:tc>
      </w:tr>
      <w:tr w:rsidR="00C57C9F" w14:paraId="158B18A7" w14:textId="77777777" w:rsidTr="00161EA4">
        <w:trPr>
          <w:divId w:val="1139883726"/>
        </w:trPr>
        <w:tc>
          <w:tcPr>
            <w:tcW w:w="7541" w:type="dxa"/>
            <w:vAlign w:val="center"/>
            <w:hideMark/>
          </w:tcPr>
          <w:p w14:paraId="6D28DA50" w14:textId="77777777" w:rsidR="00C57C9F" w:rsidRDefault="00C57C9F" w:rsidP="006F421D">
            <w:pPr>
              <w:pStyle w:val="3fins-table"/>
              <w:ind w:left="567"/>
              <w:rPr>
                <w:rFonts w:cs="Times New Roman"/>
              </w:rPr>
            </w:pPr>
            <w:r>
              <w:rPr>
                <w:rFonts w:cs="Times New Roman"/>
              </w:rPr>
              <w:t>No more than 12 months</w:t>
            </w:r>
          </w:p>
        </w:tc>
        <w:tc>
          <w:tcPr>
            <w:tcW w:w="1418" w:type="dxa"/>
            <w:tcBorders>
              <w:bottom w:val="single" w:sz="4" w:space="0" w:color="0D0D0D" w:themeColor="text1" w:themeTint="F2"/>
            </w:tcBorders>
            <w:vAlign w:val="center"/>
            <w:hideMark/>
          </w:tcPr>
          <w:p w14:paraId="534C235A" w14:textId="77777777" w:rsidR="00C57C9F" w:rsidRDefault="00C57C9F" w:rsidP="006F421D">
            <w:pPr>
              <w:pStyle w:val="3fins-table-figures"/>
              <w:jc w:val="right"/>
              <w:rPr>
                <w:rFonts w:cs="Times New Roman"/>
              </w:rPr>
            </w:pPr>
            <w:r>
              <w:rPr>
                <w:rStyle w:val="fins-bold"/>
                <w:rFonts w:cs="Times New Roman"/>
              </w:rPr>
              <w:t xml:space="preserve">2,214 </w:t>
            </w:r>
          </w:p>
        </w:tc>
        <w:tc>
          <w:tcPr>
            <w:tcW w:w="1134" w:type="dxa"/>
            <w:tcBorders>
              <w:bottom w:val="single" w:sz="4" w:space="0" w:color="0D0D0D" w:themeColor="text1" w:themeTint="F2"/>
            </w:tcBorders>
            <w:vAlign w:val="center"/>
            <w:hideMark/>
          </w:tcPr>
          <w:p w14:paraId="2AF509F0" w14:textId="77777777" w:rsidR="00C57C9F" w:rsidRDefault="00C57C9F" w:rsidP="006F421D">
            <w:pPr>
              <w:pStyle w:val="3fins-table-figures"/>
              <w:jc w:val="right"/>
              <w:rPr>
                <w:rFonts w:cs="Times New Roman"/>
              </w:rPr>
            </w:pPr>
            <w:r>
              <w:rPr>
                <w:rFonts w:cs="Times New Roman"/>
              </w:rPr>
              <w:t xml:space="preserve">1,161 </w:t>
            </w:r>
          </w:p>
        </w:tc>
      </w:tr>
      <w:tr w:rsidR="00C57C9F" w14:paraId="011B8D55" w14:textId="77777777" w:rsidTr="00161EA4">
        <w:trPr>
          <w:divId w:val="1139883726"/>
        </w:trPr>
        <w:tc>
          <w:tcPr>
            <w:tcW w:w="7541" w:type="dxa"/>
            <w:vAlign w:val="center"/>
            <w:hideMark/>
          </w:tcPr>
          <w:p w14:paraId="143D77B1" w14:textId="77777777" w:rsidR="00C57C9F" w:rsidRDefault="00C57C9F">
            <w:pPr>
              <w:pStyle w:val="3fins-table"/>
              <w:rPr>
                <w:rFonts w:cs="Times New Roman"/>
              </w:rPr>
            </w:pPr>
            <w:r>
              <w:rPr>
                <w:rStyle w:val="fins-bold"/>
                <w:rFonts w:cs="Times New Roman"/>
              </w:rPr>
              <w:t>Total trade and other receivables (net)</w:t>
            </w:r>
          </w:p>
        </w:tc>
        <w:tc>
          <w:tcPr>
            <w:tcW w:w="1418" w:type="dxa"/>
            <w:tcBorders>
              <w:top w:val="single" w:sz="4" w:space="0" w:color="0D0D0D" w:themeColor="text1" w:themeTint="F2"/>
              <w:bottom w:val="single" w:sz="4" w:space="0" w:color="0D0D0D" w:themeColor="text1" w:themeTint="F2"/>
            </w:tcBorders>
            <w:vAlign w:val="center"/>
            <w:hideMark/>
          </w:tcPr>
          <w:p w14:paraId="15257D8C" w14:textId="77777777" w:rsidR="00C57C9F" w:rsidRDefault="00C57C9F" w:rsidP="006F421D">
            <w:pPr>
              <w:pStyle w:val="3fins-table-figures"/>
              <w:jc w:val="right"/>
              <w:rPr>
                <w:rFonts w:cs="Times New Roman"/>
              </w:rPr>
            </w:pPr>
            <w:r>
              <w:rPr>
                <w:rStyle w:val="fins-bold"/>
                <w:rFonts w:cs="Times New Roman"/>
              </w:rPr>
              <w:t xml:space="preserve">2,214 </w:t>
            </w:r>
          </w:p>
        </w:tc>
        <w:tc>
          <w:tcPr>
            <w:tcW w:w="1134" w:type="dxa"/>
            <w:tcBorders>
              <w:top w:val="single" w:sz="4" w:space="0" w:color="0D0D0D" w:themeColor="text1" w:themeTint="F2"/>
              <w:bottom w:val="single" w:sz="4" w:space="0" w:color="0D0D0D" w:themeColor="text1" w:themeTint="F2"/>
            </w:tcBorders>
            <w:vAlign w:val="center"/>
            <w:hideMark/>
          </w:tcPr>
          <w:p w14:paraId="5A4E18D5" w14:textId="77777777" w:rsidR="00C57C9F" w:rsidRDefault="00C57C9F" w:rsidP="006F421D">
            <w:pPr>
              <w:pStyle w:val="3fins-table-figures"/>
              <w:jc w:val="right"/>
              <w:rPr>
                <w:rFonts w:cs="Times New Roman"/>
              </w:rPr>
            </w:pPr>
            <w:r>
              <w:rPr>
                <w:rFonts w:cs="Times New Roman"/>
              </w:rPr>
              <w:t xml:space="preserve">1,161 </w:t>
            </w:r>
          </w:p>
        </w:tc>
      </w:tr>
      <w:tr w:rsidR="00C57C9F" w14:paraId="2CF52DE7" w14:textId="77777777" w:rsidTr="00161EA4">
        <w:trPr>
          <w:divId w:val="1139883726"/>
        </w:trPr>
        <w:tc>
          <w:tcPr>
            <w:tcW w:w="7541" w:type="dxa"/>
            <w:vAlign w:val="center"/>
            <w:hideMark/>
          </w:tcPr>
          <w:p w14:paraId="1909A337" w14:textId="77777777" w:rsidR="00C57C9F" w:rsidRDefault="00C57C9F" w:rsidP="00161EA4">
            <w:pPr>
              <w:spacing w:after="0"/>
              <w:rPr>
                <w:rFonts w:eastAsia="Times New Roman" w:cs="Times New Roman"/>
              </w:rPr>
            </w:pPr>
          </w:p>
        </w:tc>
        <w:tc>
          <w:tcPr>
            <w:tcW w:w="1418" w:type="dxa"/>
            <w:tcBorders>
              <w:top w:val="single" w:sz="4" w:space="0" w:color="0D0D0D" w:themeColor="text1" w:themeTint="F2"/>
            </w:tcBorders>
            <w:vAlign w:val="center"/>
            <w:hideMark/>
          </w:tcPr>
          <w:p w14:paraId="21C72457" w14:textId="77777777" w:rsidR="00C57C9F" w:rsidRDefault="00C57C9F" w:rsidP="00161EA4">
            <w:pPr>
              <w:spacing w:after="0"/>
              <w:jc w:val="right"/>
              <w:rPr>
                <w:rFonts w:eastAsia="Times New Roman" w:cs="Times New Roman"/>
              </w:rPr>
            </w:pPr>
          </w:p>
        </w:tc>
        <w:tc>
          <w:tcPr>
            <w:tcW w:w="1134" w:type="dxa"/>
            <w:tcBorders>
              <w:top w:val="single" w:sz="4" w:space="0" w:color="0D0D0D" w:themeColor="text1" w:themeTint="F2"/>
            </w:tcBorders>
            <w:vAlign w:val="center"/>
            <w:hideMark/>
          </w:tcPr>
          <w:p w14:paraId="6FC9D4CA" w14:textId="77777777" w:rsidR="00C57C9F" w:rsidRDefault="00C57C9F" w:rsidP="00161EA4">
            <w:pPr>
              <w:spacing w:after="0"/>
              <w:jc w:val="right"/>
              <w:rPr>
                <w:rFonts w:eastAsia="Times New Roman" w:cs="Times New Roman"/>
              </w:rPr>
            </w:pPr>
          </w:p>
        </w:tc>
      </w:tr>
      <w:tr w:rsidR="00C57C9F" w14:paraId="4370096B" w14:textId="77777777" w:rsidTr="00161EA4">
        <w:trPr>
          <w:divId w:val="1139883726"/>
        </w:trPr>
        <w:tc>
          <w:tcPr>
            <w:tcW w:w="7541" w:type="dxa"/>
            <w:vAlign w:val="center"/>
            <w:hideMark/>
          </w:tcPr>
          <w:p w14:paraId="54EEB0FD" w14:textId="77777777" w:rsidR="00C57C9F" w:rsidRDefault="00C57C9F">
            <w:pPr>
              <w:pStyle w:val="3fins-table"/>
              <w:rPr>
                <w:rFonts w:cs="Times New Roman"/>
              </w:rPr>
            </w:pPr>
            <w:r>
              <w:rPr>
                <w:rStyle w:val="fins-bold"/>
                <w:rFonts w:cs="Times New Roman"/>
              </w:rPr>
              <w:t>Receivables are aged as follows:</w:t>
            </w:r>
          </w:p>
        </w:tc>
        <w:tc>
          <w:tcPr>
            <w:tcW w:w="1418" w:type="dxa"/>
            <w:vAlign w:val="center"/>
            <w:hideMark/>
          </w:tcPr>
          <w:p w14:paraId="6408AAFB" w14:textId="77777777" w:rsidR="00C57C9F" w:rsidRDefault="00C57C9F" w:rsidP="006F421D">
            <w:pPr>
              <w:jc w:val="right"/>
              <w:rPr>
                <w:rFonts w:eastAsia="Times New Roman" w:cs="Times New Roman"/>
              </w:rPr>
            </w:pPr>
          </w:p>
        </w:tc>
        <w:tc>
          <w:tcPr>
            <w:tcW w:w="1134" w:type="dxa"/>
            <w:vAlign w:val="center"/>
            <w:hideMark/>
          </w:tcPr>
          <w:p w14:paraId="3B944D8E" w14:textId="77777777" w:rsidR="00C57C9F" w:rsidRDefault="00C57C9F" w:rsidP="006F421D">
            <w:pPr>
              <w:jc w:val="right"/>
              <w:rPr>
                <w:rFonts w:eastAsia="Times New Roman" w:cs="Times New Roman"/>
              </w:rPr>
            </w:pPr>
          </w:p>
        </w:tc>
      </w:tr>
      <w:tr w:rsidR="00C57C9F" w14:paraId="24FCC3ED" w14:textId="77777777" w:rsidTr="00161EA4">
        <w:trPr>
          <w:divId w:val="1139883726"/>
        </w:trPr>
        <w:tc>
          <w:tcPr>
            <w:tcW w:w="7541" w:type="dxa"/>
            <w:vAlign w:val="center"/>
            <w:hideMark/>
          </w:tcPr>
          <w:p w14:paraId="3C2616A1" w14:textId="77777777" w:rsidR="00C57C9F" w:rsidRDefault="00C57C9F" w:rsidP="006F421D">
            <w:pPr>
              <w:pStyle w:val="3fins-table"/>
              <w:ind w:left="567"/>
              <w:rPr>
                <w:rFonts w:cs="Times New Roman"/>
              </w:rPr>
            </w:pPr>
            <w:r>
              <w:rPr>
                <w:rFonts w:cs="Times New Roman"/>
              </w:rPr>
              <w:t>Not overdue</w:t>
            </w:r>
          </w:p>
        </w:tc>
        <w:tc>
          <w:tcPr>
            <w:tcW w:w="1418" w:type="dxa"/>
            <w:vAlign w:val="center"/>
            <w:hideMark/>
          </w:tcPr>
          <w:p w14:paraId="1C3EE047" w14:textId="77777777" w:rsidR="00C57C9F" w:rsidRDefault="00C57C9F" w:rsidP="006F421D">
            <w:pPr>
              <w:pStyle w:val="3fins-table-figures"/>
              <w:jc w:val="right"/>
              <w:rPr>
                <w:rFonts w:cs="Times New Roman"/>
              </w:rPr>
            </w:pPr>
            <w:r>
              <w:rPr>
                <w:rStyle w:val="fins-bold"/>
                <w:rFonts w:cs="Times New Roman"/>
              </w:rPr>
              <w:t xml:space="preserve">2,214 </w:t>
            </w:r>
          </w:p>
        </w:tc>
        <w:tc>
          <w:tcPr>
            <w:tcW w:w="1134" w:type="dxa"/>
            <w:vAlign w:val="center"/>
            <w:hideMark/>
          </w:tcPr>
          <w:p w14:paraId="332EC9B4" w14:textId="77777777" w:rsidR="00C57C9F" w:rsidRDefault="00C57C9F" w:rsidP="006F421D">
            <w:pPr>
              <w:pStyle w:val="3fins-table-figures"/>
              <w:jc w:val="right"/>
              <w:rPr>
                <w:rFonts w:cs="Times New Roman"/>
              </w:rPr>
            </w:pPr>
            <w:r>
              <w:rPr>
                <w:rFonts w:cs="Times New Roman"/>
              </w:rPr>
              <w:t>1,149</w:t>
            </w:r>
          </w:p>
        </w:tc>
      </w:tr>
      <w:tr w:rsidR="00C57C9F" w14:paraId="365C96DE" w14:textId="77777777" w:rsidTr="00161EA4">
        <w:trPr>
          <w:divId w:val="1139883726"/>
        </w:trPr>
        <w:tc>
          <w:tcPr>
            <w:tcW w:w="7541" w:type="dxa"/>
            <w:vAlign w:val="center"/>
            <w:hideMark/>
          </w:tcPr>
          <w:p w14:paraId="0FF52428" w14:textId="77777777" w:rsidR="00C57C9F" w:rsidRDefault="00C57C9F" w:rsidP="006F421D">
            <w:pPr>
              <w:pStyle w:val="3fins-table"/>
              <w:ind w:left="567"/>
              <w:rPr>
                <w:rFonts w:cs="Times New Roman"/>
              </w:rPr>
            </w:pPr>
            <w:r>
              <w:rPr>
                <w:rFonts w:cs="Times New Roman"/>
              </w:rPr>
              <w:t>Overdue by 61 to 90 days</w:t>
            </w:r>
          </w:p>
        </w:tc>
        <w:tc>
          <w:tcPr>
            <w:tcW w:w="1418" w:type="dxa"/>
            <w:tcBorders>
              <w:bottom w:val="single" w:sz="4" w:space="0" w:color="0D0D0D" w:themeColor="text1" w:themeTint="F2"/>
            </w:tcBorders>
            <w:vAlign w:val="center"/>
            <w:hideMark/>
          </w:tcPr>
          <w:p w14:paraId="4A78C9D4" w14:textId="77777777" w:rsidR="00C57C9F" w:rsidRDefault="00C57C9F" w:rsidP="006F421D">
            <w:pPr>
              <w:pStyle w:val="3fins-table-figures"/>
              <w:jc w:val="right"/>
              <w:rPr>
                <w:rFonts w:cs="Times New Roman"/>
              </w:rPr>
            </w:pPr>
            <w:r>
              <w:rPr>
                <w:rStyle w:val="fins-bold"/>
                <w:rFonts w:cs="Times New Roman"/>
              </w:rPr>
              <w:t>–</w:t>
            </w:r>
          </w:p>
        </w:tc>
        <w:tc>
          <w:tcPr>
            <w:tcW w:w="1134" w:type="dxa"/>
            <w:tcBorders>
              <w:bottom w:val="single" w:sz="4" w:space="0" w:color="0D0D0D" w:themeColor="text1" w:themeTint="F2"/>
            </w:tcBorders>
            <w:vAlign w:val="center"/>
            <w:hideMark/>
          </w:tcPr>
          <w:p w14:paraId="16E3A5CE" w14:textId="77777777" w:rsidR="00C57C9F" w:rsidRDefault="00C57C9F" w:rsidP="006F421D">
            <w:pPr>
              <w:pStyle w:val="3fins-table-figures"/>
              <w:jc w:val="right"/>
              <w:rPr>
                <w:rFonts w:cs="Times New Roman"/>
              </w:rPr>
            </w:pPr>
            <w:r>
              <w:rPr>
                <w:rFonts w:cs="Times New Roman"/>
              </w:rPr>
              <w:t>12</w:t>
            </w:r>
          </w:p>
        </w:tc>
      </w:tr>
      <w:tr w:rsidR="00C57C9F" w14:paraId="0EAC4652" w14:textId="77777777" w:rsidTr="00161EA4">
        <w:trPr>
          <w:divId w:val="1139883726"/>
        </w:trPr>
        <w:tc>
          <w:tcPr>
            <w:tcW w:w="7541" w:type="dxa"/>
            <w:vAlign w:val="center"/>
            <w:hideMark/>
          </w:tcPr>
          <w:p w14:paraId="1914A3FC" w14:textId="77777777" w:rsidR="00C57C9F" w:rsidRDefault="00C57C9F">
            <w:pPr>
              <w:pStyle w:val="3fins-table"/>
              <w:rPr>
                <w:rFonts w:cs="Times New Roman"/>
              </w:rPr>
            </w:pPr>
            <w:r>
              <w:rPr>
                <w:rStyle w:val="fins-bold"/>
                <w:rFonts w:cs="Times New Roman"/>
              </w:rPr>
              <w:t>Total trade and other receivables (net)</w:t>
            </w:r>
          </w:p>
        </w:tc>
        <w:tc>
          <w:tcPr>
            <w:tcW w:w="1418" w:type="dxa"/>
            <w:tcBorders>
              <w:top w:val="single" w:sz="4" w:space="0" w:color="0D0D0D" w:themeColor="text1" w:themeTint="F2"/>
              <w:bottom w:val="single" w:sz="4" w:space="0" w:color="0D0D0D" w:themeColor="text1" w:themeTint="F2"/>
            </w:tcBorders>
            <w:vAlign w:val="center"/>
            <w:hideMark/>
          </w:tcPr>
          <w:p w14:paraId="47E3AC26" w14:textId="77777777" w:rsidR="00C57C9F" w:rsidRDefault="00C57C9F" w:rsidP="006F421D">
            <w:pPr>
              <w:pStyle w:val="3fins-table-figures"/>
              <w:jc w:val="right"/>
              <w:rPr>
                <w:rFonts w:cs="Times New Roman"/>
              </w:rPr>
            </w:pPr>
            <w:r>
              <w:rPr>
                <w:rStyle w:val="fins-bold"/>
                <w:rFonts w:cs="Times New Roman"/>
              </w:rPr>
              <w:t xml:space="preserve">2,214 </w:t>
            </w:r>
          </w:p>
        </w:tc>
        <w:tc>
          <w:tcPr>
            <w:tcW w:w="1134" w:type="dxa"/>
            <w:tcBorders>
              <w:top w:val="single" w:sz="4" w:space="0" w:color="0D0D0D" w:themeColor="text1" w:themeTint="F2"/>
              <w:bottom w:val="single" w:sz="4" w:space="0" w:color="0D0D0D" w:themeColor="text1" w:themeTint="F2"/>
            </w:tcBorders>
            <w:vAlign w:val="center"/>
            <w:hideMark/>
          </w:tcPr>
          <w:p w14:paraId="04501117" w14:textId="77777777" w:rsidR="00C57C9F" w:rsidRDefault="00C57C9F" w:rsidP="006F421D">
            <w:pPr>
              <w:pStyle w:val="3fins-table-figures"/>
              <w:jc w:val="right"/>
              <w:rPr>
                <w:rFonts w:cs="Times New Roman"/>
              </w:rPr>
            </w:pPr>
            <w:r>
              <w:rPr>
                <w:rFonts w:cs="Times New Roman"/>
              </w:rPr>
              <w:t xml:space="preserve">1,161 </w:t>
            </w:r>
          </w:p>
        </w:tc>
      </w:tr>
      <w:tr w:rsidR="00C57C9F" w14:paraId="5A8B39F9" w14:textId="77777777" w:rsidTr="00161EA4">
        <w:trPr>
          <w:divId w:val="1139883726"/>
        </w:trPr>
        <w:tc>
          <w:tcPr>
            <w:tcW w:w="7541" w:type="dxa"/>
            <w:vAlign w:val="center"/>
            <w:hideMark/>
          </w:tcPr>
          <w:p w14:paraId="02127CA7" w14:textId="77777777" w:rsidR="00C57C9F" w:rsidRDefault="00C57C9F">
            <w:pPr>
              <w:rPr>
                <w:rFonts w:eastAsia="Times New Roman" w:cs="Times New Roman"/>
              </w:rPr>
            </w:pPr>
          </w:p>
        </w:tc>
        <w:tc>
          <w:tcPr>
            <w:tcW w:w="1418" w:type="dxa"/>
            <w:tcBorders>
              <w:top w:val="single" w:sz="4" w:space="0" w:color="0D0D0D" w:themeColor="text1" w:themeTint="F2"/>
            </w:tcBorders>
            <w:vAlign w:val="center"/>
            <w:hideMark/>
          </w:tcPr>
          <w:p w14:paraId="1A44C360" w14:textId="77777777" w:rsidR="00C57C9F" w:rsidRDefault="00C57C9F" w:rsidP="006F421D">
            <w:pPr>
              <w:jc w:val="right"/>
              <w:rPr>
                <w:rFonts w:eastAsia="Times New Roman" w:cs="Times New Roman"/>
              </w:rPr>
            </w:pPr>
          </w:p>
        </w:tc>
        <w:tc>
          <w:tcPr>
            <w:tcW w:w="1134" w:type="dxa"/>
            <w:tcBorders>
              <w:top w:val="single" w:sz="4" w:space="0" w:color="0D0D0D" w:themeColor="text1" w:themeTint="F2"/>
            </w:tcBorders>
            <w:vAlign w:val="center"/>
            <w:hideMark/>
          </w:tcPr>
          <w:p w14:paraId="5B07EFE6" w14:textId="77777777" w:rsidR="00C57C9F" w:rsidRDefault="00C57C9F" w:rsidP="006F421D">
            <w:pPr>
              <w:jc w:val="right"/>
              <w:rPr>
                <w:rFonts w:eastAsia="Times New Roman" w:cs="Times New Roman"/>
              </w:rPr>
            </w:pPr>
          </w:p>
        </w:tc>
      </w:tr>
      <w:tr w:rsidR="00C57C9F" w14:paraId="33A3F26D" w14:textId="77777777" w:rsidTr="00161EA4">
        <w:trPr>
          <w:divId w:val="1139883726"/>
        </w:trPr>
        <w:tc>
          <w:tcPr>
            <w:tcW w:w="7541" w:type="dxa"/>
            <w:vAlign w:val="center"/>
            <w:hideMark/>
          </w:tcPr>
          <w:p w14:paraId="2A3BE31E" w14:textId="77777777" w:rsidR="00C57C9F" w:rsidRDefault="00C57C9F">
            <w:pPr>
              <w:pStyle w:val="3fins-table"/>
              <w:rPr>
                <w:rFonts w:cs="Times New Roman"/>
              </w:rPr>
            </w:pPr>
            <w:r>
              <w:rPr>
                <w:rFonts w:cs="Times New Roman"/>
              </w:rPr>
              <w:t>No receivables were impaired at 30 June 2014 (2013: Nil).</w:t>
            </w:r>
          </w:p>
        </w:tc>
        <w:tc>
          <w:tcPr>
            <w:tcW w:w="1418" w:type="dxa"/>
            <w:vAlign w:val="center"/>
            <w:hideMark/>
          </w:tcPr>
          <w:p w14:paraId="5684D1AF" w14:textId="77777777" w:rsidR="00C57C9F" w:rsidRDefault="00C57C9F" w:rsidP="006F421D">
            <w:pPr>
              <w:jc w:val="right"/>
              <w:rPr>
                <w:rFonts w:eastAsia="Times New Roman" w:cs="Times New Roman"/>
              </w:rPr>
            </w:pPr>
          </w:p>
        </w:tc>
        <w:tc>
          <w:tcPr>
            <w:tcW w:w="1134" w:type="dxa"/>
            <w:vAlign w:val="center"/>
            <w:hideMark/>
          </w:tcPr>
          <w:p w14:paraId="406D13F8" w14:textId="77777777" w:rsidR="00C57C9F" w:rsidRDefault="00C57C9F" w:rsidP="006F421D">
            <w:pPr>
              <w:jc w:val="right"/>
              <w:rPr>
                <w:rFonts w:eastAsia="Times New Roman" w:cs="Times New Roman"/>
              </w:rPr>
            </w:pPr>
          </w:p>
        </w:tc>
      </w:tr>
    </w:tbl>
    <w:p w14:paraId="08B7DE8C" w14:textId="77777777" w:rsidR="00C57C9F" w:rsidRDefault="00C57C9F">
      <w:pPr>
        <w:pStyle w:val="1heading-2"/>
        <w:divId w:val="1139883726"/>
        <w:rPr>
          <w:rFonts w:cs="Times New Roman"/>
          <w:lang w:val="en-AU"/>
        </w:rPr>
      </w:pPr>
      <w:r>
        <w:rPr>
          <w:rFonts w:cs="Times New Roman"/>
          <w:lang w:val="en-AU"/>
        </w:rPr>
        <w:lastRenderedPageBreak/>
        <w:t>Note 7: Non-Financial Assets</w:t>
      </w:r>
    </w:p>
    <w:tbl>
      <w:tblPr>
        <w:tblW w:w="0" w:type="auto"/>
        <w:tblInd w:w="-17" w:type="dxa"/>
        <w:tblLayout w:type="fixed"/>
        <w:tblCellMar>
          <w:top w:w="28" w:type="dxa"/>
          <w:left w:w="28" w:type="dxa"/>
          <w:bottom w:w="28" w:type="dxa"/>
          <w:right w:w="28" w:type="dxa"/>
        </w:tblCellMar>
        <w:tblLook w:val="04A0" w:firstRow="1" w:lastRow="0" w:firstColumn="1" w:lastColumn="0" w:noHBand="0" w:noVBand="1"/>
      </w:tblPr>
      <w:tblGrid>
        <w:gridCol w:w="17"/>
        <w:gridCol w:w="7825"/>
        <w:gridCol w:w="1417"/>
        <w:gridCol w:w="992"/>
        <w:gridCol w:w="21"/>
      </w:tblGrid>
      <w:tr w:rsidR="00C57C9F" w14:paraId="3C81C052" w14:textId="77777777" w:rsidTr="00161EA4">
        <w:trPr>
          <w:gridBefore w:val="1"/>
          <w:divId w:val="1139883726"/>
          <w:wBefore w:w="17" w:type="dxa"/>
        </w:trPr>
        <w:tc>
          <w:tcPr>
            <w:tcW w:w="7825" w:type="dxa"/>
            <w:vAlign w:val="center"/>
            <w:hideMark/>
          </w:tcPr>
          <w:p w14:paraId="10E165B9" w14:textId="77777777" w:rsidR="00C57C9F" w:rsidRDefault="00C57C9F">
            <w:pPr>
              <w:rPr>
                <w:rFonts w:eastAsia="Times New Roman" w:cs="Times New Roman"/>
              </w:rPr>
            </w:pPr>
          </w:p>
        </w:tc>
        <w:tc>
          <w:tcPr>
            <w:tcW w:w="1417" w:type="dxa"/>
            <w:vAlign w:val="center"/>
            <w:hideMark/>
          </w:tcPr>
          <w:p w14:paraId="32081AE9" w14:textId="77777777" w:rsidR="00C57C9F" w:rsidRDefault="00C57C9F" w:rsidP="006F421D">
            <w:pPr>
              <w:pStyle w:val="3fins-table-figures"/>
              <w:jc w:val="right"/>
              <w:rPr>
                <w:rFonts w:cs="Times New Roman"/>
              </w:rPr>
            </w:pPr>
            <w:r>
              <w:rPr>
                <w:rStyle w:val="fins-bold"/>
                <w:rFonts w:cs="Times New Roman"/>
              </w:rPr>
              <w:t>2014</w:t>
            </w:r>
          </w:p>
        </w:tc>
        <w:tc>
          <w:tcPr>
            <w:tcW w:w="1013" w:type="dxa"/>
            <w:gridSpan w:val="2"/>
            <w:vAlign w:val="center"/>
            <w:hideMark/>
          </w:tcPr>
          <w:p w14:paraId="7BFD3907" w14:textId="77777777" w:rsidR="00C57C9F" w:rsidRDefault="00C57C9F" w:rsidP="006F421D">
            <w:pPr>
              <w:pStyle w:val="3fins-table-figures"/>
              <w:jc w:val="right"/>
              <w:rPr>
                <w:rFonts w:cs="Times New Roman"/>
              </w:rPr>
            </w:pPr>
            <w:r>
              <w:rPr>
                <w:rFonts w:cs="Times New Roman"/>
              </w:rPr>
              <w:t>2013</w:t>
            </w:r>
          </w:p>
        </w:tc>
      </w:tr>
      <w:tr w:rsidR="00C57C9F" w14:paraId="3CA7589F" w14:textId="77777777" w:rsidTr="00161EA4">
        <w:trPr>
          <w:gridBefore w:val="1"/>
          <w:divId w:val="1139883726"/>
          <w:wBefore w:w="17" w:type="dxa"/>
        </w:trPr>
        <w:tc>
          <w:tcPr>
            <w:tcW w:w="7825" w:type="dxa"/>
            <w:vAlign w:val="center"/>
            <w:hideMark/>
          </w:tcPr>
          <w:p w14:paraId="58BBF084" w14:textId="77777777" w:rsidR="00C57C9F" w:rsidRDefault="00C57C9F">
            <w:pPr>
              <w:rPr>
                <w:rFonts w:eastAsia="Times New Roman" w:cs="Times New Roman"/>
              </w:rPr>
            </w:pPr>
          </w:p>
        </w:tc>
        <w:tc>
          <w:tcPr>
            <w:tcW w:w="1417" w:type="dxa"/>
            <w:vAlign w:val="center"/>
            <w:hideMark/>
          </w:tcPr>
          <w:p w14:paraId="3D06D2EB" w14:textId="77777777" w:rsidR="00C57C9F" w:rsidRDefault="00C57C9F" w:rsidP="006F421D">
            <w:pPr>
              <w:pStyle w:val="3fins-table-figures"/>
              <w:jc w:val="right"/>
              <w:rPr>
                <w:rFonts w:cs="Times New Roman"/>
              </w:rPr>
            </w:pPr>
            <w:r>
              <w:rPr>
                <w:rStyle w:val="fins-bold"/>
                <w:rFonts w:cs="Times New Roman"/>
              </w:rPr>
              <w:t>$’000</w:t>
            </w:r>
          </w:p>
        </w:tc>
        <w:tc>
          <w:tcPr>
            <w:tcW w:w="1013" w:type="dxa"/>
            <w:gridSpan w:val="2"/>
            <w:vAlign w:val="center"/>
            <w:hideMark/>
          </w:tcPr>
          <w:p w14:paraId="49D6487A" w14:textId="77777777" w:rsidR="00C57C9F" w:rsidRDefault="00C57C9F" w:rsidP="006F421D">
            <w:pPr>
              <w:pStyle w:val="3fins-table-figures"/>
              <w:jc w:val="right"/>
              <w:rPr>
                <w:rFonts w:cs="Times New Roman"/>
              </w:rPr>
            </w:pPr>
            <w:r>
              <w:rPr>
                <w:rFonts w:cs="Times New Roman"/>
              </w:rPr>
              <w:t>$’000</w:t>
            </w:r>
          </w:p>
        </w:tc>
      </w:tr>
      <w:tr w:rsidR="00C57C9F" w14:paraId="24A67721" w14:textId="77777777" w:rsidTr="00161EA4">
        <w:trPr>
          <w:gridBefore w:val="1"/>
          <w:divId w:val="1139883726"/>
          <w:wBefore w:w="17" w:type="dxa"/>
        </w:trPr>
        <w:tc>
          <w:tcPr>
            <w:tcW w:w="7825" w:type="dxa"/>
            <w:vAlign w:val="center"/>
            <w:hideMark/>
          </w:tcPr>
          <w:p w14:paraId="7AFF9F9A" w14:textId="77777777" w:rsidR="00C57C9F" w:rsidRDefault="00C57C9F">
            <w:pPr>
              <w:pStyle w:val="1heading-3"/>
              <w:rPr>
                <w:rFonts w:cs="Times New Roman"/>
              </w:rPr>
            </w:pPr>
            <w:r>
              <w:rPr>
                <w:rFonts w:cs="Times New Roman"/>
              </w:rPr>
              <w:t>Note 7A: Property, Plant and Equipment</w:t>
            </w:r>
          </w:p>
        </w:tc>
        <w:tc>
          <w:tcPr>
            <w:tcW w:w="1417" w:type="dxa"/>
            <w:vAlign w:val="center"/>
            <w:hideMark/>
          </w:tcPr>
          <w:p w14:paraId="3B9AE0F7" w14:textId="77777777" w:rsidR="00C57C9F" w:rsidRDefault="00C57C9F" w:rsidP="006F421D">
            <w:pPr>
              <w:jc w:val="right"/>
              <w:rPr>
                <w:rFonts w:eastAsia="Times New Roman" w:cs="Times New Roman"/>
              </w:rPr>
            </w:pPr>
          </w:p>
        </w:tc>
        <w:tc>
          <w:tcPr>
            <w:tcW w:w="1013" w:type="dxa"/>
            <w:gridSpan w:val="2"/>
            <w:vAlign w:val="center"/>
            <w:hideMark/>
          </w:tcPr>
          <w:p w14:paraId="3FB52DAF" w14:textId="77777777" w:rsidR="00C57C9F" w:rsidRDefault="00C57C9F" w:rsidP="006F421D">
            <w:pPr>
              <w:jc w:val="right"/>
              <w:rPr>
                <w:rFonts w:eastAsia="Times New Roman" w:cs="Times New Roman"/>
              </w:rPr>
            </w:pPr>
          </w:p>
        </w:tc>
      </w:tr>
      <w:tr w:rsidR="00C57C9F" w14:paraId="67E9C500" w14:textId="77777777" w:rsidTr="00161EA4">
        <w:trPr>
          <w:gridBefore w:val="1"/>
          <w:divId w:val="1139883726"/>
          <w:wBefore w:w="17" w:type="dxa"/>
        </w:trPr>
        <w:tc>
          <w:tcPr>
            <w:tcW w:w="7825" w:type="dxa"/>
            <w:vAlign w:val="center"/>
            <w:hideMark/>
          </w:tcPr>
          <w:p w14:paraId="2134FDB0" w14:textId="77777777" w:rsidR="00C57C9F" w:rsidRDefault="00C57C9F" w:rsidP="006F421D">
            <w:pPr>
              <w:pStyle w:val="3fins-table"/>
              <w:ind w:left="567"/>
              <w:rPr>
                <w:rFonts w:cs="Times New Roman"/>
              </w:rPr>
            </w:pPr>
            <w:r>
              <w:rPr>
                <w:rFonts w:cs="Times New Roman"/>
              </w:rPr>
              <w:t>Fair value</w:t>
            </w:r>
          </w:p>
        </w:tc>
        <w:tc>
          <w:tcPr>
            <w:tcW w:w="1417" w:type="dxa"/>
            <w:vAlign w:val="center"/>
            <w:hideMark/>
          </w:tcPr>
          <w:p w14:paraId="08F51478" w14:textId="77777777" w:rsidR="00C57C9F" w:rsidRDefault="00C57C9F" w:rsidP="006F421D">
            <w:pPr>
              <w:pStyle w:val="3fins-table-figures"/>
              <w:jc w:val="right"/>
              <w:rPr>
                <w:rFonts w:cs="Times New Roman"/>
              </w:rPr>
            </w:pPr>
            <w:r>
              <w:rPr>
                <w:rStyle w:val="fins-bold"/>
                <w:rFonts w:cs="Times New Roman"/>
              </w:rPr>
              <w:t xml:space="preserve">384 </w:t>
            </w:r>
          </w:p>
        </w:tc>
        <w:tc>
          <w:tcPr>
            <w:tcW w:w="1013" w:type="dxa"/>
            <w:gridSpan w:val="2"/>
            <w:vAlign w:val="center"/>
            <w:hideMark/>
          </w:tcPr>
          <w:p w14:paraId="3D1EF6AB" w14:textId="77777777" w:rsidR="00C57C9F" w:rsidRDefault="00C57C9F" w:rsidP="006F421D">
            <w:pPr>
              <w:pStyle w:val="3fins-table-figures"/>
              <w:jc w:val="right"/>
              <w:rPr>
                <w:rFonts w:cs="Times New Roman"/>
              </w:rPr>
            </w:pPr>
            <w:r>
              <w:rPr>
                <w:rFonts w:cs="Times New Roman"/>
              </w:rPr>
              <w:t xml:space="preserve">384 </w:t>
            </w:r>
          </w:p>
        </w:tc>
      </w:tr>
      <w:tr w:rsidR="00C57C9F" w14:paraId="08ECC02E" w14:textId="77777777" w:rsidTr="00161EA4">
        <w:trPr>
          <w:gridBefore w:val="1"/>
          <w:divId w:val="1139883726"/>
          <w:wBefore w:w="17" w:type="dxa"/>
        </w:trPr>
        <w:tc>
          <w:tcPr>
            <w:tcW w:w="7825" w:type="dxa"/>
            <w:vAlign w:val="center"/>
            <w:hideMark/>
          </w:tcPr>
          <w:p w14:paraId="0E378AC3" w14:textId="77777777" w:rsidR="00C57C9F" w:rsidRDefault="00C57C9F" w:rsidP="006F421D">
            <w:pPr>
              <w:pStyle w:val="3fins-table"/>
              <w:ind w:left="567"/>
              <w:rPr>
                <w:rFonts w:cs="Times New Roman"/>
              </w:rPr>
            </w:pPr>
            <w:r>
              <w:rPr>
                <w:rFonts w:cs="Times New Roman"/>
              </w:rPr>
              <w:t>Accumulated depreciation</w:t>
            </w:r>
          </w:p>
        </w:tc>
        <w:tc>
          <w:tcPr>
            <w:tcW w:w="1417" w:type="dxa"/>
            <w:vAlign w:val="center"/>
            <w:hideMark/>
          </w:tcPr>
          <w:p w14:paraId="03D314B0" w14:textId="77777777" w:rsidR="00C57C9F" w:rsidRDefault="00C57C9F" w:rsidP="006F421D">
            <w:pPr>
              <w:pStyle w:val="3fins-table-figures"/>
              <w:jc w:val="right"/>
              <w:rPr>
                <w:rFonts w:cs="Times New Roman"/>
              </w:rPr>
            </w:pPr>
            <w:r>
              <w:rPr>
                <w:rStyle w:val="fins-bold"/>
                <w:rFonts w:cs="Times New Roman"/>
              </w:rPr>
              <w:t xml:space="preserve">(272) </w:t>
            </w:r>
          </w:p>
        </w:tc>
        <w:tc>
          <w:tcPr>
            <w:tcW w:w="1013" w:type="dxa"/>
            <w:gridSpan w:val="2"/>
            <w:vAlign w:val="center"/>
            <w:hideMark/>
          </w:tcPr>
          <w:p w14:paraId="53CD601B" w14:textId="77777777" w:rsidR="00C57C9F" w:rsidRDefault="00C57C9F" w:rsidP="006F421D">
            <w:pPr>
              <w:pStyle w:val="3fins-table-figures"/>
              <w:jc w:val="right"/>
              <w:rPr>
                <w:rFonts w:cs="Times New Roman"/>
              </w:rPr>
            </w:pPr>
            <w:r>
              <w:rPr>
                <w:rFonts w:cs="Times New Roman"/>
              </w:rPr>
              <w:t>(185)</w:t>
            </w:r>
          </w:p>
        </w:tc>
      </w:tr>
      <w:tr w:rsidR="00C57C9F" w14:paraId="610A0B48" w14:textId="77777777" w:rsidTr="00161EA4">
        <w:trPr>
          <w:gridBefore w:val="1"/>
          <w:divId w:val="1139883726"/>
          <w:wBefore w:w="17" w:type="dxa"/>
        </w:trPr>
        <w:tc>
          <w:tcPr>
            <w:tcW w:w="7825" w:type="dxa"/>
            <w:vAlign w:val="center"/>
            <w:hideMark/>
          </w:tcPr>
          <w:p w14:paraId="7D956C6A" w14:textId="77777777" w:rsidR="00C57C9F" w:rsidRDefault="00C57C9F" w:rsidP="006F421D">
            <w:pPr>
              <w:pStyle w:val="3fins-table"/>
              <w:ind w:left="567"/>
              <w:rPr>
                <w:rFonts w:cs="Times New Roman"/>
              </w:rPr>
            </w:pPr>
            <w:r>
              <w:rPr>
                <w:rFonts w:cs="Times New Roman"/>
              </w:rPr>
              <w:t>Accumulated impairment losses</w:t>
            </w:r>
          </w:p>
        </w:tc>
        <w:tc>
          <w:tcPr>
            <w:tcW w:w="1417" w:type="dxa"/>
            <w:tcBorders>
              <w:bottom w:val="single" w:sz="4" w:space="0" w:color="0D0D0D" w:themeColor="text1" w:themeTint="F2"/>
            </w:tcBorders>
            <w:vAlign w:val="center"/>
            <w:hideMark/>
          </w:tcPr>
          <w:p w14:paraId="686D1830" w14:textId="77777777" w:rsidR="00C57C9F" w:rsidRDefault="00C57C9F" w:rsidP="006F421D">
            <w:pPr>
              <w:pStyle w:val="3fins-table-figures"/>
              <w:jc w:val="right"/>
              <w:rPr>
                <w:rFonts w:cs="Times New Roman"/>
              </w:rPr>
            </w:pPr>
            <w:r>
              <w:rPr>
                <w:rStyle w:val="fins-bold"/>
                <w:rFonts w:cs="Times New Roman"/>
              </w:rPr>
              <w:t>(56)</w:t>
            </w:r>
          </w:p>
        </w:tc>
        <w:tc>
          <w:tcPr>
            <w:tcW w:w="1013" w:type="dxa"/>
            <w:gridSpan w:val="2"/>
            <w:tcBorders>
              <w:bottom w:val="single" w:sz="4" w:space="0" w:color="0D0D0D" w:themeColor="text1" w:themeTint="F2"/>
            </w:tcBorders>
            <w:vAlign w:val="center"/>
            <w:hideMark/>
          </w:tcPr>
          <w:p w14:paraId="3C45E90A" w14:textId="77777777" w:rsidR="00C57C9F" w:rsidRDefault="00C57C9F" w:rsidP="006F421D">
            <w:pPr>
              <w:pStyle w:val="3fins-table-figures"/>
              <w:jc w:val="right"/>
              <w:rPr>
                <w:rFonts w:cs="Times New Roman"/>
              </w:rPr>
            </w:pPr>
            <w:r>
              <w:rPr>
                <w:rStyle w:val="fins-bold"/>
                <w:rFonts w:cs="Times New Roman"/>
              </w:rPr>
              <w:t>–</w:t>
            </w:r>
          </w:p>
        </w:tc>
      </w:tr>
      <w:tr w:rsidR="00C57C9F" w14:paraId="2FEF9A95" w14:textId="77777777" w:rsidTr="00161EA4">
        <w:trPr>
          <w:gridBefore w:val="1"/>
          <w:divId w:val="1139883726"/>
          <w:wBefore w:w="17" w:type="dxa"/>
        </w:trPr>
        <w:tc>
          <w:tcPr>
            <w:tcW w:w="7825" w:type="dxa"/>
            <w:vAlign w:val="center"/>
            <w:hideMark/>
          </w:tcPr>
          <w:p w14:paraId="595FC383" w14:textId="77777777" w:rsidR="00C57C9F" w:rsidRDefault="00C57C9F">
            <w:pPr>
              <w:pStyle w:val="3fins-table"/>
              <w:rPr>
                <w:rFonts w:cs="Times New Roman"/>
              </w:rPr>
            </w:pPr>
            <w:r>
              <w:rPr>
                <w:rStyle w:val="fins-bold"/>
                <w:rFonts w:cs="Times New Roman"/>
              </w:rPr>
              <w:t>Total property, plant and equipment</w:t>
            </w:r>
          </w:p>
        </w:tc>
        <w:tc>
          <w:tcPr>
            <w:tcW w:w="1417" w:type="dxa"/>
            <w:tcBorders>
              <w:top w:val="single" w:sz="4" w:space="0" w:color="0D0D0D" w:themeColor="text1" w:themeTint="F2"/>
              <w:bottom w:val="single" w:sz="4" w:space="0" w:color="0D0D0D" w:themeColor="text1" w:themeTint="F2"/>
            </w:tcBorders>
            <w:vAlign w:val="center"/>
            <w:hideMark/>
          </w:tcPr>
          <w:p w14:paraId="49DC6A2E" w14:textId="77777777" w:rsidR="00C57C9F" w:rsidRDefault="00C57C9F" w:rsidP="006F421D">
            <w:pPr>
              <w:pStyle w:val="3fins-table-figures"/>
              <w:jc w:val="right"/>
              <w:rPr>
                <w:rFonts w:cs="Times New Roman"/>
              </w:rPr>
            </w:pPr>
            <w:r>
              <w:rPr>
                <w:rStyle w:val="fins-bold"/>
                <w:rFonts w:cs="Times New Roman"/>
              </w:rPr>
              <w:t xml:space="preserve">56 </w:t>
            </w:r>
          </w:p>
        </w:tc>
        <w:tc>
          <w:tcPr>
            <w:tcW w:w="1013" w:type="dxa"/>
            <w:gridSpan w:val="2"/>
            <w:tcBorders>
              <w:top w:val="single" w:sz="4" w:space="0" w:color="0D0D0D" w:themeColor="text1" w:themeTint="F2"/>
              <w:bottom w:val="single" w:sz="4" w:space="0" w:color="0D0D0D" w:themeColor="text1" w:themeTint="F2"/>
            </w:tcBorders>
            <w:vAlign w:val="center"/>
            <w:hideMark/>
          </w:tcPr>
          <w:p w14:paraId="27E24EA3" w14:textId="77777777" w:rsidR="00C57C9F" w:rsidRDefault="00C57C9F" w:rsidP="006F421D">
            <w:pPr>
              <w:pStyle w:val="3fins-table-figures"/>
              <w:jc w:val="right"/>
              <w:rPr>
                <w:rFonts w:cs="Times New Roman"/>
              </w:rPr>
            </w:pPr>
            <w:r>
              <w:rPr>
                <w:rFonts w:cs="Times New Roman"/>
              </w:rPr>
              <w:t xml:space="preserve">199 </w:t>
            </w:r>
          </w:p>
        </w:tc>
      </w:tr>
      <w:tr w:rsidR="00C57C9F" w14:paraId="492865F3" w14:textId="77777777" w:rsidTr="00161EA4">
        <w:trPr>
          <w:gridBefore w:val="1"/>
          <w:divId w:val="1139883726"/>
          <w:wBefore w:w="17" w:type="dxa"/>
        </w:trPr>
        <w:tc>
          <w:tcPr>
            <w:tcW w:w="7825" w:type="dxa"/>
            <w:vAlign w:val="center"/>
            <w:hideMark/>
          </w:tcPr>
          <w:p w14:paraId="160A1807" w14:textId="77777777" w:rsidR="00C57C9F" w:rsidRDefault="00C57C9F">
            <w:pPr>
              <w:rPr>
                <w:rFonts w:eastAsia="Times New Roman" w:cs="Times New Roman"/>
              </w:rPr>
            </w:pPr>
          </w:p>
        </w:tc>
        <w:tc>
          <w:tcPr>
            <w:tcW w:w="1417" w:type="dxa"/>
            <w:tcBorders>
              <w:top w:val="single" w:sz="4" w:space="0" w:color="0D0D0D" w:themeColor="text1" w:themeTint="F2"/>
            </w:tcBorders>
            <w:vAlign w:val="center"/>
            <w:hideMark/>
          </w:tcPr>
          <w:p w14:paraId="1C488C7A" w14:textId="77777777" w:rsidR="00C57C9F" w:rsidRDefault="00C57C9F" w:rsidP="006F421D">
            <w:pPr>
              <w:jc w:val="right"/>
              <w:rPr>
                <w:rFonts w:eastAsia="Times New Roman" w:cs="Times New Roman"/>
              </w:rPr>
            </w:pPr>
          </w:p>
        </w:tc>
        <w:tc>
          <w:tcPr>
            <w:tcW w:w="1013" w:type="dxa"/>
            <w:gridSpan w:val="2"/>
            <w:tcBorders>
              <w:top w:val="single" w:sz="4" w:space="0" w:color="0D0D0D" w:themeColor="text1" w:themeTint="F2"/>
            </w:tcBorders>
            <w:vAlign w:val="center"/>
            <w:hideMark/>
          </w:tcPr>
          <w:p w14:paraId="2641E62F" w14:textId="77777777" w:rsidR="00C57C9F" w:rsidRDefault="00C57C9F" w:rsidP="006F421D">
            <w:pPr>
              <w:jc w:val="right"/>
              <w:rPr>
                <w:rFonts w:eastAsia="Times New Roman" w:cs="Times New Roman"/>
              </w:rPr>
            </w:pPr>
          </w:p>
        </w:tc>
      </w:tr>
      <w:tr w:rsidR="00C57C9F" w14:paraId="31847598" w14:textId="77777777" w:rsidTr="00161EA4">
        <w:trPr>
          <w:gridBefore w:val="1"/>
          <w:divId w:val="1139883726"/>
          <w:wBefore w:w="17" w:type="dxa"/>
        </w:trPr>
        <w:tc>
          <w:tcPr>
            <w:tcW w:w="7825" w:type="dxa"/>
            <w:vAlign w:val="center"/>
            <w:hideMark/>
          </w:tcPr>
          <w:p w14:paraId="2DDC030E" w14:textId="77777777" w:rsidR="00C57C9F" w:rsidRDefault="00C57C9F">
            <w:pPr>
              <w:pStyle w:val="3fins-table"/>
              <w:rPr>
                <w:rFonts w:cs="Times New Roman"/>
              </w:rPr>
            </w:pPr>
            <w:r>
              <w:rPr>
                <w:rFonts w:cs="Times New Roman"/>
              </w:rPr>
              <w:t xml:space="preserve">During 2014, the Commission relocated office premises from 1 Oxford Street </w:t>
            </w:r>
            <w:proofErr w:type="spellStart"/>
            <w:r>
              <w:rPr>
                <w:rFonts w:cs="Times New Roman"/>
              </w:rPr>
              <w:t>Darlinghurst</w:t>
            </w:r>
            <w:proofErr w:type="spellEnd"/>
            <w:r>
              <w:rPr>
                <w:rFonts w:cs="Times New Roman"/>
              </w:rPr>
              <w:t xml:space="preserve"> to 255 Elizabeth Street Sydney.</w:t>
            </w:r>
          </w:p>
          <w:p w14:paraId="6C6DF983" w14:textId="77777777" w:rsidR="00C57C9F" w:rsidRDefault="00C57C9F">
            <w:pPr>
              <w:pStyle w:val="3fins-table"/>
              <w:rPr>
                <w:rFonts w:cs="Times New Roman"/>
              </w:rPr>
            </w:pPr>
            <w:r>
              <w:rPr>
                <w:rFonts w:cs="Times New Roman"/>
              </w:rPr>
              <w:t>Leasehold improvements not relocated from 1 Oxford Street are expected to be disposed of upon expiry of the lease in September 2014. The net book values of these assets were fully impaired on date of relocation.</w:t>
            </w:r>
          </w:p>
          <w:p w14:paraId="520A1717" w14:textId="77777777" w:rsidR="00C57C9F" w:rsidRDefault="00C57C9F">
            <w:pPr>
              <w:pStyle w:val="3fins-table"/>
              <w:rPr>
                <w:rFonts w:cs="Times New Roman"/>
              </w:rPr>
            </w:pPr>
            <w:r>
              <w:rPr>
                <w:rFonts w:cs="Times New Roman"/>
              </w:rPr>
              <w:t xml:space="preserve">No other property, plant or equipment was expected to be sold or disposed of within the next 12 months. </w:t>
            </w:r>
          </w:p>
          <w:p w14:paraId="6824BAF9" w14:textId="77777777" w:rsidR="00C57C9F" w:rsidRDefault="00C57C9F">
            <w:pPr>
              <w:pStyle w:val="3fins-table"/>
              <w:rPr>
                <w:rFonts w:cs="Times New Roman"/>
              </w:rPr>
            </w:pPr>
            <w:r>
              <w:rPr>
                <w:rFonts w:cs="Times New Roman"/>
              </w:rPr>
              <w:t>The Commission only held leasehold improvements, plant and equipment.</w:t>
            </w:r>
          </w:p>
          <w:p w14:paraId="6425D8B1" w14:textId="77777777" w:rsidR="00C57C9F" w:rsidRDefault="00C57C9F">
            <w:pPr>
              <w:pStyle w:val="3fins-table"/>
              <w:rPr>
                <w:rFonts w:cs="Times New Roman"/>
              </w:rPr>
            </w:pPr>
            <w:r>
              <w:rPr>
                <w:rStyle w:val="fins-bold"/>
                <w:rFonts w:cs="Times New Roman"/>
              </w:rPr>
              <w:t>Revaluations of non-financial assets</w:t>
            </w:r>
          </w:p>
          <w:p w14:paraId="1AF6F045" w14:textId="77777777" w:rsidR="00C57C9F" w:rsidRDefault="00C57C9F">
            <w:pPr>
              <w:pStyle w:val="3fins-table"/>
              <w:rPr>
                <w:rFonts w:cs="Times New Roman"/>
              </w:rPr>
            </w:pPr>
            <w:r>
              <w:rPr>
                <w:rFonts w:cs="Times New Roman"/>
              </w:rPr>
              <w:t>All revaluations were conducted in accordance with the revaluation policy stated at Note 1.</w:t>
            </w:r>
          </w:p>
        </w:tc>
        <w:tc>
          <w:tcPr>
            <w:tcW w:w="1417" w:type="dxa"/>
            <w:vAlign w:val="center"/>
            <w:hideMark/>
          </w:tcPr>
          <w:p w14:paraId="0E6C451C" w14:textId="77777777" w:rsidR="00C57C9F" w:rsidRDefault="00C57C9F" w:rsidP="006F421D">
            <w:pPr>
              <w:jc w:val="right"/>
              <w:rPr>
                <w:rFonts w:eastAsia="Times New Roman" w:cs="Times New Roman"/>
              </w:rPr>
            </w:pPr>
          </w:p>
        </w:tc>
        <w:tc>
          <w:tcPr>
            <w:tcW w:w="1013" w:type="dxa"/>
            <w:gridSpan w:val="2"/>
            <w:vAlign w:val="center"/>
            <w:hideMark/>
          </w:tcPr>
          <w:p w14:paraId="6AA405EE" w14:textId="77777777" w:rsidR="00C57C9F" w:rsidRDefault="00C57C9F" w:rsidP="006F421D">
            <w:pPr>
              <w:jc w:val="right"/>
              <w:rPr>
                <w:rFonts w:eastAsia="Times New Roman" w:cs="Times New Roman"/>
              </w:rPr>
            </w:pPr>
          </w:p>
        </w:tc>
      </w:tr>
      <w:tr w:rsidR="00C57C9F" w14:paraId="7C9A8598" w14:textId="77777777" w:rsidTr="00161EA4">
        <w:trPr>
          <w:gridBefore w:val="1"/>
          <w:divId w:val="1139883726"/>
          <w:wBefore w:w="17" w:type="dxa"/>
        </w:trPr>
        <w:tc>
          <w:tcPr>
            <w:tcW w:w="7825" w:type="dxa"/>
            <w:vAlign w:val="center"/>
          </w:tcPr>
          <w:p w14:paraId="41A024E8" w14:textId="77777777" w:rsidR="00C57C9F" w:rsidRDefault="00C57C9F">
            <w:pPr>
              <w:rPr>
                <w:rFonts w:eastAsia="Times New Roman" w:cs="Times New Roman"/>
              </w:rPr>
            </w:pPr>
          </w:p>
        </w:tc>
        <w:tc>
          <w:tcPr>
            <w:tcW w:w="1417" w:type="dxa"/>
            <w:vAlign w:val="center"/>
          </w:tcPr>
          <w:p w14:paraId="37B4A635" w14:textId="77777777" w:rsidR="00C57C9F" w:rsidRDefault="00C57C9F" w:rsidP="006F421D">
            <w:pPr>
              <w:jc w:val="right"/>
              <w:rPr>
                <w:rFonts w:eastAsia="Times New Roman" w:cs="Times New Roman"/>
              </w:rPr>
            </w:pPr>
          </w:p>
        </w:tc>
        <w:tc>
          <w:tcPr>
            <w:tcW w:w="1013" w:type="dxa"/>
            <w:gridSpan w:val="2"/>
            <w:vAlign w:val="center"/>
          </w:tcPr>
          <w:p w14:paraId="28591580" w14:textId="77777777" w:rsidR="00C57C9F" w:rsidRDefault="00C57C9F" w:rsidP="006F421D">
            <w:pPr>
              <w:jc w:val="right"/>
              <w:rPr>
                <w:rFonts w:eastAsia="Times New Roman" w:cs="Times New Roman"/>
              </w:rPr>
            </w:pPr>
          </w:p>
        </w:tc>
      </w:tr>
      <w:tr w:rsidR="00C57C9F" w14:paraId="27AFAE9B" w14:textId="77777777" w:rsidTr="00161EA4">
        <w:trPr>
          <w:gridBefore w:val="1"/>
          <w:divId w:val="1139883726"/>
          <w:wBefore w:w="17" w:type="dxa"/>
        </w:trPr>
        <w:tc>
          <w:tcPr>
            <w:tcW w:w="7825" w:type="dxa"/>
            <w:vAlign w:val="center"/>
            <w:hideMark/>
          </w:tcPr>
          <w:p w14:paraId="4F041DF7" w14:textId="77777777" w:rsidR="00C57C9F" w:rsidRDefault="00C57C9F">
            <w:pPr>
              <w:pStyle w:val="1heading-3"/>
              <w:rPr>
                <w:rFonts w:cs="Times New Roman"/>
              </w:rPr>
            </w:pPr>
            <w:r>
              <w:rPr>
                <w:rFonts w:cs="Times New Roman"/>
              </w:rPr>
              <w:t>Note 7B: Reconciliation of the opening and closing balances of property, plant and equipment</w:t>
            </w:r>
          </w:p>
        </w:tc>
        <w:tc>
          <w:tcPr>
            <w:tcW w:w="1417" w:type="dxa"/>
            <w:vAlign w:val="center"/>
            <w:hideMark/>
          </w:tcPr>
          <w:p w14:paraId="6BFE6F69" w14:textId="77777777" w:rsidR="00C57C9F" w:rsidRDefault="00C57C9F" w:rsidP="006F421D">
            <w:pPr>
              <w:jc w:val="right"/>
              <w:rPr>
                <w:rFonts w:eastAsia="Times New Roman" w:cs="Times New Roman"/>
              </w:rPr>
            </w:pPr>
          </w:p>
        </w:tc>
        <w:tc>
          <w:tcPr>
            <w:tcW w:w="1013" w:type="dxa"/>
            <w:gridSpan w:val="2"/>
            <w:vAlign w:val="center"/>
            <w:hideMark/>
          </w:tcPr>
          <w:p w14:paraId="1B04F174" w14:textId="77777777" w:rsidR="00C57C9F" w:rsidRDefault="00C57C9F" w:rsidP="006F421D">
            <w:pPr>
              <w:jc w:val="right"/>
              <w:rPr>
                <w:rFonts w:eastAsia="Times New Roman" w:cs="Times New Roman"/>
              </w:rPr>
            </w:pPr>
          </w:p>
        </w:tc>
      </w:tr>
      <w:tr w:rsidR="00C57C9F" w14:paraId="486C3EBB" w14:textId="77777777" w:rsidTr="00161EA4">
        <w:trPr>
          <w:gridBefore w:val="1"/>
          <w:divId w:val="1139883726"/>
          <w:wBefore w:w="17" w:type="dxa"/>
        </w:trPr>
        <w:tc>
          <w:tcPr>
            <w:tcW w:w="7825" w:type="dxa"/>
            <w:vAlign w:val="center"/>
            <w:hideMark/>
          </w:tcPr>
          <w:p w14:paraId="19CA4461" w14:textId="77777777" w:rsidR="00C57C9F" w:rsidRDefault="00C57C9F">
            <w:pPr>
              <w:rPr>
                <w:rFonts w:eastAsia="Times New Roman" w:cs="Times New Roman"/>
              </w:rPr>
            </w:pPr>
          </w:p>
        </w:tc>
        <w:tc>
          <w:tcPr>
            <w:tcW w:w="1417" w:type="dxa"/>
            <w:vAlign w:val="center"/>
            <w:hideMark/>
          </w:tcPr>
          <w:p w14:paraId="7FAE0F6E" w14:textId="77777777" w:rsidR="00C57C9F" w:rsidRDefault="00C57C9F" w:rsidP="006F421D">
            <w:pPr>
              <w:pStyle w:val="3fins-table-figures"/>
              <w:jc w:val="right"/>
              <w:rPr>
                <w:rFonts w:cs="Times New Roman"/>
              </w:rPr>
            </w:pPr>
            <w:r>
              <w:rPr>
                <w:rStyle w:val="fins-bold"/>
                <w:rFonts w:cs="Times New Roman"/>
              </w:rPr>
              <w:t>2014</w:t>
            </w:r>
          </w:p>
        </w:tc>
        <w:tc>
          <w:tcPr>
            <w:tcW w:w="1013" w:type="dxa"/>
            <w:gridSpan w:val="2"/>
            <w:vAlign w:val="center"/>
            <w:hideMark/>
          </w:tcPr>
          <w:p w14:paraId="5392F921" w14:textId="77777777" w:rsidR="00C57C9F" w:rsidRDefault="00C57C9F" w:rsidP="006F421D">
            <w:pPr>
              <w:pStyle w:val="3fins-table-figures"/>
              <w:jc w:val="right"/>
              <w:rPr>
                <w:rFonts w:cs="Times New Roman"/>
              </w:rPr>
            </w:pPr>
            <w:r>
              <w:rPr>
                <w:rFonts w:cs="Times New Roman"/>
              </w:rPr>
              <w:t>2013</w:t>
            </w:r>
          </w:p>
        </w:tc>
      </w:tr>
      <w:tr w:rsidR="00C57C9F" w14:paraId="79B5D950" w14:textId="77777777" w:rsidTr="00161EA4">
        <w:trPr>
          <w:gridBefore w:val="1"/>
          <w:divId w:val="1139883726"/>
          <w:wBefore w:w="17" w:type="dxa"/>
        </w:trPr>
        <w:tc>
          <w:tcPr>
            <w:tcW w:w="7825" w:type="dxa"/>
            <w:tcBorders>
              <w:bottom w:val="single" w:sz="4" w:space="0" w:color="0D0D0D" w:themeColor="text1" w:themeTint="F2"/>
            </w:tcBorders>
            <w:vAlign w:val="center"/>
            <w:hideMark/>
          </w:tcPr>
          <w:p w14:paraId="7BAF5A4E" w14:textId="77777777" w:rsidR="00C57C9F" w:rsidRDefault="00C57C9F">
            <w:pPr>
              <w:rPr>
                <w:rFonts w:eastAsia="Times New Roman" w:cs="Times New Roman"/>
              </w:rPr>
            </w:pPr>
          </w:p>
        </w:tc>
        <w:tc>
          <w:tcPr>
            <w:tcW w:w="1417" w:type="dxa"/>
            <w:tcBorders>
              <w:bottom w:val="single" w:sz="4" w:space="0" w:color="0D0D0D" w:themeColor="text1" w:themeTint="F2"/>
            </w:tcBorders>
            <w:vAlign w:val="center"/>
            <w:hideMark/>
          </w:tcPr>
          <w:p w14:paraId="11286264" w14:textId="77777777" w:rsidR="00C57C9F" w:rsidRDefault="00C57C9F" w:rsidP="006F421D">
            <w:pPr>
              <w:pStyle w:val="3fins-table-figures"/>
              <w:jc w:val="right"/>
              <w:rPr>
                <w:rFonts w:cs="Times New Roman"/>
              </w:rPr>
            </w:pPr>
            <w:r>
              <w:rPr>
                <w:rStyle w:val="fins-bold"/>
                <w:rFonts w:cs="Times New Roman"/>
              </w:rPr>
              <w:t>$’000</w:t>
            </w:r>
          </w:p>
        </w:tc>
        <w:tc>
          <w:tcPr>
            <w:tcW w:w="1013" w:type="dxa"/>
            <w:gridSpan w:val="2"/>
            <w:tcBorders>
              <w:bottom w:val="single" w:sz="4" w:space="0" w:color="0D0D0D" w:themeColor="text1" w:themeTint="F2"/>
            </w:tcBorders>
            <w:vAlign w:val="center"/>
            <w:hideMark/>
          </w:tcPr>
          <w:p w14:paraId="55535A23" w14:textId="77777777" w:rsidR="00C57C9F" w:rsidRDefault="00C57C9F" w:rsidP="006F421D">
            <w:pPr>
              <w:pStyle w:val="3fins-table-figures"/>
              <w:jc w:val="right"/>
              <w:rPr>
                <w:rFonts w:cs="Times New Roman"/>
              </w:rPr>
            </w:pPr>
            <w:r>
              <w:rPr>
                <w:rFonts w:cs="Times New Roman"/>
              </w:rPr>
              <w:t>$’000</w:t>
            </w:r>
          </w:p>
        </w:tc>
      </w:tr>
      <w:tr w:rsidR="00C57C9F" w14:paraId="1309F437" w14:textId="77777777" w:rsidTr="00161EA4">
        <w:trPr>
          <w:gridBefore w:val="1"/>
          <w:divId w:val="1139883726"/>
          <w:wBefore w:w="17" w:type="dxa"/>
        </w:trPr>
        <w:tc>
          <w:tcPr>
            <w:tcW w:w="7825" w:type="dxa"/>
            <w:tcBorders>
              <w:top w:val="single" w:sz="4" w:space="0" w:color="0D0D0D" w:themeColor="text1" w:themeTint="F2"/>
            </w:tcBorders>
            <w:vAlign w:val="center"/>
            <w:hideMark/>
          </w:tcPr>
          <w:p w14:paraId="505EC1C8" w14:textId="77777777" w:rsidR="00C57C9F" w:rsidRDefault="00C57C9F">
            <w:pPr>
              <w:pStyle w:val="3fins-table"/>
              <w:rPr>
                <w:rFonts w:cs="Times New Roman"/>
              </w:rPr>
            </w:pPr>
            <w:r>
              <w:rPr>
                <w:rStyle w:val="fins-bold"/>
                <w:rFonts w:cs="Times New Roman"/>
              </w:rPr>
              <w:t xml:space="preserve">As at 1 July </w:t>
            </w:r>
          </w:p>
        </w:tc>
        <w:tc>
          <w:tcPr>
            <w:tcW w:w="1417" w:type="dxa"/>
            <w:tcBorders>
              <w:top w:val="single" w:sz="4" w:space="0" w:color="0D0D0D" w:themeColor="text1" w:themeTint="F2"/>
            </w:tcBorders>
            <w:vAlign w:val="center"/>
            <w:hideMark/>
          </w:tcPr>
          <w:p w14:paraId="5E3CE8E6" w14:textId="77777777" w:rsidR="00C57C9F" w:rsidRDefault="00C57C9F" w:rsidP="006F421D">
            <w:pPr>
              <w:jc w:val="right"/>
              <w:rPr>
                <w:rFonts w:eastAsia="Times New Roman" w:cs="Times New Roman"/>
              </w:rPr>
            </w:pPr>
          </w:p>
        </w:tc>
        <w:tc>
          <w:tcPr>
            <w:tcW w:w="1013" w:type="dxa"/>
            <w:gridSpan w:val="2"/>
            <w:tcBorders>
              <w:top w:val="single" w:sz="4" w:space="0" w:color="0D0D0D" w:themeColor="text1" w:themeTint="F2"/>
            </w:tcBorders>
            <w:vAlign w:val="center"/>
            <w:hideMark/>
          </w:tcPr>
          <w:p w14:paraId="61BFB830" w14:textId="77777777" w:rsidR="00C57C9F" w:rsidRDefault="00C57C9F" w:rsidP="006F421D">
            <w:pPr>
              <w:jc w:val="right"/>
              <w:rPr>
                <w:rFonts w:eastAsia="Times New Roman" w:cs="Times New Roman"/>
              </w:rPr>
            </w:pPr>
          </w:p>
        </w:tc>
      </w:tr>
      <w:tr w:rsidR="00C57C9F" w14:paraId="34396DED" w14:textId="77777777" w:rsidTr="00161EA4">
        <w:trPr>
          <w:gridBefore w:val="1"/>
          <w:divId w:val="1139883726"/>
          <w:wBefore w:w="17" w:type="dxa"/>
        </w:trPr>
        <w:tc>
          <w:tcPr>
            <w:tcW w:w="7825" w:type="dxa"/>
            <w:vAlign w:val="center"/>
            <w:hideMark/>
          </w:tcPr>
          <w:p w14:paraId="7FEA8F3C" w14:textId="77777777" w:rsidR="00C57C9F" w:rsidRDefault="00C57C9F">
            <w:pPr>
              <w:pStyle w:val="3fins-table"/>
              <w:rPr>
                <w:rFonts w:cs="Times New Roman"/>
              </w:rPr>
            </w:pPr>
            <w:r>
              <w:rPr>
                <w:rFonts w:cs="Times New Roman"/>
              </w:rPr>
              <w:t>Gross book value</w:t>
            </w:r>
          </w:p>
        </w:tc>
        <w:tc>
          <w:tcPr>
            <w:tcW w:w="1417" w:type="dxa"/>
            <w:vAlign w:val="center"/>
            <w:hideMark/>
          </w:tcPr>
          <w:p w14:paraId="6485E5E8" w14:textId="77777777" w:rsidR="00C57C9F" w:rsidRDefault="00C57C9F" w:rsidP="006F421D">
            <w:pPr>
              <w:pStyle w:val="3fins-table-figures"/>
              <w:jc w:val="right"/>
              <w:rPr>
                <w:rFonts w:cs="Times New Roman"/>
              </w:rPr>
            </w:pPr>
            <w:r>
              <w:rPr>
                <w:rStyle w:val="fins-bold"/>
                <w:rFonts w:cs="Times New Roman"/>
              </w:rPr>
              <w:t>384</w:t>
            </w:r>
          </w:p>
        </w:tc>
        <w:tc>
          <w:tcPr>
            <w:tcW w:w="1013" w:type="dxa"/>
            <w:gridSpan w:val="2"/>
            <w:vAlign w:val="center"/>
            <w:hideMark/>
          </w:tcPr>
          <w:p w14:paraId="7FD1F1E2" w14:textId="77777777" w:rsidR="00C57C9F" w:rsidRDefault="00C57C9F" w:rsidP="006F421D">
            <w:pPr>
              <w:pStyle w:val="3fins-table-figures"/>
              <w:jc w:val="right"/>
              <w:rPr>
                <w:rFonts w:cs="Times New Roman"/>
              </w:rPr>
            </w:pPr>
            <w:r>
              <w:rPr>
                <w:rFonts w:cs="Times New Roman"/>
              </w:rPr>
              <w:t>300</w:t>
            </w:r>
          </w:p>
        </w:tc>
      </w:tr>
      <w:tr w:rsidR="00C57C9F" w14:paraId="2CB75DB3" w14:textId="77777777" w:rsidTr="00161EA4">
        <w:trPr>
          <w:gridBefore w:val="1"/>
          <w:divId w:val="1139883726"/>
          <w:wBefore w:w="17" w:type="dxa"/>
        </w:trPr>
        <w:tc>
          <w:tcPr>
            <w:tcW w:w="7825" w:type="dxa"/>
            <w:tcBorders>
              <w:bottom w:val="single" w:sz="4" w:space="0" w:color="0D0D0D" w:themeColor="text1" w:themeTint="F2"/>
            </w:tcBorders>
            <w:vAlign w:val="center"/>
            <w:hideMark/>
          </w:tcPr>
          <w:p w14:paraId="1A3AFCA2" w14:textId="77777777" w:rsidR="00C57C9F" w:rsidRDefault="00C57C9F">
            <w:pPr>
              <w:pStyle w:val="3fins-table"/>
              <w:rPr>
                <w:rFonts w:cs="Times New Roman"/>
              </w:rPr>
            </w:pPr>
            <w:r>
              <w:rPr>
                <w:rFonts w:cs="Times New Roman"/>
              </w:rPr>
              <w:t>Accumulated depreciation and impairment</w:t>
            </w:r>
          </w:p>
        </w:tc>
        <w:tc>
          <w:tcPr>
            <w:tcW w:w="1417" w:type="dxa"/>
            <w:tcBorders>
              <w:bottom w:val="single" w:sz="4" w:space="0" w:color="0D0D0D" w:themeColor="text1" w:themeTint="F2"/>
            </w:tcBorders>
            <w:vAlign w:val="center"/>
            <w:hideMark/>
          </w:tcPr>
          <w:p w14:paraId="63FA9D07" w14:textId="77777777" w:rsidR="00C57C9F" w:rsidRDefault="00C57C9F" w:rsidP="006F421D">
            <w:pPr>
              <w:pStyle w:val="3fins-table-figures"/>
              <w:jc w:val="right"/>
              <w:rPr>
                <w:rFonts w:cs="Times New Roman"/>
              </w:rPr>
            </w:pPr>
            <w:r>
              <w:rPr>
                <w:rStyle w:val="fins-bold"/>
                <w:rFonts w:cs="Times New Roman"/>
              </w:rPr>
              <w:t>(185)</w:t>
            </w:r>
          </w:p>
        </w:tc>
        <w:tc>
          <w:tcPr>
            <w:tcW w:w="1013" w:type="dxa"/>
            <w:gridSpan w:val="2"/>
            <w:tcBorders>
              <w:bottom w:val="single" w:sz="4" w:space="0" w:color="0D0D0D" w:themeColor="text1" w:themeTint="F2"/>
            </w:tcBorders>
            <w:vAlign w:val="center"/>
            <w:hideMark/>
          </w:tcPr>
          <w:p w14:paraId="20670F01" w14:textId="77777777" w:rsidR="00C57C9F" w:rsidRDefault="00C57C9F" w:rsidP="006F421D">
            <w:pPr>
              <w:pStyle w:val="3fins-table-figures"/>
              <w:jc w:val="right"/>
              <w:rPr>
                <w:rFonts w:cs="Times New Roman"/>
              </w:rPr>
            </w:pPr>
            <w:r>
              <w:rPr>
                <w:rFonts w:cs="Times New Roman"/>
              </w:rPr>
              <w:t>(65)</w:t>
            </w:r>
          </w:p>
        </w:tc>
      </w:tr>
      <w:tr w:rsidR="00C57C9F" w14:paraId="63A1D53F" w14:textId="77777777" w:rsidTr="00161EA4">
        <w:trPr>
          <w:gridBefore w:val="1"/>
          <w:divId w:val="1139883726"/>
          <w:wBefore w:w="17" w:type="dxa"/>
        </w:trPr>
        <w:tc>
          <w:tcPr>
            <w:tcW w:w="7825" w:type="dxa"/>
            <w:tcBorders>
              <w:top w:val="single" w:sz="4" w:space="0" w:color="0D0D0D" w:themeColor="text1" w:themeTint="F2"/>
              <w:bottom w:val="single" w:sz="4" w:space="0" w:color="0D0D0D" w:themeColor="text1" w:themeTint="F2"/>
            </w:tcBorders>
            <w:vAlign w:val="center"/>
            <w:hideMark/>
          </w:tcPr>
          <w:p w14:paraId="119268AF" w14:textId="77777777" w:rsidR="00C57C9F" w:rsidRDefault="00C57C9F">
            <w:pPr>
              <w:pStyle w:val="3fins-table"/>
              <w:rPr>
                <w:rFonts w:cs="Times New Roman"/>
              </w:rPr>
            </w:pPr>
            <w:r>
              <w:rPr>
                <w:rStyle w:val="fins-bold"/>
                <w:rFonts w:cs="Times New Roman"/>
              </w:rPr>
              <w:t>Net book value 1 July</w:t>
            </w:r>
          </w:p>
        </w:tc>
        <w:tc>
          <w:tcPr>
            <w:tcW w:w="1417" w:type="dxa"/>
            <w:tcBorders>
              <w:top w:val="single" w:sz="4" w:space="0" w:color="0D0D0D" w:themeColor="text1" w:themeTint="F2"/>
              <w:bottom w:val="single" w:sz="4" w:space="0" w:color="0D0D0D" w:themeColor="text1" w:themeTint="F2"/>
            </w:tcBorders>
            <w:vAlign w:val="center"/>
            <w:hideMark/>
          </w:tcPr>
          <w:p w14:paraId="38C6AE15" w14:textId="77777777" w:rsidR="00C57C9F" w:rsidRDefault="00C57C9F" w:rsidP="006F421D">
            <w:pPr>
              <w:pStyle w:val="3fins-table-figures"/>
              <w:jc w:val="right"/>
              <w:rPr>
                <w:rFonts w:cs="Times New Roman"/>
              </w:rPr>
            </w:pPr>
            <w:r>
              <w:rPr>
                <w:rStyle w:val="fins-bold"/>
                <w:rFonts w:cs="Times New Roman"/>
              </w:rPr>
              <w:t>199</w:t>
            </w:r>
          </w:p>
        </w:tc>
        <w:tc>
          <w:tcPr>
            <w:tcW w:w="1013" w:type="dxa"/>
            <w:gridSpan w:val="2"/>
            <w:tcBorders>
              <w:top w:val="single" w:sz="4" w:space="0" w:color="0D0D0D" w:themeColor="text1" w:themeTint="F2"/>
              <w:bottom w:val="single" w:sz="4" w:space="0" w:color="0D0D0D" w:themeColor="text1" w:themeTint="F2"/>
            </w:tcBorders>
            <w:vAlign w:val="center"/>
            <w:hideMark/>
          </w:tcPr>
          <w:p w14:paraId="3911316C" w14:textId="77777777" w:rsidR="00C57C9F" w:rsidRDefault="00C57C9F" w:rsidP="006F421D">
            <w:pPr>
              <w:pStyle w:val="3fins-table-figures"/>
              <w:jc w:val="right"/>
              <w:rPr>
                <w:rFonts w:cs="Times New Roman"/>
              </w:rPr>
            </w:pPr>
            <w:r>
              <w:rPr>
                <w:rFonts w:cs="Times New Roman"/>
              </w:rPr>
              <w:t>235</w:t>
            </w:r>
          </w:p>
        </w:tc>
      </w:tr>
      <w:tr w:rsidR="00C57C9F" w14:paraId="5F8C7826" w14:textId="77777777" w:rsidTr="00161EA4">
        <w:trPr>
          <w:gridBefore w:val="1"/>
          <w:divId w:val="1139883726"/>
          <w:wBefore w:w="17" w:type="dxa"/>
        </w:trPr>
        <w:tc>
          <w:tcPr>
            <w:tcW w:w="7825" w:type="dxa"/>
            <w:tcBorders>
              <w:top w:val="single" w:sz="4" w:space="0" w:color="0D0D0D" w:themeColor="text1" w:themeTint="F2"/>
            </w:tcBorders>
            <w:vAlign w:val="center"/>
            <w:hideMark/>
          </w:tcPr>
          <w:p w14:paraId="527EC9FF" w14:textId="77777777" w:rsidR="00C57C9F" w:rsidRDefault="00C57C9F">
            <w:pPr>
              <w:pStyle w:val="3fins-table"/>
              <w:rPr>
                <w:rFonts w:cs="Times New Roman"/>
              </w:rPr>
            </w:pPr>
            <w:r>
              <w:rPr>
                <w:rFonts w:cs="Times New Roman"/>
              </w:rPr>
              <w:t>Additions:</w:t>
            </w:r>
          </w:p>
        </w:tc>
        <w:tc>
          <w:tcPr>
            <w:tcW w:w="1417" w:type="dxa"/>
            <w:tcBorders>
              <w:top w:val="single" w:sz="4" w:space="0" w:color="0D0D0D" w:themeColor="text1" w:themeTint="F2"/>
            </w:tcBorders>
            <w:vAlign w:val="center"/>
            <w:hideMark/>
          </w:tcPr>
          <w:p w14:paraId="65181BFE" w14:textId="77777777" w:rsidR="00C57C9F" w:rsidRDefault="00C57C9F" w:rsidP="006F421D">
            <w:pPr>
              <w:jc w:val="right"/>
              <w:rPr>
                <w:rFonts w:eastAsia="Times New Roman" w:cs="Times New Roman"/>
              </w:rPr>
            </w:pPr>
          </w:p>
        </w:tc>
        <w:tc>
          <w:tcPr>
            <w:tcW w:w="1013" w:type="dxa"/>
            <w:gridSpan w:val="2"/>
            <w:tcBorders>
              <w:top w:val="single" w:sz="4" w:space="0" w:color="0D0D0D" w:themeColor="text1" w:themeTint="F2"/>
            </w:tcBorders>
            <w:vAlign w:val="center"/>
            <w:hideMark/>
          </w:tcPr>
          <w:p w14:paraId="68F6CFBD" w14:textId="77777777" w:rsidR="00C57C9F" w:rsidRDefault="00C57C9F" w:rsidP="006F421D">
            <w:pPr>
              <w:jc w:val="right"/>
              <w:rPr>
                <w:rFonts w:eastAsia="Times New Roman" w:cs="Times New Roman"/>
              </w:rPr>
            </w:pPr>
          </w:p>
        </w:tc>
      </w:tr>
      <w:tr w:rsidR="00C57C9F" w14:paraId="510F8EAC" w14:textId="77777777" w:rsidTr="00161EA4">
        <w:trPr>
          <w:gridBefore w:val="1"/>
          <w:divId w:val="1139883726"/>
          <w:wBefore w:w="17" w:type="dxa"/>
        </w:trPr>
        <w:tc>
          <w:tcPr>
            <w:tcW w:w="7825" w:type="dxa"/>
            <w:vAlign w:val="center"/>
            <w:hideMark/>
          </w:tcPr>
          <w:p w14:paraId="2AEA38A0" w14:textId="77777777" w:rsidR="00C57C9F" w:rsidRDefault="00C57C9F" w:rsidP="006F421D">
            <w:pPr>
              <w:pStyle w:val="3fins-table"/>
              <w:ind w:left="567"/>
              <w:rPr>
                <w:rFonts w:cs="Times New Roman"/>
              </w:rPr>
            </w:pPr>
            <w:r>
              <w:rPr>
                <w:rFonts w:cs="Times New Roman"/>
              </w:rPr>
              <w:t>By purchase</w:t>
            </w:r>
          </w:p>
        </w:tc>
        <w:tc>
          <w:tcPr>
            <w:tcW w:w="1417" w:type="dxa"/>
            <w:vAlign w:val="center"/>
            <w:hideMark/>
          </w:tcPr>
          <w:p w14:paraId="768B1E66" w14:textId="77777777" w:rsidR="00C57C9F" w:rsidRDefault="00C57C9F" w:rsidP="006F421D">
            <w:pPr>
              <w:pStyle w:val="3fins-table-figures"/>
              <w:jc w:val="right"/>
              <w:rPr>
                <w:rFonts w:cs="Times New Roman"/>
              </w:rPr>
            </w:pPr>
            <w:r>
              <w:rPr>
                <w:rStyle w:val="fins-bold"/>
                <w:rFonts w:cs="Times New Roman"/>
              </w:rPr>
              <w:t>–</w:t>
            </w:r>
          </w:p>
        </w:tc>
        <w:tc>
          <w:tcPr>
            <w:tcW w:w="1013" w:type="dxa"/>
            <w:gridSpan w:val="2"/>
            <w:vAlign w:val="center"/>
            <w:hideMark/>
          </w:tcPr>
          <w:p w14:paraId="521A2BCF" w14:textId="77777777" w:rsidR="00C57C9F" w:rsidRDefault="00C57C9F" w:rsidP="006F421D">
            <w:pPr>
              <w:pStyle w:val="3fins-table-figures"/>
              <w:jc w:val="right"/>
              <w:rPr>
                <w:rFonts w:cs="Times New Roman"/>
              </w:rPr>
            </w:pPr>
            <w:r>
              <w:rPr>
                <w:rFonts w:cs="Times New Roman"/>
              </w:rPr>
              <w:t xml:space="preserve">84 </w:t>
            </w:r>
          </w:p>
        </w:tc>
      </w:tr>
      <w:tr w:rsidR="00C57C9F" w14:paraId="7F6AFEC6" w14:textId="77777777" w:rsidTr="00161EA4">
        <w:trPr>
          <w:gridBefore w:val="1"/>
          <w:divId w:val="1139883726"/>
          <w:wBefore w:w="17" w:type="dxa"/>
        </w:trPr>
        <w:tc>
          <w:tcPr>
            <w:tcW w:w="7825" w:type="dxa"/>
            <w:vAlign w:val="center"/>
            <w:hideMark/>
          </w:tcPr>
          <w:p w14:paraId="5CE13A98" w14:textId="77777777" w:rsidR="00C57C9F" w:rsidRDefault="00C57C9F">
            <w:pPr>
              <w:pStyle w:val="3fins-table"/>
              <w:rPr>
                <w:rFonts w:cs="Times New Roman"/>
              </w:rPr>
            </w:pPr>
            <w:r>
              <w:rPr>
                <w:rFonts w:cs="Times New Roman"/>
              </w:rPr>
              <w:t>Depreciation expense</w:t>
            </w:r>
          </w:p>
        </w:tc>
        <w:tc>
          <w:tcPr>
            <w:tcW w:w="1417" w:type="dxa"/>
            <w:vAlign w:val="center"/>
            <w:hideMark/>
          </w:tcPr>
          <w:p w14:paraId="4791B874" w14:textId="77777777" w:rsidR="00C57C9F" w:rsidRDefault="00C57C9F" w:rsidP="006F421D">
            <w:pPr>
              <w:pStyle w:val="3fins-table-figures"/>
              <w:jc w:val="right"/>
              <w:rPr>
                <w:rFonts w:cs="Times New Roman"/>
              </w:rPr>
            </w:pPr>
            <w:r>
              <w:rPr>
                <w:rStyle w:val="fins-bold"/>
                <w:rFonts w:cs="Times New Roman"/>
              </w:rPr>
              <w:t xml:space="preserve">(87) </w:t>
            </w:r>
          </w:p>
        </w:tc>
        <w:tc>
          <w:tcPr>
            <w:tcW w:w="1013" w:type="dxa"/>
            <w:gridSpan w:val="2"/>
            <w:vAlign w:val="center"/>
            <w:hideMark/>
          </w:tcPr>
          <w:p w14:paraId="3C5E0ECF" w14:textId="77777777" w:rsidR="00C57C9F" w:rsidRDefault="00C57C9F" w:rsidP="006F421D">
            <w:pPr>
              <w:pStyle w:val="3fins-table-figures"/>
              <w:jc w:val="right"/>
              <w:rPr>
                <w:rFonts w:cs="Times New Roman"/>
              </w:rPr>
            </w:pPr>
            <w:r>
              <w:rPr>
                <w:rFonts w:cs="Times New Roman"/>
              </w:rPr>
              <w:t>(120)</w:t>
            </w:r>
          </w:p>
        </w:tc>
      </w:tr>
      <w:tr w:rsidR="00C57C9F" w14:paraId="232ABFD5" w14:textId="77777777" w:rsidTr="00161EA4">
        <w:trPr>
          <w:gridBefore w:val="1"/>
          <w:divId w:val="1139883726"/>
          <w:wBefore w:w="17" w:type="dxa"/>
        </w:trPr>
        <w:tc>
          <w:tcPr>
            <w:tcW w:w="7825" w:type="dxa"/>
            <w:tcBorders>
              <w:bottom w:val="single" w:sz="4" w:space="0" w:color="0D0D0D" w:themeColor="text1" w:themeTint="F2"/>
            </w:tcBorders>
            <w:vAlign w:val="center"/>
            <w:hideMark/>
          </w:tcPr>
          <w:p w14:paraId="46BD017E" w14:textId="77777777" w:rsidR="00C57C9F" w:rsidRDefault="00C57C9F">
            <w:pPr>
              <w:pStyle w:val="3fins-table"/>
              <w:rPr>
                <w:rFonts w:cs="Times New Roman"/>
              </w:rPr>
            </w:pPr>
            <w:r>
              <w:rPr>
                <w:rFonts w:cs="Times New Roman"/>
              </w:rPr>
              <w:t xml:space="preserve">Impairments </w:t>
            </w:r>
            <w:proofErr w:type="spellStart"/>
            <w:r>
              <w:rPr>
                <w:rFonts w:cs="Times New Roman"/>
              </w:rPr>
              <w:t>recognised</w:t>
            </w:r>
            <w:proofErr w:type="spellEnd"/>
            <w:r>
              <w:rPr>
                <w:rFonts w:cs="Times New Roman"/>
              </w:rPr>
              <w:t xml:space="preserve"> in other comprehensive income</w:t>
            </w:r>
          </w:p>
        </w:tc>
        <w:tc>
          <w:tcPr>
            <w:tcW w:w="1417" w:type="dxa"/>
            <w:tcBorders>
              <w:bottom w:val="single" w:sz="4" w:space="0" w:color="0D0D0D" w:themeColor="text1" w:themeTint="F2"/>
            </w:tcBorders>
            <w:vAlign w:val="center"/>
            <w:hideMark/>
          </w:tcPr>
          <w:p w14:paraId="5BEF1983" w14:textId="77777777" w:rsidR="00C57C9F" w:rsidRDefault="00C57C9F" w:rsidP="006F421D">
            <w:pPr>
              <w:pStyle w:val="3fins-table-figures"/>
              <w:jc w:val="right"/>
              <w:rPr>
                <w:rFonts w:cs="Times New Roman"/>
              </w:rPr>
            </w:pPr>
            <w:r>
              <w:rPr>
                <w:rStyle w:val="fins-bold"/>
                <w:rFonts w:cs="Times New Roman"/>
              </w:rPr>
              <w:t>(56)</w:t>
            </w:r>
          </w:p>
        </w:tc>
        <w:tc>
          <w:tcPr>
            <w:tcW w:w="1013" w:type="dxa"/>
            <w:gridSpan w:val="2"/>
            <w:tcBorders>
              <w:bottom w:val="single" w:sz="4" w:space="0" w:color="0D0D0D" w:themeColor="text1" w:themeTint="F2"/>
            </w:tcBorders>
            <w:vAlign w:val="center"/>
            <w:hideMark/>
          </w:tcPr>
          <w:p w14:paraId="7EB28F27" w14:textId="77777777" w:rsidR="00C57C9F" w:rsidRDefault="00C57C9F" w:rsidP="006F421D">
            <w:pPr>
              <w:pStyle w:val="3fins-table-figures"/>
              <w:jc w:val="right"/>
              <w:rPr>
                <w:rFonts w:cs="Times New Roman"/>
              </w:rPr>
            </w:pPr>
            <w:r>
              <w:rPr>
                <w:rStyle w:val="fins-bold"/>
                <w:rFonts w:cs="Times New Roman"/>
              </w:rPr>
              <w:t>–</w:t>
            </w:r>
          </w:p>
        </w:tc>
      </w:tr>
      <w:tr w:rsidR="00C57C9F" w14:paraId="180251A3" w14:textId="77777777" w:rsidTr="00161EA4">
        <w:trPr>
          <w:gridBefore w:val="1"/>
          <w:divId w:val="1139883726"/>
          <w:wBefore w:w="17" w:type="dxa"/>
        </w:trPr>
        <w:tc>
          <w:tcPr>
            <w:tcW w:w="7825" w:type="dxa"/>
            <w:tcBorders>
              <w:top w:val="single" w:sz="4" w:space="0" w:color="0D0D0D" w:themeColor="text1" w:themeTint="F2"/>
              <w:bottom w:val="single" w:sz="4" w:space="0" w:color="0D0D0D" w:themeColor="text1" w:themeTint="F2"/>
            </w:tcBorders>
            <w:vAlign w:val="center"/>
            <w:hideMark/>
          </w:tcPr>
          <w:p w14:paraId="3A0E212D" w14:textId="77777777" w:rsidR="00C57C9F" w:rsidRDefault="00C57C9F">
            <w:pPr>
              <w:pStyle w:val="3fins-table"/>
              <w:rPr>
                <w:rFonts w:cs="Times New Roman"/>
              </w:rPr>
            </w:pPr>
            <w:r>
              <w:rPr>
                <w:rStyle w:val="fins-bold"/>
                <w:rFonts w:cs="Times New Roman"/>
              </w:rPr>
              <w:t>Net book value 30 June</w:t>
            </w:r>
          </w:p>
        </w:tc>
        <w:tc>
          <w:tcPr>
            <w:tcW w:w="1417" w:type="dxa"/>
            <w:tcBorders>
              <w:top w:val="single" w:sz="4" w:space="0" w:color="0D0D0D" w:themeColor="text1" w:themeTint="F2"/>
              <w:bottom w:val="single" w:sz="4" w:space="0" w:color="0D0D0D" w:themeColor="text1" w:themeTint="F2"/>
            </w:tcBorders>
            <w:vAlign w:val="center"/>
            <w:hideMark/>
          </w:tcPr>
          <w:p w14:paraId="4B1B8A2C" w14:textId="77777777" w:rsidR="00C57C9F" w:rsidRDefault="00C57C9F" w:rsidP="006F421D">
            <w:pPr>
              <w:pStyle w:val="3fins-table-figures"/>
              <w:jc w:val="right"/>
              <w:rPr>
                <w:rFonts w:cs="Times New Roman"/>
              </w:rPr>
            </w:pPr>
            <w:r>
              <w:rPr>
                <w:rStyle w:val="fins-bold"/>
                <w:rFonts w:cs="Times New Roman"/>
              </w:rPr>
              <w:t xml:space="preserve">56 </w:t>
            </w:r>
          </w:p>
        </w:tc>
        <w:tc>
          <w:tcPr>
            <w:tcW w:w="1013" w:type="dxa"/>
            <w:gridSpan w:val="2"/>
            <w:tcBorders>
              <w:top w:val="single" w:sz="4" w:space="0" w:color="0D0D0D" w:themeColor="text1" w:themeTint="F2"/>
              <w:bottom w:val="single" w:sz="4" w:space="0" w:color="0D0D0D" w:themeColor="text1" w:themeTint="F2"/>
            </w:tcBorders>
            <w:vAlign w:val="center"/>
            <w:hideMark/>
          </w:tcPr>
          <w:p w14:paraId="7A90971E" w14:textId="77777777" w:rsidR="00C57C9F" w:rsidRDefault="00C57C9F" w:rsidP="006F421D">
            <w:pPr>
              <w:pStyle w:val="3fins-table-figures"/>
              <w:jc w:val="right"/>
              <w:rPr>
                <w:rFonts w:cs="Times New Roman"/>
              </w:rPr>
            </w:pPr>
            <w:r>
              <w:rPr>
                <w:rFonts w:cs="Times New Roman"/>
              </w:rPr>
              <w:t xml:space="preserve">199 </w:t>
            </w:r>
          </w:p>
        </w:tc>
      </w:tr>
      <w:tr w:rsidR="00C57C9F" w14:paraId="0659E3B6" w14:textId="77777777" w:rsidTr="00161EA4">
        <w:trPr>
          <w:gridBefore w:val="1"/>
          <w:divId w:val="1139883726"/>
          <w:wBefore w:w="17" w:type="dxa"/>
        </w:trPr>
        <w:tc>
          <w:tcPr>
            <w:tcW w:w="7825" w:type="dxa"/>
            <w:tcBorders>
              <w:top w:val="single" w:sz="4" w:space="0" w:color="0D0D0D" w:themeColor="text1" w:themeTint="F2"/>
            </w:tcBorders>
            <w:vAlign w:val="center"/>
            <w:hideMark/>
          </w:tcPr>
          <w:p w14:paraId="2C0297E2" w14:textId="77777777" w:rsidR="00C57C9F" w:rsidRDefault="00C57C9F">
            <w:pPr>
              <w:rPr>
                <w:rFonts w:eastAsia="Times New Roman" w:cs="Times New Roman"/>
              </w:rPr>
            </w:pPr>
          </w:p>
        </w:tc>
        <w:tc>
          <w:tcPr>
            <w:tcW w:w="1417" w:type="dxa"/>
            <w:tcBorders>
              <w:top w:val="single" w:sz="4" w:space="0" w:color="0D0D0D" w:themeColor="text1" w:themeTint="F2"/>
            </w:tcBorders>
            <w:vAlign w:val="center"/>
            <w:hideMark/>
          </w:tcPr>
          <w:p w14:paraId="7A897F62" w14:textId="77777777" w:rsidR="00C57C9F" w:rsidRDefault="00C57C9F" w:rsidP="006F421D">
            <w:pPr>
              <w:jc w:val="right"/>
              <w:rPr>
                <w:rFonts w:eastAsia="Times New Roman" w:cs="Times New Roman"/>
              </w:rPr>
            </w:pPr>
          </w:p>
        </w:tc>
        <w:tc>
          <w:tcPr>
            <w:tcW w:w="1013" w:type="dxa"/>
            <w:gridSpan w:val="2"/>
            <w:tcBorders>
              <w:top w:val="single" w:sz="4" w:space="0" w:color="0D0D0D" w:themeColor="text1" w:themeTint="F2"/>
            </w:tcBorders>
            <w:vAlign w:val="center"/>
            <w:hideMark/>
          </w:tcPr>
          <w:p w14:paraId="07E8BAFB" w14:textId="77777777" w:rsidR="00C57C9F" w:rsidRDefault="00C57C9F" w:rsidP="006F421D">
            <w:pPr>
              <w:jc w:val="right"/>
              <w:rPr>
                <w:rFonts w:eastAsia="Times New Roman" w:cs="Times New Roman"/>
              </w:rPr>
            </w:pPr>
          </w:p>
        </w:tc>
      </w:tr>
      <w:tr w:rsidR="00C57C9F" w14:paraId="585420D6" w14:textId="77777777" w:rsidTr="00161EA4">
        <w:trPr>
          <w:gridBefore w:val="1"/>
          <w:divId w:val="1139883726"/>
          <w:wBefore w:w="17" w:type="dxa"/>
        </w:trPr>
        <w:tc>
          <w:tcPr>
            <w:tcW w:w="7825" w:type="dxa"/>
            <w:vAlign w:val="center"/>
            <w:hideMark/>
          </w:tcPr>
          <w:p w14:paraId="41817D42" w14:textId="77777777" w:rsidR="00C57C9F" w:rsidRDefault="00C57C9F">
            <w:pPr>
              <w:pStyle w:val="3fins-table"/>
              <w:rPr>
                <w:rFonts w:cs="Times New Roman"/>
              </w:rPr>
            </w:pPr>
            <w:r>
              <w:rPr>
                <w:rStyle w:val="fins-bold"/>
                <w:rFonts w:cs="Times New Roman"/>
              </w:rPr>
              <w:t>Net book value as of 30 June represented by:</w:t>
            </w:r>
          </w:p>
        </w:tc>
        <w:tc>
          <w:tcPr>
            <w:tcW w:w="1417" w:type="dxa"/>
            <w:vAlign w:val="center"/>
            <w:hideMark/>
          </w:tcPr>
          <w:p w14:paraId="1FAF1309" w14:textId="77777777" w:rsidR="00C57C9F" w:rsidRDefault="00C57C9F" w:rsidP="006F421D">
            <w:pPr>
              <w:jc w:val="right"/>
              <w:rPr>
                <w:rFonts w:eastAsia="Times New Roman" w:cs="Times New Roman"/>
              </w:rPr>
            </w:pPr>
          </w:p>
        </w:tc>
        <w:tc>
          <w:tcPr>
            <w:tcW w:w="1013" w:type="dxa"/>
            <w:gridSpan w:val="2"/>
            <w:vAlign w:val="center"/>
            <w:hideMark/>
          </w:tcPr>
          <w:p w14:paraId="1A7A13BE" w14:textId="77777777" w:rsidR="00C57C9F" w:rsidRDefault="00C57C9F" w:rsidP="006F421D">
            <w:pPr>
              <w:jc w:val="right"/>
              <w:rPr>
                <w:rFonts w:eastAsia="Times New Roman" w:cs="Times New Roman"/>
              </w:rPr>
            </w:pPr>
          </w:p>
        </w:tc>
      </w:tr>
      <w:tr w:rsidR="00C57C9F" w14:paraId="5CA67A07" w14:textId="77777777" w:rsidTr="00161EA4">
        <w:trPr>
          <w:gridBefore w:val="1"/>
          <w:divId w:val="1139883726"/>
          <w:wBefore w:w="17" w:type="dxa"/>
        </w:trPr>
        <w:tc>
          <w:tcPr>
            <w:tcW w:w="7825" w:type="dxa"/>
            <w:vAlign w:val="center"/>
            <w:hideMark/>
          </w:tcPr>
          <w:p w14:paraId="2E7C9027" w14:textId="77777777" w:rsidR="00C57C9F" w:rsidRDefault="00C57C9F">
            <w:pPr>
              <w:pStyle w:val="3fins-table"/>
              <w:rPr>
                <w:rFonts w:cs="Times New Roman"/>
              </w:rPr>
            </w:pPr>
            <w:r>
              <w:rPr>
                <w:rFonts w:cs="Times New Roman"/>
              </w:rPr>
              <w:t>Gross book value</w:t>
            </w:r>
          </w:p>
        </w:tc>
        <w:tc>
          <w:tcPr>
            <w:tcW w:w="1417" w:type="dxa"/>
            <w:vAlign w:val="center"/>
            <w:hideMark/>
          </w:tcPr>
          <w:p w14:paraId="7BB2FCE9" w14:textId="77777777" w:rsidR="00C57C9F" w:rsidRDefault="00C57C9F" w:rsidP="006F421D">
            <w:pPr>
              <w:pStyle w:val="3fins-table-figures"/>
              <w:jc w:val="right"/>
              <w:rPr>
                <w:rFonts w:cs="Times New Roman"/>
              </w:rPr>
            </w:pPr>
            <w:r>
              <w:rPr>
                <w:rStyle w:val="fins-bold"/>
                <w:rFonts w:cs="Times New Roman"/>
              </w:rPr>
              <w:t xml:space="preserve">384 </w:t>
            </w:r>
          </w:p>
        </w:tc>
        <w:tc>
          <w:tcPr>
            <w:tcW w:w="1013" w:type="dxa"/>
            <w:gridSpan w:val="2"/>
            <w:vAlign w:val="center"/>
            <w:hideMark/>
          </w:tcPr>
          <w:p w14:paraId="1C9D6132" w14:textId="77777777" w:rsidR="00C57C9F" w:rsidRDefault="00C57C9F" w:rsidP="006F421D">
            <w:pPr>
              <w:pStyle w:val="3fins-table-figures"/>
              <w:jc w:val="right"/>
              <w:rPr>
                <w:rFonts w:cs="Times New Roman"/>
              </w:rPr>
            </w:pPr>
            <w:r>
              <w:rPr>
                <w:rFonts w:cs="Times New Roman"/>
              </w:rPr>
              <w:t xml:space="preserve">384 </w:t>
            </w:r>
          </w:p>
        </w:tc>
      </w:tr>
      <w:tr w:rsidR="00C57C9F" w14:paraId="30BB5E8C" w14:textId="77777777" w:rsidTr="00161EA4">
        <w:trPr>
          <w:gridBefore w:val="1"/>
          <w:divId w:val="1139883726"/>
          <w:wBefore w:w="17" w:type="dxa"/>
        </w:trPr>
        <w:tc>
          <w:tcPr>
            <w:tcW w:w="7825" w:type="dxa"/>
            <w:vAlign w:val="center"/>
            <w:hideMark/>
          </w:tcPr>
          <w:p w14:paraId="79A44797" w14:textId="77777777" w:rsidR="00C57C9F" w:rsidRDefault="00C57C9F">
            <w:pPr>
              <w:pStyle w:val="3fins-table"/>
              <w:rPr>
                <w:rFonts w:cs="Times New Roman"/>
              </w:rPr>
            </w:pPr>
            <w:r>
              <w:rPr>
                <w:rFonts w:cs="Times New Roman"/>
              </w:rPr>
              <w:t>Accumulated depreciation and impairment</w:t>
            </w:r>
          </w:p>
        </w:tc>
        <w:tc>
          <w:tcPr>
            <w:tcW w:w="1417" w:type="dxa"/>
            <w:tcBorders>
              <w:bottom w:val="single" w:sz="4" w:space="0" w:color="0D0D0D" w:themeColor="text1" w:themeTint="F2"/>
            </w:tcBorders>
            <w:vAlign w:val="center"/>
            <w:hideMark/>
          </w:tcPr>
          <w:p w14:paraId="2E5B5F06" w14:textId="77777777" w:rsidR="00C57C9F" w:rsidRDefault="00C57C9F" w:rsidP="006F421D">
            <w:pPr>
              <w:pStyle w:val="3fins-table-figures"/>
              <w:jc w:val="right"/>
              <w:rPr>
                <w:rFonts w:cs="Times New Roman"/>
              </w:rPr>
            </w:pPr>
            <w:r>
              <w:rPr>
                <w:rStyle w:val="fins-bold"/>
                <w:rFonts w:cs="Times New Roman"/>
              </w:rPr>
              <w:t xml:space="preserve">(328) </w:t>
            </w:r>
          </w:p>
        </w:tc>
        <w:tc>
          <w:tcPr>
            <w:tcW w:w="1013" w:type="dxa"/>
            <w:gridSpan w:val="2"/>
            <w:tcBorders>
              <w:bottom w:val="single" w:sz="4" w:space="0" w:color="0D0D0D" w:themeColor="text1" w:themeTint="F2"/>
            </w:tcBorders>
            <w:vAlign w:val="center"/>
            <w:hideMark/>
          </w:tcPr>
          <w:p w14:paraId="025923B4" w14:textId="77777777" w:rsidR="00C57C9F" w:rsidRDefault="00C57C9F" w:rsidP="006F421D">
            <w:pPr>
              <w:pStyle w:val="3fins-table-figures"/>
              <w:jc w:val="right"/>
              <w:rPr>
                <w:rFonts w:cs="Times New Roman"/>
              </w:rPr>
            </w:pPr>
            <w:r>
              <w:rPr>
                <w:rFonts w:cs="Times New Roman"/>
              </w:rPr>
              <w:t>(185)</w:t>
            </w:r>
          </w:p>
        </w:tc>
      </w:tr>
      <w:tr w:rsidR="00C57C9F" w14:paraId="71146A2C" w14:textId="77777777" w:rsidTr="00161EA4">
        <w:trPr>
          <w:gridBefore w:val="1"/>
          <w:divId w:val="1139883726"/>
          <w:wBefore w:w="17" w:type="dxa"/>
        </w:trPr>
        <w:tc>
          <w:tcPr>
            <w:tcW w:w="7825" w:type="dxa"/>
            <w:vAlign w:val="center"/>
            <w:hideMark/>
          </w:tcPr>
          <w:p w14:paraId="1F26F682" w14:textId="77777777" w:rsidR="00C57C9F" w:rsidRDefault="00C57C9F">
            <w:pPr>
              <w:rPr>
                <w:rFonts w:eastAsia="Times New Roman" w:cs="Times New Roman"/>
              </w:rPr>
            </w:pPr>
          </w:p>
        </w:tc>
        <w:tc>
          <w:tcPr>
            <w:tcW w:w="1417" w:type="dxa"/>
            <w:tcBorders>
              <w:top w:val="single" w:sz="4" w:space="0" w:color="0D0D0D" w:themeColor="text1" w:themeTint="F2"/>
              <w:bottom w:val="single" w:sz="4" w:space="0" w:color="0D0D0D" w:themeColor="text1" w:themeTint="F2"/>
            </w:tcBorders>
            <w:vAlign w:val="center"/>
            <w:hideMark/>
          </w:tcPr>
          <w:p w14:paraId="34CB94F2" w14:textId="77777777" w:rsidR="00C57C9F" w:rsidRDefault="00C57C9F" w:rsidP="006F421D">
            <w:pPr>
              <w:pStyle w:val="3fins-table-figures"/>
              <w:jc w:val="right"/>
              <w:rPr>
                <w:rFonts w:cs="Times New Roman"/>
              </w:rPr>
            </w:pPr>
            <w:r>
              <w:rPr>
                <w:rStyle w:val="fins-bold"/>
                <w:rFonts w:cs="Times New Roman"/>
              </w:rPr>
              <w:t xml:space="preserve">56 </w:t>
            </w:r>
          </w:p>
        </w:tc>
        <w:tc>
          <w:tcPr>
            <w:tcW w:w="1013" w:type="dxa"/>
            <w:gridSpan w:val="2"/>
            <w:tcBorders>
              <w:top w:val="single" w:sz="4" w:space="0" w:color="0D0D0D" w:themeColor="text1" w:themeTint="F2"/>
              <w:bottom w:val="single" w:sz="4" w:space="0" w:color="0D0D0D" w:themeColor="text1" w:themeTint="F2"/>
            </w:tcBorders>
            <w:vAlign w:val="center"/>
            <w:hideMark/>
          </w:tcPr>
          <w:p w14:paraId="011DD8D7" w14:textId="77777777" w:rsidR="00C57C9F" w:rsidRDefault="00C57C9F" w:rsidP="006F421D">
            <w:pPr>
              <w:pStyle w:val="3fins-table-figures"/>
              <w:jc w:val="right"/>
              <w:rPr>
                <w:rFonts w:cs="Times New Roman"/>
              </w:rPr>
            </w:pPr>
            <w:r>
              <w:rPr>
                <w:rFonts w:cs="Times New Roman"/>
              </w:rPr>
              <w:t xml:space="preserve">199 </w:t>
            </w:r>
          </w:p>
        </w:tc>
      </w:tr>
      <w:tr w:rsidR="00C57C9F" w14:paraId="6DBF0473"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78D049F9" w14:textId="77777777" w:rsidR="00C57C9F" w:rsidRDefault="00C57C9F" w:rsidP="006F421D">
            <w:pPr>
              <w:spacing w:before="40" w:after="40"/>
              <w:rPr>
                <w:rFonts w:eastAsia="Times New Roman" w:cs="Times New Roman"/>
              </w:rPr>
            </w:pPr>
          </w:p>
        </w:tc>
        <w:tc>
          <w:tcPr>
            <w:tcW w:w="1417" w:type="dxa"/>
            <w:vAlign w:val="center"/>
            <w:hideMark/>
          </w:tcPr>
          <w:p w14:paraId="69B2D0F0"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2014</w:t>
            </w:r>
          </w:p>
        </w:tc>
        <w:tc>
          <w:tcPr>
            <w:tcW w:w="992" w:type="dxa"/>
            <w:vAlign w:val="center"/>
            <w:hideMark/>
          </w:tcPr>
          <w:p w14:paraId="0C066E38" w14:textId="77777777" w:rsidR="00C57C9F" w:rsidRDefault="00C57C9F" w:rsidP="006F421D">
            <w:pPr>
              <w:pStyle w:val="3fins-table-figures"/>
              <w:spacing w:before="40" w:beforeAutospacing="0" w:after="40" w:afterAutospacing="0"/>
              <w:jc w:val="right"/>
              <w:rPr>
                <w:rFonts w:cs="Times New Roman"/>
              </w:rPr>
            </w:pPr>
            <w:r>
              <w:rPr>
                <w:rFonts w:cs="Times New Roman"/>
              </w:rPr>
              <w:t>2013</w:t>
            </w:r>
          </w:p>
        </w:tc>
      </w:tr>
      <w:tr w:rsidR="00C57C9F" w14:paraId="1CDB55E9"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541AB320" w14:textId="77777777" w:rsidR="00C57C9F" w:rsidRDefault="00C57C9F" w:rsidP="006F421D">
            <w:pPr>
              <w:spacing w:before="40" w:after="40"/>
              <w:rPr>
                <w:rFonts w:eastAsia="Times New Roman" w:cs="Times New Roman"/>
              </w:rPr>
            </w:pPr>
          </w:p>
        </w:tc>
        <w:tc>
          <w:tcPr>
            <w:tcW w:w="1417" w:type="dxa"/>
            <w:vAlign w:val="center"/>
            <w:hideMark/>
          </w:tcPr>
          <w:p w14:paraId="1F56BC80"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$’000</w:t>
            </w:r>
          </w:p>
        </w:tc>
        <w:tc>
          <w:tcPr>
            <w:tcW w:w="992" w:type="dxa"/>
            <w:vAlign w:val="center"/>
            <w:hideMark/>
          </w:tcPr>
          <w:p w14:paraId="5D8A473A" w14:textId="77777777" w:rsidR="00C57C9F" w:rsidRDefault="00C57C9F" w:rsidP="006F421D">
            <w:pPr>
              <w:pStyle w:val="3fins-table-figures"/>
              <w:spacing w:before="40" w:beforeAutospacing="0" w:after="40" w:afterAutospacing="0"/>
              <w:jc w:val="right"/>
              <w:rPr>
                <w:rFonts w:cs="Times New Roman"/>
              </w:rPr>
            </w:pPr>
            <w:r>
              <w:rPr>
                <w:rFonts w:cs="Times New Roman"/>
              </w:rPr>
              <w:t>$’000</w:t>
            </w:r>
          </w:p>
        </w:tc>
      </w:tr>
      <w:tr w:rsidR="00C57C9F" w14:paraId="789630EB"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257B9D51" w14:textId="77777777" w:rsidR="00C57C9F" w:rsidRDefault="00C57C9F" w:rsidP="006F421D">
            <w:pPr>
              <w:pStyle w:val="1heading-3"/>
              <w:spacing w:before="40" w:after="40"/>
              <w:rPr>
                <w:rFonts w:cs="Times New Roman"/>
              </w:rPr>
            </w:pPr>
            <w:r>
              <w:rPr>
                <w:rFonts w:cs="Times New Roman"/>
              </w:rPr>
              <w:t>Note 7C: Other Non-Financial Assets</w:t>
            </w:r>
          </w:p>
        </w:tc>
        <w:tc>
          <w:tcPr>
            <w:tcW w:w="1417" w:type="dxa"/>
            <w:vAlign w:val="center"/>
            <w:hideMark/>
          </w:tcPr>
          <w:p w14:paraId="124F05D1" w14:textId="77777777" w:rsidR="00C57C9F" w:rsidRDefault="00C57C9F" w:rsidP="006F421D">
            <w:pPr>
              <w:spacing w:before="40" w:after="40"/>
              <w:jc w:val="right"/>
              <w:rPr>
                <w:rFonts w:eastAsia="Times New Roman" w:cs="Times New Roman"/>
              </w:rPr>
            </w:pPr>
          </w:p>
        </w:tc>
        <w:tc>
          <w:tcPr>
            <w:tcW w:w="992" w:type="dxa"/>
            <w:vAlign w:val="center"/>
            <w:hideMark/>
          </w:tcPr>
          <w:p w14:paraId="7C9EF126" w14:textId="77777777" w:rsidR="00C57C9F" w:rsidRDefault="00C57C9F" w:rsidP="006F421D">
            <w:pPr>
              <w:spacing w:before="40" w:after="40"/>
              <w:jc w:val="right"/>
              <w:rPr>
                <w:rFonts w:eastAsia="Times New Roman" w:cs="Times New Roman"/>
              </w:rPr>
            </w:pPr>
          </w:p>
        </w:tc>
      </w:tr>
      <w:tr w:rsidR="00C57C9F" w14:paraId="2B0C1E0E"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34DF99CA" w14:textId="77777777" w:rsidR="00C57C9F" w:rsidRDefault="00C57C9F" w:rsidP="006F421D">
            <w:pPr>
              <w:pStyle w:val="3fins-table"/>
              <w:ind w:left="567"/>
              <w:rPr>
                <w:rFonts w:cs="Times New Roman"/>
              </w:rPr>
            </w:pPr>
            <w:r>
              <w:rPr>
                <w:rFonts w:cs="Times New Roman"/>
              </w:rPr>
              <w:t>Prepayments</w:t>
            </w:r>
          </w:p>
        </w:tc>
        <w:tc>
          <w:tcPr>
            <w:tcW w:w="1417" w:type="dxa"/>
            <w:vAlign w:val="center"/>
            <w:hideMark/>
          </w:tcPr>
          <w:p w14:paraId="011B9BF3"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155 </w:t>
            </w:r>
          </w:p>
        </w:tc>
        <w:tc>
          <w:tcPr>
            <w:tcW w:w="992" w:type="dxa"/>
            <w:vAlign w:val="center"/>
            <w:hideMark/>
          </w:tcPr>
          <w:p w14:paraId="1B3A6A48" w14:textId="77777777" w:rsidR="00C57C9F" w:rsidRDefault="00C57C9F" w:rsidP="006F421D">
            <w:pPr>
              <w:pStyle w:val="3fins-table-figures"/>
              <w:spacing w:before="40" w:beforeAutospacing="0" w:after="40" w:afterAutospacing="0"/>
              <w:jc w:val="right"/>
              <w:rPr>
                <w:rFonts w:cs="Times New Roman"/>
              </w:rPr>
            </w:pPr>
            <w:r>
              <w:rPr>
                <w:rFonts w:cs="Times New Roman"/>
              </w:rPr>
              <w:t xml:space="preserve">57 </w:t>
            </w:r>
          </w:p>
        </w:tc>
      </w:tr>
      <w:tr w:rsidR="00C57C9F" w14:paraId="4B91D6DB"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0AE9D286" w14:textId="77777777" w:rsidR="00C57C9F" w:rsidRDefault="00C57C9F" w:rsidP="006F421D">
            <w:pPr>
              <w:pStyle w:val="3fins-table"/>
              <w:rPr>
                <w:rFonts w:cs="Times New Roman"/>
              </w:rPr>
            </w:pPr>
            <w:r>
              <w:rPr>
                <w:rStyle w:val="fins-bold"/>
                <w:rFonts w:cs="Times New Roman"/>
              </w:rPr>
              <w:t>Total other non-financial assets</w:t>
            </w:r>
          </w:p>
        </w:tc>
        <w:tc>
          <w:tcPr>
            <w:tcW w:w="1417" w:type="dxa"/>
            <w:tcBorders>
              <w:top w:val="single" w:sz="4" w:space="0" w:color="0D0D0D" w:themeColor="text1" w:themeTint="F2"/>
              <w:bottom w:val="single" w:sz="4" w:space="0" w:color="0D0D0D" w:themeColor="text1" w:themeTint="F2"/>
            </w:tcBorders>
            <w:vAlign w:val="center"/>
            <w:hideMark/>
          </w:tcPr>
          <w:p w14:paraId="473E08D4"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155 </w:t>
            </w:r>
          </w:p>
        </w:tc>
        <w:tc>
          <w:tcPr>
            <w:tcW w:w="992" w:type="dxa"/>
            <w:tcBorders>
              <w:top w:val="single" w:sz="4" w:space="0" w:color="0D0D0D" w:themeColor="text1" w:themeTint="F2"/>
              <w:bottom w:val="single" w:sz="4" w:space="0" w:color="0D0D0D" w:themeColor="text1" w:themeTint="F2"/>
            </w:tcBorders>
            <w:vAlign w:val="center"/>
            <w:hideMark/>
          </w:tcPr>
          <w:p w14:paraId="31E57A4E" w14:textId="77777777" w:rsidR="00C57C9F" w:rsidRDefault="00C57C9F" w:rsidP="006F421D">
            <w:pPr>
              <w:pStyle w:val="3fins-table-figures"/>
              <w:spacing w:before="40" w:beforeAutospacing="0" w:after="40" w:afterAutospacing="0"/>
              <w:jc w:val="right"/>
              <w:rPr>
                <w:rFonts w:cs="Times New Roman"/>
              </w:rPr>
            </w:pPr>
            <w:r>
              <w:rPr>
                <w:rFonts w:cs="Times New Roman"/>
              </w:rPr>
              <w:t xml:space="preserve">57 </w:t>
            </w:r>
          </w:p>
        </w:tc>
      </w:tr>
      <w:tr w:rsidR="00C57C9F" w14:paraId="7F836F4F"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34EC6534" w14:textId="77777777" w:rsidR="00C57C9F" w:rsidRDefault="00C57C9F" w:rsidP="006F421D">
            <w:pPr>
              <w:spacing w:before="40" w:after="40"/>
              <w:rPr>
                <w:rFonts w:eastAsia="Times New Roman" w:cs="Times New Roman"/>
              </w:rPr>
            </w:pPr>
          </w:p>
        </w:tc>
        <w:tc>
          <w:tcPr>
            <w:tcW w:w="1417" w:type="dxa"/>
            <w:vAlign w:val="center"/>
            <w:hideMark/>
          </w:tcPr>
          <w:p w14:paraId="6BF346F7" w14:textId="77777777" w:rsidR="00C57C9F" w:rsidRDefault="00C57C9F" w:rsidP="006F421D">
            <w:pPr>
              <w:spacing w:before="40" w:after="40"/>
              <w:jc w:val="right"/>
              <w:rPr>
                <w:rFonts w:eastAsia="Times New Roman" w:cs="Times New Roman"/>
              </w:rPr>
            </w:pPr>
          </w:p>
        </w:tc>
        <w:tc>
          <w:tcPr>
            <w:tcW w:w="992" w:type="dxa"/>
            <w:vAlign w:val="center"/>
            <w:hideMark/>
          </w:tcPr>
          <w:p w14:paraId="6EF67215" w14:textId="77777777" w:rsidR="00C57C9F" w:rsidRDefault="00C57C9F" w:rsidP="006F421D">
            <w:pPr>
              <w:spacing w:before="40" w:after="40"/>
              <w:jc w:val="right"/>
              <w:rPr>
                <w:rFonts w:eastAsia="Times New Roman" w:cs="Times New Roman"/>
              </w:rPr>
            </w:pPr>
          </w:p>
        </w:tc>
      </w:tr>
      <w:tr w:rsidR="00C57C9F" w14:paraId="3BA3EA6A"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70522840" w14:textId="77777777" w:rsidR="00C57C9F" w:rsidRDefault="00C57C9F" w:rsidP="006F421D">
            <w:pPr>
              <w:pStyle w:val="3fins-table"/>
              <w:rPr>
                <w:rFonts w:cs="Times New Roman"/>
              </w:rPr>
            </w:pPr>
            <w:r>
              <w:rPr>
                <w:rStyle w:val="fins-bold"/>
                <w:rFonts w:cs="Times New Roman"/>
              </w:rPr>
              <w:t>Total other non-financial assets - are expected to be recovered in:</w:t>
            </w:r>
          </w:p>
        </w:tc>
        <w:tc>
          <w:tcPr>
            <w:tcW w:w="1417" w:type="dxa"/>
            <w:vAlign w:val="center"/>
            <w:hideMark/>
          </w:tcPr>
          <w:p w14:paraId="1ADF1783" w14:textId="77777777" w:rsidR="00C57C9F" w:rsidRDefault="00C57C9F" w:rsidP="006F421D">
            <w:pPr>
              <w:spacing w:before="40" w:after="40"/>
              <w:jc w:val="right"/>
              <w:rPr>
                <w:rFonts w:eastAsia="Times New Roman" w:cs="Times New Roman"/>
              </w:rPr>
            </w:pPr>
          </w:p>
        </w:tc>
        <w:tc>
          <w:tcPr>
            <w:tcW w:w="992" w:type="dxa"/>
            <w:vAlign w:val="center"/>
            <w:hideMark/>
          </w:tcPr>
          <w:p w14:paraId="7B95C498" w14:textId="77777777" w:rsidR="00C57C9F" w:rsidRDefault="00C57C9F" w:rsidP="006F421D">
            <w:pPr>
              <w:spacing w:before="40" w:after="40"/>
              <w:jc w:val="right"/>
              <w:rPr>
                <w:rFonts w:eastAsia="Times New Roman" w:cs="Times New Roman"/>
              </w:rPr>
            </w:pPr>
          </w:p>
        </w:tc>
      </w:tr>
      <w:tr w:rsidR="00C57C9F" w14:paraId="2E3E0D1C"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1A64AD44" w14:textId="77777777" w:rsidR="00C57C9F" w:rsidRDefault="00C57C9F" w:rsidP="006F421D">
            <w:pPr>
              <w:pStyle w:val="3fins-table"/>
              <w:ind w:left="567"/>
              <w:rPr>
                <w:rFonts w:cs="Times New Roman"/>
              </w:rPr>
            </w:pPr>
            <w:r>
              <w:rPr>
                <w:rFonts w:cs="Times New Roman"/>
              </w:rPr>
              <w:t>No more than 12 months</w:t>
            </w:r>
          </w:p>
        </w:tc>
        <w:tc>
          <w:tcPr>
            <w:tcW w:w="1417" w:type="dxa"/>
            <w:vAlign w:val="center"/>
            <w:hideMark/>
          </w:tcPr>
          <w:p w14:paraId="2357CB7E"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155 </w:t>
            </w:r>
          </w:p>
        </w:tc>
        <w:tc>
          <w:tcPr>
            <w:tcW w:w="992" w:type="dxa"/>
            <w:vAlign w:val="center"/>
            <w:hideMark/>
          </w:tcPr>
          <w:p w14:paraId="7A2666AE" w14:textId="77777777" w:rsidR="00C57C9F" w:rsidRDefault="00C57C9F" w:rsidP="006F421D">
            <w:pPr>
              <w:pStyle w:val="3fins-table-figures"/>
              <w:spacing w:before="40" w:beforeAutospacing="0" w:after="40" w:afterAutospacing="0"/>
              <w:jc w:val="right"/>
              <w:rPr>
                <w:rFonts w:cs="Times New Roman"/>
              </w:rPr>
            </w:pPr>
            <w:r>
              <w:rPr>
                <w:rFonts w:cs="Times New Roman"/>
              </w:rPr>
              <w:t xml:space="preserve">57 </w:t>
            </w:r>
          </w:p>
        </w:tc>
      </w:tr>
      <w:tr w:rsidR="00C57C9F" w14:paraId="2E7B3F3E"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1D89B43B" w14:textId="77777777" w:rsidR="00C57C9F" w:rsidRDefault="00C57C9F" w:rsidP="006F421D">
            <w:pPr>
              <w:pStyle w:val="3fins-table"/>
              <w:rPr>
                <w:rFonts w:cs="Times New Roman"/>
              </w:rPr>
            </w:pPr>
            <w:r>
              <w:rPr>
                <w:rStyle w:val="fins-bold"/>
                <w:rFonts w:cs="Times New Roman"/>
              </w:rPr>
              <w:t>Total other non-financial assets</w:t>
            </w:r>
          </w:p>
        </w:tc>
        <w:tc>
          <w:tcPr>
            <w:tcW w:w="1417" w:type="dxa"/>
            <w:tcBorders>
              <w:top w:val="single" w:sz="4" w:space="0" w:color="0D0D0D" w:themeColor="text1" w:themeTint="F2"/>
              <w:bottom w:val="single" w:sz="4" w:space="0" w:color="0D0D0D" w:themeColor="text1" w:themeTint="F2"/>
            </w:tcBorders>
            <w:vAlign w:val="center"/>
            <w:hideMark/>
          </w:tcPr>
          <w:p w14:paraId="46D3F2BB" w14:textId="77777777" w:rsidR="00C57C9F" w:rsidRDefault="00C57C9F" w:rsidP="006F421D">
            <w:pPr>
              <w:pStyle w:val="3fins-table-figures"/>
              <w:spacing w:before="40" w:beforeAutospacing="0" w:after="40" w:afterAutospacing="0"/>
              <w:jc w:val="right"/>
              <w:rPr>
                <w:rFonts w:cs="Times New Roman"/>
              </w:rPr>
            </w:pPr>
            <w:r>
              <w:rPr>
                <w:rStyle w:val="fins-bold"/>
                <w:rFonts w:cs="Times New Roman"/>
              </w:rPr>
              <w:t xml:space="preserve">155 </w:t>
            </w:r>
          </w:p>
        </w:tc>
        <w:tc>
          <w:tcPr>
            <w:tcW w:w="992" w:type="dxa"/>
            <w:tcBorders>
              <w:top w:val="single" w:sz="4" w:space="0" w:color="0D0D0D" w:themeColor="text1" w:themeTint="F2"/>
              <w:bottom w:val="single" w:sz="4" w:space="0" w:color="0D0D0D" w:themeColor="text1" w:themeTint="F2"/>
            </w:tcBorders>
            <w:vAlign w:val="center"/>
            <w:hideMark/>
          </w:tcPr>
          <w:p w14:paraId="4C13CBB8" w14:textId="77777777" w:rsidR="00C57C9F" w:rsidRDefault="00C57C9F" w:rsidP="006F421D">
            <w:pPr>
              <w:pStyle w:val="3fins-table-figures"/>
              <w:spacing w:before="40" w:beforeAutospacing="0" w:after="40" w:afterAutospacing="0"/>
              <w:jc w:val="right"/>
              <w:rPr>
                <w:rFonts w:cs="Times New Roman"/>
              </w:rPr>
            </w:pPr>
            <w:r>
              <w:rPr>
                <w:rFonts w:cs="Times New Roman"/>
              </w:rPr>
              <w:t xml:space="preserve">57 </w:t>
            </w:r>
          </w:p>
        </w:tc>
      </w:tr>
      <w:tr w:rsidR="00C57C9F" w14:paraId="18D1F4E1"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4935E87E" w14:textId="77777777" w:rsidR="00C57C9F" w:rsidRDefault="00C57C9F">
            <w:pPr>
              <w:rPr>
                <w:rFonts w:eastAsia="Times New Roman" w:cs="Times New Roman"/>
              </w:rPr>
            </w:pPr>
          </w:p>
        </w:tc>
        <w:tc>
          <w:tcPr>
            <w:tcW w:w="1417" w:type="dxa"/>
            <w:vAlign w:val="center"/>
            <w:hideMark/>
          </w:tcPr>
          <w:p w14:paraId="342501BE" w14:textId="77777777" w:rsidR="00C57C9F" w:rsidRDefault="00C57C9F" w:rsidP="006F421D">
            <w:pPr>
              <w:jc w:val="right"/>
              <w:rPr>
                <w:rFonts w:eastAsia="Times New Roman" w:cs="Times New Roman"/>
              </w:rPr>
            </w:pPr>
          </w:p>
        </w:tc>
        <w:tc>
          <w:tcPr>
            <w:tcW w:w="992" w:type="dxa"/>
            <w:vAlign w:val="center"/>
            <w:hideMark/>
          </w:tcPr>
          <w:p w14:paraId="0AC092F2" w14:textId="77777777" w:rsidR="00C57C9F" w:rsidRDefault="00C57C9F" w:rsidP="006F421D">
            <w:pPr>
              <w:jc w:val="right"/>
              <w:rPr>
                <w:rFonts w:eastAsia="Times New Roman" w:cs="Times New Roman"/>
              </w:rPr>
            </w:pPr>
          </w:p>
        </w:tc>
      </w:tr>
      <w:tr w:rsidR="00C57C9F" w14:paraId="4DEA2ECA" w14:textId="77777777" w:rsidTr="00161EA4">
        <w:tblPrEx>
          <w:tblCellSpacing w:w="15" w:type="dxa"/>
          <w:tblCellMar>
            <w:top w:w="15" w:type="dxa"/>
            <w:left w:w="15" w:type="dxa"/>
            <w:bottom w:w="15" w:type="dxa"/>
            <w:right w:w="15" w:type="dxa"/>
          </w:tblCellMar>
        </w:tblPrEx>
        <w:trPr>
          <w:gridAfter w:val="1"/>
          <w:divId w:val="1139883726"/>
          <w:wAfter w:w="21" w:type="dxa"/>
          <w:tblCellSpacing w:w="15" w:type="dxa"/>
        </w:trPr>
        <w:tc>
          <w:tcPr>
            <w:tcW w:w="7842" w:type="dxa"/>
            <w:gridSpan w:val="2"/>
            <w:vAlign w:val="center"/>
            <w:hideMark/>
          </w:tcPr>
          <w:p w14:paraId="49AC2099" w14:textId="77777777" w:rsidR="00C57C9F" w:rsidRDefault="00C57C9F">
            <w:pPr>
              <w:pStyle w:val="3fins-table"/>
              <w:rPr>
                <w:rFonts w:cs="Times New Roman"/>
              </w:rPr>
            </w:pPr>
            <w:r>
              <w:rPr>
                <w:rFonts w:cs="Times New Roman"/>
              </w:rPr>
              <w:t>No indicators of impairment were found for other non-financial assets.</w:t>
            </w:r>
          </w:p>
        </w:tc>
        <w:tc>
          <w:tcPr>
            <w:tcW w:w="1417" w:type="dxa"/>
            <w:vAlign w:val="center"/>
            <w:hideMark/>
          </w:tcPr>
          <w:p w14:paraId="6B6B64A5" w14:textId="77777777" w:rsidR="00C57C9F" w:rsidRDefault="00C57C9F" w:rsidP="006F421D">
            <w:pPr>
              <w:jc w:val="right"/>
              <w:rPr>
                <w:rFonts w:eastAsia="Times New Roman" w:cs="Times New Roman"/>
              </w:rPr>
            </w:pPr>
          </w:p>
        </w:tc>
        <w:tc>
          <w:tcPr>
            <w:tcW w:w="992" w:type="dxa"/>
            <w:vAlign w:val="center"/>
            <w:hideMark/>
          </w:tcPr>
          <w:p w14:paraId="120110B2" w14:textId="77777777" w:rsidR="00C57C9F" w:rsidRDefault="00C57C9F" w:rsidP="006F421D">
            <w:pPr>
              <w:jc w:val="right"/>
              <w:rPr>
                <w:rFonts w:eastAsia="Times New Roman" w:cs="Times New Roman"/>
              </w:rPr>
            </w:pPr>
          </w:p>
        </w:tc>
      </w:tr>
    </w:tbl>
    <w:p w14:paraId="0108C44F" w14:textId="77777777" w:rsidR="00161EA4" w:rsidRDefault="00161EA4">
      <w:pPr>
        <w:pStyle w:val="1heading-2"/>
        <w:divId w:val="1139883726"/>
        <w:rPr>
          <w:rFonts w:cs="Times New Roman"/>
          <w:lang w:val="en-AU"/>
        </w:rPr>
      </w:pPr>
    </w:p>
    <w:p w14:paraId="1DAAA388" w14:textId="77777777" w:rsidR="00161EA4" w:rsidRDefault="00161EA4">
      <w:pPr>
        <w:spacing w:after="0"/>
        <w:rPr>
          <w:rFonts w:cs="Times New Roman"/>
          <w:b/>
          <w:sz w:val="28"/>
        </w:rPr>
      </w:pPr>
      <w:r>
        <w:rPr>
          <w:rFonts w:cs="Times New Roman"/>
        </w:rPr>
        <w:br w:type="page"/>
      </w:r>
    </w:p>
    <w:p w14:paraId="2C11E914" w14:textId="485FC8E4" w:rsidR="00C57C9F" w:rsidRDefault="00C57C9F">
      <w:pPr>
        <w:pStyle w:val="1heading-2"/>
        <w:divId w:val="1139883726"/>
        <w:rPr>
          <w:rFonts w:cs="Times New Roman"/>
          <w:lang w:val="en-AU"/>
        </w:rPr>
      </w:pPr>
      <w:r>
        <w:rPr>
          <w:rFonts w:cs="Times New Roman"/>
          <w:lang w:val="en-AU"/>
        </w:rPr>
        <w:lastRenderedPageBreak/>
        <w:t>Note 8: Payables</w:t>
      </w:r>
    </w:p>
    <w:tbl>
      <w:tblPr>
        <w:tblW w:w="0" w:type="auto"/>
        <w:tblCellMar>
          <w:top w:w="28" w:type="dxa"/>
          <w:left w:w="28" w:type="dxa"/>
          <w:bottom w:w="28" w:type="dxa"/>
          <w:right w:w="28" w:type="dxa"/>
        </w:tblCellMar>
        <w:tblLook w:val="04A0" w:firstRow="1" w:lastRow="0" w:firstColumn="1" w:lastColumn="0" w:noHBand="0" w:noVBand="1"/>
      </w:tblPr>
      <w:tblGrid>
        <w:gridCol w:w="7797"/>
        <w:gridCol w:w="1387"/>
        <w:gridCol w:w="947"/>
      </w:tblGrid>
      <w:tr w:rsidR="00C57C9F" w14:paraId="3FCC4218" w14:textId="77777777" w:rsidTr="006F421D">
        <w:trPr>
          <w:divId w:val="1139883726"/>
        </w:trPr>
        <w:tc>
          <w:tcPr>
            <w:tcW w:w="7797" w:type="dxa"/>
            <w:vAlign w:val="center"/>
            <w:hideMark/>
          </w:tcPr>
          <w:p w14:paraId="46277B1C" w14:textId="77777777" w:rsidR="00C57C9F" w:rsidRDefault="00C57C9F">
            <w:pPr>
              <w:rPr>
                <w:rFonts w:eastAsia="Times New Roman" w:cs="Times New Roman"/>
              </w:rPr>
            </w:pPr>
          </w:p>
        </w:tc>
        <w:tc>
          <w:tcPr>
            <w:tcW w:w="1387" w:type="dxa"/>
            <w:vAlign w:val="center"/>
            <w:hideMark/>
          </w:tcPr>
          <w:p w14:paraId="73AAA8A7" w14:textId="77777777" w:rsidR="00C57C9F" w:rsidRDefault="00C57C9F" w:rsidP="006F421D">
            <w:pPr>
              <w:pStyle w:val="3fins-table-figures"/>
              <w:jc w:val="right"/>
              <w:rPr>
                <w:rFonts w:cs="Times New Roman"/>
              </w:rPr>
            </w:pPr>
            <w:r>
              <w:rPr>
                <w:rStyle w:val="fins-bold"/>
                <w:rFonts w:cs="Times New Roman"/>
              </w:rPr>
              <w:t>2014</w:t>
            </w:r>
          </w:p>
        </w:tc>
        <w:tc>
          <w:tcPr>
            <w:tcW w:w="947" w:type="dxa"/>
            <w:vAlign w:val="center"/>
            <w:hideMark/>
          </w:tcPr>
          <w:p w14:paraId="7514F372" w14:textId="77777777" w:rsidR="00C57C9F" w:rsidRDefault="00C57C9F" w:rsidP="006F421D">
            <w:pPr>
              <w:pStyle w:val="3fins-table-figures"/>
              <w:jc w:val="right"/>
              <w:rPr>
                <w:rFonts w:cs="Times New Roman"/>
              </w:rPr>
            </w:pPr>
            <w:r>
              <w:rPr>
                <w:rFonts w:cs="Times New Roman"/>
              </w:rPr>
              <w:t>2013</w:t>
            </w:r>
          </w:p>
        </w:tc>
      </w:tr>
      <w:tr w:rsidR="00C57C9F" w14:paraId="7B11FD44" w14:textId="77777777" w:rsidTr="006F421D">
        <w:trPr>
          <w:divId w:val="1139883726"/>
        </w:trPr>
        <w:tc>
          <w:tcPr>
            <w:tcW w:w="7797" w:type="dxa"/>
            <w:vAlign w:val="center"/>
            <w:hideMark/>
          </w:tcPr>
          <w:p w14:paraId="1A1058EE" w14:textId="77777777" w:rsidR="00C57C9F" w:rsidRDefault="00C57C9F">
            <w:pPr>
              <w:rPr>
                <w:rFonts w:eastAsia="Times New Roman" w:cs="Times New Roman"/>
              </w:rPr>
            </w:pPr>
          </w:p>
        </w:tc>
        <w:tc>
          <w:tcPr>
            <w:tcW w:w="1387" w:type="dxa"/>
            <w:vAlign w:val="center"/>
            <w:hideMark/>
          </w:tcPr>
          <w:p w14:paraId="00305D82" w14:textId="77777777" w:rsidR="00C57C9F" w:rsidRDefault="00C57C9F" w:rsidP="006F421D">
            <w:pPr>
              <w:pStyle w:val="3fins-table-figures"/>
              <w:jc w:val="right"/>
              <w:rPr>
                <w:rFonts w:cs="Times New Roman"/>
              </w:rPr>
            </w:pPr>
            <w:r>
              <w:rPr>
                <w:rStyle w:val="fins-bold"/>
                <w:rFonts w:cs="Times New Roman"/>
              </w:rPr>
              <w:t>$’000</w:t>
            </w:r>
          </w:p>
        </w:tc>
        <w:tc>
          <w:tcPr>
            <w:tcW w:w="947" w:type="dxa"/>
            <w:vAlign w:val="center"/>
            <w:hideMark/>
          </w:tcPr>
          <w:p w14:paraId="5A7FFCCC" w14:textId="77777777" w:rsidR="00C57C9F" w:rsidRDefault="00C57C9F" w:rsidP="006F421D">
            <w:pPr>
              <w:pStyle w:val="3fins-table-figures"/>
              <w:jc w:val="right"/>
              <w:rPr>
                <w:rFonts w:cs="Times New Roman"/>
              </w:rPr>
            </w:pPr>
            <w:r>
              <w:rPr>
                <w:rFonts w:cs="Times New Roman"/>
              </w:rPr>
              <w:t>$’000</w:t>
            </w:r>
          </w:p>
        </w:tc>
      </w:tr>
      <w:tr w:rsidR="00C57C9F" w14:paraId="52C3ACFA" w14:textId="77777777" w:rsidTr="006F421D">
        <w:trPr>
          <w:divId w:val="1139883726"/>
        </w:trPr>
        <w:tc>
          <w:tcPr>
            <w:tcW w:w="7797" w:type="dxa"/>
            <w:vAlign w:val="center"/>
            <w:hideMark/>
          </w:tcPr>
          <w:p w14:paraId="7C2E1C26" w14:textId="77777777" w:rsidR="00C57C9F" w:rsidRDefault="00C57C9F">
            <w:pPr>
              <w:pStyle w:val="1heading-3"/>
              <w:rPr>
                <w:rFonts w:cs="Times New Roman"/>
              </w:rPr>
            </w:pPr>
            <w:r>
              <w:rPr>
                <w:rFonts w:cs="Times New Roman"/>
              </w:rPr>
              <w:t>Note 8A: Suppliers</w:t>
            </w:r>
          </w:p>
        </w:tc>
        <w:tc>
          <w:tcPr>
            <w:tcW w:w="1387" w:type="dxa"/>
            <w:vAlign w:val="center"/>
            <w:hideMark/>
          </w:tcPr>
          <w:p w14:paraId="0FFAE727" w14:textId="77777777" w:rsidR="00C57C9F" w:rsidRDefault="00C57C9F" w:rsidP="006F421D">
            <w:pPr>
              <w:jc w:val="right"/>
              <w:rPr>
                <w:rFonts w:eastAsia="Times New Roman" w:cs="Times New Roman"/>
              </w:rPr>
            </w:pPr>
          </w:p>
        </w:tc>
        <w:tc>
          <w:tcPr>
            <w:tcW w:w="947" w:type="dxa"/>
            <w:vAlign w:val="center"/>
            <w:hideMark/>
          </w:tcPr>
          <w:p w14:paraId="278274B3" w14:textId="77777777" w:rsidR="00C57C9F" w:rsidRDefault="00C57C9F" w:rsidP="006F421D">
            <w:pPr>
              <w:jc w:val="right"/>
              <w:rPr>
                <w:rFonts w:eastAsia="Times New Roman" w:cs="Times New Roman"/>
              </w:rPr>
            </w:pPr>
          </w:p>
        </w:tc>
      </w:tr>
      <w:tr w:rsidR="00C57C9F" w14:paraId="6F082C30" w14:textId="77777777" w:rsidTr="006F421D">
        <w:trPr>
          <w:divId w:val="1139883726"/>
        </w:trPr>
        <w:tc>
          <w:tcPr>
            <w:tcW w:w="7797" w:type="dxa"/>
            <w:vAlign w:val="center"/>
            <w:hideMark/>
          </w:tcPr>
          <w:p w14:paraId="37CFC445" w14:textId="77777777" w:rsidR="00C57C9F" w:rsidRDefault="00C57C9F">
            <w:pPr>
              <w:pStyle w:val="3fins-table"/>
              <w:rPr>
                <w:rFonts w:cs="Times New Roman"/>
              </w:rPr>
            </w:pPr>
            <w:r>
              <w:rPr>
                <w:rFonts w:cs="Times New Roman"/>
              </w:rPr>
              <w:t>Trade creditors and accruals</w:t>
            </w:r>
          </w:p>
        </w:tc>
        <w:tc>
          <w:tcPr>
            <w:tcW w:w="1387" w:type="dxa"/>
            <w:tcBorders>
              <w:bottom w:val="single" w:sz="4" w:space="0" w:color="0D0D0D" w:themeColor="text1" w:themeTint="F2"/>
            </w:tcBorders>
            <w:vAlign w:val="center"/>
            <w:hideMark/>
          </w:tcPr>
          <w:p w14:paraId="38A94F8D" w14:textId="77777777" w:rsidR="00C57C9F" w:rsidRDefault="00C57C9F" w:rsidP="006F421D">
            <w:pPr>
              <w:pStyle w:val="3fins-table-figures"/>
              <w:jc w:val="right"/>
              <w:rPr>
                <w:rFonts w:cs="Times New Roman"/>
              </w:rPr>
            </w:pPr>
            <w:r>
              <w:rPr>
                <w:rStyle w:val="fins-bold"/>
                <w:rFonts w:cs="Times New Roman"/>
              </w:rPr>
              <w:t xml:space="preserve">2,233 </w:t>
            </w:r>
          </w:p>
        </w:tc>
        <w:tc>
          <w:tcPr>
            <w:tcW w:w="947" w:type="dxa"/>
            <w:tcBorders>
              <w:bottom w:val="single" w:sz="4" w:space="0" w:color="0D0D0D" w:themeColor="text1" w:themeTint="F2"/>
            </w:tcBorders>
            <w:vAlign w:val="center"/>
            <w:hideMark/>
          </w:tcPr>
          <w:p w14:paraId="525DAECF" w14:textId="77777777" w:rsidR="00C57C9F" w:rsidRDefault="00C57C9F" w:rsidP="006F421D">
            <w:pPr>
              <w:pStyle w:val="3fins-table-figures"/>
              <w:jc w:val="right"/>
              <w:rPr>
                <w:rFonts w:cs="Times New Roman"/>
              </w:rPr>
            </w:pPr>
            <w:r>
              <w:rPr>
                <w:rFonts w:cs="Times New Roman"/>
              </w:rPr>
              <w:t xml:space="preserve">2,478 </w:t>
            </w:r>
          </w:p>
        </w:tc>
      </w:tr>
      <w:tr w:rsidR="00C57C9F" w14:paraId="0B0EE0ED" w14:textId="77777777" w:rsidTr="006F421D">
        <w:trPr>
          <w:divId w:val="1139883726"/>
        </w:trPr>
        <w:tc>
          <w:tcPr>
            <w:tcW w:w="7797" w:type="dxa"/>
            <w:vAlign w:val="center"/>
            <w:hideMark/>
          </w:tcPr>
          <w:p w14:paraId="27942A58" w14:textId="77777777" w:rsidR="00C57C9F" w:rsidRDefault="00C57C9F">
            <w:pPr>
              <w:pStyle w:val="3fins-table"/>
              <w:rPr>
                <w:rFonts w:cs="Times New Roman"/>
              </w:rPr>
            </w:pPr>
            <w:r>
              <w:rPr>
                <w:rStyle w:val="fins-bold"/>
                <w:rFonts w:cs="Times New Roman"/>
              </w:rPr>
              <w:t>Total supplier payables</w:t>
            </w:r>
          </w:p>
        </w:tc>
        <w:tc>
          <w:tcPr>
            <w:tcW w:w="1387" w:type="dxa"/>
            <w:tcBorders>
              <w:top w:val="single" w:sz="4" w:space="0" w:color="0D0D0D" w:themeColor="text1" w:themeTint="F2"/>
              <w:bottom w:val="single" w:sz="4" w:space="0" w:color="0D0D0D" w:themeColor="text1" w:themeTint="F2"/>
            </w:tcBorders>
            <w:vAlign w:val="center"/>
            <w:hideMark/>
          </w:tcPr>
          <w:p w14:paraId="7A294403" w14:textId="77777777" w:rsidR="00C57C9F" w:rsidRDefault="00C57C9F" w:rsidP="006F421D">
            <w:pPr>
              <w:pStyle w:val="3fins-table-figures"/>
              <w:jc w:val="right"/>
              <w:rPr>
                <w:rFonts w:cs="Times New Roman"/>
              </w:rPr>
            </w:pPr>
            <w:r>
              <w:rPr>
                <w:rStyle w:val="fins-bold"/>
                <w:rFonts w:cs="Times New Roman"/>
              </w:rPr>
              <w:t xml:space="preserve">2,233 </w:t>
            </w:r>
          </w:p>
        </w:tc>
        <w:tc>
          <w:tcPr>
            <w:tcW w:w="947" w:type="dxa"/>
            <w:tcBorders>
              <w:top w:val="single" w:sz="4" w:space="0" w:color="0D0D0D" w:themeColor="text1" w:themeTint="F2"/>
              <w:bottom w:val="single" w:sz="4" w:space="0" w:color="0D0D0D" w:themeColor="text1" w:themeTint="F2"/>
            </w:tcBorders>
            <w:vAlign w:val="center"/>
            <w:hideMark/>
          </w:tcPr>
          <w:p w14:paraId="1C232353" w14:textId="77777777" w:rsidR="00C57C9F" w:rsidRDefault="00C57C9F" w:rsidP="006F421D">
            <w:pPr>
              <w:pStyle w:val="3fins-table-figures"/>
              <w:jc w:val="right"/>
              <w:rPr>
                <w:rFonts w:cs="Times New Roman"/>
              </w:rPr>
            </w:pPr>
            <w:r>
              <w:rPr>
                <w:rFonts w:cs="Times New Roman"/>
              </w:rPr>
              <w:t xml:space="preserve">2,478 </w:t>
            </w:r>
          </w:p>
        </w:tc>
      </w:tr>
      <w:tr w:rsidR="00C57C9F" w14:paraId="0AD23E23" w14:textId="77777777" w:rsidTr="006F421D">
        <w:trPr>
          <w:divId w:val="1139883726"/>
        </w:trPr>
        <w:tc>
          <w:tcPr>
            <w:tcW w:w="7797" w:type="dxa"/>
            <w:vAlign w:val="center"/>
            <w:hideMark/>
          </w:tcPr>
          <w:p w14:paraId="54D7994C" w14:textId="77777777" w:rsidR="00C57C9F" w:rsidRDefault="00C57C9F">
            <w:pPr>
              <w:rPr>
                <w:rFonts w:eastAsia="Times New Roman" w:cs="Times New Roman"/>
              </w:rPr>
            </w:pPr>
          </w:p>
        </w:tc>
        <w:tc>
          <w:tcPr>
            <w:tcW w:w="1387" w:type="dxa"/>
            <w:tcBorders>
              <w:top w:val="single" w:sz="4" w:space="0" w:color="0D0D0D" w:themeColor="text1" w:themeTint="F2"/>
            </w:tcBorders>
            <w:vAlign w:val="center"/>
            <w:hideMark/>
          </w:tcPr>
          <w:p w14:paraId="6E20D119" w14:textId="77777777" w:rsidR="00C57C9F" w:rsidRDefault="00C57C9F" w:rsidP="006F421D">
            <w:pPr>
              <w:jc w:val="right"/>
              <w:rPr>
                <w:rFonts w:eastAsia="Times New Roman" w:cs="Times New Roman"/>
              </w:rPr>
            </w:pPr>
          </w:p>
        </w:tc>
        <w:tc>
          <w:tcPr>
            <w:tcW w:w="947" w:type="dxa"/>
            <w:tcBorders>
              <w:top w:val="single" w:sz="4" w:space="0" w:color="0D0D0D" w:themeColor="text1" w:themeTint="F2"/>
            </w:tcBorders>
            <w:vAlign w:val="center"/>
            <w:hideMark/>
          </w:tcPr>
          <w:p w14:paraId="7C0299C6" w14:textId="77777777" w:rsidR="00C57C9F" w:rsidRDefault="00C57C9F" w:rsidP="006F421D">
            <w:pPr>
              <w:jc w:val="right"/>
              <w:rPr>
                <w:rFonts w:eastAsia="Times New Roman" w:cs="Times New Roman"/>
              </w:rPr>
            </w:pPr>
          </w:p>
        </w:tc>
      </w:tr>
      <w:tr w:rsidR="00C57C9F" w14:paraId="6D9AD2E5" w14:textId="77777777" w:rsidTr="006F421D">
        <w:trPr>
          <w:divId w:val="1139883726"/>
        </w:trPr>
        <w:tc>
          <w:tcPr>
            <w:tcW w:w="7797" w:type="dxa"/>
            <w:vAlign w:val="center"/>
            <w:hideMark/>
          </w:tcPr>
          <w:p w14:paraId="3EA68C46" w14:textId="77777777" w:rsidR="00C57C9F" w:rsidRDefault="00C57C9F">
            <w:pPr>
              <w:pStyle w:val="3fins-table"/>
              <w:rPr>
                <w:rFonts w:cs="Times New Roman"/>
              </w:rPr>
            </w:pPr>
            <w:r>
              <w:rPr>
                <w:rStyle w:val="fins-bold"/>
                <w:rFonts w:cs="Times New Roman"/>
              </w:rPr>
              <w:t>Supplier payables expected to be settled within 12 months:</w:t>
            </w:r>
          </w:p>
        </w:tc>
        <w:tc>
          <w:tcPr>
            <w:tcW w:w="1387" w:type="dxa"/>
            <w:vAlign w:val="center"/>
            <w:hideMark/>
          </w:tcPr>
          <w:p w14:paraId="16601ED1" w14:textId="77777777" w:rsidR="00C57C9F" w:rsidRDefault="00C57C9F" w:rsidP="006F421D">
            <w:pPr>
              <w:jc w:val="right"/>
              <w:rPr>
                <w:rFonts w:eastAsia="Times New Roman" w:cs="Times New Roman"/>
              </w:rPr>
            </w:pPr>
          </w:p>
        </w:tc>
        <w:tc>
          <w:tcPr>
            <w:tcW w:w="947" w:type="dxa"/>
            <w:vAlign w:val="center"/>
            <w:hideMark/>
          </w:tcPr>
          <w:p w14:paraId="008AF30C" w14:textId="77777777" w:rsidR="00C57C9F" w:rsidRDefault="00C57C9F" w:rsidP="006F421D">
            <w:pPr>
              <w:jc w:val="right"/>
              <w:rPr>
                <w:rFonts w:eastAsia="Times New Roman" w:cs="Times New Roman"/>
              </w:rPr>
            </w:pPr>
          </w:p>
        </w:tc>
      </w:tr>
      <w:tr w:rsidR="00C57C9F" w14:paraId="273A4CDF" w14:textId="77777777" w:rsidTr="006F421D">
        <w:trPr>
          <w:divId w:val="1139883726"/>
        </w:trPr>
        <w:tc>
          <w:tcPr>
            <w:tcW w:w="7797" w:type="dxa"/>
            <w:vAlign w:val="center"/>
            <w:hideMark/>
          </w:tcPr>
          <w:p w14:paraId="67999C97" w14:textId="77777777" w:rsidR="00C57C9F" w:rsidRDefault="00C57C9F" w:rsidP="006F421D">
            <w:pPr>
              <w:pStyle w:val="3fins-table"/>
              <w:ind w:left="567"/>
              <w:rPr>
                <w:rFonts w:cs="Times New Roman"/>
              </w:rPr>
            </w:pPr>
            <w:r>
              <w:rPr>
                <w:rFonts w:cs="Times New Roman"/>
              </w:rPr>
              <w:t>Related entities - Department of Health</w:t>
            </w:r>
          </w:p>
        </w:tc>
        <w:tc>
          <w:tcPr>
            <w:tcW w:w="1387" w:type="dxa"/>
            <w:vAlign w:val="center"/>
            <w:hideMark/>
          </w:tcPr>
          <w:p w14:paraId="0B194CE9" w14:textId="77777777" w:rsidR="00C57C9F" w:rsidRDefault="00C57C9F" w:rsidP="006F421D">
            <w:pPr>
              <w:pStyle w:val="3fins-table-figures"/>
              <w:jc w:val="right"/>
              <w:rPr>
                <w:rFonts w:cs="Times New Roman"/>
              </w:rPr>
            </w:pPr>
            <w:r>
              <w:rPr>
                <w:rStyle w:val="fins-bold"/>
                <w:rFonts w:cs="Times New Roman"/>
              </w:rPr>
              <w:t xml:space="preserve">109 </w:t>
            </w:r>
          </w:p>
        </w:tc>
        <w:tc>
          <w:tcPr>
            <w:tcW w:w="947" w:type="dxa"/>
            <w:vAlign w:val="center"/>
            <w:hideMark/>
          </w:tcPr>
          <w:p w14:paraId="64A84A61" w14:textId="77777777" w:rsidR="00C57C9F" w:rsidRDefault="00C57C9F" w:rsidP="006F421D">
            <w:pPr>
              <w:pStyle w:val="3fins-table-figures"/>
              <w:jc w:val="right"/>
              <w:rPr>
                <w:rFonts w:cs="Times New Roman"/>
              </w:rPr>
            </w:pPr>
            <w:r>
              <w:rPr>
                <w:rFonts w:cs="Times New Roman"/>
              </w:rPr>
              <w:t xml:space="preserve">947 </w:t>
            </w:r>
          </w:p>
        </w:tc>
      </w:tr>
      <w:tr w:rsidR="00C57C9F" w14:paraId="56895567" w14:textId="77777777" w:rsidTr="006F421D">
        <w:trPr>
          <w:divId w:val="1139883726"/>
        </w:trPr>
        <w:tc>
          <w:tcPr>
            <w:tcW w:w="7797" w:type="dxa"/>
            <w:vAlign w:val="center"/>
            <w:hideMark/>
          </w:tcPr>
          <w:p w14:paraId="02A3D47E" w14:textId="77777777" w:rsidR="00C57C9F" w:rsidRDefault="00C57C9F" w:rsidP="006F421D">
            <w:pPr>
              <w:pStyle w:val="3fins-table"/>
              <w:ind w:left="567"/>
              <w:rPr>
                <w:rFonts w:cs="Times New Roman"/>
              </w:rPr>
            </w:pPr>
            <w:r>
              <w:rPr>
                <w:rFonts w:cs="Times New Roman"/>
              </w:rPr>
              <w:t>Related entities - Other</w:t>
            </w:r>
          </w:p>
        </w:tc>
        <w:tc>
          <w:tcPr>
            <w:tcW w:w="1387" w:type="dxa"/>
            <w:vAlign w:val="center"/>
            <w:hideMark/>
          </w:tcPr>
          <w:p w14:paraId="621B9234" w14:textId="77777777" w:rsidR="00C57C9F" w:rsidRDefault="00C57C9F" w:rsidP="006F421D">
            <w:pPr>
              <w:pStyle w:val="3fins-table-figures"/>
              <w:jc w:val="right"/>
              <w:rPr>
                <w:rFonts w:cs="Times New Roman"/>
              </w:rPr>
            </w:pPr>
            <w:r>
              <w:rPr>
                <w:rStyle w:val="fins-bold"/>
                <w:rFonts w:cs="Times New Roman"/>
              </w:rPr>
              <w:t xml:space="preserve">158 </w:t>
            </w:r>
          </w:p>
        </w:tc>
        <w:tc>
          <w:tcPr>
            <w:tcW w:w="947" w:type="dxa"/>
            <w:vAlign w:val="center"/>
            <w:hideMark/>
          </w:tcPr>
          <w:p w14:paraId="56C4CA14" w14:textId="77777777" w:rsidR="00C57C9F" w:rsidRDefault="00C57C9F" w:rsidP="006F421D">
            <w:pPr>
              <w:pStyle w:val="3fins-table-figures"/>
              <w:jc w:val="right"/>
              <w:rPr>
                <w:rFonts w:cs="Times New Roman"/>
              </w:rPr>
            </w:pPr>
            <w:r>
              <w:rPr>
                <w:rFonts w:cs="Times New Roman"/>
              </w:rPr>
              <w:t xml:space="preserve">191 </w:t>
            </w:r>
          </w:p>
        </w:tc>
      </w:tr>
      <w:tr w:rsidR="00C57C9F" w14:paraId="0C8CB756" w14:textId="77777777" w:rsidTr="006F421D">
        <w:trPr>
          <w:divId w:val="1139883726"/>
        </w:trPr>
        <w:tc>
          <w:tcPr>
            <w:tcW w:w="7797" w:type="dxa"/>
            <w:vAlign w:val="center"/>
            <w:hideMark/>
          </w:tcPr>
          <w:p w14:paraId="6D9E3F16" w14:textId="77777777" w:rsidR="00C57C9F" w:rsidRDefault="00C57C9F" w:rsidP="006F421D">
            <w:pPr>
              <w:pStyle w:val="3fins-table"/>
              <w:ind w:left="567"/>
              <w:rPr>
                <w:rFonts w:cs="Times New Roman"/>
              </w:rPr>
            </w:pPr>
            <w:r>
              <w:rPr>
                <w:rFonts w:cs="Times New Roman"/>
              </w:rPr>
              <w:t>External parties</w:t>
            </w:r>
          </w:p>
        </w:tc>
        <w:tc>
          <w:tcPr>
            <w:tcW w:w="1387" w:type="dxa"/>
            <w:tcBorders>
              <w:bottom w:val="single" w:sz="4" w:space="0" w:color="0D0D0D" w:themeColor="text1" w:themeTint="F2"/>
            </w:tcBorders>
            <w:vAlign w:val="center"/>
            <w:hideMark/>
          </w:tcPr>
          <w:p w14:paraId="6AE713B2" w14:textId="77777777" w:rsidR="00C57C9F" w:rsidRDefault="00C57C9F" w:rsidP="006F421D">
            <w:pPr>
              <w:pStyle w:val="3fins-table-figures"/>
              <w:jc w:val="right"/>
              <w:rPr>
                <w:rFonts w:cs="Times New Roman"/>
              </w:rPr>
            </w:pPr>
            <w:r>
              <w:rPr>
                <w:rStyle w:val="fins-bold"/>
                <w:rFonts w:cs="Times New Roman"/>
              </w:rPr>
              <w:t xml:space="preserve">1,966 </w:t>
            </w:r>
          </w:p>
        </w:tc>
        <w:tc>
          <w:tcPr>
            <w:tcW w:w="947" w:type="dxa"/>
            <w:tcBorders>
              <w:bottom w:val="single" w:sz="4" w:space="0" w:color="0D0D0D" w:themeColor="text1" w:themeTint="F2"/>
            </w:tcBorders>
            <w:vAlign w:val="center"/>
            <w:hideMark/>
          </w:tcPr>
          <w:p w14:paraId="3DEB724D" w14:textId="77777777" w:rsidR="00C57C9F" w:rsidRDefault="00C57C9F" w:rsidP="006F421D">
            <w:pPr>
              <w:pStyle w:val="3fins-table-figures"/>
              <w:jc w:val="right"/>
              <w:rPr>
                <w:rFonts w:cs="Times New Roman"/>
              </w:rPr>
            </w:pPr>
            <w:r>
              <w:rPr>
                <w:rFonts w:cs="Times New Roman"/>
              </w:rPr>
              <w:t xml:space="preserve">1,340 </w:t>
            </w:r>
          </w:p>
        </w:tc>
      </w:tr>
      <w:tr w:rsidR="00C57C9F" w14:paraId="639AA2CF" w14:textId="77777777" w:rsidTr="006F421D">
        <w:trPr>
          <w:divId w:val="1139883726"/>
        </w:trPr>
        <w:tc>
          <w:tcPr>
            <w:tcW w:w="7797" w:type="dxa"/>
            <w:vAlign w:val="center"/>
            <w:hideMark/>
          </w:tcPr>
          <w:p w14:paraId="0D621D09" w14:textId="77777777" w:rsidR="00C57C9F" w:rsidRDefault="00C57C9F">
            <w:pPr>
              <w:pStyle w:val="3fins-table"/>
              <w:rPr>
                <w:rFonts w:cs="Times New Roman"/>
              </w:rPr>
            </w:pPr>
            <w:r>
              <w:rPr>
                <w:rStyle w:val="fins-bold"/>
                <w:rFonts w:cs="Times New Roman"/>
              </w:rPr>
              <w:t>Total</w:t>
            </w:r>
          </w:p>
        </w:tc>
        <w:tc>
          <w:tcPr>
            <w:tcW w:w="1387" w:type="dxa"/>
            <w:tcBorders>
              <w:top w:val="single" w:sz="4" w:space="0" w:color="0D0D0D" w:themeColor="text1" w:themeTint="F2"/>
              <w:bottom w:val="single" w:sz="4" w:space="0" w:color="0D0D0D" w:themeColor="text1" w:themeTint="F2"/>
            </w:tcBorders>
            <w:vAlign w:val="center"/>
            <w:hideMark/>
          </w:tcPr>
          <w:p w14:paraId="08009DFE" w14:textId="77777777" w:rsidR="00C57C9F" w:rsidRDefault="00C57C9F" w:rsidP="006F421D">
            <w:pPr>
              <w:pStyle w:val="3fins-table-figures"/>
              <w:jc w:val="right"/>
              <w:rPr>
                <w:rFonts w:cs="Times New Roman"/>
              </w:rPr>
            </w:pPr>
            <w:r>
              <w:rPr>
                <w:rStyle w:val="fins-bold"/>
                <w:rFonts w:cs="Times New Roman"/>
              </w:rPr>
              <w:t xml:space="preserve">2,233 </w:t>
            </w:r>
          </w:p>
        </w:tc>
        <w:tc>
          <w:tcPr>
            <w:tcW w:w="947" w:type="dxa"/>
            <w:tcBorders>
              <w:top w:val="single" w:sz="4" w:space="0" w:color="0D0D0D" w:themeColor="text1" w:themeTint="F2"/>
              <w:bottom w:val="single" w:sz="4" w:space="0" w:color="0D0D0D" w:themeColor="text1" w:themeTint="F2"/>
            </w:tcBorders>
            <w:vAlign w:val="center"/>
            <w:hideMark/>
          </w:tcPr>
          <w:p w14:paraId="1AB9C3D6" w14:textId="77777777" w:rsidR="00C57C9F" w:rsidRDefault="00C57C9F" w:rsidP="006F421D">
            <w:pPr>
              <w:pStyle w:val="3fins-table-figures"/>
              <w:jc w:val="right"/>
              <w:rPr>
                <w:rFonts w:cs="Times New Roman"/>
              </w:rPr>
            </w:pPr>
            <w:r>
              <w:rPr>
                <w:rFonts w:cs="Times New Roman"/>
              </w:rPr>
              <w:t xml:space="preserve">2,478 </w:t>
            </w:r>
          </w:p>
        </w:tc>
      </w:tr>
      <w:tr w:rsidR="00C57C9F" w14:paraId="50B268E3" w14:textId="77777777" w:rsidTr="006F421D">
        <w:trPr>
          <w:divId w:val="1139883726"/>
        </w:trPr>
        <w:tc>
          <w:tcPr>
            <w:tcW w:w="7797" w:type="dxa"/>
            <w:vAlign w:val="center"/>
            <w:hideMark/>
          </w:tcPr>
          <w:p w14:paraId="3E64D6A3" w14:textId="77777777" w:rsidR="00C57C9F" w:rsidRDefault="00C57C9F">
            <w:pPr>
              <w:pStyle w:val="3fins-table"/>
              <w:rPr>
                <w:rFonts w:cs="Times New Roman"/>
              </w:rPr>
            </w:pPr>
            <w:r>
              <w:rPr>
                <w:rFonts w:cs="Times New Roman"/>
              </w:rPr>
              <w:t>Settlement is usually made within 30 days.</w:t>
            </w:r>
          </w:p>
        </w:tc>
        <w:tc>
          <w:tcPr>
            <w:tcW w:w="1387" w:type="dxa"/>
            <w:tcBorders>
              <w:top w:val="single" w:sz="4" w:space="0" w:color="0D0D0D" w:themeColor="text1" w:themeTint="F2"/>
            </w:tcBorders>
            <w:vAlign w:val="center"/>
            <w:hideMark/>
          </w:tcPr>
          <w:p w14:paraId="3D8AF339" w14:textId="77777777" w:rsidR="00C57C9F" w:rsidRDefault="00C57C9F" w:rsidP="006F421D">
            <w:pPr>
              <w:jc w:val="right"/>
              <w:rPr>
                <w:rFonts w:eastAsia="Times New Roman" w:cs="Times New Roman"/>
              </w:rPr>
            </w:pPr>
          </w:p>
        </w:tc>
        <w:tc>
          <w:tcPr>
            <w:tcW w:w="947" w:type="dxa"/>
            <w:tcBorders>
              <w:top w:val="single" w:sz="4" w:space="0" w:color="0D0D0D" w:themeColor="text1" w:themeTint="F2"/>
            </w:tcBorders>
            <w:vAlign w:val="center"/>
            <w:hideMark/>
          </w:tcPr>
          <w:p w14:paraId="16A19A8A" w14:textId="77777777" w:rsidR="00C57C9F" w:rsidRDefault="00C57C9F" w:rsidP="006F421D">
            <w:pPr>
              <w:jc w:val="right"/>
              <w:rPr>
                <w:rFonts w:eastAsia="Times New Roman" w:cs="Times New Roman"/>
              </w:rPr>
            </w:pPr>
          </w:p>
        </w:tc>
      </w:tr>
      <w:tr w:rsidR="00C57C9F" w14:paraId="7D7D41D9" w14:textId="77777777" w:rsidTr="006F421D">
        <w:trPr>
          <w:divId w:val="1139883726"/>
        </w:trPr>
        <w:tc>
          <w:tcPr>
            <w:tcW w:w="7797" w:type="dxa"/>
            <w:vAlign w:val="center"/>
            <w:hideMark/>
          </w:tcPr>
          <w:p w14:paraId="676EB49D" w14:textId="77777777" w:rsidR="00C57C9F" w:rsidRDefault="00C57C9F">
            <w:pPr>
              <w:pStyle w:val="1heading-3"/>
              <w:rPr>
                <w:rFonts w:cs="Times New Roman"/>
              </w:rPr>
            </w:pPr>
            <w:r>
              <w:rPr>
                <w:rFonts w:cs="Times New Roman"/>
              </w:rPr>
              <w:t>Note 8B: Other Payables</w:t>
            </w:r>
          </w:p>
        </w:tc>
        <w:tc>
          <w:tcPr>
            <w:tcW w:w="1387" w:type="dxa"/>
            <w:vAlign w:val="center"/>
            <w:hideMark/>
          </w:tcPr>
          <w:p w14:paraId="1D13D74F" w14:textId="77777777" w:rsidR="00C57C9F" w:rsidRDefault="00C57C9F" w:rsidP="006F421D">
            <w:pPr>
              <w:jc w:val="right"/>
              <w:rPr>
                <w:rFonts w:eastAsia="Times New Roman" w:cs="Times New Roman"/>
              </w:rPr>
            </w:pPr>
          </w:p>
        </w:tc>
        <w:tc>
          <w:tcPr>
            <w:tcW w:w="947" w:type="dxa"/>
            <w:vAlign w:val="center"/>
            <w:hideMark/>
          </w:tcPr>
          <w:p w14:paraId="1D37B73C" w14:textId="77777777" w:rsidR="00C57C9F" w:rsidRDefault="00C57C9F" w:rsidP="006F421D">
            <w:pPr>
              <w:jc w:val="right"/>
              <w:rPr>
                <w:rFonts w:eastAsia="Times New Roman" w:cs="Times New Roman"/>
              </w:rPr>
            </w:pPr>
          </w:p>
        </w:tc>
      </w:tr>
      <w:tr w:rsidR="00C57C9F" w14:paraId="7D94BBE5" w14:textId="77777777" w:rsidTr="006F421D">
        <w:trPr>
          <w:divId w:val="1139883726"/>
        </w:trPr>
        <w:tc>
          <w:tcPr>
            <w:tcW w:w="7797" w:type="dxa"/>
            <w:vAlign w:val="center"/>
            <w:hideMark/>
          </w:tcPr>
          <w:p w14:paraId="495425DB" w14:textId="77777777" w:rsidR="00C57C9F" w:rsidRDefault="00C57C9F">
            <w:pPr>
              <w:pStyle w:val="3fins-table"/>
              <w:rPr>
                <w:rFonts w:cs="Times New Roman"/>
              </w:rPr>
            </w:pPr>
            <w:r>
              <w:rPr>
                <w:rFonts w:cs="Times New Roman"/>
              </w:rPr>
              <w:t>Salaries and wages</w:t>
            </w:r>
          </w:p>
        </w:tc>
        <w:tc>
          <w:tcPr>
            <w:tcW w:w="1387" w:type="dxa"/>
            <w:vAlign w:val="center"/>
            <w:hideMark/>
          </w:tcPr>
          <w:p w14:paraId="3C3D1E7F" w14:textId="77777777" w:rsidR="00C57C9F" w:rsidRDefault="00C57C9F" w:rsidP="006F421D">
            <w:pPr>
              <w:pStyle w:val="3fins-table-figures"/>
              <w:jc w:val="right"/>
              <w:rPr>
                <w:rFonts w:cs="Times New Roman"/>
              </w:rPr>
            </w:pPr>
            <w:r>
              <w:rPr>
                <w:rStyle w:val="fins-bold"/>
                <w:rFonts w:cs="Times New Roman"/>
              </w:rPr>
              <w:t xml:space="preserve">204 </w:t>
            </w:r>
          </w:p>
        </w:tc>
        <w:tc>
          <w:tcPr>
            <w:tcW w:w="947" w:type="dxa"/>
            <w:vAlign w:val="center"/>
            <w:hideMark/>
          </w:tcPr>
          <w:p w14:paraId="0FC7C31C" w14:textId="77777777" w:rsidR="00C57C9F" w:rsidRDefault="00C57C9F" w:rsidP="006F421D">
            <w:pPr>
              <w:pStyle w:val="3fins-table-figures"/>
              <w:jc w:val="right"/>
              <w:rPr>
                <w:rFonts w:cs="Times New Roman"/>
              </w:rPr>
            </w:pPr>
            <w:r>
              <w:rPr>
                <w:rFonts w:cs="Times New Roman"/>
              </w:rPr>
              <w:t xml:space="preserve">150 </w:t>
            </w:r>
          </w:p>
        </w:tc>
      </w:tr>
      <w:tr w:rsidR="00C57C9F" w14:paraId="3420B2AF" w14:textId="77777777" w:rsidTr="006F421D">
        <w:trPr>
          <w:divId w:val="1139883726"/>
        </w:trPr>
        <w:tc>
          <w:tcPr>
            <w:tcW w:w="7797" w:type="dxa"/>
            <w:vAlign w:val="center"/>
            <w:hideMark/>
          </w:tcPr>
          <w:p w14:paraId="4DF93F45" w14:textId="77777777" w:rsidR="00C57C9F" w:rsidRDefault="00C57C9F">
            <w:pPr>
              <w:pStyle w:val="3fins-table"/>
              <w:rPr>
                <w:rFonts w:cs="Times New Roman"/>
              </w:rPr>
            </w:pPr>
            <w:r>
              <w:rPr>
                <w:rFonts w:cs="Times New Roman"/>
              </w:rPr>
              <w:t>Superannuation</w:t>
            </w:r>
          </w:p>
        </w:tc>
        <w:tc>
          <w:tcPr>
            <w:tcW w:w="1387" w:type="dxa"/>
            <w:vAlign w:val="center"/>
            <w:hideMark/>
          </w:tcPr>
          <w:p w14:paraId="6DFD164D" w14:textId="77777777" w:rsidR="00C57C9F" w:rsidRDefault="00C57C9F" w:rsidP="006F421D">
            <w:pPr>
              <w:pStyle w:val="3fins-table-figures"/>
              <w:jc w:val="right"/>
              <w:rPr>
                <w:rFonts w:cs="Times New Roman"/>
              </w:rPr>
            </w:pPr>
            <w:r>
              <w:rPr>
                <w:rStyle w:val="fins-bold"/>
                <w:rFonts w:cs="Times New Roman"/>
              </w:rPr>
              <w:t xml:space="preserve">33 </w:t>
            </w:r>
          </w:p>
        </w:tc>
        <w:tc>
          <w:tcPr>
            <w:tcW w:w="947" w:type="dxa"/>
            <w:vAlign w:val="center"/>
            <w:hideMark/>
          </w:tcPr>
          <w:p w14:paraId="214D78D1" w14:textId="77777777" w:rsidR="00C57C9F" w:rsidRDefault="00C57C9F" w:rsidP="006F421D">
            <w:pPr>
              <w:pStyle w:val="3fins-table-figures"/>
              <w:jc w:val="right"/>
              <w:rPr>
                <w:rFonts w:cs="Times New Roman"/>
              </w:rPr>
            </w:pPr>
            <w:r>
              <w:rPr>
                <w:rFonts w:cs="Times New Roman"/>
              </w:rPr>
              <w:t xml:space="preserve">24 </w:t>
            </w:r>
          </w:p>
        </w:tc>
      </w:tr>
      <w:tr w:rsidR="00C57C9F" w14:paraId="31182D95" w14:textId="77777777" w:rsidTr="006F421D">
        <w:trPr>
          <w:divId w:val="1139883726"/>
        </w:trPr>
        <w:tc>
          <w:tcPr>
            <w:tcW w:w="7797" w:type="dxa"/>
            <w:vAlign w:val="center"/>
            <w:hideMark/>
          </w:tcPr>
          <w:p w14:paraId="6573A55C" w14:textId="77777777" w:rsidR="00C57C9F" w:rsidRDefault="00C57C9F">
            <w:pPr>
              <w:pStyle w:val="3fins-table"/>
              <w:rPr>
                <w:rFonts w:cs="Times New Roman"/>
              </w:rPr>
            </w:pPr>
            <w:r>
              <w:rPr>
                <w:rFonts w:cs="Times New Roman"/>
              </w:rPr>
              <w:t>Unearned income</w:t>
            </w:r>
          </w:p>
        </w:tc>
        <w:tc>
          <w:tcPr>
            <w:tcW w:w="1387" w:type="dxa"/>
            <w:vAlign w:val="center"/>
            <w:hideMark/>
          </w:tcPr>
          <w:p w14:paraId="209BA6B2" w14:textId="77777777" w:rsidR="00C57C9F" w:rsidRDefault="00C57C9F" w:rsidP="006F421D">
            <w:pPr>
              <w:pStyle w:val="3fins-table-figures"/>
              <w:jc w:val="right"/>
              <w:rPr>
                <w:rFonts w:cs="Times New Roman"/>
              </w:rPr>
            </w:pPr>
            <w:r>
              <w:rPr>
                <w:rStyle w:val="fins-bold"/>
                <w:rFonts w:cs="Times New Roman"/>
              </w:rPr>
              <w:t xml:space="preserve">9,025 </w:t>
            </w:r>
          </w:p>
        </w:tc>
        <w:tc>
          <w:tcPr>
            <w:tcW w:w="947" w:type="dxa"/>
            <w:vAlign w:val="center"/>
            <w:hideMark/>
          </w:tcPr>
          <w:p w14:paraId="0E56C033" w14:textId="77777777" w:rsidR="00C57C9F" w:rsidRDefault="00C57C9F" w:rsidP="006F421D">
            <w:pPr>
              <w:pStyle w:val="3fins-table-figures"/>
              <w:jc w:val="right"/>
              <w:rPr>
                <w:rFonts w:cs="Times New Roman"/>
              </w:rPr>
            </w:pPr>
            <w:r>
              <w:rPr>
                <w:rFonts w:cs="Times New Roman"/>
              </w:rPr>
              <w:t xml:space="preserve">3,368 </w:t>
            </w:r>
          </w:p>
        </w:tc>
      </w:tr>
      <w:tr w:rsidR="00C57C9F" w14:paraId="743A98C8" w14:textId="77777777" w:rsidTr="006F421D">
        <w:trPr>
          <w:divId w:val="1139883726"/>
        </w:trPr>
        <w:tc>
          <w:tcPr>
            <w:tcW w:w="7797" w:type="dxa"/>
            <w:vAlign w:val="center"/>
            <w:hideMark/>
          </w:tcPr>
          <w:p w14:paraId="07998ACB" w14:textId="77777777" w:rsidR="00C57C9F" w:rsidRDefault="00C57C9F">
            <w:pPr>
              <w:pStyle w:val="3fins-table"/>
              <w:rPr>
                <w:rFonts w:cs="Times New Roman"/>
              </w:rPr>
            </w:pPr>
            <w:r>
              <w:rPr>
                <w:rFonts w:cs="Times New Roman"/>
              </w:rPr>
              <w:t>Lease incentive</w:t>
            </w:r>
          </w:p>
        </w:tc>
        <w:tc>
          <w:tcPr>
            <w:tcW w:w="1387" w:type="dxa"/>
            <w:vAlign w:val="center"/>
            <w:hideMark/>
          </w:tcPr>
          <w:p w14:paraId="286E432C" w14:textId="77777777" w:rsidR="00C57C9F" w:rsidRDefault="00C57C9F" w:rsidP="006F421D">
            <w:pPr>
              <w:pStyle w:val="3fins-table-figures"/>
              <w:jc w:val="right"/>
              <w:rPr>
                <w:rFonts w:cs="Times New Roman"/>
              </w:rPr>
            </w:pPr>
            <w:r>
              <w:rPr>
                <w:rStyle w:val="fins-bold"/>
                <w:rFonts w:cs="Times New Roman"/>
              </w:rPr>
              <w:t>850</w:t>
            </w:r>
          </w:p>
        </w:tc>
        <w:tc>
          <w:tcPr>
            <w:tcW w:w="947" w:type="dxa"/>
            <w:vAlign w:val="center"/>
            <w:hideMark/>
          </w:tcPr>
          <w:p w14:paraId="2913B605" w14:textId="77777777" w:rsidR="00C57C9F" w:rsidRDefault="00C57C9F" w:rsidP="006F421D">
            <w:pPr>
              <w:pStyle w:val="3fins-table-figures"/>
              <w:jc w:val="right"/>
              <w:rPr>
                <w:rFonts w:cs="Times New Roman"/>
              </w:rPr>
            </w:pPr>
            <w:r>
              <w:rPr>
                <w:rStyle w:val="fins-bold"/>
                <w:rFonts w:cs="Times New Roman"/>
              </w:rPr>
              <w:t>–</w:t>
            </w:r>
          </w:p>
        </w:tc>
      </w:tr>
      <w:tr w:rsidR="00C57C9F" w14:paraId="5EDB0E9C" w14:textId="77777777" w:rsidTr="006F421D">
        <w:trPr>
          <w:divId w:val="1139883726"/>
        </w:trPr>
        <w:tc>
          <w:tcPr>
            <w:tcW w:w="7797" w:type="dxa"/>
            <w:vAlign w:val="center"/>
            <w:hideMark/>
          </w:tcPr>
          <w:p w14:paraId="07042EFD" w14:textId="77777777" w:rsidR="00C57C9F" w:rsidRDefault="00C57C9F">
            <w:pPr>
              <w:pStyle w:val="3fins-table"/>
              <w:rPr>
                <w:rFonts w:cs="Times New Roman"/>
              </w:rPr>
            </w:pPr>
            <w:r>
              <w:rPr>
                <w:rFonts w:cs="Times New Roman"/>
              </w:rPr>
              <w:t>Other</w:t>
            </w:r>
          </w:p>
        </w:tc>
        <w:tc>
          <w:tcPr>
            <w:tcW w:w="1387" w:type="dxa"/>
            <w:tcBorders>
              <w:bottom w:val="single" w:sz="4" w:space="0" w:color="0D0D0D" w:themeColor="text1" w:themeTint="F2"/>
            </w:tcBorders>
            <w:vAlign w:val="center"/>
            <w:hideMark/>
          </w:tcPr>
          <w:p w14:paraId="468B5CFA" w14:textId="77777777" w:rsidR="00C57C9F" w:rsidRDefault="00C57C9F" w:rsidP="006F421D">
            <w:pPr>
              <w:pStyle w:val="3fins-table-figures"/>
              <w:jc w:val="right"/>
              <w:rPr>
                <w:rFonts w:cs="Times New Roman"/>
              </w:rPr>
            </w:pPr>
            <w:r>
              <w:rPr>
                <w:rStyle w:val="fins-bold"/>
                <w:rFonts w:cs="Times New Roman"/>
              </w:rPr>
              <w:t xml:space="preserve">23 </w:t>
            </w:r>
          </w:p>
        </w:tc>
        <w:tc>
          <w:tcPr>
            <w:tcW w:w="947" w:type="dxa"/>
            <w:tcBorders>
              <w:bottom w:val="single" w:sz="4" w:space="0" w:color="0D0D0D" w:themeColor="text1" w:themeTint="F2"/>
            </w:tcBorders>
            <w:vAlign w:val="center"/>
            <w:hideMark/>
          </w:tcPr>
          <w:p w14:paraId="6B7ABE15" w14:textId="77777777" w:rsidR="00C57C9F" w:rsidRDefault="00C57C9F" w:rsidP="006F421D">
            <w:pPr>
              <w:pStyle w:val="3fins-table-figures"/>
              <w:jc w:val="right"/>
              <w:rPr>
                <w:rFonts w:cs="Times New Roman"/>
              </w:rPr>
            </w:pPr>
            <w:r>
              <w:rPr>
                <w:rFonts w:cs="Times New Roman"/>
              </w:rPr>
              <w:t xml:space="preserve">6 </w:t>
            </w:r>
          </w:p>
        </w:tc>
      </w:tr>
      <w:tr w:rsidR="00C57C9F" w14:paraId="074A00F7" w14:textId="77777777" w:rsidTr="006F421D">
        <w:trPr>
          <w:divId w:val="1139883726"/>
        </w:trPr>
        <w:tc>
          <w:tcPr>
            <w:tcW w:w="7797" w:type="dxa"/>
            <w:vAlign w:val="center"/>
            <w:hideMark/>
          </w:tcPr>
          <w:p w14:paraId="14CC4E91" w14:textId="77777777" w:rsidR="00C57C9F" w:rsidRDefault="00C57C9F">
            <w:pPr>
              <w:pStyle w:val="3fins-table"/>
              <w:rPr>
                <w:rFonts w:cs="Times New Roman"/>
              </w:rPr>
            </w:pPr>
            <w:r>
              <w:rPr>
                <w:rStyle w:val="fins-bold"/>
                <w:rFonts w:cs="Times New Roman"/>
              </w:rPr>
              <w:t>Total other payables</w:t>
            </w:r>
          </w:p>
        </w:tc>
        <w:tc>
          <w:tcPr>
            <w:tcW w:w="1387" w:type="dxa"/>
            <w:tcBorders>
              <w:top w:val="single" w:sz="4" w:space="0" w:color="0D0D0D" w:themeColor="text1" w:themeTint="F2"/>
              <w:bottom w:val="single" w:sz="4" w:space="0" w:color="0D0D0D" w:themeColor="text1" w:themeTint="F2"/>
            </w:tcBorders>
            <w:vAlign w:val="center"/>
            <w:hideMark/>
          </w:tcPr>
          <w:p w14:paraId="7CEEC69F" w14:textId="77777777" w:rsidR="00C57C9F" w:rsidRDefault="00C57C9F" w:rsidP="006F421D">
            <w:pPr>
              <w:pStyle w:val="3fins-table-figures"/>
              <w:jc w:val="right"/>
              <w:rPr>
                <w:rFonts w:cs="Times New Roman"/>
              </w:rPr>
            </w:pPr>
            <w:r>
              <w:rPr>
                <w:rStyle w:val="fins-bold"/>
                <w:rFonts w:cs="Times New Roman"/>
              </w:rPr>
              <w:t xml:space="preserve">10,135 </w:t>
            </w:r>
          </w:p>
        </w:tc>
        <w:tc>
          <w:tcPr>
            <w:tcW w:w="947" w:type="dxa"/>
            <w:tcBorders>
              <w:top w:val="single" w:sz="4" w:space="0" w:color="0D0D0D" w:themeColor="text1" w:themeTint="F2"/>
              <w:bottom w:val="single" w:sz="4" w:space="0" w:color="0D0D0D" w:themeColor="text1" w:themeTint="F2"/>
            </w:tcBorders>
            <w:vAlign w:val="center"/>
            <w:hideMark/>
          </w:tcPr>
          <w:p w14:paraId="6F46B992" w14:textId="77777777" w:rsidR="00C57C9F" w:rsidRDefault="00C57C9F" w:rsidP="006F421D">
            <w:pPr>
              <w:pStyle w:val="3fins-table-figures"/>
              <w:jc w:val="right"/>
              <w:rPr>
                <w:rFonts w:cs="Times New Roman"/>
              </w:rPr>
            </w:pPr>
            <w:r>
              <w:rPr>
                <w:rFonts w:cs="Times New Roman"/>
              </w:rPr>
              <w:t xml:space="preserve">3,548 </w:t>
            </w:r>
          </w:p>
        </w:tc>
      </w:tr>
      <w:tr w:rsidR="00C57C9F" w14:paraId="4260CCB9" w14:textId="77777777" w:rsidTr="006F421D">
        <w:trPr>
          <w:divId w:val="1139883726"/>
        </w:trPr>
        <w:tc>
          <w:tcPr>
            <w:tcW w:w="7797" w:type="dxa"/>
            <w:vAlign w:val="center"/>
            <w:hideMark/>
          </w:tcPr>
          <w:p w14:paraId="3D13BF00" w14:textId="77777777" w:rsidR="00C57C9F" w:rsidRDefault="00C57C9F">
            <w:pPr>
              <w:rPr>
                <w:rFonts w:eastAsia="Times New Roman" w:cs="Times New Roman"/>
              </w:rPr>
            </w:pPr>
          </w:p>
        </w:tc>
        <w:tc>
          <w:tcPr>
            <w:tcW w:w="1387" w:type="dxa"/>
            <w:tcBorders>
              <w:top w:val="single" w:sz="4" w:space="0" w:color="0D0D0D" w:themeColor="text1" w:themeTint="F2"/>
            </w:tcBorders>
            <w:vAlign w:val="center"/>
            <w:hideMark/>
          </w:tcPr>
          <w:p w14:paraId="3993307A" w14:textId="77777777" w:rsidR="00C57C9F" w:rsidRDefault="00C57C9F" w:rsidP="006F421D">
            <w:pPr>
              <w:jc w:val="right"/>
              <w:rPr>
                <w:rFonts w:eastAsia="Times New Roman" w:cs="Times New Roman"/>
              </w:rPr>
            </w:pPr>
          </w:p>
        </w:tc>
        <w:tc>
          <w:tcPr>
            <w:tcW w:w="947" w:type="dxa"/>
            <w:tcBorders>
              <w:top w:val="single" w:sz="4" w:space="0" w:color="0D0D0D" w:themeColor="text1" w:themeTint="F2"/>
            </w:tcBorders>
            <w:vAlign w:val="center"/>
            <w:hideMark/>
          </w:tcPr>
          <w:p w14:paraId="5EB78B1D" w14:textId="77777777" w:rsidR="00C57C9F" w:rsidRDefault="00C57C9F" w:rsidP="006F421D">
            <w:pPr>
              <w:jc w:val="right"/>
              <w:rPr>
                <w:rFonts w:eastAsia="Times New Roman" w:cs="Times New Roman"/>
              </w:rPr>
            </w:pPr>
          </w:p>
        </w:tc>
      </w:tr>
      <w:tr w:rsidR="00C57C9F" w14:paraId="07F5CFC3" w14:textId="77777777" w:rsidTr="006F421D">
        <w:trPr>
          <w:divId w:val="1139883726"/>
        </w:trPr>
        <w:tc>
          <w:tcPr>
            <w:tcW w:w="7797" w:type="dxa"/>
            <w:vAlign w:val="center"/>
            <w:hideMark/>
          </w:tcPr>
          <w:p w14:paraId="169AB259" w14:textId="77777777" w:rsidR="00C57C9F" w:rsidRDefault="00C57C9F">
            <w:pPr>
              <w:pStyle w:val="3fins-table"/>
              <w:rPr>
                <w:rFonts w:cs="Times New Roman"/>
              </w:rPr>
            </w:pPr>
            <w:r>
              <w:rPr>
                <w:rStyle w:val="fins-bold"/>
                <w:rFonts w:cs="Times New Roman"/>
              </w:rPr>
              <w:t>Other payables expected to be settled:</w:t>
            </w:r>
          </w:p>
        </w:tc>
        <w:tc>
          <w:tcPr>
            <w:tcW w:w="1387" w:type="dxa"/>
            <w:vAlign w:val="center"/>
            <w:hideMark/>
          </w:tcPr>
          <w:p w14:paraId="47B8AB57" w14:textId="77777777" w:rsidR="00C57C9F" w:rsidRDefault="00C57C9F" w:rsidP="006F421D">
            <w:pPr>
              <w:jc w:val="right"/>
              <w:rPr>
                <w:rFonts w:eastAsia="Times New Roman" w:cs="Times New Roman"/>
              </w:rPr>
            </w:pPr>
          </w:p>
        </w:tc>
        <w:tc>
          <w:tcPr>
            <w:tcW w:w="947" w:type="dxa"/>
            <w:vAlign w:val="center"/>
            <w:hideMark/>
          </w:tcPr>
          <w:p w14:paraId="12920C7D" w14:textId="77777777" w:rsidR="00C57C9F" w:rsidRDefault="00C57C9F" w:rsidP="006F421D">
            <w:pPr>
              <w:jc w:val="right"/>
              <w:rPr>
                <w:rFonts w:eastAsia="Times New Roman" w:cs="Times New Roman"/>
              </w:rPr>
            </w:pPr>
          </w:p>
        </w:tc>
      </w:tr>
      <w:tr w:rsidR="00C57C9F" w14:paraId="495CB5BF" w14:textId="77777777" w:rsidTr="006F421D">
        <w:trPr>
          <w:divId w:val="1139883726"/>
        </w:trPr>
        <w:tc>
          <w:tcPr>
            <w:tcW w:w="7797" w:type="dxa"/>
            <w:vAlign w:val="center"/>
            <w:hideMark/>
          </w:tcPr>
          <w:p w14:paraId="7C300FBA" w14:textId="77777777" w:rsidR="00C57C9F" w:rsidRDefault="00C57C9F" w:rsidP="006F421D">
            <w:pPr>
              <w:pStyle w:val="3fins-table"/>
              <w:ind w:left="567"/>
              <w:rPr>
                <w:rFonts w:cs="Times New Roman"/>
              </w:rPr>
            </w:pPr>
            <w:r>
              <w:rPr>
                <w:rFonts w:cs="Times New Roman"/>
              </w:rPr>
              <w:t>No more than 12 months</w:t>
            </w:r>
          </w:p>
        </w:tc>
        <w:tc>
          <w:tcPr>
            <w:tcW w:w="1387" w:type="dxa"/>
            <w:vAlign w:val="center"/>
            <w:hideMark/>
          </w:tcPr>
          <w:p w14:paraId="5AD852FF" w14:textId="77777777" w:rsidR="00C57C9F" w:rsidRDefault="00C57C9F" w:rsidP="006F421D">
            <w:pPr>
              <w:pStyle w:val="3fins-table-figures"/>
              <w:jc w:val="right"/>
              <w:rPr>
                <w:rFonts w:cs="Times New Roman"/>
              </w:rPr>
            </w:pPr>
            <w:r>
              <w:rPr>
                <w:rStyle w:val="fins-bold"/>
                <w:rFonts w:cs="Times New Roman"/>
              </w:rPr>
              <w:t>9,852</w:t>
            </w:r>
          </w:p>
        </w:tc>
        <w:tc>
          <w:tcPr>
            <w:tcW w:w="947" w:type="dxa"/>
            <w:vAlign w:val="center"/>
            <w:hideMark/>
          </w:tcPr>
          <w:p w14:paraId="37F4E75D" w14:textId="77777777" w:rsidR="00C57C9F" w:rsidRDefault="00C57C9F" w:rsidP="006F421D">
            <w:pPr>
              <w:pStyle w:val="3fins-table-figures"/>
              <w:jc w:val="right"/>
              <w:rPr>
                <w:rFonts w:cs="Times New Roman"/>
              </w:rPr>
            </w:pPr>
            <w:r>
              <w:rPr>
                <w:rFonts w:cs="Times New Roman"/>
              </w:rPr>
              <w:t>3,548</w:t>
            </w:r>
          </w:p>
        </w:tc>
      </w:tr>
      <w:tr w:rsidR="00C57C9F" w14:paraId="191CC3DC" w14:textId="77777777" w:rsidTr="006F421D">
        <w:trPr>
          <w:divId w:val="1139883726"/>
        </w:trPr>
        <w:tc>
          <w:tcPr>
            <w:tcW w:w="7797" w:type="dxa"/>
            <w:vAlign w:val="center"/>
            <w:hideMark/>
          </w:tcPr>
          <w:p w14:paraId="04B54DDC" w14:textId="77777777" w:rsidR="00C57C9F" w:rsidRDefault="00C57C9F" w:rsidP="006F421D">
            <w:pPr>
              <w:pStyle w:val="3fins-table"/>
              <w:ind w:left="567"/>
              <w:rPr>
                <w:rFonts w:cs="Times New Roman"/>
              </w:rPr>
            </w:pPr>
            <w:r>
              <w:rPr>
                <w:rFonts w:cs="Times New Roman"/>
              </w:rPr>
              <w:t>More than 12 months</w:t>
            </w:r>
          </w:p>
        </w:tc>
        <w:tc>
          <w:tcPr>
            <w:tcW w:w="1387" w:type="dxa"/>
            <w:tcBorders>
              <w:bottom w:val="single" w:sz="4" w:space="0" w:color="0D0D0D" w:themeColor="text1" w:themeTint="F2"/>
            </w:tcBorders>
            <w:vAlign w:val="center"/>
            <w:hideMark/>
          </w:tcPr>
          <w:p w14:paraId="3A78B2DC" w14:textId="77777777" w:rsidR="00C57C9F" w:rsidRDefault="00C57C9F" w:rsidP="006F421D">
            <w:pPr>
              <w:pStyle w:val="3fins-table-figures"/>
              <w:jc w:val="right"/>
              <w:rPr>
                <w:rFonts w:cs="Times New Roman"/>
              </w:rPr>
            </w:pPr>
            <w:r>
              <w:rPr>
                <w:rStyle w:val="fins-bold"/>
                <w:rFonts w:cs="Times New Roman"/>
              </w:rPr>
              <w:t>283</w:t>
            </w:r>
          </w:p>
        </w:tc>
        <w:tc>
          <w:tcPr>
            <w:tcW w:w="947" w:type="dxa"/>
            <w:tcBorders>
              <w:bottom w:val="single" w:sz="4" w:space="0" w:color="0D0D0D" w:themeColor="text1" w:themeTint="F2"/>
            </w:tcBorders>
            <w:vAlign w:val="center"/>
            <w:hideMark/>
          </w:tcPr>
          <w:p w14:paraId="437275C4" w14:textId="77777777" w:rsidR="00C57C9F" w:rsidRDefault="00C57C9F" w:rsidP="006F421D">
            <w:pPr>
              <w:pStyle w:val="3fins-table-figures"/>
              <w:jc w:val="right"/>
              <w:rPr>
                <w:rFonts w:cs="Times New Roman"/>
              </w:rPr>
            </w:pPr>
            <w:r>
              <w:rPr>
                <w:rStyle w:val="fins-bold"/>
                <w:rFonts w:cs="Times New Roman"/>
              </w:rPr>
              <w:t>–</w:t>
            </w:r>
          </w:p>
        </w:tc>
      </w:tr>
      <w:tr w:rsidR="00C57C9F" w14:paraId="62D0D404" w14:textId="77777777" w:rsidTr="006F421D">
        <w:trPr>
          <w:divId w:val="1139883726"/>
        </w:trPr>
        <w:tc>
          <w:tcPr>
            <w:tcW w:w="7797" w:type="dxa"/>
            <w:vAlign w:val="center"/>
            <w:hideMark/>
          </w:tcPr>
          <w:p w14:paraId="7F9298B9" w14:textId="77777777" w:rsidR="00C57C9F" w:rsidRDefault="00C57C9F">
            <w:pPr>
              <w:pStyle w:val="3fins-table"/>
              <w:rPr>
                <w:rFonts w:cs="Times New Roman"/>
              </w:rPr>
            </w:pPr>
            <w:r>
              <w:rPr>
                <w:rStyle w:val="fins-bold"/>
                <w:rFonts w:cs="Times New Roman"/>
              </w:rPr>
              <w:t>Total other payables</w:t>
            </w:r>
          </w:p>
        </w:tc>
        <w:tc>
          <w:tcPr>
            <w:tcW w:w="1387" w:type="dxa"/>
            <w:tcBorders>
              <w:top w:val="single" w:sz="4" w:space="0" w:color="0D0D0D" w:themeColor="text1" w:themeTint="F2"/>
              <w:bottom w:val="single" w:sz="4" w:space="0" w:color="0D0D0D" w:themeColor="text1" w:themeTint="F2"/>
            </w:tcBorders>
            <w:vAlign w:val="center"/>
            <w:hideMark/>
          </w:tcPr>
          <w:p w14:paraId="35F9EE30" w14:textId="77777777" w:rsidR="00C57C9F" w:rsidRDefault="00C57C9F" w:rsidP="006F421D">
            <w:pPr>
              <w:pStyle w:val="3fins-table-figures"/>
              <w:jc w:val="right"/>
              <w:rPr>
                <w:rFonts w:cs="Times New Roman"/>
              </w:rPr>
            </w:pPr>
            <w:r>
              <w:rPr>
                <w:rStyle w:val="fins-bold"/>
                <w:rFonts w:cs="Times New Roman"/>
              </w:rPr>
              <w:t>10,135</w:t>
            </w:r>
          </w:p>
        </w:tc>
        <w:tc>
          <w:tcPr>
            <w:tcW w:w="947" w:type="dxa"/>
            <w:tcBorders>
              <w:top w:val="single" w:sz="4" w:space="0" w:color="0D0D0D" w:themeColor="text1" w:themeTint="F2"/>
              <w:bottom w:val="single" w:sz="4" w:space="0" w:color="0D0D0D" w:themeColor="text1" w:themeTint="F2"/>
            </w:tcBorders>
            <w:vAlign w:val="center"/>
            <w:hideMark/>
          </w:tcPr>
          <w:p w14:paraId="50338060" w14:textId="77777777" w:rsidR="00C57C9F" w:rsidRDefault="00C57C9F" w:rsidP="006F421D">
            <w:pPr>
              <w:pStyle w:val="3fins-table-figures"/>
              <w:jc w:val="right"/>
              <w:rPr>
                <w:rFonts w:cs="Times New Roman"/>
              </w:rPr>
            </w:pPr>
            <w:r>
              <w:rPr>
                <w:rFonts w:cs="Times New Roman"/>
              </w:rPr>
              <w:t xml:space="preserve">3,548 </w:t>
            </w:r>
          </w:p>
        </w:tc>
      </w:tr>
    </w:tbl>
    <w:p w14:paraId="410EB3B0" w14:textId="77777777" w:rsidR="00161EA4" w:rsidRDefault="00161EA4">
      <w:pPr>
        <w:pStyle w:val="1heading-2"/>
        <w:divId w:val="1139883726"/>
        <w:rPr>
          <w:rFonts w:cs="Times New Roman"/>
          <w:lang w:val="en-AU"/>
        </w:rPr>
      </w:pPr>
    </w:p>
    <w:p w14:paraId="46F95F4F" w14:textId="77777777" w:rsidR="00161EA4" w:rsidRDefault="00161EA4">
      <w:pPr>
        <w:spacing w:after="0"/>
        <w:rPr>
          <w:rFonts w:cs="Times New Roman"/>
          <w:b/>
          <w:sz w:val="28"/>
        </w:rPr>
      </w:pPr>
      <w:r>
        <w:rPr>
          <w:rFonts w:cs="Times New Roman"/>
        </w:rPr>
        <w:br w:type="page"/>
      </w:r>
    </w:p>
    <w:p w14:paraId="006281F0" w14:textId="6C104379" w:rsidR="00C57C9F" w:rsidRDefault="00C57C9F">
      <w:pPr>
        <w:pStyle w:val="1heading-2"/>
        <w:divId w:val="1139883726"/>
        <w:rPr>
          <w:rFonts w:cs="Times New Roman"/>
          <w:lang w:val="en-AU"/>
        </w:rPr>
      </w:pPr>
      <w:r>
        <w:rPr>
          <w:rFonts w:cs="Times New Roman"/>
          <w:lang w:val="en-AU"/>
        </w:rPr>
        <w:lastRenderedPageBreak/>
        <w:t>Note 9: Provisions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999"/>
        <w:gridCol w:w="1843"/>
        <w:gridCol w:w="1249"/>
        <w:gridCol w:w="1019"/>
      </w:tblGrid>
      <w:tr w:rsidR="00C57C9F" w14:paraId="05A7C0FB" w14:textId="77777777" w:rsidTr="006F421D">
        <w:trPr>
          <w:divId w:val="1139883726"/>
          <w:tblCellSpacing w:w="15" w:type="dxa"/>
        </w:trPr>
        <w:tc>
          <w:tcPr>
            <w:tcW w:w="5954" w:type="dxa"/>
            <w:vAlign w:val="center"/>
            <w:hideMark/>
          </w:tcPr>
          <w:p w14:paraId="5E1F778D" w14:textId="77777777" w:rsidR="00C57C9F" w:rsidRDefault="00C57C9F">
            <w:pPr>
              <w:rPr>
                <w:rFonts w:eastAsia="Times New Roman" w:cs="Times New Roman"/>
              </w:rPr>
            </w:pPr>
          </w:p>
        </w:tc>
        <w:tc>
          <w:tcPr>
            <w:tcW w:w="1813" w:type="dxa"/>
            <w:vAlign w:val="center"/>
            <w:hideMark/>
          </w:tcPr>
          <w:p w14:paraId="783A523C" w14:textId="77777777" w:rsidR="00C57C9F" w:rsidRDefault="00C57C9F">
            <w:pPr>
              <w:rPr>
                <w:rFonts w:eastAsia="Times New Roman" w:cs="Times New Roman"/>
              </w:rPr>
            </w:pPr>
          </w:p>
        </w:tc>
        <w:tc>
          <w:tcPr>
            <w:tcW w:w="1219" w:type="dxa"/>
            <w:vAlign w:val="center"/>
            <w:hideMark/>
          </w:tcPr>
          <w:p w14:paraId="7071B33E" w14:textId="77777777" w:rsidR="00C57C9F" w:rsidRDefault="00C57C9F" w:rsidP="006F421D">
            <w:pPr>
              <w:pStyle w:val="3fins-table-figures"/>
              <w:jc w:val="right"/>
              <w:rPr>
                <w:rFonts w:cs="Times New Roman"/>
              </w:rPr>
            </w:pPr>
            <w:r>
              <w:rPr>
                <w:rStyle w:val="fins-bold"/>
                <w:rFonts w:cs="Times New Roman"/>
              </w:rPr>
              <w:t>2014</w:t>
            </w:r>
          </w:p>
        </w:tc>
        <w:tc>
          <w:tcPr>
            <w:tcW w:w="974" w:type="dxa"/>
            <w:vAlign w:val="center"/>
            <w:hideMark/>
          </w:tcPr>
          <w:p w14:paraId="54F63DA5" w14:textId="77777777" w:rsidR="00C57C9F" w:rsidRDefault="00C57C9F" w:rsidP="006F421D">
            <w:pPr>
              <w:pStyle w:val="3fins-table-figures"/>
              <w:jc w:val="right"/>
              <w:rPr>
                <w:rFonts w:cs="Times New Roman"/>
              </w:rPr>
            </w:pPr>
            <w:r>
              <w:rPr>
                <w:rFonts w:cs="Times New Roman"/>
              </w:rPr>
              <w:t>2013</w:t>
            </w:r>
          </w:p>
        </w:tc>
      </w:tr>
      <w:tr w:rsidR="00C57C9F" w14:paraId="36973CEC" w14:textId="77777777" w:rsidTr="006F421D">
        <w:trPr>
          <w:divId w:val="1139883726"/>
          <w:tblCellSpacing w:w="15" w:type="dxa"/>
        </w:trPr>
        <w:tc>
          <w:tcPr>
            <w:tcW w:w="5954" w:type="dxa"/>
            <w:vAlign w:val="center"/>
            <w:hideMark/>
          </w:tcPr>
          <w:p w14:paraId="0FA30F17" w14:textId="77777777" w:rsidR="00C57C9F" w:rsidRDefault="00C57C9F">
            <w:pPr>
              <w:rPr>
                <w:rFonts w:eastAsia="Times New Roman" w:cs="Times New Roman"/>
              </w:rPr>
            </w:pPr>
          </w:p>
        </w:tc>
        <w:tc>
          <w:tcPr>
            <w:tcW w:w="1813" w:type="dxa"/>
            <w:vAlign w:val="center"/>
            <w:hideMark/>
          </w:tcPr>
          <w:p w14:paraId="7D8697C7" w14:textId="77777777" w:rsidR="00C57C9F" w:rsidRDefault="00C57C9F">
            <w:pPr>
              <w:rPr>
                <w:rFonts w:eastAsia="Times New Roman" w:cs="Times New Roman"/>
              </w:rPr>
            </w:pPr>
          </w:p>
        </w:tc>
        <w:tc>
          <w:tcPr>
            <w:tcW w:w="1219" w:type="dxa"/>
            <w:vAlign w:val="center"/>
            <w:hideMark/>
          </w:tcPr>
          <w:p w14:paraId="2F79B6DD" w14:textId="77777777" w:rsidR="00C57C9F" w:rsidRDefault="00C57C9F" w:rsidP="006F421D">
            <w:pPr>
              <w:pStyle w:val="3fins-table-figures"/>
              <w:jc w:val="right"/>
              <w:rPr>
                <w:rFonts w:cs="Times New Roman"/>
              </w:rPr>
            </w:pPr>
            <w:r>
              <w:rPr>
                <w:rStyle w:val="fins-bold"/>
                <w:rFonts w:cs="Times New Roman"/>
              </w:rPr>
              <w:t>$’000</w:t>
            </w:r>
          </w:p>
        </w:tc>
        <w:tc>
          <w:tcPr>
            <w:tcW w:w="974" w:type="dxa"/>
            <w:vAlign w:val="center"/>
            <w:hideMark/>
          </w:tcPr>
          <w:p w14:paraId="6B6902A4" w14:textId="77777777" w:rsidR="00C57C9F" w:rsidRDefault="00C57C9F" w:rsidP="006F421D">
            <w:pPr>
              <w:pStyle w:val="3fins-table-figures"/>
              <w:jc w:val="right"/>
              <w:rPr>
                <w:rFonts w:cs="Times New Roman"/>
              </w:rPr>
            </w:pPr>
            <w:r>
              <w:rPr>
                <w:rFonts w:cs="Times New Roman"/>
              </w:rPr>
              <w:t>$’000</w:t>
            </w:r>
          </w:p>
        </w:tc>
      </w:tr>
      <w:tr w:rsidR="00C57C9F" w14:paraId="15E197D3" w14:textId="77777777" w:rsidTr="006F421D">
        <w:trPr>
          <w:divId w:val="1139883726"/>
          <w:tblCellSpacing w:w="15" w:type="dxa"/>
        </w:trPr>
        <w:tc>
          <w:tcPr>
            <w:tcW w:w="5954" w:type="dxa"/>
            <w:vAlign w:val="center"/>
            <w:hideMark/>
          </w:tcPr>
          <w:p w14:paraId="63090093" w14:textId="77777777" w:rsidR="00C57C9F" w:rsidRDefault="00C57C9F">
            <w:pPr>
              <w:pStyle w:val="1heading-3"/>
              <w:rPr>
                <w:rFonts w:cs="Times New Roman"/>
              </w:rPr>
            </w:pPr>
            <w:r>
              <w:rPr>
                <w:rFonts w:cs="Times New Roman"/>
              </w:rPr>
              <w:t>Note 9A: Employee Provisions</w:t>
            </w:r>
          </w:p>
        </w:tc>
        <w:tc>
          <w:tcPr>
            <w:tcW w:w="1813" w:type="dxa"/>
            <w:vAlign w:val="center"/>
            <w:hideMark/>
          </w:tcPr>
          <w:p w14:paraId="6B67F53F" w14:textId="77777777" w:rsidR="00C57C9F" w:rsidRDefault="00C57C9F">
            <w:pPr>
              <w:rPr>
                <w:rFonts w:eastAsia="Times New Roman" w:cs="Times New Roman"/>
              </w:rPr>
            </w:pPr>
          </w:p>
        </w:tc>
        <w:tc>
          <w:tcPr>
            <w:tcW w:w="1219" w:type="dxa"/>
            <w:vAlign w:val="center"/>
            <w:hideMark/>
          </w:tcPr>
          <w:p w14:paraId="0E3856AB" w14:textId="77777777" w:rsidR="00C57C9F" w:rsidRDefault="00C57C9F" w:rsidP="006F421D">
            <w:pPr>
              <w:jc w:val="right"/>
              <w:rPr>
                <w:rFonts w:eastAsia="Times New Roman" w:cs="Times New Roman"/>
              </w:rPr>
            </w:pPr>
          </w:p>
        </w:tc>
        <w:tc>
          <w:tcPr>
            <w:tcW w:w="974" w:type="dxa"/>
            <w:vAlign w:val="center"/>
            <w:hideMark/>
          </w:tcPr>
          <w:p w14:paraId="22619D70" w14:textId="77777777" w:rsidR="00C57C9F" w:rsidRDefault="00C57C9F" w:rsidP="006F421D">
            <w:pPr>
              <w:jc w:val="right"/>
              <w:rPr>
                <w:rFonts w:eastAsia="Times New Roman" w:cs="Times New Roman"/>
              </w:rPr>
            </w:pPr>
          </w:p>
        </w:tc>
      </w:tr>
      <w:tr w:rsidR="00C57C9F" w14:paraId="54F50876" w14:textId="77777777" w:rsidTr="006F421D">
        <w:trPr>
          <w:divId w:val="1139883726"/>
          <w:tblCellSpacing w:w="15" w:type="dxa"/>
        </w:trPr>
        <w:tc>
          <w:tcPr>
            <w:tcW w:w="5954" w:type="dxa"/>
            <w:vAlign w:val="center"/>
            <w:hideMark/>
          </w:tcPr>
          <w:p w14:paraId="0A8A2DBB" w14:textId="77777777" w:rsidR="00C57C9F" w:rsidRDefault="00C57C9F">
            <w:pPr>
              <w:pStyle w:val="3fins-table"/>
              <w:rPr>
                <w:rFonts w:cs="Times New Roman"/>
              </w:rPr>
            </w:pPr>
            <w:r>
              <w:rPr>
                <w:rFonts w:cs="Times New Roman"/>
              </w:rPr>
              <w:t>Leave</w:t>
            </w:r>
          </w:p>
        </w:tc>
        <w:tc>
          <w:tcPr>
            <w:tcW w:w="1813" w:type="dxa"/>
            <w:vAlign w:val="center"/>
            <w:hideMark/>
          </w:tcPr>
          <w:p w14:paraId="72091B9F" w14:textId="77777777" w:rsidR="00C57C9F" w:rsidRDefault="00C57C9F">
            <w:pPr>
              <w:rPr>
                <w:rFonts w:eastAsia="Times New Roman" w:cs="Times New Roman"/>
              </w:rPr>
            </w:pPr>
          </w:p>
        </w:tc>
        <w:tc>
          <w:tcPr>
            <w:tcW w:w="1219" w:type="dxa"/>
            <w:vAlign w:val="center"/>
            <w:hideMark/>
          </w:tcPr>
          <w:p w14:paraId="6275A7E8" w14:textId="77777777" w:rsidR="00C57C9F" w:rsidRDefault="00C57C9F" w:rsidP="006F421D">
            <w:pPr>
              <w:pStyle w:val="3fins-table-figures"/>
              <w:jc w:val="right"/>
              <w:rPr>
                <w:rFonts w:cs="Times New Roman"/>
              </w:rPr>
            </w:pPr>
            <w:r>
              <w:rPr>
                <w:rStyle w:val="fins-bold"/>
                <w:rFonts w:cs="Times New Roman"/>
              </w:rPr>
              <w:t xml:space="preserve">1,504 </w:t>
            </w:r>
          </w:p>
        </w:tc>
        <w:tc>
          <w:tcPr>
            <w:tcW w:w="974" w:type="dxa"/>
            <w:vAlign w:val="center"/>
            <w:hideMark/>
          </w:tcPr>
          <w:p w14:paraId="56B766F1" w14:textId="77777777" w:rsidR="00C57C9F" w:rsidRDefault="00C57C9F" w:rsidP="006F421D">
            <w:pPr>
              <w:pStyle w:val="3fins-table-figures"/>
              <w:jc w:val="right"/>
              <w:rPr>
                <w:rFonts w:cs="Times New Roman"/>
              </w:rPr>
            </w:pPr>
            <w:r>
              <w:rPr>
                <w:rFonts w:cs="Times New Roman"/>
              </w:rPr>
              <w:t xml:space="preserve">1,229 </w:t>
            </w:r>
          </w:p>
        </w:tc>
      </w:tr>
      <w:tr w:rsidR="00C57C9F" w14:paraId="1A8019C0" w14:textId="77777777" w:rsidTr="006F421D">
        <w:trPr>
          <w:divId w:val="1139883726"/>
          <w:tblCellSpacing w:w="15" w:type="dxa"/>
        </w:trPr>
        <w:tc>
          <w:tcPr>
            <w:tcW w:w="5954" w:type="dxa"/>
            <w:vAlign w:val="center"/>
            <w:hideMark/>
          </w:tcPr>
          <w:p w14:paraId="575279B2" w14:textId="77777777" w:rsidR="00C57C9F" w:rsidRDefault="00C57C9F">
            <w:pPr>
              <w:pStyle w:val="3fins-table"/>
              <w:rPr>
                <w:rFonts w:cs="Times New Roman"/>
              </w:rPr>
            </w:pPr>
            <w:r>
              <w:rPr>
                <w:rStyle w:val="fins-bold"/>
                <w:rFonts w:cs="Times New Roman"/>
              </w:rPr>
              <w:t>Total employee provisions</w:t>
            </w:r>
          </w:p>
        </w:tc>
        <w:tc>
          <w:tcPr>
            <w:tcW w:w="1813" w:type="dxa"/>
            <w:vAlign w:val="center"/>
            <w:hideMark/>
          </w:tcPr>
          <w:p w14:paraId="121391E9" w14:textId="77777777" w:rsidR="00C57C9F" w:rsidRDefault="00C57C9F">
            <w:pPr>
              <w:rPr>
                <w:rFonts w:eastAsia="Times New Roman" w:cs="Times New Roman"/>
              </w:rPr>
            </w:pPr>
          </w:p>
        </w:tc>
        <w:tc>
          <w:tcPr>
            <w:tcW w:w="1219" w:type="dxa"/>
            <w:tcBorders>
              <w:top w:val="single" w:sz="4" w:space="0" w:color="0D0D0D" w:themeColor="text1" w:themeTint="F2"/>
              <w:bottom w:val="single" w:sz="4" w:space="0" w:color="0D0D0D" w:themeColor="text1" w:themeTint="F2"/>
            </w:tcBorders>
            <w:vAlign w:val="center"/>
            <w:hideMark/>
          </w:tcPr>
          <w:p w14:paraId="13D14EDF" w14:textId="77777777" w:rsidR="00C57C9F" w:rsidRDefault="00C57C9F" w:rsidP="006F421D">
            <w:pPr>
              <w:pStyle w:val="3fins-table-figures"/>
              <w:jc w:val="right"/>
              <w:rPr>
                <w:rFonts w:cs="Times New Roman"/>
              </w:rPr>
            </w:pPr>
            <w:r>
              <w:rPr>
                <w:rStyle w:val="fins-bold"/>
                <w:rFonts w:cs="Times New Roman"/>
              </w:rPr>
              <w:t xml:space="preserve">1,504 </w:t>
            </w:r>
          </w:p>
        </w:tc>
        <w:tc>
          <w:tcPr>
            <w:tcW w:w="974" w:type="dxa"/>
            <w:tcBorders>
              <w:top w:val="single" w:sz="4" w:space="0" w:color="0D0D0D" w:themeColor="text1" w:themeTint="F2"/>
              <w:bottom w:val="single" w:sz="4" w:space="0" w:color="0D0D0D" w:themeColor="text1" w:themeTint="F2"/>
            </w:tcBorders>
            <w:vAlign w:val="center"/>
            <w:hideMark/>
          </w:tcPr>
          <w:p w14:paraId="5FCB6F77" w14:textId="77777777" w:rsidR="00C57C9F" w:rsidRDefault="00C57C9F" w:rsidP="006F421D">
            <w:pPr>
              <w:pStyle w:val="3fins-table-figures"/>
              <w:jc w:val="right"/>
              <w:rPr>
                <w:rFonts w:cs="Times New Roman"/>
              </w:rPr>
            </w:pPr>
            <w:r>
              <w:rPr>
                <w:rFonts w:cs="Times New Roman"/>
              </w:rPr>
              <w:t xml:space="preserve">1,229 </w:t>
            </w:r>
          </w:p>
        </w:tc>
      </w:tr>
      <w:tr w:rsidR="00C57C9F" w14:paraId="3FD9AE2E" w14:textId="77777777" w:rsidTr="006F421D">
        <w:trPr>
          <w:divId w:val="1139883726"/>
          <w:tblCellSpacing w:w="15" w:type="dxa"/>
        </w:trPr>
        <w:tc>
          <w:tcPr>
            <w:tcW w:w="5954" w:type="dxa"/>
            <w:vAlign w:val="center"/>
            <w:hideMark/>
          </w:tcPr>
          <w:p w14:paraId="3F689558" w14:textId="77777777" w:rsidR="00C57C9F" w:rsidRDefault="00C57C9F">
            <w:pPr>
              <w:rPr>
                <w:rFonts w:eastAsia="Times New Roman" w:cs="Times New Roman"/>
              </w:rPr>
            </w:pPr>
          </w:p>
        </w:tc>
        <w:tc>
          <w:tcPr>
            <w:tcW w:w="1813" w:type="dxa"/>
            <w:vAlign w:val="center"/>
            <w:hideMark/>
          </w:tcPr>
          <w:p w14:paraId="2A362C75" w14:textId="77777777" w:rsidR="00C57C9F" w:rsidRDefault="00C57C9F">
            <w:pPr>
              <w:rPr>
                <w:rFonts w:eastAsia="Times New Roman" w:cs="Times New Roman"/>
              </w:rPr>
            </w:pPr>
          </w:p>
        </w:tc>
        <w:tc>
          <w:tcPr>
            <w:tcW w:w="1219" w:type="dxa"/>
            <w:vAlign w:val="center"/>
            <w:hideMark/>
          </w:tcPr>
          <w:p w14:paraId="7B545606" w14:textId="77777777" w:rsidR="00C57C9F" w:rsidRDefault="00C57C9F" w:rsidP="006F421D">
            <w:pPr>
              <w:jc w:val="right"/>
              <w:rPr>
                <w:rFonts w:eastAsia="Times New Roman" w:cs="Times New Roman"/>
              </w:rPr>
            </w:pPr>
          </w:p>
        </w:tc>
        <w:tc>
          <w:tcPr>
            <w:tcW w:w="974" w:type="dxa"/>
            <w:vAlign w:val="center"/>
            <w:hideMark/>
          </w:tcPr>
          <w:p w14:paraId="6D7515FE" w14:textId="77777777" w:rsidR="00C57C9F" w:rsidRDefault="00C57C9F" w:rsidP="006F421D">
            <w:pPr>
              <w:jc w:val="right"/>
              <w:rPr>
                <w:rFonts w:eastAsia="Times New Roman" w:cs="Times New Roman"/>
              </w:rPr>
            </w:pPr>
          </w:p>
        </w:tc>
      </w:tr>
      <w:tr w:rsidR="00C57C9F" w14:paraId="08343270" w14:textId="77777777" w:rsidTr="006F421D">
        <w:trPr>
          <w:divId w:val="1139883726"/>
          <w:tblCellSpacing w:w="15" w:type="dxa"/>
        </w:trPr>
        <w:tc>
          <w:tcPr>
            <w:tcW w:w="5954" w:type="dxa"/>
            <w:vAlign w:val="center"/>
            <w:hideMark/>
          </w:tcPr>
          <w:p w14:paraId="1CFBECC3" w14:textId="77777777" w:rsidR="00C57C9F" w:rsidRDefault="00C57C9F">
            <w:pPr>
              <w:pStyle w:val="3fins-table"/>
              <w:rPr>
                <w:rFonts w:cs="Times New Roman"/>
              </w:rPr>
            </w:pPr>
            <w:r>
              <w:rPr>
                <w:rStyle w:val="fins-bold"/>
                <w:rFonts w:cs="Times New Roman"/>
              </w:rPr>
              <w:t>Employee provisions are expected to be settled in:</w:t>
            </w:r>
          </w:p>
        </w:tc>
        <w:tc>
          <w:tcPr>
            <w:tcW w:w="1813" w:type="dxa"/>
            <w:vAlign w:val="center"/>
            <w:hideMark/>
          </w:tcPr>
          <w:p w14:paraId="07B6A459" w14:textId="77777777" w:rsidR="00C57C9F" w:rsidRDefault="00C57C9F">
            <w:pPr>
              <w:rPr>
                <w:rFonts w:eastAsia="Times New Roman" w:cs="Times New Roman"/>
              </w:rPr>
            </w:pPr>
          </w:p>
        </w:tc>
        <w:tc>
          <w:tcPr>
            <w:tcW w:w="1219" w:type="dxa"/>
            <w:vAlign w:val="center"/>
            <w:hideMark/>
          </w:tcPr>
          <w:p w14:paraId="04CBA3F5" w14:textId="77777777" w:rsidR="00C57C9F" w:rsidRDefault="00C57C9F" w:rsidP="006F421D">
            <w:pPr>
              <w:jc w:val="right"/>
              <w:rPr>
                <w:rFonts w:eastAsia="Times New Roman" w:cs="Times New Roman"/>
              </w:rPr>
            </w:pPr>
          </w:p>
        </w:tc>
        <w:tc>
          <w:tcPr>
            <w:tcW w:w="974" w:type="dxa"/>
            <w:vAlign w:val="center"/>
            <w:hideMark/>
          </w:tcPr>
          <w:p w14:paraId="135D9545" w14:textId="77777777" w:rsidR="00C57C9F" w:rsidRDefault="00C57C9F" w:rsidP="006F421D">
            <w:pPr>
              <w:jc w:val="right"/>
              <w:rPr>
                <w:rFonts w:eastAsia="Times New Roman" w:cs="Times New Roman"/>
              </w:rPr>
            </w:pPr>
          </w:p>
        </w:tc>
      </w:tr>
      <w:tr w:rsidR="00C57C9F" w14:paraId="2DDC6415" w14:textId="77777777" w:rsidTr="006F421D">
        <w:trPr>
          <w:divId w:val="1139883726"/>
          <w:tblCellSpacing w:w="15" w:type="dxa"/>
        </w:trPr>
        <w:tc>
          <w:tcPr>
            <w:tcW w:w="5954" w:type="dxa"/>
            <w:vAlign w:val="center"/>
            <w:hideMark/>
          </w:tcPr>
          <w:p w14:paraId="557FB945" w14:textId="77777777" w:rsidR="00C57C9F" w:rsidRDefault="00C57C9F" w:rsidP="006F421D">
            <w:pPr>
              <w:pStyle w:val="3fins-table"/>
              <w:ind w:left="567"/>
              <w:rPr>
                <w:rFonts w:cs="Times New Roman"/>
              </w:rPr>
            </w:pPr>
            <w:r>
              <w:rPr>
                <w:rFonts w:cs="Times New Roman"/>
              </w:rPr>
              <w:t>No more than 12 months</w:t>
            </w:r>
          </w:p>
        </w:tc>
        <w:tc>
          <w:tcPr>
            <w:tcW w:w="1813" w:type="dxa"/>
            <w:vAlign w:val="center"/>
            <w:hideMark/>
          </w:tcPr>
          <w:p w14:paraId="1FF369F4" w14:textId="77777777" w:rsidR="00C57C9F" w:rsidRDefault="00C57C9F">
            <w:pPr>
              <w:rPr>
                <w:rFonts w:eastAsia="Times New Roman" w:cs="Times New Roman"/>
              </w:rPr>
            </w:pPr>
          </w:p>
        </w:tc>
        <w:tc>
          <w:tcPr>
            <w:tcW w:w="1219" w:type="dxa"/>
            <w:vAlign w:val="center"/>
            <w:hideMark/>
          </w:tcPr>
          <w:p w14:paraId="58347FF8" w14:textId="77777777" w:rsidR="00C57C9F" w:rsidRDefault="00C57C9F" w:rsidP="006F421D">
            <w:pPr>
              <w:pStyle w:val="3fins-table-figures"/>
              <w:jc w:val="right"/>
              <w:rPr>
                <w:rFonts w:cs="Times New Roman"/>
              </w:rPr>
            </w:pPr>
            <w:r>
              <w:rPr>
                <w:rStyle w:val="fins-bold"/>
                <w:rFonts w:cs="Times New Roman"/>
              </w:rPr>
              <w:t xml:space="preserve">937 </w:t>
            </w:r>
          </w:p>
        </w:tc>
        <w:tc>
          <w:tcPr>
            <w:tcW w:w="974" w:type="dxa"/>
            <w:vAlign w:val="center"/>
            <w:hideMark/>
          </w:tcPr>
          <w:p w14:paraId="711E2E20" w14:textId="77777777" w:rsidR="00C57C9F" w:rsidRDefault="00C57C9F" w:rsidP="006F421D">
            <w:pPr>
              <w:pStyle w:val="3fins-table-figures"/>
              <w:jc w:val="right"/>
              <w:rPr>
                <w:rFonts w:cs="Times New Roman"/>
              </w:rPr>
            </w:pPr>
            <w:r>
              <w:rPr>
                <w:rFonts w:cs="Times New Roman"/>
              </w:rPr>
              <w:t xml:space="preserve">708 </w:t>
            </w:r>
          </w:p>
        </w:tc>
      </w:tr>
      <w:tr w:rsidR="00C57C9F" w14:paraId="772896EE" w14:textId="77777777" w:rsidTr="006F421D">
        <w:trPr>
          <w:divId w:val="1139883726"/>
          <w:tblCellSpacing w:w="15" w:type="dxa"/>
        </w:trPr>
        <w:tc>
          <w:tcPr>
            <w:tcW w:w="5954" w:type="dxa"/>
            <w:vAlign w:val="center"/>
            <w:hideMark/>
          </w:tcPr>
          <w:p w14:paraId="7AF8472D" w14:textId="77777777" w:rsidR="00C57C9F" w:rsidRDefault="00C57C9F" w:rsidP="006F421D">
            <w:pPr>
              <w:pStyle w:val="3fins-table"/>
              <w:ind w:left="567"/>
              <w:rPr>
                <w:rFonts w:cs="Times New Roman"/>
              </w:rPr>
            </w:pPr>
            <w:r>
              <w:rPr>
                <w:rFonts w:cs="Times New Roman"/>
              </w:rPr>
              <w:t>More than 12 months</w:t>
            </w:r>
          </w:p>
        </w:tc>
        <w:tc>
          <w:tcPr>
            <w:tcW w:w="1813" w:type="dxa"/>
            <w:vAlign w:val="center"/>
            <w:hideMark/>
          </w:tcPr>
          <w:p w14:paraId="21CF897A" w14:textId="77777777" w:rsidR="00C57C9F" w:rsidRDefault="00C57C9F">
            <w:pPr>
              <w:rPr>
                <w:rFonts w:eastAsia="Times New Roman" w:cs="Times New Roman"/>
              </w:rPr>
            </w:pPr>
          </w:p>
        </w:tc>
        <w:tc>
          <w:tcPr>
            <w:tcW w:w="1219" w:type="dxa"/>
            <w:vAlign w:val="center"/>
            <w:hideMark/>
          </w:tcPr>
          <w:p w14:paraId="31D9D82D" w14:textId="77777777" w:rsidR="00C57C9F" w:rsidRDefault="00C57C9F" w:rsidP="006F421D">
            <w:pPr>
              <w:pStyle w:val="3fins-table-figures"/>
              <w:jc w:val="right"/>
              <w:rPr>
                <w:rFonts w:cs="Times New Roman"/>
              </w:rPr>
            </w:pPr>
            <w:r>
              <w:rPr>
                <w:rStyle w:val="fins-bold"/>
                <w:rFonts w:cs="Times New Roman"/>
              </w:rPr>
              <w:t xml:space="preserve">567 </w:t>
            </w:r>
          </w:p>
        </w:tc>
        <w:tc>
          <w:tcPr>
            <w:tcW w:w="974" w:type="dxa"/>
            <w:vAlign w:val="center"/>
            <w:hideMark/>
          </w:tcPr>
          <w:p w14:paraId="0D46FB6F" w14:textId="77777777" w:rsidR="00C57C9F" w:rsidRDefault="00C57C9F" w:rsidP="006F421D">
            <w:pPr>
              <w:pStyle w:val="3fins-table-figures"/>
              <w:jc w:val="right"/>
              <w:rPr>
                <w:rFonts w:cs="Times New Roman"/>
              </w:rPr>
            </w:pPr>
            <w:r>
              <w:rPr>
                <w:rFonts w:cs="Times New Roman"/>
              </w:rPr>
              <w:t xml:space="preserve">521 </w:t>
            </w:r>
          </w:p>
        </w:tc>
      </w:tr>
      <w:tr w:rsidR="00C57C9F" w14:paraId="1EAD1C0B" w14:textId="77777777" w:rsidTr="006F421D">
        <w:trPr>
          <w:divId w:val="1139883726"/>
          <w:tblCellSpacing w:w="15" w:type="dxa"/>
        </w:trPr>
        <w:tc>
          <w:tcPr>
            <w:tcW w:w="5954" w:type="dxa"/>
            <w:vAlign w:val="center"/>
            <w:hideMark/>
          </w:tcPr>
          <w:p w14:paraId="6B331ED8" w14:textId="77777777" w:rsidR="00C57C9F" w:rsidRDefault="00C57C9F">
            <w:pPr>
              <w:pStyle w:val="3fins-table"/>
              <w:rPr>
                <w:rFonts w:cs="Times New Roman"/>
              </w:rPr>
            </w:pPr>
            <w:r>
              <w:rPr>
                <w:rStyle w:val="fins-bold"/>
                <w:rFonts w:cs="Times New Roman"/>
              </w:rPr>
              <w:t>Total employee provisions</w:t>
            </w:r>
          </w:p>
        </w:tc>
        <w:tc>
          <w:tcPr>
            <w:tcW w:w="1813" w:type="dxa"/>
            <w:vAlign w:val="center"/>
            <w:hideMark/>
          </w:tcPr>
          <w:p w14:paraId="23334460" w14:textId="77777777" w:rsidR="00C57C9F" w:rsidRDefault="00C57C9F">
            <w:pPr>
              <w:rPr>
                <w:rFonts w:eastAsia="Times New Roman" w:cs="Times New Roman"/>
              </w:rPr>
            </w:pPr>
          </w:p>
        </w:tc>
        <w:tc>
          <w:tcPr>
            <w:tcW w:w="1219" w:type="dxa"/>
            <w:tcBorders>
              <w:top w:val="single" w:sz="4" w:space="0" w:color="0D0D0D" w:themeColor="text1" w:themeTint="F2"/>
              <w:bottom w:val="single" w:sz="4" w:space="0" w:color="0D0D0D" w:themeColor="text1" w:themeTint="F2"/>
            </w:tcBorders>
            <w:vAlign w:val="center"/>
            <w:hideMark/>
          </w:tcPr>
          <w:p w14:paraId="00D2CCC1" w14:textId="77777777" w:rsidR="00C57C9F" w:rsidRDefault="00C57C9F" w:rsidP="006F421D">
            <w:pPr>
              <w:pStyle w:val="3fins-table-figures"/>
              <w:jc w:val="right"/>
              <w:rPr>
                <w:rFonts w:cs="Times New Roman"/>
              </w:rPr>
            </w:pPr>
            <w:r>
              <w:rPr>
                <w:rStyle w:val="fins-bold"/>
                <w:rFonts w:cs="Times New Roman"/>
              </w:rPr>
              <w:t xml:space="preserve">1,504 </w:t>
            </w:r>
          </w:p>
        </w:tc>
        <w:tc>
          <w:tcPr>
            <w:tcW w:w="974" w:type="dxa"/>
            <w:tcBorders>
              <w:top w:val="single" w:sz="4" w:space="0" w:color="0D0D0D" w:themeColor="text1" w:themeTint="F2"/>
              <w:bottom w:val="single" w:sz="4" w:space="0" w:color="0D0D0D" w:themeColor="text1" w:themeTint="F2"/>
            </w:tcBorders>
            <w:vAlign w:val="center"/>
            <w:hideMark/>
          </w:tcPr>
          <w:p w14:paraId="3205AC3B" w14:textId="77777777" w:rsidR="00C57C9F" w:rsidRDefault="00C57C9F" w:rsidP="006F421D">
            <w:pPr>
              <w:pStyle w:val="3fins-table-figures"/>
              <w:jc w:val="right"/>
              <w:rPr>
                <w:rFonts w:cs="Times New Roman"/>
              </w:rPr>
            </w:pPr>
            <w:r>
              <w:rPr>
                <w:rFonts w:cs="Times New Roman"/>
              </w:rPr>
              <w:t xml:space="preserve">1,229 </w:t>
            </w:r>
          </w:p>
        </w:tc>
      </w:tr>
      <w:tr w:rsidR="00C57C9F" w14:paraId="0F7CEC4F" w14:textId="77777777" w:rsidTr="006F421D">
        <w:trPr>
          <w:divId w:val="1139883726"/>
          <w:tblCellSpacing w:w="15" w:type="dxa"/>
        </w:trPr>
        <w:tc>
          <w:tcPr>
            <w:tcW w:w="5954" w:type="dxa"/>
            <w:vAlign w:val="center"/>
            <w:hideMark/>
          </w:tcPr>
          <w:p w14:paraId="72199158" w14:textId="77777777" w:rsidR="00C57C9F" w:rsidRDefault="00C57C9F">
            <w:pPr>
              <w:rPr>
                <w:rFonts w:eastAsia="Times New Roman" w:cs="Times New Roman"/>
              </w:rPr>
            </w:pPr>
          </w:p>
        </w:tc>
        <w:tc>
          <w:tcPr>
            <w:tcW w:w="1813" w:type="dxa"/>
            <w:vAlign w:val="center"/>
            <w:hideMark/>
          </w:tcPr>
          <w:p w14:paraId="59E9E021" w14:textId="77777777" w:rsidR="00C57C9F" w:rsidRDefault="00C57C9F">
            <w:pPr>
              <w:rPr>
                <w:rFonts w:eastAsia="Times New Roman" w:cs="Times New Roman"/>
              </w:rPr>
            </w:pPr>
          </w:p>
        </w:tc>
        <w:tc>
          <w:tcPr>
            <w:tcW w:w="1219" w:type="dxa"/>
            <w:vAlign w:val="center"/>
            <w:hideMark/>
          </w:tcPr>
          <w:p w14:paraId="7C483DA8" w14:textId="77777777" w:rsidR="00C57C9F" w:rsidRDefault="00C57C9F" w:rsidP="006F421D">
            <w:pPr>
              <w:jc w:val="right"/>
              <w:rPr>
                <w:rFonts w:eastAsia="Times New Roman" w:cs="Times New Roman"/>
              </w:rPr>
            </w:pPr>
          </w:p>
        </w:tc>
        <w:tc>
          <w:tcPr>
            <w:tcW w:w="974" w:type="dxa"/>
            <w:vAlign w:val="center"/>
            <w:hideMark/>
          </w:tcPr>
          <w:p w14:paraId="7A7256E8" w14:textId="77777777" w:rsidR="00C57C9F" w:rsidRDefault="00C57C9F" w:rsidP="006F421D">
            <w:pPr>
              <w:jc w:val="right"/>
              <w:rPr>
                <w:rFonts w:eastAsia="Times New Roman" w:cs="Times New Roman"/>
              </w:rPr>
            </w:pPr>
          </w:p>
        </w:tc>
      </w:tr>
      <w:tr w:rsidR="00C57C9F" w14:paraId="7E95CCDC" w14:textId="77777777" w:rsidTr="006F421D">
        <w:trPr>
          <w:divId w:val="1139883726"/>
          <w:tblCellSpacing w:w="15" w:type="dxa"/>
        </w:trPr>
        <w:tc>
          <w:tcPr>
            <w:tcW w:w="5954" w:type="dxa"/>
            <w:vAlign w:val="center"/>
            <w:hideMark/>
          </w:tcPr>
          <w:p w14:paraId="46824713" w14:textId="77777777" w:rsidR="00C57C9F" w:rsidRDefault="00C57C9F">
            <w:pPr>
              <w:pStyle w:val="1heading-3"/>
              <w:rPr>
                <w:rFonts w:cs="Times New Roman"/>
              </w:rPr>
            </w:pPr>
            <w:r>
              <w:rPr>
                <w:rFonts w:cs="Times New Roman"/>
              </w:rPr>
              <w:t>Note 9B: Other Provisions</w:t>
            </w:r>
          </w:p>
        </w:tc>
        <w:tc>
          <w:tcPr>
            <w:tcW w:w="1813" w:type="dxa"/>
            <w:vAlign w:val="center"/>
            <w:hideMark/>
          </w:tcPr>
          <w:p w14:paraId="0EED7C79" w14:textId="77777777" w:rsidR="00C57C9F" w:rsidRDefault="00C57C9F">
            <w:pPr>
              <w:rPr>
                <w:rFonts w:eastAsia="Times New Roman" w:cs="Times New Roman"/>
              </w:rPr>
            </w:pPr>
          </w:p>
        </w:tc>
        <w:tc>
          <w:tcPr>
            <w:tcW w:w="1219" w:type="dxa"/>
            <w:vAlign w:val="center"/>
            <w:hideMark/>
          </w:tcPr>
          <w:p w14:paraId="47CCD5E5" w14:textId="77777777" w:rsidR="00C57C9F" w:rsidRDefault="00C57C9F" w:rsidP="006F421D">
            <w:pPr>
              <w:jc w:val="right"/>
              <w:rPr>
                <w:rFonts w:eastAsia="Times New Roman" w:cs="Times New Roman"/>
              </w:rPr>
            </w:pPr>
          </w:p>
        </w:tc>
        <w:tc>
          <w:tcPr>
            <w:tcW w:w="974" w:type="dxa"/>
            <w:vAlign w:val="center"/>
            <w:hideMark/>
          </w:tcPr>
          <w:p w14:paraId="183684EA" w14:textId="77777777" w:rsidR="00C57C9F" w:rsidRDefault="00C57C9F" w:rsidP="006F421D">
            <w:pPr>
              <w:jc w:val="right"/>
              <w:rPr>
                <w:rFonts w:eastAsia="Times New Roman" w:cs="Times New Roman"/>
              </w:rPr>
            </w:pPr>
          </w:p>
        </w:tc>
      </w:tr>
      <w:tr w:rsidR="00C57C9F" w14:paraId="55004680" w14:textId="77777777" w:rsidTr="006F421D">
        <w:trPr>
          <w:divId w:val="1139883726"/>
          <w:tblCellSpacing w:w="15" w:type="dxa"/>
        </w:trPr>
        <w:tc>
          <w:tcPr>
            <w:tcW w:w="5954" w:type="dxa"/>
            <w:vAlign w:val="center"/>
            <w:hideMark/>
          </w:tcPr>
          <w:p w14:paraId="53E11B8B" w14:textId="77777777" w:rsidR="00C57C9F" w:rsidRDefault="00C57C9F">
            <w:pPr>
              <w:pStyle w:val="3fins-table"/>
              <w:rPr>
                <w:rFonts w:cs="Times New Roman"/>
              </w:rPr>
            </w:pPr>
            <w:r>
              <w:rPr>
                <w:rFonts w:cs="Times New Roman"/>
              </w:rPr>
              <w:t>Provision for restoration obligations</w:t>
            </w:r>
          </w:p>
        </w:tc>
        <w:tc>
          <w:tcPr>
            <w:tcW w:w="1813" w:type="dxa"/>
            <w:vAlign w:val="center"/>
            <w:hideMark/>
          </w:tcPr>
          <w:p w14:paraId="7DEA74A4" w14:textId="77777777" w:rsidR="00C57C9F" w:rsidRDefault="00C57C9F">
            <w:pPr>
              <w:rPr>
                <w:rFonts w:eastAsia="Times New Roman" w:cs="Times New Roman"/>
              </w:rPr>
            </w:pPr>
          </w:p>
        </w:tc>
        <w:tc>
          <w:tcPr>
            <w:tcW w:w="1219" w:type="dxa"/>
            <w:vAlign w:val="center"/>
            <w:hideMark/>
          </w:tcPr>
          <w:p w14:paraId="2689ACEB" w14:textId="77777777" w:rsidR="00C57C9F" w:rsidRDefault="00C57C9F" w:rsidP="006F421D">
            <w:pPr>
              <w:pStyle w:val="3fins-table-figures"/>
              <w:jc w:val="right"/>
              <w:rPr>
                <w:rFonts w:cs="Times New Roman"/>
              </w:rPr>
            </w:pPr>
            <w:r>
              <w:rPr>
                <w:rStyle w:val="fins-bold"/>
                <w:rFonts w:cs="Times New Roman"/>
              </w:rPr>
              <w:t>255</w:t>
            </w:r>
          </w:p>
        </w:tc>
        <w:tc>
          <w:tcPr>
            <w:tcW w:w="974" w:type="dxa"/>
            <w:vAlign w:val="center"/>
            <w:hideMark/>
          </w:tcPr>
          <w:p w14:paraId="0ABB783C" w14:textId="77777777" w:rsidR="00C57C9F" w:rsidRDefault="00C57C9F" w:rsidP="006F421D">
            <w:pPr>
              <w:pStyle w:val="3fins-table-figures"/>
              <w:jc w:val="right"/>
              <w:rPr>
                <w:rFonts w:cs="Times New Roman"/>
              </w:rPr>
            </w:pPr>
            <w:r>
              <w:rPr>
                <w:rFonts w:cs="Times New Roman"/>
              </w:rPr>
              <w:t xml:space="preserve">249 </w:t>
            </w:r>
          </w:p>
        </w:tc>
      </w:tr>
      <w:tr w:rsidR="00C57C9F" w14:paraId="613B876B" w14:textId="77777777" w:rsidTr="006F421D">
        <w:trPr>
          <w:divId w:val="1139883726"/>
          <w:tblCellSpacing w:w="15" w:type="dxa"/>
        </w:trPr>
        <w:tc>
          <w:tcPr>
            <w:tcW w:w="5954" w:type="dxa"/>
            <w:vAlign w:val="center"/>
            <w:hideMark/>
          </w:tcPr>
          <w:p w14:paraId="069D78E4" w14:textId="77777777" w:rsidR="00C57C9F" w:rsidRDefault="00C57C9F">
            <w:pPr>
              <w:pStyle w:val="3fins-table"/>
              <w:rPr>
                <w:rFonts w:cs="Times New Roman"/>
              </w:rPr>
            </w:pPr>
            <w:r>
              <w:rPr>
                <w:rFonts w:cs="Times New Roman"/>
              </w:rPr>
              <w:t>Provision for surplus lease space</w:t>
            </w:r>
          </w:p>
        </w:tc>
        <w:tc>
          <w:tcPr>
            <w:tcW w:w="1813" w:type="dxa"/>
            <w:vAlign w:val="center"/>
            <w:hideMark/>
          </w:tcPr>
          <w:p w14:paraId="623374E1" w14:textId="77777777" w:rsidR="00C57C9F" w:rsidRDefault="00C57C9F">
            <w:pPr>
              <w:rPr>
                <w:rFonts w:eastAsia="Times New Roman" w:cs="Times New Roman"/>
              </w:rPr>
            </w:pPr>
          </w:p>
        </w:tc>
        <w:tc>
          <w:tcPr>
            <w:tcW w:w="1219" w:type="dxa"/>
            <w:vAlign w:val="center"/>
            <w:hideMark/>
          </w:tcPr>
          <w:p w14:paraId="6B17C276" w14:textId="77777777" w:rsidR="00C57C9F" w:rsidRDefault="00C57C9F" w:rsidP="006F421D">
            <w:pPr>
              <w:pStyle w:val="3fins-table-figures"/>
              <w:jc w:val="right"/>
              <w:rPr>
                <w:rFonts w:cs="Times New Roman"/>
              </w:rPr>
            </w:pPr>
            <w:r>
              <w:rPr>
                <w:rStyle w:val="fins-bold"/>
                <w:rFonts w:cs="Times New Roman"/>
              </w:rPr>
              <w:t xml:space="preserve">134 </w:t>
            </w:r>
          </w:p>
        </w:tc>
        <w:tc>
          <w:tcPr>
            <w:tcW w:w="974" w:type="dxa"/>
            <w:vAlign w:val="center"/>
            <w:hideMark/>
          </w:tcPr>
          <w:p w14:paraId="098C2A32" w14:textId="77777777" w:rsidR="00C57C9F" w:rsidRDefault="00C57C9F" w:rsidP="006F421D">
            <w:pPr>
              <w:pStyle w:val="3fins-table-figures"/>
              <w:jc w:val="right"/>
              <w:rPr>
                <w:rFonts w:cs="Times New Roman"/>
              </w:rPr>
            </w:pPr>
            <w:r>
              <w:rPr>
                <w:rStyle w:val="fins-bold"/>
                <w:rFonts w:cs="Times New Roman"/>
              </w:rPr>
              <w:t>–</w:t>
            </w:r>
          </w:p>
        </w:tc>
      </w:tr>
      <w:tr w:rsidR="00C57C9F" w14:paraId="713F7321" w14:textId="77777777" w:rsidTr="006F421D">
        <w:trPr>
          <w:divId w:val="1139883726"/>
          <w:tblCellSpacing w:w="15" w:type="dxa"/>
        </w:trPr>
        <w:tc>
          <w:tcPr>
            <w:tcW w:w="5954" w:type="dxa"/>
            <w:vAlign w:val="center"/>
            <w:hideMark/>
          </w:tcPr>
          <w:p w14:paraId="43C70A1C" w14:textId="77777777" w:rsidR="00C57C9F" w:rsidRDefault="00C57C9F">
            <w:pPr>
              <w:pStyle w:val="3fins-table"/>
              <w:rPr>
                <w:rFonts w:cs="Times New Roman"/>
              </w:rPr>
            </w:pPr>
            <w:r>
              <w:rPr>
                <w:rStyle w:val="fins-bold"/>
                <w:rFonts w:cs="Times New Roman"/>
              </w:rPr>
              <w:t>Total other provisions</w:t>
            </w:r>
          </w:p>
        </w:tc>
        <w:tc>
          <w:tcPr>
            <w:tcW w:w="1813" w:type="dxa"/>
            <w:vAlign w:val="center"/>
            <w:hideMark/>
          </w:tcPr>
          <w:p w14:paraId="45DB9FC6" w14:textId="77777777" w:rsidR="00C57C9F" w:rsidRDefault="00C57C9F">
            <w:pPr>
              <w:rPr>
                <w:rFonts w:eastAsia="Times New Roman" w:cs="Times New Roman"/>
              </w:rPr>
            </w:pPr>
          </w:p>
        </w:tc>
        <w:tc>
          <w:tcPr>
            <w:tcW w:w="1219" w:type="dxa"/>
            <w:tcBorders>
              <w:top w:val="single" w:sz="4" w:space="0" w:color="0D0D0D" w:themeColor="text1" w:themeTint="F2"/>
              <w:bottom w:val="single" w:sz="4" w:space="0" w:color="0D0D0D" w:themeColor="text1" w:themeTint="F2"/>
            </w:tcBorders>
            <w:vAlign w:val="center"/>
            <w:hideMark/>
          </w:tcPr>
          <w:p w14:paraId="158D5356" w14:textId="77777777" w:rsidR="00C57C9F" w:rsidRDefault="00C57C9F" w:rsidP="006F421D">
            <w:pPr>
              <w:pStyle w:val="3fins-table-figures"/>
              <w:jc w:val="right"/>
              <w:rPr>
                <w:rFonts w:cs="Times New Roman"/>
              </w:rPr>
            </w:pPr>
            <w:r>
              <w:rPr>
                <w:rStyle w:val="fins-bold"/>
                <w:rFonts w:cs="Times New Roman"/>
              </w:rPr>
              <w:t xml:space="preserve">389 </w:t>
            </w:r>
          </w:p>
        </w:tc>
        <w:tc>
          <w:tcPr>
            <w:tcW w:w="974" w:type="dxa"/>
            <w:tcBorders>
              <w:top w:val="single" w:sz="4" w:space="0" w:color="0D0D0D" w:themeColor="text1" w:themeTint="F2"/>
              <w:bottom w:val="single" w:sz="4" w:space="0" w:color="0D0D0D" w:themeColor="text1" w:themeTint="F2"/>
            </w:tcBorders>
            <w:vAlign w:val="center"/>
            <w:hideMark/>
          </w:tcPr>
          <w:p w14:paraId="69C2CD00" w14:textId="77777777" w:rsidR="00C57C9F" w:rsidRDefault="00C57C9F" w:rsidP="006F421D">
            <w:pPr>
              <w:pStyle w:val="3fins-table-figures"/>
              <w:jc w:val="right"/>
              <w:rPr>
                <w:rFonts w:cs="Times New Roman"/>
              </w:rPr>
            </w:pPr>
            <w:r>
              <w:rPr>
                <w:rFonts w:cs="Times New Roman"/>
              </w:rPr>
              <w:t xml:space="preserve">249 </w:t>
            </w:r>
          </w:p>
        </w:tc>
      </w:tr>
      <w:tr w:rsidR="00C57C9F" w14:paraId="026A7F01" w14:textId="77777777" w:rsidTr="006F421D">
        <w:trPr>
          <w:divId w:val="1139883726"/>
          <w:tblCellSpacing w:w="15" w:type="dxa"/>
        </w:trPr>
        <w:tc>
          <w:tcPr>
            <w:tcW w:w="5954" w:type="dxa"/>
            <w:vAlign w:val="center"/>
            <w:hideMark/>
          </w:tcPr>
          <w:p w14:paraId="2A30BC0A" w14:textId="77777777" w:rsidR="00C57C9F" w:rsidRDefault="00C57C9F">
            <w:pPr>
              <w:rPr>
                <w:rFonts w:eastAsia="Times New Roman" w:cs="Times New Roman"/>
              </w:rPr>
            </w:pPr>
          </w:p>
        </w:tc>
        <w:tc>
          <w:tcPr>
            <w:tcW w:w="1813" w:type="dxa"/>
            <w:vAlign w:val="center"/>
            <w:hideMark/>
          </w:tcPr>
          <w:p w14:paraId="2AAA99A3" w14:textId="77777777" w:rsidR="00C57C9F" w:rsidRDefault="00C57C9F">
            <w:pPr>
              <w:rPr>
                <w:rFonts w:eastAsia="Times New Roman" w:cs="Times New Roman"/>
              </w:rPr>
            </w:pPr>
          </w:p>
        </w:tc>
        <w:tc>
          <w:tcPr>
            <w:tcW w:w="1219" w:type="dxa"/>
            <w:vAlign w:val="center"/>
            <w:hideMark/>
          </w:tcPr>
          <w:p w14:paraId="6DD4B90F" w14:textId="77777777" w:rsidR="00C57C9F" w:rsidRDefault="00C57C9F" w:rsidP="006F421D">
            <w:pPr>
              <w:jc w:val="right"/>
              <w:rPr>
                <w:rFonts w:eastAsia="Times New Roman" w:cs="Times New Roman"/>
              </w:rPr>
            </w:pPr>
          </w:p>
        </w:tc>
        <w:tc>
          <w:tcPr>
            <w:tcW w:w="974" w:type="dxa"/>
            <w:vAlign w:val="center"/>
            <w:hideMark/>
          </w:tcPr>
          <w:p w14:paraId="14CC7328" w14:textId="77777777" w:rsidR="00C57C9F" w:rsidRDefault="00C57C9F" w:rsidP="006F421D">
            <w:pPr>
              <w:jc w:val="right"/>
              <w:rPr>
                <w:rFonts w:eastAsia="Times New Roman" w:cs="Times New Roman"/>
              </w:rPr>
            </w:pPr>
          </w:p>
        </w:tc>
      </w:tr>
      <w:tr w:rsidR="00C57C9F" w14:paraId="6A8D58F4" w14:textId="77777777" w:rsidTr="006F421D">
        <w:trPr>
          <w:divId w:val="1139883726"/>
          <w:tblCellSpacing w:w="15" w:type="dxa"/>
        </w:trPr>
        <w:tc>
          <w:tcPr>
            <w:tcW w:w="5954" w:type="dxa"/>
            <w:vAlign w:val="center"/>
            <w:hideMark/>
          </w:tcPr>
          <w:p w14:paraId="4A97090D" w14:textId="77777777" w:rsidR="00C57C9F" w:rsidRDefault="00C57C9F">
            <w:pPr>
              <w:pStyle w:val="3fins-table"/>
              <w:rPr>
                <w:rFonts w:cs="Times New Roman"/>
              </w:rPr>
            </w:pPr>
            <w:r>
              <w:rPr>
                <w:rStyle w:val="fins-bold"/>
                <w:rFonts w:cs="Times New Roman"/>
              </w:rPr>
              <w:t>Other provisions are expected to be settled in:</w:t>
            </w:r>
          </w:p>
        </w:tc>
        <w:tc>
          <w:tcPr>
            <w:tcW w:w="1813" w:type="dxa"/>
            <w:vAlign w:val="center"/>
            <w:hideMark/>
          </w:tcPr>
          <w:p w14:paraId="1F4320B4" w14:textId="77777777" w:rsidR="00C57C9F" w:rsidRDefault="00C57C9F">
            <w:pPr>
              <w:rPr>
                <w:rFonts w:eastAsia="Times New Roman" w:cs="Times New Roman"/>
              </w:rPr>
            </w:pPr>
          </w:p>
        </w:tc>
        <w:tc>
          <w:tcPr>
            <w:tcW w:w="1219" w:type="dxa"/>
            <w:vAlign w:val="center"/>
            <w:hideMark/>
          </w:tcPr>
          <w:p w14:paraId="6D4A4FDC" w14:textId="77777777" w:rsidR="00C57C9F" w:rsidRDefault="00C57C9F" w:rsidP="006F421D">
            <w:pPr>
              <w:jc w:val="right"/>
              <w:rPr>
                <w:rFonts w:eastAsia="Times New Roman" w:cs="Times New Roman"/>
              </w:rPr>
            </w:pPr>
          </w:p>
        </w:tc>
        <w:tc>
          <w:tcPr>
            <w:tcW w:w="974" w:type="dxa"/>
            <w:vAlign w:val="center"/>
            <w:hideMark/>
          </w:tcPr>
          <w:p w14:paraId="56E6AD25" w14:textId="77777777" w:rsidR="00C57C9F" w:rsidRDefault="00C57C9F" w:rsidP="006F421D">
            <w:pPr>
              <w:jc w:val="right"/>
              <w:rPr>
                <w:rFonts w:eastAsia="Times New Roman" w:cs="Times New Roman"/>
              </w:rPr>
            </w:pPr>
          </w:p>
        </w:tc>
      </w:tr>
      <w:tr w:rsidR="00C57C9F" w14:paraId="0700885C" w14:textId="77777777" w:rsidTr="006F421D">
        <w:trPr>
          <w:divId w:val="1139883726"/>
          <w:tblCellSpacing w:w="15" w:type="dxa"/>
        </w:trPr>
        <w:tc>
          <w:tcPr>
            <w:tcW w:w="5954" w:type="dxa"/>
            <w:vAlign w:val="center"/>
            <w:hideMark/>
          </w:tcPr>
          <w:p w14:paraId="4B9A73CA" w14:textId="77777777" w:rsidR="00C57C9F" w:rsidRDefault="00C57C9F" w:rsidP="006F421D">
            <w:pPr>
              <w:pStyle w:val="3fins-table"/>
              <w:ind w:left="567"/>
              <w:rPr>
                <w:rFonts w:cs="Times New Roman"/>
              </w:rPr>
            </w:pPr>
            <w:r>
              <w:rPr>
                <w:rFonts w:cs="Times New Roman"/>
              </w:rPr>
              <w:t>No more than 12 months</w:t>
            </w:r>
          </w:p>
        </w:tc>
        <w:tc>
          <w:tcPr>
            <w:tcW w:w="1813" w:type="dxa"/>
            <w:vAlign w:val="center"/>
            <w:hideMark/>
          </w:tcPr>
          <w:p w14:paraId="7F58DC7A" w14:textId="77777777" w:rsidR="00C57C9F" w:rsidRDefault="00C57C9F">
            <w:pPr>
              <w:rPr>
                <w:rFonts w:eastAsia="Times New Roman" w:cs="Times New Roman"/>
              </w:rPr>
            </w:pPr>
          </w:p>
        </w:tc>
        <w:tc>
          <w:tcPr>
            <w:tcW w:w="1219" w:type="dxa"/>
            <w:vAlign w:val="center"/>
            <w:hideMark/>
          </w:tcPr>
          <w:p w14:paraId="0F0F3B32" w14:textId="77777777" w:rsidR="00C57C9F" w:rsidRDefault="00C57C9F" w:rsidP="006F421D">
            <w:pPr>
              <w:pStyle w:val="3fins-table-figures"/>
              <w:jc w:val="right"/>
              <w:rPr>
                <w:rFonts w:cs="Times New Roman"/>
              </w:rPr>
            </w:pPr>
            <w:r>
              <w:rPr>
                <w:rStyle w:val="fins-bold"/>
                <w:rFonts w:cs="Times New Roman"/>
              </w:rPr>
              <w:t>389</w:t>
            </w:r>
          </w:p>
        </w:tc>
        <w:tc>
          <w:tcPr>
            <w:tcW w:w="974" w:type="dxa"/>
            <w:vAlign w:val="center"/>
            <w:hideMark/>
          </w:tcPr>
          <w:p w14:paraId="565E9ED7" w14:textId="77777777" w:rsidR="00C57C9F" w:rsidRDefault="00C57C9F" w:rsidP="006F421D">
            <w:pPr>
              <w:pStyle w:val="3fins-table-figures"/>
              <w:jc w:val="right"/>
              <w:rPr>
                <w:rFonts w:cs="Times New Roman"/>
              </w:rPr>
            </w:pPr>
            <w:r>
              <w:rPr>
                <w:rStyle w:val="fins-bold"/>
                <w:rFonts w:cs="Times New Roman"/>
              </w:rPr>
              <w:t>–</w:t>
            </w:r>
          </w:p>
        </w:tc>
      </w:tr>
      <w:tr w:rsidR="00C57C9F" w14:paraId="18D7F48F" w14:textId="77777777" w:rsidTr="006F421D">
        <w:trPr>
          <w:divId w:val="1139883726"/>
          <w:tblCellSpacing w:w="15" w:type="dxa"/>
        </w:trPr>
        <w:tc>
          <w:tcPr>
            <w:tcW w:w="5954" w:type="dxa"/>
            <w:vAlign w:val="center"/>
            <w:hideMark/>
          </w:tcPr>
          <w:p w14:paraId="3A7BD444" w14:textId="77777777" w:rsidR="00C57C9F" w:rsidRDefault="00C57C9F" w:rsidP="006F421D">
            <w:pPr>
              <w:pStyle w:val="3fins-table"/>
              <w:ind w:left="567"/>
              <w:rPr>
                <w:rFonts w:cs="Times New Roman"/>
              </w:rPr>
            </w:pPr>
            <w:r>
              <w:rPr>
                <w:rFonts w:cs="Times New Roman"/>
              </w:rPr>
              <w:t>More than 12 months</w:t>
            </w:r>
          </w:p>
        </w:tc>
        <w:tc>
          <w:tcPr>
            <w:tcW w:w="1813" w:type="dxa"/>
            <w:vAlign w:val="center"/>
            <w:hideMark/>
          </w:tcPr>
          <w:p w14:paraId="3B8AF9F0" w14:textId="77777777" w:rsidR="00C57C9F" w:rsidRDefault="00C57C9F">
            <w:pPr>
              <w:rPr>
                <w:rFonts w:eastAsia="Times New Roman" w:cs="Times New Roman"/>
              </w:rPr>
            </w:pPr>
          </w:p>
        </w:tc>
        <w:tc>
          <w:tcPr>
            <w:tcW w:w="1219" w:type="dxa"/>
            <w:vAlign w:val="center"/>
            <w:hideMark/>
          </w:tcPr>
          <w:p w14:paraId="5DA33FBB" w14:textId="77777777" w:rsidR="00C57C9F" w:rsidRDefault="00C57C9F" w:rsidP="006F421D">
            <w:pPr>
              <w:pStyle w:val="3fins-table-figures"/>
              <w:jc w:val="right"/>
              <w:rPr>
                <w:rFonts w:cs="Times New Roman"/>
              </w:rPr>
            </w:pPr>
            <w:r>
              <w:rPr>
                <w:rStyle w:val="fins-bold"/>
                <w:rFonts w:cs="Times New Roman"/>
              </w:rPr>
              <w:t>–</w:t>
            </w:r>
          </w:p>
        </w:tc>
        <w:tc>
          <w:tcPr>
            <w:tcW w:w="974" w:type="dxa"/>
            <w:vAlign w:val="center"/>
            <w:hideMark/>
          </w:tcPr>
          <w:p w14:paraId="5AD0D714" w14:textId="77777777" w:rsidR="00C57C9F" w:rsidRDefault="00C57C9F" w:rsidP="006F421D">
            <w:pPr>
              <w:pStyle w:val="3fins-table-figures"/>
              <w:jc w:val="right"/>
              <w:rPr>
                <w:rFonts w:cs="Times New Roman"/>
              </w:rPr>
            </w:pPr>
            <w:r>
              <w:rPr>
                <w:rFonts w:cs="Times New Roman"/>
              </w:rPr>
              <w:t xml:space="preserve">249 </w:t>
            </w:r>
          </w:p>
        </w:tc>
      </w:tr>
      <w:tr w:rsidR="00C57C9F" w14:paraId="6C4C5770" w14:textId="77777777" w:rsidTr="006F421D">
        <w:trPr>
          <w:divId w:val="1139883726"/>
          <w:tblCellSpacing w:w="15" w:type="dxa"/>
        </w:trPr>
        <w:tc>
          <w:tcPr>
            <w:tcW w:w="5954" w:type="dxa"/>
            <w:vAlign w:val="center"/>
            <w:hideMark/>
          </w:tcPr>
          <w:p w14:paraId="2FCDC0B5" w14:textId="77777777" w:rsidR="00C57C9F" w:rsidRDefault="00C57C9F">
            <w:pPr>
              <w:pStyle w:val="3fins-table"/>
              <w:rPr>
                <w:rFonts w:cs="Times New Roman"/>
              </w:rPr>
            </w:pPr>
            <w:r>
              <w:rPr>
                <w:rStyle w:val="fins-bold"/>
                <w:rFonts w:cs="Times New Roman"/>
              </w:rPr>
              <w:t>Total other provisions</w:t>
            </w:r>
          </w:p>
        </w:tc>
        <w:tc>
          <w:tcPr>
            <w:tcW w:w="1813" w:type="dxa"/>
            <w:vAlign w:val="center"/>
            <w:hideMark/>
          </w:tcPr>
          <w:p w14:paraId="0366A06C" w14:textId="77777777" w:rsidR="00C57C9F" w:rsidRDefault="00C57C9F">
            <w:pPr>
              <w:rPr>
                <w:rFonts w:eastAsia="Times New Roman" w:cs="Times New Roman"/>
              </w:rPr>
            </w:pPr>
          </w:p>
        </w:tc>
        <w:tc>
          <w:tcPr>
            <w:tcW w:w="1219" w:type="dxa"/>
            <w:tcBorders>
              <w:top w:val="single" w:sz="4" w:space="0" w:color="0D0D0D" w:themeColor="text1" w:themeTint="F2"/>
              <w:bottom w:val="single" w:sz="4" w:space="0" w:color="0D0D0D" w:themeColor="text1" w:themeTint="F2"/>
            </w:tcBorders>
            <w:vAlign w:val="center"/>
            <w:hideMark/>
          </w:tcPr>
          <w:p w14:paraId="1324F959" w14:textId="77777777" w:rsidR="00C57C9F" w:rsidRDefault="00C57C9F" w:rsidP="006F421D">
            <w:pPr>
              <w:pStyle w:val="3fins-table-figures"/>
              <w:jc w:val="right"/>
              <w:rPr>
                <w:rFonts w:cs="Times New Roman"/>
              </w:rPr>
            </w:pPr>
            <w:r>
              <w:rPr>
                <w:rStyle w:val="fins-bold"/>
                <w:rFonts w:cs="Times New Roman"/>
              </w:rPr>
              <w:t xml:space="preserve">389 </w:t>
            </w:r>
          </w:p>
        </w:tc>
        <w:tc>
          <w:tcPr>
            <w:tcW w:w="974" w:type="dxa"/>
            <w:tcBorders>
              <w:top w:val="single" w:sz="4" w:space="0" w:color="0D0D0D" w:themeColor="text1" w:themeTint="F2"/>
              <w:bottom w:val="single" w:sz="4" w:space="0" w:color="0D0D0D" w:themeColor="text1" w:themeTint="F2"/>
            </w:tcBorders>
            <w:vAlign w:val="center"/>
            <w:hideMark/>
          </w:tcPr>
          <w:p w14:paraId="0C7E81F5" w14:textId="77777777" w:rsidR="00C57C9F" w:rsidRDefault="00C57C9F" w:rsidP="006F421D">
            <w:pPr>
              <w:pStyle w:val="3fins-table-figures"/>
              <w:jc w:val="right"/>
              <w:rPr>
                <w:rFonts w:cs="Times New Roman"/>
              </w:rPr>
            </w:pPr>
            <w:r>
              <w:rPr>
                <w:rFonts w:cs="Times New Roman"/>
              </w:rPr>
              <w:t xml:space="preserve">249 </w:t>
            </w:r>
          </w:p>
        </w:tc>
      </w:tr>
      <w:tr w:rsidR="00C57C9F" w14:paraId="3574713A" w14:textId="77777777" w:rsidTr="006F421D">
        <w:trPr>
          <w:divId w:val="1139883726"/>
          <w:tblCellSpacing w:w="15" w:type="dxa"/>
        </w:trPr>
        <w:tc>
          <w:tcPr>
            <w:tcW w:w="5954" w:type="dxa"/>
            <w:vAlign w:val="center"/>
            <w:hideMark/>
          </w:tcPr>
          <w:p w14:paraId="47C34FCF" w14:textId="77777777" w:rsidR="00C57C9F" w:rsidRDefault="00C57C9F">
            <w:pPr>
              <w:rPr>
                <w:rFonts w:eastAsia="Times New Roman" w:cs="Times New Roman"/>
              </w:rPr>
            </w:pPr>
          </w:p>
        </w:tc>
        <w:tc>
          <w:tcPr>
            <w:tcW w:w="1813" w:type="dxa"/>
            <w:vAlign w:val="center"/>
            <w:hideMark/>
          </w:tcPr>
          <w:p w14:paraId="2AD9963C" w14:textId="77777777" w:rsidR="00C57C9F" w:rsidRDefault="00C57C9F">
            <w:pPr>
              <w:rPr>
                <w:rFonts w:eastAsia="Times New Roman" w:cs="Times New Roman"/>
              </w:rPr>
            </w:pPr>
          </w:p>
        </w:tc>
        <w:tc>
          <w:tcPr>
            <w:tcW w:w="1219" w:type="dxa"/>
            <w:vAlign w:val="center"/>
            <w:hideMark/>
          </w:tcPr>
          <w:p w14:paraId="7865540F" w14:textId="77777777" w:rsidR="00C57C9F" w:rsidRDefault="00C57C9F" w:rsidP="006F421D">
            <w:pPr>
              <w:jc w:val="right"/>
              <w:rPr>
                <w:rFonts w:eastAsia="Times New Roman" w:cs="Times New Roman"/>
              </w:rPr>
            </w:pPr>
          </w:p>
        </w:tc>
        <w:tc>
          <w:tcPr>
            <w:tcW w:w="974" w:type="dxa"/>
            <w:vAlign w:val="center"/>
            <w:hideMark/>
          </w:tcPr>
          <w:p w14:paraId="6256C29A" w14:textId="77777777" w:rsidR="00C57C9F" w:rsidRDefault="00C57C9F" w:rsidP="006F421D">
            <w:pPr>
              <w:jc w:val="right"/>
              <w:rPr>
                <w:rFonts w:eastAsia="Times New Roman" w:cs="Times New Roman"/>
              </w:rPr>
            </w:pPr>
          </w:p>
        </w:tc>
      </w:tr>
      <w:tr w:rsidR="00C57C9F" w14:paraId="0C4A944D" w14:textId="77777777" w:rsidTr="006F421D">
        <w:trPr>
          <w:divId w:val="1139883726"/>
          <w:tblCellSpacing w:w="15" w:type="dxa"/>
        </w:trPr>
        <w:tc>
          <w:tcPr>
            <w:tcW w:w="5954" w:type="dxa"/>
            <w:vAlign w:val="center"/>
            <w:hideMark/>
          </w:tcPr>
          <w:p w14:paraId="4F288B65" w14:textId="77777777" w:rsidR="00C57C9F" w:rsidRDefault="00C57C9F">
            <w:pPr>
              <w:pStyle w:val="3fins-table"/>
              <w:rPr>
                <w:rFonts w:cs="Times New Roman"/>
              </w:rPr>
            </w:pPr>
            <w:r>
              <w:rPr>
                <w:rStyle w:val="fins-bold-italics"/>
                <w:rFonts w:cs="Times New Roman"/>
              </w:rPr>
              <w:t>Reconciliation of the opening and closing balances of other provisions:</w:t>
            </w:r>
          </w:p>
        </w:tc>
        <w:tc>
          <w:tcPr>
            <w:tcW w:w="1813" w:type="dxa"/>
            <w:vAlign w:val="center"/>
            <w:hideMark/>
          </w:tcPr>
          <w:p w14:paraId="61788CE9" w14:textId="77777777" w:rsidR="00C57C9F" w:rsidRDefault="00C57C9F">
            <w:pPr>
              <w:rPr>
                <w:rFonts w:eastAsia="Times New Roman" w:cs="Times New Roman"/>
              </w:rPr>
            </w:pPr>
          </w:p>
        </w:tc>
        <w:tc>
          <w:tcPr>
            <w:tcW w:w="1219" w:type="dxa"/>
            <w:vAlign w:val="center"/>
            <w:hideMark/>
          </w:tcPr>
          <w:p w14:paraId="68C2C413" w14:textId="77777777" w:rsidR="00C57C9F" w:rsidRDefault="00C57C9F" w:rsidP="006F421D">
            <w:pPr>
              <w:jc w:val="right"/>
              <w:rPr>
                <w:rFonts w:eastAsia="Times New Roman" w:cs="Times New Roman"/>
              </w:rPr>
            </w:pPr>
          </w:p>
        </w:tc>
        <w:tc>
          <w:tcPr>
            <w:tcW w:w="974" w:type="dxa"/>
            <w:vAlign w:val="center"/>
            <w:hideMark/>
          </w:tcPr>
          <w:p w14:paraId="12E8E94B" w14:textId="77777777" w:rsidR="00C57C9F" w:rsidRDefault="00C57C9F" w:rsidP="006F421D">
            <w:pPr>
              <w:jc w:val="right"/>
              <w:rPr>
                <w:rFonts w:eastAsia="Times New Roman" w:cs="Times New Roman"/>
              </w:rPr>
            </w:pPr>
          </w:p>
        </w:tc>
      </w:tr>
      <w:tr w:rsidR="00C57C9F" w14:paraId="6183760D" w14:textId="77777777" w:rsidTr="006F421D">
        <w:trPr>
          <w:divId w:val="1139883726"/>
          <w:tblCellSpacing w:w="15" w:type="dxa"/>
        </w:trPr>
        <w:tc>
          <w:tcPr>
            <w:tcW w:w="5954" w:type="dxa"/>
            <w:vAlign w:val="center"/>
            <w:hideMark/>
          </w:tcPr>
          <w:p w14:paraId="24280E57" w14:textId="77777777" w:rsidR="00C57C9F" w:rsidRDefault="00C57C9F">
            <w:pPr>
              <w:rPr>
                <w:rFonts w:eastAsia="Times New Roman" w:cs="Times New Roman"/>
              </w:rPr>
            </w:pPr>
          </w:p>
        </w:tc>
        <w:tc>
          <w:tcPr>
            <w:tcW w:w="1813" w:type="dxa"/>
            <w:tcBorders>
              <w:top w:val="single" w:sz="4" w:space="0" w:color="0D0D0D" w:themeColor="text1" w:themeTint="F2"/>
            </w:tcBorders>
            <w:vAlign w:val="center"/>
            <w:hideMark/>
          </w:tcPr>
          <w:p w14:paraId="2FBAD435" w14:textId="77777777" w:rsidR="00C57C9F" w:rsidRDefault="00C57C9F" w:rsidP="006F421D">
            <w:pPr>
              <w:pStyle w:val="3fins-table-figures"/>
              <w:jc w:val="right"/>
              <w:rPr>
                <w:rFonts w:cs="Times New Roman"/>
              </w:rPr>
            </w:pPr>
            <w:r>
              <w:rPr>
                <w:rStyle w:val="fins-bold"/>
                <w:rFonts w:cs="Times New Roman"/>
              </w:rPr>
              <w:t>Provision for surplus lease space</w:t>
            </w:r>
          </w:p>
        </w:tc>
        <w:tc>
          <w:tcPr>
            <w:tcW w:w="1219" w:type="dxa"/>
            <w:tcBorders>
              <w:top w:val="single" w:sz="4" w:space="0" w:color="0D0D0D" w:themeColor="text1" w:themeTint="F2"/>
            </w:tcBorders>
            <w:vAlign w:val="center"/>
            <w:hideMark/>
          </w:tcPr>
          <w:p w14:paraId="2D6BBC5D" w14:textId="77777777" w:rsidR="00C57C9F" w:rsidRDefault="00C57C9F" w:rsidP="006F421D">
            <w:pPr>
              <w:pStyle w:val="3fins-table-figures"/>
              <w:jc w:val="right"/>
              <w:rPr>
                <w:rFonts w:cs="Times New Roman"/>
              </w:rPr>
            </w:pPr>
            <w:r>
              <w:rPr>
                <w:rStyle w:val="fins-bold"/>
                <w:rFonts w:cs="Times New Roman"/>
              </w:rPr>
              <w:t>Provision for restoration</w:t>
            </w:r>
          </w:p>
        </w:tc>
        <w:tc>
          <w:tcPr>
            <w:tcW w:w="974" w:type="dxa"/>
            <w:tcBorders>
              <w:top w:val="single" w:sz="4" w:space="0" w:color="0D0D0D" w:themeColor="text1" w:themeTint="F2"/>
            </w:tcBorders>
            <w:vAlign w:val="center"/>
            <w:hideMark/>
          </w:tcPr>
          <w:p w14:paraId="1925FDBA" w14:textId="77777777" w:rsidR="00C57C9F" w:rsidRDefault="00C57C9F" w:rsidP="006F421D">
            <w:pPr>
              <w:pStyle w:val="3fins-table-figures"/>
              <w:jc w:val="right"/>
              <w:rPr>
                <w:rFonts w:cs="Times New Roman"/>
              </w:rPr>
            </w:pPr>
            <w:r>
              <w:rPr>
                <w:rStyle w:val="fins-bold"/>
                <w:rFonts w:cs="Times New Roman"/>
              </w:rPr>
              <w:t>Total</w:t>
            </w:r>
          </w:p>
        </w:tc>
      </w:tr>
      <w:tr w:rsidR="00C57C9F" w14:paraId="6F61B399" w14:textId="77777777" w:rsidTr="006F421D">
        <w:trPr>
          <w:divId w:val="1139883726"/>
          <w:tblCellSpacing w:w="15" w:type="dxa"/>
        </w:trPr>
        <w:tc>
          <w:tcPr>
            <w:tcW w:w="5954" w:type="dxa"/>
            <w:vAlign w:val="center"/>
            <w:hideMark/>
          </w:tcPr>
          <w:p w14:paraId="0B54B461" w14:textId="77777777" w:rsidR="00C57C9F" w:rsidRDefault="00C57C9F">
            <w:pPr>
              <w:rPr>
                <w:rFonts w:eastAsia="Times New Roman" w:cs="Times New Roman"/>
              </w:rPr>
            </w:pPr>
          </w:p>
        </w:tc>
        <w:tc>
          <w:tcPr>
            <w:tcW w:w="1813" w:type="dxa"/>
            <w:tcBorders>
              <w:bottom w:val="single" w:sz="4" w:space="0" w:color="0D0D0D" w:themeColor="text1" w:themeTint="F2"/>
            </w:tcBorders>
            <w:vAlign w:val="center"/>
            <w:hideMark/>
          </w:tcPr>
          <w:p w14:paraId="4B98B70B" w14:textId="77777777" w:rsidR="00C57C9F" w:rsidRDefault="00C57C9F" w:rsidP="006F421D">
            <w:pPr>
              <w:pStyle w:val="3fins-table-figures"/>
              <w:jc w:val="right"/>
              <w:rPr>
                <w:rFonts w:cs="Times New Roman"/>
              </w:rPr>
            </w:pPr>
            <w:r>
              <w:rPr>
                <w:rStyle w:val="fins-bold"/>
                <w:rFonts w:cs="Times New Roman"/>
              </w:rPr>
              <w:t>$’000</w:t>
            </w:r>
          </w:p>
        </w:tc>
        <w:tc>
          <w:tcPr>
            <w:tcW w:w="1219" w:type="dxa"/>
            <w:tcBorders>
              <w:bottom w:val="single" w:sz="4" w:space="0" w:color="0D0D0D" w:themeColor="text1" w:themeTint="F2"/>
            </w:tcBorders>
            <w:vAlign w:val="center"/>
            <w:hideMark/>
          </w:tcPr>
          <w:p w14:paraId="3CB2F79D" w14:textId="77777777" w:rsidR="00C57C9F" w:rsidRDefault="00C57C9F" w:rsidP="006F421D">
            <w:pPr>
              <w:pStyle w:val="3fins-table-figures"/>
              <w:jc w:val="right"/>
              <w:rPr>
                <w:rFonts w:cs="Times New Roman"/>
              </w:rPr>
            </w:pPr>
            <w:r>
              <w:rPr>
                <w:rStyle w:val="fins-bold"/>
                <w:rFonts w:cs="Times New Roman"/>
              </w:rPr>
              <w:t>$’000</w:t>
            </w:r>
          </w:p>
        </w:tc>
        <w:tc>
          <w:tcPr>
            <w:tcW w:w="974" w:type="dxa"/>
            <w:tcBorders>
              <w:bottom w:val="single" w:sz="4" w:space="0" w:color="0D0D0D" w:themeColor="text1" w:themeTint="F2"/>
            </w:tcBorders>
            <w:vAlign w:val="center"/>
            <w:hideMark/>
          </w:tcPr>
          <w:p w14:paraId="38D21AFA" w14:textId="77777777" w:rsidR="00C57C9F" w:rsidRDefault="00C57C9F" w:rsidP="006F421D">
            <w:pPr>
              <w:pStyle w:val="3fins-table-figures"/>
              <w:jc w:val="right"/>
              <w:rPr>
                <w:rFonts w:cs="Times New Roman"/>
              </w:rPr>
            </w:pPr>
            <w:r>
              <w:rPr>
                <w:rStyle w:val="fins-bold"/>
                <w:rFonts w:cs="Times New Roman"/>
              </w:rPr>
              <w:t>$’000</w:t>
            </w:r>
          </w:p>
        </w:tc>
      </w:tr>
      <w:tr w:rsidR="00C57C9F" w14:paraId="28B10F79" w14:textId="77777777" w:rsidTr="006F421D">
        <w:trPr>
          <w:divId w:val="1139883726"/>
          <w:tblCellSpacing w:w="15" w:type="dxa"/>
        </w:trPr>
        <w:tc>
          <w:tcPr>
            <w:tcW w:w="5954" w:type="dxa"/>
            <w:vAlign w:val="center"/>
            <w:hideMark/>
          </w:tcPr>
          <w:p w14:paraId="1233D910" w14:textId="77777777" w:rsidR="00C57C9F" w:rsidRDefault="00C57C9F">
            <w:pPr>
              <w:pStyle w:val="3fins-table"/>
              <w:rPr>
                <w:rFonts w:cs="Times New Roman"/>
              </w:rPr>
            </w:pPr>
            <w:r>
              <w:rPr>
                <w:rStyle w:val="fins-bold"/>
                <w:rFonts w:cs="Times New Roman"/>
              </w:rPr>
              <w:t>Carrying amount at 1 July 2013</w:t>
            </w:r>
          </w:p>
        </w:tc>
        <w:tc>
          <w:tcPr>
            <w:tcW w:w="1813" w:type="dxa"/>
            <w:vAlign w:val="center"/>
            <w:hideMark/>
          </w:tcPr>
          <w:p w14:paraId="6A1B049D" w14:textId="77777777" w:rsidR="00C57C9F" w:rsidRDefault="00C57C9F" w:rsidP="006F421D">
            <w:pPr>
              <w:pStyle w:val="3fins-table-figures"/>
              <w:jc w:val="right"/>
              <w:rPr>
                <w:rFonts w:cs="Times New Roman"/>
              </w:rPr>
            </w:pPr>
            <w:r>
              <w:rPr>
                <w:rStyle w:val="fins-bold"/>
                <w:rFonts w:cs="Times New Roman"/>
              </w:rPr>
              <w:t>–</w:t>
            </w:r>
          </w:p>
        </w:tc>
        <w:tc>
          <w:tcPr>
            <w:tcW w:w="1219" w:type="dxa"/>
            <w:vAlign w:val="center"/>
            <w:hideMark/>
          </w:tcPr>
          <w:p w14:paraId="298CF804" w14:textId="77777777" w:rsidR="00C57C9F" w:rsidRDefault="00C57C9F" w:rsidP="006F421D">
            <w:pPr>
              <w:pStyle w:val="3fins-table-figures"/>
              <w:jc w:val="right"/>
              <w:rPr>
                <w:rFonts w:cs="Times New Roman"/>
              </w:rPr>
            </w:pPr>
            <w:r>
              <w:rPr>
                <w:rStyle w:val="fins-bold"/>
                <w:rFonts w:cs="Times New Roman"/>
              </w:rPr>
              <w:t>249</w:t>
            </w:r>
          </w:p>
        </w:tc>
        <w:tc>
          <w:tcPr>
            <w:tcW w:w="974" w:type="dxa"/>
            <w:vAlign w:val="center"/>
            <w:hideMark/>
          </w:tcPr>
          <w:p w14:paraId="20138A65" w14:textId="77777777" w:rsidR="00C57C9F" w:rsidRDefault="00C57C9F" w:rsidP="006F421D">
            <w:pPr>
              <w:pStyle w:val="3fins-table-figures"/>
              <w:jc w:val="right"/>
              <w:rPr>
                <w:rFonts w:cs="Times New Roman"/>
              </w:rPr>
            </w:pPr>
            <w:r>
              <w:rPr>
                <w:rStyle w:val="fins-bold"/>
                <w:rFonts w:cs="Times New Roman"/>
              </w:rPr>
              <w:t>249</w:t>
            </w:r>
          </w:p>
        </w:tc>
      </w:tr>
      <w:tr w:rsidR="00C57C9F" w14:paraId="0BE690DF" w14:textId="77777777" w:rsidTr="006F421D">
        <w:trPr>
          <w:divId w:val="1139883726"/>
          <w:tblCellSpacing w:w="15" w:type="dxa"/>
        </w:trPr>
        <w:tc>
          <w:tcPr>
            <w:tcW w:w="5954" w:type="dxa"/>
            <w:vAlign w:val="center"/>
            <w:hideMark/>
          </w:tcPr>
          <w:p w14:paraId="2BAB5313" w14:textId="77777777" w:rsidR="00C57C9F" w:rsidRDefault="00C57C9F">
            <w:pPr>
              <w:pStyle w:val="3fins-table"/>
              <w:rPr>
                <w:rFonts w:cs="Times New Roman"/>
              </w:rPr>
            </w:pPr>
            <w:r>
              <w:rPr>
                <w:rFonts w:cs="Times New Roman"/>
              </w:rPr>
              <w:t>Provisions made</w:t>
            </w:r>
          </w:p>
        </w:tc>
        <w:tc>
          <w:tcPr>
            <w:tcW w:w="1813" w:type="dxa"/>
            <w:vAlign w:val="center"/>
            <w:hideMark/>
          </w:tcPr>
          <w:p w14:paraId="669EC9A1" w14:textId="77777777" w:rsidR="00C57C9F" w:rsidRDefault="00C57C9F" w:rsidP="006F421D">
            <w:pPr>
              <w:pStyle w:val="3fins-table-figures"/>
              <w:jc w:val="right"/>
              <w:rPr>
                <w:rFonts w:cs="Times New Roman"/>
              </w:rPr>
            </w:pPr>
            <w:r>
              <w:rPr>
                <w:rStyle w:val="fins-bold"/>
                <w:rFonts w:cs="Times New Roman"/>
              </w:rPr>
              <w:t>314</w:t>
            </w:r>
          </w:p>
        </w:tc>
        <w:tc>
          <w:tcPr>
            <w:tcW w:w="1219" w:type="dxa"/>
            <w:vAlign w:val="center"/>
            <w:hideMark/>
          </w:tcPr>
          <w:p w14:paraId="74AA1B7F" w14:textId="77777777" w:rsidR="00C57C9F" w:rsidRDefault="00C57C9F" w:rsidP="006F421D">
            <w:pPr>
              <w:pStyle w:val="3fins-table-figures"/>
              <w:jc w:val="right"/>
              <w:rPr>
                <w:rFonts w:cs="Times New Roman"/>
              </w:rPr>
            </w:pPr>
            <w:r>
              <w:rPr>
                <w:rStyle w:val="fins-bold"/>
                <w:rFonts w:cs="Times New Roman"/>
              </w:rPr>
              <w:t>–</w:t>
            </w:r>
          </w:p>
        </w:tc>
        <w:tc>
          <w:tcPr>
            <w:tcW w:w="974" w:type="dxa"/>
            <w:vAlign w:val="center"/>
            <w:hideMark/>
          </w:tcPr>
          <w:p w14:paraId="3CEDDA90" w14:textId="77777777" w:rsidR="00C57C9F" w:rsidRDefault="00C57C9F" w:rsidP="006F421D">
            <w:pPr>
              <w:pStyle w:val="3fins-table-figures"/>
              <w:jc w:val="right"/>
              <w:rPr>
                <w:rFonts w:cs="Times New Roman"/>
              </w:rPr>
            </w:pPr>
            <w:r>
              <w:rPr>
                <w:rStyle w:val="fins-bold"/>
                <w:rFonts w:cs="Times New Roman"/>
              </w:rPr>
              <w:t xml:space="preserve">314 </w:t>
            </w:r>
          </w:p>
        </w:tc>
      </w:tr>
      <w:tr w:rsidR="00C57C9F" w14:paraId="4F7F8C45" w14:textId="77777777" w:rsidTr="006F421D">
        <w:trPr>
          <w:divId w:val="1139883726"/>
          <w:tblCellSpacing w:w="15" w:type="dxa"/>
        </w:trPr>
        <w:tc>
          <w:tcPr>
            <w:tcW w:w="5954" w:type="dxa"/>
            <w:vAlign w:val="center"/>
            <w:hideMark/>
          </w:tcPr>
          <w:p w14:paraId="27506439" w14:textId="77777777" w:rsidR="00C57C9F" w:rsidRDefault="00C57C9F">
            <w:pPr>
              <w:pStyle w:val="3fins-table"/>
              <w:rPr>
                <w:rFonts w:cs="Times New Roman"/>
              </w:rPr>
            </w:pPr>
            <w:r>
              <w:rPr>
                <w:rFonts w:cs="Times New Roman"/>
              </w:rPr>
              <w:t xml:space="preserve">Amounts </w:t>
            </w:r>
            <w:proofErr w:type="spellStart"/>
            <w:r>
              <w:rPr>
                <w:rFonts w:cs="Times New Roman"/>
              </w:rPr>
              <w:t>recognised</w:t>
            </w:r>
            <w:proofErr w:type="spellEnd"/>
            <w:r>
              <w:rPr>
                <w:rFonts w:cs="Times New Roman"/>
              </w:rPr>
              <w:t xml:space="preserve"> in other comprehensive income</w:t>
            </w:r>
          </w:p>
        </w:tc>
        <w:tc>
          <w:tcPr>
            <w:tcW w:w="1813" w:type="dxa"/>
            <w:vAlign w:val="center"/>
            <w:hideMark/>
          </w:tcPr>
          <w:p w14:paraId="5221B4CD" w14:textId="77777777" w:rsidR="00C57C9F" w:rsidRDefault="00C57C9F" w:rsidP="006F421D">
            <w:pPr>
              <w:pStyle w:val="3fins-table-figures"/>
              <w:jc w:val="right"/>
              <w:rPr>
                <w:rFonts w:cs="Times New Roman"/>
              </w:rPr>
            </w:pPr>
            <w:r>
              <w:rPr>
                <w:rStyle w:val="fins-bold"/>
                <w:rFonts w:cs="Times New Roman"/>
              </w:rPr>
              <w:t>(180)</w:t>
            </w:r>
          </w:p>
        </w:tc>
        <w:tc>
          <w:tcPr>
            <w:tcW w:w="1219" w:type="dxa"/>
            <w:vAlign w:val="center"/>
            <w:hideMark/>
          </w:tcPr>
          <w:p w14:paraId="7221EAFF" w14:textId="77777777" w:rsidR="00C57C9F" w:rsidRDefault="00C57C9F" w:rsidP="006F421D">
            <w:pPr>
              <w:pStyle w:val="3fins-table-figures"/>
              <w:jc w:val="right"/>
              <w:rPr>
                <w:rFonts w:cs="Times New Roman"/>
              </w:rPr>
            </w:pPr>
            <w:r>
              <w:rPr>
                <w:rStyle w:val="fins-bold"/>
                <w:rFonts w:cs="Times New Roman"/>
              </w:rPr>
              <w:t>6</w:t>
            </w:r>
          </w:p>
        </w:tc>
        <w:tc>
          <w:tcPr>
            <w:tcW w:w="974" w:type="dxa"/>
            <w:vAlign w:val="center"/>
            <w:hideMark/>
          </w:tcPr>
          <w:p w14:paraId="1A412044" w14:textId="77777777" w:rsidR="00C57C9F" w:rsidRDefault="00C57C9F" w:rsidP="006F421D">
            <w:pPr>
              <w:pStyle w:val="3fins-table-figures"/>
              <w:jc w:val="right"/>
              <w:rPr>
                <w:rFonts w:cs="Times New Roman"/>
              </w:rPr>
            </w:pPr>
            <w:r>
              <w:rPr>
                <w:rStyle w:val="fins-bold"/>
                <w:rFonts w:cs="Times New Roman"/>
              </w:rPr>
              <w:t xml:space="preserve">(174) </w:t>
            </w:r>
          </w:p>
        </w:tc>
      </w:tr>
      <w:tr w:rsidR="00C57C9F" w14:paraId="1A2C9F40" w14:textId="77777777" w:rsidTr="006F421D">
        <w:trPr>
          <w:divId w:val="1139883726"/>
          <w:tblCellSpacing w:w="15" w:type="dxa"/>
        </w:trPr>
        <w:tc>
          <w:tcPr>
            <w:tcW w:w="5954" w:type="dxa"/>
            <w:vAlign w:val="center"/>
            <w:hideMark/>
          </w:tcPr>
          <w:p w14:paraId="6B351C6A" w14:textId="77777777" w:rsidR="00C57C9F" w:rsidRDefault="00C57C9F">
            <w:pPr>
              <w:pStyle w:val="3fins-table"/>
              <w:rPr>
                <w:rFonts w:cs="Times New Roman"/>
              </w:rPr>
            </w:pPr>
            <w:r>
              <w:rPr>
                <w:rStyle w:val="fins-bold"/>
                <w:rFonts w:cs="Times New Roman"/>
              </w:rPr>
              <w:t>Closing balance at 30 June 2014</w:t>
            </w:r>
          </w:p>
        </w:tc>
        <w:tc>
          <w:tcPr>
            <w:tcW w:w="1813" w:type="dxa"/>
            <w:tcBorders>
              <w:top w:val="single" w:sz="4" w:space="0" w:color="0D0D0D" w:themeColor="text1" w:themeTint="F2"/>
              <w:bottom w:val="single" w:sz="4" w:space="0" w:color="0D0D0D" w:themeColor="text1" w:themeTint="F2"/>
            </w:tcBorders>
            <w:vAlign w:val="center"/>
            <w:hideMark/>
          </w:tcPr>
          <w:p w14:paraId="6F8FF72E" w14:textId="77777777" w:rsidR="00C57C9F" w:rsidRDefault="00C57C9F" w:rsidP="006F421D">
            <w:pPr>
              <w:pStyle w:val="3fins-table-figures"/>
              <w:jc w:val="right"/>
              <w:rPr>
                <w:rFonts w:cs="Times New Roman"/>
              </w:rPr>
            </w:pPr>
            <w:r>
              <w:rPr>
                <w:rStyle w:val="fins-bold"/>
                <w:rFonts w:cs="Times New Roman"/>
              </w:rPr>
              <w:t>134</w:t>
            </w:r>
          </w:p>
        </w:tc>
        <w:tc>
          <w:tcPr>
            <w:tcW w:w="1219" w:type="dxa"/>
            <w:tcBorders>
              <w:top w:val="single" w:sz="4" w:space="0" w:color="0D0D0D" w:themeColor="text1" w:themeTint="F2"/>
              <w:bottom w:val="single" w:sz="4" w:space="0" w:color="0D0D0D" w:themeColor="text1" w:themeTint="F2"/>
            </w:tcBorders>
            <w:vAlign w:val="center"/>
            <w:hideMark/>
          </w:tcPr>
          <w:p w14:paraId="010A967A" w14:textId="77777777" w:rsidR="00C57C9F" w:rsidRDefault="00C57C9F" w:rsidP="006F421D">
            <w:pPr>
              <w:pStyle w:val="3fins-table-figures"/>
              <w:jc w:val="right"/>
              <w:rPr>
                <w:rFonts w:cs="Times New Roman"/>
              </w:rPr>
            </w:pPr>
            <w:r>
              <w:rPr>
                <w:rStyle w:val="fins-bold"/>
                <w:rFonts w:cs="Times New Roman"/>
              </w:rPr>
              <w:t>255</w:t>
            </w:r>
          </w:p>
        </w:tc>
        <w:tc>
          <w:tcPr>
            <w:tcW w:w="974" w:type="dxa"/>
            <w:tcBorders>
              <w:top w:val="single" w:sz="4" w:space="0" w:color="0D0D0D" w:themeColor="text1" w:themeTint="F2"/>
              <w:bottom w:val="single" w:sz="4" w:space="0" w:color="0D0D0D" w:themeColor="text1" w:themeTint="F2"/>
            </w:tcBorders>
            <w:vAlign w:val="center"/>
            <w:hideMark/>
          </w:tcPr>
          <w:p w14:paraId="0E3B760E" w14:textId="77777777" w:rsidR="00C57C9F" w:rsidRDefault="00C57C9F" w:rsidP="006F421D">
            <w:pPr>
              <w:pStyle w:val="3fins-table-figures"/>
              <w:jc w:val="right"/>
              <w:rPr>
                <w:rFonts w:cs="Times New Roman"/>
              </w:rPr>
            </w:pPr>
            <w:r>
              <w:rPr>
                <w:rStyle w:val="fins-bold"/>
                <w:rFonts w:cs="Times New Roman"/>
              </w:rPr>
              <w:t>389</w:t>
            </w:r>
          </w:p>
        </w:tc>
      </w:tr>
    </w:tbl>
    <w:p w14:paraId="53DFFE87" w14:textId="77777777" w:rsidR="00161EA4" w:rsidRDefault="00161EA4" w:rsidP="006F421D">
      <w:pPr>
        <w:pStyle w:val="3fins-table"/>
        <w:spacing w:before="120" w:after="120"/>
        <w:divId w:val="1139883726"/>
        <w:rPr>
          <w:rFonts w:cs="Times New Roman"/>
          <w:lang w:val="en-AU"/>
        </w:rPr>
      </w:pPr>
    </w:p>
    <w:p w14:paraId="1B361A46" w14:textId="77777777" w:rsidR="00161EA4" w:rsidRDefault="00161EA4">
      <w:pPr>
        <w:spacing w:after="0"/>
        <w:rPr>
          <w:rFonts w:cs="Times New Roman"/>
          <w:sz w:val="18"/>
        </w:rPr>
      </w:pPr>
      <w:r>
        <w:rPr>
          <w:rFonts w:cs="Times New Roman"/>
        </w:rPr>
        <w:br w:type="page"/>
      </w:r>
    </w:p>
    <w:p w14:paraId="3CE62704" w14:textId="53345F3A" w:rsidR="00C57C9F" w:rsidRDefault="00C57C9F" w:rsidP="006F421D">
      <w:pPr>
        <w:pStyle w:val="3fins-table"/>
        <w:spacing w:before="120" w:after="120"/>
        <w:divId w:val="1139883726"/>
        <w:rPr>
          <w:rFonts w:cs="Times New Roman"/>
          <w:lang w:val="en-AU"/>
        </w:rPr>
      </w:pPr>
      <w:r>
        <w:rPr>
          <w:rFonts w:cs="Times New Roman"/>
          <w:lang w:val="en-AU"/>
        </w:rPr>
        <w:lastRenderedPageBreak/>
        <w:t>During the period, the Commission relocated office premises from Level 7, 1 Oxford Street Darlinghurst NSW to Level 5, 255 Elizabeth Street Sydney.</w:t>
      </w:r>
    </w:p>
    <w:p w14:paraId="64738E98" w14:textId="77777777" w:rsidR="00C57C9F" w:rsidRDefault="00C57C9F" w:rsidP="006F421D">
      <w:pPr>
        <w:pStyle w:val="3fins-table"/>
        <w:spacing w:before="120" w:after="120"/>
        <w:divId w:val="1139883726"/>
        <w:rPr>
          <w:rFonts w:cs="Times New Roman"/>
          <w:lang w:val="en-AU"/>
        </w:rPr>
      </w:pPr>
      <w:r>
        <w:rPr>
          <w:rFonts w:cs="Times New Roman"/>
          <w:lang w:val="en-AU"/>
        </w:rPr>
        <w:t>The rental agreement for Oxford Street is non-cancellable and expires in September 2014. A provision for surplus lease space has been recorded to reflect the expected remaining rental agreement payments.</w:t>
      </w:r>
    </w:p>
    <w:p w14:paraId="40323FF9" w14:textId="77777777" w:rsidR="00C57C9F" w:rsidRDefault="00C57C9F" w:rsidP="006F421D">
      <w:pPr>
        <w:pStyle w:val="3fins-table"/>
        <w:spacing w:before="120" w:after="120"/>
        <w:divId w:val="1139883726"/>
        <w:rPr>
          <w:rFonts w:cs="Times New Roman"/>
          <w:lang w:val="en-AU"/>
        </w:rPr>
      </w:pPr>
      <w:r>
        <w:rPr>
          <w:rFonts w:cs="Times New Roman"/>
          <w:lang w:val="en-AU"/>
        </w:rPr>
        <w:t>The Oxford Street rental agreement contains provisions requiring the restoration of the premises to their original condition at the conclusion of the rental agreement term. The Commission has made a provision to reflect the present value of this obligation.</w:t>
      </w:r>
    </w:p>
    <w:p w14:paraId="62CD1CBB" w14:textId="77777777" w:rsidR="00C57C9F" w:rsidRDefault="00C57C9F">
      <w:pPr>
        <w:rPr>
          <w:rFonts w:cs="Times New Roman"/>
          <w:b/>
          <w:sz w:val="28"/>
        </w:rPr>
      </w:pPr>
      <w:r>
        <w:rPr>
          <w:rFonts w:cs="Times New Roman"/>
        </w:rPr>
        <w:br w:type="page"/>
      </w:r>
    </w:p>
    <w:p w14:paraId="71D413A3" w14:textId="77777777" w:rsidR="00C57C9F" w:rsidRDefault="00C57C9F">
      <w:pPr>
        <w:pStyle w:val="1heading-2"/>
        <w:divId w:val="1139883726"/>
        <w:rPr>
          <w:rFonts w:cs="Times New Roman"/>
          <w:lang w:val="en-AU"/>
        </w:rPr>
      </w:pPr>
      <w:r>
        <w:rPr>
          <w:rFonts w:cs="Times New Roman"/>
          <w:lang w:val="en-AU"/>
        </w:rPr>
        <w:lastRenderedPageBreak/>
        <w:t>Note 10: Cash Flow Reconciliation</w:t>
      </w:r>
    </w:p>
    <w:tbl>
      <w:tblPr>
        <w:tblW w:w="10251" w:type="dxa"/>
        <w:tblLayout w:type="fixed"/>
        <w:tblCellMar>
          <w:top w:w="28" w:type="dxa"/>
          <w:left w:w="28" w:type="dxa"/>
          <w:bottom w:w="28" w:type="dxa"/>
          <w:right w:w="28" w:type="dxa"/>
        </w:tblCellMar>
        <w:tblLook w:val="04A0" w:firstRow="1" w:lastRow="0" w:firstColumn="1" w:lastColumn="0" w:noHBand="0" w:noVBand="1"/>
      </w:tblPr>
      <w:tblGrid>
        <w:gridCol w:w="7855"/>
        <w:gridCol w:w="1294"/>
        <w:gridCol w:w="1102"/>
      </w:tblGrid>
      <w:tr w:rsidR="00C57C9F" w14:paraId="713034D9" w14:textId="77777777" w:rsidTr="006F421D">
        <w:trPr>
          <w:divId w:val="1139883726"/>
        </w:trPr>
        <w:tc>
          <w:tcPr>
            <w:tcW w:w="7763" w:type="dxa"/>
            <w:vAlign w:val="center"/>
            <w:hideMark/>
          </w:tcPr>
          <w:p w14:paraId="70024F05" w14:textId="77777777" w:rsidR="00C57C9F" w:rsidRDefault="00C57C9F">
            <w:pPr>
              <w:rPr>
                <w:rFonts w:eastAsia="Times New Roman" w:cs="Times New Roman"/>
              </w:rPr>
            </w:pPr>
          </w:p>
        </w:tc>
        <w:tc>
          <w:tcPr>
            <w:tcW w:w="1279" w:type="dxa"/>
            <w:vAlign w:val="center"/>
            <w:hideMark/>
          </w:tcPr>
          <w:p w14:paraId="239E67EE" w14:textId="77777777" w:rsidR="00C57C9F" w:rsidRDefault="00C57C9F" w:rsidP="006F421D">
            <w:pPr>
              <w:pStyle w:val="3fins-table-figures"/>
              <w:jc w:val="right"/>
              <w:rPr>
                <w:rFonts w:cs="Times New Roman"/>
              </w:rPr>
            </w:pPr>
            <w:r>
              <w:rPr>
                <w:rStyle w:val="fins-bold"/>
                <w:rFonts w:cs="Times New Roman"/>
              </w:rPr>
              <w:t>2014</w:t>
            </w:r>
          </w:p>
        </w:tc>
        <w:tc>
          <w:tcPr>
            <w:tcW w:w="1089" w:type="dxa"/>
            <w:vAlign w:val="center"/>
            <w:hideMark/>
          </w:tcPr>
          <w:p w14:paraId="0F05EBB5" w14:textId="77777777" w:rsidR="00C57C9F" w:rsidRDefault="00C57C9F" w:rsidP="006F421D">
            <w:pPr>
              <w:pStyle w:val="3fins-table-figures"/>
              <w:jc w:val="right"/>
              <w:rPr>
                <w:rFonts w:cs="Times New Roman"/>
              </w:rPr>
            </w:pPr>
            <w:r>
              <w:rPr>
                <w:rFonts w:cs="Times New Roman"/>
              </w:rPr>
              <w:t>2013</w:t>
            </w:r>
          </w:p>
        </w:tc>
      </w:tr>
      <w:tr w:rsidR="00C57C9F" w14:paraId="3006E9AC" w14:textId="77777777" w:rsidTr="006F421D">
        <w:trPr>
          <w:divId w:val="1139883726"/>
        </w:trPr>
        <w:tc>
          <w:tcPr>
            <w:tcW w:w="7763" w:type="dxa"/>
            <w:vAlign w:val="center"/>
            <w:hideMark/>
          </w:tcPr>
          <w:p w14:paraId="61686E94" w14:textId="77777777" w:rsidR="00C57C9F" w:rsidRDefault="00C57C9F">
            <w:pPr>
              <w:rPr>
                <w:rFonts w:eastAsia="Times New Roman" w:cs="Times New Roman"/>
              </w:rPr>
            </w:pPr>
          </w:p>
        </w:tc>
        <w:tc>
          <w:tcPr>
            <w:tcW w:w="1279" w:type="dxa"/>
            <w:vAlign w:val="center"/>
            <w:hideMark/>
          </w:tcPr>
          <w:p w14:paraId="7E670671" w14:textId="77777777" w:rsidR="00C57C9F" w:rsidRDefault="00C57C9F" w:rsidP="006F421D">
            <w:pPr>
              <w:pStyle w:val="3fins-table-figures"/>
              <w:jc w:val="right"/>
              <w:rPr>
                <w:rFonts w:cs="Times New Roman"/>
              </w:rPr>
            </w:pPr>
            <w:r>
              <w:rPr>
                <w:rStyle w:val="fins-bold"/>
                <w:rFonts w:cs="Times New Roman"/>
              </w:rPr>
              <w:t>$’000</w:t>
            </w:r>
          </w:p>
        </w:tc>
        <w:tc>
          <w:tcPr>
            <w:tcW w:w="1089" w:type="dxa"/>
            <w:vAlign w:val="center"/>
            <w:hideMark/>
          </w:tcPr>
          <w:p w14:paraId="516F25B8" w14:textId="77777777" w:rsidR="00C57C9F" w:rsidRDefault="00C57C9F" w:rsidP="006F421D">
            <w:pPr>
              <w:pStyle w:val="3fins-table-figures"/>
              <w:jc w:val="right"/>
              <w:rPr>
                <w:rFonts w:cs="Times New Roman"/>
              </w:rPr>
            </w:pPr>
            <w:r>
              <w:rPr>
                <w:rFonts w:cs="Times New Roman"/>
              </w:rPr>
              <w:t>$’000</w:t>
            </w:r>
          </w:p>
        </w:tc>
      </w:tr>
      <w:tr w:rsidR="00C57C9F" w14:paraId="33074E9C" w14:textId="77777777" w:rsidTr="006F421D">
        <w:trPr>
          <w:divId w:val="1139883726"/>
        </w:trPr>
        <w:tc>
          <w:tcPr>
            <w:tcW w:w="7763" w:type="dxa"/>
            <w:vAlign w:val="center"/>
            <w:hideMark/>
          </w:tcPr>
          <w:p w14:paraId="143F3F8F" w14:textId="77777777" w:rsidR="00C57C9F" w:rsidRDefault="00C57C9F">
            <w:pPr>
              <w:pStyle w:val="3fins-table"/>
              <w:rPr>
                <w:rFonts w:cs="Times New Roman"/>
              </w:rPr>
            </w:pPr>
            <w:r>
              <w:rPr>
                <w:rStyle w:val="fins-bold"/>
                <w:rFonts w:cs="Times New Roman"/>
              </w:rPr>
              <w:t>Reconciliation of cash and cash equivalents as per Balance Sheet to Cash Flow Statement</w:t>
            </w:r>
          </w:p>
        </w:tc>
        <w:tc>
          <w:tcPr>
            <w:tcW w:w="1279" w:type="dxa"/>
            <w:vAlign w:val="center"/>
            <w:hideMark/>
          </w:tcPr>
          <w:p w14:paraId="5975FCC8" w14:textId="77777777" w:rsidR="00C57C9F" w:rsidRDefault="00C57C9F" w:rsidP="006F421D">
            <w:pPr>
              <w:jc w:val="right"/>
              <w:rPr>
                <w:rFonts w:eastAsia="Times New Roman" w:cs="Times New Roman"/>
              </w:rPr>
            </w:pPr>
          </w:p>
        </w:tc>
        <w:tc>
          <w:tcPr>
            <w:tcW w:w="1089" w:type="dxa"/>
            <w:vAlign w:val="center"/>
            <w:hideMark/>
          </w:tcPr>
          <w:p w14:paraId="1E6F6877" w14:textId="77777777" w:rsidR="00C57C9F" w:rsidRDefault="00C57C9F" w:rsidP="006F421D">
            <w:pPr>
              <w:jc w:val="right"/>
              <w:rPr>
                <w:rFonts w:eastAsia="Times New Roman" w:cs="Times New Roman"/>
              </w:rPr>
            </w:pPr>
          </w:p>
        </w:tc>
      </w:tr>
      <w:tr w:rsidR="00C57C9F" w14:paraId="6A4E7722" w14:textId="77777777" w:rsidTr="006F421D">
        <w:trPr>
          <w:divId w:val="1139883726"/>
        </w:trPr>
        <w:tc>
          <w:tcPr>
            <w:tcW w:w="7763" w:type="dxa"/>
            <w:vAlign w:val="center"/>
            <w:hideMark/>
          </w:tcPr>
          <w:p w14:paraId="3A5F850C" w14:textId="77777777" w:rsidR="00C57C9F" w:rsidRDefault="00C57C9F">
            <w:pPr>
              <w:rPr>
                <w:rFonts w:eastAsia="Times New Roman" w:cs="Times New Roman"/>
              </w:rPr>
            </w:pPr>
          </w:p>
        </w:tc>
        <w:tc>
          <w:tcPr>
            <w:tcW w:w="1279" w:type="dxa"/>
            <w:vAlign w:val="center"/>
            <w:hideMark/>
          </w:tcPr>
          <w:p w14:paraId="7D7FF70C" w14:textId="77777777" w:rsidR="00C57C9F" w:rsidRDefault="00C57C9F" w:rsidP="006F421D">
            <w:pPr>
              <w:jc w:val="right"/>
              <w:rPr>
                <w:rFonts w:eastAsia="Times New Roman" w:cs="Times New Roman"/>
              </w:rPr>
            </w:pPr>
          </w:p>
        </w:tc>
        <w:tc>
          <w:tcPr>
            <w:tcW w:w="1089" w:type="dxa"/>
            <w:vAlign w:val="center"/>
            <w:hideMark/>
          </w:tcPr>
          <w:p w14:paraId="31357176" w14:textId="77777777" w:rsidR="00C57C9F" w:rsidRDefault="00C57C9F" w:rsidP="006F421D">
            <w:pPr>
              <w:jc w:val="right"/>
              <w:rPr>
                <w:rFonts w:eastAsia="Times New Roman" w:cs="Times New Roman"/>
              </w:rPr>
            </w:pPr>
          </w:p>
        </w:tc>
      </w:tr>
      <w:tr w:rsidR="00C57C9F" w14:paraId="01811BEC" w14:textId="77777777" w:rsidTr="006F421D">
        <w:trPr>
          <w:divId w:val="1139883726"/>
        </w:trPr>
        <w:tc>
          <w:tcPr>
            <w:tcW w:w="7763" w:type="dxa"/>
            <w:vAlign w:val="center"/>
            <w:hideMark/>
          </w:tcPr>
          <w:p w14:paraId="5F3D4730" w14:textId="77777777" w:rsidR="00C57C9F" w:rsidRDefault="00C57C9F">
            <w:pPr>
              <w:pStyle w:val="3fins-table"/>
              <w:rPr>
                <w:rFonts w:cs="Times New Roman"/>
              </w:rPr>
            </w:pPr>
            <w:r>
              <w:rPr>
                <w:rStyle w:val="fins-bold"/>
                <w:rFonts w:cs="Times New Roman"/>
              </w:rPr>
              <w:t>Cash and cash equivalents as per:</w:t>
            </w:r>
          </w:p>
        </w:tc>
        <w:tc>
          <w:tcPr>
            <w:tcW w:w="1279" w:type="dxa"/>
            <w:vAlign w:val="center"/>
            <w:hideMark/>
          </w:tcPr>
          <w:p w14:paraId="4CE0F599" w14:textId="77777777" w:rsidR="00C57C9F" w:rsidRDefault="00C57C9F" w:rsidP="006F421D">
            <w:pPr>
              <w:jc w:val="right"/>
              <w:rPr>
                <w:rFonts w:eastAsia="Times New Roman" w:cs="Times New Roman"/>
              </w:rPr>
            </w:pPr>
          </w:p>
        </w:tc>
        <w:tc>
          <w:tcPr>
            <w:tcW w:w="1089" w:type="dxa"/>
            <w:vAlign w:val="center"/>
            <w:hideMark/>
          </w:tcPr>
          <w:p w14:paraId="6D3ABD67" w14:textId="77777777" w:rsidR="00C57C9F" w:rsidRDefault="00C57C9F" w:rsidP="006F421D">
            <w:pPr>
              <w:jc w:val="right"/>
              <w:rPr>
                <w:rFonts w:eastAsia="Times New Roman" w:cs="Times New Roman"/>
              </w:rPr>
            </w:pPr>
          </w:p>
        </w:tc>
      </w:tr>
      <w:tr w:rsidR="00C57C9F" w14:paraId="3FAA8229" w14:textId="77777777" w:rsidTr="006F421D">
        <w:trPr>
          <w:divId w:val="1139883726"/>
        </w:trPr>
        <w:tc>
          <w:tcPr>
            <w:tcW w:w="7763" w:type="dxa"/>
            <w:vAlign w:val="center"/>
            <w:hideMark/>
          </w:tcPr>
          <w:p w14:paraId="5118D7D1" w14:textId="77777777" w:rsidR="00C57C9F" w:rsidRDefault="00C57C9F">
            <w:pPr>
              <w:pStyle w:val="3fins-table"/>
              <w:rPr>
                <w:rFonts w:cs="Times New Roman"/>
              </w:rPr>
            </w:pPr>
            <w:r>
              <w:rPr>
                <w:rFonts w:cs="Times New Roman"/>
              </w:rPr>
              <w:t>Cash flow statement</w:t>
            </w:r>
          </w:p>
        </w:tc>
        <w:tc>
          <w:tcPr>
            <w:tcW w:w="1279" w:type="dxa"/>
            <w:vAlign w:val="center"/>
            <w:hideMark/>
          </w:tcPr>
          <w:p w14:paraId="411C57C6" w14:textId="77777777" w:rsidR="00C57C9F" w:rsidRDefault="00C57C9F" w:rsidP="006F421D">
            <w:pPr>
              <w:pStyle w:val="3fins-table-figures"/>
              <w:jc w:val="right"/>
              <w:rPr>
                <w:rFonts w:cs="Times New Roman"/>
              </w:rPr>
            </w:pPr>
            <w:r>
              <w:rPr>
                <w:rStyle w:val="fins-bold"/>
                <w:rFonts w:cs="Times New Roman"/>
              </w:rPr>
              <w:t xml:space="preserve">13,159 </w:t>
            </w:r>
          </w:p>
        </w:tc>
        <w:tc>
          <w:tcPr>
            <w:tcW w:w="1089" w:type="dxa"/>
            <w:vAlign w:val="center"/>
            <w:hideMark/>
          </w:tcPr>
          <w:p w14:paraId="77602CFB" w14:textId="77777777" w:rsidR="00C57C9F" w:rsidRDefault="00C57C9F" w:rsidP="006F421D">
            <w:pPr>
              <w:pStyle w:val="3fins-table-figures"/>
              <w:jc w:val="right"/>
              <w:rPr>
                <w:rFonts w:cs="Times New Roman"/>
              </w:rPr>
            </w:pPr>
            <w:r>
              <w:rPr>
                <w:rFonts w:cs="Times New Roman"/>
              </w:rPr>
              <w:t xml:space="preserve">7,050 </w:t>
            </w:r>
          </w:p>
        </w:tc>
      </w:tr>
      <w:tr w:rsidR="00C57C9F" w14:paraId="60B9E156" w14:textId="77777777" w:rsidTr="006F421D">
        <w:trPr>
          <w:divId w:val="1139883726"/>
        </w:trPr>
        <w:tc>
          <w:tcPr>
            <w:tcW w:w="7763" w:type="dxa"/>
            <w:vAlign w:val="center"/>
            <w:hideMark/>
          </w:tcPr>
          <w:p w14:paraId="0B5024CE" w14:textId="77777777" w:rsidR="00C57C9F" w:rsidRDefault="00C57C9F">
            <w:pPr>
              <w:pStyle w:val="3fins-table"/>
              <w:rPr>
                <w:rFonts w:cs="Times New Roman"/>
              </w:rPr>
            </w:pPr>
            <w:r>
              <w:rPr>
                <w:rFonts w:cs="Times New Roman"/>
              </w:rPr>
              <w:t>Balance sheet</w:t>
            </w:r>
          </w:p>
        </w:tc>
        <w:tc>
          <w:tcPr>
            <w:tcW w:w="1279" w:type="dxa"/>
            <w:tcBorders>
              <w:bottom w:val="single" w:sz="4" w:space="0" w:color="0D0D0D" w:themeColor="text1" w:themeTint="F2"/>
            </w:tcBorders>
            <w:vAlign w:val="center"/>
            <w:hideMark/>
          </w:tcPr>
          <w:p w14:paraId="1CA0B85F" w14:textId="77777777" w:rsidR="00C57C9F" w:rsidRDefault="00C57C9F" w:rsidP="006F421D">
            <w:pPr>
              <w:pStyle w:val="3fins-table-figures"/>
              <w:jc w:val="right"/>
              <w:rPr>
                <w:rFonts w:cs="Times New Roman"/>
              </w:rPr>
            </w:pPr>
            <w:r>
              <w:rPr>
                <w:rStyle w:val="fins-bold"/>
                <w:rFonts w:cs="Times New Roman"/>
              </w:rPr>
              <w:t xml:space="preserve">13,159 </w:t>
            </w:r>
          </w:p>
        </w:tc>
        <w:tc>
          <w:tcPr>
            <w:tcW w:w="1089" w:type="dxa"/>
            <w:tcBorders>
              <w:bottom w:val="single" w:sz="4" w:space="0" w:color="0D0D0D" w:themeColor="text1" w:themeTint="F2"/>
            </w:tcBorders>
            <w:vAlign w:val="center"/>
            <w:hideMark/>
          </w:tcPr>
          <w:p w14:paraId="5CCDDD91" w14:textId="77777777" w:rsidR="00C57C9F" w:rsidRDefault="00C57C9F" w:rsidP="006F421D">
            <w:pPr>
              <w:pStyle w:val="3fins-table-figures"/>
              <w:jc w:val="right"/>
              <w:rPr>
                <w:rFonts w:cs="Times New Roman"/>
              </w:rPr>
            </w:pPr>
            <w:r>
              <w:rPr>
                <w:rFonts w:cs="Times New Roman"/>
              </w:rPr>
              <w:t xml:space="preserve">7,050 </w:t>
            </w:r>
          </w:p>
        </w:tc>
      </w:tr>
      <w:tr w:rsidR="00C57C9F" w14:paraId="04BD2B49" w14:textId="77777777" w:rsidTr="006F421D">
        <w:trPr>
          <w:divId w:val="1139883726"/>
        </w:trPr>
        <w:tc>
          <w:tcPr>
            <w:tcW w:w="7763" w:type="dxa"/>
            <w:vAlign w:val="center"/>
            <w:hideMark/>
          </w:tcPr>
          <w:p w14:paraId="56067C07" w14:textId="77777777" w:rsidR="00C57C9F" w:rsidRDefault="00C57C9F">
            <w:pPr>
              <w:pStyle w:val="3fins-table"/>
              <w:rPr>
                <w:rFonts w:cs="Times New Roman"/>
              </w:rPr>
            </w:pPr>
            <w:r>
              <w:rPr>
                <w:rStyle w:val="fins-bold"/>
                <w:rFonts w:cs="Times New Roman"/>
              </w:rPr>
              <w:t>Difference</w:t>
            </w:r>
          </w:p>
        </w:tc>
        <w:tc>
          <w:tcPr>
            <w:tcW w:w="1279" w:type="dxa"/>
            <w:tcBorders>
              <w:top w:val="single" w:sz="4" w:space="0" w:color="0D0D0D" w:themeColor="text1" w:themeTint="F2"/>
              <w:bottom w:val="single" w:sz="4" w:space="0" w:color="0D0D0D" w:themeColor="text1" w:themeTint="F2"/>
            </w:tcBorders>
            <w:vAlign w:val="center"/>
            <w:hideMark/>
          </w:tcPr>
          <w:p w14:paraId="51D105F0" w14:textId="77777777" w:rsidR="00C57C9F" w:rsidRDefault="00C57C9F" w:rsidP="006F421D">
            <w:pPr>
              <w:pStyle w:val="3fins-table-figures"/>
              <w:jc w:val="right"/>
              <w:rPr>
                <w:rFonts w:cs="Times New Roman"/>
              </w:rPr>
            </w:pPr>
            <w:r>
              <w:rPr>
                <w:rStyle w:val="fins-bold"/>
                <w:rFonts w:cs="Times New Roman"/>
              </w:rPr>
              <w:t>–</w:t>
            </w:r>
          </w:p>
        </w:tc>
        <w:tc>
          <w:tcPr>
            <w:tcW w:w="1089" w:type="dxa"/>
            <w:tcBorders>
              <w:top w:val="single" w:sz="4" w:space="0" w:color="0D0D0D" w:themeColor="text1" w:themeTint="F2"/>
              <w:bottom w:val="single" w:sz="4" w:space="0" w:color="0D0D0D" w:themeColor="text1" w:themeTint="F2"/>
            </w:tcBorders>
            <w:vAlign w:val="center"/>
            <w:hideMark/>
          </w:tcPr>
          <w:p w14:paraId="5ADDA985" w14:textId="77777777" w:rsidR="00C57C9F" w:rsidRDefault="00C57C9F" w:rsidP="006F421D">
            <w:pPr>
              <w:pStyle w:val="3fins-table-figures"/>
              <w:jc w:val="right"/>
              <w:rPr>
                <w:rFonts w:cs="Times New Roman"/>
              </w:rPr>
            </w:pPr>
            <w:r>
              <w:rPr>
                <w:rStyle w:val="fins-bold"/>
                <w:rFonts w:cs="Times New Roman"/>
              </w:rPr>
              <w:t>–</w:t>
            </w:r>
          </w:p>
        </w:tc>
      </w:tr>
      <w:tr w:rsidR="00C57C9F" w14:paraId="6F3C3C34" w14:textId="77777777" w:rsidTr="006F421D">
        <w:trPr>
          <w:divId w:val="1139883726"/>
        </w:trPr>
        <w:tc>
          <w:tcPr>
            <w:tcW w:w="7763" w:type="dxa"/>
            <w:vAlign w:val="center"/>
            <w:hideMark/>
          </w:tcPr>
          <w:p w14:paraId="68324C6F" w14:textId="77777777" w:rsidR="00C57C9F" w:rsidRDefault="00C57C9F">
            <w:pPr>
              <w:rPr>
                <w:rFonts w:eastAsia="Times New Roman" w:cs="Times New Roman"/>
              </w:rPr>
            </w:pPr>
          </w:p>
        </w:tc>
        <w:tc>
          <w:tcPr>
            <w:tcW w:w="1279" w:type="dxa"/>
            <w:tcBorders>
              <w:top w:val="single" w:sz="4" w:space="0" w:color="0D0D0D" w:themeColor="text1" w:themeTint="F2"/>
            </w:tcBorders>
            <w:vAlign w:val="center"/>
            <w:hideMark/>
          </w:tcPr>
          <w:p w14:paraId="6CAB3203" w14:textId="77777777" w:rsidR="00C57C9F" w:rsidRDefault="00C57C9F" w:rsidP="006F421D">
            <w:pPr>
              <w:jc w:val="right"/>
              <w:rPr>
                <w:rFonts w:eastAsia="Times New Roman" w:cs="Times New Roman"/>
              </w:rPr>
            </w:pPr>
          </w:p>
        </w:tc>
        <w:tc>
          <w:tcPr>
            <w:tcW w:w="1089" w:type="dxa"/>
            <w:tcBorders>
              <w:top w:val="single" w:sz="4" w:space="0" w:color="0D0D0D" w:themeColor="text1" w:themeTint="F2"/>
            </w:tcBorders>
            <w:vAlign w:val="center"/>
            <w:hideMark/>
          </w:tcPr>
          <w:p w14:paraId="7EAA884F" w14:textId="77777777" w:rsidR="00C57C9F" w:rsidRDefault="00C57C9F" w:rsidP="006F421D">
            <w:pPr>
              <w:jc w:val="right"/>
              <w:rPr>
                <w:rFonts w:eastAsia="Times New Roman" w:cs="Times New Roman"/>
              </w:rPr>
            </w:pPr>
          </w:p>
        </w:tc>
      </w:tr>
      <w:tr w:rsidR="00C57C9F" w14:paraId="2929EAF8" w14:textId="77777777" w:rsidTr="006F421D">
        <w:trPr>
          <w:divId w:val="1139883726"/>
        </w:trPr>
        <w:tc>
          <w:tcPr>
            <w:tcW w:w="7763" w:type="dxa"/>
            <w:vAlign w:val="center"/>
            <w:hideMark/>
          </w:tcPr>
          <w:p w14:paraId="74DE7A51" w14:textId="77777777" w:rsidR="00C57C9F" w:rsidRDefault="00C57C9F">
            <w:pPr>
              <w:pStyle w:val="3fins-table"/>
              <w:rPr>
                <w:rFonts w:cs="Times New Roman"/>
              </w:rPr>
            </w:pPr>
            <w:r>
              <w:rPr>
                <w:rStyle w:val="fins-bold"/>
                <w:rFonts w:cs="Times New Roman"/>
              </w:rPr>
              <w:t>Reconciliation of net cost of services to net cash from operating activities:</w:t>
            </w:r>
          </w:p>
        </w:tc>
        <w:tc>
          <w:tcPr>
            <w:tcW w:w="1279" w:type="dxa"/>
            <w:vAlign w:val="center"/>
            <w:hideMark/>
          </w:tcPr>
          <w:p w14:paraId="16077721" w14:textId="77777777" w:rsidR="00C57C9F" w:rsidRDefault="00C57C9F" w:rsidP="006F421D">
            <w:pPr>
              <w:jc w:val="right"/>
              <w:rPr>
                <w:rFonts w:eastAsia="Times New Roman" w:cs="Times New Roman"/>
              </w:rPr>
            </w:pPr>
          </w:p>
        </w:tc>
        <w:tc>
          <w:tcPr>
            <w:tcW w:w="1089" w:type="dxa"/>
            <w:vAlign w:val="center"/>
            <w:hideMark/>
          </w:tcPr>
          <w:p w14:paraId="3771F0A6" w14:textId="77777777" w:rsidR="00C57C9F" w:rsidRDefault="00C57C9F" w:rsidP="006F421D">
            <w:pPr>
              <w:jc w:val="right"/>
              <w:rPr>
                <w:rFonts w:eastAsia="Times New Roman" w:cs="Times New Roman"/>
              </w:rPr>
            </w:pPr>
          </w:p>
        </w:tc>
      </w:tr>
      <w:tr w:rsidR="00C57C9F" w14:paraId="30CA9AF7" w14:textId="77777777" w:rsidTr="006F421D">
        <w:trPr>
          <w:divId w:val="1139883726"/>
        </w:trPr>
        <w:tc>
          <w:tcPr>
            <w:tcW w:w="7763" w:type="dxa"/>
            <w:vAlign w:val="center"/>
            <w:hideMark/>
          </w:tcPr>
          <w:p w14:paraId="4827FDB1" w14:textId="77777777" w:rsidR="00C57C9F" w:rsidRDefault="00C57C9F">
            <w:pPr>
              <w:pStyle w:val="3fins-table"/>
              <w:rPr>
                <w:rFonts w:cs="Times New Roman"/>
              </w:rPr>
            </w:pPr>
            <w:r>
              <w:rPr>
                <w:rFonts w:cs="Times New Roman"/>
              </w:rPr>
              <w:t>Net cost of services</w:t>
            </w:r>
          </w:p>
        </w:tc>
        <w:tc>
          <w:tcPr>
            <w:tcW w:w="1279" w:type="dxa"/>
            <w:vAlign w:val="center"/>
            <w:hideMark/>
          </w:tcPr>
          <w:p w14:paraId="413C41B9" w14:textId="77777777" w:rsidR="00C57C9F" w:rsidRDefault="00C57C9F" w:rsidP="006F421D">
            <w:pPr>
              <w:pStyle w:val="3fins-table-figures"/>
              <w:jc w:val="right"/>
              <w:rPr>
                <w:rFonts w:cs="Times New Roman"/>
              </w:rPr>
            </w:pPr>
            <w:r>
              <w:rPr>
                <w:rStyle w:val="fins-bold"/>
                <w:rFonts w:cs="Times New Roman"/>
              </w:rPr>
              <w:t xml:space="preserve">(5,975) </w:t>
            </w:r>
          </w:p>
        </w:tc>
        <w:tc>
          <w:tcPr>
            <w:tcW w:w="1089" w:type="dxa"/>
            <w:vAlign w:val="center"/>
            <w:hideMark/>
          </w:tcPr>
          <w:p w14:paraId="3FB2288E" w14:textId="77777777" w:rsidR="00C57C9F" w:rsidRDefault="00C57C9F" w:rsidP="006F421D">
            <w:pPr>
              <w:pStyle w:val="3fins-table-figures"/>
              <w:jc w:val="right"/>
              <w:rPr>
                <w:rFonts w:cs="Times New Roman"/>
              </w:rPr>
            </w:pPr>
            <w:r>
              <w:rPr>
                <w:rFonts w:cs="Times New Roman"/>
              </w:rPr>
              <w:t>(5,455)</w:t>
            </w:r>
          </w:p>
        </w:tc>
      </w:tr>
      <w:tr w:rsidR="00C57C9F" w14:paraId="1CD11D79" w14:textId="77777777" w:rsidTr="006F421D">
        <w:trPr>
          <w:divId w:val="1139883726"/>
        </w:trPr>
        <w:tc>
          <w:tcPr>
            <w:tcW w:w="7763" w:type="dxa"/>
            <w:vAlign w:val="center"/>
            <w:hideMark/>
          </w:tcPr>
          <w:p w14:paraId="67A7C53A" w14:textId="77777777" w:rsidR="00C57C9F" w:rsidRDefault="00C57C9F">
            <w:pPr>
              <w:pStyle w:val="3fins-table"/>
              <w:rPr>
                <w:rFonts w:cs="Times New Roman"/>
              </w:rPr>
            </w:pPr>
            <w:r>
              <w:rPr>
                <w:rFonts w:cs="Times New Roman"/>
              </w:rPr>
              <w:t>Add revenue from Government</w:t>
            </w:r>
          </w:p>
        </w:tc>
        <w:tc>
          <w:tcPr>
            <w:tcW w:w="1279" w:type="dxa"/>
            <w:vAlign w:val="center"/>
            <w:hideMark/>
          </w:tcPr>
          <w:p w14:paraId="2A46378F" w14:textId="77777777" w:rsidR="00C57C9F" w:rsidRDefault="00C57C9F" w:rsidP="006F421D">
            <w:pPr>
              <w:pStyle w:val="3fins-table-figures"/>
              <w:jc w:val="right"/>
              <w:rPr>
                <w:rFonts w:cs="Times New Roman"/>
              </w:rPr>
            </w:pPr>
            <w:r>
              <w:rPr>
                <w:rStyle w:val="fins-bold"/>
                <w:rFonts w:cs="Times New Roman"/>
              </w:rPr>
              <w:t>6,335</w:t>
            </w:r>
          </w:p>
        </w:tc>
        <w:tc>
          <w:tcPr>
            <w:tcW w:w="1089" w:type="dxa"/>
            <w:vAlign w:val="center"/>
            <w:hideMark/>
          </w:tcPr>
          <w:p w14:paraId="62CE3B98" w14:textId="77777777" w:rsidR="00C57C9F" w:rsidRDefault="00C57C9F" w:rsidP="006F421D">
            <w:pPr>
              <w:pStyle w:val="3fins-table-figures"/>
              <w:jc w:val="right"/>
              <w:rPr>
                <w:rFonts w:cs="Times New Roman"/>
              </w:rPr>
            </w:pPr>
            <w:r>
              <w:rPr>
                <w:rFonts w:cs="Times New Roman"/>
              </w:rPr>
              <w:t>5,665</w:t>
            </w:r>
          </w:p>
        </w:tc>
      </w:tr>
      <w:tr w:rsidR="00C57C9F" w14:paraId="584F0AFE" w14:textId="77777777" w:rsidTr="006F421D">
        <w:trPr>
          <w:divId w:val="1139883726"/>
        </w:trPr>
        <w:tc>
          <w:tcPr>
            <w:tcW w:w="7763" w:type="dxa"/>
            <w:vAlign w:val="center"/>
            <w:hideMark/>
          </w:tcPr>
          <w:p w14:paraId="1D6469F9" w14:textId="77777777" w:rsidR="00C57C9F" w:rsidRDefault="00C57C9F">
            <w:pPr>
              <w:rPr>
                <w:rFonts w:eastAsia="Times New Roman" w:cs="Times New Roman"/>
              </w:rPr>
            </w:pPr>
          </w:p>
        </w:tc>
        <w:tc>
          <w:tcPr>
            <w:tcW w:w="1279" w:type="dxa"/>
            <w:vAlign w:val="center"/>
            <w:hideMark/>
          </w:tcPr>
          <w:p w14:paraId="30424615" w14:textId="77777777" w:rsidR="00C57C9F" w:rsidRDefault="00C57C9F" w:rsidP="006F421D">
            <w:pPr>
              <w:jc w:val="right"/>
              <w:rPr>
                <w:rFonts w:eastAsia="Times New Roman" w:cs="Times New Roman"/>
              </w:rPr>
            </w:pPr>
          </w:p>
        </w:tc>
        <w:tc>
          <w:tcPr>
            <w:tcW w:w="1089" w:type="dxa"/>
            <w:vAlign w:val="center"/>
            <w:hideMark/>
          </w:tcPr>
          <w:p w14:paraId="7987582F" w14:textId="77777777" w:rsidR="00C57C9F" w:rsidRDefault="00C57C9F" w:rsidP="006F421D">
            <w:pPr>
              <w:jc w:val="right"/>
              <w:rPr>
                <w:rFonts w:eastAsia="Times New Roman" w:cs="Times New Roman"/>
              </w:rPr>
            </w:pPr>
          </w:p>
        </w:tc>
      </w:tr>
      <w:tr w:rsidR="00C57C9F" w14:paraId="68DC93D0" w14:textId="77777777" w:rsidTr="006F421D">
        <w:trPr>
          <w:divId w:val="1139883726"/>
        </w:trPr>
        <w:tc>
          <w:tcPr>
            <w:tcW w:w="7763" w:type="dxa"/>
            <w:vAlign w:val="center"/>
            <w:hideMark/>
          </w:tcPr>
          <w:p w14:paraId="6B659F4B" w14:textId="77777777" w:rsidR="00C57C9F" w:rsidRDefault="00C57C9F">
            <w:pPr>
              <w:pStyle w:val="3fins-table"/>
              <w:rPr>
                <w:rFonts w:cs="Times New Roman"/>
              </w:rPr>
            </w:pPr>
            <w:r>
              <w:rPr>
                <w:rStyle w:val="fins-bold"/>
                <w:rFonts w:cs="Times New Roman"/>
              </w:rPr>
              <w:t>Adjustments for non-cash items</w:t>
            </w:r>
          </w:p>
        </w:tc>
        <w:tc>
          <w:tcPr>
            <w:tcW w:w="1279" w:type="dxa"/>
            <w:vAlign w:val="center"/>
            <w:hideMark/>
          </w:tcPr>
          <w:p w14:paraId="349CE51A" w14:textId="77777777" w:rsidR="00C57C9F" w:rsidRDefault="00C57C9F" w:rsidP="006F421D">
            <w:pPr>
              <w:jc w:val="right"/>
              <w:rPr>
                <w:rFonts w:eastAsia="Times New Roman" w:cs="Times New Roman"/>
              </w:rPr>
            </w:pPr>
          </w:p>
        </w:tc>
        <w:tc>
          <w:tcPr>
            <w:tcW w:w="1089" w:type="dxa"/>
            <w:vAlign w:val="center"/>
            <w:hideMark/>
          </w:tcPr>
          <w:p w14:paraId="020DDCCF" w14:textId="77777777" w:rsidR="00C57C9F" w:rsidRDefault="00C57C9F" w:rsidP="006F421D">
            <w:pPr>
              <w:jc w:val="right"/>
              <w:rPr>
                <w:rFonts w:eastAsia="Times New Roman" w:cs="Times New Roman"/>
              </w:rPr>
            </w:pPr>
          </w:p>
        </w:tc>
      </w:tr>
      <w:tr w:rsidR="00C57C9F" w14:paraId="11EEED38" w14:textId="77777777" w:rsidTr="006F421D">
        <w:trPr>
          <w:divId w:val="1139883726"/>
        </w:trPr>
        <w:tc>
          <w:tcPr>
            <w:tcW w:w="7763" w:type="dxa"/>
            <w:vAlign w:val="center"/>
            <w:hideMark/>
          </w:tcPr>
          <w:p w14:paraId="711F8F9E" w14:textId="77777777" w:rsidR="00C57C9F" w:rsidRDefault="00C57C9F">
            <w:pPr>
              <w:pStyle w:val="3fins-table"/>
              <w:rPr>
                <w:rFonts w:cs="Times New Roman"/>
              </w:rPr>
            </w:pPr>
            <w:r>
              <w:rPr>
                <w:rFonts w:cs="Times New Roman"/>
              </w:rPr>
              <w:t xml:space="preserve">Depreciation and </w:t>
            </w:r>
            <w:proofErr w:type="spellStart"/>
            <w:r>
              <w:rPr>
                <w:rFonts w:cs="Times New Roman"/>
              </w:rPr>
              <w:t>amortisation</w:t>
            </w:r>
            <w:proofErr w:type="spellEnd"/>
          </w:p>
        </w:tc>
        <w:tc>
          <w:tcPr>
            <w:tcW w:w="1279" w:type="dxa"/>
            <w:vAlign w:val="center"/>
            <w:hideMark/>
          </w:tcPr>
          <w:p w14:paraId="62D5974F" w14:textId="77777777" w:rsidR="00C57C9F" w:rsidRDefault="00C57C9F" w:rsidP="006F421D">
            <w:pPr>
              <w:pStyle w:val="3fins-table-figures"/>
              <w:jc w:val="right"/>
              <w:rPr>
                <w:rFonts w:cs="Times New Roman"/>
              </w:rPr>
            </w:pPr>
            <w:r>
              <w:rPr>
                <w:rStyle w:val="fins-bold"/>
                <w:rFonts w:cs="Times New Roman"/>
              </w:rPr>
              <w:t>87</w:t>
            </w:r>
          </w:p>
        </w:tc>
        <w:tc>
          <w:tcPr>
            <w:tcW w:w="1089" w:type="dxa"/>
            <w:vAlign w:val="center"/>
            <w:hideMark/>
          </w:tcPr>
          <w:p w14:paraId="371A95BB" w14:textId="77777777" w:rsidR="00C57C9F" w:rsidRDefault="00C57C9F" w:rsidP="006F421D">
            <w:pPr>
              <w:pStyle w:val="3fins-table-figures"/>
              <w:jc w:val="right"/>
              <w:rPr>
                <w:rFonts w:cs="Times New Roman"/>
              </w:rPr>
            </w:pPr>
            <w:r>
              <w:rPr>
                <w:rFonts w:cs="Times New Roman"/>
              </w:rPr>
              <w:t>120</w:t>
            </w:r>
          </w:p>
        </w:tc>
      </w:tr>
      <w:tr w:rsidR="00C57C9F" w14:paraId="3788070A" w14:textId="77777777" w:rsidTr="006F421D">
        <w:trPr>
          <w:divId w:val="1139883726"/>
        </w:trPr>
        <w:tc>
          <w:tcPr>
            <w:tcW w:w="7763" w:type="dxa"/>
            <w:vAlign w:val="center"/>
            <w:hideMark/>
          </w:tcPr>
          <w:p w14:paraId="160F3F5C" w14:textId="77777777" w:rsidR="00C57C9F" w:rsidRDefault="00C57C9F">
            <w:pPr>
              <w:pStyle w:val="3fins-table"/>
              <w:rPr>
                <w:rFonts w:cs="Times New Roman"/>
              </w:rPr>
            </w:pPr>
            <w:r>
              <w:rPr>
                <w:rFonts w:cs="Times New Roman"/>
              </w:rPr>
              <w:t>Impairment of assets</w:t>
            </w:r>
          </w:p>
        </w:tc>
        <w:tc>
          <w:tcPr>
            <w:tcW w:w="1279" w:type="dxa"/>
            <w:vAlign w:val="center"/>
            <w:hideMark/>
          </w:tcPr>
          <w:p w14:paraId="61FE60DF" w14:textId="77777777" w:rsidR="00C57C9F" w:rsidRDefault="00C57C9F" w:rsidP="006F421D">
            <w:pPr>
              <w:pStyle w:val="3fins-table-figures"/>
              <w:jc w:val="right"/>
              <w:rPr>
                <w:rFonts w:cs="Times New Roman"/>
              </w:rPr>
            </w:pPr>
            <w:r>
              <w:rPr>
                <w:rStyle w:val="fins-bold"/>
                <w:rFonts w:cs="Times New Roman"/>
              </w:rPr>
              <w:t>56</w:t>
            </w:r>
          </w:p>
        </w:tc>
        <w:tc>
          <w:tcPr>
            <w:tcW w:w="1089" w:type="dxa"/>
            <w:vAlign w:val="center"/>
            <w:hideMark/>
          </w:tcPr>
          <w:p w14:paraId="76D72A8B" w14:textId="77777777" w:rsidR="00C57C9F" w:rsidRDefault="00C57C9F" w:rsidP="006F421D">
            <w:pPr>
              <w:pStyle w:val="3fins-table-figures"/>
              <w:jc w:val="right"/>
              <w:rPr>
                <w:rFonts w:cs="Times New Roman"/>
              </w:rPr>
            </w:pPr>
            <w:r>
              <w:rPr>
                <w:rStyle w:val="fins-bold"/>
                <w:rFonts w:cs="Times New Roman"/>
              </w:rPr>
              <w:t>–</w:t>
            </w:r>
          </w:p>
        </w:tc>
      </w:tr>
      <w:tr w:rsidR="00C57C9F" w14:paraId="4CBF67DC" w14:textId="77777777" w:rsidTr="006F421D">
        <w:trPr>
          <w:divId w:val="1139883726"/>
        </w:trPr>
        <w:tc>
          <w:tcPr>
            <w:tcW w:w="7763" w:type="dxa"/>
            <w:vAlign w:val="center"/>
            <w:hideMark/>
          </w:tcPr>
          <w:p w14:paraId="7882DDE0" w14:textId="77777777" w:rsidR="00C57C9F" w:rsidRDefault="00C57C9F">
            <w:pPr>
              <w:pStyle w:val="3fins-table"/>
              <w:rPr>
                <w:rFonts w:cs="Times New Roman"/>
              </w:rPr>
            </w:pPr>
            <w:r>
              <w:rPr>
                <w:rFonts w:cs="Times New Roman"/>
              </w:rPr>
              <w:t xml:space="preserve">Movements in operating </w:t>
            </w:r>
            <w:proofErr w:type="spellStart"/>
            <w:r>
              <w:rPr>
                <w:rFonts w:cs="Times New Roman"/>
              </w:rPr>
              <w:t>recognised</w:t>
            </w:r>
            <w:proofErr w:type="spellEnd"/>
            <w:r>
              <w:rPr>
                <w:rFonts w:cs="Times New Roman"/>
              </w:rPr>
              <w:t xml:space="preserve"> in equity</w:t>
            </w:r>
          </w:p>
        </w:tc>
        <w:tc>
          <w:tcPr>
            <w:tcW w:w="1279" w:type="dxa"/>
            <w:vAlign w:val="center"/>
            <w:hideMark/>
          </w:tcPr>
          <w:p w14:paraId="4F86D302" w14:textId="77777777" w:rsidR="00C57C9F" w:rsidRDefault="00C57C9F" w:rsidP="006F421D">
            <w:pPr>
              <w:pStyle w:val="3fins-table-figures"/>
              <w:jc w:val="right"/>
              <w:rPr>
                <w:rFonts w:cs="Times New Roman"/>
              </w:rPr>
            </w:pPr>
            <w:r>
              <w:rPr>
                <w:rStyle w:val="fins-bold"/>
                <w:rFonts w:cs="Times New Roman"/>
              </w:rPr>
              <w:t>–</w:t>
            </w:r>
          </w:p>
        </w:tc>
        <w:tc>
          <w:tcPr>
            <w:tcW w:w="1089" w:type="dxa"/>
            <w:vAlign w:val="center"/>
            <w:hideMark/>
          </w:tcPr>
          <w:p w14:paraId="0259DEA7" w14:textId="77777777" w:rsidR="00C57C9F" w:rsidRDefault="00C57C9F" w:rsidP="006F421D">
            <w:pPr>
              <w:pStyle w:val="3fins-table-figures"/>
              <w:jc w:val="right"/>
              <w:rPr>
                <w:rFonts w:cs="Times New Roman"/>
              </w:rPr>
            </w:pPr>
            <w:r>
              <w:rPr>
                <w:rFonts w:cs="Times New Roman"/>
              </w:rPr>
              <w:t>(3)</w:t>
            </w:r>
          </w:p>
        </w:tc>
      </w:tr>
      <w:tr w:rsidR="00C57C9F" w14:paraId="40885358" w14:textId="77777777" w:rsidTr="006F421D">
        <w:trPr>
          <w:divId w:val="1139883726"/>
        </w:trPr>
        <w:tc>
          <w:tcPr>
            <w:tcW w:w="7763" w:type="dxa"/>
            <w:vAlign w:val="center"/>
            <w:hideMark/>
          </w:tcPr>
          <w:p w14:paraId="66004FCB" w14:textId="77777777" w:rsidR="00C57C9F" w:rsidRDefault="00C57C9F">
            <w:pPr>
              <w:pStyle w:val="3fins-table"/>
              <w:rPr>
                <w:rFonts w:cs="Times New Roman"/>
              </w:rPr>
            </w:pPr>
            <w:proofErr w:type="spellStart"/>
            <w:r>
              <w:rPr>
                <w:rFonts w:cs="Times New Roman"/>
              </w:rPr>
              <w:t>Capitalisation</w:t>
            </w:r>
            <w:proofErr w:type="spellEnd"/>
            <w:r>
              <w:rPr>
                <w:rFonts w:cs="Times New Roman"/>
              </w:rPr>
              <w:t xml:space="preserve"> of accruals not classified as operating</w:t>
            </w:r>
          </w:p>
        </w:tc>
        <w:tc>
          <w:tcPr>
            <w:tcW w:w="1279" w:type="dxa"/>
            <w:vAlign w:val="center"/>
            <w:hideMark/>
          </w:tcPr>
          <w:p w14:paraId="35020CAB" w14:textId="77777777" w:rsidR="00C57C9F" w:rsidRDefault="00C57C9F" w:rsidP="006F421D">
            <w:pPr>
              <w:pStyle w:val="3fins-table-figures"/>
              <w:jc w:val="right"/>
              <w:rPr>
                <w:rFonts w:cs="Times New Roman"/>
              </w:rPr>
            </w:pPr>
            <w:r>
              <w:rPr>
                <w:rStyle w:val="fins-bold"/>
                <w:rFonts w:cs="Times New Roman"/>
              </w:rPr>
              <w:t>–</w:t>
            </w:r>
          </w:p>
        </w:tc>
        <w:tc>
          <w:tcPr>
            <w:tcW w:w="1089" w:type="dxa"/>
            <w:vAlign w:val="center"/>
            <w:hideMark/>
          </w:tcPr>
          <w:p w14:paraId="2AACC182" w14:textId="77777777" w:rsidR="00C57C9F" w:rsidRDefault="00C57C9F" w:rsidP="006F421D">
            <w:pPr>
              <w:pStyle w:val="3fins-table-figures"/>
              <w:jc w:val="right"/>
              <w:rPr>
                <w:rFonts w:cs="Times New Roman"/>
              </w:rPr>
            </w:pPr>
            <w:r>
              <w:rPr>
                <w:rFonts w:cs="Times New Roman"/>
              </w:rPr>
              <w:t>60</w:t>
            </w:r>
          </w:p>
        </w:tc>
      </w:tr>
      <w:tr w:rsidR="00C57C9F" w14:paraId="7AA55849" w14:textId="77777777" w:rsidTr="006F421D">
        <w:trPr>
          <w:divId w:val="1139883726"/>
        </w:trPr>
        <w:tc>
          <w:tcPr>
            <w:tcW w:w="7763" w:type="dxa"/>
            <w:vAlign w:val="center"/>
            <w:hideMark/>
          </w:tcPr>
          <w:p w14:paraId="48F23CDF" w14:textId="77777777" w:rsidR="00C57C9F" w:rsidRDefault="00C57C9F">
            <w:pPr>
              <w:rPr>
                <w:rFonts w:eastAsia="Times New Roman" w:cs="Times New Roman"/>
              </w:rPr>
            </w:pPr>
          </w:p>
        </w:tc>
        <w:tc>
          <w:tcPr>
            <w:tcW w:w="1279" w:type="dxa"/>
            <w:vAlign w:val="center"/>
            <w:hideMark/>
          </w:tcPr>
          <w:p w14:paraId="1016120E" w14:textId="77777777" w:rsidR="00C57C9F" w:rsidRDefault="00C57C9F" w:rsidP="006F421D">
            <w:pPr>
              <w:jc w:val="right"/>
              <w:rPr>
                <w:rFonts w:eastAsia="Times New Roman" w:cs="Times New Roman"/>
              </w:rPr>
            </w:pPr>
          </w:p>
        </w:tc>
        <w:tc>
          <w:tcPr>
            <w:tcW w:w="1089" w:type="dxa"/>
            <w:vAlign w:val="center"/>
            <w:hideMark/>
          </w:tcPr>
          <w:p w14:paraId="39BF4ACC" w14:textId="77777777" w:rsidR="00C57C9F" w:rsidRDefault="00C57C9F" w:rsidP="006F421D">
            <w:pPr>
              <w:jc w:val="right"/>
              <w:rPr>
                <w:rFonts w:eastAsia="Times New Roman" w:cs="Times New Roman"/>
              </w:rPr>
            </w:pPr>
          </w:p>
        </w:tc>
      </w:tr>
      <w:tr w:rsidR="00C57C9F" w14:paraId="5639D001" w14:textId="77777777" w:rsidTr="006F421D">
        <w:trPr>
          <w:divId w:val="1139883726"/>
        </w:trPr>
        <w:tc>
          <w:tcPr>
            <w:tcW w:w="7763" w:type="dxa"/>
            <w:vAlign w:val="center"/>
            <w:hideMark/>
          </w:tcPr>
          <w:p w14:paraId="3438E31A" w14:textId="77777777" w:rsidR="00C57C9F" w:rsidRDefault="00C57C9F">
            <w:pPr>
              <w:pStyle w:val="3fins-table"/>
              <w:rPr>
                <w:rFonts w:cs="Times New Roman"/>
              </w:rPr>
            </w:pPr>
            <w:r>
              <w:rPr>
                <w:rStyle w:val="fins-bold"/>
                <w:rFonts w:cs="Times New Roman"/>
              </w:rPr>
              <w:t>Changes in assets / liabilities</w:t>
            </w:r>
          </w:p>
        </w:tc>
        <w:tc>
          <w:tcPr>
            <w:tcW w:w="1279" w:type="dxa"/>
            <w:vAlign w:val="center"/>
            <w:hideMark/>
          </w:tcPr>
          <w:p w14:paraId="056D3C95" w14:textId="77777777" w:rsidR="00C57C9F" w:rsidRDefault="00C57C9F" w:rsidP="006F421D">
            <w:pPr>
              <w:jc w:val="right"/>
              <w:rPr>
                <w:rFonts w:eastAsia="Times New Roman" w:cs="Times New Roman"/>
              </w:rPr>
            </w:pPr>
          </w:p>
        </w:tc>
        <w:tc>
          <w:tcPr>
            <w:tcW w:w="1089" w:type="dxa"/>
            <w:vAlign w:val="center"/>
            <w:hideMark/>
          </w:tcPr>
          <w:p w14:paraId="4AB9D554" w14:textId="77777777" w:rsidR="00C57C9F" w:rsidRDefault="00C57C9F" w:rsidP="006F421D">
            <w:pPr>
              <w:jc w:val="right"/>
              <w:rPr>
                <w:rFonts w:eastAsia="Times New Roman" w:cs="Times New Roman"/>
              </w:rPr>
            </w:pPr>
          </w:p>
        </w:tc>
      </w:tr>
      <w:tr w:rsidR="00C57C9F" w14:paraId="3254C96E" w14:textId="77777777" w:rsidTr="006F421D">
        <w:trPr>
          <w:divId w:val="1139883726"/>
        </w:trPr>
        <w:tc>
          <w:tcPr>
            <w:tcW w:w="7763" w:type="dxa"/>
            <w:vAlign w:val="center"/>
            <w:hideMark/>
          </w:tcPr>
          <w:p w14:paraId="02EDA410" w14:textId="77777777" w:rsidR="00C57C9F" w:rsidRDefault="00C57C9F">
            <w:pPr>
              <w:pStyle w:val="3fins-table"/>
              <w:rPr>
                <w:rFonts w:cs="Times New Roman"/>
              </w:rPr>
            </w:pPr>
            <w:r>
              <w:rPr>
                <w:rFonts w:cs="Times New Roman"/>
              </w:rPr>
              <w:t>(Increase) / decrease in net receivables</w:t>
            </w:r>
          </w:p>
        </w:tc>
        <w:tc>
          <w:tcPr>
            <w:tcW w:w="1279" w:type="dxa"/>
            <w:vAlign w:val="center"/>
            <w:hideMark/>
          </w:tcPr>
          <w:p w14:paraId="71BBAA4A" w14:textId="77777777" w:rsidR="00C57C9F" w:rsidRDefault="00C57C9F" w:rsidP="006F421D">
            <w:pPr>
              <w:pStyle w:val="3fins-table-figures"/>
              <w:jc w:val="right"/>
              <w:rPr>
                <w:rFonts w:cs="Times New Roman"/>
              </w:rPr>
            </w:pPr>
            <w:r>
              <w:rPr>
                <w:rStyle w:val="fins-bold"/>
                <w:rFonts w:cs="Times New Roman"/>
              </w:rPr>
              <w:t>(1,053)</w:t>
            </w:r>
          </w:p>
        </w:tc>
        <w:tc>
          <w:tcPr>
            <w:tcW w:w="1089" w:type="dxa"/>
            <w:vAlign w:val="center"/>
            <w:hideMark/>
          </w:tcPr>
          <w:p w14:paraId="4780C6BB" w14:textId="77777777" w:rsidR="00C57C9F" w:rsidRDefault="00C57C9F" w:rsidP="006F421D">
            <w:pPr>
              <w:pStyle w:val="3fins-table-figures"/>
              <w:jc w:val="right"/>
              <w:rPr>
                <w:rFonts w:cs="Times New Roman"/>
              </w:rPr>
            </w:pPr>
            <w:r>
              <w:rPr>
                <w:rFonts w:cs="Times New Roman"/>
              </w:rPr>
              <w:t>1,707</w:t>
            </w:r>
          </w:p>
        </w:tc>
      </w:tr>
      <w:tr w:rsidR="00C57C9F" w14:paraId="01AD0BD2" w14:textId="77777777" w:rsidTr="006F421D">
        <w:trPr>
          <w:divId w:val="1139883726"/>
        </w:trPr>
        <w:tc>
          <w:tcPr>
            <w:tcW w:w="7763" w:type="dxa"/>
            <w:vAlign w:val="center"/>
            <w:hideMark/>
          </w:tcPr>
          <w:p w14:paraId="79C03E19" w14:textId="77777777" w:rsidR="00C57C9F" w:rsidRDefault="00C57C9F">
            <w:pPr>
              <w:pStyle w:val="3fins-table"/>
              <w:rPr>
                <w:rFonts w:cs="Times New Roman"/>
              </w:rPr>
            </w:pPr>
            <w:r>
              <w:rPr>
                <w:rFonts w:cs="Times New Roman"/>
              </w:rPr>
              <w:t>(Increase) / decrease in prepayments</w:t>
            </w:r>
          </w:p>
        </w:tc>
        <w:tc>
          <w:tcPr>
            <w:tcW w:w="1279" w:type="dxa"/>
            <w:vAlign w:val="center"/>
            <w:hideMark/>
          </w:tcPr>
          <w:p w14:paraId="5F1B4DAD" w14:textId="77777777" w:rsidR="00C57C9F" w:rsidRDefault="00C57C9F" w:rsidP="006F421D">
            <w:pPr>
              <w:pStyle w:val="3fins-table-figures"/>
              <w:jc w:val="right"/>
              <w:rPr>
                <w:rFonts w:cs="Times New Roman"/>
              </w:rPr>
            </w:pPr>
            <w:r>
              <w:rPr>
                <w:rStyle w:val="fins-bold"/>
                <w:rFonts w:cs="Times New Roman"/>
              </w:rPr>
              <w:t>(98)</w:t>
            </w:r>
          </w:p>
        </w:tc>
        <w:tc>
          <w:tcPr>
            <w:tcW w:w="1089" w:type="dxa"/>
            <w:vAlign w:val="center"/>
            <w:hideMark/>
          </w:tcPr>
          <w:p w14:paraId="357FC4C8" w14:textId="77777777" w:rsidR="00C57C9F" w:rsidRDefault="00C57C9F" w:rsidP="006F421D">
            <w:pPr>
              <w:pStyle w:val="3fins-table-figures"/>
              <w:jc w:val="right"/>
              <w:rPr>
                <w:rFonts w:cs="Times New Roman"/>
              </w:rPr>
            </w:pPr>
            <w:r>
              <w:rPr>
                <w:rFonts w:cs="Times New Roman"/>
              </w:rPr>
              <w:t>17</w:t>
            </w:r>
          </w:p>
        </w:tc>
      </w:tr>
      <w:tr w:rsidR="00C57C9F" w14:paraId="6DA1E8E0" w14:textId="77777777" w:rsidTr="006F421D">
        <w:trPr>
          <w:divId w:val="1139883726"/>
        </w:trPr>
        <w:tc>
          <w:tcPr>
            <w:tcW w:w="7763" w:type="dxa"/>
            <w:vAlign w:val="center"/>
            <w:hideMark/>
          </w:tcPr>
          <w:p w14:paraId="66AB1EA0" w14:textId="77777777" w:rsidR="00C57C9F" w:rsidRDefault="00C57C9F">
            <w:pPr>
              <w:pStyle w:val="3fins-table"/>
              <w:rPr>
                <w:rFonts w:cs="Times New Roman"/>
              </w:rPr>
            </w:pPr>
            <w:r>
              <w:rPr>
                <w:rFonts w:cs="Times New Roman"/>
              </w:rPr>
              <w:t>Increase / (decrease) in employee provisions</w:t>
            </w:r>
          </w:p>
        </w:tc>
        <w:tc>
          <w:tcPr>
            <w:tcW w:w="1279" w:type="dxa"/>
            <w:vAlign w:val="center"/>
            <w:hideMark/>
          </w:tcPr>
          <w:p w14:paraId="4DC2C7D4" w14:textId="77777777" w:rsidR="00C57C9F" w:rsidRDefault="00C57C9F" w:rsidP="006F421D">
            <w:pPr>
              <w:pStyle w:val="3fins-table-figures"/>
              <w:jc w:val="right"/>
              <w:rPr>
                <w:rFonts w:cs="Times New Roman"/>
              </w:rPr>
            </w:pPr>
            <w:r>
              <w:rPr>
                <w:rStyle w:val="fins-bold"/>
                <w:rFonts w:cs="Times New Roman"/>
              </w:rPr>
              <w:t>275</w:t>
            </w:r>
          </w:p>
        </w:tc>
        <w:tc>
          <w:tcPr>
            <w:tcW w:w="1089" w:type="dxa"/>
            <w:vAlign w:val="center"/>
            <w:hideMark/>
          </w:tcPr>
          <w:p w14:paraId="4478E97B" w14:textId="77777777" w:rsidR="00C57C9F" w:rsidRDefault="00C57C9F" w:rsidP="006F421D">
            <w:pPr>
              <w:pStyle w:val="3fins-table-figures"/>
              <w:jc w:val="right"/>
              <w:rPr>
                <w:rFonts w:cs="Times New Roman"/>
              </w:rPr>
            </w:pPr>
            <w:r>
              <w:rPr>
                <w:rFonts w:cs="Times New Roman"/>
              </w:rPr>
              <w:t>310</w:t>
            </w:r>
          </w:p>
        </w:tc>
      </w:tr>
      <w:tr w:rsidR="00C57C9F" w14:paraId="30E6DA17" w14:textId="77777777" w:rsidTr="006F421D">
        <w:trPr>
          <w:divId w:val="1139883726"/>
        </w:trPr>
        <w:tc>
          <w:tcPr>
            <w:tcW w:w="7763" w:type="dxa"/>
            <w:vAlign w:val="center"/>
            <w:hideMark/>
          </w:tcPr>
          <w:p w14:paraId="776FC75E" w14:textId="77777777" w:rsidR="00C57C9F" w:rsidRDefault="00C57C9F">
            <w:pPr>
              <w:pStyle w:val="3fins-table"/>
              <w:rPr>
                <w:rFonts w:cs="Times New Roman"/>
              </w:rPr>
            </w:pPr>
            <w:r>
              <w:rPr>
                <w:rFonts w:cs="Times New Roman"/>
              </w:rPr>
              <w:t>Increase / (decrease) in supplier payables</w:t>
            </w:r>
          </w:p>
        </w:tc>
        <w:tc>
          <w:tcPr>
            <w:tcW w:w="1279" w:type="dxa"/>
            <w:vAlign w:val="center"/>
            <w:hideMark/>
          </w:tcPr>
          <w:p w14:paraId="164053DE" w14:textId="77777777" w:rsidR="00C57C9F" w:rsidRDefault="00C57C9F" w:rsidP="006F421D">
            <w:pPr>
              <w:pStyle w:val="3fins-table-figures"/>
              <w:jc w:val="right"/>
              <w:rPr>
                <w:rFonts w:cs="Times New Roman"/>
              </w:rPr>
            </w:pPr>
            <w:r>
              <w:rPr>
                <w:rStyle w:val="fins-bold"/>
                <w:rFonts w:cs="Times New Roman"/>
              </w:rPr>
              <w:t xml:space="preserve">(245) </w:t>
            </w:r>
          </w:p>
        </w:tc>
        <w:tc>
          <w:tcPr>
            <w:tcW w:w="1089" w:type="dxa"/>
            <w:vAlign w:val="center"/>
            <w:hideMark/>
          </w:tcPr>
          <w:p w14:paraId="3CDE22B9" w14:textId="77777777" w:rsidR="00C57C9F" w:rsidRDefault="00C57C9F" w:rsidP="006F421D">
            <w:pPr>
              <w:pStyle w:val="3fins-table-figures"/>
              <w:jc w:val="right"/>
              <w:rPr>
                <w:rFonts w:cs="Times New Roman"/>
              </w:rPr>
            </w:pPr>
            <w:r>
              <w:rPr>
                <w:rFonts w:cs="Times New Roman"/>
              </w:rPr>
              <w:t>(10,401)</w:t>
            </w:r>
          </w:p>
        </w:tc>
      </w:tr>
      <w:tr w:rsidR="00C57C9F" w14:paraId="30C6D124" w14:textId="77777777" w:rsidTr="006F421D">
        <w:trPr>
          <w:divId w:val="1139883726"/>
        </w:trPr>
        <w:tc>
          <w:tcPr>
            <w:tcW w:w="7763" w:type="dxa"/>
            <w:vAlign w:val="center"/>
            <w:hideMark/>
          </w:tcPr>
          <w:p w14:paraId="234977C1" w14:textId="77777777" w:rsidR="00C57C9F" w:rsidRDefault="00C57C9F">
            <w:pPr>
              <w:pStyle w:val="3fins-table"/>
              <w:rPr>
                <w:rFonts w:cs="Times New Roman"/>
              </w:rPr>
            </w:pPr>
            <w:r>
              <w:rPr>
                <w:rFonts w:cs="Times New Roman"/>
              </w:rPr>
              <w:t>Increase / (decrease) in other payables</w:t>
            </w:r>
          </w:p>
        </w:tc>
        <w:tc>
          <w:tcPr>
            <w:tcW w:w="1279" w:type="dxa"/>
            <w:vAlign w:val="center"/>
            <w:hideMark/>
          </w:tcPr>
          <w:p w14:paraId="5483E0F5" w14:textId="77777777" w:rsidR="00C57C9F" w:rsidRDefault="00C57C9F" w:rsidP="006F421D">
            <w:pPr>
              <w:pStyle w:val="3fins-table-figures"/>
              <w:jc w:val="right"/>
              <w:rPr>
                <w:rFonts w:cs="Times New Roman"/>
              </w:rPr>
            </w:pPr>
            <w:r>
              <w:rPr>
                <w:rStyle w:val="fins-bold"/>
                <w:rFonts w:cs="Times New Roman"/>
              </w:rPr>
              <w:t>6,587</w:t>
            </w:r>
          </w:p>
        </w:tc>
        <w:tc>
          <w:tcPr>
            <w:tcW w:w="1089" w:type="dxa"/>
            <w:vAlign w:val="center"/>
            <w:hideMark/>
          </w:tcPr>
          <w:p w14:paraId="6259F988" w14:textId="77777777" w:rsidR="00C57C9F" w:rsidRDefault="00C57C9F" w:rsidP="006F421D">
            <w:pPr>
              <w:pStyle w:val="3fins-table-figures"/>
              <w:jc w:val="right"/>
              <w:rPr>
                <w:rFonts w:cs="Times New Roman"/>
              </w:rPr>
            </w:pPr>
            <w:r>
              <w:rPr>
                <w:rFonts w:cs="Times New Roman"/>
              </w:rPr>
              <w:t>3,180</w:t>
            </w:r>
          </w:p>
        </w:tc>
      </w:tr>
      <w:tr w:rsidR="00C57C9F" w14:paraId="50A4DE1F" w14:textId="77777777" w:rsidTr="006F421D">
        <w:trPr>
          <w:divId w:val="1139883726"/>
        </w:trPr>
        <w:tc>
          <w:tcPr>
            <w:tcW w:w="7763" w:type="dxa"/>
            <w:vAlign w:val="center"/>
            <w:hideMark/>
          </w:tcPr>
          <w:p w14:paraId="565219C9" w14:textId="77777777" w:rsidR="00C57C9F" w:rsidRDefault="00C57C9F">
            <w:pPr>
              <w:pStyle w:val="3fins-table"/>
              <w:rPr>
                <w:rFonts w:cs="Times New Roman"/>
              </w:rPr>
            </w:pPr>
            <w:r>
              <w:rPr>
                <w:rFonts w:cs="Times New Roman"/>
              </w:rPr>
              <w:t>Increase / (decrease) in other provisions</w:t>
            </w:r>
          </w:p>
        </w:tc>
        <w:tc>
          <w:tcPr>
            <w:tcW w:w="1279" w:type="dxa"/>
            <w:tcBorders>
              <w:bottom w:val="single" w:sz="4" w:space="0" w:color="0D0D0D" w:themeColor="text1" w:themeTint="F2"/>
            </w:tcBorders>
            <w:vAlign w:val="center"/>
            <w:hideMark/>
          </w:tcPr>
          <w:p w14:paraId="26B40757" w14:textId="77777777" w:rsidR="00C57C9F" w:rsidRDefault="00C57C9F" w:rsidP="006F421D">
            <w:pPr>
              <w:pStyle w:val="3fins-table-figures"/>
              <w:jc w:val="right"/>
              <w:rPr>
                <w:rFonts w:cs="Times New Roman"/>
              </w:rPr>
            </w:pPr>
            <w:r>
              <w:rPr>
                <w:rStyle w:val="fins-bold"/>
                <w:rFonts w:cs="Times New Roman"/>
              </w:rPr>
              <w:t>140</w:t>
            </w:r>
          </w:p>
        </w:tc>
        <w:tc>
          <w:tcPr>
            <w:tcW w:w="1089" w:type="dxa"/>
            <w:tcBorders>
              <w:bottom w:val="single" w:sz="4" w:space="0" w:color="0D0D0D" w:themeColor="text1" w:themeTint="F2"/>
            </w:tcBorders>
            <w:vAlign w:val="center"/>
            <w:hideMark/>
          </w:tcPr>
          <w:p w14:paraId="638A6DD8" w14:textId="77777777" w:rsidR="00C57C9F" w:rsidRDefault="00C57C9F" w:rsidP="006F421D">
            <w:pPr>
              <w:pStyle w:val="3fins-table-figures"/>
              <w:jc w:val="right"/>
              <w:rPr>
                <w:rFonts w:cs="Times New Roman"/>
              </w:rPr>
            </w:pPr>
            <w:r>
              <w:rPr>
                <w:rFonts w:cs="Times New Roman"/>
              </w:rPr>
              <w:t>10</w:t>
            </w:r>
          </w:p>
        </w:tc>
      </w:tr>
      <w:tr w:rsidR="00C57C9F" w14:paraId="6DE9D54A" w14:textId="77777777" w:rsidTr="006F421D">
        <w:trPr>
          <w:divId w:val="1139883726"/>
        </w:trPr>
        <w:tc>
          <w:tcPr>
            <w:tcW w:w="7763" w:type="dxa"/>
            <w:vAlign w:val="center"/>
            <w:hideMark/>
          </w:tcPr>
          <w:p w14:paraId="5FEA1F41" w14:textId="77777777" w:rsidR="00C57C9F" w:rsidRDefault="00C57C9F">
            <w:pPr>
              <w:pStyle w:val="3fins-table"/>
              <w:rPr>
                <w:rFonts w:cs="Times New Roman"/>
              </w:rPr>
            </w:pPr>
            <w:r>
              <w:rPr>
                <w:rStyle w:val="fins-bold"/>
                <w:rFonts w:cs="Times New Roman"/>
              </w:rPr>
              <w:t>Net cash from (used by) operating activities</w:t>
            </w:r>
          </w:p>
        </w:tc>
        <w:tc>
          <w:tcPr>
            <w:tcW w:w="1279" w:type="dxa"/>
            <w:tcBorders>
              <w:top w:val="single" w:sz="4" w:space="0" w:color="0D0D0D" w:themeColor="text1" w:themeTint="F2"/>
              <w:bottom w:val="single" w:sz="4" w:space="0" w:color="0D0D0D" w:themeColor="text1" w:themeTint="F2"/>
            </w:tcBorders>
            <w:vAlign w:val="center"/>
            <w:hideMark/>
          </w:tcPr>
          <w:p w14:paraId="33BDF235" w14:textId="77777777" w:rsidR="00C57C9F" w:rsidRDefault="00C57C9F" w:rsidP="006F421D">
            <w:pPr>
              <w:pStyle w:val="3fins-table-figures"/>
              <w:jc w:val="right"/>
              <w:rPr>
                <w:rFonts w:cs="Times New Roman"/>
              </w:rPr>
            </w:pPr>
            <w:r>
              <w:rPr>
                <w:rStyle w:val="fins-bold"/>
                <w:rFonts w:cs="Times New Roman"/>
              </w:rPr>
              <w:t>6,109</w:t>
            </w:r>
          </w:p>
        </w:tc>
        <w:tc>
          <w:tcPr>
            <w:tcW w:w="1089" w:type="dxa"/>
            <w:tcBorders>
              <w:top w:val="single" w:sz="4" w:space="0" w:color="0D0D0D" w:themeColor="text1" w:themeTint="F2"/>
              <w:bottom w:val="single" w:sz="4" w:space="0" w:color="0D0D0D" w:themeColor="text1" w:themeTint="F2"/>
            </w:tcBorders>
            <w:vAlign w:val="center"/>
            <w:hideMark/>
          </w:tcPr>
          <w:p w14:paraId="19019CD2" w14:textId="77777777" w:rsidR="00C57C9F" w:rsidRDefault="00C57C9F" w:rsidP="006F421D">
            <w:pPr>
              <w:pStyle w:val="3fins-table-figures"/>
              <w:jc w:val="right"/>
              <w:rPr>
                <w:rFonts w:cs="Times New Roman"/>
              </w:rPr>
            </w:pPr>
            <w:r>
              <w:rPr>
                <w:rFonts w:cs="Times New Roman"/>
              </w:rPr>
              <w:t>(4,790)</w:t>
            </w:r>
          </w:p>
        </w:tc>
      </w:tr>
    </w:tbl>
    <w:p w14:paraId="1CC3BDC7" w14:textId="77777777" w:rsidR="00161EA4" w:rsidRDefault="00161EA4">
      <w:pPr>
        <w:pStyle w:val="1heading-2"/>
        <w:divId w:val="1139883726"/>
        <w:rPr>
          <w:rFonts w:cs="Times New Roman"/>
          <w:lang w:val="en-AU"/>
        </w:rPr>
      </w:pPr>
    </w:p>
    <w:p w14:paraId="665938CE" w14:textId="77777777" w:rsidR="00161EA4" w:rsidRDefault="00161EA4">
      <w:pPr>
        <w:spacing w:after="0"/>
        <w:rPr>
          <w:rFonts w:cs="Times New Roman"/>
          <w:b/>
          <w:sz w:val="28"/>
        </w:rPr>
      </w:pPr>
      <w:r>
        <w:rPr>
          <w:rFonts w:cs="Times New Roman"/>
        </w:rPr>
        <w:br w:type="page"/>
      </w:r>
    </w:p>
    <w:p w14:paraId="3EA87025" w14:textId="1C543A9C" w:rsidR="00C57C9F" w:rsidRDefault="00C57C9F">
      <w:pPr>
        <w:pStyle w:val="1heading-2"/>
        <w:divId w:val="1139883726"/>
        <w:rPr>
          <w:rFonts w:cs="Times New Roman"/>
          <w:lang w:val="en-AU"/>
        </w:rPr>
      </w:pPr>
      <w:r>
        <w:rPr>
          <w:rFonts w:cs="Times New Roman"/>
          <w:lang w:val="en-AU"/>
        </w:rPr>
        <w:lastRenderedPageBreak/>
        <w:t>Note 11: Contingent Assets and Liabilities</w:t>
      </w:r>
    </w:p>
    <w:p w14:paraId="5EE30372" w14:textId="77777777" w:rsidR="00C57C9F" w:rsidRDefault="00C57C9F">
      <w:pPr>
        <w:pStyle w:val="1heading-4"/>
        <w:divId w:val="1139883726"/>
        <w:rPr>
          <w:rFonts w:cs="Times New Roman"/>
          <w:lang w:val="en-AU"/>
        </w:rPr>
      </w:pPr>
      <w:r>
        <w:rPr>
          <w:rFonts w:cs="Times New Roman"/>
          <w:lang w:val="en-AU"/>
        </w:rPr>
        <w:t>Quantifiable Contingencies</w:t>
      </w:r>
    </w:p>
    <w:p w14:paraId="46081B9C" w14:textId="77777777" w:rsidR="00C57C9F" w:rsidRDefault="00C57C9F">
      <w:pPr>
        <w:pStyle w:val="2fins-body"/>
        <w:divId w:val="1139883726"/>
        <w:rPr>
          <w:rFonts w:cs="Times New Roman"/>
          <w:lang w:val="en-AU"/>
        </w:rPr>
      </w:pPr>
      <w:r>
        <w:rPr>
          <w:rFonts w:cs="Times New Roman"/>
          <w:lang w:val="en-AU"/>
        </w:rPr>
        <w:t>As at 30 June 2014, the Commission had no quantifiable contingencies (2012-13: nil).</w:t>
      </w:r>
    </w:p>
    <w:p w14:paraId="4017F86D" w14:textId="77777777" w:rsidR="00C57C9F" w:rsidRPr="00ED772D" w:rsidRDefault="00C57C9F" w:rsidP="00ED772D">
      <w:pPr>
        <w:divId w:val="1139883726"/>
        <w:rPr>
          <w:i/>
          <w:u w:val="single"/>
        </w:rPr>
      </w:pPr>
      <w:r w:rsidRPr="00ED772D">
        <w:rPr>
          <w:i/>
          <w:u w:val="single"/>
        </w:rPr>
        <w:t>Unquantifiable Contingencies</w:t>
      </w:r>
    </w:p>
    <w:p w14:paraId="72A255BF" w14:textId="77777777" w:rsidR="00C57C9F" w:rsidRDefault="00C57C9F">
      <w:pPr>
        <w:pStyle w:val="2fins-body"/>
        <w:divId w:val="1139883726"/>
        <w:rPr>
          <w:rFonts w:cs="Times New Roman"/>
          <w:lang w:val="en-AU"/>
        </w:rPr>
      </w:pPr>
      <w:r>
        <w:rPr>
          <w:rFonts w:cs="Times New Roman"/>
          <w:lang w:val="en-AU"/>
        </w:rPr>
        <w:t>As at 30 June 2014, the Commission had no unquantifiable contingencies (2012-13: nil).</w:t>
      </w:r>
    </w:p>
    <w:p w14:paraId="58C06CA8" w14:textId="77777777" w:rsidR="00C57C9F" w:rsidRPr="00ED772D" w:rsidRDefault="00C57C9F" w:rsidP="00ED772D">
      <w:pPr>
        <w:divId w:val="1139883726"/>
        <w:rPr>
          <w:i/>
          <w:u w:val="single"/>
        </w:rPr>
      </w:pPr>
      <w:r w:rsidRPr="00ED772D">
        <w:rPr>
          <w:i/>
          <w:u w:val="single"/>
        </w:rPr>
        <w:t>Significant Remote Contingencies</w:t>
      </w:r>
    </w:p>
    <w:p w14:paraId="69155500" w14:textId="77777777" w:rsidR="00C57C9F" w:rsidRDefault="00C57C9F">
      <w:pPr>
        <w:pStyle w:val="2fins-body"/>
        <w:divId w:val="1139883726"/>
        <w:rPr>
          <w:rFonts w:cs="Times New Roman"/>
          <w:lang w:val="en-AU"/>
        </w:rPr>
      </w:pPr>
      <w:r>
        <w:rPr>
          <w:rFonts w:cs="Times New Roman"/>
          <w:lang w:val="en-AU"/>
        </w:rPr>
        <w:t>As at 30 June 2014, the Commission had no material remote contingencies (2012-13: nil).</w:t>
      </w:r>
    </w:p>
    <w:p w14:paraId="07D5CA82" w14:textId="77777777" w:rsidR="00C57C9F" w:rsidRPr="00ED772D" w:rsidRDefault="00C57C9F" w:rsidP="00ED772D">
      <w:pPr>
        <w:divId w:val="1139883726"/>
        <w:rPr>
          <w:b/>
          <w:sz w:val="28"/>
          <w:szCs w:val="28"/>
        </w:rPr>
      </w:pPr>
      <w:r w:rsidRPr="00ED772D">
        <w:rPr>
          <w:b/>
          <w:sz w:val="28"/>
          <w:szCs w:val="28"/>
        </w:rPr>
        <w:t>Note 12: Directors Remuneration</w:t>
      </w:r>
    </w:p>
    <w:p w14:paraId="2FC6931A" w14:textId="77777777" w:rsidR="00C57C9F" w:rsidRDefault="00C57C9F">
      <w:pPr>
        <w:pStyle w:val="2fins-body"/>
        <w:divId w:val="1139883726"/>
        <w:rPr>
          <w:rFonts w:cs="Times New Roman"/>
          <w:lang w:val="en-AU"/>
        </w:rPr>
      </w:pPr>
      <w:r>
        <w:rPr>
          <w:rFonts w:cs="Times New Roman"/>
          <w:lang w:val="en-AU"/>
        </w:rPr>
        <w:t>The number of non-executive directors of the Commission included in these figures is shown below in the relevant remuneration bands:</w:t>
      </w: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7700"/>
        <w:gridCol w:w="1559"/>
        <w:gridCol w:w="992"/>
      </w:tblGrid>
      <w:tr w:rsidR="00C57C9F" w14:paraId="2A46A955" w14:textId="77777777" w:rsidTr="006F421D">
        <w:trPr>
          <w:divId w:val="1139883726"/>
          <w:tblCellSpacing w:w="15" w:type="dxa"/>
        </w:trPr>
        <w:tc>
          <w:tcPr>
            <w:tcW w:w="7655" w:type="dxa"/>
            <w:vAlign w:val="center"/>
            <w:hideMark/>
          </w:tcPr>
          <w:p w14:paraId="700616EC" w14:textId="77777777" w:rsidR="00C57C9F" w:rsidRDefault="00C57C9F">
            <w:pPr>
              <w:rPr>
                <w:rFonts w:eastAsia="Times New Roman" w:cs="Times New Roman"/>
              </w:rPr>
            </w:pPr>
          </w:p>
        </w:tc>
        <w:tc>
          <w:tcPr>
            <w:tcW w:w="1529" w:type="dxa"/>
            <w:vAlign w:val="center"/>
            <w:hideMark/>
          </w:tcPr>
          <w:p w14:paraId="34AA4AB4" w14:textId="77777777" w:rsidR="00C57C9F" w:rsidRDefault="00C57C9F" w:rsidP="006F421D">
            <w:pPr>
              <w:pStyle w:val="3fins-table-figures"/>
              <w:jc w:val="right"/>
              <w:rPr>
                <w:rFonts w:cs="Times New Roman"/>
              </w:rPr>
            </w:pPr>
            <w:r>
              <w:rPr>
                <w:rStyle w:val="fins-bold"/>
                <w:rFonts w:cs="Times New Roman"/>
              </w:rPr>
              <w:t>2014</w:t>
            </w:r>
          </w:p>
        </w:tc>
        <w:tc>
          <w:tcPr>
            <w:tcW w:w="947" w:type="dxa"/>
            <w:vAlign w:val="center"/>
            <w:hideMark/>
          </w:tcPr>
          <w:p w14:paraId="0400B5AF" w14:textId="77777777" w:rsidR="00C57C9F" w:rsidRDefault="00C57C9F" w:rsidP="006F421D">
            <w:pPr>
              <w:pStyle w:val="3fins-table-figures"/>
              <w:jc w:val="right"/>
              <w:rPr>
                <w:rFonts w:cs="Times New Roman"/>
              </w:rPr>
            </w:pPr>
            <w:r>
              <w:rPr>
                <w:rFonts w:cs="Times New Roman"/>
              </w:rPr>
              <w:t>2013</w:t>
            </w:r>
          </w:p>
        </w:tc>
      </w:tr>
      <w:tr w:rsidR="00C57C9F" w14:paraId="72A061CE" w14:textId="77777777" w:rsidTr="006F421D">
        <w:trPr>
          <w:divId w:val="1139883726"/>
          <w:tblCellSpacing w:w="15" w:type="dxa"/>
        </w:trPr>
        <w:tc>
          <w:tcPr>
            <w:tcW w:w="7655" w:type="dxa"/>
            <w:vAlign w:val="center"/>
            <w:hideMark/>
          </w:tcPr>
          <w:p w14:paraId="73DAE28A" w14:textId="77777777" w:rsidR="00C57C9F" w:rsidRDefault="00C57C9F">
            <w:pPr>
              <w:rPr>
                <w:rFonts w:eastAsia="Times New Roman" w:cs="Times New Roman"/>
              </w:rPr>
            </w:pPr>
          </w:p>
        </w:tc>
        <w:tc>
          <w:tcPr>
            <w:tcW w:w="1529" w:type="dxa"/>
            <w:vAlign w:val="center"/>
            <w:hideMark/>
          </w:tcPr>
          <w:p w14:paraId="2F31BEF8" w14:textId="77777777" w:rsidR="00C57C9F" w:rsidRDefault="00C57C9F" w:rsidP="006F421D">
            <w:pPr>
              <w:pStyle w:val="3fins-table-figures"/>
              <w:jc w:val="right"/>
              <w:rPr>
                <w:rFonts w:cs="Times New Roman"/>
              </w:rPr>
            </w:pPr>
            <w:r>
              <w:rPr>
                <w:rStyle w:val="fins-bold"/>
                <w:rFonts w:cs="Times New Roman"/>
              </w:rPr>
              <w:t>No.</w:t>
            </w:r>
          </w:p>
        </w:tc>
        <w:tc>
          <w:tcPr>
            <w:tcW w:w="947" w:type="dxa"/>
            <w:vAlign w:val="center"/>
            <w:hideMark/>
          </w:tcPr>
          <w:p w14:paraId="22780D3B" w14:textId="77777777" w:rsidR="00C57C9F" w:rsidRDefault="00C57C9F" w:rsidP="006F421D">
            <w:pPr>
              <w:pStyle w:val="3fins-table-figures"/>
              <w:jc w:val="right"/>
              <w:rPr>
                <w:rFonts w:cs="Times New Roman"/>
              </w:rPr>
            </w:pPr>
            <w:r>
              <w:rPr>
                <w:rFonts w:cs="Times New Roman"/>
              </w:rPr>
              <w:t>No.</w:t>
            </w:r>
          </w:p>
        </w:tc>
      </w:tr>
      <w:tr w:rsidR="00C57C9F" w14:paraId="3D14950A" w14:textId="77777777" w:rsidTr="006F421D">
        <w:trPr>
          <w:divId w:val="1139883726"/>
          <w:tblCellSpacing w:w="15" w:type="dxa"/>
        </w:trPr>
        <w:tc>
          <w:tcPr>
            <w:tcW w:w="7655" w:type="dxa"/>
            <w:vAlign w:val="center"/>
            <w:hideMark/>
          </w:tcPr>
          <w:p w14:paraId="0DD4FFB8" w14:textId="77777777" w:rsidR="00C57C9F" w:rsidRDefault="00C57C9F">
            <w:pPr>
              <w:pStyle w:val="3fins-table"/>
              <w:rPr>
                <w:rFonts w:cs="Times New Roman"/>
              </w:rPr>
            </w:pPr>
            <w:r>
              <w:rPr>
                <w:rFonts w:cs="Times New Roman"/>
              </w:rPr>
              <w:t>$0 to $29,999*</w:t>
            </w:r>
          </w:p>
        </w:tc>
        <w:tc>
          <w:tcPr>
            <w:tcW w:w="1529" w:type="dxa"/>
            <w:vAlign w:val="center"/>
            <w:hideMark/>
          </w:tcPr>
          <w:p w14:paraId="3F62EE44" w14:textId="77777777" w:rsidR="00C57C9F" w:rsidRDefault="00C57C9F" w:rsidP="006F421D">
            <w:pPr>
              <w:pStyle w:val="3fins-table-figures"/>
              <w:jc w:val="right"/>
              <w:rPr>
                <w:rFonts w:cs="Times New Roman"/>
              </w:rPr>
            </w:pPr>
            <w:r>
              <w:rPr>
                <w:rStyle w:val="fins-bold"/>
                <w:rFonts w:cs="Times New Roman"/>
              </w:rPr>
              <w:t>9</w:t>
            </w:r>
          </w:p>
        </w:tc>
        <w:tc>
          <w:tcPr>
            <w:tcW w:w="947" w:type="dxa"/>
            <w:vAlign w:val="center"/>
            <w:hideMark/>
          </w:tcPr>
          <w:p w14:paraId="515B77ED" w14:textId="77777777" w:rsidR="00C57C9F" w:rsidRDefault="00C57C9F" w:rsidP="006F421D">
            <w:pPr>
              <w:pStyle w:val="3fins-table-figures"/>
              <w:jc w:val="right"/>
              <w:rPr>
                <w:rFonts w:cs="Times New Roman"/>
              </w:rPr>
            </w:pPr>
            <w:r>
              <w:rPr>
                <w:rFonts w:cs="Times New Roman"/>
              </w:rPr>
              <w:t xml:space="preserve">12 </w:t>
            </w:r>
          </w:p>
        </w:tc>
      </w:tr>
      <w:tr w:rsidR="00C57C9F" w14:paraId="0501FB74" w14:textId="77777777" w:rsidTr="006F421D">
        <w:trPr>
          <w:divId w:val="1139883726"/>
          <w:tblCellSpacing w:w="15" w:type="dxa"/>
        </w:trPr>
        <w:tc>
          <w:tcPr>
            <w:tcW w:w="7655" w:type="dxa"/>
            <w:vAlign w:val="center"/>
            <w:hideMark/>
          </w:tcPr>
          <w:p w14:paraId="59A68795" w14:textId="77777777" w:rsidR="00C57C9F" w:rsidRDefault="00C57C9F">
            <w:pPr>
              <w:pStyle w:val="3fins-table"/>
              <w:rPr>
                <w:rFonts w:cs="Times New Roman"/>
              </w:rPr>
            </w:pPr>
            <w:r>
              <w:rPr>
                <w:rFonts w:cs="Times New Roman"/>
              </w:rPr>
              <w:t>$30,000 to $59,999</w:t>
            </w:r>
          </w:p>
        </w:tc>
        <w:tc>
          <w:tcPr>
            <w:tcW w:w="1529" w:type="dxa"/>
            <w:vAlign w:val="center"/>
            <w:hideMark/>
          </w:tcPr>
          <w:p w14:paraId="64AC4EFF" w14:textId="77777777" w:rsidR="00C57C9F" w:rsidRDefault="00C57C9F" w:rsidP="006F421D">
            <w:pPr>
              <w:pStyle w:val="3fins-table-figures"/>
              <w:jc w:val="right"/>
              <w:rPr>
                <w:rFonts w:cs="Times New Roman"/>
              </w:rPr>
            </w:pPr>
            <w:r>
              <w:rPr>
                <w:rStyle w:val="fins-bold"/>
                <w:rFonts w:cs="Times New Roman"/>
              </w:rPr>
              <w:t>–</w:t>
            </w:r>
          </w:p>
        </w:tc>
        <w:tc>
          <w:tcPr>
            <w:tcW w:w="947" w:type="dxa"/>
            <w:vAlign w:val="center"/>
            <w:hideMark/>
          </w:tcPr>
          <w:p w14:paraId="415F6DBE" w14:textId="77777777" w:rsidR="00C57C9F" w:rsidRDefault="00C57C9F" w:rsidP="006F421D">
            <w:pPr>
              <w:pStyle w:val="3fins-table-figures"/>
              <w:jc w:val="right"/>
              <w:rPr>
                <w:rFonts w:cs="Times New Roman"/>
              </w:rPr>
            </w:pPr>
            <w:r>
              <w:rPr>
                <w:rFonts w:cs="Times New Roman"/>
              </w:rPr>
              <w:t>1</w:t>
            </w:r>
          </w:p>
        </w:tc>
      </w:tr>
      <w:tr w:rsidR="00C57C9F" w14:paraId="019AC5E1" w14:textId="77777777" w:rsidTr="006F421D">
        <w:trPr>
          <w:divId w:val="1139883726"/>
          <w:tblCellSpacing w:w="15" w:type="dxa"/>
        </w:trPr>
        <w:tc>
          <w:tcPr>
            <w:tcW w:w="7655" w:type="dxa"/>
            <w:vAlign w:val="center"/>
            <w:hideMark/>
          </w:tcPr>
          <w:p w14:paraId="3818340F" w14:textId="77777777" w:rsidR="00C57C9F" w:rsidRDefault="00C57C9F">
            <w:pPr>
              <w:pStyle w:val="3fins-table"/>
              <w:rPr>
                <w:rFonts w:cs="Times New Roman"/>
              </w:rPr>
            </w:pPr>
            <w:r>
              <w:rPr>
                <w:rFonts w:cs="Times New Roman"/>
              </w:rPr>
              <w:t>$60,000 to $89,999</w:t>
            </w:r>
          </w:p>
        </w:tc>
        <w:tc>
          <w:tcPr>
            <w:tcW w:w="1529" w:type="dxa"/>
            <w:vAlign w:val="center"/>
            <w:hideMark/>
          </w:tcPr>
          <w:p w14:paraId="1391EFA8" w14:textId="77777777" w:rsidR="00C57C9F" w:rsidRDefault="00C57C9F" w:rsidP="006F421D">
            <w:pPr>
              <w:pStyle w:val="3fins-table-figures"/>
              <w:jc w:val="right"/>
              <w:rPr>
                <w:rFonts w:cs="Times New Roman"/>
              </w:rPr>
            </w:pPr>
            <w:r>
              <w:rPr>
                <w:rStyle w:val="fins-bold"/>
                <w:rFonts w:cs="Times New Roman"/>
              </w:rPr>
              <w:t>1</w:t>
            </w:r>
          </w:p>
        </w:tc>
        <w:tc>
          <w:tcPr>
            <w:tcW w:w="947" w:type="dxa"/>
            <w:vAlign w:val="center"/>
            <w:hideMark/>
          </w:tcPr>
          <w:p w14:paraId="60A3A917" w14:textId="77777777" w:rsidR="00C57C9F" w:rsidRDefault="00C57C9F" w:rsidP="006F421D">
            <w:pPr>
              <w:pStyle w:val="3fins-table-figures"/>
              <w:jc w:val="right"/>
              <w:rPr>
                <w:rFonts w:cs="Times New Roman"/>
              </w:rPr>
            </w:pPr>
            <w:r>
              <w:rPr>
                <w:rStyle w:val="fins-bold"/>
                <w:rFonts w:cs="Times New Roman"/>
              </w:rPr>
              <w:t>–</w:t>
            </w:r>
          </w:p>
        </w:tc>
      </w:tr>
      <w:tr w:rsidR="00C57C9F" w14:paraId="434B8479" w14:textId="77777777" w:rsidTr="006F421D">
        <w:trPr>
          <w:divId w:val="1139883726"/>
          <w:tblCellSpacing w:w="15" w:type="dxa"/>
        </w:trPr>
        <w:tc>
          <w:tcPr>
            <w:tcW w:w="7655" w:type="dxa"/>
            <w:vAlign w:val="center"/>
            <w:hideMark/>
          </w:tcPr>
          <w:p w14:paraId="29A5F925" w14:textId="77777777" w:rsidR="00C57C9F" w:rsidRDefault="00C57C9F">
            <w:pPr>
              <w:rPr>
                <w:rFonts w:eastAsia="Times New Roman" w:cs="Times New Roman"/>
              </w:rPr>
            </w:pPr>
          </w:p>
        </w:tc>
        <w:tc>
          <w:tcPr>
            <w:tcW w:w="1529" w:type="dxa"/>
            <w:tcBorders>
              <w:top w:val="single" w:sz="4" w:space="0" w:color="0D0D0D" w:themeColor="text1" w:themeTint="F2"/>
              <w:bottom w:val="single" w:sz="4" w:space="0" w:color="0D0D0D" w:themeColor="text1" w:themeTint="F2"/>
            </w:tcBorders>
            <w:vAlign w:val="center"/>
            <w:hideMark/>
          </w:tcPr>
          <w:p w14:paraId="5F53C0F4" w14:textId="77777777" w:rsidR="00C57C9F" w:rsidRDefault="00C57C9F" w:rsidP="006F421D">
            <w:pPr>
              <w:pStyle w:val="3fins-table-figures"/>
              <w:jc w:val="right"/>
              <w:rPr>
                <w:rFonts w:cs="Times New Roman"/>
              </w:rPr>
            </w:pPr>
            <w:r>
              <w:rPr>
                <w:rStyle w:val="fins-bold"/>
                <w:rFonts w:cs="Times New Roman"/>
              </w:rPr>
              <w:t>10</w:t>
            </w:r>
          </w:p>
        </w:tc>
        <w:tc>
          <w:tcPr>
            <w:tcW w:w="947" w:type="dxa"/>
            <w:tcBorders>
              <w:top w:val="single" w:sz="4" w:space="0" w:color="0D0D0D" w:themeColor="text1" w:themeTint="F2"/>
              <w:bottom w:val="single" w:sz="4" w:space="0" w:color="0D0D0D" w:themeColor="text1" w:themeTint="F2"/>
            </w:tcBorders>
            <w:vAlign w:val="center"/>
            <w:hideMark/>
          </w:tcPr>
          <w:p w14:paraId="2B1E450B" w14:textId="77777777" w:rsidR="00C57C9F" w:rsidRDefault="00C57C9F" w:rsidP="006F421D">
            <w:pPr>
              <w:pStyle w:val="3fins-table-figures"/>
              <w:jc w:val="right"/>
              <w:rPr>
                <w:rFonts w:cs="Times New Roman"/>
              </w:rPr>
            </w:pPr>
            <w:r>
              <w:rPr>
                <w:rFonts w:cs="Times New Roman"/>
              </w:rPr>
              <w:t xml:space="preserve">13 </w:t>
            </w:r>
          </w:p>
        </w:tc>
      </w:tr>
      <w:tr w:rsidR="00C57C9F" w14:paraId="4860D786" w14:textId="77777777" w:rsidTr="006F421D">
        <w:trPr>
          <w:divId w:val="1139883726"/>
          <w:tblCellSpacing w:w="15" w:type="dxa"/>
        </w:trPr>
        <w:tc>
          <w:tcPr>
            <w:tcW w:w="7655" w:type="dxa"/>
            <w:vAlign w:val="center"/>
            <w:hideMark/>
          </w:tcPr>
          <w:p w14:paraId="4325E8C1" w14:textId="77777777" w:rsidR="00C57C9F" w:rsidRDefault="00C57C9F">
            <w:pPr>
              <w:rPr>
                <w:rFonts w:eastAsia="Times New Roman" w:cs="Times New Roman"/>
              </w:rPr>
            </w:pPr>
          </w:p>
        </w:tc>
        <w:tc>
          <w:tcPr>
            <w:tcW w:w="1529" w:type="dxa"/>
            <w:vAlign w:val="center"/>
            <w:hideMark/>
          </w:tcPr>
          <w:p w14:paraId="205F02F1" w14:textId="77777777" w:rsidR="00C57C9F" w:rsidRDefault="00C57C9F" w:rsidP="006F421D">
            <w:pPr>
              <w:jc w:val="right"/>
              <w:rPr>
                <w:rFonts w:eastAsia="Times New Roman" w:cs="Times New Roman"/>
              </w:rPr>
            </w:pPr>
          </w:p>
        </w:tc>
        <w:tc>
          <w:tcPr>
            <w:tcW w:w="947" w:type="dxa"/>
            <w:vAlign w:val="center"/>
            <w:hideMark/>
          </w:tcPr>
          <w:p w14:paraId="78008E52" w14:textId="77777777" w:rsidR="00C57C9F" w:rsidRDefault="00C57C9F" w:rsidP="006F421D">
            <w:pPr>
              <w:jc w:val="right"/>
              <w:rPr>
                <w:rFonts w:eastAsia="Times New Roman" w:cs="Times New Roman"/>
              </w:rPr>
            </w:pPr>
          </w:p>
        </w:tc>
      </w:tr>
      <w:tr w:rsidR="00C57C9F" w14:paraId="19E3EEC7" w14:textId="77777777" w:rsidTr="006F421D">
        <w:trPr>
          <w:divId w:val="1139883726"/>
          <w:tblCellSpacing w:w="15" w:type="dxa"/>
        </w:trPr>
        <w:tc>
          <w:tcPr>
            <w:tcW w:w="7655" w:type="dxa"/>
            <w:vAlign w:val="center"/>
            <w:hideMark/>
          </w:tcPr>
          <w:p w14:paraId="463913B5" w14:textId="77777777" w:rsidR="00C57C9F" w:rsidRDefault="00C57C9F">
            <w:pPr>
              <w:pStyle w:val="3fins-table"/>
              <w:rPr>
                <w:rFonts w:cs="Times New Roman"/>
              </w:rPr>
            </w:pPr>
            <w:r>
              <w:rPr>
                <w:rFonts w:cs="Times New Roman"/>
              </w:rPr>
              <w:t>Total remuneration received or due and receivable by directors of the Commission</w:t>
            </w:r>
          </w:p>
        </w:tc>
        <w:tc>
          <w:tcPr>
            <w:tcW w:w="1529" w:type="dxa"/>
            <w:vAlign w:val="center"/>
            <w:hideMark/>
          </w:tcPr>
          <w:p w14:paraId="16B5F367" w14:textId="77777777" w:rsidR="00C57C9F" w:rsidRDefault="00C57C9F" w:rsidP="006F421D">
            <w:pPr>
              <w:pStyle w:val="3fins-table-figures"/>
              <w:jc w:val="right"/>
              <w:rPr>
                <w:rFonts w:cs="Times New Roman"/>
              </w:rPr>
            </w:pPr>
            <w:r>
              <w:rPr>
                <w:rStyle w:val="fins-bold"/>
                <w:rFonts w:cs="Times New Roman"/>
              </w:rPr>
              <w:t xml:space="preserve">$190,652 </w:t>
            </w:r>
          </w:p>
        </w:tc>
        <w:tc>
          <w:tcPr>
            <w:tcW w:w="947" w:type="dxa"/>
            <w:vAlign w:val="center"/>
            <w:hideMark/>
          </w:tcPr>
          <w:p w14:paraId="5D47786E" w14:textId="77777777" w:rsidR="00C57C9F" w:rsidRDefault="00C57C9F" w:rsidP="006F421D">
            <w:pPr>
              <w:pStyle w:val="3fins-table-figures"/>
              <w:jc w:val="right"/>
              <w:rPr>
                <w:rFonts w:cs="Times New Roman"/>
              </w:rPr>
            </w:pPr>
            <w:r>
              <w:rPr>
                <w:rFonts w:cs="Times New Roman"/>
              </w:rPr>
              <w:t xml:space="preserve">$154,584 </w:t>
            </w:r>
          </w:p>
        </w:tc>
      </w:tr>
    </w:tbl>
    <w:p w14:paraId="584C0176" w14:textId="77777777" w:rsidR="00C57C9F" w:rsidRDefault="00C57C9F">
      <w:pPr>
        <w:pStyle w:val="3fins-table"/>
        <w:divId w:val="1139883726"/>
        <w:rPr>
          <w:rFonts w:cs="Times New Roman"/>
          <w:lang w:val="en-AU"/>
        </w:rPr>
      </w:pPr>
      <w:r>
        <w:rPr>
          <w:rFonts w:cs="Times New Roman"/>
          <w:lang w:val="en-AU"/>
        </w:rPr>
        <w:t xml:space="preserve">* 4 directors included in this band waived their right or were not eligible to receive remuneration during 2014 (2013: 5). Remuneration of executive directors is included in Note 13: Senior Executive Remuneration. </w:t>
      </w:r>
    </w:p>
    <w:p w14:paraId="58B9F24E" w14:textId="77777777" w:rsidR="00161EA4" w:rsidRDefault="00161EA4">
      <w:pPr>
        <w:spacing w:after="0"/>
        <w:rPr>
          <w:rFonts w:cs="Times New Roman"/>
          <w:b/>
          <w:sz w:val="28"/>
        </w:rPr>
      </w:pPr>
      <w:r>
        <w:rPr>
          <w:rFonts w:cs="Times New Roman"/>
        </w:rPr>
        <w:br w:type="page"/>
      </w:r>
    </w:p>
    <w:p w14:paraId="76E0FC68" w14:textId="153621C3" w:rsidR="00C57C9F" w:rsidRPr="00ED772D" w:rsidRDefault="00C57C9F" w:rsidP="00ED772D">
      <w:pPr>
        <w:divId w:val="1139883726"/>
        <w:rPr>
          <w:b/>
          <w:sz w:val="28"/>
          <w:szCs w:val="28"/>
        </w:rPr>
      </w:pPr>
      <w:r w:rsidRPr="00ED772D">
        <w:rPr>
          <w:b/>
          <w:sz w:val="28"/>
          <w:szCs w:val="28"/>
        </w:rPr>
        <w:lastRenderedPageBreak/>
        <w:t>Note 13: Related Party Disclosures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265"/>
        <w:gridCol w:w="2179"/>
        <w:gridCol w:w="1845"/>
      </w:tblGrid>
      <w:tr w:rsidR="00C57C9F" w14:paraId="7A20FD29" w14:textId="77777777">
        <w:trPr>
          <w:divId w:val="1139883726"/>
          <w:tblCellSpacing w:w="15" w:type="dxa"/>
        </w:trPr>
        <w:tc>
          <w:tcPr>
            <w:tcW w:w="0" w:type="auto"/>
            <w:vAlign w:val="center"/>
            <w:hideMark/>
          </w:tcPr>
          <w:p w14:paraId="30401B3E" w14:textId="77777777" w:rsidR="00C57C9F" w:rsidRDefault="00C57C9F">
            <w:pPr>
              <w:pStyle w:val="3fins-table"/>
              <w:rPr>
                <w:rFonts w:cs="Times New Roman"/>
              </w:rPr>
            </w:pPr>
            <w:r>
              <w:rPr>
                <w:rFonts w:cs="Times New Roman"/>
              </w:rPr>
              <w:t>The directors of the Commission during the year were:</w:t>
            </w:r>
          </w:p>
        </w:tc>
        <w:tc>
          <w:tcPr>
            <w:tcW w:w="0" w:type="auto"/>
            <w:vAlign w:val="center"/>
            <w:hideMark/>
          </w:tcPr>
          <w:p w14:paraId="2661DDEF" w14:textId="77777777" w:rsidR="00C57C9F" w:rsidRDefault="00C57C9F" w:rsidP="006F421D">
            <w:pPr>
              <w:jc w:val="right"/>
              <w:rPr>
                <w:rFonts w:eastAsia="Times New Roman" w:cs="Times New Roman"/>
              </w:rPr>
            </w:pPr>
          </w:p>
        </w:tc>
        <w:tc>
          <w:tcPr>
            <w:tcW w:w="0" w:type="auto"/>
            <w:vAlign w:val="center"/>
            <w:hideMark/>
          </w:tcPr>
          <w:p w14:paraId="138BED72" w14:textId="77777777" w:rsidR="00C57C9F" w:rsidRDefault="00C57C9F" w:rsidP="006F421D">
            <w:pPr>
              <w:jc w:val="right"/>
              <w:rPr>
                <w:rFonts w:eastAsia="Times New Roman" w:cs="Times New Roman"/>
              </w:rPr>
            </w:pPr>
          </w:p>
        </w:tc>
      </w:tr>
      <w:tr w:rsidR="00C57C9F" w14:paraId="67CE83EF" w14:textId="77777777">
        <w:trPr>
          <w:divId w:val="1139883726"/>
          <w:tblCellSpacing w:w="15" w:type="dxa"/>
        </w:trPr>
        <w:tc>
          <w:tcPr>
            <w:tcW w:w="0" w:type="auto"/>
            <w:vAlign w:val="center"/>
            <w:hideMark/>
          </w:tcPr>
          <w:p w14:paraId="5E9D0A6C" w14:textId="77777777" w:rsidR="00C57C9F" w:rsidRDefault="00C57C9F">
            <w:pPr>
              <w:rPr>
                <w:rFonts w:eastAsia="Times New Roman" w:cs="Times New Roman"/>
              </w:rPr>
            </w:pPr>
          </w:p>
        </w:tc>
        <w:tc>
          <w:tcPr>
            <w:tcW w:w="0" w:type="auto"/>
            <w:vAlign w:val="center"/>
            <w:hideMark/>
          </w:tcPr>
          <w:p w14:paraId="49A5CD3E" w14:textId="77777777" w:rsidR="00C57C9F" w:rsidRDefault="00C57C9F" w:rsidP="006F421D">
            <w:pPr>
              <w:jc w:val="right"/>
              <w:rPr>
                <w:rFonts w:eastAsia="Times New Roman" w:cs="Times New Roman"/>
              </w:rPr>
            </w:pPr>
          </w:p>
        </w:tc>
        <w:tc>
          <w:tcPr>
            <w:tcW w:w="0" w:type="auto"/>
            <w:vAlign w:val="center"/>
            <w:hideMark/>
          </w:tcPr>
          <w:p w14:paraId="78BF8E99" w14:textId="77777777" w:rsidR="00C57C9F" w:rsidRDefault="00C57C9F" w:rsidP="006F421D">
            <w:pPr>
              <w:jc w:val="right"/>
              <w:rPr>
                <w:rFonts w:eastAsia="Times New Roman" w:cs="Times New Roman"/>
              </w:rPr>
            </w:pPr>
          </w:p>
        </w:tc>
      </w:tr>
      <w:tr w:rsidR="00C57C9F" w14:paraId="3D21C3D0" w14:textId="77777777">
        <w:trPr>
          <w:divId w:val="1139883726"/>
          <w:tblCellSpacing w:w="15" w:type="dxa"/>
        </w:trPr>
        <w:tc>
          <w:tcPr>
            <w:tcW w:w="0" w:type="auto"/>
            <w:vAlign w:val="center"/>
            <w:hideMark/>
          </w:tcPr>
          <w:p w14:paraId="78A84781" w14:textId="77777777" w:rsidR="00C57C9F" w:rsidRDefault="00C57C9F">
            <w:pPr>
              <w:rPr>
                <w:rFonts w:eastAsia="Times New Roman" w:cs="Times New Roman"/>
              </w:rPr>
            </w:pPr>
          </w:p>
        </w:tc>
        <w:tc>
          <w:tcPr>
            <w:tcW w:w="0" w:type="auto"/>
            <w:vAlign w:val="center"/>
            <w:hideMark/>
          </w:tcPr>
          <w:p w14:paraId="6ACC1E57" w14:textId="77777777" w:rsidR="00C57C9F" w:rsidRDefault="00C57C9F" w:rsidP="006F421D">
            <w:pPr>
              <w:pStyle w:val="3fins-table-figures"/>
              <w:jc w:val="right"/>
              <w:rPr>
                <w:rFonts w:cs="Times New Roman"/>
              </w:rPr>
            </w:pPr>
            <w:r>
              <w:rPr>
                <w:rStyle w:val="bold-underlined"/>
                <w:rFonts w:cs="Times New Roman"/>
              </w:rPr>
              <w:t>Commenced</w:t>
            </w:r>
          </w:p>
        </w:tc>
        <w:tc>
          <w:tcPr>
            <w:tcW w:w="0" w:type="auto"/>
            <w:vAlign w:val="center"/>
            <w:hideMark/>
          </w:tcPr>
          <w:p w14:paraId="33B4E0D3" w14:textId="77777777" w:rsidR="00C57C9F" w:rsidRDefault="00C57C9F" w:rsidP="006F421D">
            <w:pPr>
              <w:pStyle w:val="3fins-table-figures"/>
              <w:jc w:val="right"/>
              <w:rPr>
                <w:rFonts w:cs="Times New Roman"/>
              </w:rPr>
            </w:pPr>
            <w:r>
              <w:rPr>
                <w:rStyle w:val="bold-underlined"/>
                <w:rFonts w:cs="Times New Roman"/>
              </w:rPr>
              <w:t>Ceased</w:t>
            </w:r>
          </w:p>
        </w:tc>
      </w:tr>
      <w:tr w:rsidR="00C57C9F" w14:paraId="20688DB9" w14:textId="77777777">
        <w:trPr>
          <w:divId w:val="1139883726"/>
          <w:tblCellSpacing w:w="15" w:type="dxa"/>
        </w:trPr>
        <w:tc>
          <w:tcPr>
            <w:tcW w:w="0" w:type="auto"/>
            <w:vAlign w:val="center"/>
            <w:hideMark/>
          </w:tcPr>
          <w:p w14:paraId="5361CF23" w14:textId="77777777" w:rsidR="00C57C9F" w:rsidRDefault="00C57C9F">
            <w:pPr>
              <w:pStyle w:val="3fins-table"/>
              <w:rPr>
                <w:rFonts w:cs="Times New Roman"/>
              </w:rPr>
            </w:pPr>
            <w:r>
              <w:rPr>
                <w:rFonts w:cs="Times New Roman"/>
              </w:rPr>
              <w:t xml:space="preserve">Professor </w:t>
            </w:r>
            <w:proofErr w:type="spellStart"/>
            <w:r>
              <w:rPr>
                <w:rFonts w:cs="Times New Roman"/>
              </w:rPr>
              <w:t>Villis</w:t>
            </w:r>
            <w:proofErr w:type="spellEnd"/>
            <w:r>
              <w:rPr>
                <w:rFonts w:cs="Times New Roman"/>
              </w:rPr>
              <w:t xml:space="preserve"> Marshall AC (Chair from 1 April 2013)</w:t>
            </w:r>
          </w:p>
        </w:tc>
        <w:tc>
          <w:tcPr>
            <w:tcW w:w="0" w:type="auto"/>
            <w:vAlign w:val="center"/>
            <w:hideMark/>
          </w:tcPr>
          <w:p w14:paraId="6A5463FA" w14:textId="77777777" w:rsidR="00C57C9F" w:rsidRDefault="00C57C9F" w:rsidP="006F421D">
            <w:pPr>
              <w:pStyle w:val="3fins-table-figures"/>
              <w:jc w:val="right"/>
              <w:rPr>
                <w:rFonts w:cs="Times New Roman"/>
              </w:rPr>
            </w:pPr>
            <w:r>
              <w:rPr>
                <w:rFonts w:cs="Times New Roman"/>
              </w:rPr>
              <w:t>1/04/2012</w:t>
            </w:r>
          </w:p>
        </w:tc>
        <w:tc>
          <w:tcPr>
            <w:tcW w:w="0" w:type="auto"/>
            <w:vAlign w:val="center"/>
            <w:hideMark/>
          </w:tcPr>
          <w:p w14:paraId="428C6E19" w14:textId="77777777" w:rsidR="00C57C9F" w:rsidRDefault="00C57C9F" w:rsidP="006F421D">
            <w:pPr>
              <w:jc w:val="right"/>
              <w:rPr>
                <w:rFonts w:eastAsia="Times New Roman" w:cs="Times New Roman"/>
              </w:rPr>
            </w:pPr>
          </w:p>
        </w:tc>
      </w:tr>
      <w:tr w:rsidR="00C57C9F" w14:paraId="30A47B78" w14:textId="77777777">
        <w:trPr>
          <w:divId w:val="1139883726"/>
          <w:tblCellSpacing w:w="15" w:type="dxa"/>
        </w:trPr>
        <w:tc>
          <w:tcPr>
            <w:tcW w:w="0" w:type="auto"/>
            <w:vAlign w:val="center"/>
            <w:hideMark/>
          </w:tcPr>
          <w:p w14:paraId="6611C779" w14:textId="77777777" w:rsidR="00C57C9F" w:rsidRDefault="00C57C9F">
            <w:pPr>
              <w:pStyle w:val="3fins-table"/>
              <w:rPr>
                <w:rFonts w:cs="Times New Roman"/>
              </w:rPr>
            </w:pPr>
            <w:r>
              <w:rPr>
                <w:rFonts w:cs="Times New Roman"/>
              </w:rPr>
              <w:t>Professor Chris Brook PSM</w:t>
            </w:r>
          </w:p>
        </w:tc>
        <w:tc>
          <w:tcPr>
            <w:tcW w:w="0" w:type="auto"/>
            <w:vAlign w:val="center"/>
            <w:hideMark/>
          </w:tcPr>
          <w:p w14:paraId="531E61EB" w14:textId="77777777" w:rsidR="00C57C9F" w:rsidRDefault="00C57C9F" w:rsidP="006F421D">
            <w:pPr>
              <w:pStyle w:val="3fins-table-figures"/>
              <w:jc w:val="right"/>
              <w:rPr>
                <w:rFonts w:cs="Times New Roman"/>
              </w:rPr>
            </w:pPr>
            <w:r>
              <w:rPr>
                <w:rFonts w:cs="Times New Roman"/>
              </w:rPr>
              <w:t>1/04/2012</w:t>
            </w:r>
          </w:p>
        </w:tc>
        <w:tc>
          <w:tcPr>
            <w:tcW w:w="0" w:type="auto"/>
            <w:vAlign w:val="center"/>
            <w:hideMark/>
          </w:tcPr>
          <w:p w14:paraId="4F9F62F7" w14:textId="77777777" w:rsidR="00C57C9F" w:rsidRDefault="00C57C9F" w:rsidP="006F421D">
            <w:pPr>
              <w:jc w:val="right"/>
              <w:rPr>
                <w:rFonts w:eastAsia="Times New Roman" w:cs="Times New Roman"/>
              </w:rPr>
            </w:pPr>
          </w:p>
        </w:tc>
      </w:tr>
      <w:tr w:rsidR="00C57C9F" w14:paraId="46A16A15" w14:textId="77777777">
        <w:trPr>
          <w:divId w:val="1139883726"/>
          <w:tblCellSpacing w:w="15" w:type="dxa"/>
        </w:trPr>
        <w:tc>
          <w:tcPr>
            <w:tcW w:w="0" w:type="auto"/>
            <w:vAlign w:val="center"/>
            <w:hideMark/>
          </w:tcPr>
          <w:p w14:paraId="312166FD" w14:textId="77777777" w:rsidR="00C57C9F" w:rsidRDefault="00C57C9F">
            <w:pPr>
              <w:pStyle w:val="3fins-table"/>
              <w:rPr>
                <w:rFonts w:cs="Times New Roman"/>
              </w:rPr>
            </w:pPr>
            <w:r>
              <w:rPr>
                <w:rFonts w:cs="Times New Roman"/>
              </w:rPr>
              <w:t>Professor Phillip Della</w:t>
            </w:r>
          </w:p>
        </w:tc>
        <w:tc>
          <w:tcPr>
            <w:tcW w:w="0" w:type="auto"/>
            <w:vAlign w:val="center"/>
            <w:hideMark/>
          </w:tcPr>
          <w:p w14:paraId="6978BAD2" w14:textId="77777777" w:rsidR="00C57C9F" w:rsidRDefault="00C57C9F" w:rsidP="006F421D">
            <w:pPr>
              <w:pStyle w:val="3fins-table-figures"/>
              <w:jc w:val="right"/>
              <w:rPr>
                <w:rFonts w:cs="Times New Roman"/>
              </w:rPr>
            </w:pPr>
            <w:r>
              <w:rPr>
                <w:rFonts w:cs="Times New Roman"/>
              </w:rPr>
              <w:t>1/04/2013</w:t>
            </w:r>
          </w:p>
        </w:tc>
        <w:tc>
          <w:tcPr>
            <w:tcW w:w="0" w:type="auto"/>
            <w:vAlign w:val="center"/>
            <w:hideMark/>
          </w:tcPr>
          <w:p w14:paraId="57A3EBFF" w14:textId="77777777" w:rsidR="00C57C9F" w:rsidRDefault="00C57C9F" w:rsidP="006F421D">
            <w:pPr>
              <w:jc w:val="right"/>
              <w:rPr>
                <w:rFonts w:eastAsia="Times New Roman" w:cs="Times New Roman"/>
              </w:rPr>
            </w:pPr>
          </w:p>
        </w:tc>
      </w:tr>
      <w:tr w:rsidR="00C57C9F" w14:paraId="7CFDD4BA" w14:textId="77777777">
        <w:trPr>
          <w:divId w:val="1139883726"/>
          <w:tblCellSpacing w:w="15" w:type="dxa"/>
        </w:trPr>
        <w:tc>
          <w:tcPr>
            <w:tcW w:w="0" w:type="auto"/>
            <w:vAlign w:val="center"/>
            <w:hideMark/>
          </w:tcPr>
          <w:p w14:paraId="396F764E" w14:textId="77777777" w:rsidR="00C57C9F" w:rsidRDefault="00C57C9F">
            <w:pPr>
              <w:pStyle w:val="3fins-table"/>
              <w:rPr>
                <w:rFonts w:cs="Times New Roman"/>
              </w:rPr>
            </w:pPr>
            <w:r>
              <w:rPr>
                <w:rFonts w:cs="Times New Roman"/>
              </w:rPr>
              <w:t>The Hon Verity Firth</w:t>
            </w:r>
          </w:p>
        </w:tc>
        <w:tc>
          <w:tcPr>
            <w:tcW w:w="0" w:type="auto"/>
            <w:vAlign w:val="center"/>
            <w:hideMark/>
          </w:tcPr>
          <w:p w14:paraId="041A5D8A" w14:textId="77777777" w:rsidR="00C57C9F" w:rsidRDefault="00C57C9F" w:rsidP="006F421D">
            <w:pPr>
              <w:pStyle w:val="3fins-table-figures"/>
              <w:jc w:val="right"/>
              <w:rPr>
                <w:rFonts w:cs="Times New Roman"/>
              </w:rPr>
            </w:pPr>
            <w:r>
              <w:rPr>
                <w:rFonts w:cs="Times New Roman"/>
              </w:rPr>
              <w:t>1/04/2013</w:t>
            </w:r>
          </w:p>
        </w:tc>
        <w:tc>
          <w:tcPr>
            <w:tcW w:w="0" w:type="auto"/>
            <w:vAlign w:val="center"/>
            <w:hideMark/>
          </w:tcPr>
          <w:p w14:paraId="02832A63" w14:textId="77777777" w:rsidR="00C57C9F" w:rsidRDefault="00C57C9F" w:rsidP="006F421D">
            <w:pPr>
              <w:jc w:val="right"/>
              <w:rPr>
                <w:rFonts w:eastAsia="Times New Roman" w:cs="Times New Roman"/>
              </w:rPr>
            </w:pPr>
          </w:p>
        </w:tc>
      </w:tr>
      <w:tr w:rsidR="00C57C9F" w14:paraId="69A19507" w14:textId="77777777">
        <w:trPr>
          <w:divId w:val="1139883726"/>
          <w:tblCellSpacing w:w="15" w:type="dxa"/>
        </w:trPr>
        <w:tc>
          <w:tcPr>
            <w:tcW w:w="0" w:type="auto"/>
            <w:vAlign w:val="center"/>
            <w:hideMark/>
          </w:tcPr>
          <w:p w14:paraId="30D6EFB1" w14:textId="77777777" w:rsidR="00C57C9F" w:rsidRDefault="00C57C9F">
            <w:pPr>
              <w:pStyle w:val="3fins-table"/>
              <w:rPr>
                <w:rFonts w:cs="Times New Roman"/>
              </w:rPr>
            </w:pPr>
            <w:r>
              <w:rPr>
                <w:rFonts w:cs="Times New Roman"/>
              </w:rPr>
              <w:t>Christine Gee</w:t>
            </w:r>
          </w:p>
        </w:tc>
        <w:tc>
          <w:tcPr>
            <w:tcW w:w="0" w:type="auto"/>
            <w:vAlign w:val="center"/>
            <w:hideMark/>
          </w:tcPr>
          <w:p w14:paraId="40B6171E" w14:textId="77777777" w:rsidR="00C57C9F" w:rsidRDefault="00C57C9F" w:rsidP="006F421D">
            <w:pPr>
              <w:pStyle w:val="3fins-table-figures"/>
              <w:jc w:val="right"/>
              <w:rPr>
                <w:rFonts w:cs="Times New Roman"/>
              </w:rPr>
            </w:pPr>
            <w:r>
              <w:rPr>
                <w:rFonts w:cs="Times New Roman"/>
              </w:rPr>
              <w:t>1/07/2011</w:t>
            </w:r>
          </w:p>
        </w:tc>
        <w:tc>
          <w:tcPr>
            <w:tcW w:w="0" w:type="auto"/>
            <w:vAlign w:val="center"/>
            <w:hideMark/>
          </w:tcPr>
          <w:p w14:paraId="24A1AE1F" w14:textId="77777777" w:rsidR="00C57C9F" w:rsidRDefault="00C57C9F" w:rsidP="006F421D">
            <w:pPr>
              <w:jc w:val="right"/>
              <w:rPr>
                <w:rFonts w:eastAsia="Times New Roman" w:cs="Times New Roman"/>
              </w:rPr>
            </w:pPr>
          </w:p>
        </w:tc>
      </w:tr>
      <w:tr w:rsidR="00C57C9F" w14:paraId="78916CF0" w14:textId="77777777">
        <w:trPr>
          <w:divId w:val="1139883726"/>
          <w:tblCellSpacing w:w="15" w:type="dxa"/>
        </w:trPr>
        <w:tc>
          <w:tcPr>
            <w:tcW w:w="0" w:type="auto"/>
            <w:vAlign w:val="center"/>
            <w:hideMark/>
          </w:tcPr>
          <w:p w14:paraId="76DF2F77" w14:textId="77777777" w:rsidR="00C57C9F" w:rsidRDefault="00C57C9F">
            <w:pPr>
              <w:pStyle w:val="3fins-table"/>
              <w:rPr>
                <w:rFonts w:cs="Times New Roman"/>
              </w:rPr>
            </w:pPr>
            <w:r>
              <w:rPr>
                <w:rFonts w:cs="Times New Roman"/>
              </w:rPr>
              <w:t xml:space="preserve">Professor Jane </w:t>
            </w:r>
            <w:proofErr w:type="spellStart"/>
            <w:r>
              <w:rPr>
                <w:rFonts w:cs="Times New Roman"/>
              </w:rPr>
              <w:t>Halton</w:t>
            </w:r>
            <w:proofErr w:type="spellEnd"/>
            <w:r>
              <w:rPr>
                <w:rFonts w:cs="Times New Roman"/>
              </w:rPr>
              <w:t xml:space="preserve"> PSM</w:t>
            </w:r>
          </w:p>
        </w:tc>
        <w:tc>
          <w:tcPr>
            <w:tcW w:w="0" w:type="auto"/>
            <w:vAlign w:val="center"/>
            <w:hideMark/>
          </w:tcPr>
          <w:p w14:paraId="6B2CE715" w14:textId="77777777" w:rsidR="00C57C9F" w:rsidRDefault="00C57C9F" w:rsidP="006F421D">
            <w:pPr>
              <w:pStyle w:val="3fins-table-figures"/>
              <w:jc w:val="right"/>
              <w:rPr>
                <w:rFonts w:cs="Times New Roman"/>
              </w:rPr>
            </w:pPr>
            <w:r>
              <w:rPr>
                <w:rFonts w:cs="Times New Roman"/>
              </w:rPr>
              <w:t>1/07/2011</w:t>
            </w:r>
          </w:p>
        </w:tc>
        <w:tc>
          <w:tcPr>
            <w:tcW w:w="0" w:type="auto"/>
            <w:vAlign w:val="center"/>
            <w:hideMark/>
          </w:tcPr>
          <w:p w14:paraId="34A9FE66" w14:textId="77777777" w:rsidR="00C57C9F" w:rsidRDefault="00C57C9F" w:rsidP="006F421D">
            <w:pPr>
              <w:jc w:val="right"/>
              <w:rPr>
                <w:rFonts w:eastAsia="Times New Roman" w:cs="Times New Roman"/>
              </w:rPr>
            </w:pPr>
          </w:p>
        </w:tc>
      </w:tr>
      <w:tr w:rsidR="00C57C9F" w14:paraId="7D4F6273" w14:textId="77777777">
        <w:trPr>
          <w:divId w:val="1139883726"/>
          <w:tblCellSpacing w:w="15" w:type="dxa"/>
        </w:trPr>
        <w:tc>
          <w:tcPr>
            <w:tcW w:w="0" w:type="auto"/>
            <w:vAlign w:val="center"/>
            <w:hideMark/>
          </w:tcPr>
          <w:p w14:paraId="7E0D23E0" w14:textId="77777777" w:rsidR="00C57C9F" w:rsidRDefault="00C57C9F">
            <w:pPr>
              <w:pStyle w:val="3fins-table"/>
              <w:rPr>
                <w:rFonts w:cs="Times New Roman"/>
              </w:rPr>
            </w:pPr>
            <w:r>
              <w:rPr>
                <w:rFonts w:cs="Times New Roman"/>
              </w:rPr>
              <w:t>Dr Shaun Larkin</w:t>
            </w:r>
          </w:p>
        </w:tc>
        <w:tc>
          <w:tcPr>
            <w:tcW w:w="0" w:type="auto"/>
            <w:vAlign w:val="center"/>
            <w:hideMark/>
          </w:tcPr>
          <w:p w14:paraId="59264FC5" w14:textId="77777777" w:rsidR="00C57C9F" w:rsidRDefault="00C57C9F" w:rsidP="006F421D">
            <w:pPr>
              <w:pStyle w:val="3fins-table-figures"/>
              <w:jc w:val="right"/>
              <w:rPr>
                <w:rFonts w:cs="Times New Roman"/>
              </w:rPr>
            </w:pPr>
            <w:r>
              <w:rPr>
                <w:rFonts w:cs="Times New Roman"/>
              </w:rPr>
              <w:t>1/04/2013</w:t>
            </w:r>
          </w:p>
        </w:tc>
        <w:tc>
          <w:tcPr>
            <w:tcW w:w="0" w:type="auto"/>
            <w:vAlign w:val="center"/>
            <w:hideMark/>
          </w:tcPr>
          <w:p w14:paraId="2DCF1B19" w14:textId="77777777" w:rsidR="00C57C9F" w:rsidRDefault="00C57C9F" w:rsidP="006F421D">
            <w:pPr>
              <w:jc w:val="right"/>
              <w:rPr>
                <w:rFonts w:eastAsia="Times New Roman" w:cs="Times New Roman"/>
              </w:rPr>
            </w:pPr>
          </w:p>
        </w:tc>
      </w:tr>
      <w:tr w:rsidR="00C57C9F" w14:paraId="7EE11A52" w14:textId="77777777">
        <w:trPr>
          <w:divId w:val="1139883726"/>
          <w:tblCellSpacing w:w="15" w:type="dxa"/>
        </w:trPr>
        <w:tc>
          <w:tcPr>
            <w:tcW w:w="0" w:type="auto"/>
            <w:vAlign w:val="center"/>
            <w:hideMark/>
          </w:tcPr>
          <w:p w14:paraId="6980C3D8" w14:textId="77777777" w:rsidR="00C57C9F" w:rsidRDefault="00C57C9F">
            <w:pPr>
              <w:pStyle w:val="3fins-table"/>
              <w:rPr>
                <w:rFonts w:cs="Times New Roman"/>
              </w:rPr>
            </w:pPr>
            <w:r>
              <w:rPr>
                <w:rFonts w:cs="Times New Roman"/>
              </w:rPr>
              <w:t>Russell McGowan</w:t>
            </w:r>
          </w:p>
        </w:tc>
        <w:tc>
          <w:tcPr>
            <w:tcW w:w="0" w:type="auto"/>
            <w:vAlign w:val="center"/>
            <w:hideMark/>
          </w:tcPr>
          <w:p w14:paraId="0BE62F3B" w14:textId="77777777" w:rsidR="00C57C9F" w:rsidRDefault="00C57C9F" w:rsidP="006F421D">
            <w:pPr>
              <w:pStyle w:val="3fins-table-figures"/>
              <w:jc w:val="right"/>
              <w:rPr>
                <w:rFonts w:cs="Times New Roman"/>
              </w:rPr>
            </w:pPr>
            <w:r>
              <w:rPr>
                <w:rFonts w:cs="Times New Roman"/>
              </w:rPr>
              <w:t>1/07/2011</w:t>
            </w:r>
          </w:p>
        </w:tc>
        <w:tc>
          <w:tcPr>
            <w:tcW w:w="0" w:type="auto"/>
            <w:vAlign w:val="center"/>
            <w:hideMark/>
          </w:tcPr>
          <w:p w14:paraId="18AEA448" w14:textId="77777777" w:rsidR="00C57C9F" w:rsidRDefault="00C57C9F" w:rsidP="006F421D">
            <w:pPr>
              <w:pStyle w:val="3fins-table-figures"/>
              <w:jc w:val="right"/>
              <w:rPr>
                <w:rFonts w:cs="Times New Roman"/>
              </w:rPr>
            </w:pPr>
            <w:r>
              <w:rPr>
                <w:rFonts w:cs="Times New Roman"/>
              </w:rPr>
              <w:t>31/03/2014</w:t>
            </w:r>
          </w:p>
        </w:tc>
      </w:tr>
      <w:tr w:rsidR="00C57C9F" w14:paraId="56DA4C8A" w14:textId="77777777">
        <w:trPr>
          <w:divId w:val="1139883726"/>
          <w:tblCellSpacing w:w="15" w:type="dxa"/>
        </w:trPr>
        <w:tc>
          <w:tcPr>
            <w:tcW w:w="0" w:type="auto"/>
            <w:vAlign w:val="center"/>
            <w:hideMark/>
          </w:tcPr>
          <w:p w14:paraId="1CBBB686" w14:textId="77777777" w:rsidR="00C57C9F" w:rsidRDefault="00C57C9F">
            <w:pPr>
              <w:pStyle w:val="3fins-table"/>
              <w:rPr>
                <w:rFonts w:cs="Times New Roman"/>
              </w:rPr>
            </w:pPr>
            <w:r>
              <w:rPr>
                <w:rFonts w:cs="Times New Roman"/>
              </w:rPr>
              <w:t>Shelly Park</w:t>
            </w:r>
          </w:p>
        </w:tc>
        <w:tc>
          <w:tcPr>
            <w:tcW w:w="0" w:type="auto"/>
            <w:vAlign w:val="center"/>
            <w:hideMark/>
          </w:tcPr>
          <w:p w14:paraId="6855FA89" w14:textId="77777777" w:rsidR="00C57C9F" w:rsidRDefault="00C57C9F" w:rsidP="006F421D">
            <w:pPr>
              <w:pStyle w:val="3fins-table-figures"/>
              <w:jc w:val="right"/>
              <w:rPr>
                <w:rFonts w:cs="Times New Roman"/>
              </w:rPr>
            </w:pPr>
            <w:r>
              <w:rPr>
                <w:rFonts w:cs="Times New Roman"/>
              </w:rPr>
              <w:t>1/07/2011</w:t>
            </w:r>
          </w:p>
        </w:tc>
        <w:tc>
          <w:tcPr>
            <w:tcW w:w="0" w:type="auto"/>
            <w:vAlign w:val="center"/>
            <w:hideMark/>
          </w:tcPr>
          <w:p w14:paraId="45793B07" w14:textId="77777777" w:rsidR="00C57C9F" w:rsidRDefault="00C57C9F" w:rsidP="006F421D">
            <w:pPr>
              <w:pStyle w:val="3fins-table-figures"/>
              <w:jc w:val="right"/>
              <w:rPr>
                <w:rFonts w:cs="Times New Roman"/>
              </w:rPr>
            </w:pPr>
            <w:r>
              <w:rPr>
                <w:rFonts w:cs="Times New Roman"/>
              </w:rPr>
              <w:t>31/03/2014</w:t>
            </w:r>
          </w:p>
        </w:tc>
      </w:tr>
      <w:tr w:rsidR="00C57C9F" w14:paraId="600B2C2A" w14:textId="77777777">
        <w:trPr>
          <w:divId w:val="1139883726"/>
          <w:tblCellSpacing w:w="15" w:type="dxa"/>
        </w:trPr>
        <w:tc>
          <w:tcPr>
            <w:tcW w:w="0" w:type="auto"/>
            <w:vAlign w:val="center"/>
            <w:hideMark/>
          </w:tcPr>
          <w:p w14:paraId="0FB7318A" w14:textId="77777777" w:rsidR="00C57C9F" w:rsidRDefault="00C57C9F">
            <w:pPr>
              <w:pStyle w:val="3fins-table"/>
              <w:rPr>
                <w:rFonts w:cs="Times New Roman"/>
              </w:rPr>
            </w:pPr>
            <w:r>
              <w:rPr>
                <w:rFonts w:cs="Times New Roman"/>
              </w:rPr>
              <w:t>Dr Helena Williams</w:t>
            </w:r>
          </w:p>
        </w:tc>
        <w:tc>
          <w:tcPr>
            <w:tcW w:w="0" w:type="auto"/>
            <w:vAlign w:val="center"/>
            <w:hideMark/>
          </w:tcPr>
          <w:p w14:paraId="01F421BA" w14:textId="77777777" w:rsidR="00C57C9F" w:rsidRDefault="00C57C9F" w:rsidP="006F421D">
            <w:pPr>
              <w:pStyle w:val="3fins-table-figures"/>
              <w:jc w:val="right"/>
              <w:rPr>
                <w:rFonts w:cs="Times New Roman"/>
              </w:rPr>
            </w:pPr>
            <w:r>
              <w:rPr>
                <w:rFonts w:cs="Times New Roman"/>
              </w:rPr>
              <w:t>1/07/2011</w:t>
            </w:r>
          </w:p>
        </w:tc>
        <w:tc>
          <w:tcPr>
            <w:tcW w:w="0" w:type="auto"/>
            <w:vAlign w:val="center"/>
            <w:hideMark/>
          </w:tcPr>
          <w:p w14:paraId="0DBE7E97" w14:textId="77777777" w:rsidR="00C57C9F" w:rsidRDefault="00C57C9F" w:rsidP="006F421D">
            <w:pPr>
              <w:jc w:val="right"/>
              <w:rPr>
                <w:rFonts w:eastAsia="Times New Roman" w:cs="Times New Roman"/>
              </w:rPr>
            </w:pPr>
          </w:p>
        </w:tc>
      </w:tr>
      <w:tr w:rsidR="00C57C9F" w14:paraId="0C29692B" w14:textId="77777777">
        <w:trPr>
          <w:divId w:val="1139883726"/>
          <w:tblCellSpacing w:w="15" w:type="dxa"/>
        </w:trPr>
        <w:tc>
          <w:tcPr>
            <w:tcW w:w="0" w:type="auto"/>
            <w:vAlign w:val="center"/>
            <w:hideMark/>
          </w:tcPr>
          <w:p w14:paraId="27AA38C7" w14:textId="77777777" w:rsidR="00C57C9F" w:rsidRDefault="00C57C9F">
            <w:pPr>
              <w:rPr>
                <w:rFonts w:eastAsia="Times New Roman" w:cs="Times New Roman"/>
              </w:rPr>
            </w:pPr>
          </w:p>
        </w:tc>
        <w:tc>
          <w:tcPr>
            <w:tcW w:w="0" w:type="auto"/>
            <w:vAlign w:val="center"/>
            <w:hideMark/>
          </w:tcPr>
          <w:p w14:paraId="4850E4E3" w14:textId="77777777" w:rsidR="00C57C9F" w:rsidRDefault="00C57C9F">
            <w:pPr>
              <w:rPr>
                <w:rFonts w:eastAsia="Times New Roman" w:cs="Times New Roman"/>
              </w:rPr>
            </w:pPr>
          </w:p>
        </w:tc>
        <w:tc>
          <w:tcPr>
            <w:tcW w:w="0" w:type="auto"/>
            <w:vAlign w:val="center"/>
            <w:hideMark/>
          </w:tcPr>
          <w:p w14:paraId="6269B3F3" w14:textId="77777777" w:rsidR="00C57C9F" w:rsidRDefault="00C57C9F">
            <w:pPr>
              <w:rPr>
                <w:rFonts w:eastAsia="Times New Roman" w:cs="Times New Roman"/>
              </w:rPr>
            </w:pPr>
          </w:p>
        </w:tc>
      </w:tr>
      <w:tr w:rsidR="00C57C9F" w14:paraId="4FF50F28" w14:textId="77777777">
        <w:trPr>
          <w:divId w:val="1139883726"/>
          <w:tblCellSpacing w:w="15" w:type="dxa"/>
        </w:trPr>
        <w:tc>
          <w:tcPr>
            <w:tcW w:w="0" w:type="auto"/>
            <w:vAlign w:val="center"/>
            <w:hideMark/>
          </w:tcPr>
          <w:p w14:paraId="2BB43BB6" w14:textId="77777777" w:rsidR="00C57C9F" w:rsidRDefault="00C57C9F">
            <w:pPr>
              <w:pStyle w:val="3fins-table"/>
              <w:rPr>
                <w:rFonts w:cs="Times New Roman"/>
              </w:rPr>
            </w:pPr>
            <w:r>
              <w:rPr>
                <w:rFonts w:cs="Times New Roman"/>
              </w:rPr>
              <w:t>The aggregate remuneration of directors is disclosed in Note 12.</w:t>
            </w:r>
          </w:p>
        </w:tc>
        <w:tc>
          <w:tcPr>
            <w:tcW w:w="0" w:type="auto"/>
            <w:vAlign w:val="center"/>
            <w:hideMark/>
          </w:tcPr>
          <w:p w14:paraId="3C638B96" w14:textId="77777777" w:rsidR="00C57C9F" w:rsidRDefault="00C57C9F">
            <w:pPr>
              <w:rPr>
                <w:rFonts w:eastAsia="Times New Roman" w:cs="Times New Roman"/>
              </w:rPr>
            </w:pPr>
          </w:p>
        </w:tc>
        <w:tc>
          <w:tcPr>
            <w:tcW w:w="0" w:type="auto"/>
            <w:vAlign w:val="center"/>
            <w:hideMark/>
          </w:tcPr>
          <w:p w14:paraId="51EEC47F" w14:textId="77777777" w:rsidR="00C57C9F" w:rsidRDefault="00C57C9F">
            <w:pPr>
              <w:rPr>
                <w:rFonts w:eastAsia="Times New Roman" w:cs="Times New Roman"/>
              </w:rPr>
            </w:pPr>
          </w:p>
        </w:tc>
      </w:tr>
      <w:tr w:rsidR="00C57C9F" w14:paraId="54564738" w14:textId="77777777">
        <w:trPr>
          <w:divId w:val="1139883726"/>
          <w:tblCellSpacing w:w="15" w:type="dxa"/>
        </w:trPr>
        <w:tc>
          <w:tcPr>
            <w:tcW w:w="0" w:type="auto"/>
            <w:vAlign w:val="center"/>
            <w:hideMark/>
          </w:tcPr>
          <w:p w14:paraId="07535544" w14:textId="77777777" w:rsidR="00C57C9F" w:rsidRDefault="00C57C9F">
            <w:pPr>
              <w:rPr>
                <w:rFonts w:eastAsia="Times New Roman" w:cs="Times New Roman"/>
              </w:rPr>
            </w:pPr>
          </w:p>
        </w:tc>
        <w:tc>
          <w:tcPr>
            <w:tcW w:w="0" w:type="auto"/>
            <w:vAlign w:val="center"/>
            <w:hideMark/>
          </w:tcPr>
          <w:p w14:paraId="22FABC1D" w14:textId="77777777" w:rsidR="00C57C9F" w:rsidRDefault="00C57C9F">
            <w:pPr>
              <w:rPr>
                <w:rFonts w:eastAsia="Times New Roman" w:cs="Times New Roman"/>
              </w:rPr>
            </w:pPr>
          </w:p>
        </w:tc>
        <w:tc>
          <w:tcPr>
            <w:tcW w:w="0" w:type="auto"/>
            <w:vAlign w:val="center"/>
            <w:hideMark/>
          </w:tcPr>
          <w:p w14:paraId="080F7709" w14:textId="77777777" w:rsidR="00C57C9F" w:rsidRDefault="00C57C9F">
            <w:pPr>
              <w:rPr>
                <w:rFonts w:eastAsia="Times New Roman" w:cs="Times New Roman"/>
              </w:rPr>
            </w:pPr>
          </w:p>
        </w:tc>
      </w:tr>
      <w:tr w:rsidR="00C57C9F" w14:paraId="518696D0" w14:textId="77777777">
        <w:trPr>
          <w:divId w:val="1139883726"/>
          <w:tblCellSpacing w:w="15" w:type="dxa"/>
        </w:trPr>
        <w:tc>
          <w:tcPr>
            <w:tcW w:w="0" w:type="auto"/>
            <w:gridSpan w:val="3"/>
            <w:vAlign w:val="center"/>
            <w:hideMark/>
          </w:tcPr>
          <w:p w14:paraId="0CF71CF8" w14:textId="77777777" w:rsidR="00C57C9F" w:rsidRDefault="00C57C9F">
            <w:pPr>
              <w:pStyle w:val="3fins-table"/>
              <w:rPr>
                <w:rFonts w:cs="Times New Roman"/>
              </w:rPr>
            </w:pPr>
            <w:r>
              <w:rPr>
                <w:rStyle w:val="fins-bold"/>
                <w:rFonts w:cs="Times New Roman"/>
              </w:rPr>
              <w:t>Transactions with directors of director related entities</w:t>
            </w:r>
          </w:p>
          <w:p w14:paraId="7F1EFF9A" w14:textId="77777777" w:rsidR="00C57C9F" w:rsidRDefault="00C57C9F">
            <w:pPr>
              <w:pStyle w:val="3fins-table"/>
              <w:rPr>
                <w:rFonts w:cs="Times New Roman"/>
              </w:rPr>
            </w:pPr>
            <w:r>
              <w:rPr>
                <w:rFonts w:cs="Times New Roman"/>
              </w:rPr>
              <w:t>There are no loans to the directors, or director related entities.</w:t>
            </w:r>
          </w:p>
          <w:p w14:paraId="6340A8E9" w14:textId="77777777" w:rsidR="00C57C9F" w:rsidRDefault="00C57C9F">
            <w:pPr>
              <w:pStyle w:val="3fins-table"/>
              <w:rPr>
                <w:rFonts w:cs="Times New Roman"/>
              </w:rPr>
            </w:pPr>
            <w:r>
              <w:rPr>
                <w:rFonts w:cs="Times New Roman"/>
              </w:rPr>
              <w:t xml:space="preserve">Several directors of the Commission hold directorships with other </w:t>
            </w:r>
            <w:proofErr w:type="spellStart"/>
            <w:r>
              <w:rPr>
                <w:rFonts w:cs="Times New Roman"/>
              </w:rPr>
              <w:t>organisations</w:t>
            </w:r>
            <w:proofErr w:type="spellEnd"/>
            <w:r>
              <w:rPr>
                <w:rFonts w:cs="Times New Roman"/>
              </w:rPr>
              <w:t xml:space="preserve">. All transactions between the Commission and </w:t>
            </w:r>
            <w:proofErr w:type="spellStart"/>
            <w:r>
              <w:rPr>
                <w:rFonts w:cs="Times New Roman"/>
              </w:rPr>
              <w:t>organisations</w:t>
            </w:r>
            <w:proofErr w:type="spellEnd"/>
            <w:r>
              <w:rPr>
                <w:rFonts w:cs="Times New Roman"/>
              </w:rPr>
              <w:t xml:space="preserve"> with a director common to the Commission, or any dealings between the Commission and directors individually, are conducted using commercial and arms-length principles.</w:t>
            </w:r>
          </w:p>
          <w:p w14:paraId="429CD720" w14:textId="77777777" w:rsidR="00C57C9F" w:rsidRDefault="00C57C9F">
            <w:pPr>
              <w:pStyle w:val="3fins-table"/>
              <w:rPr>
                <w:rFonts w:cs="Times New Roman"/>
              </w:rPr>
            </w:pPr>
            <w:r>
              <w:rPr>
                <w:rFonts w:cs="Times New Roman"/>
              </w:rPr>
              <w:t>During the year, Dr Helena Williams provided project support and expert advice to the Commission. Fees paid by the Commission for these services were $10,226 (2013: nil).</w:t>
            </w:r>
          </w:p>
          <w:p w14:paraId="15F5B05B" w14:textId="77777777" w:rsidR="00C57C9F" w:rsidRDefault="00C57C9F">
            <w:pPr>
              <w:pStyle w:val="3fins-table"/>
              <w:rPr>
                <w:rFonts w:cs="Times New Roman"/>
              </w:rPr>
            </w:pPr>
            <w:r>
              <w:rPr>
                <w:rStyle w:val="fins-bold"/>
                <w:rFonts w:cs="Times New Roman"/>
              </w:rPr>
              <w:t>Transactions with related parties</w:t>
            </w:r>
          </w:p>
          <w:p w14:paraId="0D7B62B6" w14:textId="77777777" w:rsidR="00C57C9F" w:rsidRDefault="00C57C9F">
            <w:pPr>
              <w:pStyle w:val="3fins-table"/>
              <w:rPr>
                <w:rFonts w:cs="Times New Roman"/>
              </w:rPr>
            </w:pPr>
            <w:r>
              <w:rPr>
                <w:rFonts w:cs="Times New Roman"/>
              </w:rPr>
              <w:t>Transactions between related parties are on normal commercial terms and conditions unless otherwise stated.</w:t>
            </w:r>
          </w:p>
        </w:tc>
      </w:tr>
    </w:tbl>
    <w:p w14:paraId="33549A55" w14:textId="77777777" w:rsidR="00C57C9F" w:rsidRDefault="00C57C9F">
      <w:pPr>
        <w:pStyle w:val="1heading-2"/>
        <w:divId w:val="1139883726"/>
        <w:rPr>
          <w:rFonts w:cs="Times New Roman"/>
          <w:lang w:val="en-AU"/>
        </w:rPr>
      </w:pPr>
    </w:p>
    <w:p w14:paraId="4FB17084" w14:textId="77777777" w:rsidR="00C57C9F" w:rsidRDefault="00C57C9F">
      <w:pPr>
        <w:rPr>
          <w:rFonts w:cs="Times New Roman"/>
          <w:b/>
          <w:sz w:val="28"/>
        </w:rPr>
      </w:pPr>
      <w:r>
        <w:rPr>
          <w:rFonts w:cs="Times New Roman"/>
        </w:rPr>
        <w:br w:type="page"/>
      </w:r>
    </w:p>
    <w:p w14:paraId="65365649" w14:textId="77777777" w:rsidR="00C57C9F" w:rsidRDefault="00C57C9F">
      <w:pPr>
        <w:pStyle w:val="1heading-2"/>
        <w:divId w:val="1139883726"/>
        <w:rPr>
          <w:rFonts w:cs="Times New Roman"/>
          <w:lang w:val="en-AU"/>
        </w:rPr>
      </w:pPr>
      <w:r>
        <w:rPr>
          <w:rFonts w:cs="Times New Roman"/>
          <w:lang w:val="en-AU"/>
        </w:rPr>
        <w:lastRenderedPageBreak/>
        <w:t>Note 14: Senior Executive Remuneration</w:t>
      </w:r>
    </w:p>
    <w:p w14:paraId="709922A8" w14:textId="77777777" w:rsidR="00C57C9F" w:rsidRDefault="00C57C9F">
      <w:pPr>
        <w:pStyle w:val="1heading-3"/>
        <w:divId w:val="1139883726"/>
        <w:rPr>
          <w:rFonts w:cs="Times New Roman"/>
          <w:lang w:val="en-AU"/>
        </w:rPr>
      </w:pPr>
      <w:r>
        <w:rPr>
          <w:rFonts w:cs="Times New Roman"/>
          <w:lang w:val="en-AU"/>
        </w:rPr>
        <w:t>Note 14A: Senior executive remuneration expenses for the reporting period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248"/>
        <w:gridCol w:w="2013"/>
        <w:gridCol w:w="2028"/>
      </w:tblGrid>
      <w:tr w:rsidR="00C57C9F" w14:paraId="7DEEDA36" w14:textId="77777777">
        <w:trPr>
          <w:divId w:val="1139883726"/>
          <w:tblCellSpacing w:w="15" w:type="dxa"/>
        </w:trPr>
        <w:tc>
          <w:tcPr>
            <w:tcW w:w="0" w:type="auto"/>
            <w:vAlign w:val="center"/>
            <w:hideMark/>
          </w:tcPr>
          <w:p w14:paraId="3DD375B3" w14:textId="77777777" w:rsidR="00C57C9F" w:rsidRDefault="00C57C9F">
            <w:pPr>
              <w:rPr>
                <w:rFonts w:eastAsia="Times New Roman" w:cs="Times New Roman"/>
              </w:rPr>
            </w:pPr>
          </w:p>
        </w:tc>
        <w:tc>
          <w:tcPr>
            <w:tcW w:w="0" w:type="auto"/>
            <w:vAlign w:val="center"/>
            <w:hideMark/>
          </w:tcPr>
          <w:p w14:paraId="745738CE" w14:textId="77777777" w:rsidR="00C57C9F" w:rsidRDefault="00C57C9F" w:rsidP="006F421D">
            <w:pPr>
              <w:pStyle w:val="3fins-table-figures"/>
              <w:jc w:val="right"/>
              <w:rPr>
                <w:rFonts w:cs="Times New Roman"/>
              </w:rPr>
            </w:pPr>
            <w:r>
              <w:rPr>
                <w:rStyle w:val="fins-bold"/>
                <w:rFonts w:cs="Times New Roman"/>
              </w:rPr>
              <w:t>2014</w:t>
            </w:r>
          </w:p>
        </w:tc>
        <w:tc>
          <w:tcPr>
            <w:tcW w:w="0" w:type="auto"/>
            <w:vAlign w:val="center"/>
            <w:hideMark/>
          </w:tcPr>
          <w:p w14:paraId="512B1C70" w14:textId="77777777" w:rsidR="00C57C9F" w:rsidRDefault="00C57C9F" w:rsidP="006F421D">
            <w:pPr>
              <w:pStyle w:val="3fins-table-figures"/>
              <w:jc w:val="right"/>
              <w:rPr>
                <w:rFonts w:cs="Times New Roman"/>
              </w:rPr>
            </w:pPr>
            <w:r>
              <w:rPr>
                <w:rFonts w:cs="Times New Roman"/>
              </w:rPr>
              <w:t>2013</w:t>
            </w:r>
          </w:p>
        </w:tc>
      </w:tr>
      <w:tr w:rsidR="00C57C9F" w14:paraId="28534D69" w14:textId="77777777">
        <w:trPr>
          <w:divId w:val="1139883726"/>
          <w:tblCellSpacing w:w="15" w:type="dxa"/>
        </w:trPr>
        <w:tc>
          <w:tcPr>
            <w:tcW w:w="0" w:type="auto"/>
            <w:vAlign w:val="center"/>
            <w:hideMark/>
          </w:tcPr>
          <w:p w14:paraId="4F364E8A" w14:textId="77777777" w:rsidR="00C57C9F" w:rsidRDefault="00C57C9F">
            <w:pPr>
              <w:rPr>
                <w:rFonts w:eastAsia="Times New Roman" w:cs="Times New Roman"/>
              </w:rPr>
            </w:pPr>
          </w:p>
        </w:tc>
        <w:tc>
          <w:tcPr>
            <w:tcW w:w="0" w:type="auto"/>
            <w:vAlign w:val="center"/>
            <w:hideMark/>
          </w:tcPr>
          <w:p w14:paraId="716FE6F6" w14:textId="77777777" w:rsidR="00C57C9F" w:rsidRDefault="00C57C9F" w:rsidP="006F421D">
            <w:pPr>
              <w:pStyle w:val="3fins-table-figures"/>
              <w:jc w:val="right"/>
              <w:rPr>
                <w:rFonts w:cs="Times New Roman"/>
              </w:rPr>
            </w:pPr>
            <w:r>
              <w:rPr>
                <w:rStyle w:val="fins-bold"/>
                <w:rFonts w:cs="Times New Roman"/>
              </w:rPr>
              <w:t>$</w:t>
            </w:r>
          </w:p>
        </w:tc>
        <w:tc>
          <w:tcPr>
            <w:tcW w:w="0" w:type="auto"/>
            <w:vAlign w:val="center"/>
            <w:hideMark/>
          </w:tcPr>
          <w:p w14:paraId="6CFC5B9B" w14:textId="77777777" w:rsidR="00C57C9F" w:rsidRDefault="00C57C9F" w:rsidP="006F421D">
            <w:pPr>
              <w:pStyle w:val="3fins-table-figures"/>
              <w:jc w:val="right"/>
              <w:rPr>
                <w:rFonts w:cs="Times New Roman"/>
              </w:rPr>
            </w:pPr>
            <w:r>
              <w:rPr>
                <w:rFonts w:cs="Times New Roman"/>
              </w:rPr>
              <w:t>$</w:t>
            </w:r>
          </w:p>
        </w:tc>
      </w:tr>
      <w:tr w:rsidR="00C57C9F" w14:paraId="24BF170A" w14:textId="77777777">
        <w:trPr>
          <w:divId w:val="1139883726"/>
          <w:tblCellSpacing w:w="15" w:type="dxa"/>
        </w:trPr>
        <w:tc>
          <w:tcPr>
            <w:tcW w:w="0" w:type="auto"/>
            <w:vAlign w:val="center"/>
            <w:hideMark/>
          </w:tcPr>
          <w:p w14:paraId="1ECD719D" w14:textId="77777777" w:rsidR="00C57C9F" w:rsidRDefault="00C57C9F">
            <w:pPr>
              <w:pStyle w:val="3fins-table"/>
              <w:rPr>
                <w:rFonts w:cs="Times New Roman"/>
              </w:rPr>
            </w:pPr>
            <w:r>
              <w:rPr>
                <w:rFonts w:cs="Times New Roman"/>
              </w:rPr>
              <w:t>Short-term employee benefits</w:t>
            </w:r>
          </w:p>
        </w:tc>
        <w:tc>
          <w:tcPr>
            <w:tcW w:w="0" w:type="auto"/>
            <w:vAlign w:val="center"/>
            <w:hideMark/>
          </w:tcPr>
          <w:p w14:paraId="4A8C5DEA" w14:textId="77777777" w:rsidR="00C57C9F" w:rsidRDefault="00C57C9F" w:rsidP="006F421D">
            <w:pPr>
              <w:jc w:val="right"/>
              <w:rPr>
                <w:rFonts w:eastAsia="Times New Roman" w:cs="Times New Roman"/>
              </w:rPr>
            </w:pPr>
          </w:p>
        </w:tc>
        <w:tc>
          <w:tcPr>
            <w:tcW w:w="0" w:type="auto"/>
            <w:vAlign w:val="center"/>
            <w:hideMark/>
          </w:tcPr>
          <w:p w14:paraId="05FBB799" w14:textId="77777777" w:rsidR="00C57C9F" w:rsidRDefault="00C57C9F" w:rsidP="006F421D">
            <w:pPr>
              <w:jc w:val="right"/>
              <w:rPr>
                <w:rFonts w:eastAsia="Times New Roman" w:cs="Times New Roman"/>
              </w:rPr>
            </w:pPr>
          </w:p>
        </w:tc>
      </w:tr>
      <w:tr w:rsidR="00C57C9F" w14:paraId="39EBE239" w14:textId="77777777">
        <w:trPr>
          <w:divId w:val="1139883726"/>
          <w:tblCellSpacing w:w="15" w:type="dxa"/>
        </w:trPr>
        <w:tc>
          <w:tcPr>
            <w:tcW w:w="0" w:type="auto"/>
            <w:vAlign w:val="center"/>
            <w:hideMark/>
          </w:tcPr>
          <w:p w14:paraId="51E3A5C9" w14:textId="77777777" w:rsidR="00C57C9F" w:rsidRDefault="00C57C9F" w:rsidP="006F421D">
            <w:pPr>
              <w:pStyle w:val="3fins-table"/>
              <w:ind w:left="567"/>
              <w:rPr>
                <w:rFonts w:cs="Times New Roman"/>
              </w:rPr>
            </w:pPr>
            <w:r>
              <w:rPr>
                <w:rFonts w:cs="Times New Roman"/>
              </w:rPr>
              <w:t>Salary</w:t>
            </w:r>
          </w:p>
        </w:tc>
        <w:tc>
          <w:tcPr>
            <w:tcW w:w="0" w:type="auto"/>
            <w:vAlign w:val="center"/>
            <w:hideMark/>
          </w:tcPr>
          <w:p w14:paraId="255BF0FB" w14:textId="77777777" w:rsidR="00C57C9F" w:rsidRDefault="00C57C9F" w:rsidP="006F421D">
            <w:pPr>
              <w:pStyle w:val="3fins-table-figures"/>
              <w:jc w:val="right"/>
              <w:rPr>
                <w:rFonts w:cs="Times New Roman"/>
              </w:rPr>
            </w:pPr>
            <w:r>
              <w:rPr>
                <w:rStyle w:val="fins-bold"/>
                <w:rFonts w:cs="Times New Roman"/>
              </w:rPr>
              <w:t>987,774</w:t>
            </w:r>
          </w:p>
        </w:tc>
        <w:tc>
          <w:tcPr>
            <w:tcW w:w="0" w:type="auto"/>
            <w:vAlign w:val="center"/>
            <w:hideMark/>
          </w:tcPr>
          <w:p w14:paraId="5338824F" w14:textId="77777777" w:rsidR="00C57C9F" w:rsidRDefault="00C57C9F" w:rsidP="006F421D">
            <w:pPr>
              <w:pStyle w:val="3fins-table-figures"/>
              <w:jc w:val="right"/>
              <w:rPr>
                <w:rFonts w:cs="Times New Roman"/>
              </w:rPr>
            </w:pPr>
            <w:r>
              <w:rPr>
                <w:rFonts w:cs="Times New Roman"/>
              </w:rPr>
              <w:t>809,068</w:t>
            </w:r>
          </w:p>
        </w:tc>
      </w:tr>
      <w:tr w:rsidR="00C57C9F" w14:paraId="7BCEED66" w14:textId="77777777">
        <w:trPr>
          <w:divId w:val="1139883726"/>
          <w:tblCellSpacing w:w="15" w:type="dxa"/>
        </w:trPr>
        <w:tc>
          <w:tcPr>
            <w:tcW w:w="0" w:type="auto"/>
            <w:vAlign w:val="center"/>
            <w:hideMark/>
          </w:tcPr>
          <w:p w14:paraId="29527029" w14:textId="77777777" w:rsidR="00C57C9F" w:rsidRDefault="00C57C9F" w:rsidP="006F421D">
            <w:pPr>
              <w:pStyle w:val="3fins-table"/>
              <w:ind w:left="567"/>
              <w:rPr>
                <w:rFonts w:cs="Times New Roman"/>
              </w:rPr>
            </w:pPr>
            <w:r>
              <w:rPr>
                <w:rFonts w:cs="Times New Roman"/>
              </w:rPr>
              <w:t>Performance bonuses</w:t>
            </w:r>
          </w:p>
        </w:tc>
        <w:tc>
          <w:tcPr>
            <w:tcW w:w="0" w:type="auto"/>
            <w:vAlign w:val="center"/>
            <w:hideMark/>
          </w:tcPr>
          <w:p w14:paraId="5AA5AB5C" w14:textId="77777777" w:rsidR="00C57C9F" w:rsidRDefault="00C57C9F" w:rsidP="006F421D">
            <w:pPr>
              <w:pStyle w:val="3fins-table-figures"/>
              <w:jc w:val="right"/>
              <w:rPr>
                <w:rFonts w:cs="Times New Roman"/>
              </w:rPr>
            </w:pPr>
            <w:r>
              <w:rPr>
                <w:rStyle w:val="fins-bold"/>
                <w:rFonts w:cs="Times New Roman"/>
              </w:rPr>
              <w:t>71,918</w:t>
            </w:r>
          </w:p>
        </w:tc>
        <w:tc>
          <w:tcPr>
            <w:tcW w:w="0" w:type="auto"/>
            <w:vAlign w:val="center"/>
            <w:hideMark/>
          </w:tcPr>
          <w:p w14:paraId="20ABD9CA" w14:textId="77777777" w:rsidR="00C57C9F" w:rsidRDefault="00C57C9F" w:rsidP="006F421D">
            <w:pPr>
              <w:pStyle w:val="3fins-table-figures"/>
              <w:jc w:val="right"/>
              <w:rPr>
                <w:rFonts w:cs="Times New Roman"/>
              </w:rPr>
            </w:pPr>
            <w:r>
              <w:rPr>
                <w:rFonts w:cs="Times New Roman"/>
              </w:rPr>
              <w:t>24,200</w:t>
            </w:r>
          </w:p>
        </w:tc>
      </w:tr>
      <w:tr w:rsidR="00C57C9F" w14:paraId="07467BB3" w14:textId="77777777" w:rsidTr="006F421D">
        <w:trPr>
          <w:divId w:val="1139883726"/>
          <w:tblCellSpacing w:w="15" w:type="dxa"/>
        </w:trPr>
        <w:tc>
          <w:tcPr>
            <w:tcW w:w="0" w:type="auto"/>
            <w:vAlign w:val="center"/>
            <w:hideMark/>
          </w:tcPr>
          <w:p w14:paraId="4C766C26" w14:textId="77777777" w:rsidR="00C57C9F" w:rsidRDefault="00C57C9F">
            <w:pPr>
              <w:pStyle w:val="3fins-table"/>
              <w:rPr>
                <w:rFonts w:cs="Times New Roman"/>
              </w:rPr>
            </w:pPr>
            <w:r>
              <w:rPr>
                <w:rStyle w:val="fins-bold"/>
                <w:rFonts w:cs="Times New Roman"/>
              </w:rPr>
              <w:t>Total short-term employee benefits</w:t>
            </w:r>
          </w:p>
        </w:tc>
        <w:tc>
          <w:tcPr>
            <w:tcW w:w="0" w:type="auto"/>
            <w:tcBorders>
              <w:top w:val="single" w:sz="4" w:space="0" w:color="0D0D0D" w:themeColor="text1" w:themeTint="F2"/>
              <w:bottom w:val="single" w:sz="4" w:space="0" w:color="0D0D0D" w:themeColor="text1" w:themeTint="F2"/>
            </w:tcBorders>
            <w:vAlign w:val="center"/>
            <w:hideMark/>
          </w:tcPr>
          <w:p w14:paraId="761FBEA6" w14:textId="77777777" w:rsidR="00C57C9F" w:rsidRDefault="00C57C9F" w:rsidP="006F421D">
            <w:pPr>
              <w:pStyle w:val="3fins-table-figures"/>
              <w:jc w:val="right"/>
              <w:rPr>
                <w:rFonts w:cs="Times New Roman"/>
              </w:rPr>
            </w:pPr>
            <w:r>
              <w:rPr>
                <w:rStyle w:val="fins-bold"/>
                <w:rFonts w:cs="Times New Roman"/>
              </w:rPr>
              <w:t>1,059,692</w:t>
            </w:r>
          </w:p>
        </w:tc>
        <w:tc>
          <w:tcPr>
            <w:tcW w:w="0" w:type="auto"/>
            <w:tcBorders>
              <w:top w:val="single" w:sz="4" w:space="0" w:color="0D0D0D" w:themeColor="text1" w:themeTint="F2"/>
              <w:bottom w:val="single" w:sz="4" w:space="0" w:color="0D0D0D" w:themeColor="text1" w:themeTint="F2"/>
            </w:tcBorders>
            <w:vAlign w:val="center"/>
            <w:hideMark/>
          </w:tcPr>
          <w:p w14:paraId="3AE1E622" w14:textId="77777777" w:rsidR="00C57C9F" w:rsidRDefault="00C57C9F" w:rsidP="006F421D">
            <w:pPr>
              <w:pStyle w:val="3fins-table-figures"/>
              <w:jc w:val="right"/>
              <w:rPr>
                <w:rFonts w:cs="Times New Roman"/>
              </w:rPr>
            </w:pPr>
            <w:r>
              <w:rPr>
                <w:rFonts w:cs="Times New Roman"/>
              </w:rPr>
              <w:t>833,268</w:t>
            </w:r>
          </w:p>
        </w:tc>
      </w:tr>
      <w:tr w:rsidR="00C57C9F" w14:paraId="17643391" w14:textId="77777777">
        <w:trPr>
          <w:divId w:val="1139883726"/>
          <w:tblCellSpacing w:w="15" w:type="dxa"/>
        </w:trPr>
        <w:tc>
          <w:tcPr>
            <w:tcW w:w="0" w:type="auto"/>
            <w:vAlign w:val="center"/>
            <w:hideMark/>
          </w:tcPr>
          <w:p w14:paraId="3604313C" w14:textId="77777777" w:rsidR="00C57C9F" w:rsidRDefault="00C57C9F">
            <w:pPr>
              <w:rPr>
                <w:rFonts w:eastAsia="Times New Roman" w:cs="Times New Roman"/>
              </w:rPr>
            </w:pPr>
          </w:p>
        </w:tc>
        <w:tc>
          <w:tcPr>
            <w:tcW w:w="0" w:type="auto"/>
            <w:vAlign w:val="center"/>
            <w:hideMark/>
          </w:tcPr>
          <w:p w14:paraId="59E18EE8" w14:textId="77777777" w:rsidR="00C57C9F" w:rsidRDefault="00C57C9F" w:rsidP="006F421D">
            <w:pPr>
              <w:jc w:val="right"/>
              <w:rPr>
                <w:rFonts w:eastAsia="Times New Roman" w:cs="Times New Roman"/>
              </w:rPr>
            </w:pPr>
          </w:p>
        </w:tc>
        <w:tc>
          <w:tcPr>
            <w:tcW w:w="0" w:type="auto"/>
            <w:vAlign w:val="center"/>
            <w:hideMark/>
          </w:tcPr>
          <w:p w14:paraId="3D343864" w14:textId="77777777" w:rsidR="00C57C9F" w:rsidRDefault="00C57C9F" w:rsidP="006F421D">
            <w:pPr>
              <w:jc w:val="right"/>
              <w:rPr>
                <w:rFonts w:eastAsia="Times New Roman" w:cs="Times New Roman"/>
              </w:rPr>
            </w:pPr>
          </w:p>
        </w:tc>
      </w:tr>
      <w:tr w:rsidR="00C57C9F" w14:paraId="47D0BF51" w14:textId="77777777">
        <w:trPr>
          <w:divId w:val="1139883726"/>
          <w:tblCellSpacing w:w="15" w:type="dxa"/>
        </w:trPr>
        <w:tc>
          <w:tcPr>
            <w:tcW w:w="0" w:type="auto"/>
            <w:vAlign w:val="center"/>
            <w:hideMark/>
          </w:tcPr>
          <w:p w14:paraId="7A1AEFFA" w14:textId="77777777" w:rsidR="00C57C9F" w:rsidRDefault="00C57C9F">
            <w:pPr>
              <w:pStyle w:val="3fins-table"/>
              <w:rPr>
                <w:rFonts w:cs="Times New Roman"/>
              </w:rPr>
            </w:pPr>
            <w:r>
              <w:rPr>
                <w:rFonts w:cs="Times New Roman"/>
              </w:rPr>
              <w:t>Post-employment benefits</w:t>
            </w:r>
          </w:p>
        </w:tc>
        <w:tc>
          <w:tcPr>
            <w:tcW w:w="0" w:type="auto"/>
            <w:vAlign w:val="center"/>
            <w:hideMark/>
          </w:tcPr>
          <w:p w14:paraId="767553C3" w14:textId="77777777" w:rsidR="00C57C9F" w:rsidRDefault="00C57C9F" w:rsidP="006F421D">
            <w:pPr>
              <w:jc w:val="right"/>
              <w:rPr>
                <w:rFonts w:eastAsia="Times New Roman" w:cs="Times New Roman"/>
              </w:rPr>
            </w:pPr>
          </w:p>
        </w:tc>
        <w:tc>
          <w:tcPr>
            <w:tcW w:w="0" w:type="auto"/>
            <w:vAlign w:val="center"/>
            <w:hideMark/>
          </w:tcPr>
          <w:p w14:paraId="0E1B491E" w14:textId="77777777" w:rsidR="00C57C9F" w:rsidRDefault="00C57C9F" w:rsidP="006F421D">
            <w:pPr>
              <w:jc w:val="right"/>
              <w:rPr>
                <w:rFonts w:eastAsia="Times New Roman" w:cs="Times New Roman"/>
              </w:rPr>
            </w:pPr>
          </w:p>
        </w:tc>
      </w:tr>
      <w:tr w:rsidR="00C57C9F" w14:paraId="161AD130" w14:textId="77777777">
        <w:trPr>
          <w:divId w:val="1139883726"/>
          <w:tblCellSpacing w:w="15" w:type="dxa"/>
        </w:trPr>
        <w:tc>
          <w:tcPr>
            <w:tcW w:w="0" w:type="auto"/>
            <w:vAlign w:val="center"/>
            <w:hideMark/>
          </w:tcPr>
          <w:p w14:paraId="2E4861D7" w14:textId="77777777" w:rsidR="00C57C9F" w:rsidRDefault="00C57C9F" w:rsidP="006F421D">
            <w:pPr>
              <w:pStyle w:val="3fins-table"/>
              <w:ind w:left="567"/>
              <w:rPr>
                <w:rFonts w:cs="Times New Roman"/>
              </w:rPr>
            </w:pPr>
            <w:r>
              <w:rPr>
                <w:rFonts w:cs="Times New Roman"/>
              </w:rPr>
              <w:t>Superannuation</w:t>
            </w:r>
          </w:p>
        </w:tc>
        <w:tc>
          <w:tcPr>
            <w:tcW w:w="0" w:type="auto"/>
            <w:vAlign w:val="center"/>
            <w:hideMark/>
          </w:tcPr>
          <w:p w14:paraId="29DE3FA9" w14:textId="77777777" w:rsidR="00C57C9F" w:rsidRDefault="00C57C9F" w:rsidP="006F421D">
            <w:pPr>
              <w:pStyle w:val="3fins-table-figures"/>
              <w:jc w:val="right"/>
              <w:rPr>
                <w:rFonts w:cs="Times New Roman"/>
              </w:rPr>
            </w:pPr>
            <w:r>
              <w:rPr>
                <w:rStyle w:val="fins-bold"/>
                <w:rFonts w:cs="Times New Roman"/>
              </w:rPr>
              <w:t>134,175</w:t>
            </w:r>
          </w:p>
        </w:tc>
        <w:tc>
          <w:tcPr>
            <w:tcW w:w="0" w:type="auto"/>
            <w:vAlign w:val="center"/>
            <w:hideMark/>
          </w:tcPr>
          <w:p w14:paraId="4E3D05F8" w14:textId="77777777" w:rsidR="00C57C9F" w:rsidRDefault="00C57C9F" w:rsidP="006F421D">
            <w:pPr>
              <w:pStyle w:val="3fins-table-figures"/>
              <w:jc w:val="right"/>
              <w:rPr>
                <w:rFonts w:cs="Times New Roman"/>
              </w:rPr>
            </w:pPr>
            <w:r>
              <w:rPr>
                <w:rFonts w:cs="Times New Roman"/>
              </w:rPr>
              <w:t>100,013</w:t>
            </w:r>
          </w:p>
        </w:tc>
      </w:tr>
      <w:tr w:rsidR="00C57C9F" w14:paraId="29DE3E85" w14:textId="77777777" w:rsidTr="006F421D">
        <w:trPr>
          <w:divId w:val="1139883726"/>
          <w:tblCellSpacing w:w="15" w:type="dxa"/>
        </w:trPr>
        <w:tc>
          <w:tcPr>
            <w:tcW w:w="0" w:type="auto"/>
            <w:vAlign w:val="center"/>
            <w:hideMark/>
          </w:tcPr>
          <w:p w14:paraId="1DD7ECF7" w14:textId="77777777" w:rsidR="00C57C9F" w:rsidRDefault="00C57C9F">
            <w:pPr>
              <w:pStyle w:val="3fins-table"/>
              <w:rPr>
                <w:rFonts w:cs="Times New Roman"/>
              </w:rPr>
            </w:pPr>
            <w:r>
              <w:rPr>
                <w:rStyle w:val="fins-bold"/>
                <w:rFonts w:cs="Times New Roman"/>
              </w:rPr>
              <w:t>Total post-employment benefits</w:t>
            </w:r>
          </w:p>
        </w:tc>
        <w:tc>
          <w:tcPr>
            <w:tcW w:w="0" w:type="auto"/>
            <w:tcBorders>
              <w:top w:val="single" w:sz="4" w:space="0" w:color="0D0D0D" w:themeColor="text1" w:themeTint="F2"/>
              <w:bottom w:val="single" w:sz="4" w:space="0" w:color="0D0D0D" w:themeColor="text1" w:themeTint="F2"/>
            </w:tcBorders>
            <w:vAlign w:val="center"/>
            <w:hideMark/>
          </w:tcPr>
          <w:p w14:paraId="7FAA80FD" w14:textId="77777777" w:rsidR="00C57C9F" w:rsidRDefault="00C57C9F" w:rsidP="006F421D">
            <w:pPr>
              <w:pStyle w:val="3fins-table-figures"/>
              <w:jc w:val="right"/>
              <w:rPr>
                <w:rFonts w:cs="Times New Roman"/>
              </w:rPr>
            </w:pPr>
            <w:r>
              <w:rPr>
                <w:rStyle w:val="fins-bold"/>
                <w:rFonts w:cs="Times New Roman"/>
              </w:rPr>
              <w:t>134,175</w:t>
            </w:r>
          </w:p>
        </w:tc>
        <w:tc>
          <w:tcPr>
            <w:tcW w:w="0" w:type="auto"/>
            <w:tcBorders>
              <w:top w:val="single" w:sz="4" w:space="0" w:color="0D0D0D" w:themeColor="text1" w:themeTint="F2"/>
              <w:bottom w:val="single" w:sz="4" w:space="0" w:color="0D0D0D" w:themeColor="text1" w:themeTint="F2"/>
            </w:tcBorders>
            <w:vAlign w:val="center"/>
            <w:hideMark/>
          </w:tcPr>
          <w:p w14:paraId="4B237221" w14:textId="77777777" w:rsidR="00C57C9F" w:rsidRDefault="00C57C9F" w:rsidP="006F421D">
            <w:pPr>
              <w:pStyle w:val="3fins-table-figures"/>
              <w:jc w:val="right"/>
              <w:rPr>
                <w:rFonts w:cs="Times New Roman"/>
              </w:rPr>
            </w:pPr>
            <w:r>
              <w:rPr>
                <w:rFonts w:cs="Times New Roman"/>
              </w:rPr>
              <w:t>100,013</w:t>
            </w:r>
          </w:p>
        </w:tc>
      </w:tr>
      <w:tr w:rsidR="00C57C9F" w14:paraId="3BC82394" w14:textId="77777777">
        <w:trPr>
          <w:divId w:val="1139883726"/>
          <w:tblCellSpacing w:w="15" w:type="dxa"/>
        </w:trPr>
        <w:tc>
          <w:tcPr>
            <w:tcW w:w="0" w:type="auto"/>
            <w:vAlign w:val="center"/>
            <w:hideMark/>
          </w:tcPr>
          <w:p w14:paraId="4E1148AF" w14:textId="77777777" w:rsidR="00C57C9F" w:rsidRDefault="00C57C9F">
            <w:pPr>
              <w:rPr>
                <w:rFonts w:eastAsia="Times New Roman" w:cs="Times New Roman"/>
              </w:rPr>
            </w:pPr>
          </w:p>
        </w:tc>
        <w:tc>
          <w:tcPr>
            <w:tcW w:w="0" w:type="auto"/>
            <w:vAlign w:val="center"/>
            <w:hideMark/>
          </w:tcPr>
          <w:p w14:paraId="081E4FA6" w14:textId="77777777" w:rsidR="00C57C9F" w:rsidRDefault="00C57C9F" w:rsidP="006F421D">
            <w:pPr>
              <w:jc w:val="right"/>
              <w:rPr>
                <w:rFonts w:eastAsia="Times New Roman" w:cs="Times New Roman"/>
              </w:rPr>
            </w:pPr>
          </w:p>
        </w:tc>
        <w:tc>
          <w:tcPr>
            <w:tcW w:w="0" w:type="auto"/>
            <w:vAlign w:val="center"/>
            <w:hideMark/>
          </w:tcPr>
          <w:p w14:paraId="0DE24044" w14:textId="77777777" w:rsidR="00C57C9F" w:rsidRDefault="00C57C9F" w:rsidP="006F421D">
            <w:pPr>
              <w:jc w:val="right"/>
              <w:rPr>
                <w:rFonts w:eastAsia="Times New Roman" w:cs="Times New Roman"/>
              </w:rPr>
            </w:pPr>
          </w:p>
        </w:tc>
      </w:tr>
      <w:tr w:rsidR="00C57C9F" w14:paraId="2D019F4D" w14:textId="77777777">
        <w:trPr>
          <w:divId w:val="1139883726"/>
          <w:tblCellSpacing w:w="15" w:type="dxa"/>
        </w:trPr>
        <w:tc>
          <w:tcPr>
            <w:tcW w:w="0" w:type="auto"/>
            <w:vAlign w:val="center"/>
            <w:hideMark/>
          </w:tcPr>
          <w:p w14:paraId="0809CB6C" w14:textId="77777777" w:rsidR="00C57C9F" w:rsidRDefault="00C57C9F">
            <w:pPr>
              <w:pStyle w:val="3fins-table"/>
              <w:rPr>
                <w:rFonts w:cs="Times New Roman"/>
              </w:rPr>
            </w:pPr>
            <w:r>
              <w:rPr>
                <w:rFonts w:cs="Times New Roman"/>
              </w:rPr>
              <w:t>Other long-term benefits</w:t>
            </w:r>
          </w:p>
        </w:tc>
        <w:tc>
          <w:tcPr>
            <w:tcW w:w="0" w:type="auto"/>
            <w:vAlign w:val="center"/>
            <w:hideMark/>
          </w:tcPr>
          <w:p w14:paraId="7ACD9BDD" w14:textId="77777777" w:rsidR="00C57C9F" w:rsidRDefault="00C57C9F" w:rsidP="006F421D">
            <w:pPr>
              <w:jc w:val="right"/>
              <w:rPr>
                <w:rFonts w:eastAsia="Times New Roman" w:cs="Times New Roman"/>
              </w:rPr>
            </w:pPr>
          </w:p>
        </w:tc>
        <w:tc>
          <w:tcPr>
            <w:tcW w:w="0" w:type="auto"/>
            <w:vAlign w:val="center"/>
            <w:hideMark/>
          </w:tcPr>
          <w:p w14:paraId="3CE15EE1" w14:textId="77777777" w:rsidR="00C57C9F" w:rsidRDefault="00C57C9F" w:rsidP="006F421D">
            <w:pPr>
              <w:jc w:val="right"/>
              <w:rPr>
                <w:rFonts w:eastAsia="Times New Roman" w:cs="Times New Roman"/>
              </w:rPr>
            </w:pPr>
          </w:p>
        </w:tc>
      </w:tr>
      <w:tr w:rsidR="00C57C9F" w14:paraId="488726F9" w14:textId="77777777">
        <w:trPr>
          <w:divId w:val="1139883726"/>
          <w:tblCellSpacing w:w="15" w:type="dxa"/>
        </w:trPr>
        <w:tc>
          <w:tcPr>
            <w:tcW w:w="0" w:type="auto"/>
            <w:vAlign w:val="center"/>
            <w:hideMark/>
          </w:tcPr>
          <w:p w14:paraId="32492457" w14:textId="77777777" w:rsidR="00C57C9F" w:rsidRDefault="00C57C9F" w:rsidP="006F421D">
            <w:pPr>
              <w:pStyle w:val="3fins-table"/>
              <w:ind w:left="567"/>
              <w:rPr>
                <w:rFonts w:cs="Times New Roman"/>
              </w:rPr>
            </w:pPr>
            <w:r>
              <w:rPr>
                <w:rFonts w:cs="Times New Roman"/>
              </w:rPr>
              <w:t>Annual leave accrued</w:t>
            </w:r>
          </w:p>
        </w:tc>
        <w:tc>
          <w:tcPr>
            <w:tcW w:w="0" w:type="auto"/>
            <w:vAlign w:val="center"/>
            <w:hideMark/>
          </w:tcPr>
          <w:p w14:paraId="3B03EF81" w14:textId="77777777" w:rsidR="00C57C9F" w:rsidRDefault="00C57C9F" w:rsidP="006F421D">
            <w:pPr>
              <w:pStyle w:val="3fins-table-figures"/>
              <w:jc w:val="right"/>
              <w:rPr>
                <w:rFonts w:cs="Times New Roman"/>
              </w:rPr>
            </w:pPr>
            <w:r>
              <w:rPr>
                <w:rStyle w:val="fins-bold"/>
                <w:rFonts w:cs="Times New Roman"/>
              </w:rPr>
              <w:t>81,063</w:t>
            </w:r>
          </w:p>
        </w:tc>
        <w:tc>
          <w:tcPr>
            <w:tcW w:w="0" w:type="auto"/>
            <w:vAlign w:val="center"/>
            <w:hideMark/>
          </w:tcPr>
          <w:p w14:paraId="2107EFCC" w14:textId="77777777" w:rsidR="00C57C9F" w:rsidRDefault="00C57C9F" w:rsidP="006F421D">
            <w:pPr>
              <w:pStyle w:val="3fins-table-figures"/>
              <w:jc w:val="right"/>
              <w:rPr>
                <w:rFonts w:cs="Times New Roman"/>
              </w:rPr>
            </w:pPr>
            <w:r>
              <w:rPr>
                <w:rFonts w:cs="Times New Roman"/>
              </w:rPr>
              <w:t>74,828</w:t>
            </w:r>
          </w:p>
        </w:tc>
      </w:tr>
      <w:tr w:rsidR="00C57C9F" w14:paraId="17E54202" w14:textId="77777777">
        <w:trPr>
          <w:divId w:val="1139883726"/>
          <w:tblCellSpacing w:w="15" w:type="dxa"/>
        </w:trPr>
        <w:tc>
          <w:tcPr>
            <w:tcW w:w="0" w:type="auto"/>
            <w:vAlign w:val="center"/>
            <w:hideMark/>
          </w:tcPr>
          <w:p w14:paraId="03EEEB56" w14:textId="77777777" w:rsidR="00C57C9F" w:rsidRDefault="00C57C9F" w:rsidP="006F421D">
            <w:pPr>
              <w:pStyle w:val="3fins-table"/>
              <w:ind w:left="567"/>
              <w:rPr>
                <w:rFonts w:cs="Times New Roman"/>
              </w:rPr>
            </w:pPr>
            <w:r>
              <w:rPr>
                <w:rFonts w:cs="Times New Roman"/>
              </w:rPr>
              <w:t>Long service leave</w:t>
            </w:r>
          </w:p>
        </w:tc>
        <w:tc>
          <w:tcPr>
            <w:tcW w:w="0" w:type="auto"/>
            <w:vAlign w:val="center"/>
            <w:hideMark/>
          </w:tcPr>
          <w:p w14:paraId="7FC703A7" w14:textId="77777777" w:rsidR="00C57C9F" w:rsidRDefault="00C57C9F" w:rsidP="006F421D">
            <w:pPr>
              <w:pStyle w:val="3fins-table-figures"/>
              <w:jc w:val="right"/>
              <w:rPr>
                <w:rFonts w:cs="Times New Roman"/>
              </w:rPr>
            </w:pPr>
            <w:r>
              <w:rPr>
                <w:rStyle w:val="fins-bold"/>
                <w:rFonts w:cs="Times New Roman"/>
              </w:rPr>
              <w:t>20,252</w:t>
            </w:r>
          </w:p>
        </w:tc>
        <w:tc>
          <w:tcPr>
            <w:tcW w:w="0" w:type="auto"/>
            <w:vAlign w:val="center"/>
            <w:hideMark/>
          </w:tcPr>
          <w:p w14:paraId="10E40D77" w14:textId="77777777" w:rsidR="00C57C9F" w:rsidRDefault="00C57C9F" w:rsidP="006F421D">
            <w:pPr>
              <w:pStyle w:val="3fins-table-figures"/>
              <w:jc w:val="right"/>
              <w:rPr>
                <w:rFonts w:cs="Times New Roman"/>
              </w:rPr>
            </w:pPr>
            <w:r>
              <w:rPr>
                <w:rFonts w:cs="Times New Roman"/>
              </w:rPr>
              <w:t>14,302</w:t>
            </w:r>
          </w:p>
        </w:tc>
      </w:tr>
      <w:tr w:rsidR="00C57C9F" w14:paraId="039223F3" w14:textId="77777777" w:rsidTr="006F421D">
        <w:trPr>
          <w:divId w:val="1139883726"/>
          <w:tblCellSpacing w:w="15" w:type="dxa"/>
        </w:trPr>
        <w:tc>
          <w:tcPr>
            <w:tcW w:w="0" w:type="auto"/>
            <w:vAlign w:val="center"/>
            <w:hideMark/>
          </w:tcPr>
          <w:p w14:paraId="51220DE8" w14:textId="77777777" w:rsidR="00C57C9F" w:rsidRDefault="00C57C9F">
            <w:pPr>
              <w:pStyle w:val="3fins-table"/>
              <w:rPr>
                <w:rFonts w:cs="Times New Roman"/>
              </w:rPr>
            </w:pPr>
            <w:r>
              <w:rPr>
                <w:rStyle w:val="fins-bold"/>
                <w:rFonts w:cs="Times New Roman"/>
              </w:rPr>
              <w:t>Total other long-term benefits</w:t>
            </w:r>
          </w:p>
        </w:tc>
        <w:tc>
          <w:tcPr>
            <w:tcW w:w="0" w:type="auto"/>
            <w:tcBorders>
              <w:top w:val="single" w:sz="4" w:space="0" w:color="0D0D0D" w:themeColor="text1" w:themeTint="F2"/>
              <w:bottom w:val="single" w:sz="4" w:space="0" w:color="0D0D0D" w:themeColor="text1" w:themeTint="F2"/>
            </w:tcBorders>
            <w:vAlign w:val="center"/>
            <w:hideMark/>
          </w:tcPr>
          <w:p w14:paraId="227C6C8D" w14:textId="77777777" w:rsidR="00C57C9F" w:rsidRDefault="00C57C9F" w:rsidP="006F421D">
            <w:pPr>
              <w:pStyle w:val="3fins-table-figures"/>
              <w:jc w:val="right"/>
              <w:rPr>
                <w:rFonts w:cs="Times New Roman"/>
              </w:rPr>
            </w:pPr>
            <w:r>
              <w:rPr>
                <w:rStyle w:val="fins-bold"/>
                <w:rFonts w:cs="Times New Roman"/>
              </w:rPr>
              <w:t>101,315</w:t>
            </w:r>
          </w:p>
        </w:tc>
        <w:tc>
          <w:tcPr>
            <w:tcW w:w="0" w:type="auto"/>
            <w:tcBorders>
              <w:top w:val="single" w:sz="4" w:space="0" w:color="0D0D0D" w:themeColor="text1" w:themeTint="F2"/>
              <w:bottom w:val="single" w:sz="4" w:space="0" w:color="0D0D0D" w:themeColor="text1" w:themeTint="F2"/>
            </w:tcBorders>
            <w:vAlign w:val="center"/>
            <w:hideMark/>
          </w:tcPr>
          <w:p w14:paraId="1A5D2CF3" w14:textId="77777777" w:rsidR="00C57C9F" w:rsidRDefault="00C57C9F" w:rsidP="006F421D">
            <w:pPr>
              <w:pStyle w:val="3fins-table-figures"/>
              <w:jc w:val="right"/>
              <w:rPr>
                <w:rFonts w:cs="Times New Roman"/>
              </w:rPr>
            </w:pPr>
            <w:r>
              <w:rPr>
                <w:rFonts w:cs="Times New Roman"/>
              </w:rPr>
              <w:t>89,130</w:t>
            </w:r>
          </w:p>
        </w:tc>
      </w:tr>
      <w:tr w:rsidR="00C57C9F" w14:paraId="090A6674" w14:textId="77777777">
        <w:trPr>
          <w:divId w:val="1139883726"/>
          <w:tblCellSpacing w:w="15" w:type="dxa"/>
        </w:trPr>
        <w:tc>
          <w:tcPr>
            <w:tcW w:w="0" w:type="auto"/>
            <w:vAlign w:val="center"/>
            <w:hideMark/>
          </w:tcPr>
          <w:p w14:paraId="1879C133" w14:textId="77777777" w:rsidR="00C57C9F" w:rsidRDefault="00C57C9F">
            <w:pPr>
              <w:rPr>
                <w:rFonts w:eastAsia="Times New Roman" w:cs="Times New Roman"/>
              </w:rPr>
            </w:pPr>
          </w:p>
        </w:tc>
        <w:tc>
          <w:tcPr>
            <w:tcW w:w="0" w:type="auto"/>
            <w:vAlign w:val="center"/>
            <w:hideMark/>
          </w:tcPr>
          <w:p w14:paraId="11F5838B" w14:textId="77777777" w:rsidR="00C57C9F" w:rsidRDefault="00C57C9F" w:rsidP="006F421D">
            <w:pPr>
              <w:jc w:val="right"/>
              <w:rPr>
                <w:rFonts w:eastAsia="Times New Roman" w:cs="Times New Roman"/>
              </w:rPr>
            </w:pPr>
          </w:p>
        </w:tc>
        <w:tc>
          <w:tcPr>
            <w:tcW w:w="0" w:type="auto"/>
            <w:vAlign w:val="center"/>
            <w:hideMark/>
          </w:tcPr>
          <w:p w14:paraId="12C41FF3" w14:textId="77777777" w:rsidR="00C57C9F" w:rsidRDefault="00C57C9F" w:rsidP="006F421D">
            <w:pPr>
              <w:jc w:val="right"/>
              <w:rPr>
                <w:rFonts w:eastAsia="Times New Roman" w:cs="Times New Roman"/>
              </w:rPr>
            </w:pPr>
          </w:p>
        </w:tc>
      </w:tr>
      <w:tr w:rsidR="00C57C9F" w14:paraId="371DC32E" w14:textId="77777777">
        <w:trPr>
          <w:divId w:val="1139883726"/>
          <w:tblCellSpacing w:w="15" w:type="dxa"/>
        </w:trPr>
        <w:tc>
          <w:tcPr>
            <w:tcW w:w="0" w:type="auto"/>
            <w:vAlign w:val="center"/>
            <w:hideMark/>
          </w:tcPr>
          <w:p w14:paraId="6F0913F4" w14:textId="77777777" w:rsidR="00C57C9F" w:rsidRDefault="00C57C9F">
            <w:pPr>
              <w:pStyle w:val="3fins-table"/>
              <w:rPr>
                <w:rFonts w:cs="Times New Roman"/>
              </w:rPr>
            </w:pPr>
            <w:r>
              <w:rPr>
                <w:rFonts w:cs="Times New Roman"/>
              </w:rPr>
              <w:t>Termination benefits</w:t>
            </w:r>
          </w:p>
        </w:tc>
        <w:tc>
          <w:tcPr>
            <w:tcW w:w="0" w:type="auto"/>
            <w:vAlign w:val="center"/>
            <w:hideMark/>
          </w:tcPr>
          <w:p w14:paraId="4A4F7119" w14:textId="77777777" w:rsidR="00C57C9F" w:rsidRDefault="00C57C9F" w:rsidP="006F421D">
            <w:pPr>
              <w:pStyle w:val="3fins-table-figures"/>
              <w:jc w:val="right"/>
              <w:rPr>
                <w:rFonts w:cs="Times New Roman"/>
              </w:rPr>
            </w:pPr>
            <w:r>
              <w:rPr>
                <w:rStyle w:val="fins-bold"/>
                <w:rFonts w:cs="Times New Roman"/>
              </w:rPr>
              <w:t>–</w:t>
            </w:r>
          </w:p>
        </w:tc>
        <w:tc>
          <w:tcPr>
            <w:tcW w:w="0" w:type="auto"/>
            <w:vAlign w:val="center"/>
            <w:hideMark/>
          </w:tcPr>
          <w:p w14:paraId="64B2B6DA" w14:textId="77777777" w:rsidR="00C57C9F" w:rsidRDefault="00C57C9F" w:rsidP="006F421D">
            <w:pPr>
              <w:pStyle w:val="3fins-table-figures"/>
              <w:jc w:val="right"/>
              <w:rPr>
                <w:rFonts w:cs="Times New Roman"/>
              </w:rPr>
            </w:pPr>
            <w:r>
              <w:rPr>
                <w:rStyle w:val="fins-bold"/>
                <w:rFonts w:cs="Times New Roman"/>
              </w:rPr>
              <w:t>–</w:t>
            </w:r>
          </w:p>
        </w:tc>
      </w:tr>
      <w:tr w:rsidR="00C57C9F" w14:paraId="6547F158" w14:textId="77777777" w:rsidTr="006F421D">
        <w:trPr>
          <w:divId w:val="1139883726"/>
          <w:tblCellSpacing w:w="15" w:type="dxa"/>
        </w:trPr>
        <w:tc>
          <w:tcPr>
            <w:tcW w:w="0" w:type="auto"/>
            <w:vAlign w:val="center"/>
            <w:hideMark/>
          </w:tcPr>
          <w:p w14:paraId="0BD58A77" w14:textId="77777777" w:rsidR="00C57C9F" w:rsidRDefault="00C57C9F">
            <w:pPr>
              <w:pStyle w:val="3fins-table"/>
              <w:rPr>
                <w:rFonts w:cs="Times New Roman"/>
              </w:rPr>
            </w:pPr>
            <w:r>
              <w:rPr>
                <w:rStyle w:val="fins-bold"/>
                <w:rFonts w:cs="Times New Roman"/>
              </w:rPr>
              <w:t xml:space="preserve">Total </w:t>
            </w:r>
          </w:p>
        </w:tc>
        <w:tc>
          <w:tcPr>
            <w:tcW w:w="0" w:type="auto"/>
            <w:tcBorders>
              <w:top w:val="single" w:sz="4" w:space="0" w:color="0D0D0D" w:themeColor="text1" w:themeTint="F2"/>
              <w:bottom w:val="double" w:sz="6" w:space="0" w:color="auto"/>
            </w:tcBorders>
            <w:vAlign w:val="center"/>
            <w:hideMark/>
          </w:tcPr>
          <w:p w14:paraId="1A2DA70A" w14:textId="77777777" w:rsidR="00C57C9F" w:rsidRDefault="00C57C9F" w:rsidP="006F421D">
            <w:pPr>
              <w:pStyle w:val="3fins-table-figures"/>
              <w:jc w:val="right"/>
              <w:rPr>
                <w:rFonts w:cs="Times New Roman"/>
              </w:rPr>
            </w:pPr>
            <w:r>
              <w:rPr>
                <w:rStyle w:val="fins-bold"/>
                <w:rFonts w:cs="Times New Roman"/>
              </w:rPr>
              <w:t>1,295,182</w:t>
            </w:r>
          </w:p>
        </w:tc>
        <w:tc>
          <w:tcPr>
            <w:tcW w:w="0" w:type="auto"/>
            <w:tcBorders>
              <w:top w:val="single" w:sz="4" w:space="0" w:color="0D0D0D" w:themeColor="text1" w:themeTint="F2"/>
              <w:bottom w:val="double" w:sz="6" w:space="0" w:color="auto"/>
            </w:tcBorders>
            <w:vAlign w:val="center"/>
            <w:hideMark/>
          </w:tcPr>
          <w:p w14:paraId="646DD9C3" w14:textId="77777777" w:rsidR="00C57C9F" w:rsidRDefault="00C57C9F" w:rsidP="006F421D">
            <w:pPr>
              <w:pStyle w:val="3fins-table-figures"/>
              <w:jc w:val="right"/>
              <w:rPr>
                <w:rFonts w:cs="Times New Roman"/>
              </w:rPr>
            </w:pPr>
            <w:r>
              <w:rPr>
                <w:rFonts w:cs="Times New Roman"/>
              </w:rPr>
              <w:t>1,022,411</w:t>
            </w:r>
          </w:p>
        </w:tc>
      </w:tr>
      <w:tr w:rsidR="00C57C9F" w14:paraId="320BFC5B" w14:textId="77777777">
        <w:trPr>
          <w:divId w:val="1139883726"/>
          <w:tblCellSpacing w:w="15" w:type="dxa"/>
        </w:trPr>
        <w:tc>
          <w:tcPr>
            <w:tcW w:w="0" w:type="auto"/>
            <w:vAlign w:val="center"/>
            <w:hideMark/>
          </w:tcPr>
          <w:p w14:paraId="14029F34" w14:textId="77777777" w:rsidR="00C57C9F" w:rsidRDefault="00C57C9F">
            <w:pPr>
              <w:rPr>
                <w:rFonts w:eastAsia="Times New Roman" w:cs="Times New Roman"/>
              </w:rPr>
            </w:pPr>
          </w:p>
        </w:tc>
        <w:tc>
          <w:tcPr>
            <w:tcW w:w="0" w:type="auto"/>
            <w:vAlign w:val="center"/>
            <w:hideMark/>
          </w:tcPr>
          <w:p w14:paraId="43A24663" w14:textId="77777777" w:rsidR="00C57C9F" w:rsidRDefault="00C57C9F" w:rsidP="006F421D">
            <w:pPr>
              <w:jc w:val="right"/>
              <w:rPr>
                <w:rFonts w:eastAsia="Times New Roman" w:cs="Times New Roman"/>
              </w:rPr>
            </w:pPr>
          </w:p>
        </w:tc>
        <w:tc>
          <w:tcPr>
            <w:tcW w:w="0" w:type="auto"/>
            <w:vAlign w:val="center"/>
            <w:hideMark/>
          </w:tcPr>
          <w:p w14:paraId="43731C28" w14:textId="77777777" w:rsidR="00C57C9F" w:rsidRDefault="00C57C9F" w:rsidP="006F421D">
            <w:pPr>
              <w:jc w:val="right"/>
              <w:rPr>
                <w:rFonts w:eastAsia="Times New Roman" w:cs="Times New Roman"/>
              </w:rPr>
            </w:pPr>
          </w:p>
        </w:tc>
      </w:tr>
      <w:tr w:rsidR="00C57C9F" w14:paraId="300C14C6" w14:textId="77777777">
        <w:trPr>
          <w:divId w:val="1139883726"/>
          <w:tblCellSpacing w:w="15" w:type="dxa"/>
        </w:trPr>
        <w:tc>
          <w:tcPr>
            <w:tcW w:w="0" w:type="auto"/>
            <w:gridSpan w:val="3"/>
            <w:vAlign w:val="center"/>
            <w:hideMark/>
          </w:tcPr>
          <w:p w14:paraId="10DCF006" w14:textId="77777777" w:rsidR="00C57C9F" w:rsidRDefault="00C57C9F">
            <w:pPr>
              <w:pStyle w:val="3fins-table"/>
              <w:rPr>
                <w:rFonts w:cs="Times New Roman"/>
              </w:rPr>
            </w:pPr>
            <w:r>
              <w:rPr>
                <w:rStyle w:val="fins-bold-italics"/>
                <w:rFonts w:cs="Times New Roman"/>
              </w:rPr>
              <w:t>Notes:</w:t>
            </w:r>
          </w:p>
          <w:p w14:paraId="06F0DC2B" w14:textId="77777777" w:rsidR="00C57C9F" w:rsidRDefault="00C57C9F" w:rsidP="006F421D">
            <w:pPr>
              <w:pStyle w:val="3fins-table"/>
              <w:ind w:left="284" w:hanging="284"/>
              <w:rPr>
                <w:rFonts w:cs="Times New Roman"/>
              </w:rPr>
            </w:pPr>
            <w:r>
              <w:rPr>
                <w:rFonts w:cs="Times New Roman"/>
              </w:rPr>
              <w:t>1.  Note 14A is prepared on an accruals basis. Therefore, the performance bonuses expenses disclosed above may differ from the cash bonus paid in Note 14B.</w:t>
            </w:r>
          </w:p>
          <w:p w14:paraId="613B03C2" w14:textId="77777777" w:rsidR="00C57C9F" w:rsidRDefault="00C57C9F" w:rsidP="006F421D">
            <w:pPr>
              <w:pStyle w:val="3fins-table"/>
              <w:ind w:left="284" w:hanging="284"/>
              <w:rPr>
                <w:rFonts w:cs="Times New Roman"/>
              </w:rPr>
            </w:pPr>
            <w:r>
              <w:rPr>
                <w:rFonts w:cs="Times New Roman"/>
              </w:rPr>
              <w:t>2.  Note 14A excludes acting arrangements and part-year service where remuneration expensed for a senior executive was less than $195,000.</w:t>
            </w:r>
          </w:p>
        </w:tc>
      </w:tr>
    </w:tbl>
    <w:p w14:paraId="5A85CDF7" w14:textId="77777777" w:rsidR="00C57C9F" w:rsidRDefault="00C57C9F">
      <w:pPr>
        <w:pStyle w:val="1heading-3"/>
        <w:divId w:val="1450737271"/>
        <w:rPr>
          <w:rFonts w:cs="Times New Roman"/>
          <w:lang w:val="en-AU"/>
        </w:rPr>
      </w:pPr>
    </w:p>
    <w:p w14:paraId="5A3B54FF" w14:textId="77777777" w:rsidR="00C57C9F" w:rsidRDefault="00C57C9F">
      <w:pPr>
        <w:rPr>
          <w:rFonts w:cs="Times New Roman"/>
          <w:b/>
          <w:sz w:val="24"/>
        </w:rPr>
      </w:pPr>
      <w:r>
        <w:rPr>
          <w:rFonts w:cs="Times New Roman"/>
        </w:rPr>
        <w:br w:type="page"/>
      </w:r>
    </w:p>
    <w:p w14:paraId="3138936E" w14:textId="77777777" w:rsidR="00C57C9F" w:rsidRDefault="00C57C9F">
      <w:pPr>
        <w:pStyle w:val="1heading-3"/>
        <w:divId w:val="1450737271"/>
        <w:rPr>
          <w:rFonts w:cs="Times New Roman"/>
          <w:lang w:val="en-AU"/>
        </w:rPr>
      </w:pPr>
      <w:r>
        <w:rPr>
          <w:rFonts w:cs="Times New Roman"/>
          <w:lang w:val="en-AU"/>
        </w:rPr>
        <w:lastRenderedPageBreak/>
        <w:t>Note 14B: Average Annual Reportable Remuneration Paid to Substantive Senior Executives During the Reporting Period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50"/>
        <w:gridCol w:w="1318"/>
        <w:gridCol w:w="1325"/>
        <w:gridCol w:w="2004"/>
        <w:gridCol w:w="1543"/>
        <w:gridCol w:w="851"/>
        <w:gridCol w:w="798"/>
      </w:tblGrid>
      <w:tr w:rsidR="00C57C9F" w14:paraId="6AA90F24" w14:textId="77777777" w:rsidTr="006F421D">
        <w:trPr>
          <w:divId w:val="1450737271"/>
          <w:tblCellSpacing w:w="15" w:type="dxa"/>
        </w:trPr>
        <w:tc>
          <w:tcPr>
            <w:tcW w:w="0" w:type="auto"/>
            <w:vAlign w:val="center"/>
            <w:hideMark/>
          </w:tcPr>
          <w:p w14:paraId="627C9FCD" w14:textId="77777777" w:rsidR="00C57C9F" w:rsidRDefault="00C57C9F">
            <w:pPr>
              <w:rPr>
                <w:rFonts w:eastAsia="Times New Roman" w:cs="Times New Roman"/>
              </w:rPr>
            </w:pPr>
          </w:p>
        </w:tc>
        <w:tc>
          <w:tcPr>
            <w:tcW w:w="0" w:type="auto"/>
            <w:gridSpan w:val="6"/>
            <w:tcBorders>
              <w:bottom w:val="single" w:sz="4" w:space="0" w:color="0D0D0D" w:themeColor="text1" w:themeTint="F2"/>
            </w:tcBorders>
            <w:vAlign w:val="center"/>
            <w:hideMark/>
          </w:tcPr>
          <w:p w14:paraId="620B6831" w14:textId="77777777" w:rsidR="00C57C9F" w:rsidRDefault="00C57C9F" w:rsidP="006F421D">
            <w:pPr>
              <w:pStyle w:val="3fins-table-figures-c"/>
              <w:jc w:val="center"/>
              <w:rPr>
                <w:rFonts w:cs="Times New Roman"/>
              </w:rPr>
            </w:pPr>
            <w:r>
              <w:rPr>
                <w:rStyle w:val="fins-bold"/>
                <w:rFonts w:cs="Times New Roman"/>
              </w:rPr>
              <w:t>2014</w:t>
            </w:r>
          </w:p>
        </w:tc>
      </w:tr>
      <w:tr w:rsidR="00C57C9F" w14:paraId="11BC9BEA" w14:textId="77777777">
        <w:trPr>
          <w:divId w:val="1450737271"/>
          <w:tblCellSpacing w:w="15" w:type="dxa"/>
        </w:trPr>
        <w:tc>
          <w:tcPr>
            <w:tcW w:w="0" w:type="auto"/>
            <w:vAlign w:val="center"/>
            <w:hideMark/>
          </w:tcPr>
          <w:p w14:paraId="72B6D521" w14:textId="77777777" w:rsidR="00C57C9F" w:rsidRDefault="00C57C9F">
            <w:pPr>
              <w:pStyle w:val="3fins-table"/>
              <w:rPr>
                <w:rFonts w:cs="Times New Roman"/>
              </w:rPr>
            </w:pPr>
            <w:r>
              <w:rPr>
                <w:rStyle w:val="fins-bold"/>
                <w:rFonts w:cs="Times New Roman"/>
              </w:rPr>
              <w:t>Average annual reportable remuneration</w:t>
            </w:r>
            <w:r>
              <w:rPr>
                <w:rStyle w:val="superscript"/>
                <w:rFonts w:cs="Times New Roman"/>
              </w:rPr>
              <w:t>1</w:t>
            </w:r>
          </w:p>
        </w:tc>
        <w:tc>
          <w:tcPr>
            <w:tcW w:w="0" w:type="auto"/>
            <w:vAlign w:val="center"/>
            <w:hideMark/>
          </w:tcPr>
          <w:p w14:paraId="6B1B5942" w14:textId="77777777" w:rsidR="00C57C9F" w:rsidRDefault="00C57C9F" w:rsidP="006F421D">
            <w:pPr>
              <w:pStyle w:val="3fins-table-figures"/>
              <w:jc w:val="right"/>
              <w:rPr>
                <w:rFonts w:cs="Times New Roman"/>
              </w:rPr>
            </w:pPr>
            <w:r>
              <w:rPr>
                <w:rStyle w:val="fins-bold"/>
                <w:rFonts w:cs="Times New Roman"/>
              </w:rPr>
              <w:t>Senior Executives</w:t>
            </w:r>
          </w:p>
        </w:tc>
        <w:tc>
          <w:tcPr>
            <w:tcW w:w="0" w:type="auto"/>
            <w:vAlign w:val="center"/>
            <w:hideMark/>
          </w:tcPr>
          <w:p w14:paraId="133C2600" w14:textId="77777777" w:rsidR="00C57C9F" w:rsidRDefault="00C57C9F" w:rsidP="006F421D">
            <w:pPr>
              <w:pStyle w:val="3fins-table-figures"/>
              <w:jc w:val="right"/>
              <w:rPr>
                <w:rFonts w:cs="Times New Roman"/>
              </w:rPr>
            </w:pPr>
            <w:r>
              <w:rPr>
                <w:rStyle w:val="fins-bold"/>
                <w:rFonts w:cs="Times New Roman"/>
              </w:rPr>
              <w:t>Reportable salary</w:t>
            </w:r>
            <w:r>
              <w:rPr>
                <w:rStyle w:val="superscript"/>
                <w:rFonts w:cs="Times New Roman"/>
              </w:rPr>
              <w:t>2</w:t>
            </w:r>
          </w:p>
        </w:tc>
        <w:tc>
          <w:tcPr>
            <w:tcW w:w="0" w:type="auto"/>
            <w:vAlign w:val="center"/>
            <w:hideMark/>
          </w:tcPr>
          <w:p w14:paraId="058A8C92" w14:textId="77777777" w:rsidR="00C57C9F" w:rsidRDefault="00C57C9F" w:rsidP="006F421D">
            <w:pPr>
              <w:pStyle w:val="3fins-table-figures"/>
              <w:jc w:val="right"/>
              <w:rPr>
                <w:rFonts w:cs="Times New Roman"/>
              </w:rPr>
            </w:pPr>
            <w:r>
              <w:rPr>
                <w:rStyle w:val="fins-bold"/>
                <w:rFonts w:cs="Times New Roman"/>
              </w:rPr>
              <w:t>Contributed superannuation</w:t>
            </w:r>
            <w:r>
              <w:rPr>
                <w:rStyle w:val="superscript"/>
                <w:rFonts w:cs="Times New Roman"/>
              </w:rPr>
              <w:t>3</w:t>
            </w:r>
          </w:p>
        </w:tc>
        <w:tc>
          <w:tcPr>
            <w:tcW w:w="0" w:type="auto"/>
            <w:vAlign w:val="center"/>
            <w:hideMark/>
          </w:tcPr>
          <w:p w14:paraId="2F3F63DA" w14:textId="77777777" w:rsidR="00C57C9F" w:rsidRDefault="00C57C9F" w:rsidP="006F421D">
            <w:pPr>
              <w:pStyle w:val="3fins-table-figures"/>
              <w:jc w:val="right"/>
              <w:rPr>
                <w:rFonts w:cs="Times New Roman"/>
              </w:rPr>
            </w:pPr>
            <w:r>
              <w:rPr>
                <w:rStyle w:val="fins-bold"/>
                <w:rFonts w:cs="Times New Roman"/>
              </w:rPr>
              <w:t>Reportable allowances</w:t>
            </w:r>
            <w:r>
              <w:rPr>
                <w:rStyle w:val="superscript"/>
                <w:rFonts w:cs="Times New Roman"/>
              </w:rPr>
              <w:t>4</w:t>
            </w:r>
          </w:p>
        </w:tc>
        <w:tc>
          <w:tcPr>
            <w:tcW w:w="0" w:type="auto"/>
            <w:vAlign w:val="center"/>
            <w:hideMark/>
          </w:tcPr>
          <w:p w14:paraId="2DE67F7C" w14:textId="77777777" w:rsidR="00C57C9F" w:rsidRDefault="00C57C9F" w:rsidP="006F421D">
            <w:pPr>
              <w:pStyle w:val="3fins-table-figures"/>
              <w:jc w:val="right"/>
              <w:rPr>
                <w:rFonts w:cs="Times New Roman"/>
              </w:rPr>
            </w:pPr>
            <w:r>
              <w:rPr>
                <w:rStyle w:val="fins-bold"/>
                <w:rFonts w:cs="Times New Roman"/>
              </w:rPr>
              <w:t>Bonus paid</w:t>
            </w:r>
            <w:r>
              <w:rPr>
                <w:rStyle w:val="superscript"/>
                <w:rFonts w:cs="Times New Roman"/>
              </w:rPr>
              <w:t>5</w:t>
            </w:r>
          </w:p>
        </w:tc>
        <w:tc>
          <w:tcPr>
            <w:tcW w:w="0" w:type="auto"/>
            <w:vAlign w:val="center"/>
            <w:hideMark/>
          </w:tcPr>
          <w:p w14:paraId="7EB570FD" w14:textId="77777777" w:rsidR="00C57C9F" w:rsidRDefault="00C57C9F" w:rsidP="006F421D">
            <w:pPr>
              <w:pStyle w:val="3fins-table-figures"/>
              <w:jc w:val="right"/>
              <w:rPr>
                <w:rFonts w:cs="Times New Roman"/>
              </w:rPr>
            </w:pPr>
            <w:r>
              <w:rPr>
                <w:rStyle w:val="fins-bold"/>
                <w:rFonts w:cs="Times New Roman"/>
              </w:rPr>
              <w:t>Total</w:t>
            </w:r>
          </w:p>
        </w:tc>
      </w:tr>
      <w:tr w:rsidR="00C57C9F" w14:paraId="628A60BB" w14:textId="77777777" w:rsidTr="006F421D">
        <w:trPr>
          <w:divId w:val="1450737271"/>
          <w:tblCellSpacing w:w="15" w:type="dxa"/>
        </w:trPr>
        <w:tc>
          <w:tcPr>
            <w:tcW w:w="0" w:type="auto"/>
            <w:tcBorders>
              <w:bottom w:val="single" w:sz="4" w:space="0" w:color="0D0D0D" w:themeColor="text1" w:themeTint="F2"/>
            </w:tcBorders>
            <w:vAlign w:val="center"/>
            <w:hideMark/>
          </w:tcPr>
          <w:p w14:paraId="0BB6192E" w14:textId="77777777" w:rsidR="00C57C9F" w:rsidRDefault="00C57C9F">
            <w:pPr>
              <w:rPr>
                <w:rFonts w:eastAsia="Times New Roman" w:cs="Times New Roman"/>
              </w:rPr>
            </w:pPr>
          </w:p>
        </w:tc>
        <w:tc>
          <w:tcPr>
            <w:tcW w:w="0" w:type="auto"/>
            <w:tcBorders>
              <w:bottom w:val="single" w:sz="4" w:space="0" w:color="0D0D0D" w:themeColor="text1" w:themeTint="F2"/>
            </w:tcBorders>
            <w:vAlign w:val="center"/>
            <w:hideMark/>
          </w:tcPr>
          <w:p w14:paraId="63F0C3E3" w14:textId="77777777" w:rsidR="00C57C9F" w:rsidRDefault="00C57C9F" w:rsidP="006F421D">
            <w:pPr>
              <w:pStyle w:val="3fins-table-figures"/>
              <w:jc w:val="right"/>
              <w:rPr>
                <w:rFonts w:cs="Times New Roman"/>
              </w:rPr>
            </w:pPr>
            <w:r>
              <w:rPr>
                <w:rStyle w:val="fins-bold"/>
                <w:rFonts w:cs="Times New Roman"/>
              </w:rPr>
              <w:t>No.</w:t>
            </w:r>
          </w:p>
        </w:tc>
        <w:tc>
          <w:tcPr>
            <w:tcW w:w="0" w:type="auto"/>
            <w:tcBorders>
              <w:bottom w:val="single" w:sz="4" w:space="0" w:color="0D0D0D" w:themeColor="text1" w:themeTint="F2"/>
            </w:tcBorders>
            <w:vAlign w:val="center"/>
            <w:hideMark/>
          </w:tcPr>
          <w:p w14:paraId="2697D4ED"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29D04C6F"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37110AFA"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23DEEBB1"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3A04BB18" w14:textId="77777777" w:rsidR="00C57C9F" w:rsidRDefault="00C57C9F" w:rsidP="006F421D">
            <w:pPr>
              <w:pStyle w:val="3fins-table-figures"/>
              <w:jc w:val="right"/>
              <w:rPr>
                <w:rFonts w:cs="Times New Roman"/>
              </w:rPr>
            </w:pPr>
            <w:r>
              <w:rPr>
                <w:rStyle w:val="fins-bold"/>
                <w:rFonts w:cs="Times New Roman"/>
              </w:rPr>
              <w:t>$</w:t>
            </w:r>
          </w:p>
        </w:tc>
      </w:tr>
      <w:tr w:rsidR="00C57C9F" w14:paraId="69E86D64" w14:textId="77777777">
        <w:trPr>
          <w:divId w:val="1450737271"/>
          <w:tblCellSpacing w:w="15" w:type="dxa"/>
        </w:trPr>
        <w:tc>
          <w:tcPr>
            <w:tcW w:w="0" w:type="auto"/>
            <w:vAlign w:val="center"/>
            <w:hideMark/>
          </w:tcPr>
          <w:p w14:paraId="71ADDE0A" w14:textId="77777777" w:rsidR="00C57C9F" w:rsidRDefault="00C57C9F">
            <w:pPr>
              <w:pStyle w:val="3fins-table"/>
              <w:rPr>
                <w:rFonts w:cs="Times New Roman"/>
              </w:rPr>
            </w:pPr>
            <w:r>
              <w:rPr>
                <w:rStyle w:val="fins-bold"/>
                <w:rFonts w:cs="Times New Roman"/>
              </w:rPr>
              <w:t>Total remuneration (including part-time arrangements):</w:t>
            </w:r>
          </w:p>
        </w:tc>
        <w:tc>
          <w:tcPr>
            <w:tcW w:w="0" w:type="auto"/>
            <w:vAlign w:val="center"/>
            <w:hideMark/>
          </w:tcPr>
          <w:p w14:paraId="362C2C5B" w14:textId="77777777" w:rsidR="00C57C9F" w:rsidRDefault="00C57C9F" w:rsidP="006F421D">
            <w:pPr>
              <w:jc w:val="right"/>
              <w:rPr>
                <w:rFonts w:eastAsia="Times New Roman" w:cs="Times New Roman"/>
              </w:rPr>
            </w:pPr>
          </w:p>
        </w:tc>
        <w:tc>
          <w:tcPr>
            <w:tcW w:w="0" w:type="auto"/>
            <w:vAlign w:val="center"/>
            <w:hideMark/>
          </w:tcPr>
          <w:p w14:paraId="57AE6950" w14:textId="77777777" w:rsidR="00C57C9F" w:rsidRDefault="00C57C9F" w:rsidP="006F421D">
            <w:pPr>
              <w:jc w:val="right"/>
              <w:rPr>
                <w:rFonts w:eastAsia="Times New Roman" w:cs="Times New Roman"/>
              </w:rPr>
            </w:pPr>
          </w:p>
        </w:tc>
        <w:tc>
          <w:tcPr>
            <w:tcW w:w="0" w:type="auto"/>
            <w:vAlign w:val="center"/>
            <w:hideMark/>
          </w:tcPr>
          <w:p w14:paraId="590AFC20" w14:textId="77777777" w:rsidR="00C57C9F" w:rsidRDefault="00C57C9F" w:rsidP="006F421D">
            <w:pPr>
              <w:jc w:val="right"/>
              <w:rPr>
                <w:rFonts w:eastAsia="Times New Roman" w:cs="Times New Roman"/>
              </w:rPr>
            </w:pPr>
          </w:p>
        </w:tc>
        <w:tc>
          <w:tcPr>
            <w:tcW w:w="0" w:type="auto"/>
            <w:vAlign w:val="center"/>
            <w:hideMark/>
          </w:tcPr>
          <w:p w14:paraId="15773E34" w14:textId="77777777" w:rsidR="00C57C9F" w:rsidRDefault="00C57C9F" w:rsidP="006F421D">
            <w:pPr>
              <w:jc w:val="right"/>
              <w:rPr>
                <w:rFonts w:eastAsia="Times New Roman" w:cs="Times New Roman"/>
              </w:rPr>
            </w:pPr>
          </w:p>
        </w:tc>
        <w:tc>
          <w:tcPr>
            <w:tcW w:w="0" w:type="auto"/>
            <w:vAlign w:val="center"/>
            <w:hideMark/>
          </w:tcPr>
          <w:p w14:paraId="1A9A1DEB" w14:textId="77777777" w:rsidR="00C57C9F" w:rsidRDefault="00C57C9F" w:rsidP="006F421D">
            <w:pPr>
              <w:jc w:val="right"/>
              <w:rPr>
                <w:rFonts w:eastAsia="Times New Roman" w:cs="Times New Roman"/>
              </w:rPr>
            </w:pPr>
          </w:p>
        </w:tc>
        <w:tc>
          <w:tcPr>
            <w:tcW w:w="0" w:type="auto"/>
            <w:vAlign w:val="center"/>
            <w:hideMark/>
          </w:tcPr>
          <w:p w14:paraId="257A8FB9" w14:textId="77777777" w:rsidR="00C57C9F" w:rsidRDefault="00C57C9F" w:rsidP="006F421D">
            <w:pPr>
              <w:jc w:val="right"/>
              <w:rPr>
                <w:rFonts w:eastAsia="Times New Roman" w:cs="Times New Roman"/>
              </w:rPr>
            </w:pPr>
          </w:p>
        </w:tc>
      </w:tr>
      <w:tr w:rsidR="00C57C9F" w14:paraId="7929DE8F" w14:textId="77777777">
        <w:trPr>
          <w:divId w:val="1450737271"/>
          <w:tblCellSpacing w:w="15" w:type="dxa"/>
        </w:trPr>
        <w:tc>
          <w:tcPr>
            <w:tcW w:w="0" w:type="auto"/>
            <w:vAlign w:val="center"/>
            <w:hideMark/>
          </w:tcPr>
          <w:p w14:paraId="14B99695" w14:textId="77777777" w:rsidR="00C57C9F" w:rsidRDefault="00C57C9F" w:rsidP="006F421D">
            <w:pPr>
              <w:pStyle w:val="3fins-table"/>
              <w:ind w:left="284"/>
              <w:rPr>
                <w:rFonts w:cs="Times New Roman"/>
              </w:rPr>
            </w:pPr>
            <w:r>
              <w:rPr>
                <w:rFonts w:cs="Times New Roman"/>
              </w:rPr>
              <w:t>less than $195,000</w:t>
            </w:r>
          </w:p>
        </w:tc>
        <w:tc>
          <w:tcPr>
            <w:tcW w:w="0" w:type="auto"/>
            <w:vAlign w:val="center"/>
            <w:hideMark/>
          </w:tcPr>
          <w:p w14:paraId="2ED29245" w14:textId="77777777" w:rsidR="00C57C9F" w:rsidRDefault="00C57C9F" w:rsidP="006F421D">
            <w:pPr>
              <w:pStyle w:val="3fins-table-figures"/>
              <w:jc w:val="right"/>
              <w:rPr>
                <w:rFonts w:cs="Times New Roman"/>
              </w:rPr>
            </w:pPr>
            <w:r>
              <w:rPr>
                <w:rStyle w:val="fins-bold"/>
                <w:rFonts w:cs="Times New Roman"/>
              </w:rPr>
              <w:t xml:space="preserve">2 </w:t>
            </w:r>
          </w:p>
        </w:tc>
        <w:tc>
          <w:tcPr>
            <w:tcW w:w="0" w:type="auto"/>
            <w:vAlign w:val="center"/>
            <w:hideMark/>
          </w:tcPr>
          <w:p w14:paraId="5F42271F" w14:textId="77777777" w:rsidR="00C57C9F" w:rsidRDefault="00C57C9F" w:rsidP="006F421D">
            <w:pPr>
              <w:pStyle w:val="3fins-table-figures"/>
              <w:jc w:val="right"/>
              <w:rPr>
                <w:rFonts w:cs="Times New Roman"/>
              </w:rPr>
            </w:pPr>
            <w:r>
              <w:rPr>
                <w:rStyle w:val="fins-bold"/>
                <w:rFonts w:cs="Times New Roman"/>
              </w:rPr>
              <w:t xml:space="preserve">23,714 </w:t>
            </w:r>
          </w:p>
        </w:tc>
        <w:tc>
          <w:tcPr>
            <w:tcW w:w="0" w:type="auto"/>
            <w:vAlign w:val="center"/>
            <w:hideMark/>
          </w:tcPr>
          <w:p w14:paraId="07E3CA19" w14:textId="77777777" w:rsidR="00C57C9F" w:rsidRDefault="00C57C9F" w:rsidP="006F421D">
            <w:pPr>
              <w:pStyle w:val="3fins-table-figures"/>
              <w:jc w:val="right"/>
              <w:rPr>
                <w:rFonts w:cs="Times New Roman"/>
              </w:rPr>
            </w:pPr>
            <w:r>
              <w:rPr>
                <w:rStyle w:val="fins-bold"/>
                <w:rFonts w:cs="Times New Roman"/>
              </w:rPr>
              <w:t xml:space="preserve">443 </w:t>
            </w:r>
          </w:p>
        </w:tc>
        <w:tc>
          <w:tcPr>
            <w:tcW w:w="0" w:type="auto"/>
            <w:vAlign w:val="center"/>
            <w:hideMark/>
          </w:tcPr>
          <w:p w14:paraId="48CCE1E5" w14:textId="77777777" w:rsidR="00C57C9F" w:rsidRDefault="00C57C9F" w:rsidP="006F421D">
            <w:pPr>
              <w:pStyle w:val="3fins-table-figures"/>
              <w:jc w:val="right"/>
              <w:rPr>
                <w:rFonts w:cs="Times New Roman"/>
              </w:rPr>
            </w:pPr>
            <w:r>
              <w:rPr>
                <w:rStyle w:val="fins-bold"/>
                <w:rFonts w:cs="Times New Roman"/>
              </w:rPr>
              <w:t>–</w:t>
            </w:r>
          </w:p>
        </w:tc>
        <w:tc>
          <w:tcPr>
            <w:tcW w:w="0" w:type="auto"/>
            <w:vAlign w:val="center"/>
            <w:hideMark/>
          </w:tcPr>
          <w:p w14:paraId="7702EC99" w14:textId="77777777" w:rsidR="00C57C9F" w:rsidRDefault="00C57C9F" w:rsidP="006F421D">
            <w:pPr>
              <w:pStyle w:val="3fins-table-figures"/>
              <w:jc w:val="right"/>
              <w:rPr>
                <w:rFonts w:cs="Times New Roman"/>
              </w:rPr>
            </w:pPr>
            <w:r>
              <w:rPr>
                <w:rStyle w:val="fins-bold"/>
                <w:rFonts w:cs="Times New Roman"/>
              </w:rPr>
              <w:t>–</w:t>
            </w:r>
          </w:p>
        </w:tc>
        <w:tc>
          <w:tcPr>
            <w:tcW w:w="0" w:type="auto"/>
            <w:vAlign w:val="center"/>
            <w:hideMark/>
          </w:tcPr>
          <w:p w14:paraId="463BA4B0" w14:textId="77777777" w:rsidR="00C57C9F" w:rsidRDefault="00C57C9F" w:rsidP="006F421D">
            <w:pPr>
              <w:pStyle w:val="3fins-table-figures"/>
              <w:jc w:val="right"/>
              <w:rPr>
                <w:rFonts w:cs="Times New Roman"/>
              </w:rPr>
            </w:pPr>
            <w:r>
              <w:rPr>
                <w:rStyle w:val="fins-bold"/>
                <w:rFonts w:cs="Times New Roman"/>
              </w:rPr>
              <w:t xml:space="preserve">24,157 </w:t>
            </w:r>
          </w:p>
        </w:tc>
      </w:tr>
      <w:tr w:rsidR="00C57C9F" w14:paraId="5196B51A" w14:textId="77777777">
        <w:trPr>
          <w:divId w:val="1450737271"/>
          <w:tblCellSpacing w:w="15" w:type="dxa"/>
        </w:trPr>
        <w:tc>
          <w:tcPr>
            <w:tcW w:w="0" w:type="auto"/>
            <w:vAlign w:val="center"/>
            <w:hideMark/>
          </w:tcPr>
          <w:p w14:paraId="564BFFFF" w14:textId="77777777" w:rsidR="00C57C9F" w:rsidRDefault="00C57C9F" w:rsidP="006F421D">
            <w:pPr>
              <w:pStyle w:val="3fins-table"/>
              <w:ind w:left="284"/>
              <w:rPr>
                <w:rFonts w:cs="Times New Roman"/>
              </w:rPr>
            </w:pPr>
            <w:r>
              <w:rPr>
                <w:rFonts w:cs="Times New Roman"/>
              </w:rPr>
              <w:t>$225,000 to $254,999</w:t>
            </w:r>
          </w:p>
        </w:tc>
        <w:tc>
          <w:tcPr>
            <w:tcW w:w="0" w:type="auto"/>
            <w:vAlign w:val="center"/>
            <w:hideMark/>
          </w:tcPr>
          <w:p w14:paraId="3CA8B0C7" w14:textId="77777777" w:rsidR="00C57C9F" w:rsidRDefault="00C57C9F" w:rsidP="006F421D">
            <w:pPr>
              <w:pStyle w:val="3fins-table-figures"/>
              <w:jc w:val="right"/>
              <w:rPr>
                <w:rFonts w:cs="Times New Roman"/>
              </w:rPr>
            </w:pPr>
            <w:r>
              <w:rPr>
                <w:rStyle w:val="fins-bold"/>
                <w:rFonts w:cs="Times New Roman"/>
              </w:rPr>
              <w:t>1</w:t>
            </w:r>
          </w:p>
        </w:tc>
        <w:tc>
          <w:tcPr>
            <w:tcW w:w="0" w:type="auto"/>
            <w:vAlign w:val="center"/>
            <w:hideMark/>
          </w:tcPr>
          <w:p w14:paraId="2E92A5A6" w14:textId="77777777" w:rsidR="00C57C9F" w:rsidRDefault="00C57C9F" w:rsidP="006F421D">
            <w:pPr>
              <w:pStyle w:val="3fins-table-figures"/>
              <w:jc w:val="right"/>
              <w:rPr>
                <w:rFonts w:cs="Times New Roman"/>
              </w:rPr>
            </w:pPr>
            <w:r>
              <w:rPr>
                <w:rStyle w:val="fins-bold"/>
                <w:rFonts w:cs="Times New Roman"/>
              </w:rPr>
              <w:t xml:space="preserve">172,248 </w:t>
            </w:r>
          </w:p>
        </w:tc>
        <w:tc>
          <w:tcPr>
            <w:tcW w:w="0" w:type="auto"/>
            <w:vAlign w:val="center"/>
            <w:hideMark/>
          </w:tcPr>
          <w:p w14:paraId="4AE9A599" w14:textId="77777777" w:rsidR="00C57C9F" w:rsidRDefault="00C57C9F" w:rsidP="006F421D">
            <w:pPr>
              <w:pStyle w:val="3fins-table-figures"/>
              <w:jc w:val="right"/>
              <w:rPr>
                <w:rFonts w:cs="Times New Roman"/>
              </w:rPr>
            </w:pPr>
            <w:r>
              <w:rPr>
                <w:rStyle w:val="fins-bold"/>
                <w:rFonts w:cs="Times New Roman"/>
              </w:rPr>
              <w:t xml:space="preserve">29,044 </w:t>
            </w:r>
          </w:p>
        </w:tc>
        <w:tc>
          <w:tcPr>
            <w:tcW w:w="0" w:type="auto"/>
            <w:vAlign w:val="center"/>
            <w:hideMark/>
          </w:tcPr>
          <w:p w14:paraId="0082C5B0" w14:textId="77777777" w:rsidR="00C57C9F" w:rsidRDefault="00C57C9F" w:rsidP="006F421D">
            <w:pPr>
              <w:pStyle w:val="3fins-table-figures"/>
              <w:jc w:val="right"/>
              <w:rPr>
                <w:rFonts w:cs="Times New Roman"/>
              </w:rPr>
            </w:pPr>
            <w:r>
              <w:rPr>
                <w:rStyle w:val="fins-bold"/>
                <w:rFonts w:cs="Times New Roman"/>
              </w:rPr>
              <w:t>–</w:t>
            </w:r>
          </w:p>
        </w:tc>
        <w:tc>
          <w:tcPr>
            <w:tcW w:w="0" w:type="auto"/>
            <w:vAlign w:val="center"/>
            <w:hideMark/>
          </w:tcPr>
          <w:p w14:paraId="33E6A204" w14:textId="77777777" w:rsidR="00C57C9F" w:rsidRDefault="00C57C9F" w:rsidP="006F421D">
            <w:pPr>
              <w:pStyle w:val="3fins-table-figures"/>
              <w:jc w:val="right"/>
              <w:rPr>
                <w:rFonts w:cs="Times New Roman"/>
              </w:rPr>
            </w:pPr>
            <w:r>
              <w:rPr>
                <w:rStyle w:val="fins-bold"/>
                <w:rFonts w:cs="Times New Roman"/>
              </w:rPr>
              <w:t xml:space="preserve">24,750 </w:t>
            </w:r>
          </w:p>
        </w:tc>
        <w:tc>
          <w:tcPr>
            <w:tcW w:w="0" w:type="auto"/>
            <w:vAlign w:val="center"/>
            <w:hideMark/>
          </w:tcPr>
          <w:p w14:paraId="31E24C52" w14:textId="77777777" w:rsidR="00C57C9F" w:rsidRDefault="00C57C9F" w:rsidP="006F421D">
            <w:pPr>
              <w:pStyle w:val="3fins-table-figures"/>
              <w:jc w:val="right"/>
              <w:rPr>
                <w:rFonts w:cs="Times New Roman"/>
              </w:rPr>
            </w:pPr>
            <w:r>
              <w:rPr>
                <w:rStyle w:val="fins-bold"/>
                <w:rFonts w:cs="Times New Roman"/>
              </w:rPr>
              <w:t xml:space="preserve">226,042 </w:t>
            </w:r>
          </w:p>
        </w:tc>
      </w:tr>
      <w:tr w:rsidR="00C57C9F" w14:paraId="70FBA201" w14:textId="77777777">
        <w:trPr>
          <w:divId w:val="1450737271"/>
          <w:tblCellSpacing w:w="15" w:type="dxa"/>
        </w:trPr>
        <w:tc>
          <w:tcPr>
            <w:tcW w:w="0" w:type="auto"/>
            <w:vAlign w:val="center"/>
            <w:hideMark/>
          </w:tcPr>
          <w:p w14:paraId="1DAE7755" w14:textId="77777777" w:rsidR="00C57C9F" w:rsidRDefault="00C57C9F" w:rsidP="006F421D">
            <w:pPr>
              <w:pStyle w:val="3fins-table"/>
              <w:ind w:left="284"/>
              <w:rPr>
                <w:rFonts w:cs="Times New Roman"/>
              </w:rPr>
            </w:pPr>
            <w:r>
              <w:rPr>
                <w:rFonts w:cs="Times New Roman"/>
              </w:rPr>
              <w:t>$255,000 to $284,999</w:t>
            </w:r>
          </w:p>
        </w:tc>
        <w:tc>
          <w:tcPr>
            <w:tcW w:w="0" w:type="auto"/>
            <w:vAlign w:val="center"/>
            <w:hideMark/>
          </w:tcPr>
          <w:p w14:paraId="4924C19C" w14:textId="77777777" w:rsidR="00C57C9F" w:rsidRDefault="00C57C9F" w:rsidP="006F421D">
            <w:pPr>
              <w:pStyle w:val="3fins-table-figures"/>
              <w:jc w:val="right"/>
              <w:rPr>
                <w:rFonts w:cs="Times New Roman"/>
              </w:rPr>
            </w:pPr>
            <w:r>
              <w:rPr>
                <w:rStyle w:val="fins-bold"/>
                <w:rFonts w:cs="Times New Roman"/>
              </w:rPr>
              <w:t>1</w:t>
            </w:r>
          </w:p>
        </w:tc>
        <w:tc>
          <w:tcPr>
            <w:tcW w:w="0" w:type="auto"/>
            <w:vAlign w:val="center"/>
            <w:hideMark/>
          </w:tcPr>
          <w:p w14:paraId="22244D53" w14:textId="77777777" w:rsidR="00C57C9F" w:rsidRDefault="00C57C9F" w:rsidP="006F421D">
            <w:pPr>
              <w:pStyle w:val="3fins-table-figures"/>
              <w:jc w:val="right"/>
              <w:rPr>
                <w:rFonts w:cs="Times New Roman"/>
              </w:rPr>
            </w:pPr>
            <w:r>
              <w:rPr>
                <w:rStyle w:val="fins-bold"/>
                <w:rFonts w:cs="Times New Roman"/>
              </w:rPr>
              <w:t xml:space="preserve">219,350 </w:t>
            </w:r>
          </w:p>
        </w:tc>
        <w:tc>
          <w:tcPr>
            <w:tcW w:w="0" w:type="auto"/>
            <w:vAlign w:val="center"/>
            <w:hideMark/>
          </w:tcPr>
          <w:p w14:paraId="65B71FD9" w14:textId="77777777" w:rsidR="00C57C9F" w:rsidRDefault="00C57C9F" w:rsidP="006F421D">
            <w:pPr>
              <w:pStyle w:val="3fins-table-figures"/>
              <w:jc w:val="right"/>
              <w:rPr>
                <w:rFonts w:cs="Times New Roman"/>
              </w:rPr>
            </w:pPr>
            <w:r>
              <w:rPr>
                <w:rStyle w:val="fins-bold"/>
                <w:rFonts w:cs="Times New Roman"/>
              </w:rPr>
              <w:t xml:space="preserve">37,498 </w:t>
            </w:r>
          </w:p>
        </w:tc>
        <w:tc>
          <w:tcPr>
            <w:tcW w:w="0" w:type="auto"/>
            <w:vAlign w:val="center"/>
            <w:hideMark/>
          </w:tcPr>
          <w:p w14:paraId="3D4DB899" w14:textId="77777777" w:rsidR="00C57C9F" w:rsidRDefault="00C57C9F" w:rsidP="006F421D">
            <w:pPr>
              <w:pStyle w:val="3fins-table-figures"/>
              <w:jc w:val="right"/>
              <w:rPr>
                <w:rFonts w:cs="Times New Roman"/>
              </w:rPr>
            </w:pPr>
            <w:r>
              <w:rPr>
                <w:rStyle w:val="fins-bold"/>
                <w:rFonts w:cs="Times New Roman"/>
              </w:rPr>
              <w:t xml:space="preserve">33 </w:t>
            </w:r>
          </w:p>
        </w:tc>
        <w:tc>
          <w:tcPr>
            <w:tcW w:w="0" w:type="auto"/>
            <w:vAlign w:val="center"/>
            <w:hideMark/>
          </w:tcPr>
          <w:p w14:paraId="69AFAD95" w14:textId="77777777" w:rsidR="00C57C9F" w:rsidRDefault="00C57C9F" w:rsidP="006F421D">
            <w:pPr>
              <w:pStyle w:val="3fins-table-figures"/>
              <w:jc w:val="right"/>
              <w:rPr>
                <w:rFonts w:cs="Times New Roman"/>
              </w:rPr>
            </w:pPr>
            <w:r>
              <w:rPr>
                <w:rStyle w:val="fins-bold"/>
                <w:rFonts w:cs="Times New Roman"/>
              </w:rPr>
              <w:t xml:space="preserve">24,200 </w:t>
            </w:r>
          </w:p>
        </w:tc>
        <w:tc>
          <w:tcPr>
            <w:tcW w:w="0" w:type="auto"/>
            <w:vAlign w:val="center"/>
            <w:hideMark/>
          </w:tcPr>
          <w:p w14:paraId="13A30B77" w14:textId="77777777" w:rsidR="00C57C9F" w:rsidRDefault="00C57C9F" w:rsidP="006F421D">
            <w:pPr>
              <w:pStyle w:val="3fins-table-figures"/>
              <w:jc w:val="right"/>
              <w:rPr>
                <w:rFonts w:cs="Times New Roman"/>
              </w:rPr>
            </w:pPr>
            <w:r>
              <w:rPr>
                <w:rStyle w:val="fins-bold"/>
                <w:rFonts w:cs="Times New Roman"/>
              </w:rPr>
              <w:t xml:space="preserve">281,081 </w:t>
            </w:r>
          </w:p>
        </w:tc>
      </w:tr>
      <w:tr w:rsidR="00C57C9F" w14:paraId="283D5FFB" w14:textId="77777777">
        <w:trPr>
          <w:divId w:val="1450737271"/>
          <w:tblCellSpacing w:w="15" w:type="dxa"/>
        </w:trPr>
        <w:tc>
          <w:tcPr>
            <w:tcW w:w="0" w:type="auto"/>
            <w:vAlign w:val="center"/>
            <w:hideMark/>
          </w:tcPr>
          <w:p w14:paraId="0082EF09" w14:textId="77777777" w:rsidR="00C57C9F" w:rsidRDefault="00C57C9F" w:rsidP="006F421D">
            <w:pPr>
              <w:pStyle w:val="3fins-table"/>
              <w:ind w:left="284"/>
              <w:rPr>
                <w:rFonts w:cs="Times New Roman"/>
              </w:rPr>
            </w:pPr>
            <w:r>
              <w:rPr>
                <w:rFonts w:cs="Times New Roman"/>
              </w:rPr>
              <w:t>$285,000 to $314,999</w:t>
            </w:r>
          </w:p>
        </w:tc>
        <w:tc>
          <w:tcPr>
            <w:tcW w:w="0" w:type="auto"/>
            <w:vAlign w:val="center"/>
            <w:hideMark/>
          </w:tcPr>
          <w:p w14:paraId="3A18EAAF" w14:textId="77777777" w:rsidR="00C57C9F" w:rsidRDefault="00C57C9F" w:rsidP="006F421D">
            <w:pPr>
              <w:pStyle w:val="3fins-table-figures"/>
              <w:jc w:val="right"/>
              <w:rPr>
                <w:rFonts w:cs="Times New Roman"/>
              </w:rPr>
            </w:pPr>
            <w:r>
              <w:rPr>
                <w:rStyle w:val="fins-bold"/>
                <w:rFonts w:cs="Times New Roman"/>
              </w:rPr>
              <w:t>1</w:t>
            </w:r>
          </w:p>
        </w:tc>
        <w:tc>
          <w:tcPr>
            <w:tcW w:w="0" w:type="auto"/>
            <w:vAlign w:val="center"/>
            <w:hideMark/>
          </w:tcPr>
          <w:p w14:paraId="68F0212D" w14:textId="77777777" w:rsidR="00C57C9F" w:rsidRDefault="00C57C9F" w:rsidP="006F421D">
            <w:pPr>
              <w:pStyle w:val="3fins-table-figures"/>
              <w:jc w:val="right"/>
              <w:rPr>
                <w:rFonts w:cs="Times New Roman"/>
              </w:rPr>
            </w:pPr>
            <w:r>
              <w:rPr>
                <w:rStyle w:val="fins-bold"/>
                <w:rFonts w:cs="Times New Roman"/>
              </w:rPr>
              <w:t xml:space="preserve">240,201 </w:t>
            </w:r>
          </w:p>
        </w:tc>
        <w:tc>
          <w:tcPr>
            <w:tcW w:w="0" w:type="auto"/>
            <w:vAlign w:val="center"/>
            <w:hideMark/>
          </w:tcPr>
          <w:p w14:paraId="5F35AC57" w14:textId="77777777" w:rsidR="00C57C9F" w:rsidRDefault="00C57C9F" w:rsidP="006F421D">
            <w:pPr>
              <w:pStyle w:val="3fins-table-figures"/>
              <w:jc w:val="right"/>
              <w:rPr>
                <w:rFonts w:cs="Times New Roman"/>
              </w:rPr>
            </w:pPr>
            <w:r>
              <w:rPr>
                <w:rStyle w:val="fins-bold"/>
                <w:rFonts w:cs="Times New Roman"/>
              </w:rPr>
              <w:t xml:space="preserve">40,515 </w:t>
            </w:r>
          </w:p>
        </w:tc>
        <w:tc>
          <w:tcPr>
            <w:tcW w:w="0" w:type="auto"/>
            <w:vAlign w:val="center"/>
            <w:hideMark/>
          </w:tcPr>
          <w:p w14:paraId="29215C26" w14:textId="77777777" w:rsidR="00C57C9F" w:rsidRDefault="00C57C9F" w:rsidP="006F421D">
            <w:pPr>
              <w:pStyle w:val="3fins-table-figures"/>
              <w:jc w:val="right"/>
              <w:rPr>
                <w:rFonts w:cs="Times New Roman"/>
              </w:rPr>
            </w:pPr>
            <w:r>
              <w:rPr>
                <w:rStyle w:val="fins-bold"/>
                <w:rFonts w:cs="Times New Roman"/>
              </w:rPr>
              <w:t xml:space="preserve">1,331 </w:t>
            </w:r>
          </w:p>
        </w:tc>
        <w:tc>
          <w:tcPr>
            <w:tcW w:w="0" w:type="auto"/>
            <w:vAlign w:val="center"/>
            <w:hideMark/>
          </w:tcPr>
          <w:p w14:paraId="7FD8EFC6" w14:textId="77777777" w:rsidR="00C57C9F" w:rsidRDefault="00C57C9F" w:rsidP="006F421D">
            <w:pPr>
              <w:pStyle w:val="3fins-table-figures"/>
              <w:jc w:val="right"/>
              <w:rPr>
                <w:rFonts w:cs="Times New Roman"/>
              </w:rPr>
            </w:pPr>
            <w:r>
              <w:rPr>
                <w:rStyle w:val="fins-bold"/>
                <w:rFonts w:cs="Times New Roman"/>
              </w:rPr>
              <w:t xml:space="preserve">22,968 </w:t>
            </w:r>
          </w:p>
        </w:tc>
        <w:tc>
          <w:tcPr>
            <w:tcW w:w="0" w:type="auto"/>
            <w:vAlign w:val="center"/>
            <w:hideMark/>
          </w:tcPr>
          <w:p w14:paraId="40737431" w14:textId="77777777" w:rsidR="00C57C9F" w:rsidRDefault="00C57C9F" w:rsidP="006F421D">
            <w:pPr>
              <w:pStyle w:val="3fins-table-figures"/>
              <w:jc w:val="right"/>
              <w:rPr>
                <w:rFonts w:cs="Times New Roman"/>
              </w:rPr>
            </w:pPr>
            <w:r>
              <w:rPr>
                <w:rStyle w:val="fins-bold"/>
                <w:rFonts w:cs="Times New Roman"/>
              </w:rPr>
              <w:t xml:space="preserve">305,015 </w:t>
            </w:r>
          </w:p>
        </w:tc>
      </w:tr>
      <w:tr w:rsidR="00C57C9F" w14:paraId="40F7E0D1" w14:textId="77777777" w:rsidTr="006F421D">
        <w:trPr>
          <w:divId w:val="1450737271"/>
          <w:tblCellSpacing w:w="15" w:type="dxa"/>
        </w:trPr>
        <w:tc>
          <w:tcPr>
            <w:tcW w:w="0" w:type="auto"/>
            <w:vAlign w:val="center"/>
            <w:hideMark/>
          </w:tcPr>
          <w:p w14:paraId="5597F467" w14:textId="77777777" w:rsidR="00C57C9F" w:rsidRDefault="00C57C9F" w:rsidP="006F421D">
            <w:pPr>
              <w:pStyle w:val="3fins-table"/>
              <w:ind w:left="284"/>
              <w:rPr>
                <w:rFonts w:cs="Times New Roman"/>
              </w:rPr>
            </w:pPr>
            <w:r>
              <w:rPr>
                <w:rFonts w:cs="Times New Roman"/>
              </w:rPr>
              <w:t>$405,000 to $434,999</w:t>
            </w:r>
          </w:p>
        </w:tc>
        <w:tc>
          <w:tcPr>
            <w:tcW w:w="0" w:type="auto"/>
            <w:tcBorders>
              <w:bottom w:val="single" w:sz="4" w:space="0" w:color="0D0D0D" w:themeColor="text1" w:themeTint="F2"/>
            </w:tcBorders>
            <w:vAlign w:val="center"/>
            <w:hideMark/>
          </w:tcPr>
          <w:p w14:paraId="4187F38D" w14:textId="77777777" w:rsidR="00C57C9F" w:rsidRDefault="00C57C9F" w:rsidP="006F421D">
            <w:pPr>
              <w:pStyle w:val="3fins-table-figures"/>
              <w:jc w:val="right"/>
              <w:rPr>
                <w:rFonts w:cs="Times New Roman"/>
              </w:rPr>
            </w:pPr>
            <w:r>
              <w:rPr>
                <w:rStyle w:val="fins-bold"/>
                <w:rFonts w:cs="Times New Roman"/>
              </w:rPr>
              <w:t>1</w:t>
            </w:r>
          </w:p>
        </w:tc>
        <w:tc>
          <w:tcPr>
            <w:tcW w:w="0" w:type="auto"/>
            <w:tcBorders>
              <w:bottom w:val="single" w:sz="4" w:space="0" w:color="0D0D0D" w:themeColor="text1" w:themeTint="F2"/>
            </w:tcBorders>
            <w:vAlign w:val="center"/>
            <w:hideMark/>
          </w:tcPr>
          <w:p w14:paraId="179743CA" w14:textId="77777777" w:rsidR="00C57C9F" w:rsidRDefault="00C57C9F" w:rsidP="006F421D">
            <w:pPr>
              <w:pStyle w:val="3fins-table-figures"/>
              <w:jc w:val="right"/>
              <w:rPr>
                <w:rFonts w:cs="Times New Roman"/>
              </w:rPr>
            </w:pPr>
            <w:r>
              <w:rPr>
                <w:rStyle w:val="fins-bold"/>
                <w:rFonts w:cs="Times New Roman"/>
              </w:rPr>
              <w:t xml:space="preserve">381,632 </w:t>
            </w:r>
          </w:p>
        </w:tc>
        <w:tc>
          <w:tcPr>
            <w:tcW w:w="0" w:type="auto"/>
            <w:tcBorders>
              <w:bottom w:val="single" w:sz="4" w:space="0" w:color="0D0D0D" w:themeColor="text1" w:themeTint="F2"/>
            </w:tcBorders>
            <w:vAlign w:val="center"/>
            <w:hideMark/>
          </w:tcPr>
          <w:p w14:paraId="21104E83" w14:textId="77777777" w:rsidR="00C57C9F" w:rsidRDefault="00C57C9F" w:rsidP="006F421D">
            <w:pPr>
              <w:pStyle w:val="3fins-table-figures"/>
              <w:jc w:val="right"/>
              <w:rPr>
                <w:rFonts w:cs="Times New Roman"/>
              </w:rPr>
            </w:pPr>
            <w:r>
              <w:rPr>
                <w:rStyle w:val="fins-bold"/>
                <w:rFonts w:cs="Times New Roman"/>
              </w:rPr>
              <w:t xml:space="preserve">26,420 </w:t>
            </w:r>
          </w:p>
        </w:tc>
        <w:tc>
          <w:tcPr>
            <w:tcW w:w="0" w:type="auto"/>
            <w:tcBorders>
              <w:bottom w:val="single" w:sz="4" w:space="0" w:color="0D0D0D" w:themeColor="text1" w:themeTint="F2"/>
            </w:tcBorders>
            <w:vAlign w:val="center"/>
            <w:hideMark/>
          </w:tcPr>
          <w:p w14:paraId="09A0BEED" w14:textId="77777777" w:rsidR="00C57C9F" w:rsidRDefault="00C57C9F" w:rsidP="006F421D">
            <w:pPr>
              <w:pStyle w:val="3fins-table-figures"/>
              <w:jc w:val="right"/>
              <w:rPr>
                <w:rFonts w:cs="Times New Roman"/>
              </w:rPr>
            </w:pPr>
            <w:r>
              <w:rPr>
                <w:rStyle w:val="fins-bold"/>
                <w:rFonts w:cs="Times New Roman"/>
              </w:rPr>
              <w:t xml:space="preserve">2,190 </w:t>
            </w:r>
          </w:p>
        </w:tc>
        <w:tc>
          <w:tcPr>
            <w:tcW w:w="0" w:type="auto"/>
            <w:tcBorders>
              <w:bottom w:val="single" w:sz="4" w:space="0" w:color="0D0D0D" w:themeColor="text1" w:themeTint="F2"/>
            </w:tcBorders>
            <w:vAlign w:val="center"/>
            <w:hideMark/>
          </w:tcPr>
          <w:p w14:paraId="76C93A93"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20D90740" w14:textId="77777777" w:rsidR="00C57C9F" w:rsidRDefault="00C57C9F" w:rsidP="006F421D">
            <w:pPr>
              <w:pStyle w:val="3fins-table-figures"/>
              <w:jc w:val="right"/>
              <w:rPr>
                <w:rFonts w:cs="Times New Roman"/>
              </w:rPr>
            </w:pPr>
            <w:r>
              <w:rPr>
                <w:rStyle w:val="fins-bold"/>
                <w:rFonts w:cs="Times New Roman"/>
              </w:rPr>
              <w:t xml:space="preserve">410,242 </w:t>
            </w:r>
          </w:p>
        </w:tc>
      </w:tr>
      <w:tr w:rsidR="00C57C9F" w14:paraId="505AE31C" w14:textId="77777777" w:rsidTr="006F421D">
        <w:trPr>
          <w:divId w:val="1450737271"/>
          <w:tblCellSpacing w:w="15" w:type="dxa"/>
        </w:trPr>
        <w:tc>
          <w:tcPr>
            <w:tcW w:w="0" w:type="auto"/>
            <w:tcBorders>
              <w:bottom w:val="single" w:sz="4" w:space="0" w:color="0D0D0D" w:themeColor="text1" w:themeTint="F2"/>
            </w:tcBorders>
            <w:vAlign w:val="center"/>
            <w:hideMark/>
          </w:tcPr>
          <w:p w14:paraId="00787F1B" w14:textId="77777777" w:rsidR="00C57C9F" w:rsidRDefault="00C57C9F">
            <w:pPr>
              <w:pStyle w:val="3fins-table"/>
              <w:rPr>
                <w:rFonts w:cs="Times New Roman"/>
              </w:rPr>
            </w:pPr>
            <w:r>
              <w:rPr>
                <w:rStyle w:val="fins-bold"/>
                <w:rFonts w:cs="Times New Roman"/>
              </w:rPr>
              <w:t>Total</w:t>
            </w:r>
          </w:p>
        </w:tc>
        <w:tc>
          <w:tcPr>
            <w:tcW w:w="0" w:type="auto"/>
            <w:tcBorders>
              <w:bottom w:val="single" w:sz="4" w:space="0" w:color="0D0D0D" w:themeColor="text1" w:themeTint="F2"/>
            </w:tcBorders>
            <w:vAlign w:val="center"/>
            <w:hideMark/>
          </w:tcPr>
          <w:p w14:paraId="29B0E5BC" w14:textId="77777777" w:rsidR="00C57C9F" w:rsidRDefault="00C57C9F" w:rsidP="006F421D">
            <w:pPr>
              <w:pStyle w:val="3fins-table-figures"/>
              <w:jc w:val="right"/>
              <w:rPr>
                <w:rFonts w:cs="Times New Roman"/>
              </w:rPr>
            </w:pPr>
            <w:r>
              <w:rPr>
                <w:rStyle w:val="fins-bold"/>
                <w:rFonts w:cs="Times New Roman"/>
              </w:rPr>
              <w:t>6</w:t>
            </w:r>
          </w:p>
        </w:tc>
        <w:tc>
          <w:tcPr>
            <w:tcW w:w="0" w:type="auto"/>
            <w:vAlign w:val="center"/>
            <w:hideMark/>
          </w:tcPr>
          <w:p w14:paraId="026A163F" w14:textId="77777777" w:rsidR="00C57C9F" w:rsidRDefault="00C57C9F" w:rsidP="006F421D">
            <w:pPr>
              <w:jc w:val="right"/>
              <w:rPr>
                <w:rFonts w:eastAsia="Times New Roman" w:cs="Times New Roman"/>
              </w:rPr>
            </w:pPr>
          </w:p>
        </w:tc>
        <w:tc>
          <w:tcPr>
            <w:tcW w:w="0" w:type="auto"/>
            <w:vAlign w:val="center"/>
            <w:hideMark/>
          </w:tcPr>
          <w:p w14:paraId="3AE42FAA" w14:textId="77777777" w:rsidR="00C57C9F" w:rsidRDefault="00C57C9F" w:rsidP="006F421D">
            <w:pPr>
              <w:jc w:val="right"/>
              <w:rPr>
                <w:rFonts w:eastAsia="Times New Roman" w:cs="Times New Roman"/>
              </w:rPr>
            </w:pPr>
          </w:p>
        </w:tc>
        <w:tc>
          <w:tcPr>
            <w:tcW w:w="0" w:type="auto"/>
            <w:vAlign w:val="center"/>
            <w:hideMark/>
          </w:tcPr>
          <w:p w14:paraId="5F055481" w14:textId="77777777" w:rsidR="00C57C9F" w:rsidRDefault="00C57C9F" w:rsidP="006F421D">
            <w:pPr>
              <w:jc w:val="right"/>
              <w:rPr>
                <w:rFonts w:eastAsia="Times New Roman" w:cs="Times New Roman"/>
              </w:rPr>
            </w:pPr>
          </w:p>
        </w:tc>
        <w:tc>
          <w:tcPr>
            <w:tcW w:w="0" w:type="auto"/>
            <w:vAlign w:val="center"/>
            <w:hideMark/>
          </w:tcPr>
          <w:p w14:paraId="6A87B373" w14:textId="77777777" w:rsidR="00C57C9F" w:rsidRDefault="00C57C9F" w:rsidP="006F421D">
            <w:pPr>
              <w:jc w:val="right"/>
              <w:rPr>
                <w:rFonts w:eastAsia="Times New Roman" w:cs="Times New Roman"/>
              </w:rPr>
            </w:pPr>
          </w:p>
        </w:tc>
        <w:tc>
          <w:tcPr>
            <w:tcW w:w="0" w:type="auto"/>
            <w:vAlign w:val="center"/>
            <w:hideMark/>
          </w:tcPr>
          <w:p w14:paraId="72FC33C4" w14:textId="77777777" w:rsidR="00C57C9F" w:rsidRDefault="00C57C9F" w:rsidP="006F421D">
            <w:pPr>
              <w:jc w:val="right"/>
              <w:rPr>
                <w:rFonts w:eastAsia="Times New Roman" w:cs="Times New Roman"/>
              </w:rPr>
            </w:pPr>
          </w:p>
        </w:tc>
      </w:tr>
      <w:tr w:rsidR="00C57C9F" w14:paraId="10D59C9B" w14:textId="77777777" w:rsidTr="006F421D">
        <w:trPr>
          <w:divId w:val="1450737271"/>
          <w:tblCellSpacing w:w="15" w:type="dxa"/>
        </w:trPr>
        <w:tc>
          <w:tcPr>
            <w:tcW w:w="0" w:type="auto"/>
            <w:vAlign w:val="center"/>
            <w:hideMark/>
          </w:tcPr>
          <w:p w14:paraId="49C77B38" w14:textId="77777777" w:rsidR="00C57C9F" w:rsidRDefault="00C57C9F">
            <w:pPr>
              <w:rPr>
                <w:rFonts w:eastAsia="Times New Roman" w:cs="Times New Roman"/>
              </w:rPr>
            </w:pPr>
          </w:p>
        </w:tc>
        <w:tc>
          <w:tcPr>
            <w:tcW w:w="0" w:type="auto"/>
            <w:gridSpan w:val="6"/>
            <w:tcBorders>
              <w:bottom w:val="single" w:sz="4" w:space="0" w:color="0D0D0D" w:themeColor="text1" w:themeTint="F2"/>
            </w:tcBorders>
            <w:vAlign w:val="center"/>
            <w:hideMark/>
          </w:tcPr>
          <w:p w14:paraId="04CEE937" w14:textId="77777777" w:rsidR="00C57C9F" w:rsidRDefault="00C57C9F" w:rsidP="006F421D">
            <w:pPr>
              <w:pStyle w:val="3fins-table-figures-c"/>
              <w:jc w:val="center"/>
              <w:rPr>
                <w:rFonts w:cs="Times New Roman"/>
              </w:rPr>
            </w:pPr>
            <w:r>
              <w:rPr>
                <w:rFonts w:cs="Times New Roman"/>
              </w:rPr>
              <w:t>2013</w:t>
            </w:r>
          </w:p>
        </w:tc>
      </w:tr>
      <w:tr w:rsidR="00C57C9F" w14:paraId="396C643A" w14:textId="77777777">
        <w:trPr>
          <w:divId w:val="1450737271"/>
          <w:tblCellSpacing w:w="15" w:type="dxa"/>
        </w:trPr>
        <w:tc>
          <w:tcPr>
            <w:tcW w:w="0" w:type="auto"/>
            <w:vAlign w:val="center"/>
            <w:hideMark/>
          </w:tcPr>
          <w:p w14:paraId="6DE58D92" w14:textId="77777777" w:rsidR="00C57C9F" w:rsidRDefault="00C57C9F">
            <w:pPr>
              <w:pStyle w:val="3fins-table"/>
              <w:rPr>
                <w:rFonts w:cs="Times New Roman"/>
              </w:rPr>
            </w:pPr>
            <w:r>
              <w:rPr>
                <w:rFonts w:cs="Times New Roman"/>
              </w:rPr>
              <w:t>Average annual reportable remuneration</w:t>
            </w:r>
            <w:r>
              <w:rPr>
                <w:rStyle w:val="superscript"/>
                <w:rFonts w:cs="Times New Roman"/>
              </w:rPr>
              <w:t>1</w:t>
            </w:r>
          </w:p>
        </w:tc>
        <w:tc>
          <w:tcPr>
            <w:tcW w:w="0" w:type="auto"/>
            <w:vAlign w:val="center"/>
            <w:hideMark/>
          </w:tcPr>
          <w:p w14:paraId="1A74FAC6" w14:textId="77777777" w:rsidR="00C57C9F" w:rsidRDefault="00C57C9F" w:rsidP="006F421D">
            <w:pPr>
              <w:pStyle w:val="3fins-table-figures"/>
              <w:jc w:val="right"/>
              <w:rPr>
                <w:rFonts w:cs="Times New Roman"/>
              </w:rPr>
            </w:pPr>
            <w:r>
              <w:rPr>
                <w:rFonts w:cs="Times New Roman"/>
              </w:rPr>
              <w:t>Senior Executives</w:t>
            </w:r>
          </w:p>
        </w:tc>
        <w:tc>
          <w:tcPr>
            <w:tcW w:w="0" w:type="auto"/>
            <w:vAlign w:val="center"/>
            <w:hideMark/>
          </w:tcPr>
          <w:p w14:paraId="14C54497" w14:textId="77777777" w:rsidR="00C57C9F" w:rsidRDefault="00C57C9F" w:rsidP="006F421D">
            <w:pPr>
              <w:pStyle w:val="3fins-table-figures"/>
              <w:jc w:val="right"/>
              <w:rPr>
                <w:rFonts w:cs="Times New Roman"/>
              </w:rPr>
            </w:pPr>
            <w:r>
              <w:rPr>
                <w:rFonts w:cs="Times New Roman"/>
              </w:rPr>
              <w:t>Reportable salary</w:t>
            </w:r>
            <w:r>
              <w:rPr>
                <w:rStyle w:val="superscript"/>
                <w:rFonts w:cs="Times New Roman"/>
              </w:rPr>
              <w:t>2</w:t>
            </w:r>
          </w:p>
        </w:tc>
        <w:tc>
          <w:tcPr>
            <w:tcW w:w="0" w:type="auto"/>
            <w:vAlign w:val="center"/>
            <w:hideMark/>
          </w:tcPr>
          <w:p w14:paraId="6EE51358" w14:textId="77777777" w:rsidR="00C57C9F" w:rsidRDefault="00C57C9F" w:rsidP="006F421D">
            <w:pPr>
              <w:pStyle w:val="3fins-table-figures"/>
              <w:jc w:val="right"/>
              <w:rPr>
                <w:rFonts w:cs="Times New Roman"/>
              </w:rPr>
            </w:pPr>
            <w:r>
              <w:rPr>
                <w:rFonts w:cs="Times New Roman"/>
              </w:rPr>
              <w:t>Contributed superannuation</w:t>
            </w:r>
            <w:r>
              <w:rPr>
                <w:rStyle w:val="superscript"/>
                <w:rFonts w:cs="Times New Roman"/>
              </w:rPr>
              <w:t>3</w:t>
            </w:r>
          </w:p>
        </w:tc>
        <w:tc>
          <w:tcPr>
            <w:tcW w:w="0" w:type="auto"/>
            <w:vAlign w:val="center"/>
            <w:hideMark/>
          </w:tcPr>
          <w:p w14:paraId="6524038A" w14:textId="77777777" w:rsidR="00C57C9F" w:rsidRDefault="00C57C9F" w:rsidP="006F421D">
            <w:pPr>
              <w:pStyle w:val="3fins-table-figures"/>
              <w:jc w:val="right"/>
              <w:rPr>
                <w:rFonts w:cs="Times New Roman"/>
              </w:rPr>
            </w:pPr>
            <w:r>
              <w:rPr>
                <w:rFonts w:cs="Times New Roman"/>
              </w:rPr>
              <w:t>Reportable allowances</w:t>
            </w:r>
            <w:r>
              <w:rPr>
                <w:rStyle w:val="superscript"/>
                <w:rFonts w:cs="Times New Roman"/>
              </w:rPr>
              <w:t>4</w:t>
            </w:r>
          </w:p>
        </w:tc>
        <w:tc>
          <w:tcPr>
            <w:tcW w:w="0" w:type="auto"/>
            <w:vAlign w:val="center"/>
            <w:hideMark/>
          </w:tcPr>
          <w:p w14:paraId="31A8A69E" w14:textId="77777777" w:rsidR="00C57C9F" w:rsidRDefault="00C57C9F" w:rsidP="006F421D">
            <w:pPr>
              <w:pStyle w:val="3fins-table-figures"/>
              <w:jc w:val="right"/>
              <w:rPr>
                <w:rFonts w:cs="Times New Roman"/>
              </w:rPr>
            </w:pPr>
            <w:r>
              <w:rPr>
                <w:rFonts w:cs="Times New Roman"/>
              </w:rPr>
              <w:t>Bonus paid</w:t>
            </w:r>
            <w:r>
              <w:rPr>
                <w:rStyle w:val="superscript"/>
                <w:rFonts w:cs="Times New Roman"/>
              </w:rPr>
              <w:t>5</w:t>
            </w:r>
          </w:p>
        </w:tc>
        <w:tc>
          <w:tcPr>
            <w:tcW w:w="0" w:type="auto"/>
            <w:vAlign w:val="center"/>
            <w:hideMark/>
          </w:tcPr>
          <w:p w14:paraId="2E0CBAF0" w14:textId="77777777" w:rsidR="00C57C9F" w:rsidRDefault="00C57C9F" w:rsidP="006F421D">
            <w:pPr>
              <w:pStyle w:val="3fins-table-figures"/>
              <w:jc w:val="right"/>
              <w:rPr>
                <w:rFonts w:cs="Times New Roman"/>
              </w:rPr>
            </w:pPr>
            <w:r>
              <w:rPr>
                <w:rFonts w:cs="Times New Roman"/>
              </w:rPr>
              <w:t>Total</w:t>
            </w:r>
          </w:p>
        </w:tc>
      </w:tr>
      <w:tr w:rsidR="00C57C9F" w14:paraId="4B005097" w14:textId="77777777" w:rsidTr="006F421D">
        <w:trPr>
          <w:divId w:val="1450737271"/>
          <w:tblCellSpacing w:w="15" w:type="dxa"/>
        </w:trPr>
        <w:tc>
          <w:tcPr>
            <w:tcW w:w="0" w:type="auto"/>
            <w:tcBorders>
              <w:bottom w:val="single" w:sz="4" w:space="0" w:color="0D0D0D" w:themeColor="text1" w:themeTint="F2"/>
            </w:tcBorders>
            <w:vAlign w:val="center"/>
            <w:hideMark/>
          </w:tcPr>
          <w:p w14:paraId="0E4DD326" w14:textId="77777777" w:rsidR="00C57C9F" w:rsidRDefault="00C57C9F">
            <w:pPr>
              <w:rPr>
                <w:rFonts w:eastAsia="Times New Roman" w:cs="Times New Roman"/>
              </w:rPr>
            </w:pPr>
          </w:p>
        </w:tc>
        <w:tc>
          <w:tcPr>
            <w:tcW w:w="0" w:type="auto"/>
            <w:tcBorders>
              <w:bottom w:val="single" w:sz="4" w:space="0" w:color="0D0D0D" w:themeColor="text1" w:themeTint="F2"/>
            </w:tcBorders>
            <w:vAlign w:val="center"/>
            <w:hideMark/>
          </w:tcPr>
          <w:p w14:paraId="5AAA169F" w14:textId="77777777" w:rsidR="00C57C9F" w:rsidRDefault="00C57C9F" w:rsidP="006F421D">
            <w:pPr>
              <w:pStyle w:val="3fins-table-figures"/>
              <w:jc w:val="right"/>
              <w:rPr>
                <w:rFonts w:cs="Times New Roman"/>
              </w:rPr>
            </w:pPr>
            <w:r>
              <w:rPr>
                <w:rFonts w:cs="Times New Roman"/>
              </w:rPr>
              <w:t>No.</w:t>
            </w:r>
          </w:p>
        </w:tc>
        <w:tc>
          <w:tcPr>
            <w:tcW w:w="0" w:type="auto"/>
            <w:tcBorders>
              <w:bottom w:val="single" w:sz="4" w:space="0" w:color="0D0D0D" w:themeColor="text1" w:themeTint="F2"/>
            </w:tcBorders>
            <w:vAlign w:val="center"/>
            <w:hideMark/>
          </w:tcPr>
          <w:p w14:paraId="4A32A5FB"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14166E52"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3B92F4FD"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0FCD6667"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55DE44C0" w14:textId="77777777" w:rsidR="00C57C9F" w:rsidRDefault="00C57C9F" w:rsidP="006F421D">
            <w:pPr>
              <w:pStyle w:val="3fins-table-figures"/>
              <w:jc w:val="right"/>
              <w:rPr>
                <w:rFonts w:cs="Times New Roman"/>
              </w:rPr>
            </w:pPr>
            <w:r>
              <w:rPr>
                <w:rFonts w:cs="Times New Roman"/>
              </w:rPr>
              <w:t>$</w:t>
            </w:r>
          </w:p>
        </w:tc>
      </w:tr>
      <w:tr w:rsidR="00C57C9F" w14:paraId="69C1D679" w14:textId="77777777">
        <w:trPr>
          <w:divId w:val="1450737271"/>
          <w:tblCellSpacing w:w="15" w:type="dxa"/>
        </w:trPr>
        <w:tc>
          <w:tcPr>
            <w:tcW w:w="0" w:type="auto"/>
            <w:vAlign w:val="center"/>
            <w:hideMark/>
          </w:tcPr>
          <w:p w14:paraId="66209EB3" w14:textId="77777777" w:rsidR="00C57C9F" w:rsidRDefault="00C57C9F">
            <w:pPr>
              <w:pStyle w:val="3fins-table"/>
              <w:rPr>
                <w:rFonts w:cs="Times New Roman"/>
              </w:rPr>
            </w:pPr>
            <w:r>
              <w:rPr>
                <w:rStyle w:val="charoverride-3"/>
                <w:rFonts w:cs="Times New Roman"/>
              </w:rPr>
              <w:t>Total remuneration (including part-time arrangements):</w:t>
            </w:r>
          </w:p>
        </w:tc>
        <w:tc>
          <w:tcPr>
            <w:tcW w:w="0" w:type="auto"/>
            <w:vAlign w:val="center"/>
            <w:hideMark/>
          </w:tcPr>
          <w:p w14:paraId="0C751DCF" w14:textId="77777777" w:rsidR="00C57C9F" w:rsidRDefault="00C57C9F" w:rsidP="006F421D">
            <w:pPr>
              <w:jc w:val="right"/>
              <w:rPr>
                <w:rFonts w:eastAsia="Times New Roman" w:cs="Times New Roman"/>
              </w:rPr>
            </w:pPr>
          </w:p>
        </w:tc>
        <w:tc>
          <w:tcPr>
            <w:tcW w:w="0" w:type="auto"/>
            <w:vAlign w:val="center"/>
            <w:hideMark/>
          </w:tcPr>
          <w:p w14:paraId="04054D71" w14:textId="77777777" w:rsidR="00C57C9F" w:rsidRDefault="00C57C9F" w:rsidP="006F421D">
            <w:pPr>
              <w:jc w:val="right"/>
              <w:rPr>
                <w:rFonts w:eastAsia="Times New Roman" w:cs="Times New Roman"/>
              </w:rPr>
            </w:pPr>
          </w:p>
        </w:tc>
        <w:tc>
          <w:tcPr>
            <w:tcW w:w="0" w:type="auto"/>
            <w:vAlign w:val="center"/>
            <w:hideMark/>
          </w:tcPr>
          <w:p w14:paraId="5A78A737" w14:textId="77777777" w:rsidR="00C57C9F" w:rsidRDefault="00C57C9F" w:rsidP="006F421D">
            <w:pPr>
              <w:jc w:val="right"/>
              <w:rPr>
                <w:rFonts w:eastAsia="Times New Roman" w:cs="Times New Roman"/>
              </w:rPr>
            </w:pPr>
          </w:p>
        </w:tc>
        <w:tc>
          <w:tcPr>
            <w:tcW w:w="0" w:type="auto"/>
            <w:vAlign w:val="center"/>
            <w:hideMark/>
          </w:tcPr>
          <w:p w14:paraId="61B3C78A" w14:textId="77777777" w:rsidR="00C57C9F" w:rsidRDefault="00C57C9F" w:rsidP="006F421D">
            <w:pPr>
              <w:jc w:val="right"/>
              <w:rPr>
                <w:rFonts w:eastAsia="Times New Roman" w:cs="Times New Roman"/>
              </w:rPr>
            </w:pPr>
          </w:p>
        </w:tc>
        <w:tc>
          <w:tcPr>
            <w:tcW w:w="0" w:type="auto"/>
            <w:vAlign w:val="center"/>
            <w:hideMark/>
          </w:tcPr>
          <w:p w14:paraId="48FADBD0" w14:textId="77777777" w:rsidR="00C57C9F" w:rsidRDefault="00C57C9F" w:rsidP="006F421D">
            <w:pPr>
              <w:jc w:val="right"/>
              <w:rPr>
                <w:rFonts w:eastAsia="Times New Roman" w:cs="Times New Roman"/>
              </w:rPr>
            </w:pPr>
          </w:p>
        </w:tc>
        <w:tc>
          <w:tcPr>
            <w:tcW w:w="0" w:type="auto"/>
            <w:vAlign w:val="center"/>
            <w:hideMark/>
          </w:tcPr>
          <w:p w14:paraId="5ACF9CDE" w14:textId="77777777" w:rsidR="00C57C9F" w:rsidRDefault="00C57C9F" w:rsidP="006F421D">
            <w:pPr>
              <w:jc w:val="right"/>
              <w:rPr>
                <w:rFonts w:eastAsia="Times New Roman" w:cs="Times New Roman"/>
              </w:rPr>
            </w:pPr>
          </w:p>
        </w:tc>
      </w:tr>
      <w:tr w:rsidR="00C57C9F" w14:paraId="364934B1" w14:textId="77777777">
        <w:trPr>
          <w:divId w:val="1450737271"/>
          <w:tblCellSpacing w:w="15" w:type="dxa"/>
        </w:trPr>
        <w:tc>
          <w:tcPr>
            <w:tcW w:w="0" w:type="auto"/>
            <w:vAlign w:val="center"/>
            <w:hideMark/>
          </w:tcPr>
          <w:p w14:paraId="4C4DDA64" w14:textId="77777777" w:rsidR="00C57C9F" w:rsidRDefault="00C57C9F" w:rsidP="006F421D">
            <w:pPr>
              <w:pStyle w:val="3fins-table"/>
              <w:ind w:left="284"/>
              <w:rPr>
                <w:rFonts w:cs="Times New Roman"/>
              </w:rPr>
            </w:pPr>
            <w:r>
              <w:rPr>
                <w:rFonts w:cs="Times New Roman"/>
              </w:rPr>
              <w:t>less than $195,000</w:t>
            </w:r>
          </w:p>
        </w:tc>
        <w:tc>
          <w:tcPr>
            <w:tcW w:w="0" w:type="auto"/>
            <w:vAlign w:val="center"/>
            <w:hideMark/>
          </w:tcPr>
          <w:p w14:paraId="61C00086" w14:textId="77777777" w:rsidR="00C57C9F" w:rsidRDefault="00C57C9F" w:rsidP="006F421D">
            <w:pPr>
              <w:pStyle w:val="3fins-table-figures"/>
              <w:jc w:val="right"/>
              <w:rPr>
                <w:rFonts w:cs="Times New Roman"/>
              </w:rPr>
            </w:pPr>
            <w:r>
              <w:rPr>
                <w:rFonts w:cs="Times New Roman"/>
              </w:rPr>
              <w:t xml:space="preserve">1 </w:t>
            </w:r>
          </w:p>
        </w:tc>
        <w:tc>
          <w:tcPr>
            <w:tcW w:w="0" w:type="auto"/>
            <w:vAlign w:val="center"/>
            <w:hideMark/>
          </w:tcPr>
          <w:p w14:paraId="1DE0F87D" w14:textId="77777777" w:rsidR="00C57C9F" w:rsidRDefault="00C57C9F" w:rsidP="006F421D">
            <w:pPr>
              <w:pStyle w:val="3fins-table-figures"/>
              <w:jc w:val="right"/>
              <w:rPr>
                <w:rFonts w:cs="Times New Roman"/>
              </w:rPr>
            </w:pPr>
            <w:r>
              <w:rPr>
                <w:rFonts w:cs="Times New Roman"/>
              </w:rPr>
              <w:t xml:space="preserve">127,527 </w:t>
            </w:r>
          </w:p>
        </w:tc>
        <w:tc>
          <w:tcPr>
            <w:tcW w:w="0" w:type="auto"/>
            <w:vAlign w:val="center"/>
            <w:hideMark/>
          </w:tcPr>
          <w:p w14:paraId="5AA984C9" w14:textId="77777777" w:rsidR="00C57C9F" w:rsidRDefault="00C57C9F" w:rsidP="006F421D">
            <w:pPr>
              <w:pStyle w:val="3fins-table-figures"/>
              <w:jc w:val="right"/>
              <w:rPr>
                <w:rFonts w:cs="Times New Roman"/>
              </w:rPr>
            </w:pPr>
            <w:r>
              <w:rPr>
                <w:rFonts w:cs="Times New Roman"/>
              </w:rPr>
              <w:t>18,706</w:t>
            </w:r>
          </w:p>
        </w:tc>
        <w:tc>
          <w:tcPr>
            <w:tcW w:w="0" w:type="auto"/>
            <w:vAlign w:val="center"/>
            <w:hideMark/>
          </w:tcPr>
          <w:p w14:paraId="345807C2" w14:textId="77777777" w:rsidR="00C57C9F" w:rsidRDefault="00C57C9F" w:rsidP="006F421D">
            <w:pPr>
              <w:pStyle w:val="3fins-table-figures"/>
              <w:jc w:val="right"/>
              <w:rPr>
                <w:rFonts w:cs="Times New Roman"/>
              </w:rPr>
            </w:pPr>
            <w:r>
              <w:rPr>
                <w:rFonts w:cs="Times New Roman"/>
              </w:rPr>
              <w:t>-</w:t>
            </w:r>
          </w:p>
        </w:tc>
        <w:tc>
          <w:tcPr>
            <w:tcW w:w="0" w:type="auto"/>
            <w:vAlign w:val="center"/>
            <w:hideMark/>
          </w:tcPr>
          <w:p w14:paraId="302E772B" w14:textId="77777777" w:rsidR="00C57C9F" w:rsidRDefault="00C57C9F" w:rsidP="006F421D">
            <w:pPr>
              <w:pStyle w:val="3fins-table-figures"/>
              <w:jc w:val="right"/>
              <w:rPr>
                <w:rFonts w:cs="Times New Roman"/>
              </w:rPr>
            </w:pPr>
            <w:r>
              <w:rPr>
                <w:rFonts w:cs="Times New Roman"/>
              </w:rPr>
              <w:t>-</w:t>
            </w:r>
          </w:p>
        </w:tc>
        <w:tc>
          <w:tcPr>
            <w:tcW w:w="0" w:type="auto"/>
            <w:vAlign w:val="center"/>
            <w:hideMark/>
          </w:tcPr>
          <w:p w14:paraId="019E705C" w14:textId="77777777" w:rsidR="00C57C9F" w:rsidRDefault="00C57C9F" w:rsidP="006F421D">
            <w:pPr>
              <w:pStyle w:val="3fins-table-figures"/>
              <w:jc w:val="right"/>
              <w:rPr>
                <w:rFonts w:cs="Times New Roman"/>
              </w:rPr>
            </w:pPr>
            <w:r>
              <w:rPr>
                <w:rFonts w:cs="Times New Roman"/>
              </w:rPr>
              <w:t xml:space="preserve">146,232 </w:t>
            </w:r>
          </w:p>
        </w:tc>
      </w:tr>
      <w:tr w:rsidR="00C57C9F" w14:paraId="3B0C43C1" w14:textId="77777777">
        <w:trPr>
          <w:divId w:val="1450737271"/>
          <w:tblCellSpacing w:w="15" w:type="dxa"/>
        </w:trPr>
        <w:tc>
          <w:tcPr>
            <w:tcW w:w="0" w:type="auto"/>
            <w:vAlign w:val="center"/>
            <w:hideMark/>
          </w:tcPr>
          <w:p w14:paraId="317737C7" w14:textId="77777777" w:rsidR="00C57C9F" w:rsidRDefault="00C57C9F" w:rsidP="006F421D">
            <w:pPr>
              <w:pStyle w:val="3fins-table"/>
              <w:ind w:left="284"/>
              <w:rPr>
                <w:rFonts w:cs="Times New Roman"/>
              </w:rPr>
            </w:pPr>
            <w:r>
              <w:rPr>
                <w:rFonts w:cs="Times New Roman"/>
              </w:rPr>
              <w:t>$255,000 to $284,999</w:t>
            </w:r>
          </w:p>
        </w:tc>
        <w:tc>
          <w:tcPr>
            <w:tcW w:w="0" w:type="auto"/>
            <w:vAlign w:val="center"/>
            <w:hideMark/>
          </w:tcPr>
          <w:p w14:paraId="45A3AB8E" w14:textId="77777777" w:rsidR="00C57C9F" w:rsidRDefault="00C57C9F" w:rsidP="006F421D">
            <w:pPr>
              <w:pStyle w:val="3fins-table-figures"/>
              <w:jc w:val="right"/>
              <w:rPr>
                <w:rFonts w:cs="Times New Roman"/>
              </w:rPr>
            </w:pPr>
            <w:r>
              <w:rPr>
                <w:rFonts w:cs="Times New Roman"/>
              </w:rPr>
              <w:t xml:space="preserve">2 </w:t>
            </w:r>
          </w:p>
        </w:tc>
        <w:tc>
          <w:tcPr>
            <w:tcW w:w="0" w:type="auto"/>
            <w:vAlign w:val="center"/>
            <w:hideMark/>
          </w:tcPr>
          <w:p w14:paraId="32F92D65" w14:textId="77777777" w:rsidR="00C57C9F" w:rsidRDefault="00C57C9F" w:rsidP="006F421D">
            <w:pPr>
              <w:pStyle w:val="3fins-table-figures"/>
              <w:jc w:val="right"/>
              <w:rPr>
                <w:rFonts w:cs="Times New Roman"/>
              </w:rPr>
            </w:pPr>
            <w:r>
              <w:rPr>
                <w:rFonts w:cs="Times New Roman"/>
              </w:rPr>
              <w:t xml:space="preserve">229,033 </w:t>
            </w:r>
          </w:p>
        </w:tc>
        <w:tc>
          <w:tcPr>
            <w:tcW w:w="0" w:type="auto"/>
            <w:vAlign w:val="center"/>
            <w:hideMark/>
          </w:tcPr>
          <w:p w14:paraId="1C4F481F" w14:textId="77777777" w:rsidR="00C57C9F" w:rsidRDefault="00C57C9F" w:rsidP="006F421D">
            <w:pPr>
              <w:pStyle w:val="3fins-table-figures"/>
              <w:jc w:val="right"/>
              <w:rPr>
                <w:rFonts w:cs="Times New Roman"/>
              </w:rPr>
            </w:pPr>
            <w:r>
              <w:rPr>
                <w:rFonts w:cs="Times New Roman"/>
              </w:rPr>
              <w:t xml:space="preserve">37,065 </w:t>
            </w:r>
          </w:p>
        </w:tc>
        <w:tc>
          <w:tcPr>
            <w:tcW w:w="0" w:type="auto"/>
            <w:vAlign w:val="center"/>
            <w:hideMark/>
          </w:tcPr>
          <w:p w14:paraId="288E8B3B" w14:textId="77777777" w:rsidR="00C57C9F" w:rsidRDefault="00C57C9F" w:rsidP="006F421D">
            <w:pPr>
              <w:pStyle w:val="3fins-table-figures"/>
              <w:jc w:val="right"/>
              <w:rPr>
                <w:rFonts w:cs="Times New Roman"/>
              </w:rPr>
            </w:pPr>
            <w:r>
              <w:rPr>
                <w:rFonts w:cs="Times New Roman"/>
              </w:rPr>
              <w:t>-</w:t>
            </w:r>
          </w:p>
        </w:tc>
        <w:tc>
          <w:tcPr>
            <w:tcW w:w="0" w:type="auto"/>
            <w:vAlign w:val="center"/>
            <w:hideMark/>
          </w:tcPr>
          <w:p w14:paraId="7F801239" w14:textId="77777777" w:rsidR="00C57C9F" w:rsidRDefault="00C57C9F" w:rsidP="006F421D">
            <w:pPr>
              <w:pStyle w:val="3fins-table-figures"/>
              <w:jc w:val="right"/>
              <w:rPr>
                <w:rFonts w:cs="Times New Roman"/>
              </w:rPr>
            </w:pPr>
            <w:r>
              <w:rPr>
                <w:rFonts w:cs="Times New Roman"/>
              </w:rPr>
              <w:t xml:space="preserve">12,100 </w:t>
            </w:r>
          </w:p>
        </w:tc>
        <w:tc>
          <w:tcPr>
            <w:tcW w:w="0" w:type="auto"/>
            <w:vAlign w:val="center"/>
            <w:hideMark/>
          </w:tcPr>
          <w:p w14:paraId="6F4812F5" w14:textId="77777777" w:rsidR="00C57C9F" w:rsidRDefault="00C57C9F" w:rsidP="006F421D">
            <w:pPr>
              <w:pStyle w:val="3fins-table-figures"/>
              <w:jc w:val="right"/>
              <w:rPr>
                <w:rFonts w:cs="Times New Roman"/>
              </w:rPr>
            </w:pPr>
            <w:r>
              <w:rPr>
                <w:rFonts w:cs="Times New Roman"/>
              </w:rPr>
              <w:t xml:space="preserve">278,198 </w:t>
            </w:r>
          </w:p>
        </w:tc>
      </w:tr>
      <w:tr w:rsidR="00C57C9F" w14:paraId="0597B0CF" w14:textId="77777777" w:rsidTr="006F421D">
        <w:trPr>
          <w:divId w:val="1450737271"/>
          <w:tblCellSpacing w:w="15" w:type="dxa"/>
        </w:trPr>
        <w:tc>
          <w:tcPr>
            <w:tcW w:w="0" w:type="auto"/>
            <w:vAlign w:val="center"/>
            <w:hideMark/>
          </w:tcPr>
          <w:p w14:paraId="60901B9A" w14:textId="77777777" w:rsidR="00C57C9F" w:rsidRDefault="00C57C9F" w:rsidP="006F421D">
            <w:pPr>
              <w:pStyle w:val="3fins-table"/>
              <w:ind w:left="284"/>
              <w:rPr>
                <w:rFonts w:cs="Times New Roman"/>
              </w:rPr>
            </w:pPr>
            <w:r>
              <w:rPr>
                <w:rFonts w:cs="Times New Roman"/>
              </w:rPr>
              <w:t>$375,000 to $404,999</w:t>
            </w:r>
          </w:p>
        </w:tc>
        <w:tc>
          <w:tcPr>
            <w:tcW w:w="0" w:type="auto"/>
            <w:tcBorders>
              <w:bottom w:val="single" w:sz="4" w:space="0" w:color="0D0D0D" w:themeColor="text1" w:themeTint="F2"/>
            </w:tcBorders>
            <w:vAlign w:val="center"/>
            <w:hideMark/>
          </w:tcPr>
          <w:p w14:paraId="137FD0A5" w14:textId="77777777" w:rsidR="00C57C9F" w:rsidRDefault="00C57C9F" w:rsidP="006F421D">
            <w:pPr>
              <w:pStyle w:val="3fins-table-figures"/>
              <w:jc w:val="right"/>
              <w:rPr>
                <w:rFonts w:cs="Times New Roman"/>
              </w:rPr>
            </w:pPr>
            <w:r>
              <w:rPr>
                <w:rFonts w:cs="Times New Roman"/>
              </w:rPr>
              <w:t xml:space="preserve">1 </w:t>
            </w:r>
          </w:p>
        </w:tc>
        <w:tc>
          <w:tcPr>
            <w:tcW w:w="0" w:type="auto"/>
            <w:tcBorders>
              <w:bottom w:val="single" w:sz="4" w:space="0" w:color="0D0D0D" w:themeColor="text1" w:themeTint="F2"/>
            </w:tcBorders>
            <w:vAlign w:val="center"/>
            <w:hideMark/>
          </w:tcPr>
          <w:p w14:paraId="2973FA6C" w14:textId="77777777" w:rsidR="00C57C9F" w:rsidRDefault="00C57C9F" w:rsidP="006F421D">
            <w:pPr>
              <w:pStyle w:val="3fins-table-figures"/>
              <w:jc w:val="right"/>
              <w:rPr>
                <w:rFonts w:cs="Times New Roman"/>
              </w:rPr>
            </w:pPr>
            <w:r>
              <w:rPr>
                <w:rFonts w:cs="Times New Roman"/>
              </w:rPr>
              <w:t xml:space="preserve">373,094 </w:t>
            </w:r>
          </w:p>
        </w:tc>
        <w:tc>
          <w:tcPr>
            <w:tcW w:w="0" w:type="auto"/>
            <w:tcBorders>
              <w:bottom w:val="single" w:sz="4" w:space="0" w:color="0D0D0D" w:themeColor="text1" w:themeTint="F2"/>
            </w:tcBorders>
            <w:vAlign w:val="center"/>
            <w:hideMark/>
          </w:tcPr>
          <w:p w14:paraId="615AC8B7" w14:textId="77777777" w:rsidR="00C57C9F" w:rsidRDefault="00C57C9F" w:rsidP="006F421D">
            <w:pPr>
              <w:pStyle w:val="3fins-table-figures"/>
              <w:jc w:val="right"/>
              <w:rPr>
                <w:rFonts w:cs="Times New Roman"/>
              </w:rPr>
            </w:pPr>
            <w:r>
              <w:rPr>
                <w:rFonts w:cs="Times New Roman"/>
              </w:rPr>
              <w:t xml:space="preserve">25,597 </w:t>
            </w:r>
          </w:p>
        </w:tc>
        <w:tc>
          <w:tcPr>
            <w:tcW w:w="0" w:type="auto"/>
            <w:tcBorders>
              <w:bottom w:val="single" w:sz="4" w:space="0" w:color="0D0D0D" w:themeColor="text1" w:themeTint="F2"/>
            </w:tcBorders>
            <w:vAlign w:val="center"/>
            <w:hideMark/>
          </w:tcPr>
          <w:p w14:paraId="72D2F942" w14:textId="77777777" w:rsidR="00C57C9F" w:rsidRDefault="00C57C9F" w:rsidP="006F421D">
            <w:pPr>
              <w:pStyle w:val="3fins-table-figures"/>
              <w:jc w:val="right"/>
              <w:rPr>
                <w:rFonts w:cs="Times New Roman"/>
              </w:rPr>
            </w:pPr>
            <w:r>
              <w:rPr>
                <w:rFonts w:cs="Times New Roman"/>
              </w:rPr>
              <w:t xml:space="preserve">1,162 </w:t>
            </w:r>
          </w:p>
        </w:tc>
        <w:tc>
          <w:tcPr>
            <w:tcW w:w="0" w:type="auto"/>
            <w:tcBorders>
              <w:bottom w:val="single" w:sz="4" w:space="0" w:color="0D0D0D" w:themeColor="text1" w:themeTint="F2"/>
            </w:tcBorders>
            <w:vAlign w:val="center"/>
            <w:hideMark/>
          </w:tcPr>
          <w:p w14:paraId="22B13E95"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04BA994C" w14:textId="77777777" w:rsidR="00C57C9F" w:rsidRDefault="00C57C9F" w:rsidP="006F421D">
            <w:pPr>
              <w:pStyle w:val="3fins-table-figures"/>
              <w:jc w:val="right"/>
              <w:rPr>
                <w:rFonts w:cs="Times New Roman"/>
              </w:rPr>
            </w:pPr>
            <w:r>
              <w:rPr>
                <w:rFonts w:cs="Times New Roman"/>
              </w:rPr>
              <w:t xml:space="preserve">399,853 </w:t>
            </w:r>
          </w:p>
        </w:tc>
      </w:tr>
      <w:tr w:rsidR="00C57C9F" w14:paraId="5669856A" w14:textId="77777777" w:rsidTr="006F421D">
        <w:trPr>
          <w:divId w:val="1450737271"/>
          <w:tblCellSpacing w:w="15" w:type="dxa"/>
        </w:trPr>
        <w:tc>
          <w:tcPr>
            <w:tcW w:w="0" w:type="auto"/>
            <w:tcBorders>
              <w:bottom w:val="single" w:sz="4" w:space="0" w:color="0D0D0D" w:themeColor="text1" w:themeTint="F2"/>
            </w:tcBorders>
            <w:vAlign w:val="center"/>
            <w:hideMark/>
          </w:tcPr>
          <w:p w14:paraId="2766B185" w14:textId="77777777" w:rsidR="00C57C9F" w:rsidRDefault="00C57C9F">
            <w:pPr>
              <w:pStyle w:val="3fins-table"/>
              <w:rPr>
                <w:rFonts w:cs="Times New Roman"/>
              </w:rPr>
            </w:pPr>
            <w:r>
              <w:rPr>
                <w:rStyle w:val="fins-bold"/>
                <w:rFonts w:cs="Times New Roman"/>
              </w:rPr>
              <w:t>Total</w:t>
            </w:r>
          </w:p>
        </w:tc>
        <w:tc>
          <w:tcPr>
            <w:tcW w:w="0" w:type="auto"/>
            <w:tcBorders>
              <w:bottom w:val="single" w:sz="4" w:space="0" w:color="0D0D0D" w:themeColor="text1" w:themeTint="F2"/>
            </w:tcBorders>
            <w:vAlign w:val="center"/>
            <w:hideMark/>
          </w:tcPr>
          <w:p w14:paraId="29B4F743" w14:textId="77777777" w:rsidR="00C57C9F" w:rsidRDefault="00C57C9F" w:rsidP="006F421D">
            <w:pPr>
              <w:pStyle w:val="3fins-table-figures"/>
              <w:jc w:val="right"/>
              <w:rPr>
                <w:rFonts w:cs="Times New Roman"/>
              </w:rPr>
            </w:pPr>
            <w:r>
              <w:rPr>
                <w:rFonts w:cs="Times New Roman"/>
              </w:rPr>
              <w:t xml:space="preserve">4 </w:t>
            </w:r>
          </w:p>
        </w:tc>
        <w:tc>
          <w:tcPr>
            <w:tcW w:w="0" w:type="auto"/>
            <w:vAlign w:val="center"/>
            <w:hideMark/>
          </w:tcPr>
          <w:p w14:paraId="1E7E84CE" w14:textId="77777777" w:rsidR="00C57C9F" w:rsidRDefault="00C57C9F" w:rsidP="006F421D">
            <w:pPr>
              <w:jc w:val="right"/>
              <w:rPr>
                <w:rFonts w:eastAsia="Times New Roman" w:cs="Times New Roman"/>
              </w:rPr>
            </w:pPr>
          </w:p>
        </w:tc>
        <w:tc>
          <w:tcPr>
            <w:tcW w:w="0" w:type="auto"/>
            <w:vAlign w:val="center"/>
            <w:hideMark/>
          </w:tcPr>
          <w:p w14:paraId="76B9A6E7" w14:textId="77777777" w:rsidR="00C57C9F" w:rsidRDefault="00C57C9F" w:rsidP="006F421D">
            <w:pPr>
              <w:jc w:val="right"/>
              <w:rPr>
                <w:rFonts w:eastAsia="Times New Roman" w:cs="Times New Roman"/>
              </w:rPr>
            </w:pPr>
          </w:p>
        </w:tc>
        <w:tc>
          <w:tcPr>
            <w:tcW w:w="0" w:type="auto"/>
            <w:vAlign w:val="center"/>
            <w:hideMark/>
          </w:tcPr>
          <w:p w14:paraId="4B44E47A" w14:textId="77777777" w:rsidR="00C57C9F" w:rsidRDefault="00C57C9F" w:rsidP="006F421D">
            <w:pPr>
              <w:jc w:val="right"/>
              <w:rPr>
                <w:rFonts w:eastAsia="Times New Roman" w:cs="Times New Roman"/>
              </w:rPr>
            </w:pPr>
          </w:p>
        </w:tc>
        <w:tc>
          <w:tcPr>
            <w:tcW w:w="0" w:type="auto"/>
            <w:vAlign w:val="center"/>
            <w:hideMark/>
          </w:tcPr>
          <w:p w14:paraId="2CFE0034" w14:textId="77777777" w:rsidR="00C57C9F" w:rsidRDefault="00C57C9F" w:rsidP="006F421D">
            <w:pPr>
              <w:jc w:val="right"/>
              <w:rPr>
                <w:rFonts w:eastAsia="Times New Roman" w:cs="Times New Roman"/>
              </w:rPr>
            </w:pPr>
          </w:p>
        </w:tc>
        <w:tc>
          <w:tcPr>
            <w:tcW w:w="0" w:type="auto"/>
            <w:vAlign w:val="center"/>
            <w:hideMark/>
          </w:tcPr>
          <w:p w14:paraId="275A833D" w14:textId="77777777" w:rsidR="00C57C9F" w:rsidRDefault="00C57C9F" w:rsidP="006F421D">
            <w:pPr>
              <w:jc w:val="right"/>
              <w:rPr>
                <w:rFonts w:eastAsia="Times New Roman" w:cs="Times New Roman"/>
              </w:rPr>
            </w:pPr>
          </w:p>
        </w:tc>
      </w:tr>
    </w:tbl>
    <w:p w14:paraId="29300D93" w14:textId="77777777" w:rsidR="00C57C9F" w:rsidRDefault="00C57C9F" w:rsidP="00A625BF">
      <w:pPr>
        <w:pStyle w:val="3fins-table"/>
        <w:spacing w:before="240"/>
        <w:divId w:val="1450737271"/>
        <w:rPr>
          <w:rFonts w:cs="Times New Roman"/>
          <w:lang w:val="en-AU"/>
        </w:rPr>
      </w:pPr>
      <w:r>
        <w:rPr>
          <w:rStyle w:val="fins-bold-italics"/>
          <w:rFonts w:cs="Times New Roman"/>
          <w:lang w:val="en-AU"/>
        </w:rPr>
        <w:t>Notes:</w:t>
      </w:r>
    </w:p>
    <w:p w14:paraId="3385809E" w14:textId="77777777" w:rsidR="00C57C9F" w:rsidRDefault="00C57C9F" w:rsidP="006F421D">
      <w:pPr>
        <w:pStyle w:val="fins-disclaimer"/>
        <w:ind w:left="284" w:hanging="284"/>
        <w:divId w:val="1450737271"/>
        <w:rPr>
          <w:rFonts w:cs="Times New Roman"/>
          <w:lang w:val="en-AU"/>
        </w:rPr>
      </w:pPr>
      <w:r>
        <w:rPr>
          <w:rFonts w:cs="Times New Roman"/>
          <w:lang w:val="en-AU"/>
        </w:rPr>
        <w:t>1.</w:t>
      </w:r>
      <w:r>
        <w:rPr>
          <w:rFonts w:cs="Times New Roman"/>
          <w:lang w:val="en-AU"/>
        </w:rPr>
        <w:tab/>
        <w:t>This table reports substantive senior executives who received remuneration during the reporting period. Each row is an averaged figure based on headcount for individuals in the band.</w:t>
      </w:r>
    </w:p>
    <w:p w14:paraId="23A3FA6D" w14:textId="77777777" w:rsidR="00C57C9F" w:rsidRDefault="00C57C9F" w:rsidP="006F421D">
      <w:pPr>
        <w:pStyle w:val="fins-disclaimer"/>
        <w:ind w:left="284" w:hanging="284"/>
        <w:divId w:val="1450737271"/>
        <w:rPr>
          <w:rFonts w:cs="Times New Roman"/>
          <w:lang w:val="en-AU"/>
        </w:rPr>
      </w:pPr>
      <w:r>
        <w:rPr>
          <w:rFonts w:cs="Times New Roman"/>
          <w:lang w:val="en-AU"/>
        </w:rPr>
        <w:t>2.</w:t>
      </w:r>
      <w:r>
        <w:rPr>
          <w:rFonts w:cs="Times New Roman"/>
          <w:lang w:val="en-AU"/>
        </w:rPr>
        <w:tab/>
        <w:t xml:space="preserve">‘Reportable salary’ includes the following: </w:t>
      </w:r>
    </w:p>
    <w:p w14:paraId="64CAF6F2" w14:textId="77777777" w:rsidR="00C57C9F" w:rsidRDefault="00C57C9F" w:rsidP="006F421D">
      <w:pPr>
        <w:pStyle w:val="fins-disclaimer"/>
        <w:ind w:left="567" w:hanging="284"/>
        <w:divId w:val="1450737271"/>
        <w:rPr>
          <w:rFonts w:cs="Times New Roman"/>
          <w:lang w:val="en-AU"/>
        </w:rPr>
      </w:pPr>
      <w:r>
        <w:rPr>
          <w:rFonts w:cs="Times New Roman"/>
          <w:lang w:val="en-AU"/>
        </w:rPr>
        <w:t xml:space="preserve">a) </w:t>
      </w:r>
      <w:proofErr w:type="gramStart"/>
      <w:r>
        <w:rPr>
          <w:rFonts w:cs="Times New Roman"/>
          <w:lang w:val="en-AU"/>
        </w:rPr>
        <w:t>gross</w:t>
      </w:r>
      <w:proofErr w:type="gramEnd"/>
      <w:r>
        <w:rPr>
          <w:rFonts w:cs="Times New Roman"/>
          <w:lang w:val="en-AU"/>
        </w:rPr>
        <w:t xml:space="preserve"> payments (less any bonuses paid, which are separated out and disclosed in the ‘bonus paid’ column);</w:t>
      </w:r>
    </w:p>
    <w:p w14:paraId="59708977" w14:textId="77777777" w:rsidR="00C57C9F" w:rsidRDefault="00C57C9F" w:rsidP="006F421D">
      <w:pPr>
        <w:pStyle w:val="fins-disclaimer"/>
        <w:ind w:left="567" w:hanging="284"/>
        <w:divId w:val="1450737271"/>
        <w:rPr>
          <w:rFonts w:cs="Times New Roman"/>
          <w:lang w:val="en-AU"/>
        </w:rPr>
      </w:pPr>
      <w:r>
        <w:rPr>
          <w:rFonts w:cs="Times New Roman"/>
          <w:lang w:val="en-AU"/>
        </w:rPr>
        <w:t xml:space="preserve">b) </w:t>
      </w:r>
      <w:proofErr w:type="gramStart"/>
      <w:r>
        <w:rPr>
          <w:rFonts w:cs="Times New Roman"/>
          <w:lang w:val="en-AU"/>
        </w:rPr>
        <w:t>reportable</w:t>
      </w:r>
      <w:proofErr w:type="gramEnd"/>
      <w:r>
        <w:rPr>
          <w:rFonts w:cs="Times New Roman"/>
          <w:lang w:val="en-AU"/>
        </w:rPr>
        <w:t xml:space="preserve"> fringe benefits (at the net amount prior to ‘grossing up’ to account for tax benefits);</w:t>
      </w:r>
    </w:p>
    <w:p w14:paraId="4D56751E" w14:textId="77777777" w:rsidR="00C57C9F" w:rsidRDefault="00C57C9F" w:rsidP="006F421D">
      <w:pPr>
        <w:pStyle w:val="fins-disclaimer"/>
        <w:ind w:left="567" w:hanging="284"/>
        <w:divId w:val="1450737271"/>
        <w:rPr>
          <w:rFonts w:cs="Times New Roman"/>
          <w:lang w:val="en-AU"/>
        </w:rPr>
      </w:pPr>
      <w:r>
        <w:rPr>
          <w:rFonts w:cs="Times New Roman"/>
          <w:lang w:val="en-AU"/>
        </w:rPr>
        <w:t xml:space="preserve">c) </w:t>
      </w:r>
      <w:proofErr w:type="gramStart"/>
      <w:r>
        <w:rPr>
          <w:rFonts w:cs="Times New Roman"/>
          <w:lang w:val="en-AU"/>
        </w:rPr>
        <w:t>reportable</w:t>
      </w:r>
      <w:proofErr w:type="gramEnd"/>
      <w:r>
        <w:rPr>
          <w:rFonts w:cs="Times New Roman"/>
          <w:lang w:val="en-AU"/>
        </w:rPr>
        <w:t xml:space="preserve"> employer superannuation contributions; and</w:t>
      </w:r>
    </w:p>
    <w:p w14:paraId="08D7E667" w14:textId="77777777" w:rsidR="00C57C9F" w:rsidRDefault="00C57C9F" w:rsidP="006F421D">
      <w:pPr>
        <w:pStyle w:val="fins-disclaimer"/>
        <w:ind w:left="567" w:hanging="284"/>
        <w:divId w:val="1450737271"/>
        <w:rPr>
          <w:rFonts w:cs="Times New Roman"/>
          <w:lang w:val="en-AU"/>
        </w:rPr>
      </w:pPr>
      <w:r>
        <w:rPr>
          <w:rFonts w:cs="Times New Roman"/>
          <w:lang w:val="en-AU"/>
        </w:rPr>
        <w:t xml:space="preserve">d) </w:t>
      </w:r>
      <w:proofErr w:type="gramStart"/>
      <w:r>
        <w:rPr>
          <w:rFonts w:cs="Times New Roman"/>
          <w:lang w:val="en-AU"/>
        </w:rPr>
        <w:t>exempt</w:t>
      </w:r>
      <w:proofErr w:type="gramEnd"/>
      <w:r>
        <w:rPr>
          <w:rFonts w:cs="Times New Roman"/>
          <w:lang w:val="en-AU"/>
        </w:rPr>
        <w:t xml:space="preserve"> foreign employment income (nil paid by the Commission during the year).</w:t>
      </w:r>
    </w:p>
    <w:p w14:paraId="5DAEC379" w14:textId="77777777" w:rsidR="00C57C9F" w:rsidRDefault="00C57C9F" w:rsidP="006F421D">
      <w:pPr>
        <w:pStyle w:val="fins-disclaimer"/>
        <w:ind w:left="284" w:hanging="284"/>
        <w:divId w:val="1450737271"/>
        <w:rPr>
          <w:rFonts w:cs="Times New Roman"/>
          <w:lang w:val="en-AU"/>
        </w:rPr>
      </w:pPr>
      <w:r>
        <w:rPr>
          <w:rFonts w:cs="Times New Roman"/>
          <w:lang w:val="en-AU"/>
        </w:rPr>
        <w:t>3. The ‘contributed superannuation’ amount is the average cost to the Commission for the provision of superannuation benefits to substantive senior executives in that reportable remuneration band during the reporting period.</w:t>
      </w:r>
    </w:p>
    <w:p w14:paraId="148DF2CB" w14:textId="77777777" w:rsidR="00C57C9F" w:rsidRDefault="00C57C9F" w:rsidP="006F421D">
      <w:pPr>
        <w:pStyle w:val="fins-disclaimer"/>
        <w:ind w:left="284" w:hanging="284"/>
        <w:divId w:val="1450737271"/>
        <w:rPr>
          <w:rFonts w:cs="Times New Roman"/>
          <w:lang w:val="en-AU"/>
        </w:rPr>
      </w:pPr>
      <w:r>
        <w:rPr>
          <w:rFonts w:cs="Times New Roman"/>
          <w:lang w:val="en-AU"/>
        </w:rPr>
        <w:t>4. ‘Reportable allowances’ are the average actual allowances paid as per the ‘total allowances’ line on individuals’ payment summaries.</w:t>
      </w:r>
    </w:p>
    <w:p w14:paraId="24A81690" w14:textId="77777777" w:rsidR="00C57C9F" w:rsidRDefault="00C57C9F" w:rsidP="006F421D">
      <w:pPr>
        <w:pStyle w:val="fins-disclaimer"/>
        <w:tabs>
          <w:tab w:val="left" w:pos="284"/>
        </w:tabs>
        <w:ind w:left="284" w:hanging="284"/>
        <w:divId w:val="1450737271"/>
        <w:rPr>
          <w:rFonts w:cs="Times New Roman"/>
          <w:lang w:val="en-AU"/>
        </w:rPr>
      </w:pPr>
      <w:r>
        <w:rPr>
          <w:rFonts w:cs="Times New Roman"/>
          <w:lang w:val="en-AU"/>
        </w:rPr>
        <w:t xml:space="preserve">5. ‘Bonus paid’ represents average actual bonuses paid during the reporting period in that reportable remuneration band. The ‘bonus paid’ within a particular band may vary between financial years due to various factors such as individuals commencing with or leaving the Commission during the financial year. </w:t>
      </w:r>
    </w:p>
    <w:p w14:paraId="5F764A5B" w14:textId="77777777" w:rsidR="00C57C9F" w:rsidRDefault="00C57C9F">
      <w:pPr>
        <w:rPr>
          <w:rFonts w:cs="Times New Roman"/>
          <w:b/>
          <w:sz w:val="24"/>
        </w:rPr>
      </w:pPr>
      <w:r>
        <w:rPr>
          <w:rFonts w:cs="Times New Roman"/>
        </w:rPr>
        <w:br w:type="page"/>
      </w:r>
    </w:p>
    <w:p w14:paraId="580F802A" w14:textId="77777777" w:rsidR="00C57C9F" w:rsidRDefault="00C57C9F">
      <w:pPr>
        <w:pStyle w:val="1heading-3"/>
        <w:divId w:val="1450737271"/>
        <w:rPr>
          <w:rFonts w:cs="Times New Roman"/>
          <w:lang w:val="en-AU"/>
        </w:rPr>
      </w:pPr>
      <w:r>
        <w:rPr>
          <w:rFonts w:cs="Times New Roman"/>
          <w:lang w:val="en-AU"/>
        </w:rPr>
        <w:lastRenderedPageBreak/>
        <w:t>Note 14C: Other Highly Paid Staff</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9"/>
        <w:gridCol w:w="505"/>
        <w:gridCol w:w="1408"/>
        <w:gridCol w:w="2143"/>
        <w:gridCol w:w="1672"/>
        <w:gridCol w:w="914"/>
        <w:gridCol w:w="798"/>
      </w:tblGrid>
      <w:tr w:rsidR="00C57C9F" w14:paraId="488AE01F" w14:textId="77777777" w:rsidTr="006F421D">
        <w:trPr>
          <w:divId w:val="1450737271"/>
          <w:tblCellSpacing w:w="15" w:type="dxa"/>
        </w:trPr>
        <w:tc>
          <w:tcPr>
            <w:tcW w:w="0" w:type="auto"/>
            <w:vAlign w:val="center"/>
            <w:hideMark/>
          </w:tcPr>
          <w:p w14:paraId="65B4B5CE" w14:textId="77777777" w:rsidR="00C57C9F" w:rsidRDefault="00C57C9F">
            <w:pPr>
              <w:rPr>
                <w:rFonts w:eastAsia="Times New Roman" w:cs="Times New Roman"/>
              </w:rPr>
            </w:pPr>
          </w:p>
        </w:tc>
        <w:tc>
          <w:tcPr>
            <w:tcW w:w="0" w:type="auto"/>
            <w:gridSpan w:val="6"/>
            <w:tcBorders>
              <w:bottom w:val="single" w:sz="4" w:space="0" w:color="0D0D0D" w:themeColor="text1" w:themeTint="F2"/>
            </w:tcBorders>
            <w:vAlign w:val="center"/>
            <w:hideMark/>
          </w:tcPr>
          <w:p w14:paraId="60AF84EA" w14:textId="77777777" w:rsidR="00C57C9F" w:rsidRDefault="00C57C9F" w:rsidP="006F421D">
            <w:pPr>
              <w:pStyle w:val="3fins-table-figures-c"/>
              <w:jc w:val="center"/>
              <w:rPr>
                <w:rFonts w:cs="Times New Roman"/>
              </w:rPr>
            </w:pPr>
            <w:r>
              <w:rPr>
                <w:rStyle w:val="fins-bold"/>
                <w:rFonts w:cs="Times New Roman"/>
              </w:rPr>
              <w:t>2014</w:t>
            </w:r>
          </w:p>
        </w:tc>
      </w:tr>
      <w:tr w:rsidR="00C57C9F" w14:paraId="1804458A" w14:textId="77777777">
        <w:trPr>
          <w:divId w:val="1450737271"/>
          <w:tblCellSpacing w:w="15" w:type="dxa"/>
        </w:trPr>
        <w:tc>
          <w:tcPr>
            <w:tcW w:w="0" w:type="auto"/>
            <w:vAlign w:val="center"/>
            <w:hideMark/>
          </w:tcPr>
          <w:p w14:paraId="12C4DA4F" w14:textId="77777777" w:rsidR="00C57C9F" w:rsidRDefault="00C57C9F">
            <w:pPr>
              <w:pStyle w:val="3fins-table"/>
              <w:rPr>
                <w:rFonts w:cs="Times New Roman"/>
              </w:rPr>
            </w:pPr>
            <w:r>
              <w:rPr>
                <w:rStyle w:val="fins-bold"/>
                <w:rFonts w:cs="Times New Roman"/>
              </w:rPr>
              <w:t>Average annual reportable remuneration</w:t>
            </w:r>
            <w:r>
              <w:rPr>
                <w:rStyle w:val="superscript"/>
                <w:rFonts w:cs="Times New Roman"/>
              </w:rPr>
              <w:t>1</w:t>
            </w:r>
          </w:p>
        </w:tc>
        <w:tc>
          <w:tcPr>
            <w:tcW w:w="0" w:type="auto"/>
            <w:vAlign w:val="center"/>
            <w:hideMark/>
          </w:tcPr>
          <w:p w14:paraId="24F7C265" w14:textId="77777777" w:rsidR="00C57C9F" w:rsidRDefault="00C57C9F" w:rsidP="006F421D">
            <w:pPr>
              <w:pStyle w:val="3fins-table-figures"/>
              <w:jc w:val="center"/>
              <w:rPr>
                <w:rFonts w:cs="Times New Roman"/>
              </w:rPr>
            </w:pPr>
            <w:r>
              <w:rPr>
                <w:rStyle w:val="fins-bold"/>
                <w:rFonts w:cs="Times New Roman"/>
              </w:rPr>
              <w:t>Staff</w:t>
            </w:r>
          </w:p>
        </w:tc>
        <w:tc>
          <w:tcPr>
            <w:tcW w:w="0" w:type="auto"/>
            <w:vAlign w:val="center"/>
            <w:hideMark/>
          </w:tcPr>
          <w:p w14:paraId="4FE97149" w14:textId="77777777" w:rsidR="00C57C9F" w:rsidRDefault="00C57C9F" w:rsidP="006F421D">
            <w:pPr>
              <w:pStyle w:val="3fins-table-figures"/>
              <w:jc w:val="right"/>
              <w:rPr>
                <w:rFonts w:cs="Times New Roman"/>
              </w:rPr>
            </w:pPr>
            <w:r>
              <w:rPr>
                <w:rStyle w:val="fins-bold"/>
                <w:rFonts w:cs="Times New Roman"/>
              </w:rPr>
              <w:t>Reportable salary</w:t>
            </w:r>
            <w:r>
              <w:rPr>
                <w:rStyle w:val="superscript"/>
                <w:rFonts w:cs="Times New Roman"/>
              </w:rPr>
              <w:t>2</w:t>
            </w:r>
          </w:p>
        </w:tc>
        <w:tc>
          <w:tcPr>
            <w:tcW w:w="0" w:type="auto"/>
            <w:vAlign w:val="center"/>
            <w:hideMark/>
          </w:tcPr>
          <w:p w14:paraId="49ABDA21" w14:textId="77777777" w:rsidR="00C57C9F" w:rsidRDefault="00C57C9F" w:rsidP="006F421D">
            <w:pPr>
              <w:pStyle w:val="3fins-table-figures"/>
              <w:jc w:val="right"/>
              <w:rPr>
                <w:rFonts w:cs="Times New Roman"/>
              </w:rPr>
            </w:pPr>
            <w:r>
              <w:rPr>
                <w:rStyle w:val="fins-bold"/>
                <w:rFonts w:cs="Times New Roman"/>
              </w:rPr>
              <w:t>Contributed superannuation</w:t>
            </w:r>
            <w:r>
              <w:rPr>
                <w:rStyle w:val="superscript"/>
                <w:rFonts w:cs="Times New Roman"/>
              </w:rPr>
              <w:t>3</w:t>
            </w:r>
          </w:p>
        </w:tc>
        <w:tc>
          <w:tcPr>
            <w:tcW w:w="0" w:type="auto"/>
            <w:vAlign w:val="center"/>
            <w:hideMark/>
          </w:tcPr>
          <w:p w14:paraId="60DC114F" w14:textId="77777777" w:rsidR="00C57C9F" w:rsidRDefault="00C57C9F" w:rsidP="006F421D">
            <w:pPr>
              <w:pStyle w:val="3fins-table-figures"/>
              <w:jc w:val="right"/>
              <w:rPr>
                <w:rFonts w:cs="Times New Roman"/>
              </w:rPr>
            </w:pPr>
            <w:r>
              <w:rPr>
                <w:rStyle w:val="fins-bold"/>
                <w:rFonts w:cs="Times New Roman"/>
              </w:rPr>
              <w:t>Reportable allowances</w:t>
            </w:r>
            <w:r>
              <w:rPr>
                <w:rStyle w:val="superscript"/>
                <w:rFonts w:cs="Times New Roman"/>
              </w:rPr>
              <w:t>4</w:t>
            </w:r>
          </w:p>
        </w:tc>
        <w:tc>
          <w:tcPr>
            <w:tcW w:w="0" w:type="auto"/>
            <w:vAlign w:val="center"/>
            <w:hideMark/>
          </w:tcPr>
          <w:p w14:paraId="7590DE0F" w14:textId="77777777" w:rsidR="00C57C9F" w:rsidRDefault="00C57C9F" w:rsidP="006F421D">
            <w:pPr>
              <w:pStyle w:val="3fins-table-figures"/>
              <w:jc w:val="right"/>
              <w:rPr>
                <w:rFonts w:cs="Times New Roman"/>
              </w:rPr>
            </w:pPr>
            <w:r>
              <w:rPr>
                <w:rStyle w:val="fins-bold"/>
                <w:rFonts w:cs="Times New Roman"/>
              </w:rPr>
              <w:t>Bonus paid</w:t>
            </w:r>
            <w:r>
              <w:rPr>
                <w:rStyle w:val="superscript"/>
                <w:rFonts w:cs="Times New Roman"/>
              </w:rPr>
              <w:t>5</w:t>
            </w:r>
          </w:p>
        </w:tc>
        <w:tc>
          <w:tcPr>
            <w:tcW w:w="0" w:type="auto"/>
            <w:vAlign w:val="center"/>
            <w:hideMark/>
          </w:tcPr>
          <w:p w14:paraId="51A3E7E6" w14:textId="77777777" w:rsidR="00C57C9F" w:rsidRDefault="00C57C9F" w:rsidP="006F421D">
            <w:pPr>
              <w:pStyle w:val="3fins-table-figures"/>
              <w:jc w:val="right"/>
              <w:rPr>
                <w:rFonts w:cs="Times New Roman"/>
              </w:rPr>
            </w:pPr>
            <w:r>
              <w:rPr>
                <w:rStyle w:val="fins-bold"/>
                <w:rFonts w:cs="Times New Roman"/>
              </w:rPr>
              <w:t>Total</w:t>
            </w:r>
          </w:p>
        </w:tc>
      </w:tr>
      <w:tr w:rsidR="00C57C9F" w14:paraId="3A72BE43" w14:textId="77777777" w:rsidTr="006F421D">
        <w:trPr>
          <w:divId w:val="1450737271"/>
          <w:tblCellSpacing w:w="15" w:type="dxa"/>
        </w:trPr>
        <w:tc>
          <w:tcPr>
            <w:tcW w:w="0" w:type="auto"/>
            <w:tcBorders>
              <w:bottom w:val="single" w:sz="4" w:space="0" w:color="0D0D0D" w:themeColor="text1" w:themeTint="F2"/>
            </w:tcBorders>
            <w:vAlign w:val="center"/>
            <w:hideMark/>
          </w:tcPr>
          <w:p w14:paraId="76EC7095" w14:textId="77777777" w:rsidR="00C57C9F" w:rsidRDefault="00C57C9F">
            <w:pPr>
              <w:rPr>
                <w:rFonts w:eastAsia="Times New Roman" w:cs="Times New Roman"/>
              </w:rPr>
            </w:pPr>
          </w:p>
        </w:tc>
        <w:tc>
          <w:tcPr>
            <w:tcW w:w="0" w:type="auto"/>
            <w:tcBorders>
              <w:bottom w:val="single" w:sz="4" w:space="0" w:color="0D0D0D" w:themeColor="text1" w:themeTint="F2"/>
            </w:tcBorders>
            <w:vAlign w:val="center"/>
            <w:hideMark/>
          </w:tcPr>
          <w:p w14:paraId="67A7FFD5" w14:textId="77777777" w:rsidR="00C57C9F" w:rsidRDefault="00C57C9F" w:rsidP="006F421D">
            <w:pPr>
              <w:pStyle w:val="3fins-table-figures"/>
              <w:jc w:val="center"/>
              <w:rPr>
                <w:rFonts w:cs="Times New Roman"/>
              </w:rPr>
            </w:pPr>
            <w:r>
              <w:rPr>
                <w:rStyle w:val="fins-bold"/>
                <w:rFonts w:cs="Times New Roman"/>
              </w:rPr>
              <w:t>No.</w:t>
            </w:r>
          </w:p>
        </w:tc>
        <w:tc>
          <w:tcPr>
            <w:tcW w:w="0" w:type="auto"/>
            <w:tcBorders>
              <w:bottom w:val="single" w:sz="4" w:space="0" w:color="0D0D0D" w:themeColor="text1" w:themeTint="F2"/>
            </w:tcBorders>
            <w:vAlign w:val="center"/>
            <w:hideMark/>
          </w:tcPr>
          <w:p w14:paraId="330E8A63"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4FDFC30B"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564A56FC"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7CF7E127"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4C858CAE" w14:textId="77777777" w:rsidR="00C57C9F" w:rsidRDefault="00C57C9F" w:rsidP="006F421D">
            <w:pPr>
              <w:pStyle w:val="3fins-table-figures"/>
              <w:jc w:val="right"/>
              <w:rPr>
                <w:rFonts w:cs="Times New Roman"/>
              </w:rPr>
            </w:pPr>
            <w:r>
              <w:rPr>
                <w:rStyle w:val="fins-bold"/>
                <w:rFonts w:cs="Times New Roman"/>
              </w:rPr>
              <w:t>$</w:t>
            </w:r>
          </w:p>
        </w:tc>
      </w:tr>
      <w:tr w:rsidR="00C57C9F" w14:paraId="4E24CA95" w14:textId="77777777">
        <w:trPr>
          <w:divId w:val="1450737271"/>
          <w:tblCellSpacing w:w="15" w:type="dxa"/>
        </w:trPr>
        <w:tc>
          <w:tcPr>
            <w:tcW w:w="0" w:type="auto"/>
            <w:vAlign w:val="center"/>
            <w:hideMark/>
          </w:tcPr>
          <w:p w14:paraId="5EF9DC04" w14:textId="77777777" w:rsidR="00C57C9F" w:rsidRDefault="00C57C9F">
            <w:pPr>
              <w:pStyle w:val="3fins-table"/>
              <w:rPr>
                <w:rFonts w:cs="Times New Roman"/>
              </w:rPr>
            </w:pPr>
            <w:r>
              <w:rPr>
                <w:rStyle w:val="fins-bold"/>
                <w:rFonts w:cs="Times New Roman"/>
              </w:rPr>
              <w:t>Total remuneration (including part-time arrangements):</w:t>
            </w:r>
          </w:p>
        </w:tc>
        <w:tc>
          <w:tcPr>
            <w:tcW w:w="0" w:type="auto"/>
            <w:vAlign w:val="center"/>
            <w:hideMark/>
          </w:tcPr>
          <w:p w14:paraId="327A70D4" w14:textId="77777777" w:rsidR="00C57C9F" w:rsidRDefault="00C57C9F" w:rsidP="006F421D">
            <w:pPr>
              <w:jc w:val="center"/>
              <w:rPr>
                <w:rFonts w:eastAsia="Times New Roman" w:cs="Times New Roman"/>
              </w:rPr>
            </w:pPr>
          </w:p>
        </w:tc>
        <w:tc>
          <w:tcPr>
            <w:tcW w:w="0" w:type="auto"/>
            <w:vAlign w:val="center"/>
            <w:hideMark/>
          </w:tcPr>
          <w:p w14:paraId="1E4733A8" w14:textId="77777777" w:rsidR="00C57C9F" w:rsidRDefault="00C57C9F" w:rsidP="006F421D">
            <w:pPr>
              <w:jc w:val="right"/>
              <w:rPr>
                <w:rFonts w:eastAsia="Times New Roman" w:cs="Times New Roman"/>
              </w:rPr>
            </w:pPr>
          </w:p>
        </w:tc>
        <w:tc>
          <w:tcPr>
            <w:tcW w:w="0" w:type="auto"/>
            <w:vAlign w:val="center"/>
            <w:hideMark/>
          </w:tcPr>
          <w:p w14:paraId="2C95882D" w14:textId="77777777" w:rsidR="00C57C9F" w:rsidRDefault="00C57C9F" w:rsidP="006F421D">
            <w:pPr>
              <w:jc w:val="right"/>
              <w:rPr>
                <w:rFonts w:eastAsia="Times New Roman" w:cs="Times New Roman"/>
              </w:rPr>
            </w:pPr>
          </w:p>
        </w:tc>
        <w:tc>
          <w:tcPr>
            <w:tcW w:w="0" w:type="auto"/>
            <w:vAlign w:val="center"/>
            <w:hideMark/>
          </w:tcPr>
          <w:p w14:paraId="7F95FF82" w14:textId="77777777" w:rsidR="00C57C9F" w:rsidRDefault="00C57C9F" w:rsidP="006F421D">
            <w:pPr>
              <w:jc w:val="right"/>
              <w:rPr>
                <w:rFonts w:eastAsia="Times New Roman" w:cs="Times New Roman"/>
              </w:rPr>
            </w:pPr>
          </w:p>
        </w:tc>
        <w:tc>
          <w:tcPr>
            <w:tcW w:w="0" w:type="auto"/>
            <w:vAlign w:val="center"/>
            <w:hideMark/>
          </w:tcPr>
          <w:p w14:paraId="38782446" w14:textId="77777777" w:rsidR="00C57C9F" w:rsidRDefault="00C57C9F" w:rsidP="006F421D">
            <w:pPr>
              <w:jc w:val="right"/>
              <w:rPr>
                <w:rFonts w:eastAsia="Times New Roman" w:cs="Times New Roman"/>
              </w:rPr>
            </w:pPr>
          </w:p>
        </w:tc>
        <w:tc>
          <w:tcPr>
            <w:tcW w:w="0" w:type="auto"/>
            <w:vAlign w:val="center"/>
            <w:hideMark/>
          </w:tcPr>
          <w:p w14:paraId="7414699E" w14:textId="77777777" w:rsidR="00C57C9F" w:rsidRDefault="00C57C9F" w:rsidP="006F421D">
            <w:pPr>
              <w:jc w:val="right"/>
              <w:rPr>
                <w:rFonts w:eastAsia="Times New Roman" w:cs="Times New Roman"/>
              </w:rPr>
            </w:pPr>
          </w:p>
        </w:tc>
      </w:tr>
      <w:tr w:rsidR="00C57C9F" w14:paraId="6B087816" w14:textId="77777777">
        <w:trPr>
          <w:divId w:val="1450737271"/>
          <w:tblCellSpacing w:w="15" w:type="dxa"/>
        </w:trPr>
        <w:tc>
          <w:tcPr>
            <w:tcW w:w="0" w:type="auto"/>
            <w:vAlign w:val="center"/>
            <w:hideMark/>
          </w:tcPr>
          <w:p w14:paraId="747C9D74" w14:textId="77777777" w:rsidR="00C57C9F" w:rsidRDefault="00C57C9F" w:rsidP="006F421D">
            <w:pPr>
              <w:pStyle w:val="3fins-table"/>
              <w:ind w:left="284"/>
              <w:rPr>
                <w:rFonts w:cs="Times New Roman"/>
              </w:rPr>
            </w:pPr>
            <w:r>
              <w:rPr>
                <w:rFonts w:cs="Times New Roman"/>
              </w:rPr>
              <w:t>$195,000 to $224,999</w:t>
            </w:r>
          </w:p>
        </w:tc>
        <w:tc>
          <w:tcPr>
            <w:tcW w:w="0" w:type="auto"/>
            <w:vAlign w:val="center"/>
            <w:hideMark/>
          </w:tcPr>
          <w:p w14:paraId="6BB1577C" w14:textId="77777777" w:rsidR="00C57C9F" w:rsidRDefault="00C57C9F" w:rsidP="006F421D">
            <w:pPr>
              <w:pStyle w:val="3fins-table-figures"/>
              <w:jc w:val="center"/>
              <w:rPr>
                <w:rFonts w:cs="Times New Roman"/>
              </w:rPr>
            </w:pPr>
            <w:r>
              <w:rPr>
                <w:rStyle w:val="fins-bold"/>
                <w:rFonts w:cs="Times New Roman"/>
              </w:rPr>
              <w:t>4</w:t>
            </w:r>
          </w:p>
        </w:tc>
        <w:tc>
          <w:tcPr>
            <w:tcW w:w="0" w:type="auto"/>
            <w:vAlign w:val="center"/>
            <w:hideMark/>
          </w:tcPr>
          <w:p w14:paraId="0D762311" w14:textId="77777777" w:rsidR="00C57C9F" w:rsidRDefault="00C57C9F" w:rsidP="006F421D">
            <w:pPr>
              <w:pStyle w:val="3fins-table-figures"/>
              <w:jc w:val="right"/>
              <w:rPr>
                <w:rFonts w:cs="Times New Roman"/>
              </w:rPr>
            </w:pPr>
            <w:r>
              <w:rPr>
                <w:rStyle w:val="fins-bold"/>
                <w:rFonts w:cs="Times New Roman"/>
              </w:rPr>
              <w:t xml:space="preserve">165,978 </w:t>
            </w:r>
          </w:p>
        </w:tc>
        <w:tc>
          <w:tcPr>
            <w:tcW w:w="0" w:type="auto"/>
            <w:vAlign w:val="center"/>
            <w:hideMark/>
          </w:tcPr>
          <w:p w14:paraId="082BEFC3" w14:textId="77777777" w:rsidR="00C57C9F" w:rsidRDefault="00C57C9F" w:rsidP="006F421D">
            <w:pPr>
              <w:pStyle w:val="3fins-table-figures"/>
              <w:jc w:val="right"/>
              <w:rPr>
                <w:rFonts w:cs="Times New Roman"/>
              </w:rPr>
            </w:pPr>
            <w:r>
              <w:rPr>
                <w:rStyle w:val="fins-bold"/>
                <w:rFonts w:cs="Times New Roman"/>
              </w:rPr>
              <w:t xml:space="preserve">27,858 </w:t>
            </w:r>
          </w:p>
        </w:tc>
        <w:tc>
          <w:tcPr>
            <w:tcW w:w="0" w:type="auto"/>
            <w:vAlign w:val="center"/>
            <w:hideMark/>
          </w:tcPr>
          <w:p w14:paraId="1899C23E" w14:textId="77777777" w:rsidR="00C57C9F" w:rsidRDefault="00C57C9F" w:rsidP="006F421D">
            <w:pPr>
              <w:pStyle w:val="3fins-table-figures"/>
              <w:jc w:val="right"/>
              <w:rPr>
                <w:rFonts w:cs="Times New Roman"/>
              </w:rPr>
            </w:pPr>
            <w:r>
              <w:rPr>
                <w:rStyle w:val="fins-bold"/>
                <w:rFonts w:cs="Times New Roman"/>
              </w:rPr>
              <w:t xml:space="preserve">161 </w:t>
            </w:r>
          </w:p>
        </w:tc>
        <w:tc>
          <w:tcPr>
            <w:tcW w:w="0" w:type="auto"/>
            <w:vAlign w:val="center"/>
            <w:hideMark/>
          </w:tcPr>
          <w:p w14:paraId="5DBD730D" w14:textId="77777777" w:rsidR="00C57C9F" w:rsidRDefault="00C57C9F" w:rsidP="006F421D">
            <w:pPr>
              <w:pStyle w:val="3fins-table-figures"/>
              <w:jc w:val="right"/>
              <w:rPr>
                <w:rFonts w:cs="Times New Roman"/>
              </w:rPr>
            </w:pPr>
            <w:r>
              <w:rPr>
                <w:rStyle w:val="fins-bold"/>
                <w:rFonts w:cs="Times New Roman"/>
              </w:rPr>
              <w:t xml:space="preserve">14,611 </w:t>
            </w:r>
          </w:p>
        </w:tc>
        <w:tc>
          <w:tcPr>
            <w:tcW w:w="0" w:type="auto"/>
            <w:vAlign w:val="center"/>
            <w:hideMark/>
          </w:tcPr>
          <w:p w14:paraId="47F3B235" w14:textId="77777777" w:rsidR="00C57C9F" w:rsidRDefault="00C57C9F" w:rsidP="006F421D">
            <w:pPr>
              <w:pStyle w:val="3fins-table-figures"/>
              <w:jc w:val="right"/>
              <w:rPr>
                <w:rFonts w:cs="Times New Roman"/>
              </w:rPr>
            </w:pPr>
            <w:r>
              <w:rPr>
                <w:rStyle w:val="fins-bold"/>
                <w:rFonts w:cs="Times New Roman"/>
              </w:rPr>
              <w:t xml:space="preserve">208,608 </w:t>
            </w:r>
          </w:p>
        </w:tc>
      </w:tr>
      <w:tr w:rsidR="00C57C9F" w14:paraId="432E10BE" w14:textId="77777777">
        <w:trPr>
          <w:divId w:val="1450737271"/>
          <w:tblCellSpacing w:w="15" w:type="dxa"/>
        </w:trPr>
        <w:tc>
          <w:tcPr>
            <w:tcW w:w="0" w:type="auto"/>
            <w:vAlign w:val="center"/>
            <w:hideMark/>
          </w:tcPr>
          <w:p w14:paraId="3EF3E638" w14:textId="77777777" w:rsidR="00C57C9F" w:rsidRDefault="00C57C9F" w:rsidP="006F421D">
            <w:pPr>
              <w:pStyle w:val="3fins-table"/>
              <w:ind w:left="284"/>
              <w:rPr>
                <w:rFonts w:cs="Times New Roman"/>
              </w:rPr>
            </w:pPr>
            <w:r>
              <w:rPr>
                <w:rFonts w:cs="Times New Roman"/>
              </w:rPr>
              <w:t>$225,000 to $254,999</w:t>
            </w:r>
          </w:p>
        </w:tc>
        <w:tc>
          <w:tcPr>
            <w:tcW w:w="0" w:type="auto"/>
            <w:vAlign w:val="center"/>
            <w:hideMark/>
          </w:tcPr>
          <w:p w14:paraId="2DD3C07F" w14:textId="77777777" w:rsidR="00C57C9F" w:rsidRDefault="00C57C9F" w:rsidP="006F421D">
            <w:pPr>
              <w:pStyle w:val="3fins-table-figures"/>
              <w:jc w:val="center"/>
              <w:rPr>
                <w:rFonts w:cs="Times New Roman"/>
              </w:rPr>
            </w:pPr>
            <w:r>
              <w:rPr>
                <w:rStyle w:val="fins-bold"/>
                <w:rFonts w:cs="Times New Roman"/>
              </w:rPr>
              <w:t>1</w:t>
            </w:r>
          </w:p>
        </w:tc>
        <w:tc>
          <w:tcPr>
            <w:tcW w:w="0" w:type="auto"/>
            <w:vAlign w:val="center"/>
            <w:hideMark/>
          </w:tcPr>
          <w:p w14:paraId="2F8C8CEC" w14:textId="77777777" w:rsidR="00C57C9F" w:rsidRDefault="00C57C9F" w:rsidP="006F421D">
            <w:pPr>
              <w:pStyle w:val="3fins-table-figures"/>
              <w:jc w:val="right"/>
              <w:rPr>
                <w:rFonts w:cs="Times New Roman"/>
              </w:rPr>
            </w:pPr>
            <w:r>
              <w:rPr>
                <w:rStyle w:val="fins-bold"/>
                <w:rFonts w:cs="Times New Roman"/>
              </w:rPr>
              <w:t xml:space="preserve">186,721 </w:t>
            </w:r>
          </w:p>
        </w:tc>
        <w:tc>
          <w:tcPr>
            <w:tcW w:w="0" w:type="auto"/>
            <w:vAlign w:val="center"/>
            <w:hideMark/>
          </w:tcPr>
          <w:p w14:paraId="3E0709D5" w14:textId="77777777" w:rsidR="00C57C9F" w:rsidRDefault="00C57C9F" w:rsidP="006F421D">
            <w:pPr>
              <w:pStyle w:val="3fins-table-figures"/>
              <w:jc w:val="right"/>
              <w:rPr>
                <w:rFonts w:cs="Times New Roman"/>
              </w:rPr>
            </w:pPr>
            <w:r>
              <w:rPr>
                <w:rStyle w:val="fins-bold"/>
                <w:rFonts w:cs="Times New Roman"/>
              </w:rPr>
              <w:t xml:space="preserve">27,853 </w:t>
            </w:r>
          </w:p>
        </w:tc>
        <w:tc>
          <w:tcPr>
            <w:tcW w:w="0" w:type="auto"/>
            <w:vAlign w:val="center"/>
            <w:hideMark/>
          </w:tcPr>
          <w:p w14:paraId="2F1110E3" w14:textId="77777777" w:rsidR="00C57C9F" w:rsidRDefault="00C57C9F" w:rsidP="006F421D">
            <w:pPr>
              <w:pStyle w:val="3fins-table-figures"/>
              <w:jc w:val="right"/>
              <w:rPr>
                <w:rFonts w:cs="Times New Roman"/>
              </w:rPr>
            </w:pPr>
            <w:r>
              <w:rPr>
                <w:rStyle w:val="fins-bold"/>
                <w:rFonts w:cs="Times New Roman"/>
              </w:rPr>
              <w:t xml:space="preserve">606 </w:t>
            </w:r>
          </w:p>
        </w:tc>
        <w:tc>
          <w:tcPr>
            <w:tcW w:w="0" w:type="auto"/>
            <w:vAlign w:val="center"/>
            <w:hideMark/>
          </w:tcPr>
          <w:p w14:paraId="3CC1AC82" w14:textId="77777777" w:rsidR="00C57C9F" w:rsidRDefault="00C57C9F" w:rsidP="006F421D">
            <w:pPr>
              <w:pStyle w:val="3fins-table-figures"/>
              <w:jc w:val="right"/>
              <w:rPr>
                <w:rFonts w:cs="Times New Roman"/>
              </w:rPr>
            </w:pPr>
            <w:r>
              <w:rPr>
                <w:rStyle w:val="fins-bold"/>
                <w:rFonts w:cs="Times New Roman"/>
              </w:rPr>
              <w:t xml:space="preserve">17,590 </w:t>
            </w:r>
          </w:p>
        </w:tc>
        <w:tc>
          <w:tcPr>
            <w:tcW w:w="0" w:type="auto"/>
            <w:vAlign w:val="center"/>
            <w:hideMark/>
          </w:tcPr>
          <w:p w14:paraId="6D03BB1C" w14:textId="77777777" w:rsidR="00C57C9F" w:rsidRDefault="00C57C9F" w:rsidP="006F421D">
            <w:pPr>
              <w:pStyle w:val="3fins-table-figures"/>
              <w:jc w:val="right"/>
              <w:rPr>
                <w:rFonts w:cs="Times New Roman"/>
              </w:rPr>
            </w:pPr>
            <w:r>
              <w:rPr>
                <w:rStyle w:val="fins-bold"/>
                <w:rFonts w:cs="Times New Roman"/>
              </w:rPr>
              <w:t xml:space="preserve">232,770 </w:t>
            </w:r>
          </w:p>
        </w:tc>
      </w:tr>
      <w:tr w:rsidR="00C57C9F" w14:paraId="7F17279A" w14:textId="77777777" w:rsidTr="006F421D">
        <w:trPr>
          <w:divId w:val="1450737271"/>
          <w:tblCellSpacing w:w="15" w:type="dxa"/>
        </w:trPr>
        <w:tc>
          <w:tcPr>
            <w:tcW w:w="0" w:type="auto"/>
            <w:vAlign w:val="center"/>
            <w:hideMark/>
          </w:tcPr>
          <w:p w14:paraId="59450E55" w14:textId="77777777" w:rsidR="00C57C9F" w:rsidRDefault="00C57C9F" w:rsidP="006F421D">
            <w:pPr>
              <w:pStyle w:val="3fins-table"/>
              <w:ind w:left="284"/>
              <w:rPr>
                <w:rFonts w:cs="Times New Roman"/>
              </w:rPr>
            </w:pPr>
            <w:r>
              <w:rPr>
                <w:rFonts w:cs="Times New Roman"/>
              </w:rPr>
              <w:t>$255,000 to $284,999</w:t>
            </w:r>
          </w:p>
        </w:tc>
        <w:tc>
          <w:tcPr>
            <w:tcW w:w="0" w:type="auto"/>
            <w:tcBorders>
              <w:bottom w:val="single" w:sz="4" w:space="0" w:color="0D0D0D" w:themeColor="text1" w:themeTint="F2"/>
            </w:tcBorders>
            <w:vAlign w:val="center"/>
            <w:hideMark/>
          </w:tcPr>
          <w:p w14:paraId="4943AD64" w14:textId="77777777" w:rsidR="00C57C9F" w:rsidRDefault="00C57C9F" w:rsidP="006F421D">
            <w:pPr>
              <w:pStyle w:val="3fins-table-figures"/>
              <w:jc w:val="center"/>
              <w:rPr>
                <w:rFonts w:cs="Times New Roman"/>
              </w:rPr>
            </w:pPr>
            <w:r>
              <w:rPr>
                <w:rStyle w:val="fins-bold"/>
                <w:rFonts w:cs="Times New Roman"/>
              </w:rPr>
              <w:t>1</w:t>
            </w:r>
          </w:p>
        </w:tc>
        <w:tc>
          <w:tcPr>
            <w:tcW w:w="0" w:type="auto"/>
            <w:tcBorders>
              <w:bottom w:val="single" w:sz="4" w:space="0" w:color="0D0D0D" w:themeColor="text1" w:themeTint="F2"/>
            </w:tcBorders>
            <w:vAlign w:val="center"/>
            <w:hideMark/>
          </w:tcPr>
          <w:p w14:paraId="445FBF5A" w14:textId="77777777" w:rsidR="00C57C9F" w:rsidRDefault="00C57C9F" w:rsidP="006F421D">
            <w:pPr>
              <w:pStyle w:val="3fins-table-figures"/>
              <w:jc w:val="right"/>
              <w:rPr>
                <w:rFonts w:cs="Times New Roman"/>
              </w:rPr>
            </w:pPr>
            <w:r>
              <w:rPr>
                <w:rStyle w:val="fins-bold"/>
                <w:rFonts w:cs="Times New Roman"/>
              </w:rPr>
              <w:t xml:space="preserve">206,921 </w:t>
            </w:r>
          </w:p>
        </w:tc>
        <w:tc>
          <w:tcPr>
            <w:tcW w:w="0" w:type="auto"/>
            <w:tcBorders>
              <w:bottom w:val="single" w:sz="4" w:space="0" w:color="0D0D0D" w:themeColor="text1" w:themeTint="F2"/>
            </w:tcBorders>
            <w:vAlign w:val="center"/>
            <w:hideMark/>
          </w:tcPr>
          <w:p w14:paraId="283CBA5C" w14:textId="77777777" w:rsidR="00C57C9F" w:rsidRDefault="00C57C9F" w:rsidP="006F421D">
            <w:pPr>
              <w:pStyle w:val="3fins-table-figures"/>
              <w:jc w:val="right"/>
              <w:rPr>
                <w:rFonts w:cs="Times New Roman"/>
              </w:rPr>
            </w:pPr>
            <w:r>
              <w:rPr>
                <w:rStyle w:val="fins-bold"/>
                <w:rFonts w:cs="Times New Roman"/>
              </w:rPr>
              <w:t xml:space="preserve">36,304 </w:t>
            </w:r>
          </w:p>
        </w:tc>
        <w:tc>
          <w:tcPr>
            <w:tcW w:w="0" w:type="auto"/>
            <w:tcBorders>
              <w:bottom w:val="single" w:sz="4" w:space="0" w:color="0D0D0D" w:themeColor="text1" w:themeTint="F2"/>
            </w:tcBorders>
            <w:vAlign w:val="center"/>
            <w:hideMark/>
          </w:tcPr>
          <w:p w14:paraId="3CC62D05" w14:textId="77777777" w:rsidR="00C57C9F" w:rsidRDefault="00C57C9F" w:rsidP="006F421D">
            <w:pPr>
              <w:pStyle w:val="3fins-table-figures"/>
              <w:jc w:val="right"/>
              <w:rPr>
                <w:rFonts w:cs="Times New Roman"/>
              </w:rPr>
            </w:pPr>
            <w:r>
              <w:rPr>
                <w:rStyle w:val="fins-bold"/>
                <w:rFonts w:cs="Times New Roman"/>
              </w:rPr>
              <w:t>–</w:t>
            </w:r>
          </w:p>
        </w:tc>
        <w:tc>
          <w:tcPr>
            <w:tcW w:w="0" w:type="auto"/>
            <w:tcBorders>
              <w:bottom w:val="single" w:sz="4" w:space="0" w:color="0D0D0D" w:themeColor="text1" w:themeTint="F2"/>
            </w:tcBorders>
            <w:vAlign w:val="center"/>
            <w:hideMark/>
          </w:tcPr>
          <w:p w14:paraId="19B9EB3D" w14:textId="77777777" w:rsidR="00C57C9F" w:rsidRDefault="00C57C9F" w:rsidP="006F421D">
            <w:pPr>
              <w:pStyle w:val="3fins-table-figures"/>
              <w:jc w:val="right"/>
              <w:rPr>
                <w:rFonts w:cs="Times New Roman"/>
              </w:rPr>
            </w:pPr>
            <w:r>
              <w:rPr>
                <w:rStyle w:val="fins-bold"/>
                <w:rFonts w:cs="Times New Roman"/>
              </w:rPr>
              <w:t xml:space="preserve">26,311 </w:t>
            </w:r>
          </w:p>
        </w:tc>
        <w:tc>
          <w:tcPr>
            <w:tcW w:w="0" w:type="auto"/>
            <w:tcBorders>
              <w:bottom w:val="single" w:sz="4" w:space="0" w:color="0D0D0D" w:themeColor="text1" w:themeTint="F2"/>
            </w:tcBorders>
            <w:vAlign w:val="center"/>
            <w:hideMark/>
          </w:tcPr>
          <w:p w14:paraId="0C825583" w14:textId="77777777" w:rsidR="00C57C9F" w:rsidRDefault="00C57C9F" w:rsidP="006F421D">
            <w:pPr>
              <w:pStyle w:val="3fins-table-figures"/>
              <w:jc w:val="right"/>
              <w:rPr>
                <w:rFonts w:cs="Times New Roman"/>
              </w:rPr>
            </w:pPr>
            <w:r>
              <w:rPr>
                <w:rStyle w:val="fins-bold"/>
                <w:rFonts w:cs="Times New Roman"/>
              </w:rPr>
              <w:t xml:space="preserve">269,536 </w:t>
            </w:r>
          </w:p>
        </w:tc>
      </w:tr>
      <w:tr w:rsidR="00C57C9F" w14:paraId="69369E49" w14:textId="77777777" w:rsidTr="006F421D">
        <w:trPr>
          <w:divId w:val="1450737271"/>
          <w:tblCellSpacing w:w="15" w:type="dxa"/>
        </w:trPr>
        <w:tc>
          <w:tcPr>
            <w:tcW w:w="0" w:type="auto"/>
            <w:tcBorders>
              <w:bottom w:val="single" w:sz="4" w:space="0" w:color="0D0D0D" w:themeColor="text1" w:themeTint="F2"/>
            </w:tcBorders>
            <w:vAlign w:val="center"/>
            <w:hideMark/>
          </w:tcPr>
          <w:p w14:paraId="365734CF" w14:textId="77777777" w:rsidR="00C57C9F" w:rsidRDefault="00C57C9F">
            <w:pPr>
              <w:pStyle w:val="3fins-table"/>
              <w:rPr>
                <w:rFonts w:cs="Times New Roman"/>
              </w:rPr>
            </w:pPr>
            <w:r>
              <w:rPr>
                <w:rStyle w:val="fins-bold"/>
                <w:rFonts w:cs="Times New Roman"/>
              </w:rPr>
              <w:t>Total</w:t>
            </w:r>
          </w:p>
        </w:tc>
        <w:tc>
          <w:tcPr>
            <w:tcW w:w="0" w:type="auto"/>
            <w:tcBorders>
              <w:bottom w:val="single" w:sz="4" w:space="0" w:color="0D0D0D" w:themeColor="text1" w:themeTint="F2"/>
            </w:tcBorders>
            <w:vAlign w:val="center"/>
            <w:hideMark/>
          </w:tcPr>
          <w:p w14:paraId="4A91B866" w14:textId="77777777" w:rsidR="00C57C9F" w:rsidRDefault="00C57C9F" w:rsidP="006F421D">
            <w:pPr>
              <w:pStyle w:val="3fins-table-figures"/>
              <w:jc w:val="center"/>
              <w:rPr>
                <w:rFonts w:cs="Times New Roman"/>
              </w:rPr>
            </w:pPr>
            <w:r>
              <w:rPr>
                <w:rStyle w:val="fins-bold"/>
                <w:rFonts w:cs="Times New Roman"/>
              </w:rPr>
              <w:t>6</w:t>
            </w:r>
          </w:p>
        </w:tc>
        <w:tc>
          <w:tcPr>
            <w:tcW w:w="0" w:type="auto"/>
            <w:vAlign w:val="center"/>
            <w:hideMark/>
          </w:tcPr>
          <w:p w14:paraId="535BFAAB" w14:textId="77777777" w:rsidR="00C57C9F" w:rsidRDefault="00C57C9F" w:rsidP="006F421D">
            <w:pPr>
              <w:jc w:val="right"/>
              <w:rPr>
                <w:rFonts w:eastAsia="Times New Roman" w:cs="Times New Roman"/>
              </w:rPr>
            </w:pPr>
          </w:p>
        </w:tc>
        <w:tc>
          <w:tcPr>
            <w:tcW w:w="0" w:type="auto"/>
            <w:vAlign w:val="center"/>
            <w:hideMark/>
          </w:tcPr>
          <w:p w14:paraId="0AAC5541" w14:textId="77777777" w:rsidR="00C57C9F" w:rsidRDefault="00C57C9F" w:rsidP="006F421D">
            <w:pPr>
              <w:jc w:val="right"/>
              <w:rPr>
                <w:rFonts w:eastAsia="Times New Roman" w:cs="Times New Roman"/>
              </w:rPr>
            </w:pPr>
          </w:p>
        </w:tc>
        <w:tc>
          <w:tcPr>
            <w:tcW w:w="0" w:type="auto"/>
            <w:vAlign w:val="center"/>
            <w:hideMark/>
          </w:tcPr>
          <w:p w14:paraId="104F5E01" w14:textId="77777777" w:rsidR="00C57C9F" w:rsidRDefault="00C57C9F" w:rsidP="006F421D">
            <w:pPr>
              <w:jc w:val="right"/>
              <w:rPr>
                <w:rFonts w:eastAsia="Times New Roman" w:cs="Times New Roman"/>
              </w:rPr>
            </w:pPr>
          </w:p>
        </w:tc>
        <w:tc>
          <w:tcPr>
            <w:tcW w:w="0" w:type="auto"/>
            <w:vAlign w:val="center"/>
            <w:hideMark/>
          </w:tcPr>
          <w:p w14:paraId="4FD61977" w14:textId="77777777" w:rsidR="00C57C9F" w:rsidRDefault="00C57C9F" w:rsidP="006F421D">
            <w:pPr>
              <w:jc w:val="right"/>
              <w:rPr>
                <w:rFonts w:eastAsia="Times New Roman" w:cs="Times New Roman"/>
              </w:rPr>
            </w:pPr>
          </w:p>
        </w:tc>
        <w:tc>
          <w:tcPr>
            <w:tcW w:w="0" w:type="auto"/>
            <w:vAlign w:val="center"/>
            <w:hideMark/>
          </w:tcPr>
          <w:p w14:paraId="639BC08C" w14:textId="77777777" w:rsidR="00C57C9F" w:rsidRDefault="00C57C9F" w:rsidP="006F421D">
            <w:pPr>
              <w:jc w:val="right"/>
              <w:rPr>
                <w:rFonts w:eastAsia="Times New Roman" w:cs="Times New Roman"/>
              </w:rPr>
            </w:pPr>
          </w:p>
        </w:tc>
      </w:tr>
      <w:tr w:rsidR="00C57C9F" w14:paraId="221B1521" w14:textId="77777777" w:rsidTr="006F421D">
        <w:trPr>
          <w:divId w:val="1450737271"/>
          <w:tblCellSpacing w:w="15" w:type="dxa"/>
        </w:trPr>
        <w:tc>
          <w:tcPr>
            <w:tcW w:w="0" w:type="auto"/>
            <w:vAlign w:val="center"/>
            <w:hideMark/>
          </w:tcPr>
          <w:p w14:paraId="6F635825" w14:textId="77777777" w:rsidR="00C57C9F" w:rsidRDefault="00C57C9F">
            <w:pPr>
              <w:rPr>
                <w:rFonts w:eastAsia="Times New Roman" w:cs="Times New Roman"/>
              </w:rPr>
            </w:pPr>
          </w:p>
        </w:tc>
        <w:tc>
          <w:tcPr>
            <w:tcW w:w="0" w:type="auto"/>
            <w:gridSpan w:val="6"/>
            <w:tcBorders>
              <w:bottom w:val="single" w:sz="4" w:space="0" w:color="0D0D0D" w:themeColor="text1" w:themeTint="F2"/>
            </w:tcBorders>
            <w:vAlign w:val="center"/>
            <w:hideMark/>
          </w:tcPr>
          <w:p w14:paraId="5139666C" w14:textId="77777777" w:rsidR="00C57C9F" w:rsidRDefault="00C57C9F" w:rsidP="006F421D">
            <w:pPr>
              <w:pStyle w:val="3fins-table-figures-c"/>
              <w:jc w:val="center"/>
              <w:rPr>
                <w:rFonts w:cs="Times New Roman"/>
              </w:rPr>
            </w:pPr>
            <w:r>
              <w:rPr>
                <w:rFonts w:cs="Times New Roman"/>
              </w:rPr>
              <w:t>2013</w:t>
            </w:r>
          </w:p>
        </w:tc>
      </w:tr>
      <w:tr w:rsidR="00C57C9F" w14:paraId="0EF6FF6F" w14:textId="77777777">
        <w:trPr>
          <w:divId w:val="1450737271"/>
          <w:tblCellSpacing w:w="15" w:type="dxa"/>
        </w:trPr>
        <w:tc>
          <w:tcPr>
            <w:tcW w:w="0" w:type="auto"/>
            <w:vAlign w:val="center"/>
            <w:hideMark/>
          </w:tcPr>
          <w:p w14:paraId="040648F1" w14:textId="77777777" w:rsidR="00C57C9F" w:rsidRDefault="00C57C9F">
            <w:pPr>
              <w:pStyle w:val="3fins-table"/>
              <w:rPr>
                <w:rFonts w:cs="Times New Roman"/>
              </w:rPr>
            </w:pPr>
            <w:r>
              <w:rPr>
                <w:rFonts w:cs="Times New Roman"/>
              </w:rPr>
              <w:t>Average annual reportable remuneration</w:t>
            </w:r>
            <w:r>
              <w:rPr>
                <w:rStyle w:val="superscript"/>
                <w:rFonts w:cs="Times New Roman"/>
              </w:rPr>
              <w:t>1</w:t>
            </w:r>
          </w:p>
        </w:tc>
        <w:tc>
          <w:tcPr>
            <w:tcW w:w="0" w:type="auto"/>
            <w:vAlign w:val="center"/>
            <w:hideMark/>
          </w:tcPr>
          <w:p w14:paraId="0028F0A4" w14:textId="77777777" w:rsidR="00C57C9F" w:rsidRDefault="00C57C9F" w:rsidP="006F421D">
            <w:pPr>
              <w:pStyle w:val="3fins-table-figures"/>
              <w:jc w:val="center"/>
              <w:rPr>
                <w:rFonts w:cs="Times New Roman"/>
              </w:rPr>
            </w:pPr>
            <w:r>
              <w:rPr>
                <w:rFonts w:cs="Times New Roman"/>
              </w:rPr>
              <w:t>Staff</w:t>
            </w:r>
          </w:p>
        </w:tc>
        <w:tc>
          <w:tcPr>
            <w:tcW w:w="0" w:type="auto"/>
            <w:vAlign w:val="center"/>
            <w:hideMark/>
          </w:tcPr>
          <w:p w14:paraId="3DA461B3" w14:textId="77777777" w:rsidR="00C57C9F" w:rsidRDefault="00C57C9F" w:rsidP="006F421D">
            <w:pPr>
              <w:pStyle w:val="3fins-table-figures"/>
              <w:jc w:val="right"/>
              <w:rPr>
                <w:rFonts w:cs="Times New Roman"/>
              </w:rPr>
            </w:pPr>
            <w:r>
              <w:rPr>
                <w:rFonts w:cs="Times New Roman"/>
              </w:rPr>
              <w:t>Reportable salary</w:t>
            </w:r>
            <w:r>
              <w:rPr>
                <w:rStyle w:val="superscript"/>
                <w:rFonts w:cs="Times New Roman"/>
              </w:rPr>
              <w:t>2</w:t>
            </w:r>
          </w:p>
        </w:tc>
        <w:tc>
          <w:tcPr>
            <w:tcW w:w="0" w:type="auto"/>
            <w:vAlign w:val="center"/>
            <w:hideMark/>
          </w:tcPr>
          <w:p w14:paraId="6644EA9D" w14:textId="77777777" w:rsidR="00C57C9F" w:rsidRDefault="00C57C9F" w:rsidP="006F421D">
            <w:pPr>
              <w:pStyle w:val="3fins-table-figures"/>
              <w:jc w:val="right"/>
              <w:rPr>
                <w:rFonts w:cs="Times New Roman"/>
              </w:rPr>
            </w:pPr>
            <w:r>
              <w:rPr>
                <w:rFonts w:cs="Times New Roman"/>
              </w:rPr>
              <w:t>Contributed superannuation</w:t>
            </w:r>
            <w:r>
              <w:rPr>
                <w:rStyle w:val="superscript"/>
                <w:rFonts w:cs="Times New Roman"/>
              </w:rPr>
              <w:t>3</w:t>
            </w:r>
          </w:p>
        </w:tc>
        <w:tc>
          <w:tcPr>
            <w:tcW w:w="0" w:type="auto"/>
            <w:vAlign w:val="center"/>
            <w:hideMark/>
          </w:tcPr>
          <w:p w14:paraId="7CE98869" w14:textId="77777777" w:rsidR="00C57C9F" w:rsidRDefault="00C57C9F" w:rsidP="006F421D">
            <w:pPr>
              <w:pStyle w:val="3fins-table-figures"/>
              <w:jc w:val="right"/>
              <w:rPr>
                <w:rFonts w:cs="Times New Roman"/>
              </w:rPr>
            </w:pPr>
            <w:r>
              <w:rPr>
                <w:rFonts w:cs="Times New Roman"/>
              </w:rPr>
              <w:t>Reportable allowances</w:t>
            </w:r>
            <w:r>
              <w:rPr>
                <w:rStyle w:val="superscript"/>
                <w:rFonts w:cs="Times New Roman"/>
              </w:rPr>
              <w:t>4</w:t>
            </w:r>
          </w:p>
        </w:tc>
        <w:tc>
          <w:tcPr>
            <w:tcW w:w="0" w:type="auto"/>
            <w:vAlign w:val="center"/>
            <w:hideMark/>
          </w:tcPr>
          <w:p w14:paraId="26231C42" w14:textId="77777777" w:rsidR="00C57C9F" w:rsidRDefault="00C57C9F" w:rsidP="006F421D">
            <w:pPr>
              <w:pStyle w:val="3fins-table-figures"/>
              <w:jc w:val="right"/>
              <w:rPr>
                <w:rFonts w:cs="Times New Roman"/>
              </w:rPr>
            </w:pPr>
            <w:r>
              <w:rPr>
                <w:rFonts w:cs="Times New Roman"/>
              </w:rPr>
              <w:t>Bonus paid</w:t>
            </w:r>
            <w:r>
              <w:rPr>
                <w:rStyle w:val="superscript"/>
                <w:rFonts w:cs="Times New Roman"/>
              </w:rPr>
              <w:t>5</w:t>
            </w:r>
          </w:p>
        </w:tc>
        <w:tc>
          <w:tcPr>
            <w:tcW w:w="0" w:type="auto"/>
            <w:vAlign w:val="center"/>
            <w:hideMark/>
          </w:tcPr>
          <w:p w14:paraId="2BFFCA0C" w14:textId="77777777" w:rsidR="00C57C9F" w:rsidRDefault="00C57C9F" w:rsidP="006F421D">
            <w:pPr>
              <w:pStyle w:val="3fins-table-figures"/>
              <w:jc w:val="right"/>
              <w:rPr>
                <w:rFonts w:cs="Times New Roman"/>
              </w:rPr>
            </w:pPr>
            <w:r>
              <w:rPr>
                <w:rFonts w:cs="Times New Roman"/>
              </w:rPr>
              <w:t>Total</w:t>
            </w:r>
          </w:p>
        </w:tc>
      </w:tr>
      <w:tr w:rsidR="00C57C9F" w14:paraId="2A97EE3B" w14:textId="77777777" w:rsidTr="006F421D">
        <w:trPr>
          <w:divId w:val="1450737271"/>
          <w:tblCellSpacing w:w="15" w:type="dxa"/>
        </w:trPr>
        <w:tc>
          <w:tcPr>
            <w:tcW w:w="0" w:type="auto"/>
            <w:tcBorders>
              <w:bottom w:val="single" w:sz="4" w:space="0" w:color="0D0D0D" w:themeColor="text1" w:themeTint="F2"/>
            </w:tcBorders>
            <w:vAlign w:val="center"/>
            <w:hideMark/>
          </w:tcPr>
          <w:p w14:paraId="34B20D55" w14:textId="77777777" w:rsidR="00C57C9F" w:rsidRDefault="00C57C9F">
            <w:pPr>
              <w:rPr>
                <w:rFonts w:eastAsia="Times New Roman" w:cs="Times New Roman"/>
              </w:rPr>
            </w:pPr>
          </w:p>
        </w:tc>
        <w:tc>
          <w:tcPr>
            <w:tcW w:w="0" w:type="auto"/>
            <w:tcBorders>
              <w:bottom w:val="single" w:sz="4" w:space="0" w:color="0D0D0D" w:themeColor="text1" w:themeTint="F2"/>
            </w:tcBorders>
            <w:vAlign w:val="center"/>
            <w:hideMark/>
          </w:tcPr>
          <w:p w14:paraId="2DB63EB6" w14:textId="77777777" w:rsidR="00C57C9F" w:rsidRDefault="00C57C9F" w:rsidP="006F421D">
            <w:pPr>
              <w:pStyle w:val="3fins-table-figures"/>
              <w:jc w:val="center"/>
              <w:rPr>
                <w:rFonts w:cs="Times New Roman"/>
              </w:rPr>
            </w:pPr>
            <w:r>
              <w:rPr>
                <w:rFonts w:cs="Times New Roman"/>
              </w:rPr>
              <w:t>No.</w:t>
            </w:r>
          </w:p>
        </w:tc>
        <w:tc>
          <w:tcPr>
            <w:tcW w:w="0" w:type="auto"/>
            <w:tcBorders>
              <w:bottom w:val="single" w:sz="4" w:space="0" w:color="0D0D0D" w:themeColor="text1" w:themeTint="F2"/>
            </w:tcBorders>
            <w:vAlign w:val="center"/>
            <w:hideMark/>
          </w:tcPr>
          <w:p w14:paraId="439094DF"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1CAC172A"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11016C2B"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7E9F7327" w14:textId="77777777" w:rsidR="00C57C9F" w:rsidRDefault="00C57C9F" w:rsidP="006F421D">
            <w:pPr>
              <w:pStyle w:val="3fins-table-figures"/>
              <w:jc w:val="right"/>
              <w:rPr>
                <w:rFonts w:cs="Times New Roman"/>
              </w:rPr>
            </w:pPr>
            <w:r>
              <w:rPr>
                <w:rFonts w:cs="Times New Roman"/>
              </w:rPr>
              <w:t>$</w:t>
            </w:r>
          </w:p>
        </w:tc>
        <w:tc>
          <w:tcPr>
            <w:tcW w:w="0" w:type="auto"/>
            <w:tcBorders>
              <w:bottom w:val="single" w:sz="4" w:space="0" w:color="0D0D0D" w:themeColor="text1" w:themeTint="F2"/>
            </w:tcBorders>
            <w:vAlign w:val="center"/>
            <w:hideMark/>
          </w:tcPr>
          <w:p w14:paraId="46118E96" w14:textId="77777777" w:rsidR="00C57C9F" w:rsidRDefault="00C57C9F" w:rsidP="006F421D">
            <w:pPr>
              <w:pStyle w:val="3fins-table-figures"/>
              <w:jc w:val="right"/>
              <w:rPr>
                <w:rFonts w:cs="Times New Roman"/>
              </w:rPr>
            </w:pPr>
            <w:r>
              <w:rPr>
                <w:rFonts w:cs="Times New Roman"/>
              </w:rPr>
              <w:t>$</w:t>
            </w:r>
          </w:p>
        </w:tc>
      </w:tr>
      <w:tr w:rsidR="00C57C9F" w14:paraId="1ABB693E" w14:textId="77777777">
        <w:trPr>
          <w:divId w:val="1450737271"/>
          <w:tblCellSpacing w:w="15" w:type="dxa"/>
        </w:trPr>
        <w:tc>
          <w:tcPr>
            <w:tcW w:w="0" w:type="auto"/>
            <w:vAlign w:val="center"/>
            <w:hideMark/>
          </w:tcPr>
          <w:p w14:paraId="219B09D4" w14:textId="77777777" w:rsidR="00C57C9F" w:rsidRDefault="00C57C9F" w:rsidP="006F421D">
            <w:pPr>
              <w:pStyle w:val="3fins-table"/>
              <w:ind w:left="284"/>
              <w:rPr>
                <w:rFonts w:cs="Times New Roman"/>
              </w:rPr>
            </w:pPr>
            <w:r>
              <w:rPr>
                <w:rFonts w:cs="Times New Roman"/>
              </w:rPr>
              <w:t>$195,000 to $224,999</w:t>
            </w:r>
          </w:p>
        </w:tc>
        <w:tc>
          <w:tcPr>
            <w:tcW w:w="0" w:type="auto"/>
            <w:vAlign w:val="center"/>
            <w:hideMark/>
          </w:tcPr>
          <w:p w14:paraId="53D4CCED" w14:textId="77777777" w:rsidR="00C57C9F" w:rsidRDefault="00C57C9F" w:rsidP="006F421D">
            <w:pPr>
              <w:pStyle w:val="3fins-table-figures"/>
              <w:jc w:val="center"/>
              <w:rPr>
                <w:rFonts w:cs="Times New Roman"/>
              </w:rPr>
            </w:pPr>
            <w:r>
              <w:rPr>
                <w:rFonts w:cs="Times New Roman"/>
              </w:rPr>
              <w:t>3</w:t>
            </w:r>
          </w:p>
        </w:tc>
        <w:tc>
          <w:tcPr>
            <w:tcW w:w="0" w:type="auto"/>
            <w:vAlign w:val="center"/>
            <w:hideMark/>
          </w:tcPr>
          <w:p w14:paraId="25C681CE" w14:textId="77777777" w:rsidR="00C57C9F" w:rsidRDefault="00C57C9F" w:rsidP="006F421D">
            <w:pPr>
              <w:pStyle w:val="3fins-table-figures"/>
              <w:jc w:val="right"/>
              <w:rPr>
                <w:rFonts w:cs="Times New Roman"/>
              </w:rPr>
            </w:pPr>
            <w:r>
              <w:rPr>
                <w:rFonts w:cs="Times New Roman"/>
              </w:rPr>
              <w:t xml:space="preserve">158,612 </w:t>
            </w:r>
          </w:p>
        </w:tc>
        <w:tc>
          <w:tcPr>
            <w:tcW w:w="0" w:type="auto"/>
            <w:vAlign w:val="center"/>
            <w:hideMark/>
          </w:tcPr>
          <w:p w14:paraId="4B6E9048" w14:textId="77777777" w:rsidR="00C57C9F" w:rsidRDefault="00C57C9F" w:rsidP="006F421D">
            <w:pPr>
              <w:pStyle w:val="3fins-table-figures"/>
              <w:jc w:val="right"/>
              <w:rPr>
                <w:rFonts w:cs="Times New Roman"/>
              </w:rPr>
            </w:pPr>
            <w:r>
              <w:rPr>
                <w:rFonts w:cs="Times New Roman"/>
              </w:rPr>
              <w:t xml:space="preserve">27,060 </w:t>
            </w:r>
          </w:p>
        </w:tc>
        <w:tc>
          <w:tcPr>
            <w:tcW w:w="0" w:type="auto"/>
            <w:vAlign w:val="center"/>
            <w:hideMark/>
          </w:tcPr>
          <w:p w14:paraId="6BA1E8D4" w14:textId="77777777" w:rsidR="00C57C9F" w:rsidRDefault="00C57C9F" w:rsidP="006F421D">
            <w:pPr>
              <w:pStyle w:val="3fins-table-figures"/>
              <w:jc w:val="right"/>
              <w:rPr>
                <w:rFonts w:cs="Times New Roman"/>
              </w:rPr>
            </w:pPr>
            <w:r>
              <w:rPr>
                <w:rFonts w:cs="Times New Roman"/>
              </w:rPr>
              <w:t xml:space="preserve">- </w:t>
            </w:r>
          </w:p>
        </w:tc>
        <w:tc>
          <w:tcPr>
            <w:tcW w:w="0" w:type="auto"/>
            <w:vAlign w:val="center"/>
            <w:hideMark/>
          </w:tcPr>
          <w:p w14:paraId="3D6E0294" w14:textId="77777777" w:rsidR="00C57C9F" w:rsidRDefault="00C57C9F" w:rsidP="006F421D">
            <w:pPr>
              <w:pStyle w:val="3fins-table-figures"/>
              <w:jc w:val="right"/>
              <w:rPr>
                <w:rFonts w:cs="Times New Roman"/>
              </w:rPr>
            </w:pPr>
            <w:r>
              <w:rPr>
                <w:rFonts w:cs="Times New Roman"/>
              </w:rPr>
              <w:t>16,915</w:t>
            </w:r>
          </w:p>
        </w:tc>
        <w:tc>
          <w:tcPr>
            <w:tcW w:w="0" w:type="auto"/>
            <w:vAlign w:val="center"/>
            <w:hideMark/>
          </w:tcPr>
          <w:p w14:paraId="4065C175" w14:textId="77777777" w:rsidR="00C57C9F" w:rsidRDefault="00C57C9F" w:rsidP="006F421D">
            <w:pPr>
              <w:pStyle w:val="3fins-table-figures"/>
              <w:jc w:val="right"/>
              <w:rPr>
                <w:rFonts w:cs="Times New Roman"/>
              </w:rPr>
            </w:pPr>
            <w:r>
              <w:rPr>
                <w:rFonts w:cs="Times New Roman"/>
              </w:rPr>
              <w:t>202,586</w:t>
            </w:r>
          </w:p>
        </w:tc>
      </w:tr>
      <w:tr w:rsidR="00C57C9F" w14:paraId="4BF34C68" w14:textId="77777777">
        <w:trPr>
          <w:divId w:val="1450737271"/>
          <w:tblCellSpacing w:w="15" w:type="dxa"/>
        </w:trPr>
        <w:tc>
          <w:tcPr>
            <w:tcW w:w="0" w:type="auto"/>
            <w:vAlign w:val="center"/>
            <w:hideMark/>
          </w:tcPr>
          <w:p w14:paraId="22C12ACB" w14:textId="77777777" w:rsidR="00C57C9F" w:rsidRDefault="00C57C9F" w:rsidP="006F421D">
            <w:pPr>
              <w:pStyle w:val="3fins-table"/>
              <w:ind w:left="284"/>
              <w:rPr>
                <w:rFonts w:cs="Times New Roman"/>
              </w:rPr>
            </w:pPr>
            <w:r>
              <w:rPr>
                <w:rFonts w:cs="Times New Roman"/>
              </w:rPr>
              <w:t>$225,000 to $254,999</w:t>
            </w:r>
          </w:p>
        </w:tc>
        <w:tc>
          <w:tcPr>
            <w:tcW w:w="0" w:type="auto"/>
            <w:vAlign w:val="center"/>
            <w:hideMark/>
          </w:tcPr>
          <w:p w14:paraId="67937B38" w14:textId="77777777" w:rsidR="00C57C9F" w:rsidRDefault="00C57C9F" w:rsidP="006F421D">
            <w:pPr>
              <w:pStyle w:val="3fins-table-figures"/>
              <w:jc w:val="center"/>
              <w:rPr>
                <w:rFonts w:cs="Times New Roman"/>
              </w:rPr>
            </w:pPr>
            <w:r>
              <w:rPr>
                <w:rFonts w:cs="Times New Roman"/>
              </w:rPr>
              <w:t>1</w:t>
            </w:r>
          </w:p>
        </w:tc>
        <w:tc>
          <w:tcPr>
            <w:tcW w:w="0" w:type="auto"/>
            <w:vAlign w:val="center"/>
            <w:hideMark/>
          </w:tcPr>
          <w:p w14:paraId="1FEB0C81" w14:textId="77777777" w:rsidR="00C57C9F" w:rsidRDefault="00C57C9F" w:rsidP="006F421D">
            <w:pPr>
              <w:pStyle w:val="3fins-table-figures"/>
              <w:jc w:val="right"/>
              <w:rPr>
                <w:rFonts w:cs="Times New Roman"/>
              </w:rPr>
            </w:pPr>
            <w:r>
              <w:rPr>
                <w:rFonts w:cs="Times New Roman"/>
              </w:rPr>
              <w:t xml:space="preserve">183,182 </w:t>
            </w:r>
          </w:p>
        </w:tc>
        <w:tc>
          <w:tcPr>
            <w:tcW w:w="0" w:type="auto"/>
            <w:vAlign w:val="center"/>
            <w:hideMark/>
          </w:tcPr>
          <w:p w14:paraId="174B7FB1" w14:textId="77777777" w:rsidR="00C57C9F" w:rsidRDefault="00C57C9F" w:rsidP="006F421D">
            <w:pPr>
              <w:pStyle w:val="3fins-table-figures"/>
              <w:jc w:val="right"/>
              <w:rPr>
                <w:rFonts w:cs="Times New Roman"/>
              </w:rPr>
            </w:pPr>
            <w:r>
              <w:rPr>
                <w:rFonts w:cs="Times New Roman"/>
              </w:rPr>
              <w:t>27,160</w:t>
            </w:r>
          </w:p>
        </w:tc>
        <w:tc>
          <w:tcPr>
            <w:tcW w:w="0" w:type="auto"/>
            <w:vAlign w:val="center"/>
            <w:hideMark/>
          </w:tcPr>
          <w:p w14:paraId="466E6013" w14:textId="77777777" w:rsidR="00C57C9F" w:rsidRDefault="00C57C9F" w:rsidP="006F421D">
            <w:pPr>
              <w:pStyle w:val="3fins-table-figures"/>
              <w:jc w:val="right"/>
              <w:rPr>
                <w:rFonts w:cs="Times New Roman"/>
              </w:rPr>
            </w:pPr>
            <w:r>
              <w:rPr>
                <w:rFonts w:cs="Times New Roman"/>
              </w:rPr>
              <w:t>892</w:t>
            </w:r>
          </w:p>
        </w:tc>
        <w:tc>
          <w:tcPr>
            <w:tcW w:w="0" w:type="auto"/>
            <w:vAlign w:val="center"/>
            <w:hideMark/>
          </w:tcPr>
          <w:p w14:paraId="13688A47" w14:textId="77777777" w:rsidR="00C57C9F" w:rsidRDefault="00C57C9F" w:rsidP="006F421D">
            <w:pPr>
              <w:pStyle w:val="3fins-table-figures"/>
              <w:jc w:val="right"/>
              <w:rPr>
                <w:rFonts w:cs="Times New Roman"/>
              </w:rPr>
            </w:pPr>
            <w:r>
              <w:rPr>
                <w:rFonts w:cs="Times New Roman"/>
              </w:rPr>
              <w:t>17,078</w:t>
            </w:r>
          </w:p>
        </w:tc>
        <w:tc>
          <w:tcPr>
            <w:tcW w:w="0" w:type="auto"/>
            <w:vAlign w:val="center"/>
            <w:hideMark/>
          </w:tcPr>
          <w:p w14:paraId="2C8D8350" w14:textId="77777777" w:rsidR="00C57C9F" w:rsidRDefault="00C57C9F" w:rsidP="006F421D">
            <w:pPr>
              <w:pStyle w:val="3fins-table-figures"/>
              <w:jc w:val="right"/>
              <w:rPr>
                <w:rFonts w:cs="Times New Roman"/>
              </w:rPr>
            </w:pPr>
            <w:r>
              <w:rPr>
                <w:rFonts w:cs="Times New Roman"/>
              </w:rPr>
              <w:t>228,312</w:t>
            </w:r>
          </w:p>
        </w:tc>
      </w:tr>
      <w:tr w:rsidR="00C57C9F" w14:paraId="3AF78B13" w14:textId="77777777" w:rsidTr="006F421D">
        <w:trPr>
          <w:divId w:val="1450737271"/>
          <w:tblCellSpacing w:w="15" w:type="dxa"/>
        </w:trPr>
        <w:tc>
          <w:tcPr>
            <w:tcW w:w="0" w:type="auto"/>
            <w:vAlign w:val="center"/>
            <w:hideMark/>
          </w:tcPr>
          <w:p w14:paraId="4FC72266" w14:textId="77777777" w:rsidR="00C57C9F" w:rsidRDefault="00C57C9F" w:rsidP="006F421D">
            <w:pPr>
              <w:pStyle w:val="3fins-table"/>
              <w:ind w:left="284"/>
              <w:rPr>
                <w:rFonts w:cs="Times New Roman"/>
              </w:rPr>
            </w:pPr>
            <w:r>
              <w:rPr>
                <w:rFonts w:cs="Times New Roman"/>
              </w:rPr>
              <w:t>$255,000 to $284,999</w:t>
            </w:r>
          </w:p>
        </w:tc>
        <w:tc>
          <w:tcPr>
            <w:tcW w:w="0" w:type="auto"/>
            <w:tcBorders>
              <w:bottom w:val="single" w:sz="4" w:space="0" w:color="0D0D0D" w:themeColor="text1" w:themeTint="F2"/>
            </w:tcBorders>
            <w:vAlign w:val="center"/>
            <w:hideMark/>
          </w:tcPr>
          <w:p w14:paraId="257F7D1F" w14:textId="77777777" w:rsidR="00C57C9F" w:rsidRDefault="00C57C9F" w:rsidP="006F421D">
            <w:pPr>
              <w:pStyle w:val="3fins-table-figures"/>
              <w:jc w:val="center"/>
              <w:rPr>
                <w:rFonts w:cs="Times New Roman"/>
              </w:rPr>
            </w:pPr>
            <w:r>
              <w:rPr>
                <w:rFonts w:cs="Times New Roman"/>
              </w:rPr>
              <w:t>1</w:t>
            </w:r>
          </w:p>
        </w:tc>
        <w:tc>
          <w:tcPr>
            <w:tcW w:w="0" w:type="auto"/>
            <w:tcBorders>
              <w:bottom w:val="single" w:sz="4" w:space="0" w:color="0D0D0D" w:themeColor="text1" w:themeTint="F2"/>
            </w:tcBorders>
            <w:vAlign w:val="center"/>
            <w:hideMark/>
          </w:tcPr>
          <w:p w14:paraId="26EFCE7A" w14:textId="77777777" w:rsidR="00C57C9F" w:rsidRDefault="00C57C9F" w:rsidP="006F421D">
            <w:pPr>
              <w:pStyle w:val="3fins-table-figures"/>
              <w:jc w:val="right"/>
              <w:rPr>
                <w:rFonts w:cs="Times New Roman"/>
              </w:rPr>
            </w:pPr>
            <w:r>
              <w:rPr>
                <w:rFonts w:cs="Times New Roman"/>
              </w:rPr>
              <w:t>200,333</w:t>
            </w:r>
          </w:p>
        </w:tc>
        <w:tc>
          <w:tcPr>
            <w:tcW w:w="0" w:type="auto"/>
            <w:tcBorders>
              <w:bottom w:val="single" w:sz="4" w:space="0" w:color="0D0D0D" w:themeColor="text1" w:themeTint="F2"/>
            </w:tcBorders>
            <w:vAlign w:val="center"/>
            <w:hideMark/>
          </w:tcPr>
          <w:p w14:paraId="58D0EB58" w14:textId="77777777" w:rsidR="00C57C9F" w:rsidRDefault="00C57C9F" w:rsidP="006F421D">
            <w:pPr>
              <w:pStyle w:val="3fins-table-figures"/>
              <w:jc w:val="right"/>
              <w:rPr>
                <w:rFonts w:cs="Times New Roman"/>
              </w:rPr>
            </w:pPr>
            <w:r>
              <w:rPr>
                <w:rFonts w:cs="Times New Roman"/>
              </w:rPr>
              <w:t>31,240</w:t>
            </w:r>
          </w:p>
        </w:tc>
        <w:tc>
          <w:tcPr>
            <w:tcW w:w="0" w:type="auto"/>
            <w:tcBorders>
              <w:bottom w:val="single" w:sz="4" w:space="0" w:color="0D0D0D" w:themeColor="text1" w:themeTint="F2"/>
            </w:tcBorders>
            <w:vAlign w:val="center"/>
            <w:hideMark/>
          </w:tcPr>
          <w:p w14:paraId="61E184AE" w14:textId="77777777" w:rsidR="00C57C9F" w:rsidRDefault="00C57C9F" w:rsidP="006F421D">
            <w:pPr>
              <w:pStyle w:val="3fins-table-figures"/>
              <w:jc w:val="right"/>
              <w:rPr>
                <w:rFonts w:cs="Times New Roman"/>
              </w:rPr>
            </w:pPr>
            <w:r>
              <w:rPr>
                <w:rFonts w:cs="Times New Roman"/>
              </w:rPr>
              <w:t>377</w:t>
            </w:r>
          </w:p>
        </w:tc>
        <w:tc>
          <w:tcPr>
            <w:tcW w:w="0" w:type="auto"/>
            <w:tcBorders>
              <w:bottom w:val="single" w:sz="4" w:space="0" w:color="0D0D0D" w:themeColor="text1" w:themeTint="F2"/>
            </w:tcBorders>
            <w:vAlign w:val="center"/>
            <w:hideMark/>
          </w:tcPr>
          <w:p w14:paraId="23ABEEC4" w14:textId="77777777" w:rsidR="00C57C9F" w:rsidRDefault="00C57C9F" w:rsidP="006F421D">
            <w:pPr>
              <w:pStyle w:val="3fins-table-figures"/>
              <w:jc w:val="right"/>
              <w:rPr>
                <w:rFonts w:cs="Times New Roman"/>
              </w:rPr>
            </w:pPr>
            <w:r>
              <w:rPr>
                <w:rFonts w:cs="Times New Roman"/>
              </w:rPr>
              <w:t>25,245</w:t>
            </w:r>
          </w:p>
        </w:tc>
        <w:tc>
          <w:tcPr>
            <w:tcW w:w="0" w:type="auto"/>
            <w:tcBorders>
              <w:bottom w:val="single" w:sz="4" w:space="0" w:color="0D0D0D" w:themeColor="text1" w:themeTint="F2"/>
            </w:tcBorders>
            <w:vAlign w:val="center"/>
            <w:hideMark/>
          </w:tcPr>
          <w:p w14:paraId="15F389BB" w14:textId="77777777" w:rsidR="00C57C9F" w:rsidRDefault="00C57C9F" w:rsidP="006F421D">
            <w:pPr>
              <w:pStyle w:val="3fins-table-figures"/>
              <w:jc w:val="right"/>
              <w:rPr>
                <w:rFonts w:cs="Times New Roman"/>
              </w:rPr>
            </w:pPr>
            <w:r>
              <w:rPr>
                <w:rFonts w:cs="Times New Roman"/>
              </w:rPr>
              <w:t>257,195</w:t>
            </w:r>
          </w:p>
        </w:tc>
      </w:tr>
      <w:tr w:rsidR="00C57C9F" w14:paraId="152E904C" w14:textId="77777777" w:rsidTr="006F421D">
        <w:trPr>
          <w:divId w:val="1450737271"/>
          <w:tblCellSpacing w:w="15" w:type="dxa"/>
        </w:trPr>
        <w:tc>
          <w:tcPr>
            <w:tcW w:w="0" w:type="auto"/>
            <w:tcBorders>
              <w:bottom w:val="single" w:sz="4" w:space="0" w:color="0D0D0D" w:themeColor="text1" w:themeTint="F2"/>
            </w:tcBorders>
            <w:vAlign w:val="center"/>
            <w:hideMark/>
          </w:tcPr>
          <w:p w14:paraId="459F1DF6" w14:textId="77777777" w:rsidR="00C57C9F" w:rsidRDefault="00C57C9F">
            <w:pPr>
              <w:pStyle w:val="3fins-table"/>
              <w:rPr>
                <w:rFonts w:cs="Times New Roman"/>
              </w:rPr>
            </w:pPr>
            <w:r>
              <w:rPr>
                <w:rStyle w:val="fins-bold"/>
                <w:rFonts w:cs="Times New Roman"/>
              </w:rPr>
              <w:t>Total</w:t>
            </w:r>
          </w:p>
        </w:tc>
        <w:tc>
          <w:tcPr>
            <w:tcW w:w="0" w:type="auto"/>
            <w:tcBorders>
              <w:bottom w:val="single" w:sz="4" w:space="0" w:color="0D0D0D" w:themeColor="text1" w:themeTint="F2"/>
            </w:tcBorders>
            <w:vAlign w:val="center"/>
            <w:hideMark/>
          </w:tcPr>
          <w:p w14:paraId="044D39D7" w14:textId="77777777" w:rsidR="00C57C9F" w:rsidRDefault="00C57C9F" w:rsidP="006F421D">
            <w:pPr>
              <w:pStyle w:val="3fins-table-figures"/>
              <w:jc w:val="center"/>
              <w:rPr>
                <w:rFonts w:cs="Times New Roman"/>
              </w:rPr>
            </w:pPr>
            <w:r>
              <w:rPr>
                <w:rFonts w:cs="Times New Roman"/>
              </w:rPr>
              <w:t>5</w:t>
            </w:r>
          </w:p>
        </w:tc>
        <w:tc>
          <w:tcPr>
            <w:tcW w:w="0" w:type="auto"/>
            <w:vAlign w:val="center"/>
            <w:hideMark/>
          </w:tcPr>
          <w:p w14:paraId="21B0ADEC" w14:textId="77777777" w:rsidR="00C57C9F" w:rsidRDefault="00C57C9F" w:rsidP="006F421D">
            <w:pPr>
              <w:jc w:val="right"/>
              <w:rPr>
                <w:rFonts w:eastAsia="Times New Roman" w:cs="Times New Roman"/>
              </w:rPr>
            </w:pPr>
          </w:p>
        </w:tc>
        <w:tc>
          <w:tcPr>
            <w:tcW w:w="0" w:type="auto"/>
            <w:vAlign w:val="center"/>
            <w:hideMark/>
          </w:tcPr>
          <w:p w14:paraId="120CEEC9" w14:textId="77777777" w:rsidR="00C57C9F" w:rsidRDefault="00C57C9F" w:rsidP="006F421D">
            <w:pPr>
              <w:jc w:val="right"/>
              <w:rPr>
                <w:rFonts w:eastAsia="Times New Roman" w:cs="Times New Roman"/>
              </w:rPr>
            </w:pPr>
          </w:p>
        </w:tc>
        <w:tc>
          <w:tcPr>
            <w:tcW w:w="0" w:type="auto"/>
            <w:vAlign w:val="center"/>
            <w:hideMark/>
          </w:tcPr>
          <w:p w14:paraId="15314367" w14:textId="77777777" w:rsidR="00C57C9F" w:rsidRDefault="00C57C9F" w:rsidP="006F421D">
            <w:pPr>
              <w:jc w:val="right"/>
              <w:rPr>
                <w:rFonts w:eastAsia="Times New Roman" w:cs="Times New Roman"/>
              </w:rPr>
            </w:pPr>
          </w:p>
        </w:tc>
        <w:tc>
          <w:tcPr>
            <w:tcW w:w="0" w:type="auto"/>
            <w:vAlign w:val="center"/>
            <w:hideMark/>
          </w:tcPr>
          <w:p w14:paraId="1DF38A9B" w14:textId="77777777" w:rsidR="00C57C9F" w:rsidRDefault="00C57C9F" w:rsidP="006F421D">
            <w:pPr>
              <w:jc w:val="right"/>
              <w:rPr>
                <w:rFonts w:eastAsia="Times New Roman" w:cs="Times New Roman"/>
              </w:rPr>
            </w:pPr>
          </w:p>
        </w:tc>
        <w:tc>
          <w:tcPr>
            <w:tcW w:w="0" w:type="auto"/>
            <w:vAlign w:val="center"/>
            <w:hideMark/>
          </w:tcPr>
          <w:p w14:paraId="23191B07" w14:textId="77777777" w:rsidR="00C57C9F" w:rsidRDefault="00C57C9F" w:rsidP="006F421D">
            <w:pPr>
              <w:jc w:val="right"/>
              <w:rPr>
                <w:rFonts w:eastAsia="Times New Roman" w:cs="Times New Roman"/>
              </w:rPr>
            </w:pPr>
          </w:p>
        </w:tc>
      </w:tr>
    </w:tbl>
    <w:p w14:paraId="3662624A" w14:textId="77777777" w:rsidR="00C57C9F" w:rsidRDefault="00C57C9F" w:rsidP="006F421D">
      <w:pPr>
        <w:pStyle w:val="3fins-table"/>
        <w:spacing w:before="240" w:after="60"/>
        <w:divId w:val="1450737271"/>
        <w:rPr>
          <w:rFonts w:cs="Times New Roman"/>
          <w:lang w:val="en-AU"/>
        </w:rPr>
      </w:pPr>
      <w:r>
        <w:rPr>
          <w:rStyle w:val="fins-bold-italics"/>
          <w:rFonts w:cs="Times New Roman"/>
          <w:lang w:val="en-AU"/>
        </w:rPr>
        <w:t>Notes:</w:t>
      </w:r>
    </w:p>
    <w:p w14:paraId="776190F0" w14:textId="77777777" w:rsidR="00C57C9F" w:rsidRDefault="00C57C9F" w:rsidP="006F421D">
      <w:pPr>
        <w:pStyle w:val="fins-disclaimer"/>
        <w:ind w:left="284" w:hanging="284"/>
        <w:divId w:val="1450737271"/>
        <w:rPr>
          <w:rFonts w:cs="Times New Roman"/>
          <w:lang w:val="en-AU"/>
        </w:rPr>
      </w:pPr>
      <w:r>
        <w:rPr>
          <w:rFonts w:cs="Times New Roman"/>
          <w:lang w:val="en-AU"/>
        </w:rPr>
        <w:t>1.</w:t>
      </w:r>
      <w:r>
        <w:rPr>
          <w:rFonts w:cs="Times New Roman"/>
          <w:lang w:val="en-AU"/>
        </w:rPr>
        <w:tab/>
        <w:t xml:space="preserve">This table reports staff: </w:t>
      </w:r>
    </w:p>
    <w:p w14:paraId="75024224" w14:textId="77777777" w:rsidR="00C57C9F" w:rsidRDefault="00C57C9F" w:rsidP="006F421D">
      <w:pPr>
        <w:pStyle w:val="fins-disclaimer"/>
        <w:ind w:left="284" w:firstLine="0"/>
        <w:divId w:val="1450737271"/>
        <w:rPr>
          <w:rFonts w:cs="Times New Roman"/>
          <w:lang w:val="en-AU"/>
        </w:rPr>
      </w:pPr>
      <w:r>
        <w:rPr>
          <w:rFonts w:cs="Times New Roman"/>
          <w:lang w:val="en-AU"/>
        </w:rPr>
        <w:t xml:space="preserve">a) </w:t>
      </w:r>
      <w:proofErr w:type="gramStart"/>
      <w:r>
        <w:rPr>
          <w:rFonts w:cs="Times New Roman"/>
          <w:lang w:val="en-AU"/>
        </w:rPr>
        <w:t>who</w:t>
      </w:r>
      <w:proofErr w:type="gramEnd"/>
      <w:r>
        <w:rPr>
          <w:rFonts w:cs="Times New Roman"/>
          <w:lang w:val="en-AU"/>
        </w:rPr>
        <w:t xml:space="preserve"> were employed by the Commission during the reporting period;</w:t>
      </w:r>
    </w:p>
    <w:p w14:paraId="72B06220" w14:textId="77777777" w:rsidR="00C57C9F" w:rsidRDefault="00C57C9F" w:rsidP="006F421D">
      <w:pPr>
        <w:pStyle w:val="fins-disclaimer"/>
        <w:ind w:left="284" w:firstLine="0"/>
        <w:divId w:val="1450737271"/>
        <w:rPr>
          <w:rFonts w:cs="Times New Roman"/>
          <w:lang w:val="en-AU"/>
        </w:rPr>
      </w:pPr>
      <w:r>
        <w:rPr>
          <w:rFonts w:cs="Times New Roman"/>
          <w:lang w:val="en-AU"/>
        </w:rPr>
        <w:t xml:space="preserve">b) </w:t>
      </w:r>
      <w:proofErr w:type="gramStart"/>
      <w:r>
        <w:rPr>
          <w:rFonts w:cs="Times New Roman"/>
          <w:lang w:val="en-AU"/>
        </w:rPr>
        <w:t>whose</w:t>
      </w:r>
      <w:proofErr w:type="gramEnd"/>
      <w:r>
        <w:rPr>
          <w:rFonts w:cs="Times New Roman"/>
          <w:lang w:val="en-AU"/>
        </w:rPr>
        <w:t xml:space="preserve"> reportable remuneration was $195,000 or more for the financial period; and</w:t>
      </w:r>
    </w:p>
    <w:p w14:paraId="73B159FC" w14:textId="77777777" w:rsidR="00C57C9F" w:rsidRDefault="00C57C9F" w:rsidP="006F421D">
      <w:pPr>
        <w:pStyle w:val="fins-disclaimer"/>
        <w:ind w:left="284" w:firstLine="0"/>
        <w:divId w:val="1450737271"/>
        <w:rPr>
          <w:rFonts w:cs="Times New Roman"/>
          <w:lang w:val="en-AU"/>
        </w:rPr>
      </w:pPr>
      <w:r>
        <w:rPr>
          <w:rFonts w:cs="Times New Roman"/>
          <w:lang w:val="en-AU"/>
        </w:rPr>
        <w:t xml:space="preserve">c) </w:t>
      </w:r>
      <w:proofErr w:type="gramStart"/>
      <w:r>
        <w:rPr>
          <w:rFonts w:cs="Times New Roman"/>
          <w:lang w:val="en-AU"/>
        </w:rPr>
        <w:t>were</w:t>
      </w:r>
      <w:proofErr w:type="gramEnd"/>
      <w:r>
        <w:rPr>
          <w:rFonts w:cs="Times New Roman"/>
          <w:lang w:val="en-AU"/>
        </w:rPr>
        <w:t xml:space="preserve"> not required to be disclosed in Notes 14A, 14B or director disclosures.</w:t>
      </w:r>
    </w:p>
    <w:p w14:paraId="75D61C31" w14:textId="77777777" w:rsidR="00C57C9F" w:rsidRDefault="00C57C9F" w:rsidP="006F421D">
      <w:pPr>
        <w:pStyle w:val="fins-disclaimer"/>
        <w:divId w:val="1450737271"/>
        <w:rPr>
          <w:rFonts w:cs="Times New Roman"/>
          <w:lang w:val="en-AU"/>
        </w:rPr>
      </w:pPr>
      <w:r>
        <w:rPr>
          <w:rFonts w:cs="Times New Roman"/>
          <w:lang w:val="en-AU"/>
        </w:rPr>
        <w:t>Each row is an averaged figure based on headcount for individuals in the band.</w:t>
      </w:r>
    </w:p>
    <w:p w14:paraId="3204898D" w14:textId="77777777" w:rsidR="00C57C9F" w:rsidRDefault="00C57C9F" w:rsidP="006F421D">
      <w:pPr>
        <w:pStyle w:val="fins-disclaimer"/>
        <w:ind w:left="284" w:hanging="284"/>
        <w:divId w:val="1450737271"/>
        <w:rPr>
          <w:rFonts w:cs="Times New Roman"/>
          <w:lang w:val="en-AU"/>
        </w:rPr>
      </w:pPr>
      <w:r>
        <w:rPr>
          <w:rFonts w:cs="Times New Roman"/>
          <w:lang w:val="en-AU"/>
        </w:rPr>
        <w:t>2.</w:t>
      </w:r>
      <w:r>
        <w:rPr>
          <w:rFonts w:cs="Times New Roman"/>
          <w:lang w:val="en-AU"/>
        </w:rPr>
        <w:tab/>
        <w:t xml:space="preserve">‘Reportable salary’ includes the following: </w:t>
      </w:r>
    </w:p>
    <w:p w14:paraId="731DA28A" w14:textId="77777777" w:rsidR="00C57C9F" w:rsidRDefault="00C57C9F" w:rsidP="006F421D">
      <w:pPr>
        <w:pStyle w:val="fins-disclaimer"/>
        <w:ind w:left="426" w:hanging="142"/>
        <w:divId w:val="1450737271"/>
        <w:rPr>
          <w:rFonts w:cs="Times New Roman"/>
          <w:lang w:val="en-AU"/>
        </w:rPr>
      </w:pPr>
      <w:r>
        <w:rPr>
          <w:rFonts w:cs="Times New Roman"/>
          <w:lang w:val="en-AU"/>
        </w:rPr>
        <w:t xml:space="preserve">a) </w:t>
      </w:r>
      <w:proofErr w:type="gramStart"/>
      <w:r>
        <w:rPr>
          <w:rFonts w:cs="Times New Roman"/>
          <w:lang w:val="en-AU"/>
        </w:rPr>
        <w:t>gross</w:t>
      </w:r>
      <w:proofErr w:type="gramEnd"/>
      <w:r>
        <w:rPr>
          <w:rFonts w:cs="Times New Roman"/>
          <w:lang w:val="en-AU"/>
        </w:rPr>
        <w:t xml:space="preserve"> payments (less any bonuses paid, which are separated out and disclosed in the ‘bonus paid’ column);</w:t>
      </w:r>
    </w:p>
    <w:p w14:paraId="52F16A70" w14:textId="77777777" w:rsidR="00C57C9F" w:rsidRDefault="00C57C9F" w:rsidP="006F421D">
      <w:pPr>
        <w:pStyle w:val="fins-disclaimer"/>
        <w:ind w:left="426" w:hanging="142"/>
        <w:divId w:val="1450737271"/>
        <w:rPr>
          <w:rFonts w:cs="Times New Roman"/>
          <w:lang w:val="en-AU"/>
        </w:rPr>
      </w:pPr>
      <w:r>
        <w:rPr>
          <w:rFonts w:cs="Times New Roman"/>
          <w:lang w:val="en-AU"/>
        </w:rPr>
        <w:t xml:space="preserve">b) </w:t>
      </w:r>
      <w:proofErr w:type="gramStart"/>
      <w:r>
        <w:rPr>
          <w:rFonts w:cs="Times New Roman"/>
          <w:lang w:val="en-AU"/>
        </w:rPr>
        <w:t>reportable</w:t>
      </w:r>
      <w:proofErr w:type="gramEnd"/>
      <w:r>
        <w:rPr>
          <w:rFonts w:cs="Times New Roman"/>
          <w:lang w:val="en-AU"/>
        </w:rPr>
        <w:t xml:space="preserve"> fringe benefits (at the net amount prior to ‘grossing up’ to account for tax benefits); </w:t>
      </w:r>
    </w:p>
    <w:p w14:paraId="128D3085" w14:textId="77777777" w:rsidR="00C57C9F" w:rsidRDefault="00C57C9F" w:rsidP="006F421D">
      <w:pPr>
        <w:pStyle w:val="fins-disclaimer"/>
        <w:ind w:left="426" w:hanging="142"/>
        <w:divId w:val="1450737271"/>
        <w:rPr>
          <w:rFonts w:cs="Times New Roman"/>
          <w:lang w:val="en-AU"/>
        </w:rPr>
      </w:pPr>
      <w:r>
        <w:rPr>
          <w:rFonts w:cs="Times New Roman"/>
          <w:lang w:val="en-AU"/>
        </w:rPr>
        <w:t xml:space="preserve">c) </w:t>
      </w:r>
      <w:proofErr w:type="gramStart"/>
      <w:r>
        <w:rPr>
          <w:rFonts w:cs="Times New Roman"/>
          <w:lang w:val="en-AU"/>
        </w:rPr>
        <w:t>reportable</w:t>
      </w:r>
      <w:proofErr w:type="gramEnd"/>
      <w:r>
        <w:rPr>
          <w:rFonts w:cs="Times New Roman"/>
          <w:lang w:val="en-AU"/>
        </w:rPr>
        <w:t xml:space="preserve"> employer superannuation contributions; and</w:t>
      </w:r>
    </w:p>
    <w:p w14:paraId="4D8B0C06" w14:textId="77777777" w:rsidR="00C57C9F" w:rsidRDefault="00C57C9F" w:rsidP="006F421D">
      <w:pPr>
        <w:pStyle w:val="fins-disclaimer"/>
        <w:ind w:left="426" w:hanging="142"/>
        <w:divId w:val="1450737271"/>
        <w:rPr>
          <w:rFonts w:cs="Times New Roman"/>
          <w:lang w:val="en-AU"/>
        </w:rPr>
      </w:pPr>
      <w:r>
        <w:rPr>
          <w:rFonts w:cs="Times New Roman"/>
          <w:lang w:val="en-AU"/>
        </w:rPr>
        <w:t xml:space="preserve">d) </w:t>
      </w:r>
      <w:proofErr w:type="gramStart"/>
      <w:r>
        <w:rPr>
          <w:rFonts w:cs="Times New Roman"/>
          <w:lang w:val="en-AU"/>
        </w:rPr>
        <w:t>exempt</w:t>
      </w:r>
      <w:proofErr w:type="gramEnd"/>
      <w:r>
        <w:rPr>
          <w:rFonts w:cs="Times New Roman"/>
          <w:lang w:val="en-AU"/>
        </w:rPr>
        <w:t xml:space="preserve"> foreign employment income (nil paid by the Commission during the year).</w:t>
      </w:r>
    </w:p>
    <w:p w14:paraId="6A591460" w14:textId="77777777" w:rsidR="00C57C9F" w:rsidRDefault="00C57C9F" w:rsidP="006F421D">
      <w:pPr>
        <w:pStyle w:val="fins-disclaimer"/>
        <w:ind w:left="284" w:hanging="284"/>
        <w:divId w:val="1450737271"/>
        <w:rPr>
          <w:rFonts w:cs="Times New Roman"/>
          <w:lang w:val="en-AU"/>
        </w:rPr>
      </w:pPr>
      <w:r>
        <w:rPr>
          <w:rFonts w:cs="Times New Roman"/>
          <w:lang w:val="en-AU"/>
        </w:rPr>
        <w:t>3.</w:t>
      </w:r>
      <w:r>
        <w:rPr>
          <w:rFonts w:cs="Times New Roman"/>
          <w:lang w:val="en-AU"/>
        </w:rPr>
        <w:tab/>
        <w:t xml:space="preserve">The ‘contributed superannuation’ amount is the average cost to the Commission for the provision of superannuation benefits to other highly paid staff in that reportable remuneration band during the reporting period. </w:t>
      </w:r>
    </w:p>
    <w:p w14:paraId="766F8AAD" w14:textId="77777777" w:rsidR="00C57C9F" w:rsidRDefault="00C57C9F" w:rsidP="006F421D">
      <w:pPr>
        <w:pStyle w:val="fins-disclaimer"/>
        <w:ind w:left="284" w:hanging="284"/>
        <w:divId w:val="1450737271"/>
        <w:rPr>
          <w:rFonts w:cs="Times New Roman"/>
          <w:lang w:val="en-AU"/>
        </w:rPr>
      </w:pPr>
      <w:r>
        <w:rPr>
          <w:rFonts w:cs="Times New Roman"/>
          <w:lang w:val="en-AU"/>
        </w:rPr>
        <w:t>4.</w:t>
      </w:r>
      <w:r>
        <w:rPr>
          <w:rFonts w:cs="Times New Roman"/>
          <w:lang w:val="en-AU"/>
        </w:rPr>
        <w:tab/>
        <w:t>‘Reportable allowances’ are the average actual allowances paid as per the ‘total allowances’ line on individuals’ payment summaries.</w:t>
      </w:r>
    </w:p>
    <w:p w14:paraId="30280CF4" w14:textId="77777777" w:rsidR="00C57C9F" w:rsidRDefault="00C57C9F" w:rsidP="006F421D">
      <w:pPr>
        <w:pStyle w:val="fins-disclaimer"/>
        <w:ind w:left="284" w:hanging="284"/>
        <w:divId w:val="1450737271"/>
        <w:rPr>
          <w:rFonts w:cs="Times New Roman"/>
          <w:lang w:val="en-AU"/>
        </w:rPr>
      </w:pPr>
      <w:r>
        <w:rPr>
          <w:rFonts w:cs="Times New Roman"/>
          <w:lang w:val="en-AU"/>
        </w:rPr>
        <w:t>5.</w:t>
      </w:r>
      <w:r>
        <w:rPr>
          <w:rFonts w:cs="Times New Roman"/>
          <w:lang w:val="en-AU"/>
        </w:rPr>
        <w:tab/>
        <w:t xml:space="preserve">‘Bonus paid’ represents average actual bonuses paid during the reporting period in that reportable remuneration band. The ‘bonus paid’ within a particular band may vary between financial years due to various factors such as individuals commencing with or leaving the Commission during the financial year. </w:t>
      </w:r>
    </w:p>
    <w:p w14:paraId="0B85BB18" w14:textId="77777777" w:rsidR="00C57C9F" w:rsidRDefault="00C57C9F">
      <w:pPr>
        <w:rPr>
          <w:rFonts w:cs="Times New Roman"/>
          <w:b/>
          <w:sz w:val="28"/>
        </w:rPr>
      </w:pPr>
      <w:r>
        <w:rPr>
          <w:rFonts w:cs="Times New Roman"/>
        </w:rPr>
        <w:br w:type="page"/>
      </w:r>
    </w:p>
    <w:p w14:paraId="24674204" w14:textId="77777777" w:rsidR="00C57C9F" w:rsidRDefault="00C57C9F">
      <w:pPr>
        <w:pStyle w:val="1heading-2"/>
        <w:divId w:val="1675300298"/>
        <w:rPr>
          <w:rFonts w:cs="Times New Roman"/>
          <w:lang w:val="en-AU"/>
        </w:rPr>
      </w:pPr>
      <w:r>
        <w:rPr>
          <w:rFonts w:cs="Times New Roman"/>
          <w:lang w:val="en-AU"/>
        </w:rPr>
        <w:lastRenderedPageBreak/>
        <w:t>Note 15: Remuneration of Auditors</w:t>
      </w: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8409"/>
        <w:gridCol w:w="992"/>
        <w:gridCol w:w="888"/>
      </w:tblGrid>
      <w:tr w:rsidR="00C57C9F" w14:paraId="6BD94F2B" w14:textId="77777777" w:rsidTr="006F421D">
        <w:trPr>
          <w:divId w:val="1675300298"/>
          <w:tblCellSpacing w:w="15" w:type="dxa"/>
        </w:trPr>
        <w:tc>
          <w:tcPr>
            <w:tcW w:w="8364" w:type="dxa"/>
            <w:vAlign w:val="center"/>
            <w:hideMark/>
          </w:tcPr>
          <w:p w14:paraId="285C5312" w14:textId="77777777" w:rsidR="00C57C9F" w:rsidRDefault="00C57C9F">
            <w:pPr>
              <w:rPr>
                <w:rFonts w:eastAsia="Times New Roman" w:cs="Times New Roman"/>
              </w:rPr>
            </w:pPr>
          </w:p>
        </w:tc>
        <w:tc>
          <w:tcPr>
            <w:tcW w:w="962" w:type="dxa"/>
            <w:vAlign w:val="center"/>
            <w:hideMark/>
          </w:tcPr>
          <w:p w14:paraId="78EB952E" w14:textId="77777777" w:rsidR="00C57C9F" w:rsidRDefault="00C57C9F" w:rsidP="006F421D">
            <w:pPr>
              <w:pStyle w:val="3fins-table-figures"/>
              <w:jc w:val="right"/>
              <w:rPr>
                <w:rFonts w:cs="Times New Roman"/>
              </w:rPr>
            </w:pPr>
            <w:r>
              <w:rPr>
                <w:rStyle w:val="fins-bold"/>
                <w:rFonts w:cs="Times New Roman"/>
              </w:rPr>
              <w:t>2014</w:t>
            </w:r>
          </w:p>
        </w:tc>
        <w:tc>
          <w:tcPr>
            <w:tcW w:w="843" w:type="dxa"/>
            <w:vAlign w:val="center"/>
            <w:hideMark/>
          </w:tcPr>
          <w:p w14:paraId="00C6F608" w14:textId="77777777" w:rsidR="00C57C9F" w:rsidRDefault="00C57C9F" w:rsidP="006F421D">
            <w:pPr>
              <w:pStyle w:val="3fins-table-figures"/>
              <w:jc w:val="right"/>
              <w:rPr>
                <w:rFonts w:cs="Times New Roman"/>
              </w:rPr>
            </w:pPr>
            <w:r>
              <w:rPr>
                <w:rFonts w:cs="Times New Roman"/>
              </w:rPr>
              <w:t>2013</w:t>
            </w:r>
          </w:p>
        </w:tc>
      </w:tr>
      <w:tr w:rsidR="00C57C9F" w14:paraId="154D6902" w14:textId="77777777" w:rsidTr="006F421D">
        <w:trPr>
          <w:divId w:val="1675300298"/>
          <w:tblCellSpacing w:w="15" w:type="dxa"/>
        </w:trPr>
        <w:tc>
          <w:tcPr>
            <w:tcW w:w="8364" w:type="dxa"/>
            <w:vAlign w:val="center"/>
            <w:hideMark/>
          </w:tcPr>
          <w:p w14:paraId="0ABF22A8" w14:textId="77777777" w:rsidR="00C57C9F" w:rsidRDefault="00C57C9F">
            <w:pPr>
              <w:rPr>
                <w:rFonts w:eastAsia="Times New Roman" w:cs="Times New Roman"/>
              </w:rPr>
            </w:pPr>
          </w:p>
        </w:tc>
        <w:tc>
          <w:tcPr>
            <w:tcW w:w="962" w:type="dxa"/>
            <w:vAlign w:val="center"/>
            <w:hideMark/>
          </w:tcPr>
          <w:p w14:paraId="61A1339D" w14:textId="77777777" w:rsidR="00C57C9F" w:rsidRDefault="00C57C9F" w:rsidP="006F421D">
            <w:pPr>
              <w:pStyle w:val="3fins-table-figures"/>
              <w:jc w:val="right"/>
              <w:rPr>
                <w:rFonts w:cs="Times New Roman"/>
              </w:rPr>
            </w:pPr>
            <w:r>
              <w:rPr>
                <w:rStyle w:val="fins-bold"/>
                <w:rFonts w:cs="Times New Roman"/>
              </w:rPr>
              <w:t>$’000</w:t>
            </w:r>
          </w:p>
        </w:tc>
        <w:tc>
          <w:tcPr>
            <w:tcW w:w="843" w:type="dxa"/>
            <w:vAlign w:val="center"/>
            <w:hideMark/>
          </w:tcPr>
          <w:p w14:paraId="0045EACD" w14:textId="77777777" w:rsidR="00C57C9F" w:rsidRDefault="00C57C9F" w:rsidP="006F421D">
            <w:pPr>
              <w:pStyle w:val="3fins-table-figures"/>
              <w:jc w:val="right"/>
              <w:rPr>
                <w:rFonts w:cs="Times New Roman"/>
              </w:rPr>
            </w:pPr>
            <w:r>
              <w:rPr>
                <w:rFonts w:cs="Times New Roman"/>
              </w:rPr>
              <w:t>$’000</w:t>
            </w:r>
          </w:p>
        </w:tc>
      </w:tr>
      <w:tr w:rsidR="00C57C9F" w14:paraId="0F6ED93D" w14:textId="77777777" w:rsidTr="006F421D">
        <w:trPr>
          <w:divId w:val="1675300298"/>
          <w:tblCellSpacing w:w="15" w:type="dxa"/>
        </w:trPr>
        <w:tc>
          <w:tcPr>
            <w:tcW w:w="8364" w:type="dxa"/>
            <w:vAlign w:val="center"/>
            <w:hideMark/>
          </w:tcPr>
          <w:p w14:paraId="55C21D7C" w14:textId="77777777" w:rsidR="00C57C9F" w:rsidRDefault="00C57C9F">
            <w:pPr>
              <w:pStyle w:val="3fins-table"/>
              <w:rPr>
                <w:rFonts w:cs="Times New Roman"/>
              </w:rPr>
            </w:pPr>
            <w:r>
              <w:rPr>
                <w:rFonts w:cs="Times New Roman"/>
              </w:rPr>
              <w:t>Financial statement audit services were provided to the Commission by the Australian National Audit Office (ANAO).</w:t>
            </w:r>
          </w:p>
        </w:tc>
        <w:tc>
          <w:tcPr>
            <w:tcW w:w="962" w:type="dxa"/>
            <w:vAlign w:val="center"/>
            <w:hideMark/>
          </w:tcPr>
          <w:p w14:paraId="12F20941" w14:textId="77777777" w:rsidR="00C57C9F" w:rsidRDefault="00C57C9F" w:rsidP="006F421D">
            <w:pPr>
              <w:jc w:val="right"/>
              <w:rPr>
                <w:rFonts w:eastAsia="Times New Roman" w:cs="Times New Roman"/>
              </w:rPr>
            </w:pPr>
          </w:p>
        </w:tc>
        <w:tc>
          <w:tcPr>
            <w:tcW w:w="843" w:type="dxa"/>
            <w:vAlign w:val="center"/>
            <w:hideMark/>
          </w:tcPr>
          <w:p w14:paraId="6A59BB2F" w14:textId="77777777" w:rsidR="00C57C9F" w:rsidRDefault="00C57C9F" w:rsidP="006F421D">
            <w:pPr>
              <w:jc w:val="right"/>
              <w:rPr>
                <w:rFonts w:eastAsia="Times New Roman" w:cs="Times New Roman"/>
              </w:rPr>
            </w:pPr>
          </w:p>
        </w:tc>
      </w:tr>
      <w:tr w:rsidR="00C57C9F" w14:paraId="09EE31F0" w14:textId="77777777" w:rsidTr="006F421D">
        <w:trPr>
          <w:divId w:val="1675300298"/>
          <w:tblCellSpacing w:w="15" w:type="dxa"/>
        </w:trPr>
        <w:tc>
          <w:tcPr>
            <w:tcW w:w="8364" w:type="dxa"/>
            <w:vAlign w:val="center"/>
            <w:hideMark/>
          </w:tcPr>
          <w:p w14:paraId="2A90A080" w14:textId="77777777" w:rsidR="00C57C9F" w:rsidRDefault="00C57C9F">
            <w:pPr>
              <w:rPr>
                <w:rFonts w:eastAsia="Times New Roman" w:cs="Times New Roman"/>
              </w:rPr>
            </w:pPr>
          </w:p>
        </w:tc>
        <w:tc>
          <w:tcPr>
            <w:tcW w:w="962" w:type="dxa"/>
            <w:vAlign w:val="center"/>
            <w:hideMark/>
          </w:tcPr>
          <w:p w14:paraId="096A0FD7" w14:textId="77777777" w:rsidR="00C57C9F" w:rsidRDefault="00C57C9F" w:rsidP="006F421D">
            <w:pPr>
              <w:jc w:val="right"/>
              <w:rPr>
                <w:rFonts w:eastAsia="Times New Roman" w:cs="Times New Roman"/>
              </w:rPr>
            </w:pPr>
          </w:p>
        </w:tc>
        <w:tc>
          <w:tcPr>
            <w:tcW w:w="843" w:type="dxa"/>
            <w:vAlign w:val="center"/>
            <w:hideMark/>
          </w:tcPr>
          <w:p w14:paraId="44EE6D91" w14:textId="77777777" w:rsidR="00C57C9F" w:rsidRDefault="00C57C9F" w:rsidP="006F421D">
            <w:pPr>
              <w:jc w:val="right"/>
              <w:rPr>
                <w:rFonts w:eastAsia="Times New Roman" w:cs="Times New Roman"/>
              </w:rPr>
            </w:pPr>
          </w:p>
        </w:tc>
      </w:tr>
      <w:tr w:rsidR="00C57C9F" w14:paraId="69A9364F" w14:textId="77777777" w:rsidTr="006F421D">
        <w:trPr>
          <w:divId w:val="1675300298"/>
          <w:tblCellSpacing w:w="15" w:type="dxa"/>
        </w:trPr>
        <w:tc>
          <w:tcPr>
            <w:tcW w:w="8364" w:type="dxa"/>
            <w:vAlign w:val="center"/>
            <w:hideMark/>
          </w:tcPr>
          <w:p w14:paraId="11FE8AFF" w14:textId="77777777" w:rsidR="00C57C9F" w:rsidRDefault="00C57C9F">
            <w:pPr>
              <w:pStyle w:val="3fins-table"/>
              <w:rPr>
                <w:rFonts w:cs="Times New Roman"/>
              </w:rPr>
            </w:pPr>
            <w:r>
              <w:rPr>
                <w:rStyle w:val="fins-bold"/>
                <w:rFonts w:cs="Times New Roman"/>
              </w:rPr>
              <w:t>Cost of the services provided</w:t>
            </w:r>
          </w:p>
        </w:tc>
        <w:tc>
          <w:tcPr>
            <w:tcW w:w="962" w:type="dxa"/>
            <w:vAlign w:val="center"/>
            <w:hideMark/>
          </w:tcPr>
          <w:p w14:paraId="6D272510" w14:textId="77777777" w:rsidR="00C57C9F" w:rsidRDefault="00C57C9F" w:rsidP="006F421D">
            <w:pPr>
              <w:jc w:val="right"/>
              <w:rPr>
                <w:rFonts w:eastAsia="Times New Roman" w:cs="Times New Roman"/>
              </w:rPr>
            </w:pPr>
          </w:p>
        </w:tc>
        <w:tc>
          <w:tcPr>
            <w:tcW w:w="843" w:type="dxa"/>
            <w:vAlign w:val="center"/>
            <w:hideMark/>
          </w:tcPr>
          <w:p w14:paraId="11C5BB25" w14:textId="77777777" w:rsidR="00C57C9F" w:rsidRDefault="00C57C9F" w:rsidP="006F421D">
            <w:pPr>
              <w:jc w:val="right"/>
              <w:rPr>
                <w:rFonts w:eastAsia="Times New Roman" w:cs="Times New Roman"/>
              </w:rPr>
            </w:pPr>
          </w:p>
        </w:tc>
      </w:tr>
      <w:tr w:rsidR="00C57C9F" w14:paraId="162A91E2" w14:textId="77777777" w:rsidTr="006F421D">
        <w:trPr>
          <w:divId w:val="1675300298"/>
          <w:tblCellSpacing w:w="15" w:type="dxa"/>
        </w:trPr>
        <w:tc>
          <w:tcPr>
            <w:tcW w:w="8364" w:type="dxa"/>
            <w:vAlign w:val="center"/>
            <w:hideMark/>
          </w:tcPr>
          <w:p w14:paraId="1B955390" w14:textId="77777777" w:rsidR="00C57C9F" w:rsidRDefault="00C57C9F" w:rsidP="006F421D">
            <w:pPr>
              <w:pStyle w:val="3fins-table"/>
              <w:ind w:left="284"/>
              <w:rPr>
                <w:rFonts w:cs="Times New Roman"/>
              </w:rPr>
            </w:pPr>
            <w:r>
              <w:rPr>
                <w:rFonts w:cs="Times New Roman"/>
              </w:rPr>
              <w:t>Financial statement audit services</w:t>
            </w:r>
          </w:p>
        </w:tc>
        <w:tc>
          <w:tcPr>
            <w:tcW w:w="962" w:type="dxa"/>
            <w:vAlign w:val="center"/>
            <w:hideMark/>
          </w:tcPr>
          <w:p w14:paraId="4AB36D24" w14:textId="77777777" w:rsidR="00C57C9F" w:rsidRDefault="00C57C9F" w:rsidP="006F421D">
            <w:pPr>
              <w:pStyle w:val="3fins-table-figures"/>
              <w:jc w:val="right"/>
              <w:rPr>
                <w:rFonts w:cs="Times New Roman"/>
              </w:rPr>
            </w:pPr>
            <w:r>
              <w:rPr>
                <w:rStyle w:val="fins-bold"/>
                <w:rFonts w:cs="Times New Roman"/>
              </w:rPr>
              <w:t xml:space="preserve">50 </w:t>
            </w:r>
          </w:p>
        </w:tc>
        <w:tc>
          <w:tcPr>
            <w:tcW w:w="843" w:type="dxa"/>
            <w:vAlign w:val="center"/>
            <w:hideMark/>
          </w:tcPr>
          <w:p w14:paraId="606ECFE6" w14:textId="77777777" w:rsidR="00C57C9F" w:rsidRDefault="00C57C9F" w:rsidP="006F421D">
            <w:pPr>
              <w:pStyle w:val="3fins-table-figures"/>
              <w:jc w:val="right"/>
              <w:rPr>
                <w:rFonts w:cs="Times New Roman"/>
              </w:rPr>
            </w:pPr>
            <w:r>
              <w:rPr>
                <w:rFonts w:cs="Times New Roman"/>
              </w:rPr>
              <w:t xml:space="preserve">50 </w:t>
            </w:r>
          </w:p>
        </w:tc>
      </w:tr>
      <w:tr w:rsidR="00C57C9F" w14:paraId="34895685" w14:textId="77777777" w:rsidTr="006F421D">
        <w:trPr>
          <w:divId w:val="1675300298"/>
          <w:tblCellSpacing w:w="15" w:type="dxa"/>
        </w:trPr>
        <w:tc>
          <w:tcPr>
            <w:tcW w:w="8364" w:type="dxa"/>
            <w:vAlign w:val="center"/>
            <w:hideMark/>
          </w:tcPr>
          <w:p w14:paraId="7A2B5115" w14:textId="77777777" w:rsidR="00C57C9F" w:rsidRDefault="00C57C9F">
            <w:pPr>
              <w:pStyle w:val="3fins-table"/>
              <w:rPr>
                <w:rFonts w:cs="Times New Roman"/>
              </w:rPr>
            </w:pPr>
            <w:r>
              <w:rPr>
                <w:rStyle w:val="fins-bold"/>
                <w:rFonts w:cs="Times New Roman"/>
              </w:rPr>
              <w:t>Total</w:t>
            </w:r>
          </w:p>
        </w:tc>
        <w:tc>
          <w:tcPr>
            <w:tcW w:w="962" w:type="dxa"/>
            <w:tcBorders>
              <w:top w:val="single" w:sz="4" w:space="0" w:color="0D0D0D" w:themeColor="text1" w:themeTint="F2"/>
              <w:bottom w:val="double" w:sz="6" w:space="0" w:color="auto"/>
            </w:tcBorders>
            <w:vAlign w:val="center"/>
            <w:hideMark/>
          </w:tcPr>
          <w:p w14:paraId="6AD2857E" w14:textId="77777777" w:rsidR="00C57C9F" w:rsidRDefault="00C57C9F" w:rsidP="006F421D">
            <w:pPr>
              <w:pStyle w:val="3fins-table-figures"/>
              <w:jc w:val="right"/>
              <w:rPr>
                <w:rFonts w:cs="Times New Roman"/>
              </w:rPr>
            </w:pPr>
            <w:r>
              <w:rPr>
                <w:rStyle w:val="fins-bold"/>
                <w:rFonts w:cs="Times New Roman"/>
              </w:rPr>
              <w:t xml:space="preserve">50 </w:t>
            </w:r>
          </w:p>
        </w:tc>
        <w:tc>
          <w:tcPr>
            <w:tcW w:w="843" w:type="dxa"/>
            <w:tcBorders>
              <w:top w:val="single" w:sz="4" w:space="0" w:color="0D0D0D" w:themeColor="text1" w:themeTint="F2"/>
              <w:bottom w:val="double" w:sz="6" w:space="0" w:color="auto"/>
            </w:tcBorders>
            <w:vAlign w:val="center"/>
            <w:hideMark/>
          </w:tcPr>
          <w:p w14:paraId="29581E26" w14:textId="77777777" w:rsidR="00C57C9F" w:rsidRDefault="00C57C9F" w:rsidP="006F421D">
            <w:pPr>
              <w:pStyle w:val="3fins-table-figures"/>
              <w:jc w:val="right"/>
              <w:rPr>
                <w:rFonts w:cs="Times New Roman"/>
              </w:rPr>
            </w:pPr>
            <w:r>
              <w:rPr>
                <w:rFonts w:cs="Times New Roman"/>
              </w:rPr>
              <w:t xml:space="preserve">50 </w:t>
            </w:r>
          </w:p>
        </w:tc>
      </w:tr>
      <w:tr w:rsidR="00C57C9F" w14:paraId="70F2EDD3" w14:textId="77777777" w:rsidTr="006F421D">
        <w:trPr>
          <w:divId w:val="1675300298"/>
          <w:tblCellSpacing w:w="15" w:type="dxa"/>
        </w:trPr>
        <w:tc>
          <w:tcPr>
            <w:tcW w:w="8364" w:type="dxa"/>
            <w:vAlign w:val="center"/>
            <w:hideMark/>
          </w:tcPr>
          <w:p w14:paraId="13C9076F" w14:textId="77777777" w:rsidR="00C57C9F" w:rsidRDefault="00C57C9F">
            <w:pPr>
              <w:rPr>
                <w:rFonts w:eastAsia="Times New Roman" w:cs="Times New Roman"/>
              </w:rPr>
            </w:pPr>
          </w:p>
        </w:tc>
        <w:tc>
          <w:tcPr>
            <w:tcW w:w="962" w:type="dxa"/>
            <w:vAlign w:val="center"/>
            <w:hideMark/>
          </w:tcPr>
          <w:p w14:paraId="222EDC02" w14:textId="77777777" w:rsidR="00C57C9F" w:rsidRDefault="00C57C9F" w:rsidP="006F421D">
            <w:pPr>
              <w:jc w:val="right"/>
              <w:rPr>
                <w:rFonts w:eastAsia="Times New Roman" w:cs="Times New Roman"/>
              </w:rPr>
            </w:pPr>
          </w:p>
        </w:tc>
        <w:tc>
          <w:tcPr>
            <w:tcW w:w="843" w:type="dxa"/>
            <w:vAlign w:val="center"/>
            <w:hideMark/>
          </w:tcPr>
          <w:p w14:paraId="7ABAF26B" w14:textId="77777777" w:rsidR="00C57C9F" w:rsidRDefault="00C57C9F" w:rsidP="006F421D">
            <w:pPr>
              <w:jc w:val="right"/>
              <w:rPr>
                <w:rFonts w:eastAsia="Times New Roman" w:cs="Times New Roman"/>
              </w:rPr>
            </w:pPr>
          </w:p>
        </w:tc>
      </w:tr>
      <w:tr w:rsidR="00C57C9F" w14:paraId="6BF13C79" w14:textId="77777777" w:rsidTr="006F421D">
        <w:trPr>
          <w:divId w:val="1675300298"/>
          <w:tblCellSpacing w:w="15" w:type="dxa"/>
        </w:trPr>
        <w:tc>
          <w:tcPr>
            <w:tcW w:w="8364" w:type="dxa"/>
            <w:vAlign w:val="center"/>
            <w:hideMark/>
          </w:tcPr>
          <w:p w14:paraId="329ABAB4" w14:textId="77777777" w:rsidR="00C57C9F" w:rsidRDefault="00C57C9F">
            <w:pPr>
              <w:pStyle w:val="3fins-table"/>
              <w:rPr>
                <w:rFonts w:cs="Times New Roman"/>
              </w:rPr>
            </w:pPr>
            <w:r>
              <w:rPr>
                <w:rFonts w:cs="Times New Roman"/>
              </w:rPr>
              <w:t>No other services were provided by the auditors of the financial statements.</w:t>
            </w:r>
          </w:p>
        </w:tc>
        <w:tc>
          <w:tcPr>
            <w:tcW w:w="962" w:type="dxa"/>
            <w:vAlign w:val="center"/>
            <w:hideMark/>
          </w:tcPr>
          <w:p w14:paraId="74F95963" w14:textId="77777777" w:rsidR="00C57C9F" w:rsidRDefault="00C57C9F" w:rsidP="006F421D">
            <w:pPr>
              <w:jc w:val="right"/>
              <w:rPr>
                <w:rFonts w:eastAsia="Times New Roman" w:cs="Times New Roman"/>
              </w:rPr>
            </w:pPr>
          </w:p>
        </w:tc>
        <w:tc>
          <w:tcPr>
            <w:tcW w:w="843" w:type="dxa"/>
            <w:vAlign w:val="center"/>
            <w:hideMark/>
          </w:tcPr>
          <w:p w14:paraId="1CE72E8B" w14:textId="77777777" w:rsidR="00C57C9F" w:rsidRDefault="00C57C9F" w:rsidP="006F421D">
            <w:pPr>
              <w:jc w:val="right"/>
              <w:rPr>
                <w:rFonts w:eastAsia="Times New Roman" w:cs="Times New Roman"/>
              </w:rPr>
            </w:pPr>
          </w:p>
        </w:tc>
      </w:tr>
    </w:tbl>
    <w:p w14:paraId="20A9CDB8" w14:textId="77777777" w:rsidR="00C57C9F" w:rsidRDefault="00C57C9F">
      <w:pPr>
        <w:pStyle w:val="1heading-2"/>
        <w:divId w:val="1675300298"/>
        <w:rPr>
          <w:rFonts w:cs="Times New Roman"/>
          <w:lang w:val="en-AU"/>
        </w:rPr>
      </w:pPr>
      <w:r>
        <w:rPr>
          <w:rFonts w:cs="Times New Roman"/>
          <w:lang w:val="en-AU"/>
        </w:rPr>
        <w:t>Note 16: Financial Instruments</w:t>
      </w:r>
    </w:p>
    <w:p w14:paraId="2D45C4B7" w14:textId="77777777" w:rsidR="00C57C9F" w:rsidRDefault="00C57C9F">
      <w:pPr>
        <w:pStyle w:val="1heading-3"/>
        <w:divId w:val="1675300298"/>
        <w:rPr>
          <w:rFonts w:cs="Times New Roman"/>
          <w:lang w:val="en-AU"/>
        </w:rPr>
      </w:pPr>
      <w:r>
        <w:rPr>
          <w:rFonts w:cs="Times New Roman"/>
        </w:rPr>
        <w:t>Note 16A: Categories of financial instruments</w:t>
      </w:r>
    </w:p>
    <w:tbl>
      <w:tblPr>
        <w:tblW w:w="10251" w:type="dxa"/>
        <w:tblCellMar>
          <w:top w:w="28" w:type="dxa"/>
          <w:left w:w="28" w:type="dxa"/>
          <w:bottom w:w="28" w:type="dxa"/>
          <w:right w:w="28" w:type="dxa"/>
        </w:tblCellMar>
        <w:tblLook w:val="04A0" w:firstRow="1" w:lastRow="0" w:firstColumn="1" w:lastColumn="0" w:noHBand="0" w:noVBand="1"/>
      </w:tblPr>
      <w:tblGrid>
        <w:gridCol w:w="8004"/>
        <w:gridCol w:w="1136"/>
        <w:gridCol w:w="1111"/>
      </w:tblGrid>
      <w:tr w:rsidR="00C57C9F" w14:paraId="46BC1136" w14:textId="77777777" w:rsidTr="006F421D">
        <w:trPr>
          <w:divId w:val="1675300298"/>
        </w:trPr>
        <w:tc>
          <w:tcPr>
            <w:tcW w:w="7910" w:type="dxa"/>
            <w:vAlign w:val="center"/>
            <w:hideMark/>
          </w:tcPr>
          <w:p w14:paraId="68987526" w14:textId="77777777" w:rsidR="00C57C9F" w:rsidRDefault="00C57C9F">
            <w:pPr>
              <w:rPr>
                <w:rFonts w:eastAsia="Times New Roman" w:cs="Times New Roman"/>
              </w:rPr>
            </w:pPr>
          </w:p>
        </w:tc>
        <w:tc>
          <w:tcPr>
            <w:tcW w:w="1123" w:type="dxa"/>
            <w:vAlign w:val="center"/>
            <w:hideMark/>
          </w:tcPr>
          <w:p w14:paraId="3BD31663" w14:textId="77777777" w:rsidR="00C57C9F" w:rsidRDefault="00C57C9F" w:rsidP="006F421D">
            <w:pPr>
              <w:pStyle w:val="3fins-table-figures"/>
              <w:jc w:val="right"/>
              <w:rPr>
                <w:rFonts w:cs="Times New Roman"/>
              </w:rPr>
            </w:pPr>
            <w:r>
              <w:rPr>
                <w:rStyle w:val="fins-bold"/>
                <w:rFonts w:cs="Times New Roman"/>
              </w:rPr>
              <w:t>2014</w:t>
            </w:r>
          </w:p>
        </w:tc>
        <w:tc>
          <w:tcPr>
            <w:tcW w:w="1098" w:type="dxa"/>
            <w:vAlign w:val="center"/>
            <w:hideMark/>
          </w:tcPr>
          <w:p w14:paraId="2C0E96CD" w14:textId="77777777" w:rsidR="00C57C9F" w:rsidRDefault="00C57C9F" w:rsidP="006F421D">
            <w:pPr>
              <w:pStyle w:val="3fins-table-figures"/>
              <w:jc w:val="right"/>
              <w:rPr>
                <w:rFonts w:cs="Times New Roman"/>
              </w:rPr>
            </w:pPr>
            <w:r>
              <w:rPr>
                <w:rFonts w:cs="Times New Roman"/>
              </w:rPr>
              <w:t>2013</w:t>
            </w:r>
          </w:p>
        </w:tc>
      </w:tr>
      <w:tr w:rsidR="00C57C9F" w14:paraId="0BF7E871" w14:textId="77777777" w:rsidTr="00161EA4">
        <w:trPr>
          <w:divId w:val="1675300298"/>
        </w:trPr>
        <w:tc>
          <w:tcPr>
            <w:tcW w:w="7910" w:type="dxa"/>
            <w:vAlign w:val="center"/>
          </w:tcPr>
          <w:p w14:paraId="37ED1D2F" w14:textId="77777777" w:rsidR="00C57C9F" w:rsidRDefault="00C57C9F" w:rsidP="00161EA4">
            <w:pPr>
              <w:spacing w:after="0"/>
              <w:rPr>
                <w:rFonts w:eastAsia="Times New Roman" w:cs="Times New Roman"/>
              </w:rPr>
            </w:pPr>
          </w:p>
        </w:tc>
        <w:tc>
          <w:tcPr>
            <w:tcW w:w="1123" w:type="dxa"/>
            <w:vAlign w:val="center"/>
          </w:tcPr>
          <w:p w14:paraId="1E856260" w14:textId="0D9B5637" w:rsidR="00C57C9F" w:rsidRDefault="00C57C9F" w:rsidP="00161EA4">
            <w:pPr>
              <w:pStyle w:val="3fins-table-figures"/>
              <w:spacing w:before="0" w:beforeAutospacing="0" w:after="0" w:afterAutospacing="0"/>
              <w:jc w:val="right"/>
              <w:rPr>
                <w:rFonts w:cs="Times New Roman"/>
              </w:rPr>
            </w:pPr>
          </w:p>
        </w:tc>
        <w:tc>
          <w:tcPr>
            <w:tcW w:w="1098" w:type="dxa"/>
            <w:vAlign w:val="center"/>
          </w:tcPr>
          <w:p w14:paraId="7E1BCF98" w14:textId="4873629F" w:rsidR="00C57C9F" w:rsidRDefault="00C57C9F" w:rsidP="00161EA4">
            <w:pPr>
              <w:pStyle w:val="3fins-table-figures"/>
              <w:spacing w:before="0" w:beforeAutospacing="0" w:after="0" w:afterAutospacing="0"/>
              <w:jc w:val="right"/>
              <w:rPr>
                <w:rFonts w:cs="Times New Roman"/>
              </w:rPr>
            </w:pPr>
          </w:p>
        </w:tc>
      </w:tr>
      <w:tr w:rsidR="00C57C9F" w14:paraId="1B8B9C84" w14:textId="77777777" w:rsidTr="006F421D">
        <w:trPr>
          <w:divId w:val="1675300298"/>
        </w:trPr>
        <w:tc>
          <w:tcPr>
            <w:tcW w:w="7910" w:type="dxa"/>
            <w:vAlign w:val="center"/>
            <w:hideMark/>
          </w:tcPr>
          <w:p w14:paraId="409CF205" w14:textId="77777777" w:rsidR="00C57C9F" w:rsidRDefault="00C57C9F">
            <w:pPr>
              <w:pStyle w:val="3fins-table"/>
              <w:rPr>
                <w:rFonts w:cs="Times New Roman"/>
              </w:rPr>
            </w:pPr>
            <w:r>
              <w:rPr>
                <w:rStyle w:val="fins-bold"/>
                <w:rFonts w:cs="Times New Roman"/>
              </w:rPr>
              <w:t>Financial assets</w:t>
            </w:r>
          </w:p>
        </w:tc>
        <w:tc>
          <w:tcPr>
            <w:tcW w:w="1123" w:type="dxa"/>
            <w:vAlign w:val="center"/>
            <w:hideMark/>
          </w:tcPr>
          <w:p w14:paraId="5FFD81C8" w14:textId="77777777" w:rsidR="00C57C9F" w:rsidRDefault="00C57C9F" w:rsidP="006F421D">
            <w:pPr>
              <w:jc w:val="right"/>
              <w:rPr>
                <w:rFonts w:eastAsia="Times New Roman" w:cs="Times New Roman"/>
              </w:rPr>
            </w:pPr>
          </w:p>
        </w:tc>
        <w:tc>
          <w:tcPr>
            <w:tcW w:w="1098" w:type="dxa"/>
            <w:vAlign w:val="center"/>
            <w:hideMark/>
          </w:tcPr>
          <w:p w14:paraId="1B68B8F0" w14:textId="77777777" w:rsidR="00C57C9F" w:rsidRDefault="00C57C9F" w:rsidP="006F421D">
            <w:pPr>
              <w:jc w:val="right"/>
              <w:rPr>
                <w:rFonts w:eastAsia="Times New Roman" w:cs="Times New Roman"/>
              </w:rPr>
            </w:pPr>
          </w:p>
        </w:tc>
      </w:tr>
      <w:tr w:rsidR="00C57C9F" w14:paraId="47CE9FCA" w14:textId="77777777" w:rsidTr="006F421D">
        <w:trPr>
          <w:divId w:val="1675300298"/>
        </w:trPr>
        <w:tc>
          <w:tcPr>
            <w:tcW w:w="7910" w:type="dxa"/>
            <w:vAlign w:val="center"/>
            <w:hideMark/>
          </w:tcPr>
          <w:p w14:paraId="560038D0" w14:textId="77777777" w:rsidR="00C57C9F" w:rsidRDefault="00C57C9F">
            <w:pPr>
              <w:pStyle w:val="3fins-table"/>
              <w:rPr>
                <w:rFonts w:cs="Times New Roman"/>
              </w:rPr>
            </w:pPr>
            <w:r>
              <w:rPr>
                <w:rStyle w:val="fins-bold"/>
                <w:rFonts w:cs="Times New Roman"/>
              </w:rPr>
              <w:t>Loans and receivables:</w:t>
            </w:r>
          </w:p>
        </w:tc>
        <w:tc>
          <w:tcPr>
            <w:tcW w:w="1123" w:type="dxa"/>
            <w:vAlign w:val="center"/>
            <w:hideMark/>
          </w:tcPr>
          <w:p w14:paraId="61905AA1" w14:textId="77777777" w:rsidR="00C57C9F" w:rsidRDefault="00C57C9F" w:rsidP="006F421D">
            <w:pPr>
              <w:jc w:val="right"/>
              <w:rPr>
                <w:rFonts w:eastAsia="Times New Roman" w:cs="Times New Roman"/>
              </w:rPr>
            </w:pPr>
          </w:p>
        </w:tc>
        <w:tc>
          <w:tcPr>
            <w:tcW w:w="1098" w:type="dxa"/>
            <w:vAlign w:val="center"/>
            <w:hideMark/>
          </w:tcPr>
          <w:p w14:paraId="79F1AEDF" w14:textId="77777777" w:rsidR="00C57C9F" w:rsidRDefault="00C57C9F" w:rsidP="006F421D">
            <w:pPr>
              <w:jc w:val="right"/>
              <w:rPr>
                <w:rFonts w:eastAsia="Times New Roman" w:cs="Times New Roman"/>
              </w:rPr>
            </w:pPr>
          </w:p>
        </w:tc>
      </w:tr>
      <w:tr w:rsidR="00C57C9F" w14:paraId="4F5311AA" w14:textId="77777777" w:rsidTr="006F421D">
        <w:trPr>
          <w:divId w:val="1675300298"/>
        </w:trPr>
        <w:tc>
          <w:tcPr>
            <w:tcW w:w="7910" w:type="dxa"/>
            <w:vAlign w:val="center"/>
            <w:hideMark/>
          </w:tcPr>
          <w:p w14:paraId="5CD4EF1C" w14:textId="77777777" w:rsidR="00C57C9F" w:rsidRDefault="00C57C9F" w:rsidP="006F421D">
            <w:pPr>
              <w:pStyle w:val="3fins-table"/>
              <w:ind w:left="284"/>
              <w:rPr>
                <w:rFonts w:cs="Times New Roman"/>
              </w:rPr>
            </w:pPr>
            <w:r>
              <w:rPr>
                <w:rFonts w:cs="Times New Roman"/>
              </w:rPr>
              <w:t>Cash on hand and at bank</w:t>
            </w:r>
          </w:p>
        </w:tc>
        <w:tc>
          <w:tcPr>
            <w:tcW w:w="1123" w:type="dxa"/>
            <w:vAlign w:val="center"/>
            <w:hideMark/>
          </w:tcPr>
          <w:p w14:paraId="6FE5E022" w14:textId="77777777" w:rsidR="00C57C9F" w:rsidRDefault="00C57C9F" w:rsidP="006F421D">
            <w:pPr>
              <w:pStyle w:val="3fins-table-figures"/>
              <w:jc w:val="right"/>
              <w:rPr>
                <w:rFonts w:cs="Times New Roman"/>
              </w:rPr>
            </w:pPr>
            <w:r>
              <w:rPr>
                <w:rStyle w:val="fins-bold"/>
                <w:rFonts w:cs="Times New Roman"/>
              </w:rPr>
              <w:t>13,159</w:t>
            </w:r>
          </w:p>
        </w:tc>
        <w:tc>
          <w:tcPr>
            <w:tcW w:w="1098" w:type="dxa"/>
            <w:vAlign w:val="center"/>
            <w:hideMark/>
          </w:tcPr>
          <w:p w14:paraId="60D465D2" w14:textId="77777777" w:rsidR="00C57C9F" w:rsidRDefault="00C57C9F" w:rsidP="006F421D">
            <w:pPr>
              <w:pStyle w:val="3fins-table-figures"/>
              <w:jc w:val="right"/>
              <w:rPr>
                <w:rFonts w:cs="Times New Roman"/>
              </w:rPr>
            </w:pPr>
            <w:r>
              <w:rPr>
                <w:rFonts w:cs="Times New Roman"/>
              </w:rPr>
              <w:t>7,050</w:t>
            </w:r>
          </w:p>
        </w:tc>
      </w:tr>
      <w:tr w:rsidR="00C57C9F" w14:paraId="5BDF595F" w14:textId="77777777" w:rsidTr="006F421D">
        <w:trPr>
          <w:divId w:val="1675300298"/>
        </w:trPr>
        <w:tc>
          <w:tcPr>
            <w:tcW w:w="7910" w:type="dxa"/>
            <w:vAlign w:val="center"/>
            <w:hideMark/>
          </w:tcPr>
          <w:p w14:paraId="40D98192" w14:textId="77777777" w:rsidR="00C57C9F" w:rsidRDefault="00C57C9F" w:rsidP="006F421D">
            <w:pPr>
              <w:pStyle w:val="3fins-table"/>
              <w:ind w:left="284"/>
              <w:rPr>
                <w:rFonts w:cs="Times New Roman"/>
              </w:rPr>
            </w:pPr>
            <w:r>
              <w:rPr>
                <w:rFonts w:cs="Times New Roman"/>
              </w:rPr>
              <w:t xml:space="preserve">Trade and other receivables </w:t>
            </w:r>
          </w:p>
        </w:tc>
        <w:tc>
          <w:tcPr>
            <w:tcW w:w="1123" w:type="dxa"/>
            <w:vAlign w:val="center"/>
            <w:hideMark/>
          </w:tcPr>
          <w:p w14:paraId="734C9D92" w14:textId="77777777" w:rsidR="00C57C9F" w:rsidRDefault="00C57C9F" w:rsidP="006F421D">
            <w:pPr>
              <w:pStyle w:val="3fins-table-figures"/>
              <w:jc w:val="right"/>
              <w:rPr>
                <w:rFonts w:cs="Times New Roman"/>
              </w:rPr>
            </w:pPr>
            <w:r>
              <w:rPr>
                <w:rStyle w:val="fins-bold"/>
                <w:rFonts w:cs="Times New Roman"/>
              </w:rPr>
              <w:t>2,002</w:t>
            </w:r>
          </w:p>
        </w:tc>
        <w:tc>
          <w:tcPr>
            <w:tcW w:w="1098" w:type="dxa"/>
            <w:vAlign w:val="center"/>
            <w:hideMark/>
          </w:tcPr>
          <w:p w14:paraId="5D45DA94" w14:textId="77777777" w:rsidR="00C57C9F" w:rsidRDefault="00C57C9F" w:rsidP="006F421D">
            <w:pPr>
              <w:pStyle w:val="3fins-table-figures"/>
              <w:jc w:val="right"/>
              <w:rPr>
                <w:rFonts w:cs="Times New Roman"/>
              </w:rPr>
            </w:pPr>
            <w:r>
              <w:rPr>
                <w:rFonts w:cs="Times New Roman"/>
              </w:rPr>
              <w:t>1,027</w:t>
            </w:r>
          </w:p>
        </w:tc>
      </w:tr>
      <w:tr w:rsidR="00C57C9F" w14:paraId="750467B1" w14:textId="77777777" w:rsidTr="006F421D">
        <w:trPr>
          <w:divId w:val="1675300298"/>
        </w:trPr>
        <w:tc>
          <w:tcPr>
            <w:tcW w:w="7910" w:type="dxa"/>
            <w:vAlign w:val="center"/>
            <w:hideMark/>
          </w:tcPr>
          <w:p w14:paraId="22748A26" w14:textId="77777777" w:rsidR="00C57C9F" w:rsidRDefault="00C57C9F">
            <w:pPr>
              <w:pStyle w:val="3fins-table"/>
              <w:rPr>
                <w:rFonts w:cs="Times New Roman"/>
              </w:rPr>
            </w:pPr>
            <w:r>
              <w:rPr>
                <w:rStyle w:val="fins-bold"/>
                <w:rFonts w:cs="Times New Roman"/>
              </w:rPr>
              <w:t>Total</w:t>
            </w:r>
          </w:p>
        </w:tc>
        <w:tc>
          <w:tcPr>
            <w:tcW w:w="1123" w:type="dxa"/>
            <w:tcBorders>
              <w:top w:val="single" w:sz="12" w:space="0" w:color="0D0D0D" w:themeColor="text1" w:themeTint="F2"/>
              <w:bottom w:val="single" w:sz="12" w:space="0" w:color="0D0D0D" w:themeColor="text1" w:themeTint="F2"/>
            </w:tcBorders>
            <w:vAlign w:val="center"/>
            <w:hideMark/>
          </w:tcPr>
          <w:p w14:paraId="6BE49836" w14:textId="77777777" w:rsidR="00C57C9F" w:rsidRDefault="00C57C9F" w:rsidP="006F421D">
            <w:pPr>
              <w:pStyle w:val="3fins-table-figures"/>
              <w:jc w:val="right"/>
              <w:rPr>
                <w:rFonts w:cs="Times New Roman"/>
              </w:rPr>
            </w:pPr>
            <w:r>
              <w:rPr>
                <w:rStyle w:val="fins-bold"/>
                <w:rFonts w:cs="Times New Roman"/>
              </w:rPr>
              <w:t>15,161</w:t>
            </w:r>
          </w:p>
        </w:tc>
        <w:tc>
          <w:tcPr>
            <w:tcW w:w="1098" w:type="dxa"/>
            <w:tcBorders>
              <w:top w:val="single" w:sz="12" w:space="0" w:color="0D0D0D" w:themeColor="text1" w:themeTint="F2"/>
              <w:bottom w:val="single" w:sz="12" w:space="0" w:color="0D0D0D" w:themeColor="text1" w:themeTint="F2"/>
            </w:tcBorders>
            <w:vAlign w:val="center"/>
            <w:hideMark/>
          </w:tcPr>
          <w:p w14:paraId="3BB0499A" w14:textId="77777777" w:rsidR="00C57C9F" w:rsidRDefault="00C57C9F" w:rsidP="006F421D">
            <w:pPr>
              <w:pStyle w:val="3fins-table-figures"/>
              <w:jc w:val="right"/>
              <w:rPr>
                <w:rFonts w:cs="Times New Roman"/>
              </w:rPr>
            </w:pPr>
            <w:r>
              <w:rPr>
                <w:rFonts w:cs="Times New Roman"/>
              </w:rPr>
              <w:t>8,077</w:t>
            </w:r>
          </w:p>
        </w:tc>
      </w:tr>
      <w:tr w:rsidR="00C57C9F" w14:paraId="105534F8" w14:textId="77777777" w:rsidTr="006F421D">
        <w:trPr>
          <w:divId w:val="1675300298"/>
        </w:trPr>
        <w:tc>
          <w:tcPr>
            <w:tcW w:w="7910" w:type="dxa"/>
            <w:vAlign w:val="center"/>
            <w:hideMark/>
          </w:tcPr>
          <w:p w14:paraId="450AEDD5" w14:textId="77777777" w:rsidR="00C57C9F" w:rsidRDefault="00C57C9F">
            <w:pPr>
              <w:pStyle w:val="3fins-table"/>
              <w:rPr>
                <w:rFonts w:cs="Times New Roman"/>
              </w:rPr>
            </w:pPr>
            <w:r>
              <w:rPr>
                <w:rStyle w:val="fins-bold"/>
                <w:rFonts w:cs="Times New Roman"/>
              </w:rPr>
              <w:t>Carrying amount of financial assets</w:t>
            </w:r>
          </w:p>
        </w:tc>
        <w:tc>
          <w:tcPr>
            <w:tcW w:w="1123" w:type="dxa"/>
            <w:tcBorders>
              <w:top w:val="single" w:sz="12" w:space="0" w:color="0D0D0D" w:themeColor="text1" w:themeTint="F2"/>
              <w:bottom w:val="double" w:sz="12" w:space="0" w:color="auto"/>
            </w:tcBorders>
            <w:vAlign w:val="center"/>
            <w:hideMark/>
          </w:tcPr>
          <w:p w14:paraId="4F52DA05" w14:textId="77777777" w:rsidR="00C57C9F" w:rsidRDefault="00C57C9F" w:rsidP="006F421D">
            <w:pPr>
              <w:pStyle w:val="3fins-table-figures"/>
              <w:jc w:val="right"/>
              <w:rPr>
                <w:rFonts w:cs="Times New Roman"/>
              </w:rPr>
            </w:pPr>
            <w:r>
              <w:rPr>
                <w:rStyle w:val="fins-bold"/>
                <w:rFonts w:cs="Times New Roman"/>
              </w:rPr>
              <w:t>15,161</w:t>
            </w:r>
          </w:p>
        </w:tc>
        <w:tc>
          <w:tcPr>
            <w:tcW w:w="1098" w:type="dxa"/>
            <w:tcBorders>
              <w:top w:val="single" w:sz="12" w:space="0" w:color="0D0D0D" w:themeColor="text1" w:themeTint="F2"/>
              <w:bottom w:val="double" w:sz="12" w:space="0" w:color="auto"/>
            </w:tcBorders>
            <w:vAlign w:val="center"/>
            <w:hideMark/>
          </w:tcPr>
          <w:p w14:paraId="3882E342" w14:textId="77777777" w:rsidR="00C57C9F" w:rsidRDefault="00C57C9F" w:rsidP="006F421D">
            <w:pPr>
              <w:pStyle w:val="3fins-table-figures"/>
              <w:jc w:val="right"/>
              <w:rPr>
                <w:rFonts w:cs="Times New Roman"/>
              </w:rPr>
            </w:pPr>
            <w:r>
              <w:rPr>
                <w:rFonts w:cs="Times New Roman"/>
              </w:rPr>
              <w:t>8,077</w:t>
            </w:r>
          </w:p>
        </w:tc>
      </w:tr>
      <w:tr w:rsidR="00C57C9F" w14:paraId="66063310" w14:textId="77777777" w:rsidTr="006F421D">
        <w:trPr>
          <w:divId w:val="1675300298"/>
        </w:trPr>
        <w:tc>
          <w:tcPr>
            <w:tcW w:w="7910" w:type="dxa"/>
            <w:vAlign w:val="center"/>
            <w:hideMark/>
          </w:tcPr>
          <w:p w14:paraId="2FDDC757" w14:textId="77777777" w:rsidR="00C57C9F" w:rsidRDefault="00C57C9F">
            <w:pPr>
              <w:rPr>
                <w:rFonts w:eastAsia="Times New Roman" w:cs="Times New Roman"/>
              </w:rPr>
            </w:pPr>
          </w:p>
        </w:tc>
        <w:tc>
          <w:tcPr>
            <w:tcW w:w="1123" w:type="dxa"/>
            <w:tcBorders>
              <w:top w:val="double" w:sz="12" w:space="0" w:color="auto"/>
            </w:tcBorders>
            <w:vAlign w:val="center"/>
            <w:hideMark/>
          </w:tcPr>
          <w:p w14:paraId="6A3525C0" w14:textId="77777777" w:rsidR="00C57C9F" w:rsidRDefault="00C57C9F" w:rsidP="006F421D">
            <w:pPr>
              <w:jc w:val="right"/>
              <w:rPr>
                <w:rFonts w:eastAsia="Times New Roman" w:cs="Times New Roman"/>
              </w:rPr>
            </w:pPr>
          </w:p>
        </w:tc>
        <w:tc>
          <w:tcPr>
            <w:tcW w:w="1098" w:type="dxa"/>
            <w:tcBorders>
              <w:top w:val="double" w:sz="12" w:space="0" w:color="auto"/>
            </w:tcBorders>
            <w:vAlign w:val="center"/>
            <w:hideMark/>
          </w:tcPr>
          <w:p w14:paraId="13F62C17" w14:textId="77777777" w:rsidR="00C57C9F" w:rsidRDefault="00C57C9F" w:rsidP="006F421D">
            <w:pPr>
              <w:jc w:val="right"/>
              <w:rPr>
                <w:rFonts w:eastAsia="Times New Roman" w:cs="Times New Roman"/>
              </w:rPr>
            </w:pPr>
          </w:p>
        </w:tc>
      </w:tr>
      <w:tr w:rsidR="00C57C9F" w14:paraId="74941F9C" w14:textId="77777777" w:rsidTr="006F421D">
        <w:trPr>
          <w:divId w:val="1675300298"/>
        </w:trPr>
        <w:tc>
          <w:tcPr>
            <w:tcW w:w="7910" w:type="dxa"/>
            <w:vAlign w:val="center"/>
            <w:hideMark/>
          </w:tcPr>
          <w:p w14:paraId="16E1DC4F" w14:textId="77777777" w:rsidR="00C57C9F" w:rsidRDefault="00C57C9F">
            <w:pPr>
              <w:pStyle w:val="3fins-table"/>
              <w:rPr>
                <w:rFonts w:cs="Times New Roman"/>
              </w:rPr>
            </w:pPr>
            <w:r>
              <w:rPr>
                <w:rStyle w:val="fins-bold"/>
                <w:rFonts w:cs="Times New Roman"/>
              </w:rPr>
              <w:t>Financial liabilities</w:t>
            </w:r>
          </w:p>
        </w:tc>
        <w:tc>
          <w:tcPr>
            <w:tcW w:w="1123" w:type="dxa"/>
            <w:vAlign w:val="center"/>
            <w:hideMark/>
          </w:tcPr>
          <w:p w14:paraId="71CD80F6" w14:textId="77777777" w:rsidR="00C57C9F" w:rsidRDefault="00C57C9F" w:rsidP="006F421D">
            <w:pPr>
              <w:jc w:val="right"/>
              <w:rPr>
                <w:rFonts w:eastAsia="Times New Roman" w:cs="Times New Roman"/>
              </w:rPr>
            </w:pPr>
          </w:p>
        </w:tc>
        <w:tc>
          <w:tcPr>
            <w:tcW w:w="1098" w:type="dxa"/>
            <w:vAlign w:val="center"/>
            <w:hideMark/>
          </w:tcPr>
          <w:p w14:paraId="73D95B65" w14:textId="77777777" w:rsidR="00C57C9F" w:rsidRDefault="00C57C9F" w:rsidP="006F421D">
            <w:pPr>
              <w:jc w:val="right"/>
              <w:rPr>
                <w:rFonts w:eastAsia="Times New Roman" w:cs="Times New Roman"/>
              </w:rPr>
            </w:pPr>
          </w:p>
        </w:tc>
      </w:tr>
      <w:tr w:rsidR="00C57C9F" w14:paraId="34CC8196" w14:textId="77777777" w:rsidTr="006F421D">
        <w:trPr>
          <w:divId w:val="1675300298"/>
        </w:trPr>
        <w:tc>
          <w:tcPr>
            <w:tcW w:w="7910" w:type="dxa"/>
            <w:vAlign w:val="center"/>
            <w:hideMark/>
          </w:tcPr>
          <w:p w14:paraId="718D8F7E" w14:textId="77777777" w:rsidR="00C57C9F" w:rsidRDefault="00C57C9F">
            <w:pPr>
              <w:pStyle w:val="3fins-table"/>
              <w:rPr>
                <w:rFonts w:cs="Times New Roman"/>
              </w:rPr>
            </w:pPr>
            <w:r>
              <w:rPr>
                <w:rStyle w:val="fins-bold"/>
                <w:rFonts w:cs="Times New Roman"/>
              </w:rPr>
              <w:t xml:space="preserve">At </w:t>
            </w:r>
            <w:proofErr w:type="spellStart"/>
            <w:r>
              <w:rPr>
                <w:rStyle w:val="fins-bold"/>
                <w:rFonts w:cs="Times New Roman"/>
              </w:rPr>
              <w:t>amortised</w:t>
            </w:r>
            <w:proofErr w:type="spellEnd"/>
            <w:r>
              <w:rPr>
                <w:rStyle w:val="fins-bold"/>
                <w:rFonts w:cs="Times New Roman"/>
              </w:rPr>
              <w:t xml:space="preserve"> cost:</w:t>
            </w:r>
          </w:p>
        </w:tc>
        <w:tc>
          <w:tcPr>
            <w:tcW w:w="1123" w:type="dxa"/>
            <w:vAlign w:val="center"/>
            <w:hideMark/>
          </w:tcPr>
          <w:p w14:paraId="5EC6BD4C" w14:textId="77777777" w:rsidR="00C57C9F" w:rsidRDefault="00C57C9F" w:rsidP="006F421D">
            <w:pPr>
              <w:jc w:val="right"/>
              <w:rPr>
                <w:rFonts w:eastAsia="Times New Roman" w:cs="Times New Roman"/>
              </w:rPr>
            </w:pPr>
          </w:p>
        </w:tc>
        <w:tc>
          <w:tcPr>
            <w:tcW w:w="1098" w:type="dxa"/>
            <w:vAlign w:val="center"/>
            <w:hideMark/>
          </w:tcPr>
          <w:p w14:paraId="0958F570" w14:textId="77777777" w:rsidR="00C57C9F" w:rsidRDefault="00C57C9F" w:rsidP="006F421D">
            <w:pPr>
              <w:jc w:val="right"/>
              <w:rPr>
                <w:rFonts w:eastAsia="Times New Roman" w:cs="Times New Roman"/>
              </w:rPr>
            </w:pPr>
          </w:p>
        </w:tc>
      </w:tr>
      <w:tr w:rsidR="00C57C9F" w14:paraId="32F406C2" w14:textId="77777777" w:rsidTr="006F421D">
        <w:trPr>
          <w:divId w:val="1675300298"/>
        </w:trPr>
        <w:tc>
          <w:tcPr>
            <w:tcW w:w="7910" w:type="dxa"/>
            <w:vAlign w:val="center"/>
            <w:hideMark/>
          </w:tcPr>
          <w:p w14:paraId="24941E4D" w14:textId="77777777" w:rsidR="00C57C9F" w:rsidRDefault="00C57C9F">
            <w:pPr>
              <w:pStyle w:val="3fins-table"/>
              <w:rPr>
                <w:rFonts w:cs="Times New Roman"/>
              </w:rPr>
            </w:pPr>
            <w:r>
              <w:rPr>
                <w:rFonts w:cs="Times New Roman"/>
              </w:rPr>
              <w:t>Trade creditors and accruals</w:t>
            </w:r>
          </w:p>
        </w:tc>
        <w:tc>
          <w:tcPr>
            <w:tcW w:w="1123" w:type="dxa"/>
            <w:tcBorders>
              <w:bottom w:val="single" w:sz="12" w:space="0" w:color="0D0D0D" w:themeColor="text1" w:themeTint="F2"/>
            </w:tcBorders>
            <w:vAlign w:val="center"/>
            <w:hideMark/>
          </w:tcPr>
          <w:p w14:paraId="615B3C66" w14:textId="77777777" w:rsidR="00C57C9F" w:rsidRDefault="00C57C9F" w:rsidP="006F421D">
            <w:pPr>
              <w:jc w:val="right"/>
              <w:rPr>
                <w:rFonts w:eastAsia="Times New Roman" w:cs="Times New Roman"/>
              </w:rPr>
            </w:pPr>
          </w:p>
        </w:tc>
        <w:tc>
          <w:tcPr>
            <w:tcW w:w="1098" w:type="dxa"/>
            <w:tcBorders>
              <w:bottom w:val="single" w:sz="12" w:space="0" w:color="0D0D0D" w:themeColor="text1" w:themeTint="F2"/>
            </w:tcBorders>
            <w:vAlign w:val="center"/>
            <w:hideMark/>
          </w:tcPr>
          <w:p w14:paraId="0428F963" w14:textId="77777777" w:rsidR="00C57C9F" w:rsidRDefault="00C57C9F" w:rsidP="006F421D">
            <w:pPr>
              <w:jc w:val="right"/>
              <w:rPr>
                <w:rFonts w:eastAsia="Times New Roman" w:cs="Times New Roman"/>
              </w:rPr>
            </w:pPr>
          </w:p>
        </w:tc>
      </w:tr>
      <w:tr w:rsidR="00C57C9F" w14:paraId="6343E1E9" w14:textId="77777777" w:rsidTr="006F421D">
        <w:trPr>
          <w:divId w:val="1675300298"/>
        </w:trPr>
        <w:tc>
          <w:tcPr>
            <w:tcW w:w="7910" w:type="dxa"/>
            <w:vAlign w:val="center"/>
            <w:hideMark/>
          </w:tcPr>
          <w:p w14:paraId="56B4185E" w14:textId="77777777" w:rsidR="00C57C9F" w:rsidRDefault="00C57C9F" w:rsidP="006F421D">
            <w:pPr>
              <w:pStyle w:val="3fins-table"/>
              <w:ind w:left="284"/>
              <w:rPr>
                <w:rFonts w:cs="Times New Roman"/>
              </w:rPr>
            </w:pPr>
            <w:r>
              <w:rPr>
                <w:rFonts w:cs="Times New Roman"/>
              </w:rPr>
              <w:t>Suppliers</w:t>
            </w:r>
          </w:p>
        </w:tc>
        <w:tc>
          <w:tcPr>
            <w:tcW w:w="1123" w:type="dxa"/>
            <w:tcBorders>
              <w:top w:val="single" w:sz="12" w:space="0" w:color="0D0D0D" w:themeColor="text1" w:themeTint="F2"/>
              <w:bottom w:val="single" w:sz="12" w:space="0" w:color="0D0D0D" w:themeColor="text1" w:themeTint="F2"/>
            </w:tcBorders>
            <w:vAlign w:val="center"/>
            <w:hideMark/>
          </w:tcPr>
          <w:p w14:paraId="5617AA76" w14:textId="77777777" w:rsidR="00C57C9F" w:rsidRDefault="00C57C9F" w:rsidP="006F421D">
            <w:pPr>
              <w:pStyle w:val="3fins-table-figures"/>
              <w:jc w:val="right"/>
              <w:rPr>
                <w:rFonts w:cs="Times New Roman"/>
              </w:rPr>
            </w:pPr>
            <w:r>
              <w:rPr>
                <w:rStyle w:val="fins-bold"/>
                <w:rFonts w:cs="Times New Roman"/>
              </w:rPr>
              <w:t>2,233</w:t>
            </w:r>
          </w:p>
        </w:tc>
        <w:tc>
          <w:tcPr>
            <w:tcW w:w="1098" w:type="dxa"/>
            <w:tcBorders>
              <w:top w:val="single" w:sz="12" w:space="0" w:color="0D0D0D" w:themeColor="text1" w:themeTint="F2"/>
              <w:bottom w:val="single" w:sz="12" w:space="0" w:color="0D0D0D" w:themeColor="text1" w:themeTint="F2"/>
            </w:tcBorders>
            <w:vAlign w:val="center"/>
            <w:hideMark/>
          </w:tcPr>
          <w:p w14:paraId="64F34250" w14:textId="77777777" w:rsidR="00C57C9F" w:rsidRDefault="00C57C9F" w:rsidP="006F421D">
            <w:pPr>
              <w:pStyle w:val="3fins-table-figures"/>
              <w:jc w:val="right"/>
              <w:rPr>
                <w:rFonts w:cs="Times New Roman"/>
              </w:rPr>
            </w:pPr>
            <w:r>
              <w:rPr>
                <w:rFonts w:cs="Times New Roman"/>
              </w:rPr>
              <w:t>2,478</w:t>
            </w:r>
          </w:p>
        </w:tc>
      </w:tr>
      <w:tr w:rsidR="00C57C9F" w14:paraId="0CBDC521" w14:textId="77777777" w:rsidTr="006F421D">
        <w:trPr>
          <w:divId w:val="1675300298"/>
        </w:trPr>
        <w:tc>
          <w:tcPr>
            <w:tcW w:w="7910" w:type="dxa"/>
            <w:vAlign w:val="center"/>
            <w:hideMark/>
          </w:tcPr>
          <w:p w14:paraId="3E3E823C" w14:textId="77777777" w:rsidR="00C57C9F" w:rsidRDefault="00C57C9F">
            <w:pPr>
              <w:pStyle w:val="3fins-table"/>
              <w:rPr>
                <w:rFonts w:cs="Times New Roman"/>
              </w:rPr>
            </w:pPr>
            <w:r>
              <w:rPr>
                <w:rStyle w:val="fins-bold"/>
                <w:rFonts w:cs="Times New Roman"/>
              </w:rPr>
              <w:t>Total</w:t>
            </w:r>
          </w:p>
        </w:tc>
        <w:tc>
          <w:tcPr>
            <w:tcW w:w="1123" w:type="dxa"/>
            <w:tcBorders>
              <w:top w:val="single" w:sz="12" w:space="0" w:color="0D0D0D" w:themeColor="text1" w:themeTint="F2"/>
              <w:bottom w:val="single" w:sz="12" w:space="0" w:color="0D0D0D" w:themeColor="text1" w:themeTint="F2"/>
            </w:tcBorders>
            <w:vAlign w:val="center"/>
            <w:hideMark/>
          </w:tcPr>
          <w:p w14:paraId="7F17026C" w14:textId="77777777" w:rsidR="00C57C9F" w:rsidRDefault="00C57C9F" w:rsidP="006F421D">
            <w:pPr>
              <w:pStyle w:val="3fins-table-figures"/>
              <w:jc w:val="right"/>
              <w:rPr>
                <w:rFonts w:cs="Times New Roman"/>
              </w:rPr>
            </w:pPr>
            <w:r>
              <w:rPr>
                <w:rStyle w:val="fins-bold"/>
                <w:rFonts w:cs="Times New Roman"/>
              </w:rPr>
              <w:t>2,233</w:t>
            </w:r>
          </w:p>
        </w:tc>
        <w:tc>
          <w:tcPr>
            <w:tcW w:w="1098" w:type="dxa"/>
            <w:tcBorders>
              <w:top w:val="single" w:sz="12" w:space="0" w:color="0D0D0D" w:themeColor="text1" w:themeTint="F2"/>
              <w:bottom w:val="single" w:sz="12" w:space="0" w:color="0D0D0D" w:themeColor="text1" w:themeTint="F2"/>
            </w:tcBorders>
            <w:vAlign w:val="center"/>
            <w:hideMark/>
          </w:tcPr>
          <w:p w14:paraId="30C4E624" w14:textId="77777777" w:rsidR="00C57C9F" w:rsidRDefault="00C57C9F" w:rsidP="006F421D">
            <w:pPr>
              <w:pStyle w:val="3fins-table-figures"/>
              <w:jc w:val="right"/>
              <w:rPr>
                <w:rFonts w:cs="Times New Roman"/>
              </w:rPr>
            </w:pPr>
            <w:r>
              <w:rPr>
                <w:rFonts w:cs="Times New Roman"/>
              </w:rPr>
              <w:t>2,478</w:t>
            </w:r>
          </w:p>
        </w:tc>
      </w:tr>
      <w:tr w:rsidR="00C57C9F" w14:paraId="4E43A92D" w14:textId="77777777" w:rsidTr="006F421D">
        <w:trPr>
          <w:divId w:val="1675300298"/>
        </w:trPr>
        <w:tc>
          <w:tcPr>
            <w:tcW w:w="7910" w:type="dxa"/>
            <w:vAlign w:val="center"/>
            <w:hideMark/>
          </w:tcPr>
          <w:p w14:paraId="6740327E" w14:textId="77777777" w:rsidR="00C57C9F" w:rsidRDefault="00C57C9F">
            <w:pPr>
              <w:pStyle w:val="3fins-table"/>
              <w:rPr>
                <w:rFonts w:cs="Times New Roman"/>
              </w:rPr>
            </w:pPr>
            <w:r>
              <w:rPr>
                <w:rStyle w:val="fins-bold"/>
                <w:rFonts w:cs="Times New Roman"/>
              </w:rPr>
              <w:t>Carrying amount of financial liabilities</w:t>
            </w:r>
          </w:p>
        </w:tc>
        <w:tc>
          <w:tcPr>
            <w:tcW w:w="1123" w:type="dxa"/>
            <w:tcBorders>
              <w:top w:val="single" w:sz="12" w:space="0" w:color="0D0D0D" w:themeColor="text1" w:themeTint="F2"/>
              <w:bottom w:val="double" w:sz="12" w:space="0" w:color="auto"/>
            </w:tcBorders>
            <w:vAlign w:val="center"/>
            <w:hideMark/>
          </w:tcPr>
          <w:p w14:paraId="24DDEBC2" w14:textId="77777777" w:rsidR="00C57C9F" w:rsidRDefault="00C57C9F" w:rsidP="006F421D">
            <w:pPr>
              <w:pStyle w:val="3fins-table-figures"/>
              <w:jc w:val="right"/>
              <w:rPr>
                <w:rFonts w:cs="Times New Roman"/>
              </w:rPr>
            </w:pPr>
            <w:r>
              <w:rPr>
                <w:rStyle w:val="fins-bold"/>
                <w:rFonts w:cs="Times New Roman"/>
              </w:rPr>
              <w:t>2,233</w:t>
            </w:r>
          </w:p>
        </w:tc>
        <w:tc>
          <w:tcPr>
            <w:tcW w:w="1098" w:type="dxa"/>
            <w:tcBorders>
              <w:top w:val="single" w:sz="12" w:space="0" w:color="0D0D0D" w:themeColor="text1" w:themeTint="F2"/>
              <w:bottom w:val="double" w:sz="12" w:space="0" w:color="auto"/>
            </w:tcBorders>
            <w:vAlign w:val="center"/>
            <w:hideMark/>
          </w:tcPr>
          <w:p w14:paraId="70AA3F1A" w14:textId="77777777" w:rsidR="00C57C9F" w:rsidRDefault="00C57C9F" w:rsidP="006F421D">
            <w:pPr>
              <w:pStyle w:val="3fins-table-figures"/>
              <w:jc w:val="right"/>
              <w:rPr>
                <w:rFonts w:cs="Times New Roman"/>
              </w:rPr>
            </w:pPr>
            <w:r>
              <w:rPr>
                <w:rFonts w:cs="Times New Roman"/>
              </w:rPr>
              <w:t>2,478</w:t>
            </w:r>
          </w:p>
        </w:tc>
      </w:tr>
      <w:tr w:rsidR="00C57C9F" w14:paraId="6690E172" w14:textId="77777777" w:rsidTr="006F421D">
        <w:trPr>
          <w:divId w:val="1675300298"/>
        </w:trPr>
        <w:tc>
          <w:tcPr>
            <w:tcW w:w="7910" w:type="dxa"/>
            <w:vAlign w:val="center"/>
            <w:hideMark/>
          </w:tcPr>
          <w:p w14:paraId="14BE105F" w14:textId="77777777" w:rsidR="00C57C9F" w:rsidRDefault="00C57C9F" w:rsidP="00161EA4">
            <w:pPr>
              <w:spacing w:after="0"/>
              <w:rPr>
                <w:rFonts w:eastAsia="Times New Roman" w:cs="Times New Roman"/>
              </w:rPr>
            </w:pPr>
          </w:p>
        </w:tc>
        <w:tc>
          <w:tcPr>
            <w:tcW w:w="1123" w:type="dxa"/>
            <w:tcBorders>
              <w:top w:val="double" w:sz="12" w:space="0" w:color="auto"/>
            </w:tcBorders>
            <w:vAlign w:val="center"/>
            <w:hideMark/>
          </w:tcPr>
          <w:p w14:paraId="5A86CB00" w14:textId="77777777" w:rsidR="00C57C9F" w:rsidRDefault="00C57C9F" w:rsidP="00161EA4">
            <w:pPr>
              <w:spacing w:after="0"/>
              <w:jc w:val="right"/>
              <w:rPr>
                <w:rFonts w:eastAsia="Times New Roman" w:cs="Times New Roman"/>
              </w:rPr>
            </w:pPr>
          </w:p>
        </w:tc>
        <w:tc>
          <w:tcPr>
            <w:tcW w:w="1098" w:type="dxa"/>
            <w:tcBorders>
              <w:top w:val="double" w:sz="12" w:space="0" w:color="auto"/>
            </w:tcBorders>
            <w:vAlign w:val="center"/>
            <w:hideMark/>
          </w:tcPr>
          <w:p w14:paraId="0026AB93" w14:textId="77777777" w:rsidR="00C57C9F" w:rsidRDefault="00C57C9F" w:rsidP="00161EA4">
            <w:pPr>
              <w:spacing w:after="0"/>
              <w:jc w:val="right"/>
              <w:rPr>
                <w:rFonts w:eastAsia="Times New Roman" w:cs="Times New Roman"/>
              </w:rPr>
            </w:pPr>
          </w:p>
        </w:tc>
      </w:tr>
      <w:tr w:rsidR="00C57C9F" w14:paraId="3B2419AA" w14:textId="77777777" w:rsidTr="006F421D">
        <w:trPr>
          <w:divId w:val="1675300298"/>
        </w:trPr>
        <w:tc>
          <w:tcPr>
            <w:tcW w:w="7910" w:type="dxa"/>
            <w:vAlign w:val="center"/>
            <w:hideMark/>
          </w:tcPr>
          <w:p w14:paraId="5F25B159" w14:textId="77777777" w:rsidR="00C57C9F" w:rsidRDefault="00C57C9F" w:rsidP="00161EA4">
            <w:pPr>
              <w:pStyle w:val="1heading-3"/>
              <w:spacing w:before="0"/>
              <w:rPr>
                <w:rFonts w:cs="Times New Roman"/>
              </w:rPr>
            </w:pPr>
            <w:r>
              <w:rPr>
                <w:rFonts w:cs="Times New Roman"/>
              </w:rPr>
              <w:t>Note 16B: Net income and expense from financial assets</w:t>
            </w:r>
          </w:p>
        </w:tc>
        <w:tc>
          <w:tcPr>
            <w:tcW w:w="1123" w:type="dxa"/>
            <w:vAlign w:val="center"/>
            <w:hideMark/>
          </w:tcPr>
          <w:p w14:paraId="441190E1" w14:textId="77777777" w:rsidR="00C57C9F" w:rsidRDefault="00C57C9F" w:rsidP="00161EA4">
            <w:pPr>
              <w:jc w:val="right"/>
              <w:rPr>
                <w:rFonts w:eastAsia="Times New Roman" w:cs="Times New Roman"/>
              </w:rPr>
            </w:pPr>
          </w:p>
        </w:tc>
        <w:tc>
          <w:tcPr>
            <w:tcW w:w="1098" w:type="dxa"/>
            <w:vAlign w:val="center"/>
            <w:hideMark/>
          </w:tcPr>
          <w:p w14:paraId="70EFD0A4" w14:textId="77777777" w:rsidR="00C57C9F" w:rsidRDefault="00C57C9F" w:rsidP="00161EA4">
            <w:pPr>
              <w:jc w:val="right"/>
              <w:rPr>
                <w:rFonts w:eastAsia="Times New Roman" w:cs="Times New Roman"/>
              </w:rPr>
            </w:pPr>
          </w:p>
        </w:tc>
      </w:tr>
      <w:tr w:rsidR="00C57C9F" w14:paraId="116F29E9" w14:textId="77777777" w:rsidTr="006F421D">
        <w:trPr>
          <w:divId w:val="1675300298"/>
        </w:trPr>
        <w:tc>
          <w:tcPr>
            <w:tcW w:w="7910" w:type="dxa"/>
            <w:vAlign w:val="center"/>
            <w:hideMark/>
          </w:tcPr>
          <w:p w14:paraId="72F972C9" w14:textId="77777777" w:rsidR="00C57C9F" w:rsidRDefault="00C57C9F">
            <w:pPr>
              <w:pStyle w:val="3fins-table"/>
              <w:rPr>
                <w:rFonts w:cs="Times New Roman"/>
              </w:rPr>
            </w:pPr>
            <w:r>
              <w:rPr>
                <w:rFonts w:cs="Times New Roman"/>
              </w:rPr>
              <w:t>Loans and receivables</w:t>
            </w:r>
          </w:p>
        </w:tc>
        <w:tc>
          <w:tcPr>
            <w:tcW w:w="1123" w:type="dxa"/>
            <w:vAlign w:val="center"/>
            <w:hideMark/>
          </w:tcPr>
          <w:p w14:paraId="66B575AA" w14:textId="77777777" w:rsidR="00C57C9F" w:rsidRDefault="00C57C9F" w:rsidP="006F421D">
            <w:pPr>
              <w:jc w:val="right"/>
              <w:rPr>
                <w:rFonts w:eastAsia="Times New Roman" w:cs="Times New Roman"/>
              </w:rPr>
            </w:pPr>
          </w:p>
        </w:tc>
        <w:tc>
          <w:tcPr>
            <w:tcW w:w="1098" w:type="dxa"/>
            <w:vAlign w:val="center"/>
            <w:hideMark/>
          </w:tcPr>
          <w:p w14:paraId="5A6FE348" w14:textId="77777777" w:rsidR="00C57C9F" w:rsidRDefault="00C57C9F" w:rsidP="006F421D">
            <w:pPr>
              <w:jc w:val="right"/>
              <w:rPr>
                <w:rFonts w:eastAsia="Times New Roman" w:cs="Times New Roman"/>
              </w:rPr>
            </w:pPr>
          </w:p>
        </w:tc>
      </w:tr>
      <w:tr w:rsidR="00C57C9F" w14:paraId="7E4D5C4F" w14:textId="77777777" w:rsidTr="006F421D">
        <w:trPr>
          <w:divId w:val="1675300298"/>
        </w:trPr>
        <w:tc>
          <w:tcPr>
            <w:tcW w:w="7910" w:type="dxa"/>
            <w:vAlign w:val="center"/>
            <w:hideMark/>
          </w:tcPr>
          <w:p w14:paraId="70A78092" w14:textId="77777777" w:rsidR="00C57C9F" w:rsidRDefault="00C57C9F" w:rsidP="006F421D">
            <w:pPr>
              <w:pStyle w:val="3fins-table"/>
              <w:ind w:left="284"/>
              <w:rPr>
                <w:rFonts w:cs="Times New Roman"/>
              </w:rPr>
            </w:pPr>
            <w:r>
              <w:rPr>
                <w:rFonts w:cs="Times New Roman"/>
              </w:rPr>
              <w:t>Interest revenue</w:t>
            </w:r>
          </w:p>
        </w:tc>
        <w:tc>
          <w:tcPr>
            <w:tcW w:w="1123" w:type="dxa"/>
            <w:tcBorders>
              <w:bottom w:val="single" w:sz="12" w:space="0" w:color="0D0D0D" w:themeColor="text1" w:themeTint="F2"/>
            </w:tcBorders>
            <w:vAlign w:val="center"/>
            <w:hideMark/>
          </w:tcPr>
          <w:p w14:paraId="64FC5254" w14:textId="77777777" w:rsidR="00C57C9F" w:rsidRDefault="00C57C9F" w:rsidP="006F421D">
            <w:pPr>
              <w:pStyle w:val="3fins-table-figures"/>
              <w:jc w:val="right"/>
              <w:rPr>
                <w:rFonts w:cs="Times New Roman"/>
              </w:rPr>
            </w:pPr>
            <w:r>
              <w:rPr>
                <w:rStyle w:val="fins-bold"/>
                <w:rFonts w:cs="Times New Roman"/>
              </w:rPr>
              <w:t>312</w:t>
            </w:r>
          </w:p>
        </w:tc>
        <w:tc>
          <w:tcPr>
            <w:tcW w:w="1098" w:type="dxa"/>
            <w:tcBorders>
              <w:bottom w:val="single" w:sz="12" w:space="0" w:color="0D0D0D" w:themeColor="text1" w:themeTint="F2"/>
            </w:tcBorders>
            <w:vAlign w:val="center"/>
            <w:hideMark/>
          </w:tcPr>
          <w:p w14:paraId="3EEF52EE" w14:textId="77777777" w:rsidR="00C57C9F" w:rsidRDefault="00C57C9F" w:rsidP="006F421D">
            <w:pPr>
              <w:pStyle w:val="3fins-table-figures"/>
              <w:jc w:val="right"/>
              <w:rPr>
                <w:rFonts w:cs="Times New Roman"/>
              </w:rPr>
            </w:pPr>
            <w:r>
              <w:rPr>
                <w:rFonts w:cs="Times New Roman"/>
              </w:rPr>
              <w:t>431</w:t>
            </w:r>
          </w:p>
        </w:tc>
      </w:tr>
      <w:tr w:rsidR="00C57C9F" w14:paraId="45D8D253" w14:textId="77777777" w:rsidTr="006F421D">
        <w:trPr>
          <w:divId w:val="1675300298"/>
        </w:trPr>
        <w:tc>
          <w:tcPr>
            <w:tcW w:w="7910" w:type="dxa"/>
            <w:vAlign w:val="center"/>
            <w:hideMark/>
          </w:tcPr>
          <w:p w14:paraId="78DB3975" w14:textId="77777777" w:rsidR="00C57C9F" w:rsidRDefault="00C57C9F">
            <w:pPr>
              <w:pStyle w:val="3fins-table"/>
              <w:rPr>
                <w:rFonts w:cs="Times New Roman"/>
              </w:rPr>
            </w:pPr>
            <w:r>
              <w:rPr>
                <w:rStyle w:val="fins-bold"/>
                <w:rFonts w:cs="Times New Roman"/>
              </w:rPr>
              <w:t>Net gain/(loss) loans and receivables</w:t>
            </w:r>
          </w:p>
        </w:tc>
        <w:tc>
          <w:tcPr>
            <w:tcW w:w="1123" w:type="dxa"/>
            <w:tcBorders>
              <w:top w:val="single" w:sz="12" w:space="0" w:color="0D0D0D" w:themeColor="text1" w:themeTint="F2"/>
              <w:bottom w:val="single" w:sz="12" w:space="0" w:color="0D0D0D" w:themeColor="text1" w:themeTint="F2"/>
            </w:tcBorders>
            <w:vAlign w:val="center"/>
            <w:hideMark/>
          </w:tcPr>
          <w:p w14:paraId="0D3839F7" w14:textId="77777777" w:rsidR="00C57C9F" w:rsidRDefault="00C57C9F" w:rsidP="006F421D">
            <w:pPr>
              <w:pStyle w:val="3fins-table-figures"/>
              <w:jc w:val="right"/>
              <w:rPr>
                <w:rFonts w:cs="Times New Roman"/>
              </w:rPr>
            </w:pPr>
            <w:r>
              <w:rPr>
                <w:rStyle w:val="fins-bold"/>
                <w:rFonts w:cs="Times New Roman"/>
              </w:rPr>
              <w:t>312</w:t>
            </w:r>
          </w:p>
        </w:tc>
        <w:tc>
          <w:tcPr>
            <w:tcW w:w="1098" w:type="dxa"/>
            <w:tcBorders>
              <w:top w:val="single" w:sz="12" w:space="0" w:color="0D0D0D" w:themeColor="text1" w:themeTint="F2"/>
              <w:bottom w:val="single" w:sz="12" w:space="0" w:color="0D0D0D" w:themeColor="text1" w:themeTint="F2"/>
            </w:tcBorders>
            <w:vAlign w:val="center"/>
            <w:hideMark/>
          </w:tcPr>
          <w:p w14:paraId="411460F8" w14:textId="77777777" w:rsidR="00C57C9F" w:rsidRDefault="00C57C9F" w:rsidP="006F421D">
            <w:pPr>
              <w:pStyle w:val="3fins-table-figures"/>
              <w:jc w:val="right"/>
              <w:rPr>
                <w:rFonts w:cs="Times New Roman"/>
              </w:rPr>
            </w:pPr>
            <w:r>
              <w:rPr>
                <w:rFonts w:cs="Times New Roman"/>
              </w:rPr>
              <w:t>431</w:t>
            </w:r>
          </w:p>
        </w:tc>
      </w:tr>
      <w:tr w:rsidR="00C57C9F" w14:paraId="31D5DA1B" w14:textId="77777777" w:rsidTr="006F421D">
        <w:trPr>
          <w:divId w:val="1675300298"/>
        </w:trPr>
        <w:tc>
          <w:tcPr>
            <w:tcW w:w="7910" w:type="dxa"/>
            <w:vAlign w:val="center"/>
            <w:hideMark/>
          </w:tcPr>
          <w:p w14:paraId="2A0997E4" w14:textId="77777777" w:rsidR="00C57C9F" w:rsidRDefault="00C57C9F">
            <w:pPr>
              <w:pStyle w:val="3fins-table"/>
              <w:rPr>
                <w:rFonts w:cs="Times New Roman"/>
              </w:rPr>
            </w:pPr>
            <w:r>
              <w:rPr>
                <w:rStyle w:val="fins-bold"/>
                <w:rFonts w:cs="Times New Roman"/>
              </w:rPr>
              <w:t>Net gain/(loss) from financial assets</w:t>
            </w:r>
          </w:p>
        </w:tc>
        <w:tc>
          <w:tcPr>
            <w:tcW w:w="1123" w:type="dxa"/>
            <w:tcBorders>
              <w:top w:val="single" w:sz="12" w:space="0" w:color="0D0D0D" w:themeColor="text1" w:themeTint="F2"/>
              <w:bottom w:val="double" w:sz="12" w:space="0" w:color="auto"/>
            </w:tcBorders>
            <w:vAlign w:val="center"/>
            <w:hideMark/>
          </w:tcPr>
          <w:p w14:paraId="4D14C238" w14:textId="77777777" w:rsidR="00C57C9F" w:rsidRDefault="00C57C9F" w:rsidP="006F421D">
            <w:pPr>
              <w:pStyle w:val="3fins-table-figures"/>
              <w:jc w:val="right"/>
              <w:rPr>
                <w:rFonts w:cs="Times New Roman"/>
              </w:rPr>
            </w:pPr>
            <w:r>
              <w:rPr>
                <w:rStyle w:val="fins-bold"/>
                <w:rFonts w:cs="Times New Roman"/>
              </w:rPr>
              <w:t>312</w:t>
            </w:r>
          </w:p>
        </w:tc>
        <w:tc>
          <w:tcPr>
            <w:tcW w:w="1098" w:type="dxa"/>
            <w:tcBorders>
              <w:top w:val="single" w:sz="12" w:space="0" w:color="0D0D0D" w:themeColor="text1" w:themeTint="F2"/>
              <w:bottom w:val="double" w:sz="12" w:space="0" w:color="auto"/>
            </w:tcBorders>
            <w:vAlign w:val="center"/>
            <w:hideMark/>
          </w:tcPr>
          <w:p w14:paraId="306BC79F" w14:textId="77777777" w:rsidR="00C57C9F" w:rsidRDefault="00C57C9F" w:rsidP="006F421D">
            <w:pPr>
              <w:pStyle w:val="3fins-table-figures"/>
              <w:jc w:val="right"/>
              <w:rPr>
                <w:rFonts w:cs="Times New Roman"/>
              </w:rPr>
            </w:pPr>
            <w:r>
              <w:rPr>
                <w:rFonts w:cs="Times New Roman"/>
              </w:rPr>
              <w:t>431</w:t>
            </w:r>
          </w:p>
        </w:tc>
      </w:tr>
    </w:tbl>
    <w:p w14:paraId="5A2DE43B" w14:textId="76163627" w:rsidR="00C57C9F" w:rsidRDefault="00C57C9F">
      <w:pPr>
        <w:pStyle w:val="1heading-3"/>
        <w:divId w:val="1675300298"/>
        <w:rPr>
          <w:rFonts w:cs="Times New Roman"/>
          <w:lang w:val="en-AU"/>
        </w:rPr>
      </w:pPr>
      <w:r>
        <w:rPr>
          <w:rFonts w:cs="Times New Roman"/>
          <w:lang w:val="en-AU"/>
        </w:rPr>
        <w:lastRenderedPageBreak/>
        <w:t>Note 16C: Fair value of financial instruments</w:t>
      </w:r>
    </w:p>
    <w:tbl>
      <w:tblPr>
        <w:tblW w:w="0" w:type="auto"/>
        <w:tblLayout w:type="fixed"/>
        <w:tblCellMar>
          <w:top w:w="28" w:type="dxa"/>
          <w:left w:w="28" w:type="dxa"/>
          <w:bottom w:w="28" w:type="dxa"/>
          <w:right w:w="28" w:type="dxa"/>
        </w:tblCellMar>
        <w:tblLook w:val="04A0" w:firstRow="1" w:lastRow="0" w:firstColumn="1" w:lastColumn="0" w:noHBand="0" w:noVBand="1"/>
      </w:tblPr>
      <w:tblGrid>
        <w:gridCol w:w="7513"/>
        <w:gridCol w:w="1388"/>
        <w:gridCol w:w="1230"/>
      </w:tblGrid>
      <w:tr w:rsidR="00C57C9F" w14:paraId="268ADB13" w14:textId="77777777" w:rsidTr="006F421D">
        <w:trPr>
          <w:divId w:val="1675300298"/>
        </w:trPr>
        <w:tc>
          <w:tcPr>
            <w:tcW w:w="7513" w:type="dxa"/>
            <w:vAlign w:val="center"/>
            <w:hideMark/>
          </w:tcPr>
          <w:p w14:paraId="2D9992FC" w14:textId="77777777" w:rsidR="00C57C9F" w:rsidRDefault="00C57C9F">
            <w:pPr>
              <w:rPr>
                <w:rFonts w:eastAsia="Times New Roman" w:cs="Times New Roman"/>
              </w:rPr>
            </w:pPr>
          </w:p>
        </w:tc>
        <w:tc>
          <w:tcPr>
            <w:tcW w:w="1388" w:type="dxa"/>
            <w:vAlign w:val="center"/>
            <w:hideMark/>
          </w:tcPr>
          <w:p w14:paraId="77A8A86F" w14:textId="77777777" w:rsidR="00C57C9F" w:rsidRDefault="00C57C9F" w:rsidP="006F421D">
            <w:pPr>
              <w:pStyle w:val="3fins-table-figures"/>
              <w:jc w:val="right"/>
              <w:rPr>
                <w:rFonts w:cs="Times New Roman"/>
              </w:rPr>
            </w:pPr>
            <w:r>
              <w:rPr>
                <w:rStyle w:val="fins-bold"/>
                <w:rFonts w:cs="Times New Roman"/>
              </w:rPr>
              <w:t>Carrying</w:t>
            </w:r>
          </w:p>
        </w:tc>
        <w:tc>
          <w:tcPr>
            <w:tcW w:w="1230" w:type="dxa"/>
            <w:vAlign w:val="center"/>
            <w:hideMark/>
          </w:tcPr>
          <w:p w14:paraId="1C5290D4" w14:textId="77777777" w:rsidR="00C57C9F" w:rsidRDefault="00C57C9F" w:rsidP="006F421D">
            <w:pPr>
              <w:pStyle w:val="3fins-table-figures"/>
              <w:jc w:val="right"/>
              <w:rPr>
                <w:rFonts w:cs="Times New Roman"/>
              </w:rPr>
            </w:pPr>
            <w:r>
              <w:rPr>
                <w:rFonts w:cs="Times New Roman"/>
              </w:rPr>
              <w:t>Carrying</w:t>
            </w:r>
          </w:p>
        </w:tc>
      </w:tr>
      <w:tr w:rsidR="00C57C9F" w14:paraId="78DD5313" w14:textId="77777777" w:rsidTr="006F421D">
        <w:trPr>
          <w:divId w:val="1675300298"/>
        </w:trPr>
        <w:tc>
          <w:tcPr>
            <w:tcW w:w="7513" w:type="dxa"/>
            <w:vAlign w:val="center"/>
            <w:hideMark/>
          </w:tcPr>
          <w:p w14:paraId="38033B60" w14:textId="77777777" w:rsidR="00C57C9F" w:rsidRDefault="00C57C9F">
            <w:pPr>
              <w:rPr>
                <w:rFonts w:eastAsia="Times New Roman" w:cs="Times New Roman"/>
              </w:rPr>
            </w:pPr>
          </w:p>
        </w:tc>
        <w:tc>
          <w:tcPr>
            <w:tcW w:w="1388" w:type="dxa"/>
            <w:vAlign w:val="center"/>
            <w:hideMark/>
          </w:tcPr>
          <w:p w14:paraId="6F0992AF" w14:textId="77777777" w:rsidR="00C57C9F" w:rsidRDefault="00C57C9F" w:rsidP="006F421D">
            <w:pPr>
              <w:pStyle w:val="3fins-table-figures"/>
              <w:jc w:val="right"/>
              <w:rPr>
                <w:rFonts w:cs="Times New Roman"/>
              </w:rPr>
            </w:pPr>
            <w:r>
              <w:rPr>
                <w:rStyle w:val="fins-bold"/>
                <w:rFonts w:cs="Times New Roman"/>
              </w:rPr>
              <w:t>amount</w:t>
            </w:r>
          </w:p>
        </w:tc>
        <w:tc>
          <w:tcPr>
            <w:tcW w:w="1230" w:type="dxa"/>
            <w:vAlign w:val="center"/>
            <w:hideMark/>
          </w:tcPr>
          <w:p w14:paraId="5D4D4858" w14:textId="77777777" w:rsidR="00C57C9F" w:rsidRDefault="00C57C9F" w:rsidP="006F421D">
            <w:pPr>
              <w:pStyle w:val="3fins-table-figures"/>
              <w:jc w:val="right"/>
              <w:rPr>
                <w:rFonts w:cs="Times New Roman"/>
              </w:rPr>
            </w:pPr>
            <w:r>
              <w:rPr>
                <w:rFonts w:cs="Times New Roman"/>
              </w:rPr>
              <w:t>amount</w:t>
            </w:r>
          </w:p>
        </w:tc>
      </w:tr>
      <w:tr w:rsidR="00C57C9F" w14:paraId="30D69D76" w14:textId="77777777" w:rsidTr="006F421D">
        <w:trPr>
          <w:divId w:val="1675300298"/>
        </w:trPr>
        <w:tc>
          <w:tcPr>
            <w:tcW w:w="7513" w:type="dxa"/>
            <w:vAlign w:val="center"/>
            <w:hideMark/>
          </w:tcPr>
          <w:p w14:paraId="5DC8EA73" w14:textId="77777777" w:rsidR="00C57C9F" w:rsidRDefault="00C57C9F">
            <w:pPr>
              <w:rPr>
                <w:rFonts w:eastAsia="Times New Roman" w:cs="Times New Roman"/>
              </w:rPr>
            </w:pPr>
          </w:p>
        </w:tc>
        <w:tc>
          <w:tcPr>
            <w:tcW w:w="1388" w:type="dxa"/>
            <w:vAlign w:val="center"/>
            <w:hideMark/>
          </w:tcPr>
          <w:p w14:paraId="7FD72300" w14:textId="77777777" w:rsidR="00C57C9F" w:rsidRDefault="00C57C9F" w:rsidP="006F421D">
            <w:pPr>
              <w:pStyle w:val="3fins-table-figures"/>
              <w:jc w:val="right"/>
              <w:rPr>
                <w:rFonts w:cs="Times New Roman"/>
              </w:rPr>
            </w:pPr>
            <w:r>
              <w:rPr>
                <w:rStyle w:val="fins-bold"/>
                <w:rFonts w:cs="Times New Roman"/>
              </w:rPr>
              <w:t>2014</w:t>
            </w:r>
          </w:p>
        </w:tc>
        <w:tc>
          <w:tcPr>
            <w:tcW w:w="1230" w:type="dxa"/>
            <w:vAlign w:val="center"/>
            <w:hideMark/>
          </w:tcPr>
          <w:p w14:paraId="7B66C669" w14:textId="77777777" w:rsidR="00C57C9F" w:rsidRDefault="00C57C9F" w:rsidP="006F421D">
            <w:pPr>
              <w:pStyle w:val="3fins-table-figures"/>
              <w:jc w:val="right"/>
              <w:rPr>
                <w:rFonts w:cs="Times New Roman"/>
              </w:rPr>
            </w:pPr>
            <w:r>
              <w:rPr>
                <w:rFonts w:cs="Times New Roman"/>
              </w:rPr>
              <w:t>2013</w:t>
            </w:r>
          </w:p>
        </w:tc>
      </w:tr>
      <w:tr w:rsidR="00C57C9F" w14:paraId="3CFACD18" w14:textId="77777777" w:rsidTr="006F421D">
        <w:trPr>
          <w:divId w:val="1675300298"/>
        </w:trPr>
        <w:tc>
          <w:tcPr>
            <w:tcW w:w="7513" w:type="dxa"/>
            <w:vAlign w:val="center"/>
            <w:hideMark/>
          </w:tcPr>
          <w:p w14:paraId="34638053" w14:textId="77777777" w:rsidR="00C57C9F" w:rsidRDefault="00C57C9F">
            <w:pPr>
              <w:pStyle w:val="3fins-table"/>
              <w:rPr>
                <w:rFonts w:cs="Times New Roman"/>
              </w:rPr>
            </w:pPr>
            <w:r>
              <w:rPr>
                <w:rStyle w:val="fins-bold"/>
                <w:rFonts w:cs="Times New Roman"/>
              </w:rPr>
              <w:t>Financial assets</w:t>
            </w:r>
          </w:p>
        </w:tc>
        <w:tc>
          <w:tcPr>
            <w:tcW w:w="1388" w:type="dxa"/>
            <w:vAlign w:val="center"/>
            <w:hideMark/>
          </w:tcPr>
          <w:p w14:paraId="683EBC6D" w14:textId="77777777" w:rsidR="00C57C9F" w:rsidRDefault="00C57C9F" w:rsidP="006F421D">
            <w:pPr>
              <w:pStyle w:val="3fins-table-figures"/>
              <w:jc w:val="right"/>
              <w:rPr>
                <w:rFonts w:cs="Times New Roman"/>
              </w:rPr>
            </w:pPr>
            <w:r>
              <w:rPr>
                <w:rStyle w:val="fins-bold"/>
                <w:rFonts w:cs="Times New Roman"/>
              </w:rPr>
              <w:t>$’000</w:t>
            </w:r>
          </w:p>
        </w:tc>
        <w:tc>
          <w:tcPr>
            <w:tcW w:w="1230" w:type="dxa"/>
            <w:vAlign w:val="center"/>
            <w:hideMark/>
          </w:tcPr>
          <w:p w14:paraId="49CF9E5A" w14:textId="77777777" w:rsidR="00C57C9F" w:rsidRDefault="00C57C9F" w:rsidP="006F421D">
            <w:pPr>
              <w:pStyle w:val="3fins-table-figures"/>
              <w:jc w:val="right"/>
              <w:rPr>
                <w:rFonts w:cs="Times New Roman"/>
              </w:rPr>
            </w:pPr>
            <w:r>
              <w:rPr>
                <w:rFonts w:cs="Times New Roman"/>
              </w:rPr>
              <w:t>$’000</w:t>
            </w:r>
          </w:p>
        </w:tc>
      </w:tr>
      <w:tr w:rsidR="00C57C9F" w14:paraId="316305D6" w14:textId="77777777" w:rsidTr="006F421D">
        <w:trPr>
          <w:divId w:val="1675300298"/>
        </w:trPr>
        <w:tc>
          <w:tcPr>
            <w:tcW w:w="7513" w:type="dxa"/>
            <w:vAlign w:val="center"/>
            <w:hideMark/>
          </w:tcPr>
          <w:p w14:paraId="7C9AE8DB" w14:textId="77777777" w:rsidR="00C57C9F" w:rsidRDefault="00C57C9F">
            <w:pPr>
              <w:pStyle w:val="3fins-table"/>
              <w:rPr>
                <w:rFonts w:cs="Times New Roman"/>
              </w:rPr>
            </w:pPr>
            <w:r>
              <w:rPr>
                <w:rStyle w:val="fins-bold"/>
                <w:rFonts w:cs="Times New Roman"/>
              </w:rPr>
              <w:t>Loans and receivables:</w:t>
            </w:r>
          </w:p>
        </w:tc>
        <w:tc>
          <w:tcPr>
            <w:tcW w:w="1388" w:type="dxa"/>
            <w:vAlign w:val="center"/>
            <w:hideMark/>
          </w:tcPr>
          <w:p w14:paraId="5DE42346" w14:textId="77777777" w:rsidR="00C57C9F" w:rsidRDefault="00C57C9F" w:rsidP="006F421D">
            <w:pPr>
              <w:jc w:val="right"/>
              <w:rPr>
                <w:rFonts w:eastAsia="Times New Roman" w:cs="Times New Roman"/>
              </w:rPr>
            </w:pPr>
          </w:p>
        </w:tc>
        <w:tc>
          <w:tcPr>
            <w:tcW w:w="1230" w:type="dxa"/>
            <w:vAlign w:val="center"/>
            <w:hideMark/>
          </w:tcPr>
          <w:p w14:paraId="142A2F3D" w14:textId="77777777" w:rsidR="00C57C9F" w:rsidRDefault="00C57C9F" w:rsidP="006F421D">
            <w:pPr>
              <w:jc w:val="right"/>
              <w:rPr>
                <w:rFonts w:eastAsia="Times New Roman" w:cs="Times New Roman"/>
              </w:rPr>
            </w:pPr>
          </w:p>
        </w:tc>
      </w:tr>
      <w:tr w:rsidR="00C57C9F" w14:paraId="126ED5B8" w14:textId="77777777" w:rsidTr="006F421D">
        <w:trPr>
          <w:divId w:val="1675300298"/>
        </w:trPr>
        <w:tc>
          <w:tcPr>
            <w:tcW w:w="7513" w:type="dxa"/>
            <w:vAlign w:val="center"/>
            <w:hideMark/>
          </w:tcPr>
          <w:p w14:paraId="3EE3B1F1" w14:textId="77777777" w:rsidR="00C57C9F" w:rsidRDefault="00C57C9F" w:rsidP="006F421D">
            <w:pPr>
              <w:pStyle w:val="3fins-table"/>
              <w:ind w:left="426"/>
              <w:rPr>
                <w:rFonts w:cs="Times New Roman"/>
              </w:rPr>
            </w:pPr>
            <w:r>
              <w:rPr>
                <w:rFonts w:cs="Times New Roman"/>
              </w:rPr>
              <w:t>Cash and cash equivalents</w:t>
            </w:r>
          </w:p>
        </w:tc>
        <w:tc>
          <w:tcPr>
            <w:tcW w:w="1388" w:type="dxa"/>
            <w:vAlign w:val="center"/>
            <w:hideMark/>
          </w:tcPr>
          <w:p w14:paraId="402E442A" w14:textId="77777777" w:rsidR="00C57C9F" w:rsidRDefault="00C57C9F" w:rsidP="006F421D">
            <w:pPr>
              <w:pStyle w:val="3fins-table-figures"/>
              <w:jc w:val="right"/>
              <w:rPr>
                <w:rFonts w:cs="Times New Roman"/>
              </w:rPr>
            </w:pPr>
            <w:r>
              <w:rPr>
                <w:rStyle w:val="fins-bold"/>
                <w:rFonts w:cs="Times New Roman"/>
              </w:rPr>
              <w:t>13,159</w:t>
            </w:r>
          </w:p>
        </w:tc>
        <w:tc>
          <w:tcPr>
            <w:tcW w:w="1230" w:type="dxa"/>
            <w:vAlign w:val="center"/>
            <w:hideMark/>
          </w:tcPr>
          <w:p w14:paraId="49F9E263" w14:textId="77777777" w:rsidR="00C57C9F" w:rsidRDefault="00C57C9F" w:rsidP="006F421D">
            <w:pPr>
              <w:pStyle w:val="3fins-table-figures"/>
              <w:jc w:val="right"/>
              <w:rPr>
                <w:rFonts w:cs="Times New Roman"/>
              </w:rPr>
            </w:pPr>
            <w:r>
              <w:rPr>
                <w:rFonts w:cs="Times New Roman"/>
              </w:rPr>
              <w:t>7,050</w:t>
            </w:r>
          </w:p>
        </w:tc>
      </w:tr>
      <w:tr w:rsidR="00C57C9F" w14:paraId="4E9EB58C" w14:textId="77777777" w:rsidTr="006F421D">
        <w:trPr>
          <w:divId w:val="1675300298"/>
        </w:trPr>
        <w:tc>
          <w:tcPr>
            <w:tcW w:w="7513" w:type="dxa"/>
            <w:vAlign w:val="center"/>
            <w:hideMark/>
          </w:tcPr>
          <w:p w14:paraId="4109C0F2" w14:textId="77777777" w:rsidR="00C57C9F" w:rsidRDefault="00C57C9F" w:rsidP="006F421D">
            <w:pPr>
              <w:pStyle w:val="3fins-table"/>
              <w:ind w:left="426"/>
              <w:rPr>
                <w:rFonts w:cs="Times New Roman"/>
              </w:rPr>
            </w:pPr>
            <w:r>
              <w:rPr>
                <w:rFonts w:cs="Times New Roman"/>
              </w:rPr>
              <w:t>Trade and other receivables</w:t>
            </w:r>
          </w:p>
        </w:tc>
        <w:tc>
          <w:tcPr>
            <w:tcW w:w="1388" w:type="dxa"/>
            <w:tcBorders>
              <w:bottom w:val="single" w:sz="12" w:space="0" w:color="0D0D0D" w:themeColor="text1" w:themeTint="F2"/>
            </w:tcBorders>
            <w:vAlign w:val="center"/>
            <w:hideMark/>
          </w:tcPr>
          <w:p w14:paraId="2E3BDA3C" w14:textId="77777777" w:rsidR="00C57C9F" w:rsidRDefault="00C57C9F" w:rsidP="006F421D">
            <w:pPr>
              <w:pStyle w:val="3fins-table-figures"/>
              <w:jc w:val="right"/>
              <w:rPr>
                <w:rFonts w:cs="Times New Roman"/>
              </w:rPr>
            </w:pPr>
            <w:r>
              <w:rPr>
                <w:rStyle w:val="fins-bold"/>
                <w:rFonts w:cs="Times New Roman"/>
              </w:rPr>
              <w:t>2,002</w:t>
            </w:r>
          </w:p>
        </w:tc>
        <w:tc>
          <w:tcPr>
            <w:tcW w:w="1230" w:type="dxa"/>
            <w:tcBorders>
              <w:bottom w:val="single" w:sz="12" w:space="0" w:color="0D0D0D" w:themeColor="text1" w:themeTint="F2"/>
            </w:tcBorders>
            <w:vAlign w:val="center"/>
            <w:hideMark/>
          </w:tcPr>
          <w:p w14:paraId="492FECDD" w14:textId="77777777" w:rsidR="00C57C9F" w:rsidRDefault="00C57C9F" w:rsidP="006F421D">
            <w:pPr>
              <w:pStyle w:val="3fins-table-figures"/>
              <w:jc w:val="right"/>
              <w:rPr>
                <w:rFonts w:cs="Times New Roman"/>
              </w:rPr>
            </w:pPr>
            <w:r>
              <w:rPr>
                <w:rFonts w:cs="Times New Roman"/>
              </w:rPr>
              <w:t>1,027</w:t>
            </w:r>
          </w:p>
        </w:tc>
      </w:tr>
      <w:tr w:rsidR="00C57C9F" w14:paraId="3C4E38E9" w14:textId="77777777" w:rsidTr="006F421D">
        <w:trPr>
          <w:divId w:val="1675300298"/>
        </w:trPr>
        <w:tc>
          <w:tcPr>
            <w:tcW w:w="7513" w:type="dxa"/>
            <w:vAlign w:val="center"/>
            <w:hideMark/>
          </w:tcPr>
          <w:p w14:paraId="39A79ED7" w14:textId="77777777" w:rsidR="00C57C9F" w:rsidRDefault="00C57C9F">
            <w:pPr>
              <w:pStyle w:val="3fins-table"/>
              <w:rPr>
                <w:rFonts w:cs="Times New Roman"/>
              </w:rPr>
            </w:pPr>
            <w:r>
              <w:rPr>
                <w:rStyle w:val="fins-bold"/>
                <w:rFonts w:cs="Times New Roman"/>
              </w:rPr>
              <w:t>Total</w:t>
            </w:r>
          </w:p>
        </w:tc>
        <w:tc>
          <w:tcPr>
            <w:tcW w:w="1388" w:type="dxa"/>
            <w:tcBorders>
              <w:top w:val="single" w:sz="12" w:space="0" w:color="0D0D0D" w:themeColor="text1" w:themeTint="F2"/>
              <w:bottom w:val="single" w:sz="12" w:space="0" w:color="0D0D0D" w:themeColor="text1" w:themeTint="F2"/>
            </w:tcBorders>
            <w:vAlign w:val="center"/>
            <w:hideMark/>
          </w:tcPr>
          <w:p w14:paraId="6E8575EB" w14:textId="77777777" w:rsidR="00C57C9F" w:rsidRDefault="00C57C9F" w:rsidP="006F421D">
            <w:pPr>
              <w:pStyle w:val="3fins-table-figures"/>
              <w:jc w:val="right"/>
              <w:rPr>
                <w:rFonts w:cs="Times New Roman"/>
              </w:rPr>
            </w:pPr>
            <w:r>
              <w:rPr>
                <w:rStyle w:val="fins-bold"/>
                <w:rFonts w:cs="Times New Roman"/>
              </w:rPr>
              <w:t>15,161</w:t>
            </w:r>
          </w:p>
        </w:tc>
        <w:tc>
          <w:tcPr>
            <w:tcW w:w="1230" w:type="dxa"/>
            <w:tcBorders>
              <w:top w:val="single" w:sz="12" w:space="0" w:color="0D0D0D" w:themeColor="text1" w:themeTint="F2"/>
              <w:bottom w:val="single" w:sz="12" w:space="0" w:color="0D0D0D" w:themeColor="text1" w:themeTint="F2"/>
            </w:tcBorders>
            <w:vAlign w:val="center"/>
            <w:hideMark/>
          </w:tcPr>
          <w:p w14:paraId="1109B415" w14:textId="77777777" w:rsidR="00C57C9F" w:rsidRDefault="00C57C9F" w:rsidP="006F421D">
            <w:pPr>
              <w:pStyle w:val="3fins-table-figures"/>
              <w:jc w:val="right"/>
              <w:rPr>
                <w:rFonts w:cs="Times New Roman"/>
              </w:rPr>
            </w:pPr>
            <w:r>
              <w:rPr>
                <w:rFonts w:cs="Times New Roman"/>
              </w:rPr>
              <w:t>8,077</w:t>
            </w:r>
          </w:p>
        </w:tc>
      </w:tr>
      <w:tr w:rsidR="00C57C9F" w14:paraId="1C7AF214" w14:textId="77777777" w:rsidTr="006F421D">
        <w:trPr>
          <w:divId w:val="1675300298"/>
        </w:trPr>
        <w:tc>
          <w:tcPr>
            <w:tcW w:w="7513" w:type="dxa"/>
            <w:vAlign w:val="center"/>
            <w:hideMark/>
          </w:tcPr>
          <w:p w14:paraId="1FEA0DBA" w14:textId="77777777" w:rsidR="00C57C9F" w:rsidRDefault="00C57C9F">
            <w:pPr>
              <w:pStyle w:val="3fins-table"/>
              <w:rPr>
                <w:rFonts w:cs="Times New Roman"/>
              </w:rPr>
            </w:pPr>
            <w:r>
              <w:rPr>
                <w:rStyle w:val="fins-bold"/>
                <w:rFonts w:cs="Times New Roman"/>
              </w:rPr>
              <w:t>Carrying amount of financial assets</w:t>
            </w:r>
          </w:p>
        </w:tc>
        <w:tc>
          <w:tcPr>
            <w:tcW w:w="1388" w:type="dxa"/>
            <w:tcBorders>
              <w:top w:val="single" w:sz="12" w:space="0" w:color="0D0D0D" w:themeColor="text1" w:themeTint="F2"/>
              <w:bottom w:val="single" w:sz="12" w:space="0" w:color="0D0D0D" w:themeColor="text1" w:themeTint="F2"/>
            </w:tcBorders>
            <w:vAlign w:val="center"/>
            <w:hideMark/>
          </w:tcPr>
          <w:p w14:paraId="711D4C31" w14:textId="77777777" w:rsidR="00C57C9F" w:rsidRDefault="00C57C9F" w:rsidP="006F421D">
            <w:pPr>
              <w:pStyle w:val="3fins-table-figures"/>
              <w:jc w:val="right"/>
              <w:rPr>
                <w:rFonts w:cs="Times New Roman"/>
              </w:rPr>
            </w:pPr>
            <w:r>
              <w:rPr>
                <w:rStyle w:val="fins-bold"/>
                <w:rFonts w:cs="Times New Roman"/>
              </w:rPr>
              <w:t>15,161</w:t>
            </w:r>
          </w:p>
        </w:tc>
        <w:tc>
          <w:tcPr>
            <w:tcW w:w="1230" w:type="dxa"/>
            <w:tcBorders>
              <w:top w:val="single" w:sz="12" w:space="0" w:color="0D0D0D" w:themeColor="text1" w:themeTint="F2"/>
              <w:bottom w:val="single" w:sz="12" w:space="0" w:color="0D0D0D" w:themeColor="text1" w:themeTint="F2"/>
            </w:tcBorders>
            <w:vAlign w:val="center"/>
            <w:hideMark/>
          </w:tcPr>
          <w:p w14:paraId="0C00F9C7" w14:textId="77777777" w:rsidR="00C57C9F" w:rsidRDefault="00C57C9F" w:rsidP="006F421D">
            <w:pPr>
              <w:pStyle w:val="3fins-table-figures"/>
              <w:jc w:val="right"/>
              <w:rPr>
                <w:rFonts w:cs="Times New Roman"/>
              </w:rPr>
            </w:pPr>
            <w:r>
              <w:rPr>
                <w:rFonts w:cs="Times New Roman"/>
              </w:rPr>
              <w:t>8,077</w:t>
            </w:r>
          </w:p>
        </w:tc>
      </w:tr>
      <w:tr w:rsidR="00C57C9F" w14:paraId="0DDEB5BB" w14:textId="77777777" w:rsidTr="006F421D">
        <w:trPr>
          <w:divId w:val="1675300298"/>
        </w:trPr>
        <w:tc>
          <w:tcPr>
            <w:tcW w:w="7513" w:type="dxa"/>
            <w:vAlign w:val="center"/>
            <w:hideMark/>
          </w:tcPr>
          <w:p w14:paraId="33A5B83E" w14:textId="77777777" w:rsidR="00C57C9F" w:rsidRDefault="00C57C9F">
            <w:pPr>
              <w:rPr>
                <w:rFonts w:eastAsia="Times New Roman" w:cs="Times New Roman"/>
              </w:rPr>
            </w:pPr>
          </w:p>
        </w:tc>
        <w:tc>
          <w:tcPr>
            <w:tcW w:w="1388" w:type="dxa"/>
            <w:tcBorders>
              <w:top w:val="single" w:sz="12" w:space="0" w:color="0D0D0D" w:themeColor="text1" w:themeTint="F2"/>
            </w:tcBorders>
            <w:vAlign w:val="center"/>
            <w:hideMark/>
          </w:tcPr>
          <w:p w14:paraId="7799E73B" w14:textId="77777777" w:rsidR="00C57C9F" w:rsidRDefault="00C57C9F" w:rsidP="006F421D">
            <w:pPr>
              <w:jc w:val="right"/>
              <w:rPr>
                <w:rFonts w:eastAsia="Times New Roman" w:cs="Times New Roman"/>
              </w:rPr>
            </w:pPr>
          </w:p>
        </w:tc>
        <w:tc>
          <w:tcPr>
            <w:tcW w:w="1230" w:type="dxa"/>
            <w:tcBorders>
              <w:top w:val="single" w:sz="12" w:space="0" w:color="0D0D0D" w:themeColor="text1" w:themeTint="F2"/>
            </w:tcBorders>
            <w:vAlign w:val="center"/>
            <w:hideMark/>
          </w:tcPr>
          <w:p w14:paraId="6648B1ED" w14:textId="77777777" w:rsidR="00C57C9F" w:rsidRDefault="00C57C9F" w:rsidP="006F421D">
            <w:pPr>
              <w:jc w:val="right"/>
              <w:rPr>
                <w:rFonts w:eastAsia="Times New Roman" w:cs="Times New Roman"/>
              </w:rPr>
            </w:pPr>
          </w:p>
        </w:tc>
      </w:tr>
      <w:tr w:rsidR="00C57C9F" w14:paraId="1A5D91C6" w14:textId="77777777" w:rsidTr="006F421D">
        <w:trPr>
          <w:divId w:val="1675300298"/>
        </w:trPr>
        <w:tc>
          <w:tcPr>
            <w:tcW w:w="7513" w:type="dxa"/>
            <w:vAlign w:val="center"/>
            <w:hideMark/>
          </w:tcPr>
          <w:p w14:paraId="33EE783D" w14:textId="77777777" w:rsidR="00C57C9F" w:rsidRDefault="00C57C9F">
            <w:pPr>
              <w:pStyle w:val="3fins-table"/>
              <w:rPr>
                <w:rFonts w:cs="Times New Roman"/>
              </w:rPr>
            </w:pPr>
            <w:r>
              <w:rPr>
                <w:rStyle w:val="fins-bold"/>
                <w:rFonts w:cs="Times New Roman"/>
              </w:rPr>
              <w:t>Financial liabilities</w:t>
            </w:r>
          </w:p>
        </w:tc>
        <w:tc>
          <w:tcPr>
            <w:tcW w:w="1388" w:type="dxa"/>
            <w:vAlign w:val="center"/>
            <w:hideMark/>
          </w:tcPr>
          <w:p w14:paraId="5E878391" w14:textId="77777777" w:rsidR="00C57C9F" w:rsidRDefault="00C57C9F" w:rsidP="006F421D">
            <w:pPr>
              <w:jc w:val="right"/>
              <w:rPr>
                <w:rFonts w:eastAsia="Times New Roman" w:cs="Times New Roman"/>
              </w:rPr>
            </w:pPr>
          </w:p>
        </w:tc>
        <w:tc>
          <w:tcPr>
            <w:tcW w:w="1230" w:type="dxa"/>
            <w:vAlign w:val="center"/>
            <w:hideMark/>
          </w:tcPr>
          <w:p w14:paraId="0FCF2F7D" w14:textId="77777777" w:rsidR="00C57C9F" w:rsidRDefault="00C57C9F" w:rsidP="006F421D">
            <w:pPr>
              <w:jc w:val="right"/>
              <w:rPr>
                <w:rFonts w:eastAsia="Times New Roman" w:cs="Times New Roman"/>
              </w:rPr>
            </w:pPr>
          </w:p>
        </w:tc>
      </w:tr>
      <w:tr w:rsidR="00C57C9F" w14:paraId="39000840" w14:textId="77777777" w:rsidTr="006F421D">
        <w:trPr>
          <w:divId w:val="1675300298"/>
        </w:trPr>
        <w:tc>
          <w:tcPr>
            <w:tcW w:w="7513" w:type="dxa"/>
            <w:vAlign w:val="center"/>
            <w:hideMark/>
          </w:tcPr>
          <w:p w14:paraId="12AE17B9" w14:textId="77777777" w:rsidR="00C57C9F" w:rsidRDefault="00C57C9F">
            <w:pPr>
              <w:pStyle w:val="3fins-table"/>
              <w:rPr>
                <w:rFonts w:cs="Times New Roman"/>
              </w:rPr>
            </w:pPr>
            <w:r>
              <w:rPr>
                <w:rStyle w:val="fins-bold"/>
                <w:rFonts w:cs="Times New Roman"/>
              </w:rPr>
              <w:t xml:space="preserve">At </w:t>
            </w:r>
            <w:proofErr w:type="spellStart"/>
            <w:r>
              <w:rPr>
                <w:rStyle w:val="fins-bold"/>
                <w:rFonts w:cs="Times New Roman"/>
              </w:rPr>
              <w:t>amortised</w:t>
            </w:r>
            <w:proofErr w:type="spellEnd"/>
            <w:r>
              <w:rPr>
                <w:rStyle w:val="fins-bold"/>
                <w:rFonts w:cs="Times New Roman"/>
              </w:rPr>
              <w:t xml:space="preserve"> cost:</w:t>
            </w:r>
          </w:p>
        </w:tc>
        <w:tc>
          <w:tcPr>
            <w:tcW w:w="1388" w:type="dxa"/>
            <w:vAlign w:val="center"/>
            <w:hideMark/>
          </w:tcPr>
          <w:p w14:paraId="3BD0CFED" w14:textId="77777777" w:rsidR="00C57C9F" w:rsidRDefault="00C57C9F" w:rsidP="006F421D">
            <w:pPr>
              <w:jc w:val="right"/>
              <w:rPr>
                <w:rFonts w:eastAsia="Times New Roman" w:cs="Times New Roman"/>
              </w:rPr>
            </w:pPr>
          </w:p>
        </w:tc>
        <w:tc>
          <w:tcPr>
            <w:tcW w:w="1230" w:type="dxa"/>
            <w:vAlign w:val="center"/>
            <w:hideMark/>
          </w:tcPr>
          <w:p w14:paraId="54C58805" w14:textId="77777777" w:rsidR="00C57C9F" w:rsidRDefault="00C57C9F" w:rsidP="006F421D">
            <w:pPr>
              <w:jc w:val="right"/>
              <w:rPr>
                <w:rFonts w:eastAsia="Times New Roman" w:cs="Times New Roman"/>
              </w:rPr>
            </w:pPr>
          </w:p>
        </w:tc>
      </w:tr>
      <w:tr w:rsidR="00C57C9F" w14:paraId="3A4A4954" w14:textId="77777777" w:rsidTr="006F421D">
        <w:trPr>
          <w:divId w:val="1675300298"/>
        </w:trPr>
        <w:tc>
          <w:tcPr>
            <w:tcW w:w="7513" w:type="dxa"/>
            <w:vAlign w:val="center"/>
            <w:hideMark/>
          </w:tcPr>
          <w:p w14:paraId="51495052" w14:textId="77777777" w:rsidR="00C57C9F" w:rsidRDefault="00C57C9F" w:rsidP="006F421D">
            <w:pPr>
              <w:pStyle w:val="3fins-table"/>
              <w:ind w:left="426"/>
              <w:rPr>
                <w:rFonts w:cs="Times New Roman"/>
              </w:rPr>
            </w:pPr>
            <w:r>
              <w:rPr>
                <w:rFonts w:cs="Times New Roman"/>
              </w:rPr>
              <w:t>Suppliers</w:t>
            </w:r>
          </w:p>
        </w:tc>
        <w:tc>
          <w:tcPr>
            <w:tcW w:w="1388" w:type="dxa"/>
            <w:vAlign w:val="center"/>
            <w:hideMark/>
          </w:tcPr>
          <w:p w14:paraId="049B482A" w14:textId="77777777" w:rsidR="00C57C9F" w:rsidRDefault="00C57C9F" w:rsidP="006F421D">
            <w:pPr>
              <w:pStyle w:val="3fins-table-figures"/>
              <w:jc w:val="right"/>
              <w:rPr>
                <w:rFonts w:cs="Times New Roman"/>
              </w:rPr>
            </w:pPr>
            <w:r>
              <w:rPr>
                <w:rStyle w:val="fins-bold"/>
                <w:rFonts w:cs="Times New Roman"/>
              </w:rPr>
              <w:t>2,233</w:t>
            </w:r>
          </w:p>
        </w:tc>
        <w:tc>
          <w:tcPr>
            <w:tcW w:w="1230" w:type="dxa"/>
            <w:vAlign w:val="center"/>
            <w:hideMark/>
          </w:tcPr>
          <w:p w14:paraId="542C15B9" w14:textId="77777777" w:rsidR="00C57C9F" w:rsidRDefault="00C57C9F" w:rsidP="006F421D">
            <w:pPr>
              <w:pStyle w:val="3fins-table-figures"/>
              <w:jc w:val="right"/>
              <w:rPr>
                <w:rFonts w:cs="Times New Roman"/>
              </w:rPr>
            </w:pPr>
            <w:r>
              <w:rPr>
                <w:rFonts w:cs="Times New Roman"/>
              </w:rPr>
              <w:t>2,478</w:t>
            </w:r>
          </w:p>
        </w:tc>
      </w:tr>
      <w:tr w:rsidR="00C57C9F" w14:paraId="13C88D4B" w14:textId="77777777" w:rsidTr="006F421D">
        <w:trPr>
          <w:divId w:val="1675300298"/>
        </w:trPr>
        <w:tc>
          <w:tcPr>
            <w:tcW w:w="7513" w:type="dxa"/>
            <w:vAlign w:val="center"/>
            <w:hideMark/>
          </w:tcPr>
          <w:p w14:paraId="4EEBDD4D" w14:textId="77777777" w:rsidR="00C57C9F" w:rsidRDefault="00C57C9F">
            <w:pPr>
              <w:pStyle w:val="3fins-table"/>
              <w:rPr>
                <w:rFonts w:cs="Times New Roman"/>
              </w:rPr>
            </w:pPr>
            <w:r>
              <w:rPr>
                <w:rStyle w:val="fins-bold"/>
                <w:rFonts w:cs="Times New Roman"/>
              </w:rPr>
              <w:t>Total</w:t>
            </w:r>
          </w:p>
        </w:tc>
        <w:tc>
          <w:tcPr>
            <w:tcW w:w="1388" w:type="dxa"/>
            <w:tcBorders>
              <w:bottom w:val="single" w:sz="12" w:space="0" w:color="0D0D0D" w:themeColor="text1" w:themeTint="F2"/>
            </w:tcBorders>
            <w:vAlign w:val="center"/>
            <w:hideMark/>
          </w:tcPr>
          <w:p w14:paraId="4995BF3E" w14:textId="77777777" w:rsidR="00C57C9F" w:rsidRDefault="00C57C9F" w:rsidP="006F421D">
            <w:pPr>
              <w:pStyle w:val="3fins-table-figures"/>
              <w:jc w:val="right"/>
              <w:rPr>
                <w:rFonts w:cs="Times New Roman"/>
              </w:rPr>
            </w:pPr>
            <w:r>
              <w:rPr>
                <w:rStyle w:val="fins-bold"/>
                <w:rFonts w:cs="Times New Roman"/>
              </w:rPr>
              <w:t>2,233</w:t>
            </w:r>
          </w:p>
        </w:tc>
        <w:tc>
          <w:tcPr>
            <w:tcW w:w="1230" w:type="dxa"/>
            <w:tcBorders>
              <w:bottom w:val="single" w:sz="12" w:space="0" w:color="0D0D0D" w:themeColor="text1" w:themeTint="F2"/>
            </w:tcBorders>
            <w:vAlign w:val="center"/>
            <w:hideMark/>
          </w:tcPr>
          <w:p w14:paraId="10D6996C" w14:textId="77777777" w:rsidR="00C57C9F" w:rsidRDefault="00C57C9F" w:rsidP="006F421D">
            <w:pPr>
              <w:pStyle w:val="3fins-table-figures"/>
              <w:jc w:val="right"/>
              <w:rPr>
                <w:rFonts w:cs="Times New Roman"/>
              </w:rPr>
            </w:pPr>
            <w:r>
              <w:rPr>
                <w:rFonts w:cs="Times New Roman"/>
              </w:rPr>
              <w:t>2,478</w:t>
            </w:r>
          </w:p>
        </w:tc>
      </w:tr>
      <w:tr w:rsidR="00C57C9F" w14:paraId="45DA8E8E" w14:textId="77777777" w:rsidTr="006F421D">
        <w:trPr>
          <w:divId w:val="1675300298"/>
        </w:trPr>
        <w:tc>
          <w:tcPr>
            <w:tcW w:w="7513" w:type="dxa"/>
            <w:vAlign w:val="center"/>
            <w:hideMark/>
          </w:tcPr>
          <w:p w14:paraId="0FE12D8C" w14:textId="77777777" w:rsidR="00C57C9F" w:rsidRDefault="00C57C9F">
            <w:pPr>
              <w:pStyle w:val="3fins-table"/>
              <w:rPr>
                <w:rFonts w:cs="Times New Roman"/>
              </w:rPr>
            </w:pPr>
            <w:r>
              <w:rPr>
                <w:rStyle w:val="fins-bold"/>
                <w:rFonts w:cs="Times New Roman"/>
              </w:rPr>
              <w:t>Carrying amount of financial liabilities</w:t>
            </w:r>
          </w:p>
        </w:tc>
        <w:tc>
          <w:tcPr>
            <w:tcW w:w="1388" w:type="dxa"/>
            <w:tcBorders>
              <w:top w:val="single" w:sz="12" w:space="0" w:color="0D0D0D" w:themeColor="text1" w:themeTint="F2"/>
              <w:bottom w:val="single" w:sz="12" w:space="0" w:color="0D0D0D" w:themeColor="text1" w:themeTint="F2"/>
            </w:tcBorders>
            <w:vAlign w:val="center"/>
            <w:hideMark/>
          </w:tcPr>
          <w:p w14:paraId="4C9D0948" w14:textId="77777777" w:rsidR="00C57C9F" w:rsidRDefault="00C57C9F" w:rsidP="006F421D">
            <w:pPr>
              <w:pStyle w:val="3fins-table-figures"/>
              <w:jc w:val="right"/>
              <w:rPr>
                <w:rFonts w:cs="Times New Roman"/>
              </w:rPr>
            </w:pPr>
            <w:r>
              <w:rPr>
                <w:rStyle w:val="fins-bold"/>
                <w:rFonts w:cs="Times New Roman"/>
              </w:rPr>
              <w:t>2,233</w:t>
            </w:r>
          </w:p>
        </w:tc>
        <w:tc>
          <w:tcPr>
            <w:tcW w:w="1230" w:type="dxa"/>
            <w:tcBorders>
              <w:top w:val="single" w:sz="12" w:space="0" w:color="0D0D0D" w:themeColor="text1" w:themeTint="F2"/>
              <w:bottom w:val="single" w:sz="12" w:space="0" w:color="0D0D0D" w:themeColor="text1" w:themeTint="F2"/>
            </w:tcBorders>
            <w:vAlign w:val="center"/>
            <w:hideMark/>
          </w:tcPr>
          <w:p w14:paraId="3F79FC8D" w14:textId="77777777" w:rsidR="00C57C9F" w:rsidRDefault="00C57C9F" w:rsidP="006F421D">
            <w:pPr>
              <w:pStyle w:val="3fins-table-figures"/>
              <w:jc w:val="right"/>
              <w:rPr>
                <w:rFonts w:cs="Times New Roman"/>
              </w:rPr>
            </w:pPr>
            <w:r>
              <w:rPr>
                <w:rFonts w:cs="Times New Roman"/>
              </w:rPr>
              <w:t>2,478</w:t>
            </w:r>
          </w:p>
        </w:tc>
      </w:tr>
    </w:tbl>
    <w:p w14:paraId="6C9BB58D" w14:textId="77777777" w:rsidR="00C57C9F" w:rsidRDefault="00C57C9F">
      <w:pPr>
        <w:pStyle w:val="3fins-table"/>
        <w:divId w:val="1675300298"/>
        <w:rPr>
          <w:rFonts w:cs="Times New Roman"/>
          <w:lang w:val="en-AU"/>
        </w:rPr>
      </w:pPr>
      <w:r>
        <w:rPr>
          <w:rFonts w:cs="Times New Roman"/>
          <w:lang w:val="en-AU"/>
        </w:rPr>
        <w:t>There are no potential differences between the carrying amounts and fair values of financial assets and liabilities.</w:t>
      </w:r>
    </w:p>
    <w:p w14:paraId="2C90C581" w14:textId="77777777" w:rsidR="00C57C9F" w:rsidRDefault="00C57C9F">
      <w:pPr>
        <w:pStyle w:val="1heading-3"/>
        <w:divId w:val="1675300298"/>
        <w:rPr>
          <w:rFonts w:cs="Times New Roman"/>
          <w:lang w:val="en-AU"/>
        </w:rPr>
      </w:pPr>
      <w:r>
        <w:rPr>
          <w:rFonts w:cs="Times New Roman"/>
          <w:lang w:val="en-AU"/>
        </w:rPr>
        <w:t>Note 16D: Credit risk</w:t>
      </w:r>
    </w:p>
    <w:p w14:paraId="48F5B344" w14:textId="77777777" w:rsidR="00C57C9F" w:rsidRDefault="00C57C9F">
      <w:pPr>
        <w:pStyle w:val="3fins-table"/>
        <w:divId w:val="1675300298"/>
        <w:rPr>
          <w:rFonts w:cs="Times New Roman"/>
          <w:lang w:val="en-AU"/>
        </w:rPr>
      </w:pPr>
      <w:r>
        <w:rPr>
          <w:rFonts w:cs="Times New Roman"/>
          <w:lang w:val="en-AU"/>
        </w:rPr>
        <w:t xml:space="preserve">The Commission was exposed to minimal credit risk as loans and receivables were cash and trade receivables. The maximum exposure to credit risk was the risk that arises from potential default of a debtor. This amount was equal to the total amount of trade and other receivables at 30 June 2014: $2,002,000 (2013: $1,015,000). </w:t>
      </w:r>
    </w:p>
    <w:p w14:paraId="14EB0389" w14:textId="77777777" w:rsidR="00C57C9F" w:rsidRDefault="00C57C9F">
      <w:pPr>
        <w:pStyle w:val="3fins-table"/>
        <w:divId w:val="1675300298"/>
        <w:rPr>
          <w:rFonts w:cs="Times New Roman"/>
          <w:lang w:val="en-AU"/>
        </w:rPr>
      </w:pPr>
      <w:r>
        <w:rPr>
          <w:rFonts w:cs="Times New Roman"/>
          <w:lang w:val="en-AU"/>
        </w:rPr>
        <w:t xml:space="preserve">The Commission manages its debtors by undertaking recovery processes for those receivables which are considered to be overdue. The risk of overdue debts arising is minimised through the implementation of credit assessments on potential customers. </w:t>
      </w:r>
    </w:p>
    <w:p w14:paraId="16F34B5B" w14:textId="77777777" w:rsidR="00C57C9F" w:rsidRDefault="00C57C9F">
      <w:pPr>
        <w:pStyle w:val="3fins-table"/>
        <w:divId w:val="1675300298"/>
        <w:rPr>
          <w:rFonts w:cs="Times New Roman"/>
          <w:lang w:val="en-AU"/>
        </w:rPr>
      </w:pPr>
      <w:r>
        <w:rPr>
          <w:rFonts w:cs="Times New Roman"/>
          <w:lang w:val="en-AU"/>
        </w:rPr>
        <w:t xml:space="preserve">The Commission holds no collateral to </w:t>
      </w:r>
      <w:proofErr w:type="gramStart"/>
      <w:r>
        <w:rPr>
          <w:rFonts w:cs="Times New Roman"/>
          <w:lang w:val="en-AU"/>
        </w:rPr>
        <w:t>mitigate</w:t>
      </w:r>
      <w:proofErr w:type="gramEnd"/>
      <w:r>
        <w:rPr>
          <w:rFonts w:cs="Times New Roman"/>
          <w:lang w:val="en-AU"/>
        </w:rPr>
        <w:t xml:space="preserve"> against credit risk.</w:t>
      </w:r>
    </w:p>
    <w:p w14:paraId="0E9E9876" w14:textId="77777777" w:rsidR="00C57C9F" w:rsidRDefault="00C57C9F">
      <w:pPr>
        <w:pStyle w:val="3fins-table"/>
        <w:divId w:val="1675300298"/>
        <w:rPr>
          <w:rFonts w:cs="Times New Roman"/>
          <w:lang w:val="en-AU"/>
        </w:rPr>
      </w:pPr>
      <w:r>
        <w:rPr>
          <w:rFonts w:cs="Times New Roman"/>
          <w:lang w:val="en-AU"/>
        </w:rPr>
        <w:t>The credit quality of financial instruments not past due or individually determined as impaired:</w:t>
      </w:r>
    </w:p>
    <w:tbl>
      <w:tblPr>
        <w:tblW w:w="0" w:type="auto"/>
        <w:tblBorders>
          <w:top w:val="single" w:sz="12" w:space="0" w:color="0D0D0D" w:themeColor="text1" w:themeTint="F2"/>
          <w:left w:val="single" w:sz="12" w:space="0" w:color="0D0D0D" w:themeColor="text1" w:themeTint="F2"/>
          <w:bottom w:val="single" w:sz="12" w:space="0" w:color="0D0D0D" w:themeColor="text1" w:themeTint="F2"/>
          <w:right w:val="single" w:sz="12" w:space="0" w:color="0D0D0D" w:themeColor="text1" w:themeTint="F2"/>
          <w:insideH w:val="single" w:sz="12" w:space="0" w:color="0D0D0D" w:themeColor="text1" w:themeTint="F2"/>
          <w:insideV w:val="single" w:sz="12" w:space="0" w:color="0D0D0D" w:themeColor="text1" w:themeTint="F2"/>
        </w:tblBorders>
        <w:tblCellMar>
          <w:top w:w="28" w:type="dxa"/>
          <w:left w:w="57" w:type="dxa"/>
          <w:bottom w:w="28" w:type="dxa"/>
          <w:right w:w="57" w:type="dxa"/>
        </w:tblCellMar>
        <w:tblLook w:val="04A0" w:firstRow="1" w:lastRow="0" w:firstColumn="1" w:lastColumn="0" w:noHBand="0" w:noVBand="1"/>
      </w:tblPr>
      <w:tblGrid>
        <w:gridCol w:w="4536"/>
        <w:gridCol w:w="1530"/>
        <w:gridCol w:w="1417"/>
        <w:gridCol w:w="1418"/>
        <w:gridCol w:w="1128"/>
      </w:tblGrid>
      <w:tr w:rsidR="00C57C9F" w14:paraId="2E175203" w14:textId="77777777" w:rsidTr="006F421D">
        <w:trPr>
          <w:divId w:val="1675300298"/>
        </w:trPr>
        <w:tc>
          <w:tcPr>
            <w:tcW w:w="4536" w:type="dxa"/>
            <w:vMerge w:val="restart"/>
            <w:vAlign w:val="center"/>
            <w:hideMark/>
          </w:tcPr>
          <w:p w14:paraId="754B9565" w14:textId="77777777" w:rsidR="00C57C9F" w:rsidRDefault="00C57C9F">
            <w:pPr>
              <w:rPr>
                <w:rFonts w:eastAsia="Times New Roman" w:cs="Times New Roman"/>
              </w:rPr>
            </w:pPr>
          </w:p>
        </w:tc>
        <w:tc>
          <w:tcPr>
            <w:tcW w:w="2947" w:type="dxa"/>
            <w:gridSpan w:val="2"/>
            <w:vAlign w:val="center"/>
            <w:hideMark/>
          </w:tcPr>
          <w:p w14:paraId="6FAF3C2C" w14:textId="77777777" w:rsidR="00C57C9F" w:rsidRDefault="00C57C9F" w:rsidP="006F421D">
            <w:pPr>
              <w:pStyle w:val="3fins-table-figures-c"/>
              <w:jc w:val="center"/>
              <w:rPr>
                <w:rFonts w:cs="Times New Roman"/>
              </w:rPr>
            </w:pPr>
            <w:r>
              <w:rPr>
                <w:rStyle w:val="fins-bold"/>
                <w:rFonts w:cs="Times New Roman"/>
              </w:rPr>
              <w:t>Not past due nor impaired</w:t>
            </w:r>
          </w:p>
        </w:tc>
        <w:tc>
          <w:tcPr>
            <w:tcW w:w="2546" w:type="dxa"/>
            <w:gridSpan w:val="2"/>
            <w:vAlign w:val="center"/>
            <w:hideMark/>
          </w:tcPr>
          <w:p w14:paraId="30A4672F" w14:textId="77777777" w:rsidR="00C57C9F" w:rsidRDefault="00C57C9F" w:rsidP="006F421D">
            <w:pPr>
              <w:pStyle w:val="3fins-table-figures-c"/>
              <w:jc w:val="center"/>
              <w:rPr>
                <w:rFonts w:cs="Times New Roman"/>
              </w:rPr>
            </w:pPr>
            <w:r>
              <w:rPr>
                <w:rStyle w:val="fins-bold"/>
                <w:rFonts w:cs="Times New Roman"/>
              </w:rPr>
              <w:t>Past due or impaired</w:t>
            </w:r>
          </w:p>
        </w:tc>
      </w:tr>
      <w:tr w:rsidR="00C57C9F" w14:paraId="0FDEFA6D" w14:textId="77777777" w:rsidTr="006F421D">
        <w:trPr>
          <w:divId w:val="1675300298"/>
        </w:trPr>
        <w:tc>
          <w:tcPr>
            <w:tcW w:w="4536" w:type="dxa"/>
            <w:vMerge/>
            <w:vAlign w:val="center"/>
            <w:hideMark/>
          </w:tcPr>
          <w:p w14:paraId="4FB2120F" w14:textId="77777777" w:rsidR="00C57C9F" w:rsidRDefault="00C57C9F">
            <w:pPr>
              <w:rPr>
                <w:rFonts w:eastAsia="Times New Roman" w:cs="Times New Roman"/>
              </w:rPr>
            </w:pPr>
          </w:p>
        </w:tc>
        <w:tc>
          <w:tcPr>
            <w:tcW w:w="1530" w:type="dxa"/>
            <w:vAlign w:val="center"/>
            <w:hideMark/>
          </w:tcPr>
          <w:p w14:paraId="7D6BA289" w14:textId="77777777" w:rsidR="00C57C9F" w:rsidRDefault="00C57C9F" w:rsidP="006F421D">
            <w:pPr>
              <w:pStyle w:val="3fins-table-figures"/>
              <w:jc w:val="right"/>
              <w:rPr>
                <w:rFonts w:cs="Times New Roman"/>
              </w:rPr>
            </w:pPr>
            <w:r>
              <w:rPr>
                <w:rStyle w:val="fins-bold"/>
                <w:rFonts w:cs="Times New Roman"/>
              </w:rPr>
              <w:t>2014</w:t>
            </w:r>
          </w:p>
        </w:tc>
        <w:tc>
          <w:tcPr>
            <w:tcW w:w="1387" w:type="dxa"/>
            <w:vAlign w:val="center"/>
            <w:hideMark/>
          </w:tcPr>
          <w:p w14:paraId="254760DA" w14:textId="77777777" w:rsidR="00C57C9F" w:rsidRDefault="00C57C9F" w:rsidP="006F421D">
            <w:pPr>
              <w:pStyle w:val="3fins-table-figures"/>
              <w:jc w:val="right"/>
              <w:rPr>
                <w:rFonts w:cs="Times New Roman"/>
              </w:rPr>
            </w:pPr>
            <w:r>
              <w:rPr>
                <w:rFonts w:cs="Times New Roman"/>
              </w:rPr>
              <w:t>2013</w:t>
            </w:r>
          </w:p>
        </w:tc>
        <w:tc>
          <w:tcPr>
            <w:tcW w:w="1418" w:type="dxa"/>
            <w:vAlign w:val="center"/>
            <w:hideMark/>
          </w:tcPr>
          <w:p w14:paraId="3E5B4112" w14:textId="77777777" w:rsidR="00C57C9F" w:rsidRDefault="00C57C9F" w:rsidP="006F421D">
            <w:pPr>
              <w:pStyle w:val="3fins-table-figures"/>
              <w:jc w:val="right"/>
              <w:rPr>
                <w:rFonts w:cs="Times New Roman"/>
              </w:rPr>
            </w:pPr>
            <w:r>
              <w:rPr>
                <w:rStyle w:val="fins-bold"/>
                <w:rFonts w:cs="Times New Roman"/>
              </w:rPr>
              <w:t>2014</w:t>
            </w:r>
          </w:p>
        </w:tc>
        <w:tc>
          <w:tcPr>
            <w:tcW w:w="1098" w:type="dxa"/>
            <w:vAlign w:val="center"/>
            <w:hideMark/>
          </w:tcPr>
          <w:p w14:paraId="4DDC1A04" w14:textId="77777777" w:rsidR="00C57C9F" w:rsidRDefault="00C57C9F" w:rsidP="006F421D">
            <w:pPr>
              <w:pStyle w:val="3fins-table-figures"/>
              <w:jc w:val="right"/>
              <w:rPr>
                <w:rFonts w:cs="Times New Roman"/>
              </w:rPr>
            </w:pPr>
            <w:r>
              <w:rPr>
                <w:rFonts w:cs="Times New Roman"/>
              </w:rPr>
              <w:t>2013</w:t>
            </w:r>
          </w:p>
        </w:tc>
      </w:tr>
      <w:tr w:rsidR="00C57C9F" w14:paraId="4F091812" w14:textId="77777777" w:rsidTr="006F421D">
        <w:trPr>
          <w:divId w:val="1675300298"/>
        </w:trPr>
        <w:tc>
          <w:tcPr>
            <w:tcW w:w="4536" w:type="dxa"/>
            <w:vMerge/>
            <w:vAlign w:val="center"/>
            <w:hideMark/>
          </w:tcPr>
          <w:p w14:paraId="7839DB72" w14:textId="77777777" w:rsidR="00C57C9F" w:rsidRDefault="00C57C9F">
            <w:pPr>
              <w:rPr>
                <w:rFonts w:eastAsia="Times New Roman" w:cs="Times New Roman"/>
              </w:rPr>
            </w:pPr>
          </w:p>
        </w:tc>
        <w:tc>
          <w:tcPr>
            <w:tcW w:w="1530" w:type="dxa"/>
            <w:vAlign w:val="center"/>
            <w:hideMark/>
          </w:tcPr>
          <w:p w14:paraId="5EA498ED" w14:textId="77777777" w:rsidR="00C57C9F" w:rsidRDefault="00C57C9F" w:rsidP="006F421D">
            <w:pPr>
              <w:pStyle w:val="3fins-table-figures"/>
              <w:jc w:val="right"/>
              <w:rPr>
                <w:rFonts w:cs="Times New Roman"/>
              </w:rPr>
            </w:pPr>
            <w:r>
              <w:rPr>
                <w:rStyle w:val="fins-bold"/>
                <w:rFonts w:cs="Times New Roman"/>
              </w:rPr>
              <w:t>$’000</w:t>
            </w:r>
          </w:p>
        </w:tc>
        <w:tc>
          <w:tcPr>
            <w:tcW w:w="1387" w:type="dxa"/>
            <w:vAlign w:val="center"/>
            <w:hideMark/>
          </w:tcPr>
          <w:p w14:paraId="6B8BA751" w14:textId="77777777" w:rsidR="00C57C9F" w:rsidRDefault="00C57C9F" w:rsidP="006F421D">
            <w:pPr>
              <w:pStyle w:val="3fins-table-figures"/>
              <w:jc w:val="right"/>
              <w:rPr>
                <w:rFonts w:cs="Times New Roman"/>
              </w:rPr>
            </w:pPr>
            <w:r>
              <w:rPr>
                <w:rFonts w:cs="Times New Roman"/>
              </w:rPr>
              <w:t>$’000</w:t>
            </w:r>
          </w:p>
        </w:tc>
        <w:tc>
          <w:tcPr>
            <w:tcW w:w="1418" w:type="dxa"/>
            <w:vAlign w:val="center"/>
            <w:hideMark/>
          </w:tcPr>
          <w:p w14:paraId="679ECBDB" w14:textId="77777777" w:rsidR="00C57C9F" w:rsidRDefault="00C57C9F" w:rsidP="006F421D">
            <w:pPr>
              <w:pStyle w:val="3fins-table-figures"/>
              <w:jc w:val="right"/>
              <w:rPr>
                <w:rFonts w:cs="Times New Roman"/>
              </w:rPr>
            </w:pPr>
            <w:r>
              <w:rPr>
                <w:rStyle w:val="fins-bold"/>
                <w:rFonts w:cs="Times New Roman"/>
              </w:rPr>
              <w:t>$’000</w:t>
            </w:r>
          </w:p>
        </w:tc>
        <w:tc>
          <w:tcPr>
            <w:tcW w:w="1098" w:type="dxa"/>
            <w:vAlign w:val="center"/>
            <w:hideMark/>
          </w:tcPr>
          <w:p w14:paraId="51FF6D18" w14:textId="77777777" w:rsidR="00C57C9F" w:rsidRDefault="00C57C9F" w:rsidP="006F421D">
            <w:pPr>
              <w:pStyle w:val="3fins-table-figures"/>
              <w:jc w:val="right"/>
              <w:rPr>
                <w:rFonts w:cs="Times New Roman"/>
              </w:rPr>
            </w:pPr>
            <w:r>
              <w:rPr>
                <w:rFonts w:cs="Times New Roman"/>
              </w:rPr>
              <w:t>$’000</w:t>
            </w:r>
          </w:p>
        </w:tc>
      </w:tr>
      <w:tr w:rsidR="00C57C9F" w14:paraId="6B341CE5" w14:textId="77777777" w:rsidTr="006F421D">
        <w:trPr>
          <w:divId w:val="1675300298"/>
        </w:trPr>
        <w:tc>
          <w:tcPr>
            <w:tcW w:w="4536" w:type="dxa"/>
            <w:vAlign w:val="center"/>
            <w:hideMark/>
          </w:tcPr>
          <w:p w14:paraId="2AED4906" w14:textId="77777777" w:rsidR="00C57C9F" w:rsidRDefault="00C57C9F">
            <w:pPr>
              <w:pStyle w:val="3fins-table"/>
              <w:rPr>
                <w:rFonts w:cs="Times New Roman"/>
              </w:rPr>
            </w:pPr>
            <w:r>
              <w:rPr>
                <w:rFonts w:cs="Times New Roman"/>
              </w:rPr>
              <w:t>Cash and cash equivalents</w:t>
            </w:r>
          </w:p>
        </w:tc>
        <w:tc>
          <w:tcPr>
            <w:tcW w:w="1530" w:type="dxa"/>
            <w:vAlign w:val="center"/>
            <w:hideMark/>
          </w:tcPr>
          <w:p w14:paraId="6C1746E4" w14:textId="77777777" w:rsidR="00C57C9F" w:rsidRDefault="00C57C9F" w:rsidP="006F421D">
            <w:pPr>
              <w:pStyle w:val="3fins-table-figures"/>
              <w:jc w:val="right"/>
              <w:rPr>
                <w:rFonts w:cs="Times New Roman"/>
              </w:rPr>
            </w:pPr>
            <w:r>
              <w:rPr>
                <w:rStyle w:val="fins-bold"/>
                <w:rFonts w:cs="Times New Roman"/>
              </w:rPr>
              <w:t>13,159</w:t>
            </w:r>
          </w:p>
        </w:tc>
        <w:tc>
          <w:tcPr>
            <w:tcW w:w="1387" w:type="dxa"/>
            <w:vAlign w:val="center"/>
            <w:hideMark/>
          </w:tcPr>
          <w:p w14:paraId="54077F41" w14:textId="77777777" w:rsidR="00C57C9F" w:rsidRDefault="00C57C9F" w:rsidP="006F421D">
            <w:pPr>
              <w:pStyle w:val="3fins-table-figures"/>
              <w:jc w:val="right"/>
              <w:rPr>
                <w:rFonts w:cs="Times New Roman"/>
              </w:rPr>
            </w:pPr>
            <w:r>
              <w:rPr>
                <w:rFonts w:cs="Times New Roman"/>
              </w:rPr>
              <w:t>7,050</w:t>
            </w:r>
          </w:p>
        </w:tc>
        <w:tc>
          <w:tcPr>
            <w:tcW w:w="1418" w:type="dxa"/>
            <w:vAlign w:val="center"/>
            <w:hideMark/>
          </w:tcPr>
          <w:p w14:paraId="3EA9C624" w14:textId="77777777" w:rsidR="00C57C9F" w:rsidRDefault="00C57C9F" w:rsidP="006F421D">
            <w:pPr>
              <w:pStyle w:val="3fins-table-figures"/>
              <w:jc w:val="right"/>
              <w:rPr>
                <w:rFonts w:cs="Times New Roman"/>
              </w:rPr>
            </w:pPr>
            <w:r>
              <w:rPr>
                <w:rStyle w:val="fins-bold"/>
                <w:rFonts w:cs="Times New Roman"/>
              </w:rPr>
              <w:t>–</w:t>
            </w:r>
          </w:p>
        </w:tc>
        <w:tc>
          <w:tcPr>
            <w:tcW w:w="1098" w:type="dxa"/>
            <w:vAlign w:val="center"/>
            <w:hideMark/>
          </w:tcPr>
          <w:p w14:paraId="122331A4" w14:textId="77777777" w:rsidR="00C57C9F" w:rsidRDefault="00C57C9F" w:rsidP="006F421D">
            <w:pPr>
              <w:pStyle w:val="3fins-table-figures"/>
              <w:jc w:val="right"/>
              <w:rPr>
                <w:rFonts w:cs="Times New Roman"/>
              </w:rPr>
            </w:pPr>
            <w:r>
              <w:rPr>
                <w:rFonts w:cs="Times New Roman"/>
              </w:rPr>
              <w:t>–</w:t>
            </w:r>
          </w:p>
        </w:tc>
      </w:tr>
      <w:tr w:rsidR="00C57C9F" w14:paraId="430AEFD7" w14:textId="77777777" w:rsidTr="006F421D">
        <w:trPr>
          <w:divId w:val="1675300298"/>
        </w:trPr>
        <w:tc>
          <w:tcPr>
            <w:tcW w:w="4536" w:type="dxa"/>
            <w:vAlign w:val="center"/>
            <w:hideMark/>
          </w:tcPr>
          <w:p w14:paraId="49455F7F" w14:textId="77777777" w:rsidR="00C57C9F" w:rsidRDefault="00C57C9F">
            <w:pPr>
              <w:pStyle w:val="3fins-table"/>
              <w:rPr>
                <w:rFonts w:cs="Times New Roman"/>
              </w:rPr>
            </w:pPr>
            <w:r>
              <w:rPr>
                <w:rFonts w:cs="Times New Roman"/>
              </w:rPr>
              <w:t>Trade and other receivables</w:t>
            </w:r>
          </w:p>
        </w:tc>
        <w:tc>
          <w:tcPr>
            <w:tcW w:w="1530" w:type="dxa"/>
            <w:vAlign w:val="center"/>
            <w:hideMark/>
          </w:tcPr>
          <w:p w14:paraId="056D70F8" w14:textId="77777777" w:rsidR="00C57C9F" w:rsidRDefault="00C57C9F" w:rsidP="006F421D">
            <w:pPr>
              <w:pStyle w:val="3fins-table-figures"/>
              <w:jc w:val="right"/>
              <w:rPr>
                <w:rFonts w:cs="Times New Roman"/>
              </w:rPr>
            </w:pPr>
            <w:r>
              <w:rPr>
                <w:rStyle w:val="fins-bold"/>
                <w:rFonts w:cs="Times New Roman"/>
              </w:rPr>
              <w:t>2,002</w:t>
            </w:r>
          </w:p>
        </w:tc>
        <w:tc>
          <w:tcPr>
            <w:tcW w:w="1387" w:type="dxa"/>
            <w:vAlign w:val="center"/>
            <w:hideMark/>
          </w:tcPr>
          <w:p w14:paraId="529387CD" w14:textId="77777777" w:rsidR="00C57C9F" w:rsidRDefault="00C57C9F" w:rsidP="006F421D">
            <w:pPr>
              <w:pStyle w:val="3fins-table-figures"/>
              <w:jc w:val="right"/>
              <w:rPr>
                <w:rFonts w:cs="Times New Roman"/>
              </w:rPr>
            </w:pPr>
            <w:r>
              <w:rPr>
                <w:rFonts w:cs="Times New Roman"/>
              </w:rPr>
              <w:t>1,015</w:t>
            </w:r>
          </w:p>
        </w:tc>
        <w:tc>
          <w:tcPr>
            <w:tcW w:w="1418" w:type="dxa"/>
            <w:vAlign w:val="center"/>
            <w:hideMark/>
          </w:tcPr>
          <w:p w14:paraId="00CD95AC" w14:textId="77777777" w:rsidR="00C57C9F" w:rsidRDefault="00C57C9F" w:rsidP="006F421D">
            <w:pPr>
              <w:pStyle w:val="3fins-table-figures"/>
              <w:jc w:val="right"/>
              <w:rPr>
                <w:rFonts w:cs="Times New Roman"/>
              </w:rPr>
            </w:pPr>
            <w:r>
              <w:rPr>
                <w:rStyle w:val="fins-bold"/>
                <w:rFonts w:cs="Times New Roman"/>
              </w:rPr>
              <w:t>–</w:t>
            </w:r>
          </w:p>
        </w:tc>
        <w:tc>
          <w:tcPr>
            <w:tcW w:w="1098" w:type="dxa"/>
            <w:vAlign w:val="center"/>
            <w:hideMark/>
          </w:tcPr>
          <w:p w14:paraId="69F3A4EC" w14:textId="77777777" w:rsidR="00C57C9F" w:rsidRDefault="00C57C9F" w:rsidP="006F421D">
            <w:pPr>
              <w:pStyle w:val="3fins-table-figures"/>
              <w:jc w:val="right"/>
              <w:rPr>
                <w:rFonts w:cs="Times New Roman"/>
              </w:rPr>
            </w:pPr>
            <w:r>
              <w:rPr>
                <w:rFonts w:cs="Times New Roman"/>
              </w:rPr>
              <w:t>12</w:t>
            </w:r>
          </w:p>
        </w:tc>
      </w:tr>
      <w:tr w:rsidR="00C57C9F" w14:paraId="5D00A10B" w14:textId="77777777" w:rsidTr="006F421D">
        <w:trPr>
          <w:divId w:val="1675300298"/>
        </w:trPr>
        <w:tc>
          <w:tcPr>
            <w:tcW w:w="4536" w:type="dxa"/>
            <w:vAlign w:val="center"/>
            <w:hideMark/>
          </w:tcPr>
          <w:p w14:paraId="159FE4F3" w14:textId="77777777" w:rsidR="00C57C9F" w:rsidRDefault="00C57C9F">
            <w:pPr>
              <w:pStyle w:val="3fins-table"/>
              <w:rPr>
                <w:rFonts w:cs="Times New Roman"/>
              </w:rPr>
            </w:pPr>
            <w:r>
              <w:rPr>
                <w:rStyle w:val="fins-bold"/>
                <w:rFonts w:cs="Times New Roman"/>
              </w:rPr>
              <w:t>Total</w:t>
            </w:r>
          </w:p>
        </w:tc>
        <w:tc>
          <w:tcPr>
            <w:tcW w:w="1530" w:type="dxa"/>
            <w:vAlign w:val="center"/>
            <w:hideMark/>
          </w:tcPr>
          <w:p w14:paraId="321EE996" w14:textId="77777777" w:rsidR="00C57C9F" w:rsidRDefault="00C57C9F" w:rsidP="006F421D">
            <w:pPr>
              <w:pStyle w:val="3fins-table-figures"/>
              <w:jc w:val="right"/>
              <w:rPr>
                <w:rFonts w:cs="Times New Roman"/>
              </w:rPr>
            </w:pPr>
            <w:r>
              <w:rPr>
                <w:rStyle w:val="fins-bold"/>
                <w:rFonts w:cs="Times New Roman"/>
              </w:rPr>
              <w:t>15,161</w:t>
            </w:r>
          </w:p>
        </w:tc>
        <w:tc>
          <w:tcPr>
            <w:tcW w:w="1387" w:type="dxa"/>
            <w:vAlign w:val="center"/>
            <w:hideMark/>
          </w:tcPr>
          <w:p w14:paraId="66F3F8E1" w14:textId="77777777" w:rsidR="00C57C9F" w:rsidRDefault="00C57C9F" w:rsidP="006F421D">
            <w:pPr>
              <w:pStyle w:val="3fins-table-figures"/>
              <w:jc w:val="right"/>
              <w:rPr>
                <w:rFonts w:cs="Times New Roman"/>
              </w:rPr>
            </w:pPr>
            <w:r>
              <w:rPr>
                <w:rFonts w:cs="Times New Roman"/>
              </w:rPr>
              <w:t>8,065</w:t>
            </w:r>
          </w:p>
        </w:tc>
        <w:tc>
          <w:tcPr>
            <w:tcW w:w="1418" w:type="dxa"/>
            <w:vAlign w:val="center"/>
            <w:hideMark/>
          </w:tcPr>
          <w:p w14:paraId="389FC454" w14:textId="77777777" w:rsidR="00C57C9F" w:rsidRDefault="00C57C9F" w:rsidP="006F421D">
            <w:pPr>
              <w:pStyle w:val="3fins-table-figures"/>
              <w:jc w:val="right"/>
              <w:rPr>
                <w:rFonts w:cs="Times New Roman"/>
              </w:rPr>
            </w:pPr>
            <w:r>
              <w:rPr>
                <w:rStyle w:val="fins-bold"/>
                <w:rFonts w:cs="Times New Roman"/>
              </w:rPr>
              <w:t>–</w:t>
            </w:r>
          </w:p>
        </w:tc>
        <w:tc>
          <w:tcPr>
            <w:tcW w:w="1098" w:type="dxa"/>
            <w:vAlign w:val="center"/>
            <w:hideMark/>
          </w:tcPr>
          <w:p w14:paraId="643B9644" w14:textId="77777777" w:rsidR="00C57C9F" w:rsidRDefault="00C57C9F" w:rsidP="006F421D">
            <w:pPr>
              <w:pStyle w:val="3fins-table-figures"/>
              <w:jc w:val="right"/>
              <w:rPr>
                <w:rFonts w:cs="Times New Roman"/>
              </w:rPr>
            </w:pPr>
            <w:r>
              <w:rPr>
                <w:rFonts w:cs="Times New Roman"/>
              </w:rPr>
              <w:t>12</w:t>
            </w:r>
          </w:p>
        </w:tc>
      </w:tr>
    </w:tbl>
    <w:p w14:paraId="7C2F03E0" w14:textId="77777777" w:rsidR="00C57C9F" w:rsidRDefault="00C57C9F">
      <w:pPr>
        <w:pStyle w:val="1heading-3"/>
        <w:divId w:val="1675300298"/>
        <w:rPr>
          <w:rFonts w:cs="Times New Roman"/>
          <w:lang w:val="en-AU"/>
        </w:rPr>
      </w:pPr>
    </w:p>
    <w:p w14:paraId="32B4A342" w14:textId="77777777" w:rsidR="00C57C9F" w:rsidRDefault="00C57C9F">
      <w:pPr>
        <w:rPr>
          <w:rFonts w:cs="Times New Roman"/>
          <w:b/>
          <w:sz w:val="24"/>
        </w:rPr>
      </w:pPr>
      <w:r>
        <w:rPr>
          <w:rFonts w:cs="Times New Roman"/>
        </w:rPr>
        <w:br w:type="page"/>
      </w:r>
    </w:p>
    <w:p w14:paraId="56E7F09E" w14:textId="77777777" w:rsidR="00C57C9F" w:rsidRDefault="00C57C9F">
      <w:pPr>
        <w:pStyle w:val="1heading-3"/>
        <w:divId w:val="1675300298"/>
        <w:rPr>
          <w:rFonts w:cs="Times New Roman"/>
          <w:lang w:val="en-AU"/>
        </w:rPr>
      </w:pPr>
      <w:r>
        <w:rPr>
          <w:rFonts w:cs="Times New Roman"/>
          <w:lang w:val="en-AU"/>
        </w:rPr>
        <w:lastRenderedPageBreak/>
        <w:t>Note 16E: Liquidity risk</w:t>
      </w:r>
    </w:p>
    <w:p w14:paraId="1B06CED8" w14:textId="77777777" w:rsidR="00C57C9F" w:rsidRDefault="00C57C9F">
      <w:pPr>
        <w:pStyle w:val="3fins-table"/>
        <w:divId w:val="1675300298"/>
        <w:rPr>
          <w:rFonts w:cs="Times New Roman"/>
          <w:lang w:val="en-AU"/>
        </w:rPr>
      </w:pPr>
      <w:r>
        <w:rPr>
          <w:rFonts w:cs="Times New Roman"/>
          <w:lang w:val="en-AU"/>
        </w:rPr>
        <w:t>The Commission’s financial liabilities comprise trade creditors, research project creditors, and other payables. The exposure to liquidity risk is based on the notion that the Commission will encounter difficulty in meeting its obligations on its financial liabilities. This is highly unlikely due to Commonwealth, State and Territory government funding, the Commission’s ability to draw down on cash reserves, and internal policies and procedures put in place to ensure there are appropriate resources to meet its financial obligations.</w:t>
      </w:r>
    </w:p>
    <w:p w14:paraId="6F39E817" w14:textId="77777777" w:rsidR="00C57C9F" w:rsidRDefault="00C57C9F">
      <w:pPr>
        <w:pStyle w:val="3fins-table"/>
        <w:divId w:val="1675300298"/>
        <w:rPr>
          <w:rFonts w:cs="Times New Roman"/>
          <w:lang w:val="en-AU"/>
        </w:rPr>
      </w:pPr>
      <w:r>
        <w:rPr>
          <w:rFonts w:cs="Times New Roman"/>
          <w:lang w:val="en-AU"/>
        </w:rPr>
        <w:t>The Commission manages liquidity risk by ensuring all financial liabilities are paid in accordance with terms and conditions on demand. In addition, the Commission has no past experience of defaults in its current and prior forms.</w:t>
      </w:r>
    </w:p>
    <w:p w14:paraId="1B89C054" w14:textId="77777777" w:rsidR="00C57C9F" w:rsidRDefault="00C57C9F">
      <w:pPr>
        <w:pStyle w:val="2fins-body"/>
        <w:divId w:val="1675300298"/>
        <w:rPr>
          <w:rFonts w:cs="Times New Roman"/>
          <w:lang w:val="en-AU"/>
        </w:rPr>
      </w:pPr>
      <w:r>
        <w:rPr>
          <w:rStyle w:val="fins-bold"/>
          <w:rFonts w:cs="Times New Roman"/>
          <w:lang w:val="en-AU"/>
        </w:rPr>
        <w:t>Maturities for financial liabilities 2014:</w:t>
      </w:r>
    </w:p>
    <w:tbl>
      <w:tblPr>
        <w:tblW w:w="0" w:type="auto"/>
        <w:tblBorders>
          <w:top w:val="single" w:sz="12" w:space="0" w:color="0D0D0D" w:themeColor="text1" w:themeTint="F2"/>
          <w:left w:val="single" w:sz="12" w:space="0" w:color="0D0D0D" w:themeColor="text1" w:themeTint="F2"/>
          <w:bottom w:val="single" w:sz="12" w:space="0" w:color="0D0D0D" w:themeColor="text1" w:themeTint="F2"/>
          <w:right w:val="single" w:sz="12" w:space="0" w:color="0D0D0D" w:themeColor="text1" w:themeTint="F2"/>
          <w:insideH w:val="single" w:sz="12" w:space="0" w:color="0D0D0D" w:themeColor="text1" w:themeTint="F2"/>
          <w:insideV w:val="single" w:sz="12" w:space="0" w:color="0D0D0D" w:themeColor="text1" w:themeTint="F2"/>
        </w:tblBorders>
        <w:tblCellMar>
          <w:top w:w="28" w:type="dxa"/>
          <w:left w:w="57" w:type="dxa"/>
          <w:bottom w:w="28" w:type="dxa"/>
          <w:right w:w="57" w:type="dxa"/>
        </w:tblCellMar>
        <w:tblLook w:val="04A0" w:firstRow="1" w:lastRow="0" w:firstColumn="1" w:lastColumn="0" w:noHBand="0" w:noVBand="1"/>
      </w:tblPr>
      <w:tblGrid>
        <w:gridCol w:w="5245"/>
        <w:gridCol w:w="1529"/>
        <w:gridCol w:w="1671"/>
        <w:gridCol w:w="1515"/>
      </w:tblGrid>
      <w:tr w:rsidR="00C57C9F" w14:paraId="63D2CF2F" w14:textId="77777777" w:rsidTr="006F421D">
        <w:trPr>
          <w:divId w:val="1675300298"/>
        </w:trPr>
        <w:tc>
          <w:tcPr>
            <w:tcW w:w="5245" w:type="dxa"/>
            <w:vMerge w:val="restart"/>
            <w:vAlign w:val="center"/>
            <w:hideMark/>
          </w:tcPr>
          <w:p w14:paraId="0EA427AB" w14:textId="77777777" w:rsidR="00C57C9F" w:rsidRDefault="00C57C9F">
            <w:pPr>
              <w:rPr>
                <w:rFonts w:eastAsia="Times New Roman" w:cs="Times New Roman"/>
              </w:rPr>
            </w:pPr>
          </w:p>
        </w:tc>
        <w:tc>
          <w:tcPr>
            <w:tcW w:w="1529" w:type="dxa"/>
            <w:vAlign w:val="center"/>
            <w:hideMark/>
          </w:tcPr>
          <w:p w14:paraId="4A9273BB" w14:textId="77777777" w:rsidR="00C57C9F" w:rsidRDefault="00C57C9F" w:rsidP="006F421D">
            <w:pPr>
              <w:pStyle w:val="3fins-table-figures"/>
              <w:jc w:val="right"/>
              <w:rPr>
                <w:rFonts w:cs="Times New Roman"/>
              </w:rPr>
            </w:pPr>
            <w:r>
              <w:rPr>
                <w:rStyle w:val="fins-bold"/>
                <w:rFonts w:cs="Times New Roman"/>
              </w:rPr>
              <w:t>On demand</w:t>
            </w:r>
          </w:p>
        </w:tc>
        <w:tc>
          <w:tcPr>
            <w:tcW w:w="1671" w:type="dxa"/>
            <w:vAlign w:val="center"/>
            <w:hideMark/>
          </w:tcPr>
          <w:p w14:paraId="6F6EB801" w14:textId="77777777" w:rsidR="00C57C9F" w:rsidRDefault="00C57C9F" w:rsidP="006F421D">
            <w:pPr>
              <w:pStyle w:val="3fins-table-figures"/>
              <w:jc w:val="right"/>
              <w:rPr>
                <w:rFonts w:cs="Times New Roman"/>
              </w:rPr>
            </w:pPr>
            <w:r>
              <w:rPr>
                <w:rStyle w:val="fins-bold"/>
                <w:rFonts w:cs="Times New Roman"/>
              </w:rPr>
              <w:t>Within 1 year</w:t>
            </w:r>
          </w:p>
        </w:tc>
        <w:tc>
          <w:tcPr>
            <w:tcW w:w="1515" w:type="dxa"/>
            <w:vAlign w:val="center"/>
            <w:hideMark/>
          </w:tcPr>
          <w:p w14:paraId="0595EDDC" w14:textId="77777777" w:rsidR="00C57C9F" w:rsidRDefault="00C57C9F" w:rsidP="006F421D">
            <w:pPr>
              <w:pStyle w:val="3fins-table-figures"/>
              <w:jc w:val="right"/>
              <w:rPr>
                <w:rFonts w:cs="Times New Roman"/>
              </w:rPr>
            </w:pPr>
            <w:r>
              <w:rPr>
                <w:rStyle w:val="fins-bold"/>
                <w:rFonts w:cs="Times New Roman"/>
              </w:rPr>
              <w:t>Total</w:t>
            </w:r>
          </w:p>
        </w:tc>
      </w:tr>
      <w:tr w:rsidR="00C57C9F" w14:paraId="2C90520A" w14:textId="77777777" w:rsidTr="006F421D">
        <w:trPr>
          <w:divId w:val="1675300298"/>
        </w:trPr>
        <w:tc>
          <w:tcPr>
            <w:tcW w:w="5245" w:type="dxa"/>
            <w:vMerge/>
            <w:vAlign w:val="center"/>
            <w:hideMark/>
          </w:tcPr>
          <w:p w14:paraId="29633C1B" w14:textId="77777777" w:rsidR="00C57C9F" w:rsidRDefault="00C57C9F">
            <w:pPr>
              <w:rPr>
                <w:rFonts w:eastAsia="Times New Roman" w:cs="Times New Roman"/>
              </w:rPr>
            </w:pPr>
          </w:p>
        </w:tc>
        <w:tc>
          <w:tcPr>
            <w:tcW w:w="1529" w:type="dxa"/>
            <w:vAlign w:val="center"/>
            <w:hideMark/>
          </w:tcPr>
          <w:p w14:paraId="5F059F37" w14:textId="77777777" w:rsidR="00C57C9F" w:rsidRDefault="00C57C9F" w:rsidP="006F421D">
            <w:pPr>
              <w:pStyle w:val="3fins-table-figures"/>
              <w:jc w:val="right"/>
              <w:rPr>
                <w:rFonts w:cs="Times New Roman"/>
              </w:rPr>
            </w:pPr>
            <w:r>
              <w:rPr>
                <w:rStyle w:val="fins-bold"/>
                <w:rFonts w:cs="Times New Roman"/>
              </w:rPr>
              <w:t>$’000</w:t>
            </w:r>
          </w:p>
        </w:tc>
        <w:tc>
          <w:tcPr>
            <w:tcW w:w="1671" w:type="dxa"/>
            <w:vAlign w:val="center"/>
            <w:hideMark/>
          </w:tcPr>
          <w:p w14:paraId="75B9DECA" w14:textId="77777777" w:rsidR="00C57C9F" w:rsidRDefault="00C57C9F" w:rsidP="006F421D">
            <w:pPr>
              <w:pStyle w:val="3fins-table-figures"/>
              <w:jc w:val="right"/>
              <w:rPr>
                <w:rFonts w:cs="Times New Roman"/>
              </w:rPr>
            </w:pPr>
            <w:r>
              <w:rPr>
                <w:rStyle w:val="fins-bold"/>
                <w:rFonts w:cs="Times New Roman"/>
              </w:rPr>
              <w:t>$’000</w:t>
            </w:r>
          </w:p>
        </w:tc>
        <w:tc>
          <w:tcPr>
            <w:tcW w:w="1515" w:type="dxa"/>
            <w:vAlign w:val="center"/>
            <w:hideMark/>
          </w:tcPr>
          <w:p w14:paraId="76A4D51B" w14:textId="77777777" w:rsidR="00C57C9F" w:rsidRDefault="00C57C9F" w:rsidP="006F421D">
            <w:pPr>
              <w:pStyle w:val="3fins-table-figures"/>
              <w:jc w:val="right"/>
              <w:rPr>
                <w:rFonts w:cs="Times New Roman"/>
              </w:rPr>
            </w:pPr>
            <w:r>
              <w:rPr>
                <w:rStyle w:val="fins-bold"/>
                <w:rFonts w:cs="Times New Roman"/>
              </w:rPr>
              <w:t>$’000</w:t>
            </w:r>
          </w:p>
        </w:tc>
      </w:tr>
      <w:tr w:rsidR="00C57C9F" w14:paraId="40FBD5D5" w14:textId="77777777" w:rsidTr="006F421D">
        <w:trPr>
          <w:divId w:val="1675300298"/>
        </w:trPr>
        <w:tc>
          <w:tcPr>
            <w:tcW w:w="5245" w:type="dxa"/>
            <w:vAlign w:val="center"/>
            <w:hideMark/>
          </w:tcPr>
          <w:p w14:paraId="37A80C65" w14:textId="77777777" w:rsidR="00C57C9F" w:rsidRDefault="00C57C9F">
            <w:pPr>
              <w:pStyle w:val="3fins-table"/>
              <w:rPr>
                <w:rFonts w:cs="Times New Roman"/>
              </w:rPr>
            </w:pPr>
            <w:r>
              <w:rPr>
                <w:rStyle w:val="fins-bold"/>
                <w:rFonts w:cs="Times New Roman"/>
              </w:rPr>
              <w:t>Other financial liabilities</w:t>
            </w:r>
          </w:p>
        </w:tc>
        <w:tc>
          <w:tcPr>
            <w:tcW w:w="1529" w:type="dxa"/>
            <w:vAlign w:val="center"/>
            <w:hideMark/>
          </w:tcPr>
          <w:p w14:paraId="44F05276" w14:textId="77777777" w:rsidR="00C57C9F" w:rsidRDefault="00C57C9F" w:rsidP="006F421D">
            <w:pPr>
              <w:jc w:val="right"/>
              <w:rPr>
                <w:rFonts w:eastAsia="Times New Roman" w:cs="Times New Roman"/>
              </w:rPr>
            </w:pPr>
          </w:p>
        </w:tc>
        <w:tc>
          <w:tcPr>
            <w:tcW w:w="1671" w:type="dxa"/>
            <w:vAlign w:val="center"/>
            <w:hideMark/>
          </w:tcPr>
          <w:p w14:paraId="5298558D" w14:textId="77777777" w:rsidR="00C57C9F" w:rsidRDefault="00C57C9F" w:rsidP="006F421D">
            <w:pPr>
              <w:jc w:val="right"/>
              <w:rPr>
                <w:rFonts w:eastAsia="Times New Roman" w:cs="Times New Roman"/>
              </w:rPr>
            </w:pPr>
          </w:p>
        </w:tc>
        <w:tc>
          <w:tcPr>
            <w:tcW w:w="1515" w:type="dxa"/>
            <w:vAlign w:val="center"/>
            <w:hideMark/>
          </w:tcPr>
          <w:p w14:paraId="3916F683" w14:textId="77777777" w:rsidR="00C57C9F" w:rsidRDefault="00C57C9F" w:rsidP="006F421D">
            <w:pPr>
              <w:jc w:val="right"/>
              <w:rPr>
                <w:rFonts w:eastAsia="Times New Roman" w:cs="Times New Roman"/>
              </w:rPr>
            </w:pPr>
          </w:p>
        </w:tc>
      </w:tr>
      <w:tr w:rsidR="00C57C9F" w14:paraId="1DC87C55" w14:textId="77777777" w:rsidTr="006F421D">
        <w:trPr>
          <w:divId w:val="1675300298"/>
        </w:trPr>
        <w:tc>
          <w:tcPr>
            <w:tcW w:w="5245" w:type="dxa"/>
            <w:vAlign w:val="center"/>
            <w:hideMark/>
          </w:tcPr>
          <w:p w14:paraId="184728D8" w14:textId="77777777" w:rsidR="00C57C9F" w:rsidRDefault="00C57C9F" w:rsidP="006F421D">
            <w:pPr>
              <w:pStyle w:val="3fins-table"/>
              <w:ind w:left="426"/>
              <w:rPr>
                <w:rFonts w:cs="Times New Roman"/>
              </w:rPr>
            </w:pPr>
            <w:r>
              <w:rPr>
                <w:rFonts w:cs="Times New Roman"/>
              </w:rPr>
              <w:t>Suppliers</w:t>
            </w:r>
          </w:p>
        </w:tc>
        <w:tc>
          <w:tcPr>
            <w:tcW w:w="1529" w:type="dxa"/>
            <w:vAlign w:val="center"/>
            <w:hideMark/>
          </w:tcPr>
          <w:p w14:paraId="7CF69F7C" w14:textId="77777777" w:rsidR="00C57C9F" w:rsidRDefault="00C57C9F" w:rsidP="006F421D">
            <w:pPr>
              <w:pStyle w:val="3fins-table-figures"/>
              <w:jc w:val="right"/>
              <w:rPr>
                <w:rFonts w:cs="Times New Roman"/>
              </w:rPr>
            </w:pPr>
            <w:r>
              <w:rPr>
                <w:rStyle w:val="fins-bold"/>
                <w:rFonts w:cs="Times New Roman"/>
              </w:rPr>
              <w:t>–</w:t>
            </w:r>
          </w:p>
        </w:tc>
        <w:tc>
          <w:tcPr>
            <w:tcW w:w="1671" w:type="dxa"/>
            <w:vAlign w:val="center"/>
            <w:hideMark/>
          </w:tcPr>
          <w:p w14:paraId="1C516105" w14:textId="77777777" w:rsidR="00C57C9F" w:rsidRDefault="00C57C9F" w:rsidP="006F421D">
            <w:pPr>
              <w:pStyle w:val="3fins-table-figures"/>
              <w:jc w:val="right"/>
              <w:rPr>
                <w:rFonts w:cs="Times New Roman"/>
              </w:rPr>
            </w:pPr>
            <w:r>
              <w:rPr>
                <w:rStyle w:val="fins-bold"/>
                <w:rFonts w:cs="Times New Roman"/>
              </w:rPr>
              <w:t>2,233</w:t>
            </w:r>
          </w:p>
        </w:tc>
        <w:tc>
          <w:tcPr>
            <w:tcW w:w="1515" w:type="dxa"/>
            <w:vAlign w:val="center"/>
            <w:hideMark/>
          </w:tcPr>
          <w:p w14:paraId="7903B1CA" w14:textId="77777777" w:rsidR="00C57C9F" w:rsidRDefault="00C57C9F" w:rsidP="006F421D">
            <w:pPr>
              <w:pStyle w:val="3fins-table-figures"/>
              <w:jc w:val="right"/>
              <w:rPr>
                <w:rFonts w:cs="Times New Roman"/>
              </w:rPr>
            </w:pPr>
            <w:r>
              <w:rPr>
                <w:rStyle w:val="fins-bold"/>
                <w:rFonts w:cs="Times New Roman"/>
              </w:rPr>
              <w:t>2,233</w:t>
            </w:r>
          </w:p>
        </w:tc>
      </w:tr>
      <w:tr w:rsidR="00C57C9F" w14:paraId="0243E167" w14:textId="77777777" w:rsidTr="006F421D">
        <w:trPr>
          <w:divId w:val="1675300298"/>
        </w:trPr>
        <w:tc>
          <w:tcPr>
            <w:tcW w:w="5245" w:type="dxa"/>
            <w:vAlign w:val="center"/>
            <w:hideMark/>
          </w:tcPr>
          <w:p w14:paraId="2F569CBA" w14:textId="77777777" w:rsidR="00C57C9F" w:rsidRDefault="00C57C9F">
            <w:pPr>
              <w:pStyle w:val="3fins-table"/>
              <w:rPr>
                <w:rFonts w:cs="Times New Roman"/>
              </w:rPr>
            </w:pPr>
            <w:r>
              <w:rPr>
                <w:rStyle w:val="fins-bold"/>
                <w:rFonts w:cs="Times New Roman"/>
              </w:rPr>
              <w:t>Total</w:t>
            </w:r>
          </w:p>
        </w:tc>
        <w:tc>
          <w:tcPr>
            <w:tcW w:w="1529" w:type="dxa"/>
            <w:vAlign w:val="center"/>
            <w:hideMark/>
          </w:tcPr>
          <w:p w14:paraId="28C748DD" w14:textId="77777777" w:rsidR="00C57C9F" w:rsidRDefault="00C57C9F" w:rsidP="006F421D">
            <w:pPr>
              <w:pStyle w:val="3fins-table-figures"/>
              <w:jc w:val="right"/>
              <w:rPr>
                <w:rFonts w:cs="Times New Roman"/>
              </w:rPr>
            </w:pPr>
            <w:r>
              <w:rPr>
                <w:rStyle w:val="fins-bold"/>
                <w:rFonts w:cs="Times New Roman"/>
              </w:rPr>
              <w:t>–</w:t>
            </w:r>
          </w:p>
        </w:tc>
        <w:tc>
          <w:tcPr>
            <w:tcW w:w="1671" w:type="dxa"/>
            <w:vAlign w:val="center"/>
            <w:hideMark/>
          </w:tcPr>
          <w:p w14:paraId="00431018" w14:textId="77777777" w:rsidR="00C57C9F" w:rsidRDefault="00C57C9F" w:rsidP="006F421D">
            <w:pPr>
              <w:pStyle w:val="3fins-table-figures"/>
              <w:jc w:val="right"/>
              <w:rPr>
                <w:rFonts w:cs="Times New Roman"/>
              </w:rPr>
            </w:pPr>
            <w:r>
              <w:rPr>
                <w:rStyle w:val="fins-bold"/>
                <w:rFonts w:cs="Times New Roman"/>
              </w:rPr>
              <w:t>2,233</w:t>
            </w:r>
          </w:p>
        </w:tc>
        <w:tc>
          <w:tcPr>
            <w:tcW w:w="1515" w:type="dxa"/>
            <w:vAlign w:val="center"/>
            <w:hideMark/>
          </w:tcPr>
          <w:p w14:paraId="27CD18F9" w14:textId="77777777" w:rsidR="00C57C9F" w:rsidRDefault="00C57C9F" w:rsidP="006F421D">
            <w:pPr>
              <w:pStyle w:val="3fins-table-figures"/>
              <w:jc w:val="right"/>
              <w:rPr>
                <w:rFonts w:cs="Times New Roman"/>
              </w:rPr>
            </w:pPr>
            <w:r>
              <w:rPr>
                <w:rStyle w:val="fins-bold"/>
                <w:rFonts w:cs="Times New Roman"/>
              </w:rPr>
              <w:t>2,233</w:t>
            </w:r>
          </w:p>
        </w:tc>
      </w:tr>
    </w:tbl>
    <w:p w14:paraId="012ADF39" w14:textId="77777777" w:rsidR="00C57C9F" w:rsidRDefault="00C57C9F">
      <w:pPr>
        <w:pStyle w:val="2fins-body"/>
        <w:divId w:val="1675300298"/>
        <w:rPr>
          <w:rFonts w:cs="Times New Roman"/>
          <w:lang w:val="en-AU"/>
        </w:rPr>
      </w:pPr>
      <w:r>
        <w:rPr>
          <w:rFonts w:cs="Times New Roman"/>
          <w:lang w:val="en-AU"/>
        </w:rPr>
        <w:t>Maturities for financial liabilities 2013:</w:t>
      </w:r>
    </w:p>
    <w:tbl>
      <w:tblPr>
        <w:tblW w:w="0" w:type="auto"/>
        <w:tblBorders>
          <w:top w:val="single" w:sz="12" w:space="0" w:color="0D0D0D" w:themeColor="text1" w:themeTint="F2"/>
          <w:left w:val="single" w:sz="12" w:space="0" w:color="0D0D0D" w:themeColor="text1" w:themeTint="F2"/>
          <w:bottom w:val="single" w:sz="12" w:space="0" w:color="0D0D0D" w:themeColor="text1" w:themeTint="F2"/>
          <w:right w:val="single" w:sz="12" w:space="0" w:color="0D0D0D" w:themeColor="text1" w:themeTint="F2"/>
          <w:insideH w:val="single" w:sz="12" w:space="0" w:color="0D0D0D" w:themeColor="text1" w:themeTint="F2"/>
          <w:insideV w:val="single" w:sz="12" w:space="0" w:color="0D0D0D" w:themeColor="text1" w:themeTint="F2"/>
        </w:tblBorders>
        <w:tblLayout w:type="fixed"/>
        <w:tblCellMar>
          <w:top w:w="28" w:type="dxa"/>
          <w:left w:w="57" w:type="dxa"/>
          <w:bottom w:w="28" w:type="dxa"/>
          <w:right w:w="57" w:type="dxa"/>
        </w:tblCellMar>
        <w:tblLook w:val="04A0" w:firstRow="1" w:lastRow="0" w:firstColumn="1" w:lastColumn="0" w:noHBand="0" w:noVBand="1"/>
      </w:tblPr>
      <w:tblGrid>
        <w:gridCol w:w="5103"/>
        <w:gridCol w:w="1530"/>
        <w:gridCol w:w="1671"/>
        <w:gridCol w:w="1514"/>
      </w:tblGrid>
      <w:tr w:rsidR="00C57C9F" w14:paraId="4513F9F6" w14:textId="77777777" w:rsidTr="006F421D">
        <w:trPr>
          <w:divId w:val="1675300298"/>
        </w:trPr>
        <w:tc>
          <w:tcPr>
            <w:tcW w:w="5103" w:type="dxa"/>
            <w:vMerge w:val="restart"/>
            <w:vAlign w:val="center"/>
            <w:hideMark/>
          </w:tcPr>
          <w:p w14:paraId="64C24707" w14:textId="77777777" w:rsidR="00C57C9F" w:rsidRDefault="00C57C9F">
            <w:pPr>
              <w:rPr>
                <w:rFonts w:eastAsia="Times New Roman" w:cs="Times New Roman"/>
              </w:rPr>
            </w:pPr>
          </w:p>
        </w:tc>
        <w:tc>
          <w:tcPr>
            <w:tcW w:w="1530" w:type="dxa"/>
            <w:vAlign w:val="center"/>
            <w:hideMark/>
          </w:tcPr>
          <w:p w14:paraId="0C2BC6A9" w14:textId="77777777" w:rsidR="00C57C9F" w:rsidRDefault="00C57C9F" w:rsidP="006F421D">
            <w:pPr>
              <w:pStyle w:val="3fins-table-figures"/>
              <w:jc w:val="right"/>
              <w:rPr>
                <w:rFonts w:cs="Times New Roman"/>
              </w:rPr>
            </w:pPr>
            <w:r>
              <w:rPr>
                <w:rFonts w:cs="Times New Roman"/>
              </w:rPr>
              <w:t>On demand</w:t>
            </w:r>
          </w:p>
        </w:tc>
        <w:tc>
          <w:tcPr>
            <w:tcW w:w="1671" w:type="dxa"/>
            <w:vAlign w:val="center"/>
            <w:hideMark/>
          </w:tcPr>
          <w:p w14:paraId="0670F014" w14:textId="77777777" w:rsidR="00C57C9F" w:rsidRDefault="00C57C9F" w:rsidP="006F421D">
            <w:pPr>
              <w:pStyle w:val="3fins-table-figures"/>
              <w:jc w:val="right"/>
              <w:rPr>
                <w:rFonts w:cs="Times New Roman"/>
              </w:rPr>
            </w:pPr>
            <w:r>
              <w:rPr>
                <w:rFonts w:cs="Times New Roman"/>
              </w:rPr>
              <w:t>Within 1 year</w:t>
            </w:r>
          </w:p>
        </w:tc>
        <w:tc>
          <w:tcPr>
            <w:tcW w:w="1514" w:type="dxa"/>
            <w:vAlign w:val="center"/>
            <w:hideMark/>
          </w:tcPr>
          <w:p w14:paraId="35B6E8F6" w14:textId="77777777" w:rsidR="00C57C9F" w:rsidRDefault="00C57C9F" w:rsidP="006F421D">
            <w:pPr>
              <w:pStyle w:val="3fins-table-figures"/>
              <w:jc w:val="right"/>
              <w:rPr>
                <w:rFonts w:cs="Times New Roman"/>
              </w:rPr>
            </w:pPr>
            <w:r>
              <w:rPr>
                <w:rFonts w:cs="Times New Roman"/>
              </w:rPr>
              <w:t>Total</w:t>
            </w:r>
          </w:p>
        </w:tc>
      </w:tr>
      <w:tr w:rsidR="00C57C9F" w14:paraId="1F59D99F" w14:textId="77777777" w:rsidTr="006F421D">
        <w:trPr>
          <w:divId w:val="1675300298"/>
        </w:trPr>
        <w:tc>
          <w:tcPr>
            <w:tcW w:w="5103" w:type="dxa"/>
            <w:vMerge/>
            <w:vAlign w:val="center"/>
            <w:hideMark/>
          </w:tcPr>
          <w:p w14:paraId="2A692EFB" w14:textId="77777777" w:rsidR="00C57C9F" w:rsidRDefault="00C57C9F">
            <w:pPr>
              <w:rPr>
                <w:rFonts w:eastAsia="Times New Roman" w:cs="Times New Roman"/>
              </w:rPr>
            </w:pPr>
          </w:p>
        </w:tc>
        <w:tc>
          <w:tcPr>
            <w:tcW w:w="1530" w:type="dxa"/>
            <w:vAlign w:val="center"/>
            <w:hideMark/>
          </w:tcPr>
          <w:p w14:paraId="203C1A25" w14:textId="77777777" w:rsidR="00C57C9F" w:rsidRDefault="00C57C9F" w:rsidP="006F421D">
            <w:pPr>
              <w:pStyle w:val="3fins-table-figures"/>
              <w:jc w:val="right"/>
              <w:rPr>
                <w:rFonts w:cs="Times New Roman"/>
              </w:rPr>
            </w:pPr>
            <w:r>
              <w:rPr>
                <w:rFonts w:cs="Times New Roman"/>
              </w:rPr>
              <w:t>$’000</w:t>
            </w:r>
          </w:p>
        </w:tc>
        <w:tc>
          <w:tcPr>
            <w:tcW w:w="1671" w:type="dxa"/>
            <w:vAlign w:val="center"/>
            <w:hideMark/>
          </w:tcPr>
          <w:p w14:paraId="3CC3B171" w14:textId="77777777" w:rsidR="00C57C9F" w:rsidRDefault="00C57C9F" w:rsidP="006F421D">
            <w:pPr>
              <w:pStyle w:val="3fins-table-figures"/>
              <w:jc w:val="right"/>
              <w:rPr>
                <w:rFonts w:cs="Times New Roman"/>
              </w:rPr>
            </w:pPr>
            <w:r>
              <w:rPr>
                <w:rFonts w:cs="Times New Roman"/>
              </w:rPr>
              <w:t>$’000</w:t>
            </w:r>
          </w:p>
        </w:tc>
        <w:tc>
          <w:tcPr>
            <w:tcW w:w="1514" w:type="dxa"/>
            <w:vAlign w:val="center"/>
            <w:hideMark/>
          </w:tcPr>
          <w:p w14:paraId="3A7B1823" w14:textId="77777777" w:rsidR="00C57C9F" w:rsidRDefault="00C57C9F" w:rsidP="006F421D">
            <w:pPr>
              <w:pStyle w:val="3fins-table-figures"/>
              <w:jc w:val="right"/>
              <w:rPr>
                <w:rFonts w:cs="Times New Roman"/>
              </w:rPr>
            </w:pPr>
            <w:r>
              <w:rPr>
                <w:rFonts w:cs="Times New Roman"/>
              </w:rPr>
              <w:t>$’000</w:t>
            </w:r>
          </w:p>
        </w:tc>
      </w:tr>
      <w:tr w:rsidR="00C57C9F" w14:paraId="5F83F025" w14:textId="77777777" w:rsidTr="006F421D">
        <w:trPr>
          <w:divId w:val="1675300298"/>
        </w:trPr>
        <w:tc>
          <w:tcPr>
            <w:tcW w:w="5103" w:type="dxa"/>
            <w:vAlign w:val="center"/>
            <w:hideMark/>
          </w:tcPr>
          <w:p w14:paraId="54FE799C" w14:textId="77777777" w:rsidR="00C57C9F" w:rsidRDefault="00C57C9F">
            <w:pPr>
              <w:pStyle w:val="3fins-table"/>
              <w:rPr>
                <w:rFonts w:cs="Times New Roman"/>
              </w:rPr>
            </w:pPr>
            <w:r>
              <w:rPr>
                <w:rFonts w:cs="Times New Roman"/>
              </w:rPr>
              <w:t>Other financial liabilities</w:t>
            </w:r>
          </w:p>
        </w:tc>
        <w:tc>
          <w:tcPr>
            <w:tcW w:w="1530" w:type="dxa"/>
            <w:vAlign w:val="center"/>
            <w:hideMark/>
          </w:tcPr>
          <w:p w14:paraId="418C2F23" w14:textId="77777777" w:rsidR="00C57C9F" w:rsidRDefault="00C57C9F" w:rsidP="006F421D">
            <w:pPr>
              <w:jc w:val="right"/>
              <w:rPr>
                <w:rFonts w:eastAsia="Times New Roman" w:cs="Times New Roman"/>
              </w:rPr>
            </w:pPr>
          </w:p>
        </w:tc>
        <w:tc>
          <w:tcPr>
            <w:tcW w:w="1671" w:type="dxa"/>
            <w:vAlign w:val="center"/>
            <w:hideMark/>
          </w:tcPr>
          <w:p w14:paraId="39F926E9" w14:textId="77777777" w:rsidR="00C57C9F" w:rsidRDefault="00C57C9F" w:rsidP="006F421D">
            <w:pPr>
              <w:jc w:val="right"/>
              <w:rPr>
                <w:rFonts w:eastAsia="Times New Roman" w:cs="Times New Roman"/>
              </w:rPr>
            </w:pPr>
          </w:p>
        </w:tc>
        <w:tc>
          <w:tcPr>
            <w:tcW w:w="1514" w:type="dxa"/>
            <w:vAlign w:val="center"/>
            <w:hideMark/>
          </w:tcPr>
          <w:p w14:paraId="26568047" w14:textId="77777777" w:rsidR="00C57C9F" w:rsidRDefault="00C57C9F" w:rsidP="006F421D">
            <w:pPr>
              <w:jc w:val="right"/>
              <w:rPr>
                <w:rFonts w:eastAsia="Times New Roman" w:cs="Times New Roman"/>
              </w:rPr>
            </w:pPr>
          </w:p>
        </w:tc>
      </w:tr>
      <w:tr w:rsidR="00C57C9F" w14:paraId="5705B0D2" w14:textId="77777777" w:rsidTr="006F421D">
        <w:trPr>
          <w:divId w:val="1675300298"/>
        </w:trPr>
        <w:tc>
          <w:tcPr>
            <w:tcW w:w="5103" w:type="dxa"/>
            <w:vAlign w:val="center"/>
            <w:hideMark/>
          </w:tcPr>
          <w:p w14:paraId="63A098CD" w14:textId="77777777" w:rsidR="00C57C9F" w:rsidRDefault="00C57C9F" w:rsidP="006F421D">
            <w:pPr>
              <w:pStyle w:val="3fins-table"/>
              <w:ind w:left="426"/>
              <w:rPr>
                <w:rFonts w:cs="Times New Roman"/>
              </w:rPr>
            </w:pPr>
            <w:r>
              <w:rPr>
                <w:rFonts w:cs="Times New Roman"/>
              </w:rPr>
              <w:t>Suppliers</w:t>
            </w:r>
          </w:p>
        </w:tc>
        <w:tc>
          <w:tcPr>
            <w:tcW w:w="1530" w:type="dxa"/>
            <w:vAlign w:val="center"/>
            <w:hideMark/>
          </w:tcPr>
          <w:p w14:paraId="2312D6C0" w14:textId="77777777" w:rsidR="00C57C9F" w:rsidRDefault="00C57C9F" w:rsidP="006F421D">
            <w:pPr>
              <w:pStyle w:val="3fins-table-figures"/>
              <w:jc w:val="right"/>
              <w:rPr>
                <w:rFonts w:cs="Times New Roman"/>
              </w:rPr>
            </w:pPr>
            <w:r>
              <w:rPr>
                <w:rFonts w:cs="Times New Roman"/>
              </w:rPr>
              <w:t>–</w:t>
            </w:r>
          </w:p>
        </w:tc>
        <w:tc>
          <w:tcPr>
            <w:tcW w:w="1671" w:type="dxa"/>
            <w:vAlign w:val="center"/>
            <w:hideMark/>
          </w:tcPr>
          <w:p w14:paraId="24C55B45" w14:textId="77777777" w:rsidR="00C57C9F" w:rsidRDefault="00C57C9F" w:rsidP="006F421D">
            <w:pPr>
              <w:pStyle w:val="3fins-table-figures"/>
              <w:jc w:val="right"/>
              <w:rPr>
                <w:rFonts w:cs="Times New Roman"/>
              </w:rPr>
            </w:pPr>
            <w:r>
              <w:rPr>
                <w:rFonts w:cs="Times New Roman"/>
              </w:rPr>
              <w:t>2,478</w:t>
            </w:r>
          </w:p>
        </w:tc>
        <w:tc>
          <w:tcPr>
            <w:tcW w:w="1514" w:type="dxa"/>
            <w:vAlign w:val="center"/>
            <w:hideMark/>
          </w:tcPr>
          <w:p w14:paraId="424B1F89" w14:textId="77777777" w:rsidR="00C57C9F" w:rsidRDefault="00C57C9F" w:rsidP="006F421D">
            <w:pPr>
              <w:pStyle w:val="3fins-table-figures"/>
              <w:jc w:val="right"/>
              <w:rPr>
                <w:rFonts w:cs="Times New Roman"/>
              </w:rPr>
            </w:pPr>
            <w:r>
              <w:rPr>
                <w:rFonts w:cs="Times New Roman"/>
              </w:rPr>
              <w:t>2,478</w:t>
            </w:r>
          </w:p>
        </w:tc>
      </w:tr>
      <w:tr w:rsidR="00C57C9F" w14:paraId="299C832E" w14:textId="77777777" w:rsidTr="006F421D">
        <w:trPr>
          <w:divId w:val="1675300298"/>
        </w:trPr>
        <w:tc>
          <w:tcPr>
            <w:tcW w:w="5103" w:type="dxa"/>
            <w:vAlign w:val="center"/>
            <w:hideMark/>
          </w:tcPr>
          <w:p w14:paraId="105D5144" w14:textId="77777777" w:rsidR="00C57C9F" w:rsidRDefault="00C57C9F">
            <w:pPr>
              <w:pStyle w:val="3fins-table"/>
              <w:rPr>
                <w:rFonts w:cs="Times New Roman"/>
              </w:rPr>
            </w:pPr>
            <w:r>
              <w:rPr>
                <w:rFonts w:cs="Times New Roman"/>
              </w:rPr>
              <w:t>Total</w:t>
            </w:r>
          </w:p>
        </w:tc>
        <w:tc>
          <w:tcPr>
            <w:tcW w:w="1530" w:type="dxa"/>
            <w:vAlign w:val="center"/>
            <w:hideMark/>
          </w:tcPr>
          <w:p w14:paraId="67036389" w14:textId="77777777" w:rsidR="00C57C9F" w:rsidRDefault="00C57C9F" w:rsidP="006F421D">
            <w:pPr>
              <w:pStyle w:val="3fins-table-figures"/>
              <w:jc w:val="right"/>
              <w:rPr>
                <w:rFonts w:cs="Times New Roman"/>
              </w:rPr>
            </w:pPr>
            <w:r>
              <w:rPr>
                <w:rFonts w:cs="Times New Roman"/>
              </w:rPr>
              <w:t>–</w:t>
            </w:r>
          </w:p>
        </w:tc>
        <w:tc>
          <w:tcPr>
            <w:tcW w:w="1671" w:type="dxa"/>
            <w:vAlign w:val="center"/>
            <w:hideMark/>
          </w:tcPr>
          <w:p w14:paraId="080E63B4" w14:textId="77777777" w:rsidR="00C57C9F" w:rsidRDefault="00C57C9F" w:rsidP="006F421D">
            <w:pPr>
              <w:pStyle w:val="3fins-table-figures"/>
              <w:jc w:val="right"/>
              <w:rPr>
                <w:rFonts w:cs="Times New Roman"/>
              </w:rPr>
            </w:pPr>
            <w:r>
              <w:rPr>
                <w:rFonts w:cs="Times New Roman"/>
              </w:rPr>
              <w:t>2,478</w:t>
            </w:r>
          </w:p>
        </w:tc>
        <w:tc>
          <w:tcPr>
            <w:tcW w:w="1514" w:type="dxa"/>
            <w:vAlign w:val="center"/>
            <w:hideMark/>
          </w:tcPr>
          <w:p w14:paraId="2B139735" w14:textId="77777777" w:rsidR="00C57C9F" w:rsidRDefault="00C57C9F" w:rsidP="006F421D">
            <w:pPr>
              <w:pStyle w:val="3fins-table-figures"/>
              <w:jc w:val="right"/>
              <w:rPr>
                <w:rFonts w:cs="Times New Roman"/>
              </w:rPr>
            </w:pPr>
            <w:r>
              <w:rPr>
                <w:rFonts w:cs="Times New Roman"/>
              </w:rPr>
              <w:t>2,478</w:t>
            </w:r>
          </w:p>
        </w:tc>
      </w:tr>
    </w:tbl>
    <w:p w14:paraId="746134A7" w14:textId="77777777" w:rsidR="00C57C9F" w:rsidRDefault="00C57C9F">
      <w:pPr>
        <w:pStyle w:val="1heading-3"/>
        <w:divId w:val="1675300298"/>
        <w:rPr>
          <w:rFonts w:cs="Times New Roman"/>
          <w:lang w:val="en-AU"/>
        </w:rPr>
      </w:pPr>
      <w:r>
        <w:rPr>
          <w:rFonts w:cs="Times New Roman"/>
          <w:lang w:val="en-AU"/>
        </w:rPr>
        <w:t>Note 16F: Market risk</w:t>
      </w:r>
    </w:p>
    <w:p w14:paraId="502DECAB" w14:textId="77777777" w:rsidR="00C57C9F" w:rsidRDefault="00C57C9F">
      <w:pPr>
        <w:pStyle w:val="3fins-table"/>
        <w:divId w:val="1675300298"/>
        <w:rPr>
          <w:rFonts w:cs="Times New Roman"/>
          <w:lang w:val="en-AU"/>
        </w:rPr>
      </w:pPr>
      <w:r>
        <w:rPr>
          <w:rFonts w:cs="Times New Roman"/>
          <w:lang w:val="en-AU"/>
        </w:rPr>
        <w:t>The Commission holds basic financial instruments that do not expose the Commission to certain market risks, such as ‘currency risk’ or ‘other price risk’.</w:t>
      </w:r>
    </w:p>
    <w:p w14:paraId="0CDD3BA8" w14:textId="77777777" w:rsidR="00C57C9F" w:rsidRDefault="00C57C9F">
      <w:pPr>
        <w:pStyle w:val="3fins-table"/>
        <w:divId w:val="1675300298"/>
        <w:rPr>
          <w:rFonts w:cs="Times New Roman"/>
          <w:lang w:val="en-AU"/>
        </w:rPr>
      </w:pPr>
      <w:r>
        <w:rPr>
          <w:rFonts w:cs="Times New Roman"/>
          <w:lang w:val="en-AU"/>
        </w:rPr>
        <w:t>The only interest-bearing items on the statement of financial position were the cash and cash equivalents, which bear interest at prevailing bank interest rates. Their values do not fluctuate due to changes in the market interest rate.</w:t>
      </w:r>
    </w:p>
    <w:p w14:paraId="1E466636" w14:textId="77777777" w:rsidR="00C57C9F" w:rsidRDefault="00C57C9F">
      <w:pPr>
        <w:rPr>
          <w:rFonts w:cs="Times New Roman"/>
          <w:b/>
          <w:sz w:val="28"/>
        </w:rPr>
      </w:pPr>
      <w:r>
        <w:rPr>
          <w:rFonts w:cs="Times New Roman"/>
        </w:rPr>
        <w:br w:type="page"/>
      </w:r>
    </w:p>
    <w:p w14:paraId="0DCBF8B7" w14:textId="77777777" w:rsidR="00C57C9F" w:rsidRDefault="00C57C9F">
      <w:pPr>
        <w:pStyle w:val="1heading-2"/>
        <w:divId w:val="1675300298"/>
        <w:rPr>
          <w:rFonts w:cs="Times New Roman"/>
          <w:lang w:val="en-AU"/>
        </w:rPr>
      </w:pPr>
      <w:r>
        <w:rPr>
          <w:rFonts w:cs="Times New Roman"/>
          <w:lang w:val="en-AU"/>
        </w:rPr>
        <w:lastRenderedPageBreak/>
        <w:t>Note 17: Financial Assets Reconciliation</w:t>
      </w:r>
    </w:p>
    <w:tbl>
      <w:tblPr>
        <w:tblW w:w="0" w:type="auto"/>
        <w:tblLayout w:type="fixed"/>
        <w:tblCellMar>
          <w:top w:w="28" w:type="dxa"/>
          <w:left w:w="57" w:type="dxa"/>
          <w:bottom w:w="28" w:type="dxa"/>
          <w:right w:w="57" w:type="dxa"/>
        </w:tblCellMar>
        <w:tblLook w:val="04A0" w:firstRow="1" w:lastRow="0" w:firstColumn="1" w:lastColumn="0" w:noHBand="0" w:noVBand="1"/>
      </w:tblPr>
      <w:tblGrid>
        <w:gridCol w:w="6521"/>
        <w:gridCol w:w="962"/>
        <w:gridCol w:w="1388"/>
        <w:gridCol w:w="1230"/>
      </w:tblGrid>
      <w:tr w:rsidR="00C57C9F" w14:paraId="5563DABE" w14:textId="77777777" w:rsidTr="006F421D">
        <w:trPr>
          <w:divId w:val="1675300298"/>
        </w:trPr>
        <w:tc>
          <w:tcPr>
            <w:tcW w:w="6521" w:type="dxa"/>
            <w:vAlign w:val="center"/>
            <w:hideMark/>
          </w:tcPr>
          <w:p w14:paraId="651148D0" w14:textId="77777777" w:rsidR="00C57C9F" w:rsidRDefault="00C57C9F">
            <w:pPr>
              <w:rPr>
                <w:rFonts w:eastAsia="Times New Roman" w:cs="Times New Roman"/>
              </w:rPr>
            </w:pPr>
          </w:p>
        </w:tc>
        <w:tc>
          <w:tcPr>
            <w:tcW w:w="962" w:type="dxa"/>
            <w:vAlign w:val="center"/>
            <w:hideMark/>
          </w:tcPr>
          <w:p w14:paraId="63234693" w14:textId="77777777" w:rsidR="00C57C9F" w:rsidRDefault="00C57C9F" w:rsidP="006F421D">
            <w:pPr>
              <w:jc w:val="center"/>
              <w:rPr>
                <w:rFonts w:eastAsia="Times New Roman" w:cs="Times New Roman"/>
              </w:rPr>
            </w:pPr>
          </w:p>
        </w:tc>
        <w:tc>
          <w:tcPr>
            <w:tcW w:w="1388" w:type="dxa"/>
            <w:vAlign w:val="center"/>
            <w:hideMark/>
          </w:tcPr>
          <w:p w14:paraId="5B576EA3" w14:textId="77777777" w:rsidR="00C57C9F" w:rsidRDefault="00C57C9F" w:rsidP="006F421D">
            <w:pPr>
              <w:pStyle w:val="3fins-table-figures"/>
              <w:jc w:val="right"/>
              <w:rPr>
                <w:rFonts w:cs="Times New Roman"/>
              </w:rPr>
            </w:pPr>
            <w:r>
              <w:rPr>
                <w:rStyle w:val="fins-bold"/>
                <w:rFonts w:cs="Times New Roman"/>
              </w:rPr>
              <w:t>2014</w:t>
            </w:r>
          </w:p>
        </w:tc>
        <w:tc>
          <w:tcPr>
            <w:tcW w:w="1230" w:type="dxa"/>
            <w:vAlign w:val="center"/>
            <w:hideMark/>
          </w:tcPr>
          <w:p w14:paraId="443C3902" w14:textId="77777777" w:rsidR="00C57C9F" w:rsidRDefault="00C57C9F" w:rsidP="006F421D">
            <w:pPr>
              <w:pStyle w:val="3fins-table-figures"/>
              <w:jc w:val="right"/>
              <w:rPr>
                <w:rFonts w:cs="Times New Roman"/>
              </w:rPr>
            </w:pPr>
            <w:r>
              <w:rPr>
                <w:rFonts w:cs="Times New Roman"/>
              </w:rPr>
              <w:t>2013</w:t>
            </w:r>
          </w:p>
        </w:tc>
      </w:tr>
      <w:tr w:rsidR="00C57C9F" w14:paraId="0DC2AA0F" w14:textId="77777777" w:rsidTr="006F421D">
        <w:trPr>
          <w:divId w:val="1675300298"/>
        </w:trPr>
        <w:tc>
          <w:tcPr>
            <w:tcW w:w="6521" w:type="dxa"/>
            <w:vAlign w:val="center"/>
            <w:hideMark/>
          </w:tcPr>
          <w:p w14:paraId="72CB7CC4" w14:textId="77777777" w:rsidR="00C57C9F" w:rsidRDefault="00C57C9F">
            <w:pPr>
              <w:rPr>
                <w:rFonts w:eastAsia="Times New Roman" w:cs="Times New Roman"/>
              </w:rPr>
            </w:pPr>
          </w:p>
        </w:tc>
        <w:tc>
          <w:tcPr>
            <w:tcW w:w="962" w:type="dxa"/>
            <w:vAlign w:val="center"/>
            <w:hideMark/>
          </w:tcPr>
          <w:p w14:paraId="037E71EE" w14:textId="77777777" w:rsidR="00C57C9F" w:rsidRDefault="00C57C9F" w:rsidP="006F421D">
            <w:pPr>
              <w:pStyle w:val="3fins-table-notes"/>
              <w:jc w:val="center"/>
              <w:rPr>
                <w:rFonts w:cs="Times New Roman"/>
              </w:rPr>
            </w:pPr>
            <w:r>
              <w:rPr>
                <w:rStyle w:val="fins-bold"/>
                <w:rFonts w:cs="Times New Roman"/>
              </w:rPr>
              <w:t>Notes</w:t>
            </w:r>
          </w:p>
        </w:tc>
        <w:tc>
          <w:tcPr>
            <w:tcW w:w="1388" w:type="dxa"/>
            <w:vAlign w:val="center"/>
            <w:hideMark/>
          </w:tcPr>
          <w:p w14:paraId="24E55B5B" w14:textId="77777777" w:rsidR="00C57C9F" w:rsidRDefault="00C57C9F" w:rsidP="006F421D">
            <w:pPr>
              <w:pStyle w:val="3fins-table-figures"/>
              <w:jc w:val="right"/>
              <w:rPr>
                <w:rFonts w:cs="Times New Roman"/>
              </w:rPr>
            </w:pPr>
            <w:r>
              <w:rPr>
                <w:rStyle w:val="fins-bold"/>
                <w:rFonts w:cs="Times New Roman"/>
              </w:rPr>
              <w:t>$’000</w:t>
            </w:r>
          </w:p>
        </w:tc>
        <w:tc>
          <w:tcPr>
            <w:tcW w:w="1230" w:type="dxa"/>
            <w:vAlign w:val="center"/>
            <w:hideMark/>
          </w:tcPr>
          <w:p w14:paraId="0DEE65C3" w14:textId="77777777" w:rsidR="00C57C9F" w:rsidRDefault="00C57C9F" w:rsidP="006F421D">
            <w:pPr>
              <w:pStyle w:val="3fins-table-figures"/>
              <w:jc w:val="right"/>
              <w:rPr>
                <w:rFonts w:cs="Times New Roman"/>
              </w:rPr>
            </w:pPr>
            <w:r>
              <w:rPr>
                <w:rFonts w:cs="Times New Roman"/>
              </w:rPr>
              <w:t>$’000</w:t>
            </w:r>
          </w:p>
        </w:tc>
      </w:tr>
      <w:tr w:rsidR="00C57C9F" w14:paraId="1A1842BE" w14:textId="77777777" w:rsidTr="006F421D">
        <w:trPr>
          <w:divId w:val="1675300298"/>
        </w:trPr>
        <w:tc>
          <w:tcPr>
            <w:tcW w:w="6521" w:type="dxa"/>
            <w:vAlign w:val="center"/>
            <w:hideMark/>
          </w:tcPr>
          <w:p w14:paraId="0002A81E" w14:textId="77777777" w:rsidR="00C57C9F" w:rsidRDefault="00C57C9F">
            <w:pPr>
              <w:pStyle w:val="3fins-table"/>
              <w:rPr>
                <w:rFonts w:cs="Times New Roman"/>
              </w:rPr>
            </w:pPr>
            <w:r>
              <w:rPr>
                <w:rStyle w:val="bold-underlined"/>
                <w:rFonts w:cs="Times New Roman"/>
              </w:rPr>
              <w:t>Financial assets</w:t>
            </w:r>
          </w:p>
        </w:tc>
        <w:tc>
          <w:tcPr>
            <w:tcW w:w="962" w:type="dxa"/>
            <w:vAlign w:val="center"/>
            <w:hideMark/>
          </w:tcPr>
          <w:p w14:paraId="00F82FE3" w14:textId="77777777" w:rsidR="00C57C9F" w:rsidRDefault="00C57C9F" w:rsidP="006F421D">
            <w:pPr>
              <w:jc w:val="center"/>
              <w:rPr>
                <w:rFonts w:eastAsia="Times New Roman" w:cs="Times New Roman"/>
              </w:rPr>
            </w:pPr>
          </w:p>
        </w:tc>
        <w:tc>
          <w:tcPr>
            <w:tcW w:w="1388" w:type="dxa"/>
            <w:vAlign w:val="center"/>
            <w:hideMark/>
          </w:tcPr>
          <w:p w14:paraId="4C51D8A7" w14:textId="77777777" w:rsidR="00C57C9F" w:rsidRDefault="00C57C9F" w:rsidP="006F421D">
            <w:pPr>
              <w:jc w:val="right"/>
              <w:rPr>
                <w:rFonts w:eastAsia="Times New Roman" w:cs="Times New Roman"/>
              </w:rPr>
            </w:pPr>
          </w:p>
        </w:tc>
        <w:tc>
          <w:tcPr>
            <w:tcW w:w="1230" w:type="dxa"/>
            <w:vAlign w:val="center"/>
            <w:hideMark/>
          </w:tcPr>
          <w:p w14:paraId="7AF16763" w14:textId="77777777" w:rsidR="00C57C9F" w:rsidRDefault="00C57C9F" w:rsidP="006F421D">
            <w:pPr>
              <w:jc w:val="right"/>
              <w:rPr>
                <w:rFonts w:eastAsia="Times New Roman" w:cs="Times New Roman"/>
              </w:rPr>
            </w:pPr>
          </w:p>
        </w:tc>
      </w:tr>
      <w:tr w:rsidR="00C57C9F" w14:paraId="7C495AD8" w14:textId="77777777" w:rsidTr="006F421D">
        <w:trPr>
          <w:divId w:val="1675300298"/>
        </w:trPr>
        <w:tc>
          <w:tcPr>
            <w:tcW w:w="6521" w:type="dxa"/>
            <w:vAlign w:val="center"/>
            <w:hideMark/>
          </w:tcPr>
          <w:p w14:paraId="2FC53D94" w14:textId="77777777" w:rsidR="00C57C9F" w:rsidRDefault="00C57C9F">
            <w:pPr>
              <w:rPr>
                <w:rFonts w:eastAsia="Times New Roman" w:cs="Times New Roman"/>
              </w:rPr>
            </w:pPr>
          </w:p>
        </w:tc>
        <w:tc>
          <w:tcPr>
            <w:tcW w:w="962" w:type="dxa"/>
            <w:vAlign w:val="center"/>
            <w:hideMark/>
          </w:tcPr>
          <w:p w14:paraId="3CD82657" w14:textId="77777777" w:rsidR="00C57C9F" w:rsidRDefault="00C57C9F" w:rsidP="006F421D">
            <w:pPr>
              <w:jc w:val="center"/>
              <w:rPr>
                <w:rFonts w:eastAsia="Times New Roman" w:cs="Times New Roman"/>
              </w:rPr>
            </w:pPr>
          </w:p>
        </w:tc>
        <w:tc>
          <w:tcPr>
            <w:tcW w:w="1388" w:type="dxa"/>
            <w:vAlign w:val="center"/>
            <w:hideMark/>
          </w:tcPr>
          <w:p w14:paraId="4B43ADB3" w14:textId="77777777" w:rsidR="00C57C9F" w:rsidRDefault="00C57C9F" w:rsidP="006F421D">
            <w:pPr>
              <w:jc w:val="right"/>
              <w:rPr>
                <w:rFonts w:eastAsia="Times New Roman" w:cs="Times New Roman"/>
              </w:rPr>
            </w:pPr>
          </w:p>
        </w:tc>
        <w:tc>
          <w:tcPr>
            <w:tcW w:w="1230" w:type="dxa"/>
            <w:vAlign w:val="center"/>
            <w:hideMark/>
          </w:tcPr>
          <w:p w14:paraId="7E6B7A8C" w14:textId="77777777" w:rsidR="00C57C9F" w:rsidRDefault="00C57C9F" w:rsidP="006F421D">
            <w:pPr>
              <w:jc w:val="right"/>
              <w:rPr>
                <w:rFonts w:eastAsia="Times New Roman" w:cs="Times New Roman"/>
              </w:rPr>
            </w:pPr>
          </w:p>
        </w:tc>
      </w:tr>
      <w:tr w:rsidR="00C57C9F" w14:paraId="461D4B2D" w14:textId="77777777" w:rsidTr="006F421D">
        <w:trPr>
          <w:divId w:val="1675300298"/>
        </w:trPr>
        <w:tc>
          <w:tcPr>
            <w:tcW w:w="6521" w:type="dxa"/>
            <w:vAlign w:val="center"/>
            <w:hideMark/>
          </w:tcPr>
          <w:p w14:paraId="252F18C4" w14:textId="77777777" w:rsidR="00C57C9F" w:rsidRDefault="00C57C9F">
            <w:pPr>
              <w:pStyle w:val="3fins-table"/>
              <w:rPr>
                <w:rFonts w:cs="Times New Roman"/>
              </w:rPr>
            </w:pPr>
            <w:r>
              <w:rPr>
                <w:rStyle w:val="fins-bold"/>
                <w:rFonts w:cs="Times New Roman"/>
              </w:rPr>
              <w:t>Total financial assets as per balance sheet</w:t>
            </w:r>
          </w:p>
        </w:tc>
        <w:tc>
          <w:tcPr>
            <w:tcW w:w="962" w:type="dxa"/>
            <w:vAlign w:val="center"/>
            <w:hideMark/>
          </w:tcPr>
          <w:p w14:paraId="1AD5DA44" w14:textId="77777777" w:rsidR="00C57C9F" w:rsidRDefault="00C57C9F" w:rsidP="006F421D">
            <w:pPr>
              <w:jc w:val="center"/>
              <w:rPr>
                <w:rFonts w:eastAsia="Times New Roman" w:cs="Times New Roman"/>
              </w:rPr>
            </w:pPr>
          </w:p>
        </w:tc>
        <w:tc>
          <w:tcPr>
            <w:tcW w:w="1388" w:type="dxa"/>
            <w:vAlign w:val="center"/>
            <w:hideMark/>
          </w:tcPr>
          <w:p w14:paraId="19232BFC" w14:textId="77777777" w:rsidR="00C57C9F" w:rsidRDefault="00C57C9F" w:rsidP="006F421D">
            <w:pPr>
              <w:pStyle w:val="3fins-table-figures"/>
              <w:jc w:val="right"/>
              <w:rPr>
                <w:rFonts w:cs="Times New Roman"/>
              </w:rPr>
            </w:pPr>
            <w:r>
              <w:rPr>
                <w:rStyle w:val="fins-bold"/>
                <w:rFonts w:cs="Times New Roman"/>
              </w:rPr>
              <w:t>15,373</w:t>
            </w:r>
          </w:p>
        </w:tc>
        <w:tc>
          <w:tcPr>
            <w:tcW w:w="1230" w:type="dxa"/>
            <w:vAlign w:val="center"/>
            <w:hideMark/>
          </w:tcPr>
          <w:p w14:paraId="755B2EBF" w14:textId="77777777" w:rsidR="00C57C9F" w:rsidRDefault="00C57C9F" w:rsidP="006F421D">
            <w:pPr>
              <w:pStyle w:val="3fins-table-figures"/>
              <w:jc w:val="right"/>
              <w:rPr>
                <w:rFonts w:cs="Times New Roman"/>
              </w:rPr>
            </w:pPr>
            <w:r>
              <w:rPr>
                <w:rFonts w:cs="Times New Roman"/>
              </w:rPr>
              <w:t>8,211</w:t>
            </w:r>
          </w:p>
        </w:tc>
      </w:tr>
      <w:tr w:rsidR="00C57C9F" w14:paraId="620A7587" w14:textId="77777777" w:rsidTr="006F421D">
        <w:trPr>
          <w:divId w:val="1675300298"/>
        </w:trPr>
        <w:tc>
          <w:tcPr>
            <w:tcW w:w="6521" w:type="dxa"/>
            <w:vAlign w:val="center"/>
            <w:hideMark/>
          </w:tcPr>
          <w:p w14:paraId="6CD9C580" w14:textId="77777777" w:rsidR="00C57C9F" w:rsidRDefault="00C57C9F">
            <w:pPr>
              <w:pStyle w:val="3fins-table"/>
              <w:rPr>
                <w:rFonts w:cs="Times New Roman"/>
              </w:rPr>
            </w:pPr>
            <w:r>
              <w:rPr>
                <w:rFonts w:cs="Times New Roman"/>
              </w:rPr>
              <w:t>Less: non-financial instrument components:</w:t>
            </w:r>
          </w:p>
        </w:tc>
        <w:tc>
          <w:tcPr>
            <w:tcW w:w="962" w:type="dxa"/>
            <w:vAlign w:val="center"/>
            <w:hideMark/>
          </w:tcPr>
          <w:p w14:paraId="797ABCA1" w14:textId="77777777" w:rsidR="00C57C9F" w:rsidRDefault="00C57C9F" w:rsidP="006F421D">
            <w:pPr>
              <w:jc w:val="center"/>
              <w:rPr>
                <w:rFonts w:eastAsia="Times New Roman" w:cs="Times New Roman"/>
              </w:rPr>
            </w:pPr>
          </w:p>
        </w:tc>
        <w:tc>
          <w:tcPr>
            <w:tcW w:w="1388" w:type="dxa"/>
            <w:vAlign w:val="center"/>
            <w:hideMark/>
          </w:tcPr>
          <w:p w14:paraId="74A35383" w14:textId="77777777" w:rsidR="00C57C9F" w:rsidRDefault="00C57C9F" w:rsidP="006F421D">
            <w:pPr>
              <w:jc w:val="right"/>
              <w:rPr>
                <w:rFonts w:eastAsia="Times New Roman" w:cs="Times New Roman"/>
              </w:rPr>
            </w:pPr>
          </w:p>
        </w:tc>
        <w:tc>
          <w:tcPr>
            <w:tcW w:w="1230" w:type="dxa"/>
            <w:vAlign w:val="center"/>
            <w:hideMark/>
          </w:tcPr>
          <w:p w14:paraId="38C7BF80" w14:textId="77777777" w:rsidR="00C57C9F" w:rsidRDefault="00C57C9F" w:rsidP="006F421D">
            <w:pPr>
              <w:jc w:val="right"/>
              <w:rPr>
                <w:rFonts w:eastAsia="Times New Roman" w:cs="Times New Roman"/>
              </w:rPr>
            </w:pPr>
          </w:p>
        </w:tc>
      </w:tr>
      <w:tr w:rsidR="00C57C9F" w14:paraId="4A4AC3D3" w14:textId="77777777" w:rsidTr="006F421D">
        <w:trPr>
          <w:divId w:val="1675300298"/>
        </w:trPr>
        <w:tc>
          <w:tcPr>
            <w:tcW w:w="6521" w:type="dxa"/>
            <w:vAlign w:val="center"/>
            <w:hideMark/>
          </w:tcPr>
          <w:p w14:paraId="464BA8B0" w14:textId="77777777" w:rsidR="00C57C9F" w:rsidRDefault="00C57C9F" w:rsidP="006F421D">
            <w:pPr>
              <w:pStyle w:val="3fins-table"/>
              <w:ind w:left="284"/>
              <w:rPr>
                <w:rFonts w:cs="Times New Roman"/>
              </w:rPr>
            </w:pPr>
            <w:r>
              <w:rPr>
                <w:rFonts w:cs="Times New Roman"/>
              </w:rPr>
              <w:t>Other receivables</w:t>
            </w:r>
          </w:p>
        </w:tc>
        <w:tc>
          <w:tcPr>
            <w:tcW w:w="962" w:type="dxa"/>
            <w:vAlign w:val="center"/>
            <w:hideMark/>
          </w:tcPr>
          <w:p w14:paraId="5F935050" w14:textId="77777777" w:rsidR="00C57C9F" w:rsidRDefault="00C57C9F" w:rsidP="006F421D">
            <w:pPr>
              <w:pStyle w:val="3fins-table-notes"/>
              <w:jc w:val="center"/>
              <w:rPr>
                <w:rFonts w:cs="Times New Roman"/>
              </w:rPr>
            </w:pPr>
            <w:r>
              <w:rPr>
                <w:rStyle w:val="fins-underlined"/>
                <w:rFonts w:cs="Times New Roman"/>
              </w:rPr>
              <w:t>6B</w:t>
            </w:r>
          </w:p>
        </w:tc>
        <w:tc>
          <w:tcPr>
            <w:tcW w:w="1388" w:type="dxa"/>
            <w:tcBorders>
              <w:top w:val="single" w:sz="12" w:space="0" w:color="0D0D0D" w:themeColor="text1" w:themeTint="F2"/>
              <w:bottom w:val="single" w:sz="12" w:space="0" w:color="0D0D0D" w:themeColor="text1" w:themeTint="F2"/>
            </w:tcBorders>
            <w:vAlign w:val="center"/>
            <w:hideMark/>
          </w:tcPr>
          <w:p w14:paraId="317CE7E0" w14:textId="77777777" w:rsidR="00C57C9F" w:rsidRDefault="00C57C9F" w:rsidP="006F421D">
            <w:pPr>
              <w:pStyle w:val="3fins-table-figures"/>
              <w:jc w:val="right"/>
              <w:rPr>
                <w:rFonts w:cs="Times New Roman"/>
              </w:rPr>
            </w:pPr>
            <w:r>
              <w:rPr>
                <w:rStyle w:val="fins-bold"/>
                <w:rFonts w:cs="Times New Roman"/>
              </w:rPr>
              <w:t>212</w:t>
            </w:r>
          </w:p>
        </w:tc>
        <w:tc>
          <w:tcPr>
            <w:tcW w:w="1230" w:type="dxa"/>
            <w:tcBorders>
              <w:top w:val="single" w:sz="12" w:space="0" w:color="0D0D0D" w:themeColor="text1" w:themeTint="F2"/>
              <w:bottom w:val="single" w:sz="12" w:space="0" w:color="0D0D0D" w:themeColor="text1" w:themeTint="F2"/>
            </w:tcBorders>
            <w:vAlign w:val="center"/>
            <w:hideMark/>
          </w:tcPr>
          <w:p w14:paraId="1FD85BE9" w14:textId="77777777" w:rsidR="00C57C9F" w:rsidRDefault="00C57C9F" w:rsidP="006F421D">
            <w:pPr>
              <w:pStyle w:val="3fins-table-figures"/>
              <w:jc w:val="right"/>
              <w:rPr>
                <w:rFonts w:cs="Times New Roman"/>
              </w:rPr>
            </w:pPr>
            <w:r>
              <w:rPr>
                <w:rFonts w:cs="Times New Roman"/>
              </w:rPr>
              <w:t>134</w:t>
            </w:r>
          </w:p>
        </w:tc>
      </w:tr>
      <w:tr w:rsidR="00C57C9F" w14:paraId="36BC2F5B" w14:textId="77777777" w:rsidTr="006F421D">
        <w:trPr>
          <w:divId w:val="1675300298"/>
        </w:trPr>
        <w:tc>
          <w:tcPr>
            <w:tcW w:w="6521" w:type="dxa"/>
            <w:vAlign w:val="center"/>
            <w:hideMark/>
          </w:tcPr>
          <w:p w14:paraId="314748C0" w14:textId="77777777" w:rsidR="00C57C9F" w:rsidRDefault="00C57C9F">
            <w:pPr>
              <w:pStyle w:val="3fins-table"/>
              <w:rPr>
                <w:rFonts w:cs="Times New Roman"/>
              </w:rPr>
            </w:pPr>
            <w:r>
              <w:rPr>
                <w:rFonts w:cs="Times New Roman"/>
              </w:rPr>
              <w:t>Total non-financial instruments components</w:t>
            </w:r>
          </w:p>
        </w:tc>
        <w:tc>
          <w:tcPr>
            <w:tcW w:w="962" w:type="dxa"/>
            <w:vAlign w:val="center"/>
            <w:hideMark/>
          </w:tcPr>
          <w:p w14:paraId="16BEB216" w14:textId="77777777" w:rsidR="00C57C9F" w:rsidRDefault="00C57C9F" w:rsidP="006F421D">
            <w:pPr>
              <w:jc w:val="center"/>
              <w:rPr>
                <w:rFonts w:eastAsia="Times New Roman" w:cs="Times New Roman"/>
              </w:rPr>
            </w:pPr>
          </w:p>
        </w:tc>
        <w:tc>
          <w:tcPr>
            <w:tcW w:w="1388" w:type="dxa"/>
            <w:tcBorders>
              <w:top w:val="single" w:sz="12" w:space="0" w:color="0D0D0D" w:themeColor="text1" w:themeTint="F2"/>
              <w:bottom w:val="single" w:sz="12" w:space="0" w:color="0D0D0D" w:themeColor="text1" w:themeTint="F2"/>
            </w:tcBorders>
            <w:vAlign w:val="center"/>
            <w:hideMark/>
          </w:tcPr>
          <w:p w14:paraId="2CC2C2A5" w14:textId="77777777" w:rsidR="00C57C9F" w:rsidRDefault="00C57C9F" w:rsidP="006F421D">
            <w:pPr>
              <w:pStyle w:val="3fins-table-figures"/>
              <w:jc w:val="right"/>
              <w:rPr>
                <w:rFonts w:cs="Times New Roman"/>
              </w:rPr>
            </w:pPr>
            <w:r>
              <w:rPr>
                <w:rStyle w:val="fins-bold"/>
                <w:rFonts w:cs="Times New Roman"/>
              </w:rPr>
              <w:t>212</w:t>
            </w:r>
          </w:p>
        </w:tc>
        <w:tc>
          <w:tcPr>
            <w:tcW w:w="1230" w:type="dxa"/>
            <w:tcBorders>
              <w:top w:val="single" w:sz="12" w:space="0" w:color="0D0D0D" w:themeColor="text1" w:themeTint="F2"/>
              <w:bottom w:val="single" w:sz="12" w:space="0" w:color="0D0D0D" w:themeColor="text1" w:themeTint="F2"/>
            </w:tcBorders>
            <w:vAlign w:val="center"/>
            <w:hideMark/>
          </w:tcPr>
          <w:p w14:paraId="46B206D0" w14:textId="77777777" w:rsidR="00C57C9F" w:rsidRDefault="00C57C9F" w:rsidP="006F421D">
            <w:pPr>
              <w:pStyle w:val="3fins-table-figures"/>
              <w:jc w:val="right"/>
              <w:rPr>
                <w:rFonts w:cs="Times New Roman"/>
              </w:rPr>
            </w:pPr>
            <w:r>
              <w:rPr>
                <w:rFonts w:cs="Times New Roman"/>
              </w:rPr>
              <w:t>134</w:t>
            </w:r>
          </w:p>
        </w:tc>
      </w:tr>
      <w:tr w:rsidR="00C57C9F" w14:paraId="7F0D7C73" w14:textId="77777777" w:rsidTr="006F421D">
        <w:trPr>
          <w:divId w:val="1675300298"/>
        </w:trPr>
        <w:tc>
          <w:tcPr>
            <w:tcW w:w="6521" w:type="dxa"/>
            <w:vAlign w:val="center"/>
            <w:hideMark/>
          </w:tcPr>
          <w:p w14:paraId="6C718F12" w14:textId="77777777" w:rsidR="00C57C9F" w:rsidRDefault="00C57C9F">
            <w:pPr>
              <w:pStyle w:val="3fins-table"/>
              <w:rPr>
                <w:rFonts w:cs="Times New Roman"/>
              </w:rPr>
            </w:pPr>
            <w:r>
              <w:rPr>
                <w:rStyle w:val="fins-bold"/>
                <w:rFonts w:cs="Times New Roman"/>
              </w:rPr>
              <w:t>Total non-financial assets as per financial instruments note</w:t>
            </w:r>
          </w:p>
        </w:tc>
        <w:tc>
          <w:tcPr>
            <w:tcW w:w="962" w:type="dxa"/>
            <w:vAlign w:val="center"/>
            <w:hideMark/>
          </w:tcPr>
          <w:p w14:paraId="5B8A9DA6" w14:textId="77777777" w:rsidR="00C57C9F" w:rsidRDefault="00C57C9F" w:rsidP="006F421D">
            <w:pPr>
              <w:jc w:val="center"/>
              <w:rPr>
                <w:rFonts w:eastAsia="Times New Roman" w:cs="Times New Roman"/>
              </w:rPr>
            </w:pPr>
          </w:p>
        </w:tc>
        <w:tc>
          <w:tcPr>
            <w:tcW w:w="1388" w:type="dxa"/>
            <w:tcBorders>
              <w:top w:val="single" w:sz="12" w:space="0" w:color="0D0D0D" w:themeColor="text1" w:themeTint="F2"/>
              <w:bottom w:val="double" w:sz="12" w:space="0" w:color="auto"/>
            </w:tcBorders>
            <w:vAlign w:val="center"/>
            <w:hideMark/>
          </w:tcPr>
          <w:p w14:paraId="6FCEC9BC" w14:textId="77777777" w:rsidR="00C57C9F" w:rsidRDefault="00C57C9F" w:rsidP="006F421D">
            <w:pPr>
              <w:pStyle w:val="3fins-table-figures"/>
              <w:jc w:val="right"/>
              <w:rPr>
                <w:rFonts w:cs="Times New Roman"/>
              </w:rPr>
            </w:pPr>
            <w:r>
              <w:rPr>
                <w:rStyle w:val="fins-bold"/>
                <w:rFonts w:cs="Times New Roman"/>
              </w:rPr>
              <w:t>15,161</w:t>
            </w:r>
          </w:p>
        </w:tc>
        <w:tc>
          <w:tcPr>
            <w:tcW w:w="1230" w:type="dxa"/>
            <w:tcBorders>
              <w:top w:val="single" w:sz="12" w:space="0" w:color="0D0D0D" w:themeColor="text1" w:themeTint="F2"/>
              <w:bottom w:val="double" w:sz="12" w:space="0" w:color="auto"/>
            </w:tcBorders>
            <w:vAlign w:val="center"/>
            <w:hideMark/>
          </w:tcPr>
          <w:p w14:paraId="6B1E28BB" w14:textId="77777777" w:rsidR="00C57C9F" w:rsidRDefault="00C57C9F" w:rsidP="006F421D">
            <w:pPr>
              <w:pStyle w:val="3fins-table-figures"/>
              <w:jc w:val="right"/>
              <w:rPr>
                <w:rFonts w:cs="Times New Roman"/>
              </w:rPr>
            </w:pPr>
            <w:r>
              <w:rPr>
                <w:rFonts w:cs="Times New Roman"/>
              </w:rPr>
              <w:t>8,077</w:t>
            </w:r>
          </w:p>
        </w:tc>
      </w:tr>
    </w:tbl>
    <w:p w14:paraId="436C44FC" w14:textId="77777777" w:rsidR="00C57C9F" w:rsidRDefault="00C57C9F">
      <w:pPr>
        <w:pStyle w:val="1heading-2"/>
        <w:divId w:val="1675300298"/>
        <w:rPr>
          <w:rFonts w:cs="Times New Roman"/>
          <w:lang w:val="en-AU"/>
        </w:rPr>
      </w:pPr>
      <w:r>
        <w:rPr>
          <w:rFonts w:cs="Times New Roman"/>
          <w:lang w:val="en-AU"/>
        </w:rPr>
        <w:t>Note 18: Compensation and Debt Relief</w:t>
      </w:r>
    </w:p>
    <w:p w14:paraId="2B9F3F1B" w14:textId="77777777" w:rsidR="00C57C9F" w:rsidRDefault="00C57C9F">
      <w:pPr>
        <w:pStyle w:val="3fins-table"/>
        <w:divId w:val="1675300298"/>
        <w:rPr>
          <w:rFonts w:cs="Times New Roman"/>
          <w:lang w:val="en-AU"/>
        </w:rPr>
      </w:pPr>
      <w:r>
        <w:rPr>
          <w:rFonts w:cs="Times New Roman"/>
          <w:lang w:val="en-AU"/>
        </w:rPr>
        <w:t>No payments were made during the reporting period for compensation and debt relief (2013: Nil).</w:t>
      </w:r>
    </w:p>
    <w:p w14:paraId="1744B432" w14:textId="77777777" w:rsidR="00C57C9F" w:rsidRDefault="00C57C9F" w:rsidP="00B06A49">
      <w:pPr>
        <w:pStyle w:val="1heading-2"/>
        <w:spacing w:before="240"/>
        <w:divId w:val="1675300298"/>
        <w:rPr>
          <w:rFonts w:cs="Times New Roman"/>
          <w:lang w:val="en-AU"/>
        </w:rPr>
      </w:pPr>
      <w:r>
        <w:rPr>
          <w:rFonts w:cs="Times New Roman"/>
          <w:lang w:val="en-AU"/>
        </w:rPr>
        <w:t>Note 19: Reporting of Outcomes</w:t>
      </w:r>
    </w:p>
    <w:p w14:paraId="41C19D48" w14:textId="77777777" w:rsidR="00C57C9F" w:rsidRDefault="00C57C9F">
      <w:pPr>
        <w:pStyle w:val="1heading-3"/>
        <w:divId w:val="1675300298"/>
        <w:rPr>
          <w:rFonts w:cs="Times New Roman"/>
          <w:lang w:val="en-AU"/>
        </w:rPr>
      </w:pPr>
      <w:r>
        <w:rPr>
          <w:rFonts w:cs="Times New Roman"/>
          <w:lang w:val="en-AU"/>
        </w:rPr>
        <w:t>Note 19A: Net Cost of Outcome Delivery</w:t>
      </w:r>
    </w:p>
    <w:p w14:paraId="3BBBB90F" w14:textId="77777777" w:rsidR="00C57C9F" w:rsidRDefault="00C57C9F">
      <w:pPr>
        <w:pStyle w:val="3fins-table"/>
        <w:divId w:val="1675300298"/>
        <w:rPr>
          <w:rFonts w:cs="Times New Roman"/>
          <w:lang w:val="en-AU"/>
        </w:rPr>
      </w:pPr>
      <w:r>
        <w:rPr>
          <w:rFonts w:cs="Times New Roman"/>
          <w:lang w:val="en-AU"/>
        </w:rPr>
        <w:t>The Commission is structured to meet one outcome:</w:t>
      </w:r>
    </w:p>
    <w:p w14:paraId="2BB74F7D" w14:textId="52787A91" w:rsidR="00C57C9F" w:rsidRDefault="00C57C9F">
      <w:pPr>
        <w:pStyle w:val="3fins-table"/>
        <w:divId w:val="1675300298"/>
        <w:rPr>
          <w:rFonts w:cs="Times New Roman"/>
          <w:lang w:val="en-AU"/>
        </w:rPr>
      </w:pPr>
      <w:r>
        <w:rPr>
          <w:rStyle w:val="fins-italic"/>
          <w:rFonts w:cs="Times New Roman"/>
          <w:lang w:val="en-AU"/>
        </w:rPr>
        <w:t>To improve safety and quality in healthcare across the health system, including through the development, support for implementation, and monitoring of national clinical safety and quality guidelines and standards.</w:t>
      </w:r>
    </w:p>
    <w:tbl>
      <w:tblPr>
        <w:tblW w:w="0" w:type="auto"/>
        <w:tblBorders>
          <w:top w:val="single" w:sz="12" w:space="0" w:color="0D0D0D" w:themeColor="text1" w:themeTint="F2"/>
          <w:left w:val="single" w:sz="12" w:space="0" w:color="0D0D0D" w:themeColor="text1" w:themeTint="F2"/>
          <w:bottom w:val="single" w:sz="12" w:space="0" w:color="0D0D0D" w:themeColor="text1" w:themeTint="F2"/>
          <w:right w:val="single" w:sz="12" w:space="0" w:color="0D0D0D" w:themeColor="text1" w:themeTint="F2"/>
          <w:insideH w:val="single" w:sz="12" w:space="0" w:color="0D0D0D" w:themeColor="text1" w:themeTint="F2"/>
          <w:insideV w:val="single" w:sz="12" w:space="0" w:color="0D0D0D" w:themeColor="text1" w:themeTint="F2"/>
        </w:tblBorders>
        <w:tblCellMar>
          <w:top w:w="28" w:type="dxa"/>
          <w:left w:w="57" w:type="dxa"/>
          <w:bottom w:w="28" w:type="dxa"/>
          <w:right w:w="57" w:type="dxa"/>
        </w:tblCellMar>
        <w:tblLook w:val="04A0" w:firstRow="1" w:lastRow="0" w:firstColumn="1" w:lastColumn="0" w:noHBand="0" w:noVBand="1"/>
      </w:tblPr>
      <w:tblGrid>
        <w:gridCol w:w="3923"/>
        <w:gridCol w:w="1292"/>
        <w:gridCol w:w="1261"/>
      </w:tblGrid>
      <w:tr w:rsidR="00C57C9F" w14:paraId="19AE964B" w14:textId="77777777" w:rsidTr="006F421D">
        <w:trPr>
          <w:divId w:val="1675300298"/>
        </w:trPr>
        <w:tc>
          <w:tcPr>
            <w:tcW w:w="3923" w:type="dxa"/>
            <w:vMerge w:val="restart"/>
            <w:vAlign w:val="center"/>
            <w:hideMark/>
          </w:tcPr>
          <w:p w14:paraId="32713C7D" w14:textId="77777777" w:rsidR="00C57C9F" w:rsidRDefault="00C57C9F">
            <w:pPr>
              <w:rPr>
                <w:rFonts w:eastAsia="Times New Roman" w:cs="Times New Roman"/>
              </w:rPr>
            </w:pPr>
          </w:p>
        </w:tc>
        <w:tc>
          <w:tcPr>
            <w:tcW w:w="2553" w:type="dxa"/>
            <w:gridSpan w:val="2"/>
            <w:vAlign w:val="center"/>
            <w:hideMark/>
          </w:tcPr>
          <w:p w14:paraId="3D2A453A" w14:textId="77777777" w:rsidR="00C57C9F" w:rsidRDefault="00C57C9F" w:rsidP="006F421D">
            <w:pPr>
              <w:pStyle w:val="3fins-table-figures-c"/>
              <w:ind w:left="442"/>
              <w:jc w:val="center"/>
              <w:rPr>
                <w:rFonts w:cs="Times New Roman"/>
              </w:rPr>
            </w:pPr>
            <w:r>
              <w:rPr>
                <w:rStyle w:val="fins-bold"/>
                <w:rFonts w:cs="Times New Roman"/>
              </w:rPr>
              <w:t>Outcome 1</w:t>
            </w:r>
          </w:p>
        </w:tc>
      </w:tr>
      <w:tr w:rsidR="00C57C9F" w14:paraId="311D3E52" w14:textId="77777777" w:rsidTr="006F421D">
        <w:trPr>
          <w:divId w:val="1675300298"/>
        </w:trPr>
        <w:tc>
          <w:tcPr>
            <w:tcW w:w="3923" w:type="dxa"/>
            <w:vMerge/>
            <w:vAlign w:val="center"/>
            <w:hideMark/>
          </w:tcPr>
          <w:p w14:paraId="59C87504" w14:textId="77777777" w:rsidR="00C57C9F" w:rsidRDefault="00C57C9F">
            <w:pPr>
              <w:rPr>
                <w:rFonts w:eastAsia="Times New Roman" w:cs="Times New Roman"/>
              </w:rPr>
            </w:pPr>
          </w:p>
        </w:tc>
        <w:tc>
          <w:tcPr>
            <w:tcW w:w="1292" w:type="dxa"/>
            <w:vAlign w:val="center"/>
            <w:hideMark/>
          </w:tcPr>
          <w:p w14:paraId="7A3DF603" w14:textId="77777777" w:rsidR="00C57C9F" w:rsidRDefault="00C57C9F" w:rsidP="006F421D">
            <w:pPr>
              <w:pStyle w:val="3fins-table-figures"/>
              <w:jc w:val="right"/>
              <w:rPr>
                <w:rFonts w:cs="Times New Roman"/>
              </w:rPr>
            </w:pPr>
            <w:r>
              <w:rPr>
                <w:rStyle w:val="fins-bold"/>
                <w:rFonts w:cs="Times New Roman"/>
              </w:rPr>
              <w:t>2014</w:t>
            </w:r>
          </w:p>
        </w:tc>
        <w:tc>
          <w:tcPr>
            <w:tcW w:w="1231" w:type="dxa"/>
            <w:vAlign w:val="center"/>
            <w:hideMark/>
          </w:tcPr>
          <w:p w14:paraId="3613CFF2" w14:textId="77777777" w:rsidR="00C57C9F" w:rsidRDefault="00C57C9F" w:rsidP="006F421D">
            <w:pPr>
              <w:pStyle w:val="3fins-table-figures"/>
              <w:jc w:val="right"/>
              <w:rPr>
                <w:rFonts w:cs="Times New Roman"/>
              </w:rPr>
            </w:pPr>
            <w:r>
              <w:rPr>
                <w:rFonts w:cs="Times New Roman"/>
              </w:rPr>
              <w:t>2013</w:t>
            </w:r>
          </w:p>
        </w:tc>
      </w:tr>
      <w:tr w:rsidR="00C57C9F" w14:paraId="36D1EE7E" w14:textId="77777777" w:rsidTr="006F421D">
        <w:trPr>
          <w:divId w:val="1675300298"/>
        </w:trPr>
        <w:tc>
          <w:tcPr>
            <w:tcW w:w="3923" w:type="dxa"/>
            <w:vMerge/>
            <w:vAlign w:val="center"/>
            <w:hideMark/>
          </w:tcPr>
          <w:p w14:paraId="49ECAD99" w14:textId="77777777" w:rsidR="00C57C9F" w:rsidRDefault="00C57C9F">
            <w:pPr>
              <w:rPr>
                <w:rFonts w:eastAsia="Times New Roman" w:cs="Times New Roman"/>
              </w:rPr>
            </w:pPr>
          </w:p>
        </w:tc>
        <w:tc>
          <w:tcPr>
            <w:tcW w:w="1292" w:type="dxa"/>
            <w:vAlign w:val="center"/>
            <w:hideMark/>
          </w:tcPr>
          <w:p w14:paraId="17CCB04F" w14:textId="77777777" w:rsidR="00C57C9F" w:rsidRDefault="00C57C9F" w:rsidP="006F421D">
            <w:pPr>
              <w:pStyle w:val="3fins-table-figures"/>
              <w:jc w:val="right"/>
              <w:rPr>
                <w:rFonts w:cs="Times New Roman"/>
              </w:rPr>
            </w:pPr>
            <w:r>
              <w:rPr>
                <w:rStyle w:val="fins-bold"/>
                <w:rFonts w:cs="Times New Roman"/>
              </w:rPr>
              <w:t>$’000</w:t>
            </w:r>
          </w:p>
        </w:tc>
        <w:tc>
          <w:tcPr>
            <w:tcW w:w="1231" w:type="dxa"/>
            <w:vAlign w:val="center"/>
            <w:hideMark/>
          </w:tcPr>
          <w:p w14:paraId="2294857E" w14:textId="77777777" w:rsidR="00C57C9F" w:rsidRDefault="00C57C9F" w:rsidP="006F421D">
            <w:pPr>
              <w:pStyle w:val="3fins-table-figures"/>
              <w:jc w:val="right"/>
              <w:rPr>
                <w:rFonts w:cs="Times New Roman"/>
              </w:rPr>
            </w:pPr>
            <w:r>
              <w:rPr>
                <w:rFonts w:cs="Times New Roman"/>
              </w:rPr>
              <w:t>$’000</w:t>
            </w:r>
          </w:p>
        </w:tc>
      </w:tr>
      <w:tr w:rsidR="00C57C9F" w14:paraId="1671938A" w14:textId="77777777" w:rsidTr="006F421D">
        <w:trPr>
          <w:divId w:val="1675300298"/>
        </w:trPr>
        <w:tc>
          <w:tcPr>
            <w:tcW w:w="3923" w:type="dxa"/>
            <w:vAlign w:val="center"/>
            <w:hideMark/>
          </w:tcPr>
          <w:p w14:paraId="2EB728B3" w14:textId="77777777" w:rsidR="00C57C9F" w:rsidRDefault="00C57C9F">
            <w:pPr>
              <w:pStyle w:val="3fins-table"/>
              <w:rPr>
                <w:rFonts w:cs="Times New Roman"/>
              </w:rPr>
            </w:pPr>
            <w:r>
              <w:rPr>
                <w:rStyle w:val="fins-bold"/>
                <w:rFonts w:cs="Times New Roman"/>
              </w:rPr>
              <w:t>Expenses</w:t>
            </w:r>
          </w:p>
        </w:tc>
        <w:tc>
          <w:tcPr>
            <w:tcW w:w="1292" w:type="dxa"/>
            <w:vAlign w:val="center"/>
            <w:hideMark/>
          </w:tcPr>
          <w:p w14:paraId="43A11519" w14:textId="77777777" w:rsidR="00C57C9F" w:rsidRDefault="00C57C9F" w:rsidP="006F421D">
            <w:pPr>
              <w:jc w:val="right"/>
              <w:rPr>
                <w:rFonts w:eastAsia="Times New Roman" w:cs="Times New Roman"/>
              </w:rPr>
            </w:pPr>
          </w:p>
        </w:tc>
        <w:tc>
          <w:tcPr>
            <w:tcW w:w="1231" w:type="dxa"/>
            <w:vAlign w:val="center"/>
            <w:hideMark/>
          </w:tcPr>
          <w:p w14:paraId="15B33128" w14:textId="77777777" w:rsidR="00C57C9F" w:rsidRDefault="00C57C9F" w:rsidP="006F421D">
            <w:pPr>
              <w:jc w:val="right"/>
              <w:rPr>
                <w:rFonts w:eastAsia="Times New Roman" w:cs="Times New Roman"/>
              </w:rPr>
            </w:pPr>
          </w:p>
        </w:tc>
      </w:tr>
      <w:tr w:rsidR="00C57C9F" w14:paraId="467D506F" w14:textId="77777777" w:rsidTr="006F421D">
        <w:trPr>
          <w:divId w:val="1675300298"/>
        </w:trPr>
        <w:tc>
          <w:tcPr>
            <w:tcW w:w="3923" w:type="dxa"/>
            <w:vAlign w:val="center"/>
            <w:hideMark/>
          </w:tcPr>
          <w:p w14:paraId="1E35DDF7" w14:textId="77777777" w:rsidR="00C57C9F" w:rsidRDefault="00C57C9F">
            <w:pPr>
              <w:pStyle w:val="3fins-table"/>
              <w:rPr>
                <w:rFonts w:cs="Times New Roman"/>
              </w:rPr>
            </w:pPr>
            <w:r>
              <w:rPr>
                <w:rFonts w:cs="Times New Roman"/>
              </w:rPr>
              <w:t>Departmental</w:t>
            </w:r>
          </w:p>
        </w:tc>
        <w:tc>
          <w:tcPr>
            <w:tcW w:w="1292" w:type="dxa"/>
            <w:vAlign w:val="center"/>
            <w:hideMark/>
          </w:tcPr>
          <w:p w14:paraId="1391157D" w14:textId="77777777" w:rsidR="00C57C9F" w:rsidRDefault="00C57C9F" w:rsidP="006F421D">
            <w:pPr>
              <w:pStyle w:val="3fins-table-figures"/>
              <w:jc w:val="right"/>
              <w:rPr>
                <w:rFonts w:cs="Times New Roman"/>
              </w:rPr>
            </w:pPr>
            <w:r>
              <w:rPr>
                <w:rStyle w:val="fins-bold"/>
                <w:rFonts w:cs="Times New Roman"/>
              </w:rPr>
              <w:t xml:space="preserve">18,726 </w:t>
            </w:r>
          </w:p>
        </w:tc>
        <w:tc>
          <w:tcPr>
            <w:tcW w:w="1231" w:type="dxa"/>
            <w:vAlign w:val="center"/>
            <w:hideMark/>
          </w:tcPr>
          <w:p w14:paraId="3FF21E33" w14:textId="77777777" w:rsidR="00C57C9F" w:rsidRDefault="00C57C9F" w:rsidP="006F421D">
            <w:pPr>
              <w:pStyle w:val="3fins-table-figures"/>
              <w:jc w:val="right"/>
              <w:rPr>
                <w:rFonts w:cs="Times New Roman"/>
              </w:rPr>
            </w:pPr>
            <w:r>
              <w:rPr>
                <w:rFonts w:cs="Times New Roman"/>
              </w:rPr>
              <w:t xml:space="preserve">13,964 </w:t>
            </w:r>
          </w:p>
        </w:tc>
      </w:tr>
      <w:tr w:rsidR="00C57C9F" w14:paraId="47B54949" w14:textId="77777777" w:rsidTr="006F421D">
        <w:trPr>
          <w:divId w:val="1675300298"/>
        </w:trPr>
        <w:tc>
          <w:tcPr>
            <w:tcW w:w="3923" w:type="dxa"/>
            <w:vAlign w:val="center"/>
            <w:hideMark/>
          </w:tcPr>
          <w:p w14:paraId="50839E38" w14:textId="77777777" w:rsidR="00C57C9F" w:rsidRDefault="00C57C9F">
            <w:pPr>
              <w:pStyle w:val="3fins-table"/>
              <w:rPr>
                <w:rFonts w:cs="Times New Roman"/>
              </w:rPr>
            </w:pPr>
            <w:r>
              <w:rPr>
                <w:rStyle w:val="fins-bold"/>
                <w:rFonts w:cs="Times New Roman"/>
              </w:rPr>
              <w:t>Income from non-government sector</w:t>
            </w:r>
          </w:p>
        </w:tc>
        <w:tc>
          <w:tcPr>
            <w:tcW w:w="1292" w:type="dxa"/>
            <w:vAlign w:val="center"/>
            <w:hideMark/>
          </w:tcPr>
          <w:p w14:paraId="6459B9C3" w14:textId="77777777" w:rsidR="00C57C9F" w:rsidRDefault="00C57C9F" w:rsidP="006F421D">
            <w:pPr>
              <w:jc w:val="right"/>
              <w:rPr>
                <w:rFonts w:eastAsia="Times New Roman" w:cs="Times New Roman"/>
              </w:rPr>
            </w:pPr>
          </w:p>
        </w:tc>
        <w:tc>
          <w:tcPr>
            <w:tcW w:w="1231" w:type="dxa"/>
            <w:vAlign w:val="center"/>
            <w:hideMark/>
          </w:tcPr>
          <w:p w14:paraId="61384B80" w14:textId="77777777" w:rsidR="00C57C9F" w:rsidRDefault="00C57C9F" w:rsidP="006F421D">
            <w:pPr>
              <w:jc w:val="right"/>
              <w:rPr>
                <w:rFonts w:eastAsia="Times New Roman" w:cs="Times New Roman"/>
              </w:rPr>
            </w:pPr>
          </w:p>
        </w:tc>
      </w:tr>
      <w:tr w:rsidR="00C57C9F" w14:paraId="05BD6D53" w14:textId="77777777" w:rsidTr="006F421D">
        <w:trPr>
          <w:divId w:val="1675300298"/>
        </w:trPr>
        <w:tc>
          <w:tcPr>
            <w:tcW w:w="3923" w:type="dxa"/>
            <w:vAlign w:val="center"/>
            <w:hideMark/>
          </w:tcPr>
          <w:p w14:paraId="10C962EB" w14:textId="77777777" w:rsidR="00C57C9F" w:rsidRDefault="00C57C9F" w:rsidP="006F421D">
            <w:pPr>
              <w:pStyle w:val="3fins-table"/>
              <w:ind w:left="426"/>
              <w:rPr>
                <w:rFonts w:cs="Times New Roman"/>
              </w:rPr>
            </w:pPr>
            <w:r>
              <w:rPr>
                <w:rFonts w:cs="Times New Roman"/>
              </w:rPr>
              <w:t>Sale of goods and rendering of services</w:t>
            </w:r>
          </w:p>
        </w:tc>
        <w:tc>
          <w:tcPr>
            <w:tcW w:w="1292" w:type="dxa"/>
            <w:vAlign w:val="center"/>
            <w:hideMark/>
          </w:tcPr>
          <w:p w14:paraId="18E48C58" w14:textId="77777777" w:rsidR="00C57C9F" w:rsidRDefault="00C57C9F" w:rsidP="006F421D">
            <w:pPr>
              <w:pStyle w:val="3fins-table-figures"/>
              <w:jc w:val="right"/>
              <w:rPr>
                <w:rFonts w:cs="Times New Roman"/>
              </w:rPr>
            </w:pPr>
            <w:r>
              <w:rPr>
                <w:rStyle w:val="fins-bold"/>
                <w:rFonts w:cs="Times New Roman"/>
              </w:rPr>
              <w:t xml:space="preserve">6,104 </w:t>
            </w:r>
          </w:p>
        </w:tc>
        <w:tc>
          <w:tcPr>
            <w:tcW w:w="1231" w:type="dxa"/>
            <w:vAlign w:val="center"/>
            <w:hideMark/>
          </w:tcPr>
          <w:p w14:paraId="12E8BD93" w14:textId="77777777" w:rsidR="00C57C9F" w:rsidRDefault="00C57C9F" w:rsidP="006F421D">
            <w:pPr>
              <w:pStyle w:val="3fins-table-figures"/>
              <w:jc w:val="right"/>
              <w:rPr>
                <w:rFonts w:cs="Times New Roman"/>
              </w:rPr>
            </w:pPr>
            <w:r>
              <w:rPr>
                <w:rFonts w:cs="Times New Roman"/>
              </w:rPr>
              <w:t xml:space="preserve">2,413 </w:t>
            </w:r>
          </w:p>
        </w:tc>
      </w:tr>
      <w:tr w:rsidR="00C57C9F" w14:paraId="4AEC60E2" w14:textId="77777777" w:rsidTr="006F421D">
        <w:trPr>
          <w:divId w:val="1675300298"/>
        </w:trPr>
        <w:tc>
          <w:tcPr>
            <w:tcW w:w="3923" w:type="dxa"/>
            <w:vAlign w:val="center"/>
            <w:hideMark/>
          </w:tcPr>
          <w:p w14:paraId="4F17B01D" w14:textId="77777777" w:rsidR="00C57C9F" w:rsidRDefault="00C57C9F" w:rsidP="006F421D">
            <w:pPr>
              <w:pStyle w:val="3fins-table"/>
              <w:ind w:left="426"/>
              <w:rPr>
                <w:rFonts w:cs="Times New Roman"/>
              </w:rPr>
            </w:pPr>
            <w:r>
              <w:rPr>
                <w:rFonts w:cs="Times New Roman"/>
              </w:rPr>
              <w:t>Interest</w:t>
            </w:r>
          </w:p>
        </w:tc>
        <w:tc>
          <w:tcPr>
            <w:tcW w:w="1292" w:type="dxa"/>
            <w:vAlign w:val="center"/>
            <w:hideMark/>
          </w:tcPr>
          <w:p w14:paraId="5ACC33C2" w14:textId="77777777" w:rsidR="00C57C9F" w:rsidRDefault="00C57C9F" w:rsidP="006F421D">
            <w:pPr>
              <w:pStyle w:val="3fins-table-figures"/>
              <w:jc w:val="right"/>
              <w:rPr>
                <w:rFonts w:cs="Times New Roman"/>
              </w:rPr>
            </w:pPr>
            <w:r>
              <w:rPr>
                <w:rStyle w:val="fins-bold"/>
                <w:rFonts w:cs="Times New Roman"/>
              </w:rPr>
              <w:t xml:space="preserve">312 </w:t>
            </w:r>
          </w:p>
        </w:tc>
        <w:tc>
          <w:tcPr>
            <w:tcW w:w="1231" w:type="dxa"/>
            <w:vAlign w:val="center"/>
            <w:hideMark/>
          </w:tcPr>
          <w:p w14:paraId="66EA708B" w14:textId="77777777" w:rsidR="00C57C9F" w:rsidRDefault="00C57C9F" w:rsidP="006F421D">
            <w:pPr>
              <w:pStyle w:val="3fins-table-figures"/>
              <w:jc w:val="right"/>
              <w:rPr>
                <w:rFonts w:cs="Times New Roman"/>
              </w:rPr>
            </w:pPr>
            <w:r>
              <w:rPr>
                <w:rFonts w:cs="Times New Roman"/>
              </w:rPr>
              <w:t xml:space="preserve">431 </w:t>
            </w:r>
          </w:p>
        </w:tc>
      </w:tr>
      <w:tr w:rsidR="00C57C9F" w14:paraId="4C5E8774" w14:textId="77777777" w:rsidTr="006F421D">
        <w:trPr>
          <w:divId w:val="1675300298"/>
        </w:trPr>
        <w:tc>
          <w:tcPr>
            <w:tcW w:w="3923" w:type="dxa"/>
            <w:vAlign w:val="center"/>
            <w:hideMark/>
          </w:tcPr>
          <w:p w14:paraId="694D9684" w14:textId="77777777" w:rsidR="00C57C9F" w:rsidRDefault="00C57C9F" w:rsidP="006F421D">
            <w:pPr>
              <w:pStyle w:val="3fins-table"/>
              <w:ind w:left="426"/>
              <w:rPr>
                <w:rFonts w:cs="Times New Roman"/>
              </w:rPr>
            </w:pPr>
            <w:r>
              <w:rPr>
                <w:rFonts w:cs="Times New Roman"/>
              </w:rPr>
              <w:t>External contributions</w:t>
            </w:r>
          </w:p>
        </w:tc>
        <w:tc>
          <w:tcPr>
            <w:tcW w:w="1292" w:type="dxa"/>
            <w:vAlign w:val="center"/>
            <w:hideMark/>
          </w:tcPr>
          <w:p w14:paraId="60942CAE" w14:textId="77777777" w:rsidR="00C57C9F" w:rsidRDefault="00C57C9F" w:rsidP="006F421D">
            <w:pPr>
              <w:pStyle w:val="3fins-table-figures"/>
              <w:jc w:val="right"/>
              <w:rPr>
                <w:rFonts w:cs="Times New Roman"/>
              </w:rPr>
            </w:pPr>
            <w:r>
              <w:rPr>
                <w:rStyle w:val="fins-bold"/>
                <w:rFonts w:cs="Times New Roman"/>
              </w:rPr>
              <w:t xml:space="preserve">6,335 </w:t>
            </w:r>
          </w:p>
        </w:tc>
        <w:tc>
          <w:tcPr>
            <w:tcW w:w="1231" w:type="dxa"/>
            <w:vAlign w:val="center"/>
            <w:hideMark/>
          </w:tcPr>
          <w:p w14:paraId="2F82EA2D" w14:textId="77777777" w:rsidR="00C57C9F" w:rsidRDefault="00C57C9F" w:rsidP="006F421D">
            <w:pPr>
              <w:pStyle w:val="3fins-table-figures"/>
              <w:jc w:val="right"/>
              <w:rPr>
                <w:rFonts w:cs="Times New Roman"/>
              </w:rPr>
            </w:pPr>
            <w:r>
              <w:rPr>
                <w:rFonts w:cs="Times New Roman"/>
              </w:rPr>
              <w:t xml:space="preserve">5,665 </w:t>
            </w:r>
          </w:p>
        </w:tc>
      </w:tr>
      <w:tr w:rsidR="00C57C9F" w14:paraId="6E872DC9" w14:textId="77777777" w:rsidTr="006F421D">
        <w:trPr>
          <w:divId w:val="1675300298"/>
        </w:trPr>
        <w:tc>
          <w:tcPr>
            <w:tcW w:w="3923" w:type="dxa"/>
            <w:vAlign w:val="center"/>
            <w:hideMark/>
          </w:tcPr>
          <w:p w14:paraId="617F5570" w14:textId="77777777" w:rsidR="00C57C9F" w:rsidRDefault="00C57C9F">
            <w:pPr>
              <w:pStyle w:val="3fins-table"/>
              <w:rPr>
                <w:rFonts w:cs="Times New Roman"/>
              </w:rPr>
            </w:pPr>
            <w:r>
              <w:rPr>
                <w:rStyle w:val="fins-bold"/>
                <w:rFonts w:cs="Times New Roman"/>
              </w:rPr>
              <w:t>Total income from non-government sector</w:t>
            </w:r>
          </w:p>
        </w:tc>
        <w:tc>
          <w:tcPr>
            <w:tcW w:w="1292" w:type="dxa"/>
            <w:vAlign w:val="center"/>
            <w:hideMark/>
          </w:tcPr>
          <w:p w14:paraId="6CFDA3E5" w14:textId="77777777" w:rsidR="00C57C9F" w:rsidRDefault="00C57C9F" w:rsidP="006F421D">
            <w:pPr>
              <w:pStyle w:val="3fins-table-figures"/>
              <w:jc w:val="right"/>
              <w:rPr>
                <w:rFonts w:cs="Times New Roman"/>
              </w:rPr>
            </w:pPr>
            <w:r>
              <w:rPr>
                <w:rStyle w:val="fins-bold"/>
                <w:rFonts w:cs="Times New Roman"/>
              </w:rPr>
              <w:t xml:space="preserve">12,751 </w:t>
            </w:r>
          </w:p>
        </w:tc>
        <w:tc>
          <w:tcPr>
            <w:tcW w:w="1231" w:type="dxa"/>
            <w:vAlign w:val="center"/>
            <w:hideMark/>
          </w:tcPr>
          <w:p w14:paraId="59856BD8" w14:textId="77777777" w:rsidR="00C57C9F" w:rsidRDefault="00C57C9F" w:rsidP="006F421D">
            <w:pPr>
              <w:pStyle w:val="3fins-table-figures"/>
              <w:jc w:val="right"/>
              <w:rPr>
                <w:rFonts w:cs="Times New Roman"/>
              </w:rPr>
            </w:pPr>
            <w:r>
              <w:rPr>
                <w:rFonts w:cs="Times New Roman"/>
              </w:rPr>
              <w:t xml:space="preserve">8,509 </w:t>
            </w:r>
          </w:p>
        </w:tc>
      </w:tr>
      <w:tr w:rsidR="00C57C9F" w14:paraId="516855AC" w14:textId="77777777" w:rsidTr="006F421D">
        <w:trPr>
          <w:divId w:val="1675300298"/>
        </w:trPr>
        <w:tc>
          <w:tcPr>
            <w:tcW w:w="3923" w:type="dxa"/>
            <w:vAlign w:val="center"/>
            <w:hideMark/>
          </w:tcPr>
          <w:p w14:paraId="52F45C93" w14:textId="77777777" w:rsidR="00C57C9F" w:rsidRDefault="00C57C9F">
            <w:pPr>
              <w:rPr>
                <w:rFonts w:eastAsia="Times New Roman" w:cs="Times New Roman"/>
              </w:rPr>
            </w:pPr>
          </w:p>
        </w:tc>
        <w:tc>
          <w:tcPr>
            <w:tcW w:w="1292" w:type="dxa"/>
            <w:vAlign w:val="center"/>
            <w:hideMark/>
          </w:tcPr>
          <w:p w14:paraId="03904441" w14:textId="77777777" w:rsidR="00C57C9F" w:rsidRDefault="00C57C9F" w:rsidP="006F421D">
            <w:pPr>
              <w:jc w:val="right"/>
              <w:rPr>
                <w:rFonts w:eastAsia="Times New Roman" w:cs="Times New Roman"/>
              </w:rPr>
            </w:pPr>
          </w:p>
        </w:tc>
        <w:tc>
          <w:tcPr>
            <w:tcW w:w="1231" w:type="dxa"/>
            <w:vAlign w:val="center"/>
            <w:hideMark/>
          </w:tcPr>
          <w:p w14:paraId="509724B7" w14:textId="77777777" w:rsidR="00C57C9F" w:rsidRDefault="00C57C9F" w:rsidP="006F421D">
            <w:pPr>
              <w:jc w:val="right"/>
              <w:rPr>
                <w:rFonts w:eastAsia="Times New Roman" w:cs="Times New Roman"/>
              </w:rPr>
            </w:pPr>
          </w:p>
        </w:tc>
      </w:tr>
      <w:tr w:rsidR="00C57C9F" w14:paraId="1B28E0C5" w14:textId="77777777" w:rsidTr="006F421D">
        <w:trPr>
          <w:divId w:val="1675300298"/>
        </w:trPr>
        <w:tc>
          <w:tcPr>
            <w:tcW w:w="3923" w:type="dxa"/>
            <w:vAlign w:val="center"/>
            <w:hideMark/>
          </w:tcPr>
          <w:p w14:paraId="2AAB957B" w14:textId="77777777" w:rsidR="00C57C9F" w:rsidRDefault="00C57C9F">
            <w:pPr>
              <w:pStyle w:val="3fins-table"/>
              <w:rPr>
                <w:rFonts w:cs="Times New Roman"/>
              </w:rPr>
            </w:pPr>
            <w:r>
              <w:rPr>
                <w:rStyle w:val="fins-bold"/>
                <w:rFonts w:cs="Times New Roman"/>
              </w:rPr>
              <w:t>Net cost of outcome delivery</w:t>
            </w:r>
          </w:p>
        </w:tc>
        <w:tc>
          <w:tcPr>
            <w:tcW w:w="1292" w:type="dxa"/>
            <w:vAlign w:val="center"/>
            <w:hideMark/>
          </w:tcPr>
          <w:p w14:paraId="13925C0A" w14:textId="77777777" w:rsidR="00C57C9F" w:rsidRDefault="00C57C9F" w:rsidP="006F421D">
            <w:pPr>
              <w:pStyle w:val="3fins-table-figures"/>
              <w:jc w:val="right"/>
              <w:rPr>
                <w:rFonts w:cs="Times New Roman"/>
              </w:rPr>
            </w:pPr>
            <w:r>
              <w:rPr>
                <w:rStyle w:val="fins-bold"/>
                <w:rFonts w:cs="Times New Roman"/>
              </w:rPr>
              <w:t xml:space="preserve">5,975 </w:t>
            </w:r>
          </w:p>
        </w:tc>
        <w:tc>
          <w:tcPr>
            <w:tcW w:w="1231" w:type="dxa"/>
            <w:vAlign w:val="center"/>
            <w:hideMark/>
          </w:tcPr>
          <w:p w14:paraId="70E1A2A1" w14:textId="77777777" w:rsidR="00C57C9F" w:rsidRDefault="00C57C9F" w:rsidP="006F421D">
            <w:pPr>
              <w:pStyle w:val="3fins-table-figures"/>
              <w:jc w:val="right"/>
              <w:rPr>
                <w:rFonts w:cs="Times New Roman"/>
              </w:rPr>
            </w:pPr>
            <w:r>
              <w:rPr>
                <w:rFonts w:cs="Times New Roman"/>
              </w:rPr>
              <w:t xml:space="preserve">5,455 </w:t>
            </w:r>
          </w:p>
        </w:tc>
      </w:tr>
    </w:tbl>
    <w:p w14:paraId="0A4396CC" w14:textId="77777777" w:rsidR="00C57C9F" w:rsidRDefault="00C57C9F">
      <w:pPr>
        <w:pStyle w:val="3fins-table"/>
        <w:divId w:val="1675300298"/>
        <w:rPr>
          <w:rFonts w:cs="Times New Roman"/>
          <w:lang w:val="en-AU"/>
        </w:rPr>
      </w:pPr>
      <w:r>
        <w:rPr>
          <w:rFonts w:cs="Times New Roman"/>
          <w:lang w:val="en-AU"/>
        </w:rPr>
        <w:t>The primary statements of these financial statements represent the Major Classes of Departmental Expense, Income, Assets and Liabilities by Outcome, as required by the FMOs. Accordingly these tables are not repeated in note 19.</w:t>
      </w:r>
    </w:p>
    <w:p w14:paraId="0FFB7F70" w14:textId="176D8BD9" w:rsidR="006F421D" w:rsidRDefault="006F421D">
      <w:pPr>
        <w:spacing w:after="0"/>
        <w:rPr>
          <w:rFonts w:cs="Times New Roman"/>
          <w:lang w:val="en-GB"/>
        </w:rPr>
      </w:pPr>
      <w:r>
        <w:rPr>
          <w:rFonts w:cs="Times New Roman"/>
          <w:lang w:val="en-GB"/>
        </w:rPr>
        <w:br w:type="page"/>
      </w:r>
    </w:p>
    <w:p w14:paraId="77E86B26" w14:textId="77777777" w:rsidR="006F421D" w:rsidRPr="00746F3C" w:rsidRDefault="006F421D" w:rsidP="00C83FFA">
      <w:pPr>
        <w:pStyle w:val="Heading1"/>
        <w:divId w:val="1049693308"/>
        <w:rPr>
          <w:rStyle w:val="S8colours"/>
          <w:color w:val="3A72AB"/>
        </w:rPr>
      </w:pPr>
      <w:bookmarkStart w:id="49" w:name="_Toc414011907"/>
      <w:r w:rsidRPr="00746F3C">
        <w:rPr>
          <w:rStyle w:val="colourss8"/>
          <w:rFonts w:cs="Times New Roman"/>
          <w:color w:val="3A72AB"/>
        </w:rPr>
        <w:lastRenderedPageBreak/>
        <w:t xml:space="preserve">7 </w:t>
      </w:r>
      <w:r w:rsidRPr="00746F3C">
        <w:rPr>
          <w:rStyle w:val="S8colours"/>
          <w:color w:val="3A72AB"/>
        </w:rPr>
        <w:t>Appendices</w:t>
      </w:r>
      <w:bookmarkEnd w:id="49"/>
    </w:p>
    <w:p w14:paraId="2A638E76" w14:textId="4DA80E8C"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A:</w:t>
      </w:r>
      <w:r w:rsidRPr="00746F3C">
        <w:rPr>
          <w:rStyle w:val="colourss8"/>
          <w:rFonts w:cs="Times New Roman"/>
          <w:lang w:val="en-GB"/>
        </w:rPr>
        <w:tab/>
        <w:t>Publications</w:t>
      </w:r>
      <w:r>
        <w:rPr>
          <w:rStyle w:val="colourss8"/>
          <w:rFonts w:cs="Times New Roman"/>
          <w:lang w:val="en-GB"/>
        </w:rPr>
        <w:tab/>
      </w:r>
      <w:r w:rsidRPr="00746F3C">
        <w:rPr>
          <w:rStyle w:val="colourss8"/>
          <w:rFonts w:cs="Times New Roman"/>
          <w:lang w:val="en-GB"/>
        </w:rPr>
        <w:t>1</w:t>
      </w:r>
      <w:r w:rsidR="003A337D">
        <w:rPr>
          <w:rStyle w:val="colourss8"/>
          <w:rFonts w:cs="Times New Roman"/>
          <w:lang w:val="en-GB"/>
        </w:rPr>
        <w:t>11</w:t>
      </w:r>
    </w:p>
    <w:p w14:paraId="485D0FDF" w14:textId="6232860B"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B:</w:t>
      </w:r>
      <w:r w:rsidRPr="00746F3C">
        <w:rPr>
          <w:rStyle w:val="colourss8"/>
          <w:rFonts w:cs="Times New Roman"/>
          <w:lang w:val="en-GB"/>
        </w:rPr>
        <w:tab/>
        <w:t>Published articles</w:t>
      </w:r>
      <w:r>
        <w:rPr>
          <w:rStyle w:val="colourss8"/>
          <w:rFonts w:cs="Times New Roman"/>
          <w:lang w:val="en-GB"/>
        </w:rPr>
        <w:tab/>
      </w:r>
      <w:r w:rsidRPr="00746F3C">
        <w:rPr>
          <w:rStyle w:val="colourss8"/>
          <w:rFonts w:cs="Times New Roman"/>
          <w:lang w:val="en-GB"/>
        </w:rPr>
        <w:t>1</w:t>
      </w:r>
      <w:r w:rsidR="003A337D">
        <w:rPr>
          <w:rStyle w:val="colourss8"/>
          <w:rFonts w:cs="Times New Roman"/>
          <w:lang w:val="en-GB"/>
        </w:rPr>
        <w:t>13</w:t>
      </w:r>
    </w:p>
    <w:p w14:paraId="3536B109" w14:textId="7D958EDD"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C:</w:t>
      </w:r>
      <w:r w:rsidRPr="00746F3C">
        <w:rPr>
          <w:rStyle w:val="colourss8"/>
          <w:rFonts w:cs="Times New Roman"/>
          <w:lang w:val="en-GB"/>
        </w:rPr>
        <w:tab/>
        <w:t>Engagement in research</w:t>
      </w:r>
      <w:r>
        <w:rPr>
          <w:rStyle w:val="colourss8"/>
          <w:rFonts w:cs="Times New Roman"/>
          <w:lang w:val="en-GB"/>
        </w:rPr>
        <w:tab/>
      </w:r>
      <w:r w:rsidRPr="00746F3C">
        <w:rPr>
          <w:rStyle w:val="colourss8"/>
          <w:rFonts w:cs="Times New Roman"/>
          <w:lang w:val="en-GB"/>
        </w:rPr>
        <w:t>1</w:t>
      </w:r>
      <w:r w:rsidR="003A337D">
        <w:rPr>
          <w:rStyle w:val="colourss8"/>
          <w:rFonts w:cs="Times New Roman"/>
          <w:lang w:val="en-GB"/>
        </w:rPr>
        <w:t>14</w:t>
      </w:r>
    </w:p>
    <w:p w14:paraId="0E3263A4" w14:textId="7B95DBA7"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D:</w:t>
      </w:r>
      <w:r w:rsidRPr="00746F3C">
        <w:rPr>
          <w:rStyle w:val="colourss8"/>
          <w:rFonts w:cs="Times New Roman"/>
          <w:lang w:val="en-GB"/>
        </w:rPr>
        <w:tab/>
        <w:t>Event sponsorship</w:t>
      </w:r>
      <w:r>
        <w:rPr>
          <w:rStyle w:val="colourss8"/>
          <w:rFonts w:cs="Times New Roman"/>
          <w:lang w:val="en-GB"/>
        </w:rPr>
        <w:tab/>
      </w:r>
      <w:r w:rsidRPr="00746F3C">
        <w:rPr>
          <w:rStyle w:val="colourss8"/>
          <w:rFonts w:cs="Times New Roman"/>
          <w:lang w:val="en-GB"/>
        </w:rPr>
        <w:t>1</w:t>
      </w:r>
      <w:r w:rsidR="003A337D">
        <w:rPr>
          <w:rStyle w:val="colourss8"/>
          <w:rFonts w:cs="Times New Roman"/>
          <w:lang w:val="en-GB"/>
        </w:rPr>
        <w:t>15</w:t>
      </w:r>
    </w:p>
    <w:p w14:paraId="3E2534FD" w14:textId="70ABDD30"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E:</w:t>
      </w:r>
      <w:r w:rsidRPr="00746F3C">
        <w:rPr>
          <w:rStyle w:val="colourss8"/>
          <w:rFonts w:cs="Times New Roman"/>
          <w:lang w:val="en-GB"/>
        </w:rPr>
        <w:tab/>
        <w:t>External representations</w:t>
      </w:r>
      <w:r>
        <w:rPr>
          <w:rStyle w:val="colourss8"/>
          <w:rFonts w:cs="Times New Roman"/>
          <w:lang w:val="en-GB"/>
        </w:rPr>
        <w:tab/>
      </w:r>
      <w:r w:rsidR="003A337D">
        <w:rPr>
          <w:rStyle w:val="colourss8"/>
          <w:rFonts w:cs="Times New Roman"/>
          <w:lang w:val="en-GB"/>
        </w:rPr>
        <w:t>116</w:t>
      </w:r>
    </w:p>
    <w:p w14:paraId="346EA068" w14:textId="664C449E"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F:</w:t>
      </w:r>
      <w:r w:rsidRPr="00746F3C">
        <w:rPr>
          <w:rStyle w:val="colourss8"/>
          <w:rFonts w:cs="Times New Roman"/>
          <w:lang w:val="en-GB"/>
        </w:rPr>
        <w:tab/>
        <w:t>Formal consultations</w:t>
      </w:r>
      <w:r>
        <w:rPr>
          <w:rStyle w:val="colourss8"/>
          <w:rFonts w:cs="Times New Roman"/>
          <w:lang w:val="en-GB"/>
        </w:rPr>
        <w:tab/>
      </w:r>
      <w:r w:rsidRPr="00746F3C">
        <w:rPr>
          <w:rStyle w:val="colourss8"/>
          <w:rFonts w:cs="Times New Roman"/>
          <w:lang w:val="en-GB"/>
        </w:rPr>
        <w:t>1</w:t>
      </w:r>
      <w:r w:rsidR="003A337D">
        <w:rPr>
          <w:rStyle w:val="colourss8"/>
          <w:rFonts w:cs="Times New Roman"/>
          <w:lang w:val="en-GB"/>
        </w:rPr>
        <w:t>18</w:t>
      </w:r>
    </w:p>
    <w:p w14:paraId="130C8F19" w14:textId="6E9B4207"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G:</w:t>
      </w:r>
      <w:r w:rsidRPr="00746F3C">
        <w:rPr>
          <w:rStyle w:val="colourss8"/>
          <w:rFonts w:cs="Times New Roman"/>
          <w:lang w:val="en-GB"/>
        </w:rPr>
        <w:tab/>
        <w:t>Freedom of Information summary</w:t>
      </w:r>
      <w:r>
        <w:rPr>
          <w:rStyle w:val="colourss8"/>
          <w:rFonts w:cs="Times New Roman"/>
          <w:lang w:val="en-GB"/>
        </w:rPr>
        <w:tab/>
      </w:r>
      <w:r w:rsidRPr="00746F3C">
        <w:rPr>
          <w:rStyle w:val="colourss8"/>
          <w:rFonts w:cs="Times New Roman"/>
          <w:lang w:val="en-GB"/>
        </w:rPr>
        <w:t>1</w:t>
      </w:r>
      <w:r w:rsidR="00E55AEE">
        <w:rPr>
          <w:rStyle w:val="colourss8"/>
          <w:rFonts w:cs="Times New Roman"/>
          <w:lang w:val="en-GB"/>
        </w:rPr>
        <w:t>20</w:t>
      </w:r>
    </w:p>
    <w:p w14:paraId="63DA7956" w14:textId="60CF73A9" w:rsidR="006F421D" w:rsidRPr="00746F3C" w:rsidRDefault="006F421D" w:rsidP="006F421D">
      <w:pPr>
        <w:pStyle w:val="0contents-level-2-section-start"/>
        <w:tabs>
          <w:tab w:val="left" w:pos="1417"/>
        </w:tabs>
        <w:divId w:val="1049693308"/>
        <w:rPr>
          <w:rFonts w:cs="Times New Roman"/>
          <w:lang w:val="en-GB"/>
        </w:rPr>
      </w:pPr>
      <w:r w:rsidRPr="00746F3C">
        <w:rPr>
          <w:rStyle w:val="colourss8"/>
          <w:rFonts w:cs="Times New Roman"/>
          <w:lang w:val="en-GB"/>
        </w:rPr>
        <w:t>Appendix H:</w:t>
      </w:r>
      <w:r w:rsidRPr="00746F3C">
        <w:rPr>
          <w:rStyle w:val="colourss8"/>
          <w:rFonts w:cs="Times New Roman"/>
          <w:lang w:val="en-GB"/>
        </w:rPr>
        <w:tab/>
        <w:t>Compliance to ecologically sustainable development</w:t>
      </w:r>
      <w:r>
        <w:rPr>
          <w:rStyle w:val="colourss8"/>
          <w:rFonts w:cs="Times New Roman"/>
          <w:lang w:val="en-GB"/>
        </w:rPr>
        <w:tab/>
      </w:r>
      <w:r w:rsidRPr="00746F3C">
        <w:rPr>
          <w:rStyle w:val="colourss8"/>
          <w:rFonts w:cs="Times New Roman"/>
          <w:lang w:val="en-GB"/>
        </w:rPr>
        <w:t>1</w:t>
      </w:r>
      <w:r w:rsidR="00E55AEE">
        <w:rPr>
          <w:rStyle w:val="colourss8"/>
          <w:rFonts w:cs="Times New Roman"/>
          <w:lang w:val="en-GB"/>
        </w:rPr>
        <w:t>21</w:t>
      </w:r>
    </w:p>
    <w:p w14:paraId="4F6DCE7A" w14:textId="77777777" w:rsidR="006F421D" w:rsidRDefault="006F421D">
      <w:pPr>
        <w:rPr>
          <w:rFonts w:cs="Times New Roman"/>
          <w:lang w:val="en-GB"/>
        </w:rPr>
      </w:pPr>
      <w:r>
        <w:rPr>
          <w:rFonts w:cs="Times New Roman"/>
          <w:lang w:val="en-GB"/>
        </w:rPr>
        <w:br w:type="page"/>
      </w:r>
    </w:p>
    <w:p w14:paraId="42971049" w14:textId="1B4B0402" w:rsidR="006F421D" w:rsidRDefault="006F421D" w:rsidP="00093444">
      <w:pPr>
        <w:pStyle w:val="Heading2"/>
        <w:divId w:val="1204950834"/>
        <w:rPr>
          <w:lang w:val="en-GB"/>
        </w:rPr>
      </w:pPr>
      <w:bookmarkStart w:id="50" w:name="_Toc414011908"/>
      <w:r w:rsidRPr="00746F3C">
        <w:rPr>
          <w:lang w:val="en-GB"/>
        </w:rPr>
        <w:lastRenderedPageBreak/>
        <w:t>Appendix</w:t>
      </w:r>
      <w:r>
        <w:rPr>
          <w:lang w:val="en-GB"/>
        </w:rPr>
        <w:t xml:space="preserve"> A</w:t>
      </w:r>
      <w:bookmarkEnd w:id="50"/>
      <w:r w:rsidR="00093444">
        <w:rPr>
          <w:lang w:val="en-GB"/>
        </w:rPr>
        <w:t xml:space="preserve">: </w:t>
      </w:r>
      <w:r w:rsidR="00093444" w:rsidRPr="00746F3C">
        <w:rPr>
          <w:rFonts w:cs="Times New Roman"/>
          <w:lang w:val="en-GB"/>
        </w:rPr>
        <w:t>Publications</w:t>
      </w:r>
    </w:p>
    <w:p w14:paraId="3858A4ED" w14:textId="022AACEA" w:rsidR="006F421D" w:rsidRDefault="006F421D">
      <w:pPr>
        <w:pStyle w:val="financials01heading-level-2"/>
        <w:divId w:val="1204950834"/>
        <w:rPr>
          <w:rFonts w:cs="Times New Roman"/>
          <w:lang w:val="en-GB"/>
        </w:rPr>
      </w:pPr>
    </w:p>
    <w:p w14:paraId="3BBBDADC" w14:textId="77777777" w:rsidR="006F421D" w:rsidRDefault="006F421D">
      <w:pPr>
        <w:pStyle w:val="2body-copy"/>
        <w:divId w:val="1204950834"/>
        <w:rPr>
          <w:rFonts w:cs="Times New Roman"/>
          <w:lang w:val="en-GB"/>
        </w:rPr>
      </w:pPr>
      <w:r>
        <w:rPr>
          <w:rFonts w:cs="Times New Roman"/>
          <w:lang w:val="en-GB"/>
        </w:rPr>
        <w:t xml:space="preserve">The following table summarises the key publications released by the Commission during 2013/14, as discussed on page 51. Additional newsletters, resources and other materials that have been released throughout the year have not been listed here but are available via the Commission’s web site. </w:t>
      </w:r>
    </w:p>
    <w:p w14:paraId="30C7FDB1" w14:textId="77777777" w:rsidR="006F421D" w:rsidRPr="00B5571E" w:rsidRDefault="006F421D" w:rsidP="006F421D">
      <w:pPr>
        <w:pStyle w:val="3-figure"/>
        <w:divId w:val="1204950834"/>
        <w:rPr>
          <w:rStyle w:val="2body-medium"/>
        </w:rPr>
      </w:pPr>
      <w:r w:rsidRPr="00B5571E">
        <w:rPr>
          <w:rStyle w:val="2body-medium"/>
        </w:rPr>
        <w:t>Table 3: Key Commission publications released during 2013/14</w:t>
      </w:r>
    </w:p>
    <w:tbl>
      <w:tblPr>
        <w:tblW w:w="0" w:type="auto"/>
        <w:tblCellMar>
          <w:top w:w="28" w:type="dxa"/>
          <w:left w:w="57" w:type="dxa"/>
          <w:bottom w:w="28" w:type="dxa"/>
          <w:right w:w="57" w:type="dxa"/>
        </w:tblCellMar>
        <w:tblLook w:val="04A0" w:firstRow="1" w:lastRow="0" w:firstColumn="1" w:lastColumn="0" w:noHBand="0" w:noVBand="1"/>
      </w:tblPr>
      <w:tblGrid>
        <w:gridCol w:w="3751"/>
        <w:gridCol w:w="5521"/>
        <w:gridCol w:w="1041"/>
      </w:tblGrid>
      <w:tr w:rsidR="006F421D" w14:paraId="761EB101" w14:textId="77777777" w:rsidTr="006F421D">
        <w:trPr>
          <w:divId w:val="1204950834"/>
          <w:tblHeader/>
        </w:trPr>
        <w:tc>
          <w:tcPr>
            <w:tcW w:w="0" w:type="auto"/>
            <w:shd w:val="clear" w:color="auto" w:fill="005C7E"/>
            <w:vAlign w:val="center"/>
            <w:hideMark/>
          </w:tcPr>
          <w:p w14:paraId="035C4BFE" w14:textId="77777777" w:rsidR="006F421D" w:rsidRDefault="006F421D" w:rsidP="006F421D">
            <w:pPr>
              <w:pStyle w:val="financials03table-header-l"/>
              <w:spacing w:before="40" w:after="40"/>
              <w:rPr>
                <w:rFonts w:cs="Times New Roman"/>
              </w:rPr>
            </w:pPr>
            <w:r>
              <w:rPr>
                <w:rFonts w:cs="Times New Roman"/>
              </w:rPr>
              <w:t>P</w:t>
            </w:r>
            <w:r w:rsidRPr="00746F3C">
              <w:rPr>
                <w:rFonts w:cs="Times New Roman"/>
              </w:rPr>
              <w:t>ublicatio</w:t>
            </w:r>
            <w:r>
              <w:rPr>
                <w:rFonts w:cs="Times New Roman"/>
              </w:rPr>
              <w:t>n</w:t>
            </w:r>
          </w:p>
        </w:tc>
        <w:tc>
          <w:tcPr>
            <w:tcW w:w="0" w:type="auto"/>
            <w:shd w:val="clear" w:color="auto" w:fill="005C7E"/>
            <w:vAlign w:val="center"/>
            <w:hideMark/>
          </w:tcPr>
          <w:p w14:paraId="06DBF6D7" w14:textId="77777777" w:rsidR="006F421D" w:rsidRDefault="006F421D" w:rsidP="006F421D">
            <w:pPr>
              <w:pStyle w:val="financials03table-header-l"/>
              <w:spacing w:before="40" w:after="40"/>
              <w:rPr>
                <w:rFonts w:cs="Times New Roman"/>
              </w:rPr>
            </w:pPr>
            <w:r>
              <w:rPr>
                <w:rFonts w:cs="Times New Roman"/>
              </w:rPr>
              <w:t>Description</w:t>
            </w:r>
          </w:p>
        </w:tc>
        <w:tc>
          <w:tcPr>
            <w:tcW w:w="0" w:type="auto"/>
            <w:shd w:val="clear" w:color="auto" w:fill="005C7E"/>
            <w:vAlign w:val="center"/>
            <w:hideMark/>
          </w:tcPr>
          <w:p w14:paraId="3F9945FC" w14:textId="77777777" w:rsidR="006F421D" w:rsidRDefault="006F421D" w:rsidP="006F421D">
            <w:pPr>
              <w:pStyle w:val="financials03table-header-l"/>
              <w:spacing w:before="40" w:after="40"/>
              <w:rPr>
                <w:rFonts w:cs="Times New Roman"/>
              </w:rPr>
            </w:pPr>
            <w:r>
              <w:rPr>
                <w:rFonts w:cs="Times New Roman"/>
              </w:rPr>
              <w:t>Date released</w:t>
            </w:r>
          </w:p>
        </w:tc>
      </w:tr>
      <w:tr w:rsidR="006F421D" w14:paraId="03AE5E55" w14:textId="77777777" w:rsidTr="006F421D">
        <w:trPr>
          <w:divId w:val="1204950834"/>
        </w:trPr>
        <w:tc>
          <w:tcPr>
            <w:tcW w:w="0" w:type="auto"/>
            <w:tcBorders>
              <w:bottom w:val="dotted" w:sz="8" w:space="0" w:color="005C7E"/>
            </w:tcBorders>
            <w:shd w:val="clear" w:color="auto" w:fill="82A9BA"/>
            <w:vAlign w:val="center"/>
            <w:hideMark/>
          </w:tcPr>
          <w:p w14:paraId="1279791D" w14:textId="77777777" w:rsidR="006F421D" w:rsidRDefault="006F421D" w:rsidP="006F421D">
            <w:pPr>
              <w:pStyle w:val="financials03table-body-l"/>
              <w:spacing w:before="40" w:after="40"/>
              <w:rPr>
                <w:rFonts w:cs="Times New Roman"/>
              </w:rPr>
            </w:pPr>
            <w:r>
              <w:rPr>
                <w:rStyle w:val="2body-medium"/>
                <w:rFonts w:cs="Times New Roman"/>
              </w:rPr>
              <w:t>Clinical Care Standards</w:t>
            </w:r>
          </w:p>
        </w:tc>
        <w:tc>
          <w:tcPr>
            <w:tcW w:w="0" w:type="auto"/>
            <w:tcBorders>
              <w:bottom w:val="dotted" w:sz="8" w:space="0" w:color="005C7E"/>
            </w:tcBorders>
            <w:shd w:val="clear" w:color="auto" w:fill="82A9BA"/>
            <w:vAlign w:val="center"/>
            <w:hideMark/>
          </w:tcPr>
          <w:p w14:paraId="592809DA" w14:textId="77777777" w:rsidR="006F421D" w:rsidRDefault="006F421D" w:rsidP="006F421D">
            <w:pPr>
              <w:spacing w:before="40" w:after="40"/>
              <w:rPr>
                <w:rFonts w:ascii="Times" w:eastAsia="Times New Roman" w:hAnsi="Times" w:cs="Times New Roman"/>
              </w:rPr>
            </w:pPr>
          </w:p>
        </w:tc>
        <w:tc>
          <w:tcPr>
            <w:tcW w:w="0" w:type="auto"/>
            <w:tcBorders>
              <w:bottom w:val="dotted" w:sz="8" w:space="0" w:color="005C7E"/>
            </w:tcBorders>
            <w:shd w:val="clear" w:color="auto" w:fill="82A9BA"/>
            <w:vAlign w:val="center"/>
            <w:hideMark/>
          </w:tcPr>
          <w:p w14:paraId="700ED280" w14:textId="77777777" w:rsidR="006F421D" w:rsidRDefault="006F421D" w:rsidP="006F421D">
            <w:pPr>
              <w:spacing w:before="40" w:after="40"/>
              <w:rPr>
                <w:rFonts w:ascii="Times" w:eastAsia="Times New Roman" w:hAnsi="Times" w:cs="Times New Roman"/>
              </w:rPr>
            </w:pPr>
          </w:p>
        </w:tc>
      </w:tr>
      <w:tr w:rsidR="006F421D" w14:paraId="0AF9740C"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36590A9" w14:textId="77777777" w:rsidR="006F421D" w:rsidRDefault="006F421D" w:rsidP="006F421D">
            <w:pPr>
              <w:pStyle w:val="financials03table-body-l"/>
              <w:spacing w:before="40" w:after="40"/>
              <w:rPr>
                <w:rFonts w:cs="Times New Roman"/>
              </w:rPr>
            </w:pPr>
            <w:r>
              <w:rPr>
                <w:rStyle w:val="2body-italic"/>
                <w:rFonts w:cs="Times New Roman"/>
              </w:rPr>
              <w:t xml:space="preserve">Consultation draft Clinical Care Standard </w:t>
            </w:r>
            <w:r>
              <w:rPr>
                <w:rFonts w:cs="Times New Roman"/>
              </w:rPr>
              <w:br/>
            </w:r>
            <w:r>
              <w:rPr>
                <w:rStyle w:val="2body-italic"/>
                <w:rFonts w:cs="Times New Roman"/>
              </w:rPr>
              <w:t>for Acute Coronary Syndrome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A6B7C8E" w14:textId="77777777" w:rsidR="006F421D" w:rsidRDefault="006F421D" w:rsidP="006F421D">
            <w:pPr>
              <w:pStyle w:val="financials03table-body-l"/>
              <w:spacing w:before="40" w:after="40"/>
              <w:rPr>
                <w:rFonts w:cs="Times New Roman"/>
              </w:rPr>
            </w:pPr>
            <w:r>
              <w:rPr>
                <w:rFonts w:cs="Times New Roman"/>
              </w:rPr>
              <w:t>This draft Clinical Care Standard describes the care that a person with acute coronary syndrome should receive from the onset of symptoms to the completion of their treatment in hospital. The draft was released as part of a public consultation process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89659A3"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09251916"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EE59BD2" w14:textId="77777777" w:rsidR="006F421D" w:rsidRDefault="006F421D" w:rsidP="006F421D">
            <w:pPr>
              <w:pStyle w:val="financials03table-body-l"/>
              <w:spacing w:before="40" w:after="40"/>
              <w:rPr>
                <w:rFonts w:cs="Times New Roman"/>
              </w:rPr>
            </w:pPr>
            <w:r>
              <w:rPr>
                <w:rStyle w:val="2body-italic"/>
                <w:rFonts w:cs="Times New Roman"/>
              </w:rPr>
              <w:t xml:space="preserve">Consultation draft Clinical Care Standard </w:t>
            </w:r>
            <w:r>
              <w:rPr>
                <w:rFonts w:cs="Times New Roman"/>
              </w:rPr>
              <w:br/>
            </w:r>
            <w:r>
              <w:rPr>
                <w:rStyle w:val="2body-italic"/>
                <w:rFonts w:cs="Times New Roman"/>
              </w:rPr>
              <w:t>for Antimicrobial Stewardship</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9978840" w14:textId="77777777" w:rsidR="006F421D" w:rsidRDefault="006F421D" w:rsidP="006F421D">
            <w:pPr>
              <w:pStyle w:val="financials03table-body-l"/>
              <w:spacing w:before="40" w:after="40"/>
              <w:rPr>
                <w:rFonts w:cs="Times New Roman"/>
              </w:rPr>
            </w:pPr>
            <w:r>
              <w:rPr>
                <w:rFonts w:cs="Times New Roman"/>
              </w:rPr>
              <w:t>This draft Clinical Care Standard describes the care a person should receive when they have, or are suspected to have, a bacterial infection in hospital. The draft was released as part of a public consultation process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552EB98"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1514B165"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6F402600" w14:textId="77777777" w:rsidR="006F421D" w:rsidRDefault="006F421D" w:rsidP="006F421D">
            <w:pPr>
              <w:pStyle w:val="financials03table-body-l"/>
              <w:spacing w:before="40" w:after="40"/>
              <w:rPr>
                <w:rFonts w:cs="Times New Roman"/>
              </w:rPr>
            </w:pPr>
            <w:r>
              <w:rPr>
                <w:rStyle w:val="2body-italic"/>
                <w:rFonts w:cs="Times New Roman"/>
              </w:rPr>
              <w:t xml:space="preserve">Consultation draft Clinical Care Standard </w:t>
            </w:r>
            <w:r>
              <w:rPr>
                <w:rFonts w:cs="Times New Roman"/>
              </w:rPr>
              <w:br/>
            </w:r>
            <w:r>
              <w:rPr>
                <w:rStyle w:val="2body-italic"/>
                <w:rFonts w:cs="Times New Roman"/>
              </w:rPr>
              <w:t>for Stroke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AFEB302" w14:textId="77777777" w:rsidR="006F421D" w:rsidRDefault="006F421D" w:rsidP="006F421D">
            <w:pPr>
              <w:pStyle w:val="financials03table-body-l"/>
              <w:spacing w:before="40" w:after="40"/>
              <w:rPr>
                <w:rFonts w:cs="Times New Roman"/>
              </w:rPr>
            </w:pPr>
            <w:r>
              <w:rPr>
                <w:rFonts w:cs="Times New Roman"/>
              </w:rPr>
              <w:t>This draft Clinical Care Standard describes the care a person with stroke should receive from the onset of symptoms to the completion of their treatment in hospital. The draft was released as part of a public consultation process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8260181" w14:textId="77777777" w:rsidR="006F421D" w:rsidRDefault="006F421D" w:rsidP="006F421D">
            <w:pPr>
              <w:pStyle w:val="financials03table-body-l"/>
              <w:spacing w:before="40" w:after="40"/>
              <w:rPr>
                <w:rFonts w:cs="Times New Roman"/>
              </w:rPr>
            </w:pPr>
            <w:r>
              <w:rPr>
                <w:rFonts w:cs="Times New Roman"/>
              </w:rPr>
              <w:t>April 2014</w:t>
            </w:r>
          </w:p>
        </w:tc>
      </w:tr>
      <w:tr w:rsidR="006F421D" w14:paraId="50D6F354" w14:textId="77777777" w:rsidTr="006F421D">
        <w:trPr>
          <w:divId w:val="1204950834"/>
        </w:trPr>
        <w:tc>
          <w:tcPr>
            <w:tcW w:w="0" w:type="auto"/>
            <w:tcBorders>
              <w:top w:val="dotted" w:sz="8" w:space="0" w:color="005C7E"/>
              <w:bottom w:val="dotted" w:sz="8" w:space="0" w:color="005C7E"/>
            </w:tcBorders>
            <w:shd w:val="clear" w:color="auto" w:fill="82A9BA"/>
            <w:vAlign w:val="center"/>
            <w:hideMark/>
          </w:tcPr>
          <w:p w14:paraId="55E62903" w14:textId="77777777" w:rsidR="006F421D" w:rsidRDefault="006F421D" w:rsidP="006F421D">
            <w:pPr>
              <w:pStyle w:val="financials03table-body-l"/>
              <w:spacing w:before="40" w:after="40"/>
              <w:rPr>
                <w:rFonts w:cs="Times New Roman"/>
              </w:rPr>
            </w:pPr>
            <w:r>
              <w:rPr>
                <w:rStyle w:val="2body-medium"/>
                <w:rFonts w:cs="Times New Roman"/>
              </w:rPr>
              <w:t>End-of-life care</w:t>
            </w:r>
          </w:p>
        </w:tc>
        <w:tc>
          <w:tcPr>
            <w:tcW w:w="0" w:type="auto"/>
            <w:tcBorders>
              <w:top w:val="dotted" w:sz="8" w:space="0" w:color="005C7E"/>
              <w:bottom w:val="dotted" w:sz="8" w:space="0" w:color="005C7E"/>
            </w:tcBorders>
            <w:shd w:val="clear" w:color="auto" w:fill="82A9BA"/>
            <w:vAlign w:val="center"/>
            <w:hideMark/>
          </w:tcPr>
          <w:p w14:paraId="79C03034"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bottom w:val="dotted" w:sz="8" w:space="0" w:color="005C7E"/>
            </w:tcBorders>
            <w:shd w:val="clear" w:color="auto" w:fill="82A9BA"/>
            <w:vAlign w:val="center"/>
            <w:hideMark/>
          </w:tcPr>
          <w:p w14:paraId="5D062C1B" w14:textId="77777777" w:rsidR="006F421D" w:rsidRDefault="006F421D" w:rsidP="006F421D">
            <w:pPr>
              <w:spacing w:before="40" w:after="40"/>
              <w:rPr>
                <w:rFonts w:ascii="Times" w:eastAsia="Times New Roman" w:hAnsi="Times" w:cs="Times New Roman"/>
              </w:rPr>
            </w:pPr>
          </w:p>
        </w:tc>
      </w:tr>
      <w:tr w:rsidR="006F421D" w14:paraId="4892DC4E"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6141D074" w14:textId="77777777" w:rsidR="006F421D" w:rsidRDefault="006F421D" w:rsidP="006F421D">
            <w:pPr>
              <w:pStyle w:val="financials03table-body-l"/>
              <w:spacing w:before="40" w:after="40"/>
              <w:rPr>
                <w:rFonts w:cs="Times New Roman"/>
              </w:rPr>
            </w:pPr>
            <w:r>
              <w:rPr>
                <w:rStyle w:val="2body-italic"/>
                <w:rFonts w:cs="Times New Roman"/>
              </w:rPr>
              <w:t xml:space="preserve">Safety and Quality of End-of-life Care: </w:t>
            </w:r>
            <w:r>
              <w:rPr>
                <w:rFonts w:cs="Times New Roman"/>
              </w:rPr>
              <w:br/>
            </w:r>
            <w:r>
              <w:rPr>
                <w:rStyle w:val="2body-italic"/>
                <w:rFonts w:cs="Times New Roman"/>
              </w:rPr>
              <w:t>A Background Paper</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4E6E468" w14:textId="77777777" w:rsidR="006F421D" w:rsidRDefault="006F421D" w:rsidP="006F421D">
            <w:pPr>
              <w:pStyle w:val="financials03table-body-l"/>
              <w:spacing w:before="40" w:after="40"/>
              <w:rPr>
                <w:rFonts w:cs="Times New Roman"/>
              </w:rPr>
            </w:pPr>
            <w:r>
              <w:rPr>
                <w:rFonts w:cs="Times New Roman"/>
              </w:rPr>
              <w:t>An overview of the current policy and clinical framework for end-of-life care within the Australian acute healthcare settings as interpreted by consumers, clinicians and policy makers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8D543B3" w14:textId="77777777" w:rsidR="006F421D" w:rsidRDefault="006F421D" w:rsidP="006F421D">
            <w:pPr>
              <w:pStyle w:val="financials03table-body-l"/>
              <w:spacing w:before="40" w:after="40"/>
              <w:rPr>
                <w:rFonts w:cs="Times New Roman"/>
              </w:rPr>
            </w:pPr>
            <w:r>
              <w:rPr>
                <w:rFonts w:cs="Times New Roman"/>
              </w:rPr>
              <w:t>September 2013</w:t>
            </w:r>
          </w:p>
        </w:tc>
      </w:tr>
      <w:tr w:rsidR="006F421D" w14:paraId="15EC961D" w14:textId="77777777" w:rsidTr="006F421D">
        <w:trPr>
          <w:divId w:val="1204950834"/>
        </w:trPr>
        <w:tc>
          <w:tcPr>
            <w:tcW w:w="0" w:type="auto"/>
            <w:tcBorders>
              <w:top w:val="dotted" w:sz="8" w:space="0" w:color="005C7E"/>
              <w:bottom w:val="dotted" w:sz="8" w:space="0" w:color="005C7E"/>
            </w:tcBorders>
            <w:shd w:val="clear" w:color="auto" w:fill="82A9BA"/>
            <w:vAlign w:val="center"/>
            <w:hideMark/>
          </w:tcPr>
          <w:p w14:paraId="451A719B" w14:textId="77777777" w:rsidR="006F421D" w:rsidRDefault="006F421D" w:rsidP="006F421D">
            <w:pPr>
              <w:pStyle w:val="financials03table-body-l"/>
              <w:spacing w:before="40" w:after="40"/>
              <w:rPr>
                <w:rFonts w:cs="Times New Roman"/>
              </w:rPr>
            </w:pPr>
            <w:r>
              <w:rPr>
                <w:rStyle w:val="2body-medium"/>
                <w:rFonts w:cs="Times New Roman"/>
              </w:rPr>
              <w:t>Health literacy</w:t>
            </w:r>
          </w:p>
        </w:tc>
        <w:tc>
          <w:tcPr>
            <w:tcW w:w="0" w:type="auto"/>
            <w:tcBorders>
              <w:top w:val="dotted" w:sz="8" w:space="0" w:color="005C7E"/>
              <w:bottom w:val="dotted" w:sz="8" w:space="0" w:color="005C7E"/>
            </w:tcBorders>
            <w:shd w:val="clear" w:color="auto" w:fill="82A9BA"/>
            <w:vAlign w:val="center"/>
            <w:hideMark/>
          </w:tcPr>
          <w:p w14:paraId="228515E9"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bottom w:val="dotted" w:sz="8" w:space="0" w:color="005C7E"/>
            </w:tcBorders>
            <w:shd w:val="clear" w:color="auto" w:fill="82A9BA"/>
            <w:vAlign w:val="center"/>
            <w:hideMark/>
          </w:tcPr>
          <w:p w14:paraId="66A653E0" w14:textId="77777777" w:rsidR="006F421D" w:rsidRDefault="006F421D" w:rsidP="006F421D">
            <w:pPr>
              <w:spacing w:before="40" w:after="40"/>
              <w:rPr>
                <w:rFonts w:ascii="Times" w:eastAsia="Times New Roman" w:hAnsi="Times" w:cs="Times New Roman"/>
              </w:rPr>
            </w:pPr>
          </w:p>
        </w:tc>
      </w:tr>
      <w:tr w:rsidR="006F421D" w14:paraId="18578DCA"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04792EE" w14:textId="77777777" w:rsidR="006F421D" w:rsidRDefault="006F421D" w:rsidP="006F421D">
            <w:pPr>
              <w:pStyle w:val="financials03table-body-l"/>
              <w:spacing w:before="40" w:after="40"/>
              <w:rPr>
                <w:rFonts w:cs="Times New Roman"/>
              </w:rPr>
            </w:pPr>
            <w:r>
              <w:rPr>
                <w:rStyle w:val="2body-italic"/>
                <w:rFonts w:cs="Times New Roman"/>
              </w:rPr>
              <w:t>Health Literacy: Taking Action to Improve Safety and Quality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4DC775F"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8DC5938" w14:textId="77777777" w:rsidR="006F421D" w:rsidRDefault="006F421D" w:rsidP="006F421D">
            <w:pPr>
              <w:pStyle w:val="financials03table-body-l"/>
              <w:spacing w:before="40" w:after="40"/>
              <w:rPr>
                <w:rFonts w:cs="Times New Roman"/>
              </w:rPr>
            </w:pPr>
            <w:r>
              <w:rPr>
                <w:rFonts w:cs="Times New Roman"/>
              </w:rPr>
              <w:t>June 2014</w:t>
            </w:r>
          </w:p>
        </w:tc>
      </w:tr>
      <w:tr w:rsidR="006F421D" w14:paraId="4431AE5F"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1E74D0E" w14:textId="77777777" w:rsidR="006F421D" w:rsidRDefault="006F421D" w:rsidP="006F421D">
            <w:pPr>
              <w:pStyle w:val="financials03table-body-l"/>
              <w:spacing w:before="40" w:after="40"/>
              <w:rPr>
                <w:rFonts w:cs="Times New Roman"/>
              </w:rPr>
            </w:pPr>
            <w:r>
              <w:rPr>
                <w:rStyle w:val="2body-italic"/>
                <w:rFonts w:cs="Times New Roman"/>
              </w:rPr>
              <w:t xml:space="preserve">National Statement – Health Literacy: </w:t>
            </w:r>
            <w:r>
              <w:rPr>
                <w:rFonts w:cs="Times New Roman"/>
              </w:rPr>
              <w:br/>
            </w:r>
            <w:r>
              <w:rPr>
                <w:rStyle w:val="2body-italic"/>
                <w:rFonts w:cs="Times New Roman"/>
              </w:rPr>
              <w:t>Taking Action to Improve Safety and Quality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18407A6"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12644FE" w14:textId="77777777" w:rsidR="006F421D" w:rsidRDefault="006F421D" w:rsidP="006F421D">
            <w:pPr>
              <w:pStyle w:val="financials03table-body-l"/>
              <w:spacing w:before="40" w:after="40"/>
              <w:rPr>
                <w:rFonts w:cs="Times New Roman"/>
              </w:rPr>
            </w:pPr>
            <w:r>
              <w:rPr>
                <w:rFonts w:cs="Times New Roman"/>
              </w:rPr>
              <w:t>June 2014</w:t>
            </w:r>
          </w:p>
        </w:tc>
      </w:tr>
      <w:tr w:rsidR="006F421D" w14:paraId="6BEA9E71" w14:textId="77777777" w:rsidTr="006F421D">
        <w:trPr>
          <w:divId w:val="1204950834"/>
        </w:trPr>
        <w:tc>
          <w:tcPr>
            <w:tcW w:w="0" w:type="auto"/>
            <w:tcBorders>
              <w:top w:val="dotted" w:sz="8" w:space="0" w:color="005C7E"/>
              <w:bottom w:val="dotted" w:sz="8" w:space="0" w:color="005C7E"/>
            </w:tcBorders>
            <w:shd w:val="clear" w:color="auto" w:fill="82A9BA"/>
            <w:vAlign w:val="center"/>
            <w:hideMark/>
          </w:tcPr>
          <w:p w14:paraId="40FB5425" w14:textId="77777777" w:rsidR="006F421D" w:rsidRDefault="006F421D" w:rsidP="006F421D">
            <w:pPr>
              <w:pStyle w:val="financials03table-body-l"/>
              <w:spacing w:before="40" w:after="40"/>
              <w:rPr>
                <w:rFonts w:cs="Times New Roman"/>
              </w:rPr>
            </w:pPr>
            <w:r>
              <w:rPr>
                <w:rStyle w:val="2body-medium"/>
                <w:rFonts w:cs="Times New Roman"/>
              </w:rPr>
              <w:t>Healthcare associated infection</w:t>
            </w:r>
          </w:p>
        </w:tc>
        <w:tc>
          <w:tcPr>
            <w:tcW w:w="0" w:type="auto"/>
            <w:tcBorders>
              <w:top w:val="dotted" w:sz="8" w:space="0" w:color="005C7E"/>
              <w:bottom w:val="dotted" w:sz="8" w:space="0" w:color="005C7E"/>
            </w:tcBorders>
            <w:shd w:val="clear" w:color="auto" w:fill="82A9BA"/>
            <w:vAlign w:val="center"/>
            <w:hideMark/>
          </w:tcPr>
          <w:p w14:paraId="04D7DCEC"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bottom w:val="dotted" w:sz="8" w:space="0" w:color="005C7E"/>
            </w:tcBorders>
            <w:shd w:val="clear" w:color="auto" w:fill="82A9BA"/>
            <w:vAlign w:val="center"/>
            <w:hideMark/>
          </w:tcPr>
          <w:p w14:paraId="6842F62A" w14:textId="77777777" w:rsidR="006F421D" w:rsidRDefault="006F421D" w:rsidP="006F421D">
            <w:pPr>
              <w:spacing w:before="40" w:after="40"/>
              <w:rPr>
                <w:rFonts w:ascii="Times" w:eastAsia="Times New Roman" w:hAnsi="Times" w:cs="Times New Roman"/>
              </w:rPr>
            </w:pPr>
          </w:p>
        </w:tc>
      </w:tr>
      <w:tr w:rsidR="006F421D" w14:paraId="3EC1E0AF"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2CD588D" w14:textId="77777777" w:rsidR="006F421D" w:rsidRDefault="006F421D" w:rsidP="006F421D">
            <w:pPr>
              <w:pStyle w:val="financials03table-body-l"/>
              <w:spacing w:before="40" w:after="40"/>
              <w:rPr>
                <w:rFonts w:cs="Times New Roman"/>
              </w:rPr>
            </w:pPr>
            <w:r>
              <w:rPr>
                <w:rStyle w:val="2body-italic"/>
                <w:rFonts w:cs="Times New Roman"/>
              </w:rPr>
              <w:t xml:space="preserve">A Specification for a Hospital Level </w:t>
            </w:r>
            <w:r>
              <w:rPr>
                <w:rFonts w:cs="Times New Roman"/>
              </w:rPr>
              <w:br/>
            </w:r>
            <w:r>
              <w:rPr>
                <w:rStyle w:val="2body-italic"/>
                <w:rFonts w:cs="Times New Roman"/>
              </w:rPr>
              <w:t xml:space="preserve">Cumulative </w:t>
            </w:r>
            <w:proofErr w:type="spellStart"/>
            <w:r>
              <w:rPr>
                <w:rStyle w:val="2body-italic"/>
                <w:rFonts w:cs="Times New Roman"/>
              </w:rPr>
              <w:t>Antibiogram</w:t>
            </w:r>
            <w:proofErr w:type="spellEnd"/>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ACAEAAC" w14:textId="77777777" w:rsidR="006F421D" w:rsidRDefault="006F421D" w:rsidP="006F421D">
            <w:pPr>
              <w:pStyle w:val="financials03table-body-l"/>
              <w:spacing w:before="40" w:after="40"/>
              <w:rPr>
                <w:rFonts w:cs="Times New Roman"/>
              </w:rPr>
            </w:pPr>
            <w:r>
              <w:rPr>
                <w:rFonts w:cs="Times New Roman"/>
              </w:rPr>
              <w:t xml:space="preserve">This specification specifies the minimum clinical elements of a cumulative </w:t>
            </w:r>
            <w:proofErr w:type="spellStart"/>
            <w:r>
              <w:rPr>
                <w:rFonts w:cs="Times New Roman"/>
              </w:rPr>
              <w:t>antibiogram</w:t>
            </w:r>
            <w:proofErr w:type="spellEnd"/>
            <w:r>
              <w:rPr>
                <w:rFonts w:cs="Times New Roman"/>
              </w:rPr>
              <w:t xml:space="preserve"> to support antimicrobial prescribing and stewardship</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5998CF9"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7D5DB381"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ED56434" w14:textId="77777777" w:rsidR="006F421D" w:rsidRDefault="006F421D" w:rsidP="006F421D">
            <w:pPr>
              <w:pStyle w:val="financials03table-body-l"/>
              <w:spacing w:before="40" w:after="40"/>
              <w:rPr>
                <w:rFonts w:cs="Times New Roman"/>
              </w:rPr>
            </w:pPr>
            <w:r>
              <w:rPr>
                <w:rStyle w:val="2body-italic"/>
                <w:rFonts w:cs="Times New Roman"/>
              </w:rPr>
              <w:t xml:space="preserve">Recommendations for the control of </w:t>
            </w:r>
            <w:r>
              <w:rPr>
                <w:rFonts w:cs="Times New Roman"/>
              </w:rPr>
              <w:br/>
            </w:r>
            <w:r>
              <w:rPr>
                <w:rStyle w:val="2body-italic"/>
                <w:rFonts w:cs="Times New Roman"/>
              </w:rPr>
              <w:t xml:space="preserve">Multi-drug resistant Gram-negatives: </w:t>
            </w:r>
            <w:proofErr w:type="spellStart"/>
            <w:r>
              <w:rPr>
                <w:rStyle w:val="2body-italic"/>
                <w:rFonts w:cs="Times New Roman"/>
              </w:rPr>
              <w:t>carbapenem</w:t>
            </w:r>
            <w:proofErr w:type="spellEnd"/>
            <w:r>
              <w:rPr>
                <w:rStyle w:val="2body-italic"/>
                <w:rFonts w:cs="Times New Roman"/>
              </w:rPr>
              <w:t xml:space="preserve"> resistant </w:t>
            </w:r>
            <w:proofErr w:type="spellStart"/>
            <w:r>
              <w:rPr>
                <w:rStyle w:val="2body-italic"/>
                <w:rFonts w:cs="Times New Roman"/>
              </w:rPr>
              <w:t>Enterobacteriacea</w:t>
            </w:r>
            <w:proofErr w:type="spellEnd"/>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B71F56F" w14:textId="77777777" w:rsidR="006F421D" w:rsidRDefault="006F421D" w:rsidP="006F421D">
            <w:pPr>
              <w:pStyle w:val="financials03table-body-l"/>
              <w:spacing w:before="40" w:after="40"/>
              <w:rPr>
                <w:rFonts w:cs="Times New Roman"/>
              </w:rPr>
            </w:pPr>
            <w:r>
              <w:rPr>
                <w:rFonts w:cs="Times New Roman"/>
              </w:rPr>
              <w:t>Recommendations for patient management that are contained in the Australian Guidelines for the Prevention and Control of Infection in Healthcare and the NSQHS Standards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DE1754B"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2B34F5CE"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EBC6669" w14:textId="77777777" w:rsidR="006F421D" w:rsidRDefault="006F421D" w:rsidP="006F421D">
            <w:pPr>
              <w:pStyle w:val="financials03table-body-l"/>
              <w:spacing w:before="40" w:after="40"/>
              <w:rPr>
                <w:rFonts w:cs="Times New Roman"/>
              </w:rPr>
            </w:pPr>
            <w:r>
              <w:rPr>
                <w:rStyle w:val="2body-italic"/>
                <w:rFonts w:cs="Times New Roman"/>
              </w:rPr>
              <w:t xml:space="preserve">Clostridium difficile infection (CDI) </w:t>
            </w:r>
            <w:r>
              <w:rPr>
                <w:rFonts w:cs="Times New Roman"/>
              </w:rPr>
              <w:br/>
            </w:r>
            <w:r>
              <w:rPr>
                <w:rStyle w:val="2body-italic"/>
                <w:rFonts w:cs="Times New Roman"/>
              </w:rPr>
              <w:t>Surveillance Implementation Guide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CB17813" w14:textId="77777777" w:rsidR="006F421D" w:rsidRDefault="006F421D" w:rsidP="006F421D">
            <w:pPr>
              <w:pStyle w:val="financials03table-body-l"/>
              <w:spacing w:before="40" w:after="40"/>
              <w:rPr>
                <w:rFonts w:cs="Times New Roman"/>
              </w:rPr>
            </w:pPr>
            <w:r>
              <w:rPr>
                <w:rFonts w:cs="Times New Roman"/>
              </w:rPr>
              <w:t>A guide designed to support and standardise existing surveillance activities in line with the national definition for CDI</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F585800" w14:textId="77777777" w:rsidR="006F421D" w:rsidRDefault="006F421D" w:rsidP="006F421D">
            <w:pPr>
              <w:spacing w:before="40" w:after="40"/>
              <w:rPr>
                <w:rFonts w:ascii="Times" w:eastAsia="Times New Roman" w:hAnsi="Times" w:cs="Times New Roman"/>
              </w:rPr>
            </w:pPr>
          </w:p>
        </w:tc>
      </w:tr>
      <w:tr w:rsidR="006F421D" w14:paraId="6621418B"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9C6B8C7" w14:textId="77777777" w:rsidR="006F421D" w:rsidRDefault="006F421D" w:rsidP="006F421D">
            <w:pPr>
              <w:pStyle w:val="financials03table-body-l"/>
              <w:spacing w:before="40" w:after="40"/>
              <w:rPr>
                <w:rFonts w:cs="Times New Roman"/>
              </w:rPr>
            </w:pPr>
            <w:r>
              <w:rPr>
                <w:rStyle w:val="2body-italic"/>
                <w:rFonts w:cs="Times New Roman"/>
              </w:rPr>
              <w:t>Staphylococcus aureus bacteraemia (SAB) Surveillance Implementation Guide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7AB7512" w14:textId="77777777" w:rsidR="006F421D" w:rsidRDefault="006F421D" w:rsidP="006F421D">
            <w:pPr>
              <w:pStyle w:val="financials03table-body-l"/>
              <w:spacing w:before="40" w:after="40"/>
              <w:rPr>
                <w:rFonts w:cs="Times New Roman"/>
              </w:rPr>
            </w:pPr>
            <w:r>
              <w:rPr>
                <w:rFonts w:cs="Times New Roman"/>
              </w:rPr>
              <w:t>A guide designed to support and standardise existing surveillance activities in line with the national definitions for SAB</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7B71805" w14:textId="77777777" w:rsidR="006F421D" w:rsidRDefault="006F421D" w:rsidP="006F421D">
            <w:pPr>
              <w:spacing w:before="40" w:after="40"/>
              <w:rPr>
                <w:rFonts w:ascii="Times" w:eastAsia="Times New Roman" w:hAnsi="Times" w:cs="Times New Roman"/>
              </w:rPr>
            </w:pPr>
          </w:p>
        </w:tc>
      </w:tr>
      <w:tr w:rsidR="006F421D" w14:paraId="214DB086" w14:textId="77777777" w:rsidTr="006F421D">
        <w:trPr>
          <w:divId w:val="1204950834"/>
        </w:trPr>
        <w:tc>
          <w:tcPr>
            <w:tcW w:w="0" w:type="auto"/>
            <w:tcBorders>
              <w:top w:val="dotted" w:sz="8" w:space="0" w:color="005C7E"/>
              <w:bottom w:val="dotted" w:sz="8" w:space="0" w:color="005C7E"/>
            </w:tcBorders>
            <w:shd w:val="clear" w:color="auto" w:fill="82A9BA"/>
            <w:vAlign w:val="center"/>
            <w:hideMark/>
          </w:tcPr>
          <w:p w14:paraId="24DC6783" w14:textId="77777777" w:rsidR="006F421D" w:rsidRDefault="006F421D" w:rsidP="006F421D">
            <w:pPr>
              <w:pStyle w:val="financials03table-body-l"/>
              <w:spacing w:before="40" w:after="40"/>
              <w:rPr>
                <w:rFonts w:cs="Times New Roman"/>
              </w:rPr>
            </w:pPr>
            <w:r>
              <w:rPr>
                <w:rStyle w:val="2body-medium"/>
                <w:rFonts w:cs="Times New Roman"/>
              </w:rPr>
              <w:t>Healthcare variation</w:t>
            </w:r>
          </w:p>
        </w:tc>
        <w:tc>
          <w:tcPr>
            <w:tcW w:w="0" w:type="auto"/>
            <w:tcBorders>
              <w:top w:val="dotted" w:sz="8" w:space="0" w:color="005C7E"/>
              <w:bottom w:val="dotted" w:sz="8" w:space="0" w:color="005C7E"/>
            </w:tcBorders>
            <w:shd w:val="clear" w:color="auto" w:fill="82A9BA"/>
            <w:vAlign w:val="center"/>
            <w:hideMark/>
          </w:tcPr>
          <w:p w14:paraId="367BC34A"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bottom w:val="dotted" w:sz="8" w:space="0" w:color="005C7E"/>
            </w:tcBorders>
            <w:shd w:val="clear" w:color="auto" w:fill="82A9BA"/>
            <w:vAlign w:val="center"/>
            <w:hideMark/>
          </w:tcPr>
          <w:p w14:paraId="44FFB849" w14:textId="77777777" w:rsidR="006F421D" w:rsidRDefault="006F421D" w:rsidP="006F421D">
            <w:pPr>
              <w:spacing w:before="40" w:after="40"/>
              <w:rPr>
                <w:rFonts w:ascii="Times" w:eastAsia="Times New Roman" w:hAnsi="Times" w:cs="Times New Roman"/>
              </w:rPr>
            </w:pPr>
          </w:p>
        </w:tc>
      </w:tr>
      <w:tr w:rsidR="006F421D" w14:paraId="0B47E08D"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C79BCA7" w14:textId="77777777" w:rsidR="006F421D" w:rsidRDefault="006F421D" w:rsidP="006F421D">
            <w:pPr>
              <w:pStyle w:val="financials03table-body-l"/>
              <w:spacing w:before="40" w:after="40"/>
              <w:rPr>
                <w:rFonts w:cs="Times New Roman"/>
              </w:rPr>
            </w:pPr>
            <w:r>
              <w:rPr>
                <w:rStyle w:val="2body-italic"/>
                <w:rFonts w:cs="Times New Roman"/>
              </w:rPr>
              <w:t>Medical Practice Variation Background Paper</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5472072" w14:textId="77777777" w:rsidR="006F421D" w:rsidRDefault="006F421D" w:rsidP="006F421D">
            <w:pPr>
              <w:pStyle w:val="financials03table-body-l"/>
              <w:spacing w:before="40" w:after="40"/>
              <w:rPr>
                <w:rFonts w:cs="Times New Roman"/>
              </w:rPr>
            </w:pPr>
            <w:r>
              <w:rPr>
                <w:rFonts w:cs="Times New Roman"/>
              </w:rPr>
              <w:t>A background briefing on medical practice variation and upcoming work in the area</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4B47DB9" w14:textId="77777777" w:rsidR="006F421D" w:rsidRDefault="006F421D" w:rsidP="006F421D">
            <w:pPr>
              <w:pStyle w:val="financials03table-body-l"/>
              <w:spacing w:before="40" w:after="40"/>
              <w:rPr>
                <w:rFonts w:cs="Times New Roman"/>
              </w:rPr>
            </w:pPr>
            <w:r>
              <w:rPr>
                <w:rFonts w:cs="Times New Roman"/>
              </w:rPr>
              <w:t>November 2013</w:t>
            </w:r>
          </w:p>
        </w:tc>
      </w:tr>
      <w:tr w:rsidR="006F421D" w14:paraId="736D2812"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F7E397E" w14:textId="77777777" w:rsidR="006F421D" w:rsidRDefault="006F421D" w:rsidP="006F421D">
            <w:pPr>
              <w:pStyle w:val="financials03table-body-l"/>
              <w:spacing w:before="40" w:after="40"/>
              <w:rPr>
                <w:rFonts w:cs="Times New Roman"/>
              </w:rPr>
            </w:pPr>
            <w:r>
              <w:rPr>
                <w:rStyle w:val="2body-italic"/>
                <w:rFonts w:cs="Times New Roman"/>
              </w:rPr>
              <w:t>Exploring Healthcare Variation in Australia: Analyses Resulting from an OECD Study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870806D" w14:textId="77777777" w:rsidR="006F421D" w:rsidRDefault="006F421D" w:rsidP="006F421D">
            <w:pPr>
              <w:pStyle w:val="financials03table-body-l"/>
              <w:spacing w:before="40" w:after="40"/>
              <w:rPr>
                <w:rFonts w:cs="Times New Roman"/>
              </w:rPr>
            </w:pPr>
            <w:r>
              <w:rPr>
                <w:rFonts w:cs="Times New Roman"/>
              </w:rPr>
              <w:t>A discussion paper of the Australian results of an OECD lead study in 13 countries of variation in healthcare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EFB8D6B" w14:textId="77777777" w:rsidR="006F421D" w:rsidRDefault="006F421D" w:rsidP="006F421D">
            <w:pPr>
              <w:pStyle w:val="financials03table-body-l"/>
              <w:spacing w:before="40" w:after="40"/>
              <w:rPr>
                <w:rFonts w:cs="Times New Roman"/>
              </w:rPr>
            </w:pPr>
            <w:r>
              <w:rPr>
                <w:rFonts w:cs="Times New Roman"/>
              </w:rPr>
              <w:t>May 2014</w:t>
            </w:r>
          </w:p>
        </w:tc>
      </w:tr>
      <w:tr w:rsidR="006F421D" w14:paraId="583F620F"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DA73173" w14:textId="77777777" w:rsidR="006F421D" w:rsidRDefault="006F421D" w:rsidP="006F421D">
            <w:pPr>
              <w:pStyle w:val="financials03table-body-l"/>
              <w:spacing w:before="40" w:after="40"/>
              <w:rPr>
                <w:rFonts w:cs="Times New Roman"/>
              </w:rPr>
            </w:pPr>
            <w:r>
              <w:rPr>
                <w:rStyle w:val="2body-italic"/>
                <w:rFonts w:cs="Times New Roman"/>
              </w:rPr>
              <w:t xml:space="preserve">Exploring Healthcare Variation in Australia: Analyses Resulting from an OECD Study. </w:t>
            </w:r>
            <w:r>
              <w:rPr>
                <w:rFonts w:cs="Times New Roman"/>
              </w:rPr>
              <w:br/>
            </w:r>
            <w:r>
              <w:rPr>
                <w:rStyle w:val="2body-italic"/>
                <w:rFonts w:cs="Times New Roman"/>
              </w:rPr>
              <w:t>In Brief</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220ECCE" w14:textId="77777777" w:rsidR="006F421D" w:rsidRDefault="006F421D" w:rsidP="006F421D">
            <w:pPr>
              <w:pStyle w:val="financials03table-body-l"/>
              <w:spacing w:before="40" w:after="40"/>
              <w:rPr>
                <w:rFonts w:cs="Times New Roman"/>
              </w:rPr>
            </w:pPr>
            <w:r>
              <w:rPr>
                <w:rFonts w:cs="Times New Roman"/>
              </w:rPr>
              <w:t xml:space="preserve">A summary of the discussion paper </w:t>
            </w:r>
            <w:r>
              <w:rPr>
                <w:rStyle w:val="2body-italic"/>
                <w:rFonts w:cs="Times New Roman"/>
              </w:rPr>
              <w:t>Exploring Healthcare Variation in Australia: Analyses Resulting from an OECD Study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429877B" w14:textId="77777777" w:rsidR="006F421D" w:rsidRDefault="006F421D" w:rsidP="006F421D">
            <w:pPr>
              <w:pStyle w:val="financials03table-body-l"/>
              <w:spacing w:before="40" w:after="40"/>
              <w:rPr>
                <w:rFonts w:cs="Times New Roman"/>
              </w:rPr>
            </w:pPr>
            <w:r>
              <w:rPr>
                <w:rFonts w:cs="Times New Roman"/>
              </w:rPr>
              <w:t>May 2014</w:t>
            </w:r>
          </w:p>
        </w:tc>
      </w:tr>
      <w:tr w:rsidR="006F421D" w14:paraId="70459EAE" w14:textId="77777777" w:rsidTr="006F421D">
        <w:trPr>
          <w:divId w:val="1204950834"/>
        </w:trPr>
        <w:tc>
          <w:tcPr>
            <w:tcW w:w="0" w:type="auto"/>
            <w:tcBorders>
              <w:top w:val="dotted" w:sz="8" w:space="0" w:color="005C7E"/>
              <w:bottom w:val="dotted" w:sz="8" w:space="0" w:color="005C7E"/>
            </w:tcBorders>
            <w:shd w:val="clear" w:color="auto" w:fill="82A9BA"/>
            <w:vAlign w:val="center"/>
            <w:hideMark/>
          </w:tcPr>
          <w:p w14:paraId="12A1B444" w14:textId="77777777" w:rsidR="006F421D" w:rsidRDefault="006F421D" w:rsidP="006F421D">
            <w:pPr>
              <w:pStyle w:val="financials03table-body-l"/>
              <w:spacing w:before="40" w:after="40"/>
              <w:rPr>
                <w:rFonts w:cs="Times New Roman"/>
              </w:rPr>
            </w:pPr>
            <w:r>
              <w:rPr>
                <w:rStyle w:val="2body-medium"/>
                <w:rFonts w:cs="Times New Roman"/>
              </w:rPr>
              <w:lastRenderedPageBreak/>
              <w:t>Information strategy</w:t>
            </w:r>
          </w:p>
        </w:tc>
        <w:tc>
          <w:tcPr>
            <w:tcW w:w="0" w:type="auto"/>
            <w:tcBorders>
              <w:top w:val="dotted" w:sz="8" w:space="0" w:color="005C7E"/>
              <w:bottom w:val="dotted" w:sz="8" w:space="0" w:color="005C7E"/>
            </w:tcBorders>
            <w:shd w:val="clear" w:color="auto" w:fill="82A9BA"/>
            <w:vAlign w:val="center"/>
            <w:hideMark/>
          </w:tcPr>
          <w:p w14:paraId="608D4DDF"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bottom w:val="dotted" w:sz="8" w:space="0" w:color="005C7E"/>
            </w:tcBorders>
            <w:shd w:val="clear" w:color="auto" w:fill="82A9BA"/>
            <w:vAlign w:val="center"/>
            <w:hideMark/>
          </w:tcPr>
          <w:p w14:paraId="27F1548E" w14:textId="77777777" w:rsidR="006F421D" w:rsidRDefault="006F421D" w:rsidP="006F421D">
            <w:pPr>
              <w:spacing w:before="40" w:after="40"/>
              <w:rPr>
                <w:rFonts w:ascii="Times" w:eastAsia="Times New Roman" w:hAnsi="Times" w:cs="Times New Roman"/>
              </w:rPr>
            </w:pPr>
          </w:p>
        </w:tc>
      </w:tr>
      <w:tr w:rsidR="006F421D" w14:paraId="1653807B"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9E563E9" w14:textId="77777777" w:rsidR="006F421D" w:rsidRDefault="006F421D" w:rsidP="006F421D">
            <w:pPr>
              <w:pStyle w:val="financials03table-body-l"/>
              <w:spacing w:before="40" w:after="40"/>
              <w:rPr>
                <w:rFonts w:cs="Times New Roman"/>
              </w:rPr>
            </w:pPr>
            <w:r>
              <w:rPr>
                <w:rStyle w:val="2body-italic"/>
                <w:rFonts w:cs="Times New Roman"/>
              </w:rPr>
              <w:t>Framework for clinical quality registries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036AE4C" w14:textId="77777777" w:rsidR="006F421D" w:rsidRDefault="006F421D" w:rsidP="006F421D">
            <w:pPr>
              <w:pStyle w:val="financials03table-body-l"/>
              <w:spacing w:before="40" w:after="40"/>
              <w:rPr>
                <w:rFonts w:cs="Times New Roman"/>
              </w:rPr>
            </w:pPr>
            <w:r>
              <w:rPr>
                <w:rFonts w:cs="Times New Roman"/>
              </w:rPr>
              <w:t>Guidance for jurisdictions in their dealings with clinical quality registries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CC96C7B" w14:textId="77777777" w:rsidR="006F421D" w:rsidRDefault="006F421D" w:rsidP="006F421D">
            <w:pPr>
              <w:pStyle w:val="financials03table-body-l"/>
              <w:spacing w:before="40" w:after="40"/>
              <w:rPr>
                <w:rFonts w:cs="Times New Roman"/>
              </w:rPr>
            </w:pPr>
            <w:r>
              <w:rPr>
                <w:rFonts w:cs="Times New Roman"/>
              </w:rPr>
              <w:t>June 2014</w:t>
            </w:r>
          </w:p>
        </w:tc>
      </w:tr>
      <w:tr w:rsidR="006F421D" w14:paraId="72A7FC2B" w14:textId="77777777" w:rsidTr="006F421D">
        <w:trPr>
          <w:divId w:val="1204950834"/>
        </w:trPr>
        <w:tc>
          <w:tcPr>
            <w:tcW w:w="0" w:type="auto"/>
            <w:tcBorders>
              <w:top w:val="dotted" w:sz="8" w:space="0" w:color="005C7E"/>
              <w:bottom w:val="dotted" w:sz="8" w:space="0" w:color="005C7E"/>
            </w:tcBorders>
            <w:shd w:val="clear" w:color="auto" w:fill="82A9BA"/>
            <w:vAlign w:val="center"/>
            <w:hideMark/>
          </w:tcPr>
          <w:p w14:paraId="1C74A156" w14:textId="77777777" w:rsidR="006F421D" w:rsidRDefault="006F421D" w:rsidP="006F421D">
            <w:pPr>
              <w:pStyle w:val="financials03table-body-l"/>
              <w:spacing w:before="40" w:after="40"/>
              <w:rPr>
                <w:rFonts w:cs="Times New Roman"/>
              </w:rPr>
            </w:pPr>
            <w:r>
              <w:rPr>
                <w:rStyle w:val="2body-medium"/>
                <w:rFonts w:cs="Times New Roman"/>
              </w:rPr>
              <w:t>Medication safety</w:t>
            </w:r>
          </w:p>
        </w:tc>
        <w:tc>
          <w:tcPr>
            <w:tcW w:w="0" w:type="auto"/>
            <w:tcBorders>
              <w:top w:val="dotted" w:sz="8" w:space="0" w:color="005C7E"/>
              <w:bottom w:val="dotted" w:sz="8" w:space="0" w:color="005C7E"/>
            </w:tcBorders>
            <w:shd w:val="clear" w:color="auto" w:fill="82A9BA"/>
            <w:vAlign w:val="center"/>
            <w:hideMark/>
          </w:tcPr>
          <w:p w14:paraId="415E31FD"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bottom w:val="dotted" w:sz="8" w:space="0" w:color="005C7E"/>
            </w:tcBorders>
            <w:shd w:val="clear" w:color="auto" w:fill="82A9BA"/>
            <w:vAlign w:val="center"/>
            <w:hideMark/>
          </w:tcPr>
          <w:p w14:paraId="55B09744" w14:textId="77777777" w:rsidR="006F421D" w:rsidRDefault="006F421D" w:rsidP="006F421D">
            <w:pPr>
              <w:spacing w:before="40" w:after="40"/>
              <w:rPr>
                <w:rFonts w:ascii="Times" w:eastAsia="Times New Roman" w:hAnsi="Times" w:cs="Times New Roman"/>
              </w:rPr>
            </w:pPr>
          </w:p>
        </w:tc>
      </w:tr>
      <w:tr w:rsidR="006F421D" w14:paraId="195FB39E"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181F01D" w14:textId="77777777" w:rsidR="006F421D" w:rsidRDefault="006F421D" w:rsidP="006F421D">
            <w:pPr>
              <w:pStyle w:val="financials03table-body-l"/>
              <w:spacing w:before="40" w:after="40"/>
              <w:rPr>
                <w:rFonts w:cs="Times New Roman"/>
              </w:rPr>
            </w:pPr>
            <w:r>
              <w:rPr>
                <w:rStyle w:val="2body-italic"/>
                <w:rFonts w:cs="Times New Roman"/>
              </w:rPr>
              <w:t>Evaluation of standardised medicine syringe labels in interventional cardiac catheter and radiology laboratories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0E550FD" w14:textId="77777777" w:rsidR="006F421D" w:rsidRDefault="006F421D" w:rsidP="006F421D">
            <w:pPr>
              <w:pStyle w:val="financials03table-body-l"/>
              <w:spacing w:before="40" w:after="40"/>
              <w:rPr>
                <w:rFonts w:cs="Times New Roman"/>
              </w:rPr>
            </w:pPr>
            <w:r>
              <w:rPr>
                <w:rFonts w:cs="Times New Roman"/>
              </w:rPr>
              <w:t>Presents results of evaluation of pre-printed sterile labels to identify medicines and fluids removed from their original containers in interventional cardiology and radiology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860EC8D" w14:textId="77777777" w:rsidR="006F421D" w:rsidRDefault="006F421D" w:rsidP="006F421D">
            <w:pPr>
              <w:pStyle w:val="financials03table-body-l"/>
              <w:spacing w:before="40" w:after="40"/>
              <w:rPr>
                <w:rFonts w:cs="Times New Roman"/>
              </w:rPr>
            </w:pPr>
            <w:r>
              <w:rPr>
                <w:rFonts w:cs="Times New Roman"/>
              </w:rPr>
              <w:t>November 2013</w:t>
            </w:r>
          </w:p>
        </w:tc>
      </w:tr>
      <w:tr w:rsidR="006F421D" w14:paraId="13397FCA"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77A7870" w14:textId="77777777" w:rsidR="006F421D" w:rsidRDefault="006F421D" w:rsidP="006F421D">
            <w:pPr>
              <w:pStyle w:val="financials03table-body-l"/>
              <w:spacing w:before="40" w:after="40"/>
              <w:rPr>
                <w:rFonts w:cs="Times New Roman"/>
              </w:rPr>
            </w:pPr>
            <w:r>
              <w:rPr>
                <w:rStyle w:val="2body-italic"/>
                <w:rFonts w:cs="Times New Roman"/>
              </w:rPr>
              <w:t xml:space="preserve">2012 NIMC National Audit Report </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06B1178" w14:textId="77777777" w:rsidR="006F421D" w:rsidRDefault="006F421D" w:rsidP="006F421D">
            <w:pPr>
              <w:pStyle w:val="financials03table-body-l"/>
              <w:spacing w:before="40" w:after="40"/>
              <w:rPr>
                <w:rFonts w:cs="Times New Roman"/>
              </w:rPr>
            </w:pPr>
            <w:r>
              <w:rPr>
                <w:rFonts w:cs="Times New Roman"/>
              </w:rPr>
              <w:t>A snapshot of the NIMC use across Australia contributed to by 241 public and 71 private hospitals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689E596" w14:textId="77777777" w:rsidR="006F421D" w:rsidRDefault="006F421D" w:rsidP="006F421D">
            <w:pPr>
              <w:pStyle w:val="financials03table-body-l"/>
              <w:spacing w:before="40" w:after="40"/>
              <w:rPr>
                <w:rFonts w:cs="Times New Roman"/>
              </w:rPr>
            </w:pPr>
            <w:r>
              <w:rPr>
                <w:rFonts w:cs="Times New Roman"/>
              </w:rPr>
              <w:t>July 2013</w:t>
            </w:r>
          </w:p>
        </w:tc>
      </w:tr>
      <w:tr w:rsidR="006F421D" w14:paraId="13D331EA"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FE834A0" w14:textId="77777777" w:rsidR="006F421D" w:rsidRDefault="006F421D" w:rsidP="006F421D">
            <w:pPr>
              <w:pStyle w:val="financials03table-body-l"/>
              <w:spacing w:before="40" w:after="40"/>
              <w:rPr>
                <w:rFonts w:cs="Times New Roman"/>
              </w:rPr>
            </w:pPr>
            <w:r>
              <w:rPr>
                <w:rStyle w:val="2body-italic"/>
                <w:rFonts w:cs="Times New Roman"/>
              </w:rPr>
              <w:t>2012 NIMC National Audit Report Supplement: From Measurement to Action</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A379DDA" w14:textId="77777777" w:rsidR="006F421D" w:rsidRDefault="006F421D" w:rsidP="006F421D">
            <w:pPr>
              <w:pStyle w:val="financials03table-body-l"/>
              <w:spacing w:before="40" w:after="40"/>
              <w:rPr>
                <w:rFonts w:cs="Times New Roman"/>
              </w:rPr>
            </w:pPr>
            <w:r>
              <w:rPr>
                <w:rFonts w:cs="Times New Roman"/>
              </w:rPr>
              <w:t>Recommended actions for improving the use of the NIMC and related charts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2AF8D79" w14:textId="77777777" w:rsidR="006F421D" w:rsidRDefault="006F421D" w:rsidP="006F421D">
            <w:pPr>
              <w:pStyle w:val="financials03table-body-l"/>
              <w:spacing w:before="40" w:after="40"/>
              <w:rPr>
                <w:rFonts w:cs="Times New Roman"/>
              </w:rPr>
            </w:pPr>
            <w:r>
              <w:rPr>
                <w:rFonts w:cs="Times New Roman"/>
              </w:rPr>
              <w:t>January 2014</w:t>
            </w:r>
          </w:p>
        </w:tc>
      </w:tr>
      <w:tr w:rsidR="006F421D" w14:paraId="6A501989"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82E9CC3" w14:textId="77777777" w:rsidR="006F421D" w:rsidRDefault="006F421D" w:rsidP="006F421D">
            <w:pPr>
              <w:pStyle w:val="financials03table-body-l"/>
              <w:spacing w:before="40" w:after="40"/>
              <w:rPr>
                <w:rFonts w:cs="Times New Roman"/>
              </w:rPr>
            </w:pPr>
            <w:r>
              <w:rPr>
                <w:rStyle w:val="2body-italic"/>
                <w:rFonts w:cs="Times New Roman"/>
              </w:rPr>
              <w:t xml:space="preserve">Improving the Safety of Pharmacy Dispensing Labelling National Round Table Report </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F40B042" w14:textId="77777777" w:rsidR="006F421D" w:rsidRDefault="006F421D" w:rsidP="006F421D">
            <w:pPr>
              <w:pStyle w:val="financials03table-body-l"/>
              <w:spacing w:before="40" w:after="40"/>
              <w:rPr>
                <w:rFonts w:cs="Times New Roman"/>
              </w:rPr>
            </w:pPr>
            <w:r>
              <w:rPr>
                <w:rFonts w:cs="Times New Roman"/>
              </w:rPr>
              <w:t>A report of round table outcomes including recommendations for an Australian standard on pharmacy dispensing labelling</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FB693C8" w14:textId="77777777" w:rsidR="006F421D" w:rsidRDefault="006F421D" w:rsidP="006F421D">
            <w:pPr>
              <w:pStyle w:val="financials03table-body-l"/>
              <w:spacing w:before="40" w:after="40"/>
              <w:rPr>
                <w:rFonts w:cs="Times New Roman"/>
              </w:rPr>
            </w:pPr>
            <w:r>
              <w:rPr>
                <w:rFonts w:cs="Times New Roman"/>
              </w:rPr>
              <w:t>January 2014</w:t>
            </w:r>
          </w:p>
        </w:tc>
      </w:tr>
      <w:tr w:rsidR="006F421D" w14:paraId="483B548F"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DF095F8" w14:textId="77777777" w:rsidR="006F421D" w:rsidRDefault="006F421D" w:rsidP="006F421D">
            <w:pPr>
              <w:pStyle w:val="financials03table-body-l"/>
              <w:spacing w:before="40" w:after="40"/>
              <w:rPr>
                <w:rFonts w:cs="Times New Roman"/>
              </w:rPr>
            </w:pPr>
            <w:r>
              <w:rPr>
                <w:rStyle w:val="2body-italic"/>
                <w:rFonts w:cs="Times New Roman"/>
              </w:rPr>
              <w:t xml:space="preserve">Evidence briefings on interventions to improve medication safety; Automated dispensing systems </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1B60A2F" w14:textId="77777777" w:rsidR="006F421D" w:rsidRDefault="006F421D" w:rsidP="006F421D">
            <w:pPr>
              <w:pStyle w:val="financials03table-body-l"/>
              <w:spacing w:before="40" w:after="40"/>
              <w:rPr>
                <w:rFonts w:cs="Times New Roman"/>
              </w:rPr>
            </w:pPr>
            <w:r>
              <w:rPr>
                <w:rFonts w:cs="Times New Roman"/>
              </w:rPr>
              <w:t>A review of the effect of automated dispensing systems on reducing medication administration errors and improving efficiency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FB184AB"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04D9DC73"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727D3E2" w14:textId="77777777" w:rsidR="006F421D" w:rsidRDefault="006F421D" w:rsidP="006F421D">
            <w:pPr>
              <w:pStyle w:val="financials03table-body-l"/>
              <w:spacing w:before="40" w:after="40"/>
              <w:rPr>
                <w:rFonts w:cs="Times New Roman"/>
              </w:rPr>
            </w:pPr>
            <w:r>
              <w:rPr>
                <w:rStyle w:val="2body-italic"/>
                <w:rFonts w:cs="Times New Roman"/>
              </w:rPr>
              <w:t>Evidence briefings on interventions to improve medication safety: Barcode medicine administration systems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DF84817" w14:textId="77777777" w:rsidR="006F421D" w:rsidRDefault="006F421D" w:rsidP="006F421D">
            <w:pPr>
              <w:pStyle w:val="financials03table-body-l"/>
              <w:spacing w:before="40" w:after="40"/>
              <w:rPr>
                <w:rFonts w:cs="Times New Roman"/>
              </w:rPr>
            </w:pPr>
            <w:r>
              <w:rPr>
                <w:rFonts w:cs="Times New Roman"/>
              </w:rPr>
              <w:t>A review of the effect of barcode medicine administration systems on reducing medication administration errors and improving efficiency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8F25CAA"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41B42EAC"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4EAD077" w14:textId="77777777" w:rsidR="006F421D" w:rsidRDefault="006F421D" w:rsidP="006F421D">
            <w:pPr>
              <w:pStyle w:val="financials03table-body-l"/>
              <w:spacing w:before="40" w:after="40"/>
              <w:rPr>
                <w:rFonts w:cs="Times New Roman"/>
              </w:rPr>
            </w:pPr>
            <w:r>
              <w:rPr>
                <w:rStyle w:val="2body-italic"/>
                <w:rFonts w:cs="Times New Roman"/>
              </w:rPr>
              <w:t>Evidence briefings on interventions to improve medication safety: electronic medication administration records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F4C30E9" w14:textId="77777777" w:rsidR="006F421D" w:rsidRDefault="006F421D" w:rsidP="006F421D">
            <w:pPr>
              <w:pStyle w:val="financials03table-body-l"/>
              <w:spacing w:before="40" w:after="40"/>
              <w:rPr>
                <w:rFonts w:cs="Times New Roman"/>
              </w:rPr>
            </w:pPr>
            <w:r>
              <w:rPr>
                <w:rFonts w:cs="Times New Roman"/>
              </w:rPr>
              <w:t>A review of the effect of electronic medication administration records on reducing medication administration errors and improving efficiency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8FD1FA8"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7B8BF3CF"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86F50A1" w14:textId="77777777" w:rsidR="006F421D" w:rsidRDefault="006F421D" w:rsidP="006F421D">
            <w:pPr>
              <w:pStyle w:val="financials03table-body-l"/>
              <w:spacing w:before="40" w:after="40"/>
              <w:rPr>
                <w:rFonts w:cs="Times New Roman"/>
              </w:rPr>
            </w:pPr>
            <w:r>
              <w:rPr>
                <w:rStyle w:val="2body-italic"/>
                <w:rFonts w:cs="Times New Roman"/>
              </w:rPr>
              <w:t>Evidence briefings on interventions to improve medication safety: double checking medicine administration</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17509A8" w14:textId="77777777" w:rsidR="006F421D" w:rsidRDefault="006F421D" w:rsidP="006F421D">
            <w:pPr>
              <w:pStyle w:val="financials03table-body-l"/>
              <w:spacing w:before="40" w:after="40"/>
              <w:rPr>
                <w:rFonts w:cs="Times New Roman"/>
              </w:rPr>
            </w:pPr>
            <w:r>
              <w:rPr>
                <w:rFonts w:cs="Times New Roman"/>
              </w:rPr>
              <w:t>A review of the effect of double checking of medicine administration on reducing medication administration errors and improving efficiency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2002B5B"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70D4F2F2"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3153D6A" w14:textId="77777777" w:rsidR="006F421D" w:rsidRDefault="006F421D" w:rsidP="006F421D">
            <w:pPr>
              <w:pStyle w:val="financials03table-body-l"/>
              <w:spacing w:before="40" w:after="40"/>
              <w:rPr>
                <w:rFonts w:cs="Times New Roman"/>
              </w:rPr>
            </w:pPr>
            <w:r>
              <w:rPr>
                <w:rStyle w:val="2body-italic"/>
                <w:rFonts w:cs="Times New Roman"/>
              </w:rPr>
              <w:t xml:space="preserve">Evidence briefings on interventions to reduce interruptions during medicines preparation </w:t>
            </w:r>
            <w:r>
              <w:rPr>
                <w:rFonts w:cs="Times New Roman"/>
              </w:rPr>
              <w:br/>
            </w:r>
            <w:r>
              <w:rPr>
                <w:rStyle w:val="2body-italic"/>
                <w:rFonts w:cs="Times New Roman"/>
              </w:rPr>
              <w:t xml:space="preserve">and administration </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0E1F708" w14:textId="77777777" w:rsidR="006F421D" w:rsidRDefault="006F421D" w:rsidP="006F421D">
            <w:pPr>
              <w:pStyle w:val="financials03table-body-l"/>
              <w:spacing w:before="40" w:after="40"/>
              <w:rPr>
                <w:rFonts w:cs="Times New Roman"/>
              </w:rPr>
            </w:pPr>
            <w:r>
              <w:rPr>
                <w:rFonts w:cs="Times New Roman"/>
              </w:rPr>
              <w:t>A review of the effect of reducing interruptions during medicines preparation and administration on reducing medication administration errors and improving efficiency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7CEBA7C"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7698E263"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4792E31" w14:textId="77777777" w:rsidR="006F421D" w:rsidRDefault="006F421D" w:rsidP="006F421D">
            <w:pPr>
              <w:pStyle w:val="financials03table-body-l"/>
              <w:spacing w:before="40" w:after="40"/>
              <w:rPr>
                <w:rFonts w:cs="Times New Roman"/>
              </w:rPr>
            </w:pPr>
            <w:r>
              <w:rPr>
                <w:rStyle w:val="2body-italic"/>
                <w:rFonts w:cs="Times New Roman"/>
              </w:rPr>
              <w:t xml:space="preserve">Literature Review: Medication Safety in Australia </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7EDE671" w14:textId="77777777" w:rsidR="006F421D" w:rsidRDefault="006F421D" w:rsidP="006F421D">
            <w:pPr>
              <w:pStyle w:val="financials03table-body-l"/>
              <w:spacing w:before="40" w:after="40"/>
              <w:rPr>
                <w:rFonts w:cs="Times New Roman"/>
              </w:rPr>
            </w:pPr>
            <w:r>
              <w:rPr>
                <w:rFonts w:cs="Times New Roman"/>
              </w:rPr>
              <w:t>A review of literature (2008–2013) on the extent of medication related problems in Australia, strategies for improving medication safety and international evidence for intervention strategies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CAE5251" w14:textId="77777777" w:rsidR="006F421D" w:rsidRDefault="006F421D" w:rsidP="006F421D">
            <w:pPr>
              <w:pStyle w:val="financials03table-body-l"/>
              <w:spacing w:before="40" w:after="40"/>
              <w:rPr>
                <w:rFonts w:cs="Times New Roman"/>
              </w:rPr>
            </w:pPr>
            <w:r>
              <w:rPr>
                <w:rFonts w:cs="Times New Roman"/>
              </w:rPr>
              <w:t>December 2013</w:t>
            </w:r>
          </w:p>
        </w:tc>
      </w:tr>
      <w:tr w:rsidR="006F421D" w14:paraId="26BE9EE3" w14:textId="77777777" w:rsidTr="006F421D">
        <w:trPr>
          <w:divId w:val="1204950834"/>
        </w:trPr>
        <w:tc>
          <w:tcPr>
            <w:tcW w:w="0" w:type="auto"/>
            <w:tcBorders>
              <w:top w:val="dotted" w:sz="8" w:space="0" w:color="005C7E"/>
              <w:bottom w:val="dotted" w:sz="8" w:space="0" w:color="005C7E"/>
            </w:tcBorders>
            <w:shd w:val="clear" w:color="auto" w:fill="82A9BA"/>
            <w:vAlign w:val="center"/>
            <w:hideMark/>
          </w:tcPr>
          <w:p w14:paraId="6231DEA2" w14:textId="77777777" w:rsidR="006F421D" w:rsidRDefault="006F421D" w:rsidP="006F421D">
            <w:pPr>
              <w:pStyle w:val="financials03table-body-l"/>
              <w:spacing w:before="40" w:after="40"/>
              <w:rPr>
                <w:rFonts w:cs="Times New Roman"/>
              </w:rPr>
            </w:pPr>
            <w:r>
              <w:rPr>
                <w:rStyle w:val="2body-medium"/>
                <w:rFonts w:cs="Times New Roman"/>
              </w:rPr>
              <w:t>Mental health</w:t>
            </w:r>
          </w:p>
        </w:tc>
        <w:tc>
          <w:tcPr>
            <w:tcW w:w="0" w:type="auto"/>
            <w:tcBorders>
              <w:top w:val="dotted" w:sz="8" w:space="0" w:color="005C7E"/>
              <w:bottom w:val="dotted" w:sz="8" w:space="0" w:color="005C7E"/>
            </w:tcBorders>
            <w:shd w:val="clear" w:color="auto" w:fill="82A9BA"/>
            <w:vAlign w:val="center"/>
            <w:hideMark/>
          </w:tcPr>
          <w:p w14:paraId="2E36D1A2"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bottom w:val="dotted" w:sz="8" w:space="0" w:color="005C7E"/>
            </w:tcBorders>
            <w:shd w:val="clear" w:color="auto" w:fill="82A9BA"/>
            <w:vAlign w:val="center"/>
            <w:hideMark/>
          </w:tcPr>
          <w:p w14:paraId="0814F318" w14:textId="77777777" w:rsidR="006F421D" w:rsidRDefault="006F421D" w:rsidP="006F421D">
            <w:pPr>
              <w:spacing w:before="40" w:after="40"/>
              <w:rPr>
                <w:rFonts w:ascii="Times" w:eastAsia="Times New Roman" w:hAnsi="Times" w:cs="Times New Roman"/>
              </w:rPr>
            </w:pPr>
          </w:p>
        </w:tc>
      </w:tr>
      <w:tr w:rsidR="006F421D" w14:paraId="2869B607"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9E222A8" w14:textId="77777777" w:rsidR="006F421D" w:rsidRDefault="006F421D" w:rsidP="006F421D">
            <w:pPr>
              <w:pStyle w:val="financials03table-body-l"/>
              <w:spacing w:before="40" w:after="40"/>
              <w:rPr>
                <w:rFonts w:cs="Times New Roman"/>
              </w:rPr>
            </w:pPr>
            <w:r>
              <w:rPr>
                <w:rStyle w:val="2body-italic"/>
                <w:rFonts w:cs="Times New Roman"/>
              </w:rPr>
              <w:t>Handbook for improving safety and providing high quality care for people with cognitive impairment in acute care: A consultation paper</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3589013" w14:textId="77777777" w:rsidR="006F421D" w:rsidRDefault="006F421D" w:rsidP="006F421D">
            <w:pPr>
              <w:pStyle w:val="financials03table-body-l"/>
              <w:spacing w:before="40" w:after="40"/>
              <w:rPr>
                <w:rFonts w:cs="Times New Roman"/>
              </w:rPr>
            </w:pPr>
            <w:r>
              <w:rPr>
                <w:rFonts w:cs="Times New Roman"/>
              </w:rPr>
              <w:t>A consultation draft handbook intended as an evidence-based resource for clinicians and managers to improve safety and quality care for people with cognitive impairment in acute care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79C0B49" w14:textId="77777777" w:rsidR="006F421D" w:rsidRDefault="006F421D" w:rsidP="006F421D">
            <w:pPr>
              <w:pStyle w:val="financials03table-body-l"/>
              <w:spacing w:before="40" w:after="40"/>
              <w:rPr>
                <w:rFonts w:cs="Times New Roman"/>
              </w:rPr>
            </w:pPr>
            <w:r>
              <w:rPr>
                <w:rFonts w:cs="Times New Roman"/>
              </w:rPr>
              <w:t>October 2013</w:t>
            </w:r>
          </w:p>
        </w:tc>
      </w:tr>
      <w:tr w:rsidR="006F421D" w14:paraId="7A1F8979"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A790175" w14:textId="77777777" w:rsidR="006F421D" w:rsidRDefault="006F421D" w:rsidP="006F421D">
            <w:pPr>
              <w:pStyle w:val="financials03table-body-l"/>
              <w:spacing w:before="40" w:after="40"/>
              <w:rPr>
                <w:rFonts w:cs="Times New Roman"/>
              </w:rPr>
            </w:pPr>
            <w:r>
              <w:rPr>
                <w:rStyle w:val="2body-italic"/>
                <w:rFonts w:cs="Times New Roman"/>
              </w:rPr>
              <w:t>Accreditation workbook for mental health services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F39DA52" w14:textId="77777777" w:rsidR="006F421D" w:rsidRDefault="006F421D" w:rsidP="006F421D">
            <w:pPr>
              <w:pStyle w:val="financials03table-body-l"/>
              <w:spacing w:before="40" w:after="40"/>
              <w:rPr>
                <w:rFonts w:cs="Times New Roman"/>
              </w:rPr>
            </w:pPr>
            <w:r>
              <w:rPr>
                <w:rFonts w:cs="Times New Roman"/>
              </w:rPr>
              <w:t>A workbook developed to guide mental health services through the accreditation process for the NSQHS Standards and highlight areas where mental health services will also have substantively achieved relevant NSMHS criteria</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9793629" w14:textId="77777777" w:rsidR="006F421D" w:rsidRDefault="006F421D" w:rsidP="006F421D">
            <w:pPr>
              <w:pStyle w:val="financials03table-body-l"/>
              <w:spacing w:before="40" w:after="40"/>
              <w:rPr>
                <w:rFonts w:cs="Times New Roman"/>
              </w:rPr>
            </w:pPr>
            <w:r>
              <w:rPr>
                <w:rFonts w:cs="Times New Roman"/>
              </w:rPr>
              <w:t>March 2014</w:t>
            </w:r>
          </w:p>
        </w:tc>
      </w:tr>
      <w:tr w:rsidR="006F421D" w14:paraId="68811C3D"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shd w:val="clear" w:color="auto" w:fill="82A9BA"/>
            <w:vAlign w:val="center"/>
            <w:hideMark/>
          </w:tcPr>
          <w:p w14:paraId="26E9EB35" w14:textId="77777777" w:rsidR="006F421D" w:rsidRPr="005D6BC4" w:rsidRDefault="006F421D" w:rsidP="006F421D">
            <w:pPr>
              <w:pStyle w:val="financials03table-header-l"/>
              <w:spacing w:before="40" w:after="40"/>
              <w:rPr>
                <w:rFonts w:cs="Times New Roman"/>
                <w:color w:val="000000" w:themeColor="text1"/>
              </w:rPr>
            </w:pPr>
            <w:r w:rsidRPr="005D6BC4">
              <w:rPr>
                <w:rStyle w:val="2body-medium"/>
                <w:rFonts w:cs="Times New Roman"/>
                <w:color w:val="000000" w:themeColor="text1"/>
              </w:rPr>
              <w:t>Safety and quality in Australian health care</w:t>
            </w:r>
          </w:p>
        </w:tc>
        <w:tc>
          <w:tcPr>
            <w:tcW w:w="0" w:type="auto"/>
            <w:tcBorders>
              <w:top w:val="dotted" w:sz="8" w:space="0" w:color="005C7E"/>
              <w:left w:val="dotted" w:sz="8" w:space="0" w:color="005C7E"/>
              <w:bottom w:val="dotted" w:sz="8" w:space="0" w:color="005C7E"/>
              <w:right w:val="dotted" w:sz="8" w:space="0" w:color="005C7E"/>
            </w:tcBorders>
            <w:shd w:val="clear" w:color="auto" w:fill="82A9BA"/>
            <w:vAlign w:val="center"/>
            <w:hideMark/>
          </w:tcPr>
          <w:p w14:paraId="76F11AA8" w14:textId="77777777" w:rsidR="006F421D" w:rsidRDefault="006F421D" w:rsidP="006F421D">
            <w:pPr>
              <w:spacing w:before="40" w:after="40"/>
              <w:rPr>
                <w:rFonts w:ascii="Times" w:eastAsia="Times New Roman" w:hAnsi="Times" w:cs="Times New Roman"/>
              </w:rPr>
            </w:pPr>
          </w:p>
        </w:tc>
        <w:tc>
          <w:tcPr>
            <w:tcW w:w="0" w:type="auto"/>
            <w:tcBorders>
              <w:top w:val="dotted" w:sz="8" w:space="0" w:color="005C7E"/>
              <w:left w:val="dotted" w:sz="8" w:space="0" w:color="005C7E"/>
              <w:bottom w:val="dotted" w:sz="8" w:space="0" w:color="005C7E"/>
              <w:right w:val="dotted" w:sz="8" w:space="0" w:color="005C7E"/>
            </w:tcBorders>
            <w:shd w:val="clear" w:color="auto" w:fill="82A9BA"/>
            <w:vAlign w:val="center"/>
            <w:hideMark/>
          </w:tcPr>
          <w:p w14:paraId="1A988709" w14:textId="77777777" w:rsidR="006F421D" w:rsidRDefault="006F421D" w:rsidP="006F421D">
            <w:pPr>
              <w:spacing w:before="40" w:after="40"/>
              <w:rPr>
                <w:rFonts w:ascii="Times" w:eastAsia="Times New Roman" w:hAnsi="Times" w:cs="Times New Roman"/>
              </w:rPr>
            </w:pPr>
          </w:p>
        </w:tc>
      </w:tr>
      <w:tr w:rsidR="006F421D" w14:paraId="2F5904C6" w14:textId="77777777" w:rsidTr="006F421D">
        <w:trPr>
          <w:divId w:val="1204950834"/>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C25444D" w14:textId="77777777" w:rsidR="006F421D" w:rsidRDefault="006F421D" w:rsidP="006F421D">
            <w:pPr>
              <w:pStyle w:val="financials03table-body-l"/>
              <w:spacing w:before="40" w:after="40"/>
              <w:rPr>
                <w:rFonts w:cs="Times New Roman"/>
              </w:rPr>
            </w:pPr>
            <w:r>
              <w:rPr>
                <w:rStyle w:val="2body-italic"/>
                <w:rFonts w:cs="Times New Roman"/>
              </w:rPr>
              <w:t>Vital Signs: The State of Safety and Quality in Australian Health Care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CBA0646" w14:textId="77777777" w:rsidR="006F421D" w:rsidRDefault="006F421D" w:rsidP="006F421D">
            <w:pPr>
              <w:pStyle w:val="financials03table-body-l"/>
              <w:spacing w:before="40" w:after="40"/>
              <w:rPr>
                <w:rFonts w:cs="Times New Roman"/>
              </w:rPr>
            </w:pPr>
            <w:r>
              <w:rPr>
                <w:rFonts w:cs="Times New Roman"/>
              </w:rPr>
              <w:t>An annual publication providing an overview of what is happening in Australian health care for a series of important safety and quality topics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78FB680" w14:textId="77777777" w:rsidR="006F421D" w:rsidRDefault="006F421D" w:rsidP="006F421D">
            <w:pPr>
              <w:pStyle w:val="financials03table-body-l"/>
              <w:spacing w:before="40" w:after="40"/>
              <w:rPr>
                <w:rFonts w:cs="Times New Roman"/>
              </w:rPr>
            </w:pPr>
            <w:r>
              <w:rPr>
                <w:rFonts w:cs="Times New Roman"/>
              </w:rPr>
              <w:t>October 2013</w:t>
            </w:r>
          </w:p>
        </w:tc>
      </w:tr>
    </w:tbl>
    <w:p w14:paraId="0518E338" w14:textId="77777777" w:rsidR="006F421D" w:rsidRDefault="006F421D" w:rsidP="006F421D">
      <w:pPr>
        <w:pStyle w:val="2body-copy"/>
        <w:divId w:val="612711579"/>
        <w:rPr>
          <w:lang w:val="en-GB"/>
        </w:rPr>
      </w:pPr>
    </w:p>
    <w:p w14:paraId="26D1932B" w14:textId="77777777" w:rsidR="006F421D" w:rsidRDefault="006F421D">
      <w:pPr>
        <w:spacing w:after="0"/>
        <w:rPr>
          <w:rFonts w:cs="Times New Roman"/>
          <w:b/>
          <w:bCs/>
          <w:color w:val="5F605F"/>
          <w:sz w:val="30"/>
          <w:szCs w:val="30"/>
          <w:lang w:val="en-GB"/>
        </w:rPr>
      </w:pPr>
      <w:r>
        <w:rPr>
          <w:rFonts w:cs="Times New Roman"/>
          <w:lang w:val="en-GB"/>
        </w:rPr>
        <w:br w:type="page"/>
      </w:r>
    </w:p>
    <w:p w14:paraId="51079876" w14:textId="6BB81DE1" w:rsidR="006F421D" w:rsidRDefault="006F421D" w:rsidP="00093444">
      <w:pPr>
        <w:pStyle w:val="Heading2"/>
        <w:divId w:val="612711579"/>
        <w:rPr>
          <w:lang w:val="en-GB"/>
        </w:rPr>
      </w:pPr>
      <w:bookmarkStart w:id="51" w:name="_Toc414011909"/>
      <w:r>
        <w:rPr>
          <w:lang w:val="en-GB"/>
        </w:rPr>
        <w:lastRenderedPageBreak/>
        <w:t>Appendix B</w:t>
      </w:r>
      <w:bookmarkEnd w:id="51"/>
      <w:r w:rsidR="00093444">
        <w:rPr>
          <w:lang w:val="en-GB"/>
        </w:rPr>
        <w:t>: Published articles</w:t>
      </w:r>
    </w:p>
    <w:p w14:paraId="2B70B76B" w14:textId="01557F1E" w:rsidR="006F421D" w:rsidRDefault="006F421D">
      <w:pPr>
        <w:pStyle w:val="financials01heading-level-2"/>
        <w:divId w:val="612711579"/>
        <w:rPr>
          <w:rFonts w:cs="Times New Roman"/>
          <w:lang w:val="en-GB"/>
        </w:rPr>
      </w:pPr>
    </w:p>
    <w:p w14:paraId="1E394177" w14:textId="77777777" w:rsidR="006F421D" w:rsidRDefault="006F421D">
      <w:pPr>
        <w:pStyle w:val="2body-copy"/>
        <w:divId w:val="612711579"/>
        <w:rPr>
          <w:rFonts w:cs="Times New Roman"/>
          <w:lang w:val="en-GB"/>
        </w:rPr>
      </w:pPr>
      <w:r>
        <w:rPr>
          <w:rFonts w:cs="Times New Roman"/>
          <w:lang w:val="en-GB"/>
        </w:rPr>
        <w:t>The following table lists the journal articles published during 2013/14 that Commission staff members have contributed to.</w:t>
      </w:r>
    </w:p>
    <w:p w14:paraId="1591318C" w14:textId="77777777" w:rsidR="006F421D" w:rsidRPr="005D6BC4" w:rsidRDefault="006F421D" w:rsidP="006F421D">
      <w:pPr>
        <w:pStyle w:val="3-figure"/>
        <w:divId w:val="612711579"/>
        <w:rPr>
          <w:rStyle w:val="2body-medium"/>
          <w:b w:val="0"/>
        </w:rPr>
      </w:pPr>
      <w:r w:rsidRPr="005D6BC4">
        <w:rPr>
          <w:rStyle w:val="2body-medium"/>
        </w:rPr>
        <w:t xml:space="preserve">Table 4: Published articles with contributions from the Commission </w:t>
      </w:r>
    </w:p>
    <w:tbl>
      <w:tblPr>
        <w:tblW w:w="0" w:type="auto"/>
        <w:tblCellMar>
          <w:top w:w="28" w:type="dxa"/>
          <w:left w:w="57" w:type="dxa"/>
          <w:bottom w:w="28" w:type="dxa"/>
          <w:right w:w="57" w:type="dxa"/>
        </w:tblCellMar>
        <w:tblLook w:val="04A0" w:firstRow="1" w:lastRow="0" w:firstColumn="1" w:lastColumn="0" w:noHBand="0" w:noVBand="1"/>
      </w:tblPr>
      <w:tblGrid>
        <w:gridCol w:w="7746"/>
        <w:gridCol w:w="2567"/>
      </w:tblGrid>
      <w:tr w:rsidR="006F421D" w14:paraId="40C0E03F" w14:textId="77777777" w:rsidTr="006F421D">
        <w:trPr>
          <w:divId w:val="612711579"/>
        </w:trPr>
        <w:tc>
          <w:tcPr>
            <w:tcW w:w="0" w:type="auto"/>
            <w:shd w:val="clear" w:color="auto" w:fill="005C7E"/>
            <w:vAlign w:val="center"/>
            <w:hideMark/>
          </w:tcPr>
          <w:p w14:paraId="7E268DFD" w14:textId="77777777" w:rsidR="006F421D" w:rsidRDefault="006F421D">
            <w:pPr>
              <w:pStyle w:val="financials03table-header-l"/>
              <w:rPr>
                <w:rFonts w:cs="Times New Roman"/>
              </w:rPr>
            </w:pPr>
            <w:r>
              <w:rPr>
                <w:rFonts w:cs="Times New Roman"/>
              </w:rPr>
              <w:t>Article name/authors</w:t>
            </w:r>
          </w:p>
        </w:tc>
        <w:tc>
          <w:tcPr>
            <w:tcW w:w="0" w:type="auto"/>
            <w:shd w:val="clear" w:color="auto" w:fill="005C7E"/>
            <w:vAlign w:val="center"/>
            <w:hideMark/>
          </w:tcPr>
          <w:p w14:paraId="282223B7" w14:textId="77777777" w:rsidR="006F421D" w:rsidRDefault="006F421D">
            <w:pPr>
              <w:pStyle w:val="financials03table-header-l"/>
              <w:rPr>
                <w:rFonts w:cs="Times New Roman"/>
              </w:rPr>
            </w:pPr>
            <w:r>
              <w:rPr>
                <w:rFonts w:cs="Times New Roman"/>
              </w:rPr>
              <w:t>Publication/Date</w:t>
            </w:r>
          </w:p>
        </w:tc>
      </w:tr>
      <w:tr w:rsidR="006F421D" w14:paraId="4ECD4A39" w14:textId="77777777" w:rsidTr="006F421D">
        <w:trPr>
          <w:divId w:val="6127115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267B6A4" w14:textId="77777777" w:rsidR="006F421D" w:rsidRDefault="006F421D">
            <w:pPr>
              <w:pStyle w:val="financials03table-body-l"/>
              <w:rPr>
                <w:rFonts w:cs="Times New Roman"/>
              </w:rPr>
            </w:pPr>
            <w:r>
              <w:rPr>
                <w:rStyle w:val="2body-italic"/>
                <w:rFonts w:cs="Times New Roman"/>
              </w:rPr>
              <w:t>Patient safety in hospitals – can we measure it?</w:t>
            </w:r>
          </w:p>
          <w:p w14:paraId="1FD67EAE" w14:textId="77777777" w:rsidR="006F421D" w:rsidRDefault="006F421D">
            <w:pPr>
              <w:pStyle w:val="financials03table-body-l"/>
              <w:rPr>
                <w:rFonts w:cs="Times New Roman"/>
              </w:rPr>
            </w:pPr>
            <w:r>
              <w:rPr>
                <w:rStyle w:val="2body-italic"/>
                <w:rFonts w:cs="Times New Roman"/>
              </w:rPr>
              <w:t>Board N.</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2C6AF88" w14:textId="77777777" w:rsidR="006F421D" w:rsidRDefault="006F421D">
            <w:pPr>
              <w:pStyle w:val="financials03table-body-l"/>
              <w:rPr>
                <w:rFonts w:cs="Times New Roman"/>
              </w:rPr>
            </w:pPr>
            <w:r>
              <w:rPr>
                <w:rStyle w:val="2body-italic"/>
                <w:rFonts w:cs="Times New Roman"/>
              </w:rPr>
              <w:t>Medical Journal of Australia</w:t>
            </w:r>
          </w:p>
          <w:p w14:paraId="1B48B17A" w14:textId="77777777" w:rsidR="006F421D" w:rsidRDefault="006F421D">
            <w:pPr>
              <w:pStyle w:val="financials03table-body-l"/>
              <w:rPr>
                <w:rFonts w:cs="Times New Roman"/>
              </w:rPr>
            </w:pPr>
            <w:r>
              <w:rPr>
                <w:rFonts w:cs="Times New Roman"/>
              </w:rPr>
              <w:t>October 2013</w:t>
            </w:r>
          </w:p>
        </w:tc>
      </w:tr>
      <w:tr w:rsidR="006F421D" w14:paraId="2BFF675F" w14:textId="77777777" w:rsidTr="006F421D">
        <w:trPr>
          <w:divId w:val="6127115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4A54054" w14:textId="77777777" w:rsidR="006F421D" w:rsidRDefault="006F421D">
            <w:pPr>
              <w:pStyle w:val="financials03table-body-l"/>
              <w:rPr>
                <w:rFonts w:cs="Times New Roman"/>
              </w:rPr>
            </w:pPr>
            <w:r>
              <w:rPr>
                <w:rStyle w:val="2body-italic"/>
                <w:rFonts w:cs="Times New Roman"/>
              </w:rPr>
              <w:t>Global collaboration to encourage prudent use of antibiotics</w:t>
            </w:r>
          </w:p>
          <w:p w14:paraId="42A1A544" w14:textId="77777777" w:rsidR="006F421D" w:rsidRDefault="006F421D">
            <w:pPr>
              <w:pStyle w:val="financials03table-body-l"/>
              <w:rPr>
                <w:rFonts w:cs="Times New Roman"/>
              </w:rPr>
            </w:pPr>
            <w:proofErr w:type="spellStart"/>
            <w:r>
              <w:rPr>
                <w:rStyle w:val="2body-italic"/>
                <w:rFonts w:cs="Times New Roman"/>
              </w:rPr>
              <w:t>Earnshaw</w:t>
            </w:r>
            <w:proofErr w:type="spellEnd"/>
            <w:r>
              <w:rPr>
                <w:rStyle w:val="2body-italic"/>
                <w:rFonts w:cs="Times New Roman"/>
              </w:rPr>
              <w:t xml:space="preserve"> S, Mendez A, Monnet D, Hicks L, Cruickshank M, Weekes L, </w:t>
            </w:r>
            <w:proofErr w:type="spellStart"/>
            <w:r>
              <w:rPr>
                <w:rStyle w:val="2body-italic"/>
                <w:rFonts w:cs="Times New Roman"/>
              </w:rPr>
              <w:t>Njoo</w:t>
            </w:r>
            <w:proofErr w:type="spellEnd"/>
            <w:r>
              <w:rPr>
                <w:rStyle w:val="2body-italic"/>
                <w:rFonts w:cs="Times New Roman"/>
              </w:rPr>
              <w:t xml:space="preserve"> H, Ross 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E4DF7DF" w14:textId="77777777" w:rsidR="006F421D" w:rsidRDefault="006F421D">
            <w:pPr>
              <w:pStyle w:val="financials03table-body-l"/>
              <w:rPr>
                <w:rFonts w:cs="Times New Roman"/>
              </w:rPr>
            </w:pPr>
            <w:r>
              <w:rPr>
                <w:rStyle w:val="2body-italic"/>
                <w:rFonts w:cs="Times New Roman"/>
              </w:rPr>
              <w:t>The Lancet Infectious Diseases</w:t>
            </w:r>
          </w:p>
          <w:p w14:paraId="202AFB82" w14:textId="77777777" w:rsidR="006F421D" w:rsidRDefault="006F421D">
            <w:pPr>
              <w:pStyle w:val="financials03table-body-l"/>
              <w:rPr>
                <w:rFonts w:cs="Times New Roman"/>
              </w:rPr>
            </w:pPr>
            <w:r>
              <w:rPr>
                <w:rFonts w:cs="Times New Roman"/>
              </w:rPr>
              <w:t>December 2013</w:t>
            </w:r>
          </w:p>
        </w:tc>
      </w:tr>
      <w:tr w:rsidR="006F421D" w14:paraId="039D82C0" w14:textId="77777777" w:rsidTr="006F421D">
        <w:trPr>
          <w:divId w:val="6127115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02D6362" w14:textId="77777777" w:rsidR="006F421D" w:rsidRDefault="006F421D">
            <w:pPr>
              <w:pStyle w:val="financials03table-body-l"/>
              <w:rPr>
                <w:rFonts w:cs="Times New Roman"/>
              </w:rPr>
            </w:pPr>
            <w:r>
              <w:rPr>
                <w:rStyle w:val="2body-italic"/>
                <w:rFonts w:cs="Times New Roman"/>
              </w:rPr>
              <w:t>Taking Action to Preserve the Miracle of Antibiotics</w:t>
            </w:r>
          </w:p>
          <w:p w14:paraId="684A5F18" w14:textId="77777777" w:rsidR="006F421D" w:rsidRDefault="006F421D">
            <w:pPr>
              <w:pStyle w:val="financials03table-body-l"/>
              <w:rPr>
                <w:rFonts w:cs="Times New Roman"/>
              </w:rPr>
            </w:pPr>
            <w:r>
              <w:rPr>
                <w:rStyle w:val="2body-italic"/>
                <w:rFonts w:cs="Times New Roman"/>
              </w:rPr>
              <w:t xml:space="preserve">Cruickshank M, </w:t>
            </w:r>
            <w:proofErr w:type="spellStart"/>
            <w:r>
              <w:rPr>
                <w:rStyle w:val="2body-italic"/>
                <w:rFonts w:cs="Times New Roman"/>
              </w:rPr>
              <w:t>Duguid</w:t>
            </w:r>
            <w:proofErr w:type="spellEnd"/>
            <w:r>
              <w:rPr>
                <w:rStyle w:val="2body-italic"/>
                <w:rFonts w:cs="Times New Roman"/>
              </w:rPr>
              <w:t xml:space="preserve"> M, Gotterson F, Carter D.</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82F1A47" w14:textId="77777777" w:rsidR="006F421D" w:rsidRDefault="006F421D">
            <w:pPr>
              <w:pStyle w:val="financials03table-body-l"/>
              <w:rPr>
                <w:rFonts w:cs="Times New Roman"/>
              </w:rPr>
            </w:pPr>
            <w:r>
              <w:rPr>
                <w:rStyle w:val="2body-italic"/>
                <w:rFonts w:cs="Times New Roman"/>
              </w:rPr>
              <w:t>Australian Veterinary Journal</w:t>
            </w:r>
          </w:p>
          <w:p w14:paraId="120FCFA4" w14:textId="77777777" w:rsidR="006F421D" w:rsidRDefault="006F421D">
            <w:pPr>
              <w:pStyle w:val="financials03table-body-l"/>
              <w:rPr>
                <w:rFonts w:cs="Times New Roman"/>
              </w:rPr>
            </w:pPr>
            <w:r>
              <w:rPr>
                <w:rFonts w:cs="Times New Roman"/>
              </w:rPr>
              <w:t>January 2014</w:t>
            </w:r>
          </w:p>
        </w:tc>
      </w:tr>
      <w:tr w:rsidR="006F421D" w14:paraId="2DA28D1D" w14:textId="77777777" w:rsidTr="006F421D">
        <w:trPr>
          <w:divId w:val="6127115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CADADC1" w14:textId="77777777" w:rsidR="006F421D" w:rsidRDefault="006F421D">
            <w:pPr>
              <w:pStyle w:val="financials03table-body-l"/>
              <w:rPr>
                <w:rFonts w:cs="Times New Roman"/>
              </w:rPr>
            </w:pPr>
            <w:r>
              <w:rPr>
                <w:rStyle w:val="2body-italic"/>
                <w:rFonts w:cs="Times New Roman"/>
              </w:rPr>
              <w:t>Standardization in patient safety: the WHO High 5s Project</w:t>
            </w:r>
          </w:p>
          <w:p w14:paraId="3DEFB32F" w14:textId="77777777" w:rsidR="006F421D" w:rsidRDefault="006F421D">
            <w:pPr>
              <w:pStyle w:val="financials03table-body-l"/>
              <w:rPr>
                <w:rFonts w:cs="Times New Roman"/>
              </w:rPr>
            </w:pPr>
            <w:proofErr w:type="spellStart"/>
            <w:r>
              <w:rPr>
                <w:rFonts w:cs="Times New Roman"/>
              </w:rPr>
              <w:t>Leotsakos</w:t>
            </w:r>
            <w:proofErr w:type="spellEnd"/>
            <w:r>
              <w:rPr>
                <w:rFonts w:cs="Times New Roman"/>
              </w:rPr>
              <w:t xml:space="preserve"> A, Zheng H, </w:t>
            </w:r>
            <w:proofErr w:type="spellStart"/>
            <w:r>
              <w:rPr>
                <w:rFonts w:cs="Times New Roman"/>
              </w:rPr>
              <w:t>Croteau</w:t>
            </w:r>
            <w:proofErr w:type="spellEnd"/>
            <w:r>
              <w:rPr>
                <w:rFonts w:cs="Times New Roman"/>
              </w:rPr>
              <w:t xml:space="preserve"> R, Loeb JM, Sherman H, Hoffman C, </w:t>
            </w:r>
            <w:proofErr w:type="spellStart"/>
            <w:r>
              <w:rPr>
                <w:rFonts w:cs="Times New Roman"/>
              </w:rPr>
              <w:t>Morganstein</w:t>
            </w:r>
            <w:proofErr w:type="spellEnd"/>
            <w:r>
              <w:rPr>
                <w:rFonts w:cs="Times New Roman"/>
              </w:rPr>
              <w:t xml:space="preserve"> L, O’Leary D, </w:t>
            </w:r>
            <w:proofErr w:type="spellStart"/>
            <w:r>
              <w:rPr>
                <w:rFonts w:cs="Times New Roman"/>
              </w:rPr>
              <w:t>Bruneau</w:t>
            </w:r>
            <w:proofErr w:type="spellEnd"/>
            <w:r>
              <w:rPr>
                <w:rFonts w:cs="Times New Roman"/>
              </w:rPr>
              <w:t xml:space="preserve"> C, Lee P, </w:t>
            </w:r>
            <w:proofErr w:type="spellStart"/>
            <w:r>
              <w:rPr>
                <w:rFonts w:cs="Times New Roman"/>
              </w:rPr>
              <w:t>Duguid</w:t>
            </w:r>
            <w:proofErr w:type="spellEnd"/>
            <w:r>
              <w:rPr>
                <w:rFonts w:cs="Times New Roman"/>
              </w:rPr>
              <w:t xml:space="preserve"> M, </w:t>
            </w:r>
            <w:proofErr w:type="spellStart"/>
            <w:r>
              <w:rPr>
                <w:rFonts w:cs="Times New Roman"/>
              </w:rPr>
              <w:t>Thomeczek</w:t>
            </w:r>
            <w:proofErr w:type="spellEnd"/>
            <w:r>
              <w:rPr>
                <w:rFonts w:cs="Times New Roman"/>
              </w:rPr>
              <w:t xml:space="preserve"> C, van der </w:t>
            </w:r>
            <w:proofErr w:type="spellStart"/>
            <w:r>
              <w:rPr>
                <w:rFonts w:cs="Times New Roman"/>
              </w:rPr>
              <w:t>Schrieck</w:t>
            </w:r>
            <w:proofErr w:type="spellEnd"/>
            <w:r>
              <w:rPr>
                <w:rFonts w:cs="Times New Roman"/>
              </w:rPr>
              <w:t xml:space="preserve">-De Loos E, </w:t>
            </w:r>
            <w:proofErr w:type="spellStart"/>
            <w:r>
              <w:rPr>
                <w:rFonts w:cs="Times New Roman"/>
              </w:rPr>
              <w:t>Munier</w:t>
            </w:r>
            <w:proofErr w:type="spellEnd"/>
            <w:r>
              <w:rPr>
                <w:rFonts w:cs="Times New Roman"/>
              </w:rPr>
              <w:t xml:space="preserve"> B.</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FB9E565" w14:textId="77777777" w:rsidR="006F421D" w:rsidRDefault="006F421D">
            <w:pPr>
              <w:pStyle w:val="financials03table-body-l"/>
              <w:rPr>
                <w:rFonts w:cs="Times New Roman"/>
              </w:rPr>
            </w:pPr>
            <w:r>
              <w:rPr>
                <w:rStyle w:val="2body-italic"/>
                <w:rFonts w:cs="Times New Roman"/>
              </w:rPr>
              <w:t>International Journal for Quality in Health Care</w:t>
            </w:r>
          </w:p>
          <w:p w14:paraId="09A22CEF" w14:textId="77777777" w:rsidR="006F421D" w:rsidRDefault="006F421D">
            <w:pPr>
              <w:pStyle w:val="financials03table-body-l"/>
              <w:rPr>
                <w:rFonts w:cs="Times New Roman"/>
              </w:rPr>
            </w:pPr>
            <w:r>
              <w:rPr>
                <w:rFonts w:cs="Times New Roman"/>
              </w:rPr>
              <w:t>March 2014 (vol. 26 no.2 pp109–116)</w:t>
            </w:r>
          </w:p>
        </w:tc>
      </w:tr>
    </w:tbl>
    <w:p w14:paraId="500C6587" w14:textId="77777777" w:rsidR="006F421D" w:rsidRPr="006F421D" w:rsidRDefault="006F421D" w:rsidP="006F421D">
      <w:pPr>
        <w:divId w:val="1311597601"/>
      </w:pPr>
    </w:p>
    <w:p w14:paraId="069FDDA3" w14:textId="77777777" w:rsidR="006F421D" w:rsidRDefault="006F421D">
      <w:pPr>
        <w:spacing w:after="0"/>
        <w:rPr>
          <w:rFonts w:cs="Times New Roman"/>
          <w:b/>
          <w:bCs/>
          <w:color w:val="5F605F"/>
          <w:sz w:val="30"/>
          <w:szCs w:val="30"/>
          <w:lang w:val="en-GB"/>
        </w:rPr>
      </w:pPr>
      <w:r>
        <w:rPr>
          <w:rFonts w:cs="Times New Roman"/>
          <w:lang w:val="en-GB"/>
        </w:rPr>
        <w:br w:type="page"/>
      </w:r>
    </w:p>
    <w:p w14:paraId="3E0677C7" w14:textId="68C5C28B" w:rsidR="006F421D" w:rsidRDefault="006F421D" w:rsidP="00093444">
      <w:pPr>
        <w:pStyle w:val="Heading2"/>
        <w:divId w:val="1311597601"/>
        <w:rPr>
          <w:lang w:val="en-GB"/>
        </w:rPr>
      </w:pPr>
      <w:bookmarkStart w:id="52" w:name="_Toc414011910"/>
      <w:r>
        <w:rPr>
          <w:lang w:val="en-GB"/>
        </w:rPr>
        <w:lastRenderedPageBreak/>
        <w:t>Appendix C</w:t>
      </w:r>
      <w:bookmarkEnd w:id="52"/>
      <w:r w:rsidR="00093444">
        <w:rPr>
          <w:lang w:val="en-GB"/>
        </w:rPr>
        <w:t>: Engagement in research</w:t>
      </w:r>
    </w:p>
    <w:p w14:paraId="192DE4A9" w14:textId="1D1FBFBE" w:rsidR="006F421D" w:rsidRDefault="006F421D">
      <w:pPr>
        <w:pStyle w:val="financials01heading-level-2"/>
        <w:divId w:val="1311597601"/>
        <w:rPr>
          <w:rFonts w:cs="Times New Roman"/>
          <w:lang w:val="en-GB"/>
        </w:rPr>
      </w:pPr>
    </w:p>
    <w:p w14:paraId="10A9F94B" w14:textId="77777777" w:rsidR="006F421D" w:rsidRDefault="006F421D">
      <w:pPr>
        <w:pStyle w:val="2body-copy"/>
        <w:divId w:val="1311597601"/>
        <w:rPr>
          <w:rFonts w:cs="Times New Roman"/>
          <w:lang w:val="en-GB"/>
        </w:rPr>
      </w:pPr>
      <w:r>
        <w:rPr>
          <w:rFonts w:cs="Times New Roman"/>
          <w:lang w:val="en-GB"/>
        </w:rPr>
        <w:t>The following table summarises the research activities and projects that the Commission has been involved with during 2013/14, as discussed on page 55.</w:t>
      </w:r>
    </w:p>
    <w:p w14:paraId="63CD7A2D" w14:textId="77777777" w:rsidR="006F421D" w:rsidRPr="00622626" w:rsidRDefault="006F421D" w:rsidP="006F421D">
      <w:pPr>
        <w:pStyle w:val="3-figure"/>
        <w:spacing w:before="60"/>
        <w:divId w:val="1311597601"/>
        <w:rPr>
          <w:rStyle w:val="2body-medium"/>
        </w:rPr>
      </w:pPr>
      <w:r w:rsidRPr="00622626">
        <w:rPr>
          <w:rStyle w:val="2body-medium"/>
        </w:rPr>
        <w:t>Table 5: Commission engagement in research during 2013/14</w:t>
      </w:r>
    </w:p>
    <w:tbl>
      <w:tblPr>
        <w:tblW w:w="0" w:type="auto"/>
        <w:tblCellMar>
          <w:top w:w="28" w:type="dxa"/>
          <w:left w:w="57" w:type="dxa"/>
          <w:bottom w:w="28" w:type="dxa"/>
          <w:right w:w="57" w:type="dxa"/>
        </w:tblCellMar>
        <w:tblLook w:val="04A0" w:firstRow="1" w:lastRow="0" w:firstColumn="1" w:lastColumn="0" w:noHBand="0" w:noVBand="1"/>
      </w:tblPr>
      <w:tblGrid>
        <w:gridCol w:w="1916"/>
        <w:gridCol w:w="2536"/>
        <w:gridCol w:w="3029"/>
        <w:gridCol w:w="1932"/>
        <w:gridCol w:w="900"/>
      </w:tblGrid>
      <w:tr w:rsidR="006F421D" w14:paraId="420C9B5F" w14:textId="77777777" w:rsidTr="006F421D">
        <w:trPr>
          <w:divId w:val="1311597601"/>
          <w:tblHeader/>
        </w:trPr>
        <w:tc>
          <w:tcPr>
            <w:tcW w:w="0" w:type="auto"/>
            <w:tcBorders>
              <w:bottom w:val="dotted" w:sz="8" w:space="0" w:color="005C7E"/>
            </w:tcBorders>
            <w:shd w:val="clear" w:color="auto" w:fill="005C7E"/>
            <w:vAlign w:val="center"/>
            <w:hideMark/>
          </w:tcPr>
          <w:p w14:paraId="5CD4F892" w14:textId="77777777" w:rsidR="006F421D" w:rsidRDefault="006F421D">
            <w:pPr>
              <w:pStyle w:val="financials03table-header-l"/>
              <w:rPr>
                <w:rFonts w:cs="Times New Roman"/>
              </w:rPr>
            </w:pPr>
            <w:r>
              <w:rPr>
                <w:rFonts w:cs="Times New Roman"/>
              </w:rPr>
              <w:t>Research</w:t>
            </w:r>
          </w:p>
        </w:tc>
        <w:tc>
          <w:tcPr>
            <w:tcW w:w="2536" w:type="dxa"/>
            <w:tcBorders>
              <w:bottom w:val="dotted" w:sz="8" w:space="0" w:color="005C7E"/>
            </w:tcBorders>
            <w:shd w:val="clear" w:color="auto" w:fill="005C7E"/>
            <w:vAlign w:val="center"/>
            <w:hideMark/>
          </w:tcPr>
          <w:p w14:paraId="7150EC47" w14:textId="77777777" w:rsidR="006F421D" w:rsidRDefault="006F421D">
            <w:pPr>
              <w:pStyle w:val="financials03table-header-l"/>
              <w:rPr>
                <w:rFonts w:cs="Times New Roman"/>
              </w:rPr>
            </w:pPr>
            <w:r>
              <w:rPr>
                <w:rFonts w:cs="Times New Roman"/>
              </w:rPr>
              <w:t>Research organisation</w:t>
            </w:r>
          </w:p>
        </w:tc>
        <w:tc>
          <w:tcPr>
            <w:tcW w:w="3029" w:type="dxa"/>
            <w:tcBorders>
              <w:bottom w:val="dotted" w:sz="8" w:space="0" w:color="005C7E"/>
            </w:tcBorders>
            <w:shd w:val="clear" w:color="auto" w:fill="005C7E"/>
            <w:vAlign w:val="center"/>
            <w:hideMark/>
          </w:tcPr>
          <w:p w14:paraId="48854792" w14:textId="77777777" w:rsidR="006F421D" w:rsidRDefault="006F421D">
            <w:pPr>
              <w:pStyle w:val="financials03table-header-l"/>
              <w:rPr>
                <w:rFonts w:cs="Times New Roman"/>
              </w:rPr>
            </w:pPr>
            <w:r>
              <w:rPr>
                <w:rFonts w:cs="Times New Roman"/>
              </w:rPr>
              <w:t>Brief description</w:t>
            </w:r>
          </w:p>
        </w:tc>
        <w:tc>
          <w:tcPr>
            <w:tcW w:w="1932" w:type="dxa"/>
            <w:tcBorders>
              <w:bottom w:val="dotted" w:sz="8" w:space="0" w:color="005C7E"/>
            </w:tcBorders>
            <w:shd w:val="clear" w:color="auto" w:fill="005C7E"/>
            <w:vAlign w:val="center"/>
            <w:hideMark/>
          </w:tcPr>
          <w:p w14:paraId="3C17758B" w14:textId="77777777" w:rsidR="006F421D" w:rsidRDefault="006F421D">
            <w:pPr>
              <w:pStyle w:val="financials03table-header-l"/>
              <w:rPr>
                <w:rFonts w:cs="Times New Roman"/>
              </w:rPr>
            </w:pPr>
            <w:r>
              <w:rPr>
                <w:rFonts w:cs="Times New Roman"/>
              </w:rPr>
              <w:t>Commission role</w:t>
            </w:r>
          </w:p>
        </w:tc>
        <w:tc>
          <w:tcPr>
            <w:tcW w:w="900" w:type="dxa"/>
            <w:tcBorders>
              <w:bottom w:val="dotted" w:sz="8" w:space="0" w:color="005C7E"/>
            </w:tcBorders>
            <w:shd w:val="clear" w:color="auto" w:fill="005C7E"/>
            <w:vAlign w:val="center"/>
            <w:hideMark/>
          </w:tcPr>
          <w:p w14:paraId="6B05369A" w14:textId="77777777" w:rsidR="006F421D" w:rsidRDefault="006F421D">
            <w:pPr>
              <w:pStyle w:val="financials03table-header-l"/>
              <w:rPr>
                <w:rFonts w:cs="Times New Roman"/>
              </w:rPr>
            </w:pPr>
            <w:r>
              <w:rPr>
                <w:rFonts w:cs="Times New Roman"/>
              </w:rPr>
              <w:t>Project status</w:t>
            </w:r>
          </w:p>
        </w:tc>
      </w:tr>
      <w:tr w:rsidR="006F421D" w14:paraId="2BC056AF" w14:textId="77777777" w:rsidTr="006F421D">
        <w:trPr>
          <w:divId w:val="1311597601"/>
        </w:trPr>
        <w:tc>
          <w:tcPr>
            <w:tcW w:w="0" w:type="auto"/>
            <w:tcBorders>
              <w:top w:val="dotted" w:sz="8" w:space="0" w:color="005C7E"/>
              <w:left w:val="dotted" w:sz="8" w:space="0" w:color="005C7E"/>
              <w:bottom w:val="dotted" w:sz="8" w:space="0" w:color="005C7E"/>
              <w:right w:val="dotted" w:sz="8" w:space="0" w:color="005C7E"/>
            </w:tcBorders>
            <w:hideMark/>
          </w:tcPr>
          <w:p w14:paraId="78B154DD" w14:textId="77777777" w:rsidR="006F421D" w:rsidRDefault="006F421D">
            <w:pPr>
              <w:pStyle w:val="financials03table-body-l"/>
              <w:rPr>
                <w:rFonts w:cs="Times New Roman"/>
              </w:rPr>
            </w:pPr>
            <w:r>
              <w:rPr>
                <w:rFonts w:cs="Times New Roman"/>
              </w:rPr>
              <w:t>Listen to me, I really am sick! Understanding patient and family perspectives in triggering responses to medical emergencies</w:t>
            </w:r>
          </w:p>
        </w:tc>
        <w:tc>
          <w:tcPr>
            <w:tcW w:w="2536" w:type="dxa"/>
            <w:tcBorders>
              <w:top w:val="dotted" w:sz="8" w:space="0" w:color="005C7E"/>
              <w:left w:val="dotted" w:sz="8" w:space="0" w:color="005C7E"/>
              <w:bottom w:val="dotted" w:sz="8" w:space="0" w:color="005C7E"/>
              <w:right w:val="dotted" w:sz="8" w:space="0" w:color="005C7E"/>
            </w:tcBorders>
            <w:hideMark/>
          </w:tcPr>
          <w:p w14:paraId="46119BD2" w14:textId="77777777" w:rsidR="006F421D" w:rsidRDefault="006F421D">
            <w:pPr>
              <w:pStyle w:val="financials03table-body-l"/>
              <w:rPr>
                <w:rFonts w:cs="Times New Roman"/>
              </w:rPr>
            </w:pPr>
            <w:r>
              <w:rPr>
                <w:rFonts w:cs="Times New Roman"/>
              </w:rPr>
              <w:t>Deakin University</w:t>
            </w:r>
          </w:p>
        </w:tc>
        <w:tc>
          <w:tcPr>
            <w:tcW w:w="3029" w:type="dxa"/>
            <w:tcBorders>
              <w:top w:val="dotted" w:sz="8" w:space="0" w:color="005C7E"/>
              <w:left w:val="dotted" w:sz="8" w:space="0" w:color="005C7E"/>
              <w:bottom w:val="dotted" w:sz="8" w:space="0" w:color="005C7E"/>
              <w:right w:val="dotted" w:sz="8" w:space="0" w:color="005C7E"/>
            </w:tcBorders>
            <w:hideMark/>
          </w:tcPr>
          <w:p w14:paraId="2C9392BE" w14:textId="77777777" w:rsidR="006F421D" w:rsidRDefault="006F421D">
            <w:pPr>
              <w:pStyle w:val="financials03table-body-l"/>
              <w:rPr>
                <w:rFonts w:cs="Times New Roman"/>
              </w:rPr>
            </w:pPr>
            <w:r>
              <w:rPr>
                <w:rFonts w:cs="Times New Roman"/>
              </w:rPr>
              <w:t>The aims of this study are to:</w:t>
            </w:r>
          </w:p>
          <w:p w14:paraId="3471597E" w14:textId="77777777" w:rsidR="006F421D" w:rsidRDefault="006F421D" w:rsidP="006F421D">
            <w:pPr>
              <w:pStyle w:val="financials03table-body-l"/>
              <w:ind w:left="192" w:hanging="192"/>
              <w:rPr>
                <w:rFonts w:cs="Times New Roman"/>
              </w:rPr>
            </w:pPr>
            <w:r>
              <w:rPr>
                <w:rFonts w:cs="Times New Roman"/>
              </w:rPr>
              <w:t>1. Investigate the role and influence of patients and relatives in triggering responses from health providers to critical patient deterioration in hospital</w:t>
            </w:r>
          </w:p>
          <w:p w14:paraId="7B8301C6" w14:textId="77777777" w:rsidR="006F421D" w:rsidRDefault="006F421D" w:rsidP="006F421D">
            <w:pPr>
              <w:pStyle w:val="financials03table-body-l"/>
              <w:ind w:left="192" w:hanging="192"/>
              <w:rPr>
                <w:rFonts w:cs="Times New Roman"/>
              </w:rPr>
            </w:pPr>
            <w:r>
              <w:rPr>
                <w:rFonts w:cs="Times New Roman"/>
              </w:rPr>
              <w:t>2. Identify communication strategies that may decrease preventable serious adverse events.</w:t>
            </w:r>
          </w:p>
          <w:p w14:paraId="6BE80250" w14:textId="77777777" w:rsidR="006F421D" w:rsidRDefault="006F421D">
            <w:pPr>
              <w:pStyle w:val="financials03table-body-l"/>
              <w:rPr>
                <w:rFonts w:cs="Times New Roman"/>
              </w:rPr>
            </w:pPr>
            <w:r>
              <w:rPr>
                <w:rFonts w:cs="Times New Roman"/>
              </w:rPr>
              <w:t>A qualitative design using patient and family member interviews and medical record reviews will be undertaken. Data will be analysed using narrative enquiry</w:t>
            </w:r>
          </w:p>
        </w:tc>
        <w:tc>
          <w:tcPr>
            <w:tcW w:w="1932" w:type="dxa"/>
            <w:tcBorders>
              <w:top w:val="dotted" w:sz="8" w:space="0" w:color="005C7E"/>
              <w:left w:val="dotted" w:sz="8" w:space="0" w:color="005C7E"/>
              <w:bottom w:val="dotted" w:sz="8" w:space="0" w:color="005C7E"/>
              <w:right w:val="dotted" w:sz="8" w:space="0" w:color="005C7E"/>
            </w:tcBorders>
            <w:hideMark/>
          </w:tcPr>
          <w:p w14:paraId="3EAD9ACB" w14:textId="77777777" w:rsidR="006F421D" w:rsidRDefault="006F421D">
            <w:pPr>
              <w:pStyle w:val="financials03table-body-l"/>
              <w:rPr>
                <w:rFonts w:cs="Times New Roman"/>
              </w:rPr>
            </w:pPr>
            <w:r>
              <w:rPr>
                <w:rFonts w:cs="Times New Roman"/>
              </w:rPr>
              <w:t>Participation on project advisory panel</w:t>
            </w:r>
          </w:p>
        </w:tc>
        <w:tc>
          <w:tcPr>
            <w:tcW w:w="900" w:type="dxa"/>
            <w:tcBorders>
              <w:top w:val="dotted" w:sz="8" w:space="0" w:color="005C7E"/>
              <w:left w:val="dotted" w:sz="8" w:space="0" w:color="005C7E"/>
              <w:bottom w:val="dotted" w:sz="8" w:space="0" w:color="005C7E"/>
              <w:right w:val="dotted" w:sz="8" w:space="0" w:color="005C7E"/>
            </w:tcBorders>
            <w:hideMark/>
          </w:tcPr>
          <w:p w14:paraId="25182E98" w14:textId="77777777" w:rsidR="006F421D" w:rsidRDefault="006F421D">
            <w:pPr>
              <w:pStyle w:val="financials03table-body-l"/>
              <w:rPr>
                <w:rFonts w:cs="Times New Roman"/>
              </w:rPr>
            </w:pPr>
            <w:r>
              <w:rPr>
                <w:rFonts w:cs="Times New Roman"/>
              </w:rPr>
              <w:t>Project to be completed in 2015</w:t>
            </w:r>
          </w:p>
        </w:tc>
      </w:tr>
      <w:tr w:rsidR="006F421D" w14:paraId="7FBAF802" w14:textId="77777777" w:rsidTr="006F421D">
        <w:trPr>
          <w:divId w:val="1311597601"/>
        </w:trPr>
        <w:tc>
          <w:tcPr>
            <w:tcW w:w="0" w:type="auto"/>
            <w:tcBorders>
              <w:top w:val="dotted" w:sz="8" w:space="0" w:color="005C7E"/>
              <w:left w:val="dotted" w:sz="8" w:space="0" w:color="005C7E"/>
              <w:bottom w:val="dotted" w:sz="8" w:space="0" w:color="005C7E"/>
              <w:right w:val="dotted" w:sz="8" w:space="0" w:color="005C7E"/>
            </w:tcBorders>
            <w:hideMark/>
          </w:tcPr>
          <w:p w14:paraId="0CCA4CC5" w14:textId="77777777" w:rsidR="006F421D" w:rsidRDefault="006F421D">
            <w:pPr>
              <w:pStyle w:val="financials03table-body-l"/>
              <w:rPr>
                <w:rFonts w:cs="Times New Roman"/>
              </w:rPr>
            </w:pPr>
            <w:r>
              <w:rPr>
                <w:rFonts w:cs="Times New Roman"/>
              </w:rPr>
              <w:t>Centre for Research Excellence in Primary Health Care Microsystems: Stream 2 – Improving Safety and Quality in Primary Health Care</w:t>
            </w:r>
          </w:p>
        </w:tc>
        <w:tc>
          <w:tcPr>
            <w:tcW w:w="2536" w:type="dxa"/>
            <w:tcBorders>
              <w:top w:val="dotted" w:sz="8" w:space="0" w:color="005C7E"/>
              <w:left w:val="dotted" w:sz="8" w:space="0" w:color="005C7E"/>
              <w:bottom w:val="dotted" w:sz="8" w:space="0" w:color="005C7E"/>
              <w:right w:val="dotted" w:sz="8" w:space="0" w:color="005C7E"/>
            </w:tcBorders>
            <w:hideMark/>
          </w:tcPr>
          <w:p w14:paraId="47EFE933" w14:textId="77777777" w:rsidR="006F421D" w:rsidRDefault="006F421D">
            <w:pPr>
              <w:pStyle w:val="financials03table-body-l"/>
              <w:rPr>
                <w:rFonts w:cs="Times New Roman"/>
              </w:rPr>
            </w:pPr>
            <w:r>
              <w:rPr>
                <w:rFonts w:cs="Times New Roman"/>
              </w:rPr>
              <w:t>Centre for Research Excellence in Primary Health Care Microsystems is a consortium of the University of Queensland, Greater Green Triangle Department of Rural Health, Flinders University, University of NSW, Australian National University and the Mater Hospital</w:t>
            </w:r>
          </w:p>
        </w:tc>
        <w:tc>
          <w:tcPr>
            <w:tcW w:w="3029" w:type="dxa"/>
            <w:tcBorders>
              <w:top w:val="dotted" w:sz="8" w:space="0" w:color="005C7E"/>
              <w:left w:val="dotted" w:sz="8" w:space="0" w:color="005C7E"/>
              <w:bottom w:val="dotted" w:sz="8" w:space="0" w:color="005C7E"/>
              <w:right w:val="dotted" w:sz="8" w:space="0" w:color="005C7E"/>
            </w:tcBorders>
            <w:hideMark/>
          </w:tcPr>
          <w:p w14:paraId="59D215E1" w14:textId="77777777" w:rsidR="006F421D" w:rsidRDefault="006F421D">
            <w:pPr>
              <w:pStyle w:val="financials03table-body-l"/>
              <w:rPr>
                <w:rFonts w:cs="Times New Roman"/>
              </w:rPr>
            </w:pPr>
            <w:r>
              <w:rPr>
                <w:rFonts w:cs="Times New Roman"/>
              </w:rPr>
              <w:t>The CRE research program addresses primary health care quality, safety, governance, performance measurement and sustainability issues identified within the national health reform agenda</w:t>
            </w:r>
          </w:p>
        </w:tc>
        <w:tc>
          <w:tcPr>
            <w:tcW w:w="1932" w:type="dxa"/>
            <w:tcBorders>
              <w:top w:val="dotted" w:sz="8" w:space="0" w:color="005C7E"/>
              <w:left w:val="dotted" w:sz="8" w:space="0" w:color="005C7E"/>
              <w:bottom w:val="dotted" w:sz="8" w:space="0" w:color="005C7E"/>
              <w:right w:val="dotted" w:sz="8" w:space="0" w:color="005C7E"/>
            </w:tcBorders>
            <w:hideMark/>
          </w:tcPr>
          <w:p w14:paraId="6B9E3619" w14:textId="77777777" w:rsidR="006F421D" w:rsidRDefault="006F421D">
            <w:pPr>
              <w:pStyle w:val="financials03table-body-l"/>
              <w:rPr>
                <w:rFonts w:cs="Times New Roman"/>
              </w:rPr>
            </w:pPr>
            <w:r>
              <w:rPr>
                <w:rFonts w:cs="Times New Roman"/>
              </w:rPr>
              <w:t>Associate Investigator and national partner organisation</w:t>
            </w:r>
          </w:p>
        </w:tc>
        <w:tc>
          <w:tcPr>
            <w:tcW w:w="900" w:type="dxa"/>
            <w:tcBorders>
              <w:top w:val="dotted" w:sz="8" w:space="0" w:color="005C7E"/>
              <w:left w:val="dotted" w:sz="8" w:space="0" w:color="005C7E"/>
              <w:bottom w:val="dotted" w:sz="8" w:space="0" w:color="005C7E"/>
              <w:right w:val="dotted" w:sz="8" w:space="0" w:color="005C7E"/>
            </w:tcBorders>
            <w:hideMark/>
          </w:tcPr>
          <w:p w14:paraId="2F8E435C" w14:textId="77777777" w:rsidR="006F421D" w:rsidRDefault="006F421D">
            <w:pPr>
              <w:pStyle w:val="financials03table-body-l"/>
              <w:rPr>
                <w:rFonts w:cs="Times New Roman"/>
              </w:rPr>
            </w:pPr>
            <w:r>
              <w:rPr>
                <w:rFonts w:cs="Times New Roman"/>
              </w:rPr>
              <w:t>Program to be completed in 2014</w:t>
            </w:r>
          </w:p>
        </w:tc>
      </w:tr>
      <w:tr w:rsidR="006F421D" w14:paraId="0671881A" w14:textId="77777777" w:rsidTr="006F421D">
        <w:trPr>
          <w:divId w:val="1311597601"/>
        </w:trPr>
        <w:tc>
          <w:tcPr>
            <w:tcW w:w="0" w:type="auto"/>
            <w:tcBorders>
              <w:top w:val="dotted" w:sz="8" w:space="0" w:color="005C7E"/>
              <w:left w:val="dotted" w:sz="8" w:space="0" w:color="005C7E"/>
              <w:bottom w:val="dotted" w:sz="8" w:space="0" w:color="005C7E"/>
              <w:right w:val="dotted" w:sz="8" w:space="0" w:color="005C7E"/>
            </w:tcBorders>
            <w:hideMark/>
          </w:tcPr>
          <w:p w14:paraId="42C971E4" w14:textId="77777777" w:rsidR="006F421D" w:rsidRDefault="006F421D">
            <w:pPr>
              <w:pStyle w:val="financials03table-body-l"/>
              <w:rPr>
                <w:rFonts w:cs="Times New Roman"/>
              </w:rPr>
            </w:pPr>
            <w:r>
              <w:rPr>
                <w:rFonts w:cs="Times New Roman"/>
              </w:rPr>
              <w:t>ECCHO Effective Clinical Communication in Handover</w:t>
            </w:r>
          </w:p>
        </w:tc>
        <w:tc>
          <w:tcPr>
            <w:tcW w:w="2536" w:type="dxa"/>
            <w:tcBorders>
              <w:top w:val="dotted" w:sz="8" w:space="0" w:color="005C7E"/>
              <w:left w:val="dotted" w:sz="8" w:space="0" w:color="005C7E"/>
              <w:bottom w:val="dotted" w:sz="8" w:space="0" w:color="005C7E"/>
              <w:right w:val="dotted" w:sz="8" w:space="0" w:color="005C7E"/>
            </w:tcBorders>
            <w:hideMark/>
          </w:tcPr>
          <w:p w14:paraId="452319C2" w14:textId="77777777" w:rsidR="006F421D" w:rsidRDefault="006F421D">
            <w:pPr>
              <w:pStyle w:val="financials03table-body-l"/>
              <w:rPr>
                <w:rFonts w:cs="Times New Roman"/>
              </w:rPr>
            </w:pPr>
            <w:r>
              <w:rPr>
                <w:rFonts w:cs="Times New Roman"/>
              </w:rPr>
              <w:t>University of Technology Sydney, Flinders University, University of Adelaide, University of Melbourne, University of Queensland, Curtin University and health departments from New South Wales, the Australian Capital Territory, South Australia, Western Australia, Victoria and Queensland</w:t>
            </w:r>
          </w:p>
        </w:tc>
        <w:tc>
          <w:tcPr>
            <w:tcW w:w="3029" w:type="dxa"/>
            <w:tcBorders>
              <w:top w:val="dotted" w:sz="8" w:space="0" w:color="005C7E"/>
              <w:left w:val="dotted" w:sz="8" w:space="0" w:color="005C7E"/>
              <w:bottom w:val="dotted" w:sz="8" w:space="0" w:color="005C7E"/>
              <w:right w:val="dotted" w:sz="8" w:space="0" w:color="005C7E"/>
            </w:tcBorders>
            <w:hideMark/>
          </w:tcPr>
          <w:p w14:paraId="6EA010D3" w14:textId="77777777" w:rsidR="006F421D" w:rsidRDefault="006F421D">
            <w:pPr>
              <w:pStyle w:val="financials03table-body-l"/>
              <w:rPr>
                <w:rFonts w:cs="Times New Roman"/>
              </w:rPr>
            </w:pPr>
            <w:r>
              <w:rPr>
                <w:rFonts w:cs="Times New Roman"/>
              </w:rPr>
              <w:t>The ECCHO project is a three-year national research studying effective (and ineffective) communication during clinical handovers.</w:t>
            </w:r>
          </w:p>
          <w:p w14:paraId="0DB25755" w14:textId="77777777" w:rsidR="006F421D" w:rsidRDefault="006F421D">
            <w:pPr>
              <w:pStyle w:val="financials03table-body-l"/>
              <w:rPr>
                <w:rFonts w:cs="Times New Roman"/>
              </w:rPr>
            </w:pPr>
            <w:r>
              <w:rPr>
                <w:rFonts w:cs="Times New Roman"/>
              </w:rPr>
              <w:t>The research team is working with healthcare providers in hospitals in New South Wales, the Australian Capital Territory, Western Australia and South Australia to observe, describe and analyse how healthcare providers in different hospital settings do their clinical handovers</w:t>
            </w:r>
          </w:p>
        </w:tc>
        <w:tc>
          <w:tcPr>
            <w:tcW w:w="1932" w:type="dxa"/>
            <w:tcBorders>
              <w:top w:val="dotted" w:sz="8" w:space="0" w:color="005C7E"/>
              <w:left w:val="dotted" w:sz="8" w:space="0" w:color="005C7E"/>
              <w:bottom w:val="dotted" w:sz="8" w:space="0" w:color="005C7E"/>
              <w:right w:val="dotted" w:sz="8" w:space="0" w:color="005C7E"/>
            </w:tcBorders>
            <w:hideMark/>
          </w:tcPr>
          <w:p w14:paraId="0DCD01EB" w14:textId="77777777" w:rsidR="006F421D" w:rsidRDefault="006F421D">
            <w:pPr>
              <w:pStyle w:val="financials03table-body-l"/>
              <w:rPr>
                <w:rFonts w:cs="Times New Roman"/>
              </w:rPr>
            </w:pPr>
            <w:r>
              <w:rPr>
                <w:rFonts w:cs="Times New Roman"/>
              </w:rPr>
              <w:t>National Representative member of National Clinical Advisory Group</w:t>
            </w:r>
          </w:p>
        </w:tc>
        <w:tc>
          <w:tcPr>
            <w:tcW w:w="900" w:type="dxa"/>
            <w:tcBorders>
              <w:top w:val="dotted" w:sz="8" w:space="0" w:color="005C7E"/>
              <w:left w:val="dotted" w:sz="8" w:space="0" w:color="005C7E"/>
              <w:bottom w:val="dotted" w:sz="8" w:space="0" w:color="005C7E"/>
              <w:right w:val="dotted" w:sz="8" w:space="0" w:color="005C7E"/>
            </w:tcBorders>
            <w:hideMark/>
          </w:tcPr>
          <w:p w14:paraId="0CCF4407" w14:textId="77777777" w:rsidR="006F421D" w:rsidRDefault="006F421D">
            <w:pPr>
              <w:pStyle w:val="financials03table-body-l"/>
              <w:rPr>
                <w:rFonts w:cs="Times New Roman"/>
              </w:rPr>
            </w:pPr>
            <w:r>
              <w:rPr>
                <w:rFonts w:cs="Times New Roman"/>
              </w:rPr>
              <w:t>Project to be completed in 2014</w:t>
            </w:r>
          </w:p>
        </w:tc>
      </w:tr>
      <w:tr w:rsidR="006F421D" w14:paraId="177D9648" w14:textId="77777777" w:rsidTr="006F421D">
        <w:trPr>
          <w:divId w:val="1311597601"/>
        </w:trPr>
        <w:tc>
          <w:tcPr>
            <w:tcW w:w="0" w:type="auto"/>
            <w:tcBorders>
              <w:top w:val="dotted" w:sz="8" w:space="0" w:color="005C7E"/>
              <w:left w:val="dotted" w:sz="8" w:space="0" w:color="005C7E"/>
              <w:bottom w:val="dotted" w:sz="8" w:space="0" w:color="005C7E"/>
              <w:right w:val="dotted" w:sz="8" w:space="0" w:color="005C7E"/>
            </w:tcBorders>
            <w:hideMark/>
          </w:tcPr>
          <w:p w14:paraId="4C7F12D4" w14:textId="77777777" w:rsidR="006F421D" w:rsidRDefault="006F421D">
            <w:pPr>
              <w:pStyle w:val="financials03table-body-l"/>
              <w:rPr>
                <w:rFonts w:cs="Times New Roman"/>
              </w:rPr>
            </w:pPr>
            <w:r>
              <w:rPr>
                <w:rFonts w:cs="Times New Roman"/>
              </w:rPr>
              <w:t>Centre for Informing Policy in Health with Evidence from Research (CIPHER) questionnaire testing</w:t>
            </w:r>
          </w:p>
        </w:tc>
        <w:tc>
          <w:tcPr>
            <w:tcW w:w="2536" w:type="dxa"/>
            <w:tcBorders>
              <w:top w:val="dotted" w:sz="8" w:space="0" w:color="005C7E"/>
              <w:left w:val="dotted" w:sz="8" w:space="0" w:color="005C7E"/>
              <w:bottom w:val="dotted" w:sz="8" w:space="0" w:color="005C7E"/>
              <w:right w:val="dotted" w:sz="8" w:space="0" w:color="005C7E"/>
            </w:tcBorders>
            <w:hideMark/>
          </w:tcPr>
          <w:p w14:paraId="4202307F" w14:textId="77777777" w:rsidR="006F421D" w:rsidRDefault="006F421D">
            <w:pPr>
              <w:pStyle w:val="financials03table-body-l"/>
              <w:rPr>
                <w:rFonts w:cs="Times New Roman"/>
              </w:rPr>
            </w:pPr>
            <w:r>
              <w:rPr>
                <w:rFonts w:cs="Times New Roman"/>
              </w:rPr>
              <w:t>CIPHER</w:t>
            </w:r>
          </w:p>
        </w:tc>
        <w:tc>
          <w:tcPr>
            <w:tcW w:w="3029" w:type="dxa"/>
            <w:tcBorders>
              <w:top w:val="dotted" w:sz="8" w:space="0" w:color="005C7E"/>
              <w:left w:val="dotted" w:sz="8" w:space="0" w:color="005C7E"/>
              <w:bottom w:val="dotted" w:sz="8" w:space="0" w:color="005C7E"/>
              <w:right w:val="dotted" w:sz="8" w:space="0" w:color="005C7E"/>
            </w:tcBorders>
            <w:hideMark/>
          </w:tcPr>
          <w:p w14:paraId="690B5E09" w14:textId="77777777" w:rsidR="006F421D" w:rsidRDefault="006F421D">
            <w:pPr>
              <w:pStyle w:val="financials03table-body-l"/>
              <w:rPr>
                <w:rFonts w:cs="Times New Roman"/>
              </w:rPr>
            </w:pPr>
            <w:r>
              <w:rPr>
                <w:rFonts w:cs="Times New Roman"/>
              </w:rPr>
              <w:t>The CIPHER is undertaking an extensive project to develop tools to explore how research is used in policy making. The purpose of this specific sub-section of the research is to test a questionnaire being developed by CIPHER on use of research in policy, in particular to determine whether the measures it will be using are stable</w:t>
            </w:r>
          </w:p>
        </w:tc>
        <w:tc>
          <w:tcPr>
            <w:tcW w:w="1932" w:type="dxa"/>
            <w:tcBorders>
              <w:top w:val="dotted" w:sz="8" w:space="0" w:color="005C7E"/>
              <w:left w:val="dotted" w:sz="8" w:space="0" w:color="005C7E"/>
              <w:bottom w:val="dotted" w:sz="8" w:space="0" w:color="005C7E"/>
              <w:right w:val="dotted" w:sz="8" w:space="0" w:color="005C7E"/>
            </w:tcBorders>
            <w:hideMark/>
          </w:tcPr>
          <w:p w14:paraId="742380AB" w14:textId="77777777" w:rsidR="006F421D" w:rsidRDefault="006F421D">
            <w:pPr>
              <w:pStyle w:val="financials03table-body-l"/>
              <w:rPr>
                <w:rFonts w:cs="Times New Roman"/>
              </w:rPr>
            </w:pPr>
            <w:r>
              <w:rPr>
                <w:rFonts w:cs="Times New Roman"/>
              </w:rPr>
              <w:t>Commission staff are participating in testing of the questionnaire</w:t>
            </w:r>
          </w:p>
        </w:tc>
        <w:tc>
          <w:tcPr>
            <w:tcW w:w="900" w:type="dxa"/>
            <w:tcBorders>
              <w:top w:val="dotted" w:sz="8" w:space="0" w:color="005C7E"/>
              <w:left w:val="dotted" w:sz="8" w:space="0" w:color="005C7E"/>
              <w:bottom w:val="dotted" w:sz="8" w:space="0" w:color="005C7E"/>
              <w:right w:val="dotted" w:sz="8" w:space="0" w:color="005C7E"/>
            </w:tcBorders>
            <w:hideMark/>
          </w:tcPr>
          <w:p w14:paraId="110C1490" w14:textId="77777777" w:rsidR="006F421D" w:rsidRDefault="006F421D">
            <w:pPr>
              <w:pStyle w:val="financials03table-body-l"/>
              <w:rPr>
                <w:rFonts w:cs="Times New Roman"/>
              </w:rPr>
            </w:pPr>
            <w:r>
              <w:rPr>
                <w:rFonts w:cs="Times New Roman"/>
              </w:rPr>
              <w:t>Project is ongoing</w:t>
            </w:r>
          </w:p>
        </w:tc>
      </w:tr>
      <w:tr w:rsidR="006F421D" w14:paraId="5FF4E498" w14:textId="77777777" w:rsidTr="006F421D">
        <w:trPr>
          <w:divId w:val="1311597601"/>
        </w:trPr>
        <w:tc>
          <w:tcPr>
            <w:tcW w:w="0" w:type="auto"/>
            <w:tcBorders>
              <w:top w:val="dotted" w:sz="8" w:space="0" w:color="005C7E"/>
              <w:left w:val="dotted" w:sz="8" w:space="0" w:color="005C7E"/>
              <w:bottom w:val="dotted" w:sz="8" w:space="0" w:color="005C7E"/>
              <w:right w:val="dotted" w:sz="8" w:space="0" w:color="005C7E"/>
            </w:tcBorders>
            <w:hideMark/>
          </w:tcPr>
          <w:p w14:paraId="47FB03F3" w14:textId="77777777" w:rsidR="006F421D" w:rsidRDefault="006F421D">
            <w:pPr>
              <w:pStyle w:val="financials03table-body-l"/>
              <w:rPr>
                <w:rFonts w:cs="Times New Roman"/>
              </w:rPr>
            </w:pPr>
            <w:r>
              <w:rPr>
                <w:rFonts w:cs="Times New Roman"/>
              </w:rPr>
              <w:t>Qualitative research on the development of NSQHS Standard 2: Partnering with Consumers</w:t>
            </w:r>
          </w:p>
        </w:tc>
        <w:tc>
          <w:tcPr>
            <w:tcW w:w="2536" w:type="dxa"/>
            <w:tcBorders>
              <w:top w:val="dotted" w:sz="8" w:space="0" w:color="005C7E"/>
              <w:left w:val="dotted" w:sz="8" w:space="0" w:color="005C7E"/>
              <w:bottom w:val="dotted" w:sz="8" w:space="0" w:color="005C7E"/>
              <w:right w:val="dotted" w:sz="8" w:space="0" w:color="005C7E"/>
            </w:tcBorders>
            <w:hideMark/>
          </w:tcPr>
          <w:p w14:paraId="03D3592C" w14:textId="77777777" w:rsidR="006F421D" w:rsidRDefault="006F421D">
            <w:pPr>
              <w:pStyle w:val="financials03table-body-l"/>
              <w:rPr>
                <w:rFonts w:cs="Times New Roman"/>
              </w:rPr>
            </w:pPr>
            <w:r>
              <w:rPr>
                <w:rFonts w:cs="Times New Roman"/>
              </w:rPr>
              <w:t>Australian Institute of Health Innovation, University of New South Wales ACCREDIT project</w:t>
            </w:r>
          </w:p>
        </w:tc>
        <w:tc>
          <w:tcPr>
            <w:tcW w:w="3029" w:type="dxa"/>
            <w:tcBorders>
              <w:top w:val="dotted" w:sz="8" w:space="0" w:color="005C7E"/>
              <w:left w:val="dotted" w:sz="8" w:space="0" w:color="005C7E"/>
              <w:bottom w:val="dotted" w:sz="8" w:space="0" w:color="005C7E"/>
              <w:right w:val="dotted" w:sz="8" w:space="0" w:color="005C7E"/>
            </w:tcBorders>
            <w:hideMark/>
          </w:tcPr>
          <w:p w14:paraId="5E10A2EE" w14:textId="77777777" w:rsidR="006F421D" w:rsidRDefault="006F421D">
            <w:pPr>
              <w:pStyle w:val="financials03table-body-l"/>
              <w:rPr>
                <w:rFonts w:cs="Times New Roman"/>
              </w:rPr>
            </w:pPr>
            <w:r>
              <w:rPr>
                <w:rFonts w:cs="Times New Roman"/>
              </w:rPr>
              <w:t>This is one of 12 projects looking at the effectiveness and application of accreditation. Project 4 on Key New Standards – consumer participation</w:t>
            </w:r>
          </w:p>
        </w:tc>
        <w:tc>
          <w:tcPr>
            <w:tcW w:w="1932" w:type="dxa"/>
            <w:tcBorders>
              <w:top w:val="dotted" w:sz="8" w:space="0" w:color="005C7E"/>
              <w:left w:val="dotted" w:sz="8" w:space="0" w:color="005C7E"/>
              <w:bottom w:val="dotted" w:sz="8" w:space="0" w:color="005C7E"/>
              <w:right w:val="dotted" w:sz="8" w:space="0" w:color="005C7E"/>
            </w:tcBorders>
            <w:hideMark/>
          </w:tcPr>
          <w:p w14:paraId="3F477C46" w14:textId="77777777" w:rsidR="006F421D" w:rsidRDefault="006F421D">
            <w:pPr>
              <w:pStyle w:val="financials03table-body-l"/>
              <w:rPr>
                <w:rFonts w:cs="Times New Roman"/>
              </w:rPr>
            </w:pPr>
            <w:r>
              <w:rPr>
                <w:rFonts w:cs="Times New Roman"/>
              </w:rPr>
              <w:t xml:space="preserve">Participation on project advisory panel, and participation in research data collection and participate on Advisory Committee </w:t>
            </w:r>
          </w:p>
        </w:tc>
        <w:tc>
          <w:tcPr>
            <w:tcW w:w="900" w:type="dxa"/>
            <w:tcBorders>
              <w:top w:val="dotted" w:sz="8" w:space="0" w:color="005C7E"/>
              <w:left w:val="dotted" w:sz="8" w:space="0" w:color="005C7E"/>
              <w:bottom w:val="dotted" w:sz="8" w:space="0" w:color="005C7E"/>
              <w:right w:val="dotted" w:sz="8" w:space="0" w:color="005C7E"/>
            </w:tcBorders>
            <w:hideMark/>
          </w:tcPr>
          <w:p w14:paraId="34774DEA" w14:textId="77777777" w:rsidR="006F421D" w:rsidRDefault="006F421D">
            <w:pPr>
              <w:pStyle w:val="financials03table-body-l"/>
              <w:rPr>
                <w:rFonts w:cs="Times New Roman"/>
              </w:rPr>
            </w:pPr>
            <w:r>
              <w:rPr>
                <w:rFonts w:cs="Times New Roman"/>
              </w:rPr>
              <w:t>To be completed in 2016</w:t>
            </w:r>
          </w:p>
        </w:tc>
      </w:tr>
    </w:tbl>
    <w:p w14:paraId="50F28C36" w14:textId="5B8925B1" w:rsidR="006F421D" w:rsidRDefault="006F421D" w:rsidP="00093444">
      <w:pPr>
        <w:pStyle w:val="Heading2"/>
        <w:divId w:val="76558479"/>
        <w:rPr>
          <w:lang w:val="en-GB"/>
        </w:rPr>
      </w:pPr>
      <w:bookmarkStart w:id="53" w:name="_Toc414011911"/>
      <w:r>
        <w:rPr>
          <w:lang w:val="en-GB"/>
        </w:rPr>
        <w:lastRenderedPageBreak/>
        <w:t>Appendix D</w:t>
      </w:r>
      <w:bookmarkEnd w:id="53"/>
      <w:r w:rsidR="00093444">
        <w:rPr>
          <w:lang w:val="en-GB"/>
        </w:rPr>
        <w:t>: Event sponsorship</w:t>
      </w:r>
    </w:p>
    <w:p w14:paraId="03F9CA2A" w14:textId="02BD48F2" w:rsidR="006F421D" w:rsidRDefault="006F421D">
      <w:pPr>
        <w:pStyle w:val="financials01heading-level-2"/>
        <w:divId w:val="76558479"/>
        <w:rPr>
          <w:rFonts w:cs="Times New Roman"/>
          <w:lang w:val="en-GB"/>
        </w:rPr>
      </w:pPr>
    </w:p>
    <w:p w14:paraId="20CD58DE" w14:textId="77777777" w:rsidR="006F421D" w:rsidRDefault="006F421D">
      <w:pPr>
        <w:pStyle w:val="2body-copy"/>
        <w:divId w:val="76558479"/>
        <w:rPr>
          <w:rFonts w:cs="Times New Roman"/>
          <w:lang w:val="en-GB"/>
        </w:rPr>
      </w:pPr>
      <w:r>
        <w:rPr>
          <w:rFonts w:cs="Times New Roman"/>
          <w:lang w:val="en-GB"/>
        </w:rPr>
        <w:t>The Commission sponsored three events during 2013/14, as discussed on page 55.</w:t>
      </w:r>
    </w:p>
    <w:p w14:paraId="00D70B8D" w14:textId="77777777" w:rsidR="006F421D" w:rsidRDefault="006F421D">
      <w:pPr>
        <w:pStyle w:val="3-figure"/>
        <w:divId w:val="76558479"/>
        <w:rPr>
          <w:rFonts w:cs="Times New Roman"/>
          <w:lang w:val="en-GB"/>
        </w:rPr>
      </w:pPr>
      <w:r>
        <w:rPr>
          <w:rStyle w:val="2body-medium"/>
          <w:rFonts w:cs="Times New Roman"/>
          <w:lang w:val="en-GB"/>
        </w:rPr>
        <w:t>Table 6: Event sponsorship 2013/14</w:t>
      </w:r>
    </w:p>
    <w:tbl>
      <w:tblPr>
        <w:tblW w:w="0" w:type="auto"/>
        <w:tblCellMar>
          <w:top w:w="28" w:type="dxa"/>
          <w:left w:w="57" w:type="dxa"/>
          <w:bottom w:w="28" w:type="dxa"/>
          <w:right w:w="57" w:type="dxa"/>
        </w:tblCellMar>
        <w:tblLook w:val="04A0" w:firstRow="1" w:lastRow="0" w:firstColumn="1" w:lastColumn="0" w:noHBand="0" w:noVBand="1"/>
      </w:tblPr>
      <w:tblGrid>
        <w:gridCol w:w="4257"/>
        <w:gridCol w:w="3171"/>
        <w:gridCol w:w="1701"/>
        <w:gridCol w:w="1184"/>
      </w:tblGrid>
      <w:tr w:rsidR="006F421D" w14:paraId="3CB8B3A9" w14:textId="77777777" w:rsidTr="006F421D">
        <w:trPr>
          <w:divId w:val="76558479"/>
        </w:trPr>
        <w:tc>
          <w:tcPr>
            <w:tcW w:w="0" w:type="auto"/>
            <w:shd w:val="clear" w:color="auto" w:fill="005C7E"/>
            <w:vAlign w:val="center"/>
            <w:hideMark/>
          </w:tcPr>
          <w:p w14:paraId="54E2DDF6" w14:textId="77777777" w:rsidR="006F421D" w:rsidRDefault="006F421D">
            <w:pPr>
              <w:pStyle w:val="financials03table-header-l"/>
              <w:rPr>
                <w:rFonts w:cs="Times New Roman"/>
              </w:rPr>
            </w:pPr>
            <w:r>
              <w:rPr>
                <w:rFonts w:cs="Times New Roman"/>
              </w:rPr>
              <w:t>Event name</w:t>
            </w:r>
          </w:p>
        </w:tc>
        <w:tc>
          <w:tcPr>
            <w:tcW w:w="3171" w:type="dxa"/>
            <w:shd w:val="clear" w:color="auto" w:fill="005C7E"/>
            <w:vAlign w:val="center"/>
            <w:hideMark/>
          </w:tcPr>
          <w:p w14:paraId="1E6A19FC" w14:textId="77777777" w:rsidR="006F421D" w:rsidRDefault="006F421D">
            <w:pPr>
              <w:pStyle w:val="financials03table-header-l"/>
              <w:rPr>
                <w:rFonts w:cs="Times New Roman"/>
              </w:rPr>
            </w:pPr>
            <w:r>
              <w:rPr>
                <w:rFonts w:cs="Times New Roman"/>
              </w:rPr>
              <w:t>Organiser</w:t>
            </w:r>
          </w:p>
        </w:tc>
        <w:tc>
          <w:tcPr>
            <w:tcW w:w="1701" w:type="dxa"/>
            <w:shd w:val="clear" w:color="auto" w:fill="005C7E"/>
            <w:vAlign w:val="center"/>
            <w:hideMark/>
          </w:tcPr>
          <w:p w14:paraId="6773A1E6" w14:textId="77777777" w:rsidR="006F421D" w:rsidRDefault="006F421D">
            <w:pPr>
              <w:pStyle w:val="financials03table-header-l"/>
              <w:rPr>
                <w:rFonts w:cs="Times New Roman"/>
              </w:rPr>
            </w:pPr>
            <w:r>
              <w:rPr>
                <w:rFonts w:cs="Times New Roman"/>
              </w:rPr>
              <w:t>Date held</w:t>
            </w:r>
          </w:p>
        </w:tc>
        <w:tc>
          <w:tcPr>
            <w:tcW w:w="1184" w:type="dxa"/>
            <w:shd w:val="clear" w:color="auto" w:fill="005C7E"/>
            <w:vAlign w:val="center"/>
            <w:hideMark/>
          </w:tcPr>
          <w:p w14:paraId="5A16EE16" w14:textId="77777777" w:rsidR="006F421D" w:rsidRDefault="006F421D">
            <w:pPr>
              <w:pStyle w:val="financials03table-header-l"/>
              <w:rPr>
                <w:rFonts w:cs="Times New Roman"/>
              </w:rPr>
            </w:pPr>
            <w:r>
              <w:rPr>
                <w:rFonts w:cs="Times New Roman"/>
              </w:rPr>
              <w:t>Sponsorship amount</w:t>
            </w:r>
          </w:p>
        </w:tc>
      </w:tr>
      <w:tr w:rsidR="006F421D" w14:paraId="1581C172"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4D122EE" w14:textId="77777777" w:rsidR="006F421D" w:rsidRDefault="006F421D">
            <w:pPr>
              <w:pStyle w:val="financials03table-body-l"/>
              <w:rPr>
                <w:rFonts w:cs="Times New Roman"/>
              </w:rPr>
            </w:pPr>
            <w:r>
              <w:rPr>
                <w:rFonts w:cs="Times New Roman"/>
              </w:rPr>
              <w:t>Health Informatics Conference</w:t>
            </w:r>
          </w:p>
        </w:tc>
        <w:tc>
          <w:tcPr>
            <w:tcW w:w="3171" w:type="dxa"/>
            <w:tcBorders>
              <w:top w:val="dotted" w:sz="8" w:space="0" w:color="005C7E"/>
              <w:left w:val="dotted" w:sz="8" w:space="0" w:color="005C7E"/>
              <w:bottom w:val="dotted" w:sz="8" w:space="0" w:color="005C7E"/>
              <w:right w:val="dotted" w:sz="8" w:space="0" w:color="005C7E"/>
            </w:tcBorders>
            <w:vAlign w:val="center"/>
            <w:hideMark/>
          </w:tcPr>
          <w:p w14:paraId="3635B158" w14:textId="77777777" w:rsidR="006F421D" w:rsidRDefault="006F421D">
            <w:pPr>
              <w:pStyle w:val="financials03table-body-l"/>
              <w:rPr>
                <w:rFonts w:cs="Times New Roman"/>
              </w:rPr>
            </w:pPr>
            <w:r>
              <w:rPr>
                <w:rFonts w:cs="Times New Roman"/>
              </w:rPr>
              <w:t>Health Informatics Society of Australia</w:t>
            </w:r>
          </w:p>
        </w:tc>
        <w:tc>
          <w:tcPr>
            <w:tcW w:w="1701" w:type="dxa"/>
            <w:tcBorders>
              <w:top w:val="dotted" w:sz="8" w:space="0" w:color="005C7E"/>
              <w:left w:val="dotted" w:sz="8" w:space="0" w:color="005C7E"/>
              <w:bottom w:val="dotted" w:sz="8" w:space="0" w:color="005C7E"/>
              <w:right w:val="dotted" w:sz="8" w:space="0" w:color="005C7E"/>
            </w:tcBorders>
            <w:vAlign w:val="center"/>
            <w:hideMark/>
          </w:tcPr>
          <w:p w14:paraId="44E14F3D" w14:textId="77777777" w:rsidR="006F421D" w:rsidRDefault="006F421D">
            <w:pPr>
              <w:pStyle w:val="financials03table-body-l"/>
              <w:rPr>
                <w:rFonts w:cs="Times New Roman"/>
              </w:rPr>
            </w:pPr>
            <w:r>
              <w:rPr>
                <w:rFonts w:cs="Times New Roman"/>
              </w:rPr>
              <w:t>15–18 July 2013</w:t>
            </w:r>
          </w:p>
        </w:tc>
        <w:tc>
          <w:tcPr>
            <w:tcW w:w="1184" w:type="dxa"/>
            <w:tcBorders>
              <w:top w:val="dotted" w:sz="8" w:space="0" w:color="005C7E"/>
              <w:left w:val="dotted" w:sz="8" w:space="0" w:color="005C7E"/>
              <w:bottom w:val="dotted" w:sz="8" w:space="0" w:color="005C7E"/>
              <w:right w:val="dotted" w:sz="8" w:space="0" w:color="005C7E"/>
            </w:tcBorders>
            <w:vAlign w:val="center"/>
            <w:hideMark/>
          </w:tcPr>
          <w:p w14:paraId="12A9C1F0" w14:textId="77777777" w:rsidR="006F421D" w:rsidRDefault="006F421D">
            <w:pPr>
              <w:pStyle w:val="financials03table-body-l"/>
              <w:rPr>
                <w:rFonts w:cs="Times New Roman"/>
              </w:rPr>
            </w:pPr>
            <w:r>
              <w:rPr>
                <w:rFonts w:cs="Times New Roman"/>
              </w:rPr>
              <w:t>$11,000</w:t>
            </w:r>
          </w:p>
        </w:tc>
      </w:tr>
      <w:tr w:rsidR="006F421D" w14:paraId="7B86F426"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DE7012A" w14:textId="77777777" w:rsidR="006F421D" w:rsidRDefault="006F421D">
            <w:pPr>
              <w:pStyle w:val="financials03table-body-l"/>
              <w:rPr>
                <w:rFonts w:cs="Times New Roman"/>
              </w:rPr>
            </w:pPr>
            <w:r>
              <w:rPr>
                <w:rFonts w:cs="Times New Roman"/>
              </w:rPr>
              <w:t>7th International Conference on Safety Quality Audit and Outcomes</w:t>
            </w:r>
          </w:p>
        </w:tc>
        <w:tc>
          <w:tcPr>
            <w:tcW w:w="3171" w:type="dxa"/>
            <w:tcBorders>
              <w:top w:val="dotted" w:sz="8" w:space="0" w:color="005C7E"/>
              <w:left w:val="dotted" w:sz="8" w:space="0" w:color="005C7E"/>
              <w:bottom w:val="dotted" w:sz="8" w:space="0" w:color="005C7E"/>
              <w:right w:val="dotted" w:sz="8" w:space="0" w:color="005C7E"/>
            </w:tcBorders>
            <w:vAlign w:val="center"/>
            <w:hideMark/>
          </w:tcPr>
          <w:p w14:paraId="12247E6E" w14:textId="77777777" w:rsidR="006F421D" w:rsidRDefault="006F421D">
            <w:pPr>
              <w:pStyle w:val="financials03table-body-l"/>
              <w:rPr>
                <w:rFonts w:cs="Times New Roman"/>
              </w:rPr>
            </w:pPr>
            <w:r>
              <w:rPr>
                <w:rFonts w:cs="Times New Roman"/>
              </w:rPr>
              <w:t>Australian and New Zealand Intensive Care Society</w:t>
            </w:r>
          </w:p>
        </w:tc>
        <w:tc>
          <w:tcPr>
            <w:tcW w:w="1701" w:type="dxa"/>
            <w:tcBorders>
              <w:top w:val="dotted" w:sz="8" w:space="0" w:color="005C7E"/>
              <w:left w:val="dotted" w:sz="8" w:space="0" w:color="005C7E"/>
              <w:bottom w:val="dotted" w:sz="8" w:space="0" w:color="005C7E"/>
              <w:right w:val="dotted" w:sz="8" w:space="0" w:color="005C7E"/>
            </w:tcBorders>
            <w:vAlign w:val="center"/>
            <w:hideMark/>
          </w:tcPr>
          <w:p w14:paraId="1D12F118" w14:textId="77777777" w:rsidR="006F421D" w:rsidRDefault="006F421D">
            <w:pPr>
              <w:pStyle w:val="financials03table-body-l"/>
              <w:rPr>
                <w:rFonts w:cs="Times New Roman"/>
              </w:rPr>
            </w:pPr>
            <w:r>
              <w:rPr>
                <w:rFonts w:cs="Times New Roman"/>
              </w:rPr>
              <w:t>29–31 July 2013</w:t>
            </w:r>
          </w:p>
        </w:tc>
        <w:tc>
          <w:tcPr>
            <w:tcW w:w="1184" w:type="dxa"/>
            <w:tcBorders>
              <w:top w:val="dotted" w:sz="8" w:space="0" w:color="005C7E"/>
              <w:left w:val="dotted" w:sz="8" w:space="0" w:color="005C7E"/>
              <w:bottom w:val="dotted" w:sz="8" w:space="0" w:color="005C7E"/>
              <w:right w:val="dotted" w:sz="8" w:space="0" w:color="005C7E"/>
            </w:tcBorders>
            <w:vAlign w:val="center"/>
            <w:hideMark/>
          </w:tcPr>
          <w:p w14:paraId="7AB7E2DB" w14:textId="77777777" w:rsidR="006F421D" w:rsidRDefault="006F421D">
            <w:pPr>
              <w:pStyle w:val="financials03table-body-l"/>
              <w:rPr>
                <w:rFonts w:cs="Times New Roman"/>
              </w:rPr>
            </w:pPr>
            <w:r>
              <w:rPr>
                <w:rFonts w:cs="Times New Roman"/>
              </w:rPr>
              <w:t>$5,500</w:t>
            </w:r>
          </w:p>
        </w:tc>
      </w:tr>
      <w:tr w:rsidR="006F421D" w14:paraId="4A0E51EC"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3515B1B" w14:textId="77777777" w:rsidR="006F421D" w:rsidRDefault="006F421D">
            <w:pPr>
              <w:pStyle w:val="financials03table-body-l"/>
              <w:rPr>
                <w:rFonts w:cs="Times New Roman"/>
              </w:rPr>
            </w:pPr>
            <w:r>
              <w:rPr>
                <w:rFonts w:cs="Times New Roman"/>
              </w:rPr>
              <w:t>Australian General Practice Accreditation Limited (AGPAL) Safety and Quality Award, at International Health Care Conference</w:t>
            </w:r>
          </w:p>
        </w:tc>
        <w:tc>
          <w:tcPr>
            <w:tcW w:w="3171" w:type="dxa"/>
            <w:tcBorders>
              <w:top w:val="dotted" w:sz="8" w:space="0" w:color="005C7E"/>
              <w:left w:val="dotted" w:sz="8" w:space="0" w:color="005C7E"/>
              <w:bottom w:val="dotted" w:sz="8" w:space="0" w:color="005C7E"/>
              <w:right w:val="dotted" w:sz="8" w:space="0" w:color="005C7E"/>
            </w:tcBorders>
            <w:vAlign w:val="center"/>
            <w:hideMark/>
          </w:tcPr>
          <w:p w14:paraId="6320D3AD" w14:textId="77777777" w:rsidR="006F421D" w:rsidRDefault="006F421D">
            <w:pPr>
              <w:pStyle w:val="financials03table-body-l"/>
              <w:rPr>
                <w:rFonts w:cs="Times New Roman"/>
              </w:rPr>
            </w:pPr>
            <w:r>
              <w:rPr>
                <w:rFonts w:cs="Times New Roman"/>
              </w:rPr>
              <w:t>Hosted by The Australian Association of Practice Managers Ltd, and Quality Innovation Performance</w:t>
            </w:r>
          </w:p>
        </w:tc>
        <w:tc>
          <w:tcPr>
            <w:tcW w:w="1701" w:type="dxa"/>
            <w:tcBorders>
              <w:top w:val="dotted" w:sz="8" w:space="0" w:color="005C7E"/>
              <w:left w:val="dotted" w:sz="8" w:space="0" w:color="005C7E"/>
              <w:bottom w:val="dotted" w:sz="8" w:space="0" w:color="005C7E"/>
              <w:right w:val="dotted" w:sz="8" w:space="0" w:color="005C7E"/>
            </w:tcBorders>
            <w:vAlign w:val="center"/>
            <w:hideMark/>
          </w:tcPr>
          <w:p w14:paraId="7D658EE1" w14:textId="77777777" w:rsidR="006F421D" w:rsidRDefault="006F421D">
            <w:pPr>
              <w:pStyle w:val="financials03table-body-l"/>
              <w:rPr>
                <w:rFonts w:cs="Times New Roman"/>
              </w:rPr>
            </w:pPr>
            <w:r>
              <w:rPr>
                <w:rFonts w:cs="Times New Roman"/>
              </w:rPr>
              <w:t>27 September 2013</w:t>
            </w:r>
          </w:p>
        </w:tc>
        <w:tc>
          <w:tcPr>
            <w:tcW w:w="1184" w:type="dxa"/>
            <w:tcBorders>
              <w:top w:val="dotted" w:sz="8" w:space="0" w:color="005C7E"/>
              <w:left w:val="dotted" w:sz="8" w:space="0" w:color="005C7E"/>
              <w:bottom w:val="dotted" w:sz="8" w:space="0" w:color="005C7E"/>
              <w:right w:val="dotted" w:sz="8" w:space="0" w:color="005C7E"/>
            </w:tcBorders>
            <w:vAlign w:val="center"/>
            <w:hideMark/>
          </w:tcPr>
          <w:p w14:paraId="3C274852" w14:textId="77777777" w:rsidR="006F421D" w:rsidRDefault="006F421D">
            <w:pPr>
              <w:pStyle w:val="financials03table-body-l"/>
              <w:rPr>
                <w:rFonts w:cs="Times New Roman"/>
              </w:rPr>
            </w:pPr>
            <w:r>
              <w:rPr>
                <w:rFonts w:cs="Times New Roman"/>
              </w:rPr>
              <w:t>$3,520</w:t>
            </w:r>
          </w:p>
        </w:tc>
      </w:tr>
    </w:tbl>
    <w:p w14:paraId="2269A64D" w14:textId="77777777" w:rsidR="006F421D" w:rsidRDefault="006F421D" w:rsidP="006F421D">
      <w:pPr>
        <w:pStyle w:val="3-figure"/>
        <w:jc w:val="right"/>
        <w:divId w:val="76558479"/>
        <w:rPr>
          <w:lang w:val="en-GB"/>
        </w:rPr>
      </w:pPr>
      <w:r>
        <w:rPr>
          <w:noProof/>
          <w:lang w:eastAsia="en-AU"/>
        </w:rPr>
        <w:drawing>
          <wp:inline distT="0" distB="0" distL="0" distR="0" wp14:anchorId="7C467547" wp14:editId="20B094DA">
            <wp:extent cx="5562600" cy="4254500"/>
            <wp:effectExtent l="0" t="0" r="0" b="0"/>
            <wp:docPr id="1" name="Picture 1" descr="Graphic filler image" title="Graphic fill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3.png"/>
                    <pic:cNvPicPr/>
                  </pic:nvPicPr>
                  <pic:blipFill>
                    <a:blip r:embed="rId48">
                      <a:extLst>
                        <a:ext uri="{28A0092B-C50C-407E-A947-70E740481C1C}">
                          <a14:useLocalDpi xmlns:a14="http://schemas.microsoft.com/office/drawing/2010/main" val="0"/>
                        </a:ext>
                      </a:extLst>
                    </a:blip>
                    <a:stretch>
                      <a:fillRect/>
                    </a:stretch>
                  </pic:blipFill>
                  <pic:spPr>
                    <a:xfrm>
                      <a:off x="0" y="0"/>
                      <a:ext cx="5562600" cy="4254500"/>
                    </a:xfrm>
                    <a:prstGeom prst="rect">
                      <a:avLst/>
                    </a:prstGeom>
                  </pic:spPr>
                </pic:pic>
              </a:graphicData>
            </a:graphic>
          </wp:inline>
        </w:drawing>
      </w:r>
    </w:p>
    <w:p w14:paraId="4A1D8A19" w14:textId="77777777" w:rsidR="006F421D" w:rsidRDefault="006F421D">
      <w:pPr>
        <w:spacing w:after="0"/>
        <w:rPr>
          <w:rFonts w:cs="Times New Roman"/>
          <w:b/>
          <w:bCs/>
          <w:color w:val="5F605F"/>
          <w:sz w:val="30"/>
          <w:szCs w:val="30"/>
          <w:lang w:val="en-GB"/>
        </w:rPr>
      </w:pPr>
      <w:r>
        <w:rPr>
          <w:rFonts w:cs="Times New Roman"/>
          <w:lang w:val="en-GB"/>
        </w:rPr>
        <w:br w:type="page"/>
      </w:r>
    </w:p>
    <w:p w14:paraId="6A47CEC6" w14:textId="7C398694" w:rsidR="006F421D" w:rsidRDefault="006F421D" w:rsidP="00093444">
      <w:pPr>
        <w:pStyle w:val="Heading2"/>
        <w:divId w:val="76558479"/>
        <w:rPr>
          <w:lang w:val="en-GB"/>
        </w:rPr>
      </w:pPr>
      <w:bookmarkStart w:id="54" w:name="_Toc414011912"/>
      <w:r>
        <w:rPr>
          <w:lang w:val="en-GB"/>
        </w:rPr>
        <w:lastRenderedPageBreak/>
        <w:t>Appendix E</w:t>
      </w:r>
      <w:bookmarkEnd w:id="54"/>
      <w:r w:rsidR="00093444">
        <w:rPr>
          <w:lang w:val="en-GB"/>
        </w:rPr>
        <w:t>: External representations</w:t>
      </w:r>
    </w:p>
    <w:p w14:paraId="5FD47F22" w14:textId="195D8CBC" w:rsidR="006F421D" w:rsidRDefault="006F421D">
      <w:pPr>
        <w:pStyle w:val="financials01heading-level-2"/>
        <w:divId w:val="76558479"/>
        <w:rPr>
          <w:rFonts w:cs="Times New Roman"/>
          <w:lang w:val="en-GB"/>
        </w:rPr>
      </w:pPr>
    </w:p>
    <w:p w14:paraId="761E2932" w14:textId="77777777" w:rsidR="006F421D" w:rsidRDefault="006F421D">
      <w:pPr>
        <w:pStyle w:val="2body-copy"/>
        <w:divId w:val="76558479"/>
        <w:rPr>
          <w:rFonts w:cs="Times New Roman"/>
          <w:lang w:val="en-GB"/>
        </w:rPr>
      </w:pPr>
      <w:r>
        <w:rPr>
          <w:rFonts w:cs="Times New Roman"/>
          <w:lang w:val="en-GB"/>
        </w:rPr>
        <w:t>The following table lists the various international, national and jurisdictional committees and organisations within which the Commission has been represented during 2013/14, as discussed on page 56.</w:t>
      </w:r>
    </w:p>
    <w:p w14:paraId="7E1F47F0" w14:textId="77777777" w:rsidR="006F421D" w:rsidRDefault="006F421D" w:rsidP="006F421D">
      <w:pPr>
        <w:pStyle w:val="3-figure"/>
        <w:divId w:val="76558479"/>
        <w:rPr>
          <w:rFonts w:cs="Times New Roman"/>
          <w:lang w:val="en-GB"/>
        </w:rPr>
      </w:pPr>
      <w:r>
        <w:rPr>
          <w:rStyle w:val="2body-medium"/>
          <w:rFonts w:cs="Times New Roman"/>
          <w:lang w:val="en-GB"/>
        </w:rPr>
        <w:t>Table 7: Commission external representation 2013/14</w:t>
      </w:r>
    </w:p>
    <w:tbl>
      <w:tblPr>
        <w:tblW w:w="0" w:type="auto"/>
        <w:tblCellMar>
          <w:top w:w="28" w:type="dxa"/>
          <w:left w:w="57" w:type="dxa"/>
          <w:bottom w:w="28" w:type="dxa"/>
          <w:right w:w="57" w:type="dxa"/>
        </w:tblCellMar>
        <w:tblLook w:val="04A0" w:firstRow="1" w:lastRow="0" w:firstColumn="1" w:lastColumn="0" w:noHBand="0" w:noVBand="1"/>
      </w:tblPr>
      <w:tblGrid>
        <w:gridCol w:w="10313"/>
      </w:tblGrid>
      <w:tr w:rsidR="006F421D" w14:paraId="594F73A4" w14:textId="77777777" w:rsidTr="006F421D">
        <w:trPr>
          <w:divId w:val="76558479"/>
          <w:tblHeader/>
        </w:trPr>
        <w:tc>
          <w:tcPr>
            <w:tcW w:w="0" w:type="auto"/>
            <w:shd w:val="clear" w:color="auto" w:fill="005C7E"/>
            <w:vAlign w:val="center"/>
            <w:hideMark/>
          </w:tcPr>
          <w:p w14:paraId="1117CE3B" w14:textId="77777777" w:rsidR="006F421D" w:rsidRDefault="006F421D">
            <w:pPr>
              <w:pStyle w:val="financials03table-header-l"/>
              <w:rPr>
                <w:rFonts w:cs="Times New Roman"/>
              </w:rPr>
            </w:pPr>
            <w:r>
              <w:rPr>
                <w:rFonts w:cs="Times New Roman"/>
              </w:rPr>
              <w:t>Committee/Organisation</w:t>
            </w:r>
          </w:p>
        </w:tc>
      </w:tr>
      <w:tr w:rsidR="006F421D" w14:paraId="1B4E117C"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8143BFC" w14:textId="77777777" w:rsidR="006F421D" w:rsidRDefault="006F421D">
            <w:pPr>
              <w:pStyle w:val="financials03table-body-l"/>
              <w:rPr>
                <w:rFonts w:cs="Times New Roman"/>
              </w:rPr>
            </w:pPr>
            <w:r>
              <w:rPr>
                <w:rFonts w:cs="Times New Roman"/>
              </w:rPr>
              <w:t>Access to appropriate primary health care relative to need among people with acute and chronic conditions Advisory Committee</w:t>
            </w:r>
          </w:p>
        </w:tc>
      </w:tr>
      <w:tr w:rsidR="006F421D" w14:paraId="5CD27E2B"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D017AD8" w14:textId="77777777" w:rsidR="006F421D" w:rsidRDefault="006F421D">
            <w:pPr>
              <w:pStyle w:val="financials03table-body-l"/>
              <w:rPr>
                <w:rFonts w:cs="Times New Roman"/>
              </w:rPr>
            </w:pPr>
            <w:r>
              <w:rPr>
                <w:rFonts w:cs="Times New Roman"/>
              </w:rPr>
              <w:t>Acute Coronary Syndrome Implementation and Advocacy Working Group (Heart Foundation)</w:t>
            </w:r>
          </w:p>
        </w:tc>
      </w:tr>
      <w:tr w:rsidR="006F421D" w14:paraId="1AA1759E"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23F1F53" w14:textId="77777777" w:rsidR="006F421D" w:rsidRDefault="006F421D">
            <w:pPr>
              <w:pStyle w:val="financials03table-body-l"/>
              <w:rPr>
                <w:rFonts w:cs="Times New Roman"/>
              </w:rPr>
            </w:pPr>
            <w:r>
              <w:rPr>
                <w:rFonts w:cs="Times New Roman"/>
              </w:rPr>
              <w:t>Australian Consortium for Classification Development: AR-DRG Classification Refinement and Development Services ICD Technical Group</w:t>
            </w:r>
          </w:p>
        </w:tc>
      </w:tr>
      <w:tr w:rsidR="006F421D" w14:paraId="4574B86B"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F29E64C" w14:textId="77777777" w:rsidR="006F421D" w:rsidRDefault="006F421D">
            <w:pPr>
              <w:pStyle w:val="financials03table-body-l"/>
              <w:rPr>
                <w:rFonts w:cs="Times New Roman"/>
              </w:rPr>
            </w:pPr>
            <w:r>
              <w:rPr>
                <w:rFonts w:cs="Times New Roman"/>
              </w:rPr>
              <w:t>Australian Health Services Research Institute: Electronic Persistent Pain Outcomes Collaboration (</w:t>
            </w:r>
            <w:proofErr w:type="spellStart"/>
            <w:r>
              <w:rPr>
                <w:rFonts w:cs="Times New Roman"/>
              </w:rPr>
              <w:t>ePPOC</w:t>
            </w:r>
            <w:proofErr w:type="spellEnd"/>
            <w:r>
              <w:rPr>
                <w:rFonts w:cs="Times New Roman"/>
              </w:rPr>
              <w:t>) National Reference Group</w:t>
            </w:r>
          </w:p>
        </w:tc>
      </w:tr>
      <w:tr w:rsidR="006F421D" w14:paraId="38AC20F0"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9D3AD4D" w14:textId="77777777" w:rsidR="006F421D" w:rsidRDefault="006F421D">
            <w:pPr>
              <w:pStyle w:val="financials03table-body-l"/>
              <w:rPr>
                <w:rFonts w:cs="Times New Roman"/>
              </w:rPr>
            </w:pPr>
            <w:r>
              <w:rPr>
                <w:rFonts w:cs="Times New Roman"/>
              </w:rPr>
              <w:t>Australian Medical Council Medical School Assessment Team</w:t>
            </w:r>
          </w:p>
        </w:tc>
      </w:tr>
      <w:tr w:rsidR="006F421D" w14:paraId="2ED3FCDC"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E787958" w14:textId="77777777" w:rsidR="006F421D" w:rsidRDefault="006F421D">
            <w:pPr>
              <w:pStyle w:val="financials03table-body-l"/>
              <w:rPr>
                <w:rFonts w:cs="Times New Roman"/>
              </w:rPr>
            </w:pPr>
            <w:r>
              <w:rPr>
                <w:rFonts w:cs="Times New Roman"/>
              </w:rPr>
              <w:t>Better Cardiac Care for Aboriginal and Torres Strait Islander People: Performance Improvement and Coordination of Care Working Group</w:t>
            </w:r>
          </w:p>
        </w:tc>
      </w:tr>
      <w:tr w:rsidR="006F421D" w14:paraId="11B0AF3F"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598603D" w14:textId="77777777" w:rsidR="006F421D" w:rsidRDefault="006F421D">
            <w:pPr>
              <w:pStyle w:val="financials03table-body-l"/>
              <w:rPr>
                <w:rFonts w:cs="Times New Roman"/>
              </w:rPr>
            </w:pPr>
            <w:proofErr w:type="spellStart"/>
            <w:r>
              <w:rPr>
                <w:rFonts w:cs="Times New Roman"/>
              </w:rPr>
              <w:t>Breastscreen</w:t>
            </w:r>
            <w:proofErr w:type="spellEnd"/>
            <w:r>
              <w:rPr>
                <w:rFonts w:cs="Times New Roman"/>
              </w:rPr>
              <w:t xml:space="preserve"> Australia Accreditation Review Committee</w:t>
            </w:r>
          </w:p>
        </w:tc>
      </w:tr>
      <w:tr w:rsidR="006F421D" w14:paraId="23F6BF1A"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23FC85F" w14:textId="77777777" w:rsidR="006F421D" w:rsidRDefault="006F421D">
            <w:pPr>
              <w:pStyle w:val="financials03table-body-l"/>
              <w:rPr>
                <w:rFonts w:cs="Times New Roman"/>
              </w:rPr>
            </w:pPr>
            <w:r>
              <w:rPr>
                <w:rFonts w:cs="Times New Roman"/>
              </w:rPr>
              <w:t>Centre for Culture Ethnicity and Health, Health Literacy Advisory Group</w:t>
            </w:r>
          </w:p>
        </w:tc>
      </w:tr>
      <w:tr w:rsidR="006F421D" w14:paraId="52FE9672"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C0E1313" w14:textId="77777777" w:rsidR="006F421D" w:rsidRDefault="006F421D">
            <w:pPr>
              <w:pStyle w:val="financials03table-body-l"/>
              <w:rPr>
                <w:rFonts w:cs="Times New Roman"/>
              </w:rPr>
            </w:pPr>
            <w:r>
              <w:rPr>
                <w:rFonts w:cs="Times New Roman"/>
              </w:rPr>
              <w:t>Centre for Research Excellence in Primary Health Care Microsystems, National Advisory Committee and Advisory Committee for Stream 2: Quality and Safety in Primary Care</w:t>
            </w:r>
          </w:p>
        </w:tc>
      </w:tr>
      <w:tr w:rsidR="006F421D" w14:paraId="6DE455DD"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BDE6564" w14:textId="77777777" w:rsidR="006F421D" w:rsidRDefault="006F421D">
            <w:pPr>
              <w:pStyle w:val="financials03table-body-l"/>
              <w:rPr>
                <w:rFonts w:cs="Times New Roman"/>
              </w:rPr>
            </w:pPr>
            <w:r>
              <w:rPr>
                <w:rFonts w:cs="Times New Roman"/>
              </w:rPr>
              <w:t>Centre of Research Excellence in post-market surveillance of medicines and medical devices</w:t>
            </w:r>
          </w:p>
        </w:tc>
      </w:tr>
      <w:tr w:rsidR="006F421D" w14:paraId="15264095"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6BBEE363" w14:textId="77777777" w:rsidR="006F421D" w:rsidRDefault="006F421D">
            <w:pPr>
              <w:pStyle w:val="financials03table-body-l"/>
              <w:rPr>
                <w:rFonts w:cs="Times New Roman"/>
              </w:rPr>
            </w:pPr>
            <w:r>
              <w:rPr>
                <w:rFonts w:cs="Times New Roman"/>
              </w:rPr>
              <w:t>Clinical Excellence Commission: In Safe Hands Steering Group</w:t>
            </w:r>
          </w:p>
        </w:tc>
      </w:tr>
      <w:tr w:rsidR="006F421D" w14:paraId="43C244E0"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7885217" w14:textId="77777777" w:rsidR="006F421D" w:rsidRDefault="006F421D">
            <w:pPr>
              <w:pStyle w:val="financials03table-body-l"/>
              <w:rPr>
                <w:rFonts w:cs="Times New Roman"/>
              </w:rPr>
            </w:pPr>
            <w:r>
              <w:rPr>
                <w:rFonts w:cs="Times New Roman"/>
              </w:rPr>
              <w:t>Council of Australian Therapeutic Advisory Groups Expert Advisory Group on Achieving Effective Medicines Governance</w:t>
            </w:r>
          </w:p>
        </w:tc>
      </w:tr>
      <w:tr w:rsidR="006F421D" w14:paraId="3A4A55C2"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ED91D6B" w14:textId="77777777" w:rsidR="006F421D" w:rsidRDefault="006F421D">
            <w:pPr>
              <w:pStyle w:val="financials03table-body-l"/>
              <w:rPr>
                <w:rFonts w:cs="Times New Roman"/>
              </w:rPr>
            </w:pPr>
            <w:r>
              <w:rPr>
                <w:rFonts w:cs="Times New Roman"/>
              </w:rPr>
              <w:t>Deakin University Centre for Quality and Patient Safety Research External Advisory Committee</w:t>
            </w:r>
          </w:p>
        </w:tc>
      </w:tr>
      <w:tr w:rsidR="006F421D" w14:paraId="3FFB4ACF"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0C8BCAE" w14:textId="77777777" w:rsidR="006F421D" w:rsidRDefault="006F421D">
            <w:pPr>
              <w:pStyle w:val="financials03table-body-l"/>
              <w:rPr>
                <w:rFonts w:cs="Times New Roman"/>
              </w:rPr>
            </w:pPr>
            <w:r>
              <w:rPr>
                <w:rFonts w:cs="Times New Roman"/>
              </w:rPr>
              <w:t>Department of Health: Data Governance Council</w:t>
            </w:r>
          </w:p>
        </w:tc>
      </w:tr>
      <w:tr w:rsidR="006F421D" w14:paraId="7415F92A"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671BABF" w14:textId="77777777" w:rsidR="006F421D" w:rsidRDefault="006F421D">
            <w:pPr>
              <w:pStyle w:val="financials03table-body-l"/>
              <w:rPr>
                <w:rFonts w:cs="Times New Roman"/>
              </w:rPr>
            </w:pPr>
            <w:r>
              <w:rPr>
                <w:rFonts w:cs="Times New Roman"/>
              </w:rPr>
              <w:t>Department of Veterans Affairs Pay for Performance Advisory Committee</w:t>
            </w:r>
          </w:p>
        </w:tc>
      </w:tr>
      <w:tr w:rsidR="006F421D" w14:paraId="73697FD6"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A04C0EA" w14:textId="77777777" w:rsidR="006F421D" w:rsidRDefault="006F421D">
            <w:pPr>
              <w:pStyle w:val="financials03table-body-l"/>
              <w:rPr>
                <w:rFonts w:cs="Times New Roman"/>
              </w:rPr>
            </w:pPr>
            <w:proofErr w:type="spellStart"/>
            <w:r>
              <w:rPr>
                <w:rFonts w:cs="Times New Roman"/>
              </w:rPr>
              <w:t>Haemovigilance</w:t>
            </w:r>
            <w:proofErr w:type="spellEnd"/>
            <w:r>
              <w:rPr>
                <w:rFonts w:cs="Times New Roman"/>
              </w:rPr>
              <w:t xml:space="preserve"> Advisory Committee (National Blood Authority)</w:t>
            </w:r>
          </w:p>
        </w:tc>
      </w:tr>
      <w:tr w:rsidR="006F421D" w14:paraId="69F37903"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15A22BD" w14:textId="77777777" w:rsidR="006F421D" w:rsidRDefault="006F421D">
            <w:pPr>
              <w:pStyle w:val="financials03table-body-l"/>
              <w:rPr>
                <w:rFonts w:cs="Times New Roman"/>
              </w:rPr>
            </w:pPr>
            <w:r>
              <w:rPr>
                <w:rFonts w:cs="Times New Roman"/>
              </w:rPr>
              <w:t>Health Literacy Network (NSW Clinical Excellence Commission)</w:t>
            </w:r>
          </w:p>
        </w:tc>
      </w:tr>
      <w:tr w:rsidR="006F421D" w14:paraId="2053330F"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C764573" w14:textId="77777777" w:rsidR="006F421D" w:rsidRDefault="006F421D">
            <w:pPr>
              <w:pStyle w:val="financials03table-body-l"/>
              <w:rPr>
                <w:rFonts w:cs="Times New Roman"/>
              </w:rPr>
            </w:pPr>
            <w:r>
              <w:rPr>
                <w:rFonts w:cs="Times New Roman"/>
              </w:rPr>
              <w:t>National Health Enterprise Data Warehouse Board</w:t>
            </w:r>
          </w:p>
        </w:tc>
      </w:tr>
      <w:tr w:rsidR="006F421D" w14:paraId="022B2EC8"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2DA779A" w14:textId="77777777" w:rsidR="006F421D" w:rsidRDefault="006F421D">
            <w:pPr>
              <w:pStyle w:val="financials03table-body-l"/>
              <w:rPr>
                <w:rFonts w:cs="Times New Roman"/>
              </w:rPr>
            </w:pPr>
            <w:r>
              <w:rPr>
                <w:rFonts w:cs="Times New Roman"/>
              </w:rPr>
              <w:t>National Centre for Research Excellence in Nursing Expert Reference Group</w:t>
            </w:r>
          </w:p>
        </w:tc>
      </w:tr>
      <w:tr w:rsidR="006F421D" w14:paraId="37CC0EF2"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DAE6E58" w14:textId="77777777" w:rsidR="006F421D" w:rsidRDefault="006F421D">
            <w:pPr>
              <w:pStyle w:val="financials03table-body-l"/>
              <w:rPr>
                <w:rFonts w:cs="Times New Roman"/>
              </w:rPr>
            </w:pPr>
            <w:r>
              <w:rPr>
                <w:rFonts w:cs="Times New Roman"/>
              </w:rPr>
              <w:t>National Health Information and Performance Principal Committee</w:t>
            </w:r>
          </w:p>
        </w:tc>
      </w:tr>
      <w:tr w:rsidR="006F421D" w14:paraId="2E4F3F9D"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A6636C0" w14:textId="77777777" w:rsidR="006F421D" w:rsidRDefault="006F421D">
            <w:pPr>
              <w:pStyle w:val="financials03table-body-l"/>
              <w:rPr>
                <w:rFonts w:cs="Times New Roman"/>
              </w:rPr>
            </w:pPr>
            <w:r>
              <w:rPr>
                <w:rFonts w:cs="Times New Roman"/>
              </w:rPr>
              <w:t>National Health Information and Statistical Standards Committee</w:t>
            </w:r>
          </w:p>
        </w:tc>
      </w:tr>
      <w:tr w:rsidR="006F421D" w14:paraId="3A9A8E7B"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1483809" w14:textId="77777777" w:rsidR="006F421D" w:rsidRDefault="006F421D">
            <w:pPr>
              <w:pStyle w:val="financials03table-body-l"/>
              <w:rPr>
                <w:rFonts w:cs="Times New Roman"/>
              </w:rPr>
            </w:pPr>
            <w:r>
              <w:rPr>
                <w:rFonts w:cs="Times New Roman"/>
              </w:rPr>
              <w:t>National Health Performance Authority GP Care Advisory Committee</w:t>
            </w:r>
          </w:p>
        </w:tc>
      </w:tr>
      <w:tr w:rsidR="006F421D" w14:paraId="2A240EF1"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658DD06" w14:textId="77777777" w:rsidR="006F421D" w:rsidRDefault="006F421D">
            <w:pPr>
              <w:pStyle w:val="financials03table-body-l"/>
              <w:rPr>
                <w:rFonts w:cs="Times New Roman"/>
              </w:rPr>
            </w:pPr>
            <w:r>
              <w:rPr>
                <w:rFonts w:cs="Times New Roman"/>
              </w:rPr>
              <w:t>National Heart Foundation/Australian Healthcare and Hospitals Association: Lighthouse Hospital Project Phase II External Advisory Group</w:t>
            </w:r>
          </w:p>
        </w:tc>
      </w:tr>
      <w:tr w:rsidR="006F421D" w14:paraId="623E0029"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45DEC46" w14:textId="77777777" w:rsidR="006F421D" w:rsidRDefault="006F421D">
            <w:pPr>
              <w:pStyle w:val="financials03table-body-l"/>
              <w:rPr>
                <w:rFonts w:cs="Times New Roman"/>
              </w:rPr>
            </w:pPr>
            <w:r>
              <w:rPr>
                <w:rFonts w:cs="Times New Roman"/>
              </w:rPr>
              <w:t>National Lead Clinicians Group</w:t>
            </w:r>
          </w:p>
        </w:tc>
      </w:tr>
      <w:tr w:rsidR="006F421D" w14:paraId="2E2324EF"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F9910B6" w14:textId="77777777" w:rsidR="006F421D" w:rsidRDefault="006F421D">
            <w:pPr>
              <w:pStyle w:val="financials03table-body-l"/>
              <w:rPr>
                <w:rFonts w:cs="Times New Roman"/>
              </w:rPr>
            </w:pPr>
            <w:r>
              <w:rPr>
                <w:rFonts w:cs="Times New Roman"/>
              </w:rPr>
              <w:t xml:space="preserve">NPS </w:t>
            </w:r>
            <w:proofErr w:type="spellStart"/>
            <w:r>
              <w:rPr>
                <w:rFonts w:cs="Times New Roman"/>
              </w:rPr>
              <w:t>MedicineWise</w:t>
            </w:r>
            <w:proofErr w:type="spellEnd"/>
            <w:r>
              <w:rPr>
                <w:rFonts w:cs="Times New Roman"/>
              </w:rPr>
              <w:t xml:space="preserve"> Antibiotic Resistance Reference Group</w:t>
            </w:r>
          </w:p>
        </w:tc>
      </w:tr>
      <w:tr w:rsidR="006F421D" w14:paraId="37B205AE"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54CA065" w14:textId="77777777" w:rsidR="006F421D" w:rsidRDefault="006F421D">
            <w:pPr>
              <w:pStyle w:val="financials03table-body-l"/>
              <w:rPr>
                <w:rFonts w:cs="Times New Roman"/>
              </w:rPr>
            </w:pPr>
            <w:r>
              <w:rPr>
                <w:rFonts w:cs="Times New Roman"/>
              </w:rPr>
              <w:t>Organ and Tissue Authority: Vigilance and Surveillance Working Group</w:t>
            </w:r>
          </w:p>
        </w:tc>
      </w:tr>
      <w:tr w:rsidR="006F421D" w14:paraId="1F513301"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390A686" w14:textId="77777777" w:rsidR="006F421D" w:rsidRDefault="006F421D">
            <w:pPr>
              <w:pStyle w:val="financials03table-body-l"/>
              <w:rPr>
                <w:rFonts w:cs="Times New Roman"/>
              </w:rPr>
            </w:pPr>
            <w:r>
              <w:rPr>
                <w:rFonts w:cs="Times New Roman"/>
              </w:rPr>
              <w:t>Queensland Health Patient Safety and Quality Improvement Service, State-wide Clinical Handover Reference Group</w:t>
            </w:r>
          </w:p>
        </w:tc>
      </w:tr>
      <w:tr w:rsidR="006F421D" w14:paraId="7197BA2F"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91E7C6B" w14:textId="77777777" w:rsidR="006F421D" w:rsidRDefault="006F421D">
            <w:pPr>
              <w:pStyle w:val="financials03table-body-l"/>
              <w:rPr>
                <w:rFonts w:cs="Times New Roman"/>
              </w:rPr>
            </w:pPr>
            <w:r>
              <w:rPr>
                <w:rFonts w:cs="Times New Roman"/>
              </w:rPr>
              <w:lastRenderedPageBreak/>
              <w:t>Queensland Health Recognising and Responding to Clinical Deterioration Reference Group</w:t>
            </w:r>
          </w:p>
        </w:tc>
      </w:tr>
      <w:tr w:rsidR="006F421D" w14:paraId="6255627E"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64CE8872" w14:textId="77777777" w:rsidR="006F421D" w:rsidRDefault="006F421D">
            <w:pPr>
              <w:pStyle w:val="financials03table-body-l"/>
              <w:rPr>
                <w:rFonts w:cs="Times New Roman"/>
              </w:rPr>
            </w:pPr>
            <w:r>
              <w:rPr>
                <w:rFonts w:cs="Times New Roman"/>
              </w:rPr>
              <w:t>Reducing Adverse Medications Events in Mental Health Working Party, Safety and Quality Partnerships Standing Committee</w:t>
            </w:r>
          </w:p>
        </w:tc>
      </w:tr>
      <w:tr w:rsidR="006F421D" w14:paraId="08021783"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0B056E4" w14:textId="77777777" w:rsidR="006F421D" w:rsidRDefault="006F421D">
            <w:pPr>
              <w:pStyle w:val="financials03table-body-l"/>
              <w:rPr>
                <w:rFonts w:cs="Times New Roman"/>
              </w:rPr>
            </w:pPr>
            <w:r>
              <w:rPr>
                <w:rFonts w:cs="Times New Roman"/>
              </w:rPr>
              <w:t>Royal District Nursing Service Research Advisory Committee</w:t>
            </w:r>
          </w:p>
        </w:tc>
      </w:tr>
      <w:tr w:rsidR="006F421D" w14:paraId="40F9EE9E"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34CB649" w14:textId="77777777" w:rsidR="006F421D" w:rsidRDefault="006F421D">
            <w:pPr>
              <w:pStyle w:val="financials03table-body-l"/>
              <w:rPr>
                <w:rFonts w:cs="Times New Roman"/>
              </w:rPr>
            </w:pPr>
            <w:r>
              <w:rPr>
                <w:rFonts w:cs="Times New Roman"/>
              </w:rPr>
              <w:t>Safety and Quality Partnerships Standing Committee of the Mental Health and Drug and Alcohol Principal Committee</w:t>
            </w:r>
          </w:p>
        </w:tc>
      </w:tr>
      <w:tr w:rsidR="006F421D" w14:paraId="7B34E2E9"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F43E855" w14:textId="77777777" w:rsidR="006F421D" w:rsidRDefault="006F421D">
            <w:pPr>
              <w:pStyle w:val="financials03table-body-l"/>
              <w:rPr>
                <w:rFonts w:cs="Times New Roman"/>
              </w:rPr>
            </w:pPr>
            <w:r>
              <w:rPr>
                <w:rFonts w:cs="Times New Roman"/>
              </w:rPr>
              <w:t>Standing Committee on Performance Reporting</w:t>
            </w:r>
          </w:p>
        </w:tc>
      </w:tr>
      <w:tr w:rsidR="006F421D" w14:paraId="7D746D5E" w14:textId="77777777" w:rsidTr="006F421D">
        <w:trPr>
          <w:divId w:val="76558479"/>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6F20346" w14:textId="77777777" w:rsidR="006F421D" w:rsidRDefault="006F421D">
            <w:pPr>
              <w:pStyle w:val="financials03table-body-l"/>
              <w:rPr>
                <w:rFonts w:cs="Times New Roman"/>
              </w:rPr>
            </w:pPr>
            <w:r>
              <w:rPr>
                <w:rFonts w:cs="Times New Roman"/>
              </w:rPr>
              <w:t>Youth Cancer Service Strategic Advisory Group</w:t>
            </w:r>
          </w:p>
        </w:tc>
      </w:tr>
    </w:tbl>
    <w:p w14:paraId="7694A04A" w14:textId="77777777" w:rsidR="006F421D" w:rsidRPr="006F421D" w:rsidRDefault="006F421D" w:rsidP="006F421D">
      <w:pPr>
        <w:divId w:val="801848956"/>
      </w:pPr>
    </w:p>
    <w:p w14:paraId="3ED61B83" w14:textId="77777777" w:rsidR="006F421D" w:rsidRDefault="006F421D">
      <w:pPr>
        <w:spacing w:after="0"/>
        <w:rPr>
          <w:rFonts w:cs="Times New Roman"/>
          <w:b/>
          <w:bCs/>
          <w:color w:val="5F605F"/>
          <w:sz w:val="30"/>
          <w:szCs w:val="30"/>
          <w:lang w:val="en-GB"/>
        </w:rPr>
      </w:pPr>
      <w:r>
        <w:rPr>
          <w:rFonts w:cs="Times New Roman"/>
          <w:lang w:val="en-GB"/>
        </w:rPr>
        <w:br w:type="page"/>
      </w:r>
    </w:p>
    <w:p w14:paraId="36EA4855" w14:textId="62813C31" w:rsidR="006F421D" w:rsidRDefault="006F421D" w:rsidP="00093444">
      <w:pPr>
        <w:pStyle w:val="Heading2"/>
        <w:divId w:val="801848956"/>
        <w:rPr>
          <w:lang w:val="en-GB"/>
        </w:rPr>
      </w:pPr>
      <w:bookmarkStart w:id="55" w:name="_Toc414011913"/>
      <w:r>
        <w:rPr>
          <w:lang w:val="en-GB"/>
        </w:rPr>
        <w:lastRenderedPageBreak/>
        <w:t>Appendix F</w:t>
      </w:r>
      <w:bookmarkEnd w:id="55"/>
      <w:r w:rsidR="00093444">
        <w:rPr>
          <w:lang w:val="en-GB"/>
        </w:rPr>
        <w:t>: Formal consultations</w:t>
      </w:r>
    </w:p>
    <w:p w14:paraId="54E5B341" w14:textId="1DA07BB4" w:rsidR="006F421D" w:rsidRDefault="006F421D">
      <w:pPr>
        <w:pStyle w:val="financials01heading-level-2"/>
        <w:divId w:val="801848956"/>
        <w:rPr>
          <w:rFonts w:cs="Times New Roman"/>
          <w:lang w:val="en-GB"/>
        </w:rPr>
      </w:pPr>
    </w:p>
    <w:p w14:paraId="0B1A9E4E" w14:textId="77777777" w:rsidR="006F421D" w:rsidRDefault="006F421D">
      <w:pPr>
        <w:pStyle w:val="2body-copy"/>
        <w:divId w:val="801848956"/>
        <w:rPr>
          <w:rFonts w:cs="Times New Roman"/>
          <w:lang w:val="en-GB"/>
        </w:rPr>
      </w:pPr>
      <w:r>
        <w:rPr>
          <w:rFonts w:cs="Times New Roman"/>
          <w:lang w:val="en-GB"/>
        </w:rPr>
        <w:t>The following table summarises the formal consultations undertaken during 2013/14 to inform the Commission’s work with respect to specific issues, as discussed on page 56.</w:t>
      </w:r>
    </w:p>
    <w:p w14:paraId="1737DA13" w14:textId="77777777" w:rsidR="006F421D" w:rsidRDefault="006F421D">
      <w:pPr>
        <w:pStyle w:val="3-figure"/>
        <w:divId w:val="801848956"/>
        <w:rPr>
          <w:rFonts w:cs="Times New Roman"/>
          <w:lang w:val="en-GB"/>
        </w:rPr>
      </w:pPr>
      <w:r>
        <w:rPr>
          <w:rStyle w:val="2body-medium"/>
          <w:rFonts w:cs="Times New Roman"/>
          <w:lang w:val="en-GB"/>
        </w:rPr>
        <w:t>Table 8: Summary of formal consultations undertaken during 2013/14</w:t>
      </w:r>
    </w:p>
    <w:tbl>
      <w:tblPr>
        <w:tblW w:w="0" w:type="auto"/>
        <w:tblCellMar>
          <w:top w:w="28" w:type="dxa"/>
          <w:left w:w="57" w:type="dxa"/>
          <w:bottom w:w="28" w:type="dxa"/>
          <w:right w:w="57" w:type="dxa"/>
        </w:tblCellMar>
        <w:tblLook w:val="04A0" w:firstRow="1" w:lastRow="0" w:firstColumn="1" w:lastColumn="0" w:noHBand="0" w:noVBand="1"/>
      </w:tblPr>
      <w:tblGrid>
        <w:gridCol w:w="2432"/>
        <w:gridCol w:w="3783"/>
        <w:gridCol w:w="2804"/>
        <w:gridCol w:w="1294"/>
      </w:tblGrid>
      <w:tr w:rsidR="006F421D" w14:paraId="2E454144" w14:textId="77777777" w:rsidTr="006F421D">
        <w:trPr>
          <w:divId w:val="801848956"/>
          <w:tblHeader/>
        </w:trPr>
        <w:tc>
          <w:tcPr>
            <w:tcW w:w="0" w:type="auto"/>
            <w:shd w:val="clear" w:color="auto" w:fill="005C7E"/>
            <w:vAlign w:val="center"/>
            <w:hideMark/>
          </w:tcPr>
          <w:p w14:paraId="54B5C62B" w14:textId="77777777" w:rsidR="006F421D" w:rsidRDefault="006F421D">
            <w:pPr>
              <w:pStyle w:val="financials03table-header-l"/>
              <w:rPr>
                <w:rFonts w:cs="Times New Roman"/>
              </w:rPr>
            </w:pPr>
            <w:r>
              <w:rPr>
                <w:rFonts w:cs="Times New Roman"/>
              </w:rPr>
              <w:t>Consultation topic</w:t>
            </w:r>
          </w:p>
        </w:tc>
        <w:tc>
          <w:tcPr>
            <w:tcW w:w="0" w:type="auto"/>
            <w:shd w:val="clear" w:color="auto" w:fill="005C7E"/>
            <w:vAlign w:val="center"/>
            <w:hideMark/>
          </w:tcPr>
          <w:p w14:paraId="5C805375" w14:textId="77777777" w:rsidR="006F421D" w:rsidRDefault="006F421D">
            <w:pPr>
              <w:pStyle w:val="financials03table-header-l"/>
              <w:rPr>
                <w:rFonts w:cs="Times New Roman"/>
              </w:rPr>
            </w:pPr>
            <w:r>
              <w:rPr>
                <w:rFonts w:cs="Times New Roman"/>
              </w:rPr>
              <w:t>Method</w:t>
            </w:r>
          </w:p>
        </w:tc>
        <w:tc>
          <w:tcPr>
            <w:tcW w:w="0" w:type="auto"/>
            <w:shd w:val="clear" w:color="auto" w:fill="005C7E"/>
            <w:vAlign w:val="center"/>
            <w:hideMark/>
          </w:tcPr>
          <w:p w14:paraId="420EA8AA" w14:textId="77777777" w:rsidR="006F421D" w:rsidRDefault="006F421D">
            <w:pPr>
              <w:pStyle w:val="financials03table-header-l"/>
              <w:rPr>
                <w:rFonts w:cs="Times New Roman"/>
              </w:rPr>
            </w:pPr>
            <w:r>
              <w:rPr>
                <w:rFonts w:cs="Times New Roman"/>
              </w:rPr>
              <w:t>Information received</w:t>
            </w:r>
          </w:p>
        </w:tc>
        <w:tc>
          <w:tcPr>
            <w:tcW w:w="0" w:type="auto"/>
            <w:shd w:val="clear" w:color="auto" w:fill="005C7E"/>
            <w:vAlign w:val="center"/>
            <w:hideMark/>
          </w:tcPr>
          <w:p w14:paraId="47695095" w14:textId="77777777" w:rsidR="006F421D" w:rsidRDefault="006F421D">
            <w:pPr>
              <w:pStyle w:val="financials03table-header-l"/>
              <w:rPr>
                <w:rFonts w:cs="Times New Roman"/>
              </w:rPr>
            </w:pPr>
            <w:r>
              <w:rPr>
                <w:rFonts w:cs="Times New Roman"/>
              </w:rPr>
              <w:t>Date</w:t>
            </w:r>
          </w:p>
        </w:tc>
      </w:tr>
      <w:tr w:rsidR="006F421D" w14:paraId="51147FC8" w14:textId="77777777" w:rsidTr="006F421D">
        <w:trPr>
          <w:divId w:val="801848956"/>
        </w:trPr>
        <w:tc>
          <w:tcPr>
            <w:tcW w:w="0" w:type="auto"/>
            <w:gridSpan w:val="4"/>
            <w:tcBorders>
              <w:bottom w:val="dotted" w:sz="8" w:space="0" w:color="005C7E"/>
            </w:tcBorders>
            <w:shd w:val="clear" w:color="auto" w:fill="82A9BA"/>
            <w:vAlign w:val="center"/>
            <w:hideMark/>
          </w:tcPr>
          <w:p w14:paraId="31E59F14" w14:textId="77777777" w:rsidR="006F421D" w:rsidRDefault="006F421D">
            <w:pPr>
              <w:pStyle w:val="financials03table-body-l"/>
              <w:rPr>
                <w:rFonts w:cs="Times New Roman"/>
              </w:rPr>
            </w:pPr>
            <w:r>
              <w:rPr>
                <w:rStyle w:val="2body-medium"/>
                <w:rFonts w:cs="Times New Roman"/>
              </w:rPr>
              <w:t>Consumer centred care</w:t>
            </w:r>
          </w:p>
        </w:tc>
      </w:tr>
      <w:tr w:rsidR="006F421D" w14:paraId="1E6F835E"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1A76FA5E" w14:textId="77777777" w:rsidR="006F421D" w:rsidRDefault="006F421D">
            <w:pPr>
              <w:pStyle w:val="financials03table-body-l"/>
              <w:rPr>
                <w:rFonts w:cs="Times New Roman"/>
              </w:rPr>
            </w:pPr>
            <w:r>
              <w:rPr>
                <w:rFonts w:cs="Times New Roman"/>
              </w:rPr>
              <w:t>Health literacy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16FB267" w14:textId="77777777" w:rsidR="006F421D" w:rsidRDefault="006F421D">
            <w:pPr>
              <w:pStyle w:val="financials03table-body-l"/>
              <w:rPr>
                <w:rFonts w:cs="Times New Roman"/>
              </w:rPr>
            </w:pPr>
            <w:r>
              <w:rPr>
                <w:rFonts w:cs="Times New Roman"/>
              </w:rPr>
              <w:t>Call for written submissions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51BF37C" w14:textId="77777777" w:rsidR="006F421D" w:rsidRDefault="006F421D">
            <w:pPr>
              <w:pStyle w:val="financials03table-body-l"/>
              <w:rPr>
                <w:rFonts w:cs="Times New Roman"/>
              </w:rPr>
            </w:pPr>
            <w:r>
              <w:rPr>
                <w:rFonts w:cs="Times New Roman"/>
              </w:rPr>
              <w:t>113 written submissions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C589C42" w14:textId="77777777" w:rsidR="006F421D" w:rsidRDefault="006F421D">
            <w:pPr>
              <w:pStyle w:val="financials03table-body-l"/>
              <w:rPr>
                <w:rFonts w:cs="Times New Roman"/>
              </w:rPr>
            </w:pPr>
            <w:r>
              <w:rPr>
                <w:rFonts w:cs="Times New Roman"/>
              </w:rPr>
              <w:t>June – August 2013</w:t>
            </w:r>
          </w:p>
        </w:tc>
      </w:tr>
      <w:tr w:rsidR="006F421D" w14:paraId="6827FBAF"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370F7C80" w14:textId="77777777" w:rsidR="006F421D" w:rsidRDefault="006F421D">
            <w:pPr>
              <w:pStyle w:val="financials03table-body-l"/>
              <w:rPr>
                <w:rFonts w:cs="Times New Roman"/>
              </w:rPr>
            </w:pPr>
            <w:r>
              <w:rPr>
                <w:rStyle w:val="2body-medium"/>
                <w:rFonts w:cs="Times New Roman"/>
              </w:rPr>
              <w:t>Information strategy</w:t>
            </w:r>
          </w:p>
        </w:tc>
      </w:tr>
      <w:tr w:rsidR="006F421D" w14:paraId="181CB155"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60EF69D3" w14:textId="77777777" w:rsidR="006F421D" w:rsidRDefault="006F421D">
            <w:pPr>
              <w:pStyle w:val="financials03table-body-l"/>
              <w:rPr>
                <w:rFonts w:cs="Times New Roman"/>
              </w:rPr>
            </w:pPr>
            <w:r>
              <w:rPr>
                <w:rFonts w:cs="Times New Roman"/>
              </w:rPr>
              <w:t>Development of national patient contact protocol for high-risk implantable devices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BBBAA27" w14:textId="77777777" w:rsidR="006F421D" w:rsidRDefault="006F421D">
            <w:pPr>
              <w:pStyle w:val="financials03table-body-l"/>
              <w:rPr>
                <w:rFonts w:cs="Times New Roman"/>
              </w:rPr>
            </w:pPr>
            <w:r>
              <w:rPr>
                <w:rFonts w:cs="Times New Roman"/>
              </w:rPr>
              <w:t>Workshops in Brisbane, Sydney, Melbourne, Adelaide and Canberra. Targeted interviews with the Australian Medical Association, the Royal Australasian College of Surgeons, the Consumer Health Forum, the Therapeutic Goods Administration, and Medical Technology Association of Australia</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97B8697" w14:textId="77777777" w:rsidR="006F421D" w:rsidRDefault="006F421D">
            <w:pPr>
              <w:pStyle w:val="financials03table-body-l"/>
              <w:rPr>
                <w:rFonts w:cs="Times New Roman"/>
              </w:rPr>
            </w:pPr>
            <w:r>
              <w:rPr>
                <w:rFonts w:cs="Times New Roman"/>
              </w:rPr>
              <w:t>Iterative feedback</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2E72254" w14:textId="77777777" w:rsidR="006F421D" w:rsidRDefault="006F421D">
            <w:pPr>
              <w:pStyle w:val="financials03table-body-l"/>
              <w:rPr>
                <w:rFonts w:cs="Times New Roman"/>
              </w:rPr>
            </w:pPr>
            <w:r>
              <w:rPr>
                <w:rFonts w:cs="Times New Roman"/>
              </w:rPr>
              <w:t>November – December 2013</w:t>
            </w:r>
          </w:p>
        </w:tc>
      </w:tr>
      <w:tr w:rsidR="006F421D" w14:paraId="66DB75D7"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1FCBC1ED" w14:textId="77777777" w:rsidR="006F421D" w:rsidRDefault="006F421D">
            <w:pPr>
              <w:pStyle w:val="financials03table-body-l"/>
              <w:rPr>
                <w:rFonts w:cs="Times New Roman"/>
              </w:rPr>
            </w:pPr>
            <w:r>
              <w:rPr>
                <w:rStyle w:val="2body-medium"/>
                <w:rFonts w:cs="Times New Roman"/>
              </w:rPr>
              <w:t>Clinical Care Standards</w:t>
            </w:r>
          </w:p>
        </w:tc>
      </w:tr>
      <w:tr w:rsidR="006F421D" w14:paraId="7851FF54"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C44A3A8" w14:textId="77777777" w:rsidR="006F421D" w:rsidRDefault="006F421D">
            <w:pPr>
              <w:pStyle w:val="financials03table-body-l"/>
              <w:rPr>
                <w:rFonts w:cs="Times New Roman"/>
              </w:rPr>
            </w:pPr>
            <w:r>
              <w:rPr>
                <w:rFonts w:cs="Times New Roman"/>
              </w:rPr>
              <w:t>Draft Clinical Care Standard for acute coronary syndrome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04722BF" w14:textId="77777777" w:rsidR="006F421D" w:rsidRDefault="006F421D">
            <w:pPr>
              <w:pStyle w:val="financials03table-body-l"/>
              <w:rPr>
                <w:rFonts w:cs="Times New Roman"/>
              </w:rPr>
            </w:pPr>
            <w:r>
              <w:rPr>
                <w:rFonts w:cs="Times New Roman"/>
              </w:rPr>
              <w:t>Online survey and request for written submissions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40CD481" w14:textId="77777777" w:rsidR="006F421D" w:rsidRDefault="006F421D">
            <w:pPr>
              <w:pStyle w:val="financials03table-body-l"/>
              <w:rPr>
                <w:rFonts w:cs="Times New Roman"/>
              </w:rPr>
            </w:pPr>
            <w:r>
              <w:rPr>
                <w:rFonts w:cs="Times New Roman"/>
              </w:rPr>
              <w:t>57 written submissions</w:t>
            </w:r>
          </w:p>
          <w:p w14:paraId="7B41078A" w14:textId="77777777" w:rsidR="006F421D" w:rsidRDefault="006F421D">
            <w:pPr>
              <w:pStyle w:val="financials03table-body-l"/>
              <w:rPr>
                <w:rFonts w:cs="Times New Roman"/>
              </w:rPr>
            </w:pPr>
            <w:r>
              <w:rPr>
                <w:rFonts w:cs="Times New Roman"/>
              </w:rPr>
              <w:t>11 survey responses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8CB3F8F" w14:textId="77777777" w:rsidR="006F421D" w:rsidRDefault="006F421D">
            <w:pPr>
              <w:pStyle w:val="financials03table-body-l"/>
              <w:rPr>
                <w:rFonts w:cs="Times New Roman"/>
              </w:rPr>
            </w:pPr>
            <w:r>
              <w:rPr>
                <w:rFonts w:cs="Times New Roman"/>
              </w:rPr>
              <w:t>July 2012 – June 2013</w:t>
            </w:r>
          </w:p>
        </w:tc>
      </w:tr>
      <w:tr w:rsidR="006F421D" w14:paraId="0560655F"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CBD240F" w14:textId="77777777" w:rsidR="006F421D" w:rsidRDefault="006F421D">
            <w:pPr>
              <w:pStyle w:val="financials03table-body-l"/>
              <w:rPr>
                <w:rFonts w:cs="Times New Roman"/>
              </w:rPr>
            </w:pPr>
            <w:r>
              <w:rPr>
                <w:rFonts w:cs="Times New Roman"/>
              </w:rPr>
              <w:t>Draft Clinical Care Standard for antimicrobial stewardship</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F1D5F09" w14:textId="77777777" w:rsidR="006F421D" w:rsidRDefault="006F421D">
            <w:pPr>
              <w:pStyle w:val="financials03table-body-l"/>
              <w:rPr>
                <w:rFonts w:cs="Times New Roman"/>
              </w:rPr>
            </w:pPr>
            <w:r>
              <w:rPr>
                <w:rFonts w:cs="Times New Roman"/>
              </w:rPr>
              <w:t>Online survey and request for written submissions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4D3EBC2" w14:textId="77777777" w:rsidR="006F421D" w:rsidRDefault="006F421D">
            <w:pPr>
              <w:pStyle w:val="financials03table-body-l"/>
              <w:rPr>
                <w:rFonts w:cs="Times New Roman"/>
              </w:rPr>
            </w:pPr>
            <w:r>
              <w:rPr>
                <w:rFonts w:cs="Times New Roman"/>
              </w:rPr>
              <w:t>60 written submissions</w:t>
            </w:r>
          </w:p>
          <w:p w14:paraId="71084552" w14:textId="77777777" w:rsidR="006F421D" w:rsidRDefault="006F421D">
            <w:pPr>
              <w:pStyle w:val="financials03table-body-l"/>
              <w:rPr>
                <w:rFonts w:cs="Times New Roman"/>
              </w:rPr>
            </w:pPr>
            <w:r>
              <w:rPr>
                <w:rFonts w:cs="Times New Roman"/>
              </w:rPr>
              <w:t>19 survey responses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5583E71" w14:textId="77777777" w:rsidR="006F421D" w:rsidRDefault="006F421D">
            <w:pPr>
              <w:pStyle w:val="financials03table-body-l"/>
              <w:rPr>
                <w:rFonts w:cs="Times New Roman"/>
              </w:rPr>
            </w:pPr>
            <w:r>
              <w:rPr>
                <w:rFonts w:cs="Times New Roman"/>
              </w:rPr>
              <w:t>December 2013 – March 2014</w:t>
            </w:r>
          </w:p>
        </w:tc>
      </w:tr>
      <w:tr w:rsidR="006F421D" w14:paraId="5B192AD9"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E1DABB3" w14:textId="77777777" w:rsidR="006F421D" w:rsidRDefault="006F421D">
            <w:pPr>
              <w:pStyle w:val="financials03table-body-l"/>
              <w:rPr>
                <w:rFonts w:cs="Times New Roman"/>
              </w:rPr>
            </w:pPr>
            <w:r>
              <w:rPr>
                <w:rFonts w:cs="Times New Roman"/>
              </w:rPr>
              <w:t>Draft Clinical Care Standard for stroke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350E917" w14:textId="77777777" w:rsidR="006F421D" w:rsidRDefault="006F421D">
            <w:pPr>
              <w:pStyle w:val="financials03table-body-l"/>
              <w:rPr>
                <w:rFonts w:cs="Times New Roman"/>
              </w:rPr>
            </w:pPr>
            <w:r>
              <w:rPr>
                <w:rFonts w:cs="Times New Roman"/>
              </w:rPr>
              <w:t>Online survey and request for written submissions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20AE2E2" w14:textId="77777777" w:rsidR="006F421D" w:rsidRDefault="006F421D">
            <w:pPr>
              <w:pStyle w:val="financials03table-body-l"/>
              <w:rPr>
                <w:rFonts w:cs="Times New Roman"/>
              </w:rPr>
            </w:pPr>
            <w:r>
              <w:rPr>
                <w:rFonts w:cs="Times New Roman"/>
              </w:rPr>
              <w:t>65 written submissions</w:t>
            </w:r>
          </w:p>
          <w:p w14:paraId="36AED58A" w14:textId="77777777" w:rsidR="006F421D" w:rsidRDefault="006F421D">
            <w:pPr>
              <w:pStyle w:val="financials03table-body-l"/>
              <w:rPr>
                <w:rFonts w:cs="Times New Roman"/>
              </w:rPr>
            </w:pPr>
            <w:r>
              <w:rPr>
                <w:rFonts w:cs="Times New Roman"/>
              </w:rPr>
              <w:t>130 survey responses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C42D603" w14:textId="77777777" w:rsidR="006F421D" w:rsidRDefault="006F421D">
            <w:pPr>
              <w:pStyle w:val="financials03table-body-l"/>
              <w:rPr>
                <w:rFonts w:cs="Times New Roman"/>
              </w:rPr>
            </w:pPr>
            <w:r>
              <w:rPr>
                <w:rFonts w:cs="Times New Roman"/>
              </w:rPr>
              <w:t>March – May 2013</w:t>
            </w:r>
          </w:p>
        </w:tc>
      </w:tr>
      <w:tr w:rsidR="006F421D" w14:paraId="2850ED09" w14:textId="77777777" w:rsidTr="006F421D">
        <w:trPr>
          <w:divId w:val="801848956"/>
        </w:trPr>
        <w:tc>
          <w:tcPr>
            <w:tcW w:w="0" w:type="auto"/>
            <w:gridSpan w:val="4"/>
            <w:tcBorders>
              <w:top w:val="dotted" w:sz="8" w:space="0" w:color="005C7E"/>
              <w:bottom w:val="single" w:sz="12" w:space="0" w:color="A6A6A6" w:themeColor="background1" w:themeShade="A6"/>
            </w:tcBorders>
            <w:shd w:val="clear" w:color="auto" w:fill="82A9BA"/>
            <w:vAlign w:val="center"/>
            <w:hideMark/>
          </w:tcPr>
          <w:p w14:paraId="6F8DA71D" w14:textId="77777777" w:rsidR="006F421D" w:rsidRDefault="006F421D">
            <w:pPr>
              <w:pStyle w:val="financials03table-body-l"/>
              <w:rPr>
                <w:rFonts w:cs="Times New Roman"/>
              </w:rPr>
            </w:pPr>
            <w:r>
              <w:rPr>
                <w:rStyle w:val="2body-medium"/>
                <w:rFonts w:cs="Times New Roman"/>
              </w:rPr>
              <w:t>End-of-life care</w:t>
            </w:r>
          </w:p>
        </w:tc>
      </w:tr>
      <w:tr w:rsidR="006F421D" w14:paraId="05880654" w14:textId="77777777" w:rsidTr="006F421D">
        <w:trPr>
          <w:divId w:val="801848956"/>
        </w:trPr>
        <w:tc>
          <w:tcPr>
            <w:tcW w:w="0" w:type="auto"/>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hideMark/>
          </w:tcPr>
          <w:p w14:paraId="43A24285" w14:textId="77777777" w:rsidR="006F421D" w:rsidRDefault="006F421D">
            <w:pPr>
              <w:pStyle w:val="financials03table-body-l"/>
              <w:rPr>
                <w:rFonts w:cs="Times New Roman"/>
              </w:rPr>
            </w:pPr>
            <w:r>
              <w:rPr>
                <w:rFonts w:cs="Times New Roman"/>
              </w:rPr>
              <w:t>Draft National Consensus Statement: Essential Elements of Safe and High Quality End-of-Life Care in Acute Hospitals</w:t>
            </w:r>
          </w:p>
        </w:tc>
        <w:tc>
          <w:tcPr>
            <w:tcW w:w="0" w:type="auto"/>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hideMark/>
          </w:tcPr>
          <w:p w14:paraId="42DEB066" w14:textId="77777777" w:rsidR="006F421D" w:rsidRDefault="006F421D">
            <w:pPr>
              <w:pStyle w:val="financials03table-body-l"/>
              <w:rPr>
                <w:rFonts w:cs="Times New Roman"/>
              </w:rPr>
            </w:pPr>
            <w:r>
              <w:rPr>
                <w:rFonts w:cs="Times New Roman"/>
              </w:rPr>
              <w:t>Online survey, request for written submissions and workshops held across the country</w:t>
            </w:r>
          </w:p>
        </w:tc>
        <w:tc>
          <w:tcPr>
            <w:tcW w:w="0" w:type="auto"/>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hideMark/>
          </w:tcPr>
          <w:p w14:paraId="742208DA" w14:textId="77777777" w:rsidR="006F421D" w:rsidRDefault="006F421D">
            <w:pPr>
              <w:pStyle w:val="financials03table-body-l"/>
              <w:rPr>
                <w:rFonts w:cs="Times New Roman"/>
              </w:rPr>
            </w:pPr>
            <w:r>
              <w:rPr>
                <w:rFonts w:cs="Times New Roman"/>
              </w:rPr>
              <w:t>75 written submissions and input from 350 workshop participants</w:t>
            </w:r>
          </w:p>
        </w:tc>
        <w:tc>
          <w:tcPr>
            <w:tcW w:w="0" w:type="auto"/>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hideMark/>
          </w:tcPr>
          <w:p w14:paraId="58BA7E31" w14:textId="77777777" w:rsidR="006F421D" w:rsidRDefault="006F421D">
            <w:pPr>
              <w:pStyle w:val="financials03table-body-l"/>
              <w:rPr>
                <w:rFonts w:cs="Times New Roman"/>
              </w:rPr>
            </w:pPr>
            <w:r>
              <w:rPr>
                <w:rFonts w:cs="Times New Roman"/>
              </w:rPr>
              <w:t>February – June 2014</w:t>
            </w:r>
          </w:p>
        </w:tc>
      </w:tr>
      <w:tr w:rsidR="006F421D" w14:paraId="74AF2335" w14:textId="77777777" w:rsidTr="006F421D">
        <w:trPr>
          <w:divId w:val="801848956"/>
        </w:trPr>
        <w:tc>
          <w:tcPr>
            <w:tcW w:w="0" w:type="auto"/>
            <w:gridSpan w:val="4"/>
            <w:tcBorders>
              <w:top w:val="single" w:sz="12" w:space="0" w:color="A6A6A6" w:themeColor="background1" w:themeShade="A6"/>
              <w:bottom w:val="dotted" w:sz="8" w:space="0" w:color="005C7E"/>
            </w:tcBorders>
            <w:shd w:val="clear" w:color="auto" w:fill="82A9BA"/>
            <w:vAlign w:val="center"/>
            <w:hideMark/>
          </w:tcPr>
          <w:p w14:paraId="4E6786E7" w14:textId="77777777" w:rsidR="006F421D" w:rsidRDefault="006F421D">
            <w:pPr>
              <w:pStyle w:val="financials03table-body-l"/>
              <w:rPr>
                <w:rFonts w:cs="Times New Roman"/>
              </w:rPr>
            </w:pPr>
            <w:r>
              <w:rPr>
                <w:rStyle w:val="2body-medium"/>
                <w:rFonts w:cs="Times New Roman"/>
              </w:rPr>
              <w:t>Mental health</w:t>
            </w:r>
          </w:p>
        </w:tc>
      </w:tr>
      <w:tr w:rsidR="006F421D" w14:paraId="3FC9E8AE"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DE6998B" w14:textId="77777777" w:rsidR="006F421D" w:rsidRDefault="006F421D">
            <w:pPr>
              <w:pStyle w:val="financials03table-body-l"/>
              <w:rPr>
                <w:rFonts w:cs="Times New Roman"/>
              </w:rPr>
            </w:pPr>
            <w:r>
              <w:rPr>
                <w:rFonts w:cs="Times New Roman"/>
              </w:rPr>
              <w:t>National scoping study on national standards in mental health services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29D5BEA" w14:textId="77777777" w:rsidR="006F421D" w:rsidRDefault="006F421D">
            <w:pPr>
              <w:pStyle w:val="financials03table-body-l"/>
              <w:rPr>
                <w:rFonts w:cs="Times New Roman"/>
              </w:rPr>
            </w:pPr>
            <w:r>
              <w:rPr>
                <w:rFonts w:cs="Times New Roman"/>
              </w:rPr>
              <w:t>National focus groups and stakeholder interviews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39DBE192" w14:textId="77777777" w:rsidR="006F421D" w:rsidRDefault="006F421D">
            <w:pPr>
              <w:pStyle w:val="financials03table-body-l"/>
              <w:rPr>
                <w:rFonts w:cs="Times New Roman"/>
              </w:rPr>
            </w:pPr>
            <w:r>
              <w:rPr>
                <w:rFonts w:cs="Times New Roman"/>
              </w:rPr>
              <w:t>22 focus groups with participation from 111 service providers and 39 people with lived experience of mental health issues, support people and carers. 9 stakeholder interviews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3697568" w14:textId="77777777" w:rsidR="006F421D" w:rsidRDefault="006F421D">
            <w:pPr>
              <w:pStyle w:val="financials03table-body-l"/>
              <w:rPr>
                <w:rFonts w:cs="Times New Roman"/>
              </w:rPr>
            </w:pPr>
            <w:r>
              <w:rPr>
                <w:rFonts w:cs="Times New Roman"/>
              </w:rPr>
              <w:t>July – September 2013</w:t>
            </w:r>
          </w:p>
        </w:tc>
      </w:tr>
      <w:tr w:rsidR="006F421D" w14:paraId="28C487DD"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3FF02324" w14:textId="77777777" w:rsidR="006F421D" w:rsidRDefault="006F421D">
            <w:pPr>
              <w:pStyle w:val="financials03table-body-l"/>
              <w:rPr>
                <w:rFonts w:cs="Times New Roman"/>
              </w:rPr>
            </w:pPr>
            <w:r>
              <w:rPr>
                <w:rFonts w:cs="Times New Roman"/>
              </w:rPr>
              <w:t>Improving the management of cognitive impairment using the NSQHS Standards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A81044D" w14:textId="77777777" w:rsidR="006F421D" w:rsidRDefault="006F421D">
            <w:pPr>
              <w:pStyle w:val="financials03table-body-l"/>
              <w:rPr>
                <w:rFonts w:cs="Times New Roman"/>
              </w:rPr>
            </w:pPr>
            <w:r>
              <w:rPr>
                <w:rFonts w:cs="Times New Roman"/>
              </w:rPr>
              <w:t>Online survey, request for written submissions, focus groups and meetings held across the country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28EF136" w14:textId="77777777" w:rsidR="006F421D" w:rsidRDefault="006F421D">
            <w:pPr>
              <w:pStyle w:val="financials03table-body-l"/>
              <w:rPr>
                <w:rFonts w:cs="Times New Roman"/>
              </w:rPr>
            </w:pPr>
            <w:r>
              <w:rPr>
                <w:rFonts w:cs="Times New Roman"/>
              </w:rPr>
              <w:t>26 focus groups with 299 service providers and 78 service users. 178 responses to the online survey. 18 written submissions received from individuals and organisations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0C88C8C" w14:textId="77777777" w:rsidR="006F421D" w:rsidRDefault="006F421D">
            <w:pPr>
              <w:pStyle w:val="financials03table-body-l"/>
              <w:rPr>
                <w:rFonts w:cs="Times New Roman"/>
              </w:rPr>
            </w:pPr>
            <w:r>
              <w:rPr>
                <w:rFonts w:cs="Times New Roman"/>
              </w:rPr>
              <w:t>October – December 2013</w:t>
            </w:r>
          </w:p>
        </w:tc>
      </w:tr>
      <w:tr w:rsidR="006F421D" w14:paraId="1F5D0D82"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169CFB30" w14:textId="77777777" w:rsidR="006F421D" w:rsidRDefault="006F421D">
            <w:pPr>
              <w:pStyle w:val="financials03table-body-l"/>
              <w:rPr>
                <w:rFonts w:cs="Times New Roman"/>
              </w:rPr>
            </w:pPr>
            <w:r>
              <w:rPr>
                <w:rStyle w:val="2body-medium"/>
                <w:rFonts w:cs="Times New Roman"/>
              </w:rPr>
              <w:t>Radiation exposure to children from CT scans</w:t>
            </w:r>
          </w:p>
        </w:tc>
      </w:tr>
      <w:tr w:rsidR="006F421D" w14:paraId="4F95C4CA"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FDC04BD" w14:textId="77777777" w:rsidR="006F421D" w:rsidRDefault="006F421D">
            <w:pPr>
              <w:pStyle w:val="financials03table-body-l"/>
              <w:rPr>
                <w:rFonts w:cs="Times New Roman"/>
              </w:rPr>
            </w:pPr>
            <w:r>
              <w:rPr>
                <w:rFonts w:cs="Times New Roman"/>
              </w:rPr>
              <w:t>Reduction in radiation exposure to children from CT scans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6AE93F3" w14:textId="77777777" w:rsidR="006F421D" w:rsidRDefault="006F421D">
            <w:pPr>
              <w:pStyle w:val="financials03table-body-l"/>
              <w:rPr>
                <w:rFonts w:cs="Times New Roman"/>
              </w:rPr>
            </w:pPr>
            <w:r>
              <w:rPr>
                <w:rFonts w:cs="Times New Roman"/>
              </w:rPr>
              <w:t>Consultations with Department of Health, states and territories, other government agencies and professional bodies to inform the objectives of the project</w:t>
            </w:r>
          </w:p>
          <w:p w14:paraId="326EA5CC" w14:textId="77777777" w:rsidR="006F421D" w:rsidRDefault="006F421D">
            <w:pPr>
              <w:pStyle w:val="financials03table-body-l"/>
              <w:rPr>
                <w:rFonts w:cs="Times New Roman"/>
              </w:rPr>
            </w:pP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9DB58C0" w14:textId="77777777" w:rsidR="006F421D" w:rsidRDefault="006F421D">
            <w:pPr>
              <w:pStyle w:val="financials03table-body-l"/>
              <w:rPr>
                <w:rFonts w:cs="Times New Roman"/>
              </w:rPr>
            </w:pPr>
            <w:r>
              <w:rPr>
                <w:rFonts w:cs="Times New Roman"/>
              </w:rPr>
              <w:t>8 face-to-face and teleconference sessions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EE8AF31" w14:textId="77777777" w:rsidR="006F421D" w:rsidRDefault="006F421D">
            <w:pPr>
              <w:pStyle w:val="financials03table-body-l"/>
              <w:rPr>
                <w:rFonts w:cs="Times New Roman"/>
              </w:rPr>
            </w:pPr>
            <w:r>
              <w:rPr>
                <w:rFonts w:cs="Times New Roman"/>
              </w:rPr>
              <w:t>May – June 2014</w:t>
            </w:r>
          </w:p>
        </w:tc>
      </w:tr>
      <w:tr w:rsidR="006F421D" w14:paraId="2B81D96C"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3FAB58FE" w14:textId="77777777" w:rsidR="006F421D" w:rsidRDefault="006F421D">
            <w:pPr>
              <w:pStyle w:val="financials03table-body-l"/>
              <w:rPr>
                <w:rFonts w:cs="Times New Roman"/>
              </w:rPr>
            </w:pPr>
            <w:r>
              <w:rPr>
                <w:rStyle w:val="2body-medium"/>
                <w:rFonts w:cs="Times New Roman"/>
              </w:rPr>
              <w:lastRenderedPageBreak/>
              <w:t>Antimicrobial resistance</w:t>
            </w:r>
          </w:p>
        </w:tc>
      </w:tr>
      <w:tr w:rsidR="006F421D" w14:paraId="450744B5"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2F7ED336" w14:textId="77777777" w:rsidR="006F421D" w:rsidRDefault="006F421D">
            <w:pPr>
              <w:pStyle w:val="financials03table-body-l"/>
              <w:rPr>
                <w:rFonts w:cs="Times New Roman"/>
              </w:rPr>
            </w:pPr>
            <w:r>
              <w:rPr>
                <w:rFonts w:cs="Times New Roman"/>
              </w:rPr>
              <w:t>Antimicrobial Utilisation and Resistance in Australia (AURA) Surveillance Project</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F798354" w14:textId="77777777" w:rsidR="006F421D" w:rsidRDefault="006F421D">
            <w:pPr>
              <w:pStyle w:val="financials03table-body-l"/>
              <w:rPr>
                <w:rFonts w:cs="Times New Roman"/>
              </w:rPr>
            </w:pPr>
            <w:r>
              <w:rPr>
                <w:rFonts w:cs="Times New Roman"/>
              </w:rPr>
              <w:t>Letters, meetings and online survey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3AFF6A5" w14:textId="77777777" w:rsidR="006F421D" w:rsidRDefault="006F421D">
            <w:pPr>
              <w:pStyle w:val="financials03table-body-l"/>
              <w:rPr>
                <w:rFonts w:cs="Times New Roman"/>
              </w:rPr>
            </w:pPr>
            <w:r>
              <w:rPr>
                <w:rFonts w:cs="Times New Roman"/>
              </w:rPr>
              <w:t>To be compiled upon completion</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095FC91" w14:textId="77777777" w:rsidR="006F421D" w:rsidRDefault="006F421D">
            <w:pPr>
              <w:pStyle w:val="financials03table-body-l"/>
              <w:rPr>
                <w:rFonts w:cs="Times New Roman"/>
              </w:rPr>
            </w:pPr>
            <w:r>
              <w:rPr>
                <w:rFonts w:cs="Times New Roman"/>
              </w:rPr>
              <w:t>May 2014, continuing to August 2014</w:t>
            </w:r>
          </w:p>
        </w:tc>
      </w:tr>
      <w:tr w:rsidR="006F421D" w14:paraId="30CA1173"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42E39B50" w14:textId="77777777" w:rsidR="006F421D" w:rsidRDefault="006F421D">
            <w:pPr>
              <w:pStyle w:val="financials03table-body-l"/>
              <w:rPr>
                <w:rFonts w:cs="Times New Roman"/>
              </w:rPr>
            </w:pPr>
            <w:r>
              <w:rPr>
                <w:rStyle w:val="2body-medium"/>
                <w:rFonts w:cs="Times New Roman"/>
              </w:rPr>
              <w:t>Information strategy</w:t>
            </w:r>
          </w:p>
        </w:tc>
      </w:tr>
      <w:tr w:rsidR="006F421D" w14:paraId="314B5667"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30C23E5" w14:textId="77777777" w:rsidR="006F421D" w:rsidRDefault="006F421D">
            <w:pPr>
              <w:pStyle w:val="financials03table-body-l"/>
              <w:rPr>
                <w:rFonts w:cs="Times New Roman"/>
              </w:rPr>
            </w:pPr>
            <w:r>
              <w:rPr>
                <w:rFonts w:cs="Times New Roman"/>
              </w:rPr>
              <w:t>Draft National Patient Contact Protocol</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3C9EE19" w14:textId="77777777" w:rsidR="006F421D" w:rsidRDefault="006F421D">
            <w:pPr>
              <w:pStyle w:val="financials03table-body-l"/>
              <w:rPr>
                <w:rFonts w:cs="Times New Roman"/>
              </w:rPr>
            </w:pPr>
            <w:r>
              <w:rPr>
                <w:rFonts w:cs="Times New Roman"/>
              </w:rPr>
              <w:t>Workshops in capital cities, targeted interviews, consultation with IJC, private hospital sector committee and Board review</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4BFE9C2" w14:textId="77777777" w:rsidR="006F421D" w:rsidRDefault="006F421D">
            <w:pPr>
              <w:pStyle w:val="financials03table-body-l"/>
              <w:rPr>
                <w:rFonts w:cs="Times New Roman"/>
              </w:rPr>
            </w:pPr>
            <w:r>
              <w:rPr>
                <w:rFonts w:cs="Times New Roman"/>
              </w:rPr>
              <w:t>Iterative feedback</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177858E" w14:textId="77777777" w:rsidR="006F421D" w:rsidRDefault="006F421D">
            <w:pPr>
              <w:pStyle w:val="financials03table-body-l"/>
              <w:rPr>
                <w:rFonts w:cs="Times New Roman"/>
              </w:rPr>
            </w:pPr>
            <w:r>
              <w:rPr>
                <w:rFonts w:cs="Times New Roman"/>
              </w:rPr>
              <w:t>October 2013 – May 2014</w:t>
            </w:r>
          </w:p>
        </w:tc>
      </w:tr>
      <w:tr w:rsidR="006F421D" w14:paraId="23002A5A"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323E81A3" w14:textId="77777777" w:rsidR="006F421D" w:rsidRDefault="006F421D">
            <w:pPr>
              <w:pStyle w:val="financials03table-body-l"/>
              <w:rPr>
                <w:rFonts w:cs="Times New Roman"/>
              </w:rPr>
            </w:pPr>
            <w:r>
              <w:rPr>
                <w:rStyle w:val="2body-medium"/>
                <w:rFonts w:cs="Times New Roman"/>
              </w:rPr>
              <w:t>Information strategy</w:t>
            </w:r>
          </w:p>
        </w:tc>
      </w:tr>
      <w:tr w:rsidR="006F421D" w14:paraId="3009921C"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86573E5" w14:textId="77777777" w:rsidR="006F421D" w:rsidRDefault="006F421D">
            <w:pPr>
              <w:pStyle w:val="financials03table-body-l"/>
              <w:rPr>
                <w:rFonts w:cs="Times New Roman"/>
              </w:rPr>
            </w:pPr>
            <w:r>
              <w:rPr>
                <w:rFonts w:cs="Times New Roman"/>
              </w:rPr>
              <w:t xml:space="preserve">Clinical Quality Registries – </w:t>
            </w:r>
            <w:r>
              <w:rPr>
                <w:rFonts w:cs="Times New Roman"/>
              </w:rPr>
              <w:br/>
              <w:t>a National Framework</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71BF0AE" w14:textId="77777777" w:rsidR="006F421D" w:rsidRDefault="006F421D">
            <w:pPr>
              <w:pStyle w:val="financials03table-body-l"/>
              <w:rPr>
                <w:rFonts w:cs="Times New Roman"/>
              </w:rPr>
            </w:pPr>
            <w:r>
              <w:rPr>
                <w:rFonts w:cs="Times New Roman"/>
              </w:rPr>
              <w:t>Expert and inter-jurisdictional roundtable</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5ED30E9" w14:textId="77777777" w:rsidR="006F421D" w:rsidRDefault="006F421D">
            <w:pPr>
              <w:pStyle w:val="financials03table-body-l"/>
              <w:rPr>
                <w:rFonts w:cs="Times New Roman"/>
              </w:rPr>
            </w:pPr>
            <w:r>
              <w:rPr>
                <w:rFonts w:cs="Times New Roman"/>
              </w:rPr>
              <w:t>Iterative feedback</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77A0B1F" w14:textId="77777777" w:rsidR="006F421D" w:rsidRDefault="006F421D">
            <w:pPr>
              <w:pStyle w:val="financials03table-body-l"/>
              <w:rPr>
                <w:rFonts w:cs="Times New Roman"/>
              </w:rPr>
            </w:pPr>
            <w:r>
              <w:rPr>
                <w:rFonts w:cs="Times New Roman"/>
              </w:rPr>
              <w:t>September 2013</w:t>
            </w:r>
          </w:p>
        </w:tc>
      </w:tr>
      <w:tr w:rsidR="006F421D" w14:paraId="2A383219"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7A36FA95" w14:textId="77777777" w:rsidR="006F421D" w:rsidRDefault="006F421D">
            <w:pPr>
              <w:pStyle w:val="financials03table-body-l"/>
              <w:rPr>
                <w:rFonts w:cs="Times New Roman"/>
              </w:rPr>
            </w:pPr>
            <w:r>
              <w:rPr>
                <w:rStyle w:val="2body-medium"/>
                <w:rFonts w:cs="Times New Roman"/>
              </w:rPr>
              <w:t>NSQHS Standards</w:t>
            </w:r>
          </w:p>
        </w:tc>
      </w:tr>
      <w:tr w:rsidR="006F421D" w14:paraId="38FAE602"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48E6A83F" w14:textId="77777777" w:rsidR="006F421D" w:rsidRDefault="006F421D">
            <w:pPr>
              <w:pStyle w:val="financials03table-body-l"/>
              <w:rPr>
                <w:rFonts w:cs="Times New Roman"/>
              </w:rPr>
            </w:pPr>
            <w:r>
              <w:rPr>
                <w:rFonts w:cs="Times New Roman"/>
              </w:rPr>
              <w:t>Survey of CRANA members on the implementation of the NSQHS Standards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3D15772" w14:textId="77777777" w:rsidR="006F421D" w:rsidRDefault="006F421D">
            <w:pPr>
              <w:pStyle w:val="financials03table-body-l"/>
              <w:rPr>
                <w:rFonts w:cs="Times New Roman"/>
              </w:rPr>
            </w:pPr>
            <w:r>
              <w:rPr>
                <w:rFonts w:cs="Times New Roman"/>
              </w:rPr>
              <w:t>Online survey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1149319" w14:textId="77777777" w:rsidR="006F421D" w:rsidRDefault="006F421D">
            <w:pPr>
              <w:pStyle w:val="financials03table-body-l"/>
              <w:rPr>
                <w:rFonts w:cs="Times New Roman"/>
              </w:rPr>
            </w:pPr>
            <w:r>
              <w:rPr>
                <w:rFonts w:cs="Times New Roman"/>
              </w:rPr>
              <w:t>25 survey responses from a range of rural and remote services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D5BE207" w14:textId="77777777" w:rsidR="006F421D" w:rsidRDefault="006F421D">
            <w:pPr>
              <w:pStyle w:val="financials03table-body-l"/>
              <w:rPr>
                <w:rFonts w:cs="Times New Roman"/>
              </w:rPr>
            </w:pPr>
            <w:r>
              <w:rPr>
                <w:rFonts w:cs="Times New Roman"/>
              </w:rPr>
              <w:t>May 2014</w:t>
            </w:r>
          </w:p>
        </w:tc>
      </w:tr>
      <w:tr w:rsidR="006F421D" w14:paraId="0A0348BE"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C56AECD" w14:textId="77777777" w:rsidR="006F421D" w:rsidRDefault="006F421D">
            <w:pPr>
              <w:pStyle w:val="financials03table-body-l"/>
              <w:rPr>
                <w:rFonts w:cs="Times New Roman"/>
              </w:rPr>
            </w:pPr>
            <w:r>
              <w:rPr>
                <w:rFonts w:cs="Times New Roman"/>
              </w:rPr>
              <w:t>Survey of the medical colleges on post graduate and continuing professional development training relevant to the NSQHS Standards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47C9A4E" w14:textId="77777777" w:rsidR="006F421D" w:rsidRDefault="006F421D">
            <w:pPr>
              <w:pStyle w:val="financials03table-body-l"/>
              <w:rPr>
                <w:rFonts w:cs="Times New Roman"/>
              </w:rPr>
            </w:pPr>
            <w:r>
              <w:rPr>
                <w:rFonts w:cs="Times New Roman"/>
              </w:rPr>
              <w:t xml:space="preserve">Online survey and review of </w:t>
            </w:r>
            <w:proofErr w:type="spellStart"/>
            <w:r>
              <w:rPr>
                <w:rFonts w:cs="Times New Roman"/>
              </w:rPr>
              <w:t>curriculm</w:t>
            </w:r>
            <w:proofErr w:type="spellEnd"/>
            <w:r>
              <w:rPr>
                <w:rFonts w:cs="Times New Roman"/>
              </w:rPr>
              <w:t xml:space="preserve"> documents provided</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B388623" w14:textId="77777777" w:rsidR="006F421D" w:rsidRDefault="006F421D">
            <w:pPr>
              <w:pStyle w:val="financials03table-body-l"/>
              <w:rPr>
                <w:rFonts w:cs="Times New Roman"/>
              </w:rPr>
            </w:pPr>
            <w:r>
              <w:rPr>
                <w:rFonts w:cs="Times New Roman"/>
              </w:rPr>
              <w:t>14 of the 15 colleges represented on the Committee of Presidents of Medical Colleges participated in the survey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727EEAD1" w14:textId="77777777" w:rsidR="006F421D" w:rsidRDefault="006F421D">
            <w:pPr>
              <w:pStyle w:val="financials03table-body-l"/>
              <w:rPr>
                <w:rFonts w:cs="Times New Roman"/>
              </w:rPr>
            </w:pPr>
            <w:r>
              <w:rPr>
                <w:rFonts w:cs="Times New Roman"/>
              </w:rPr>
              <w:t>June 2014</w:t>
            </w:r>
          </w:p>
        </w:tc>
      </w:tr>
      <w:tr w:rsidR="006F421D" w14:paraId="1760F847" w14:textId="77777777" w:rsidTr="006F421D">
        <w:trPr>
          <w:divId w:val="801848956"/>
        </w:trPr>
        <w:tc>
          <w:tcPr>
            <w:tcW w:w="0" w:type="auto"/>
            <w:gridSpan w:val="4"/>
            <w:tcBorders>
              <w:top w:val="dotted" w:sz="8" w:space="0" w:color="005C7E"/>
              <w:bottom w:val="dotted" w:sz="8" w:space="0" w:color="005C7E"/>
            </w:tcBorders>
            <w:shd w:val="clear" w:color="auto" w:fill="82A9BA"/>
            <w:vAlign w:val="center"/>
            <w:hideMark/>
          </w:tcPr>
          <w:p w14:paraId="3B0A5B65" w14:textId="77777777" w:rsidR="006F421D" w:rsidRDefault="006F421D">
            <w:pPr>
              <w:pStyle w:val="financials03table-body-l"/>
              <w:rPr>
                <w:rFonts w:cs="Times New Roman"/>
              </w:rPr>
            </w:pPr>
            <w:r>
              <w:rPr>
                <w:rStyle w:val="2body-medium"/>
                <w:rFonts w:cs="Times New Roman"/>
              </w:rPr>
              <w:t>Healthcare variation</w:t>
            </w:r>
          </w:p>
        </w:tc>
      </w:tr>
      <w:tr w:rsidR="006F421D" w14:paraId="767256F4" w14:textId="77777777" w:rsidTr="006F421D">
        <w:trPr>
          <w:divId w:val="80184895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E217350" w14:textId="77777777" w:rsidR="006F421D" w:rsidRDefault="006F421D">
            <w:pPr>
              <w:pStyle w:val="financials03table-body-l"/>
              <w:rPr>
                <w:rFonts w:cs="Times New Roman"/>
              </w:rPr>
            </w:pPr>
            <w:r>
              <w:rPr>
                <w:rFonts w:cs="Times New Roman"/>
              </w:rPr>
              <w:t>Exploring Healthcare Variation in Australia: Analyses Resulting from an OECD Study</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451B4C1" w14:textId="77777777" w:rsidR="006F421D" w:rsidRDefault="006F421D">
            <w:pPr>
              <w:pStyle w:val="financials03table-body-l"/>
              <w:rPr>
                <w:rFonts w:cs="Times New Roman"/>
              </w:rPr>
            </w:pPr>
            <w:r>
              <w:rPr>
                <w:rFonts w:cs="Times New Roman"/>
              </w:rPr>
              <w:t>Request for written submissions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2D903126" w14:textId="77777777" w:rsidR="006F421D" w:rsidRDefault="006F421D">
            <w:pPr>
              <w:pStyle w:val="financials03table-body-l"/>
              <w:rPr>
                <w:rFonts w:cs="Times New Roman"/>
              </w:rPr>
            </w:pPr>
            <w:r>
              <w:rPr>
                <w:rFonts w:cs="Times New Roman"/>
              </w:rPr>
              <w:t>To be complied upon completion</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0FBA3AE7" w14:textId="77777777" w:rsidR="006F421D" w:rsidRDefault="006F421D">
            <w:pPr>
              <w:pStyle w:val="financials03table-body-l"/>
              <w:rPr>
                <w:rFonts w:cs="Times New Roman"/>
              </w:rPr>
            </w:pPr>
            <w:r>
              <w:rPr>
                <w:rFonts w:cs="Times New Roman"/>
              </w:rPr>
              <w:t>May 2014, continuing to August 2014</w:t>
            </w:r>
          </w:p>
        </w:tc>
      </w:tr>
    </w:tbl>
    <w:p w14:paraId="1B7EC0D5" w14:textId="77777777" w:rsidR="006F421D" w:rsidRDefault="006F421D" w:rsidP="006F421D">
      <w:pPr>
        <w:pStyle w:val="2body-copy"/>
        <w:divId w:val="1233584718"/>
        <w:rPr>
          <w:lang w:val="en-GB"/>
        </w:rPr>
      </w:pPr>
    </w:p>
    <w:p w14:paraId="68B87E53" w14:textId="77777777" w:rsidR="006F421D" w:rsidRDefault="006F421D">
      <w:pPr>
        <w:spacing w:after="0"/>
        <w:rPr>
          <w:rFonts w:cs="Times New Roman"/>
          <w:b/>
          <w:bCs/>
          <w:color w:val="5F605F"/>
          <w:sz w:val="30"/>
          <w:szCs w:val="30"/>
          <w:lang w:val="en-GB"/>
        </w:rPr>
      </w:pPr>
      <w:r>
        <w:rPr>
          <w:rFonts w:cs="Times New Roman"/>
          <w:lang w:val="en-GB"/>
        </w:rPr>
        <w:br w:type="page"/>
      </w:r>
    </w:p>
    <w:p w14:paraId="08D312EB" w14:textId="1E65F1EA" w:rsidR="006F421D" w:rsidRDefault="006F421D" w:rsidP="00093444">
      <w:pPr>
        <w:pStyle w:val="Heading2"/>
        <w:divId w:val="1233584718"/>
        <w:rPr>
          <w:lang w:val="en-GB"/>
        </w:rPr>
      </w:pPr>
      <w:bookmarkStart w:id="56" w:name="_Toc414011914"/>
      <w:r>
        <w:rPr>
          <w:lang w:val="en-GB"/>
        </w:rPr>
        <w:lastRenderedPageBreak/>
        <w:t>Appendix G</w:t>
      </w:r>
      <w:bookmarkEnd w:id="56"/>
      <w:r w:rsidR="00093444">
        <w:rPr>
          <w:lang w:val="en-GB"/>
        </w:rPr>
        <w:t>: Freedom of Information summary</w:t>
      </w:r>
    </w:p>
    <w:p w14:paraId="24896FE7" w14:textId="3AB72848" w:rsidR="006F421D" w:rsidRDefault="006F421D">
      <w:pPr>
        <w:pStyle w:val="financials01heading-level-2"/>
        <w:divId w:val="1233584718"/>
        <w:rPr>
          <w:rFonts w:cs="Times New Roman"/>
          <w:lang w:val="en-GB"/>
        </w:rPr>
      </w:pPr>
    </w:p>
    <w:p w14:paraId="4796C30A" w14:textId="77777777" w:rsidR="006F421D" w:rsidRDefault="006F421D">
      <w:pPr>
        <w:pStyle w:val="2body-copy"/>
        <w:divId w:val="1233584718"/>
        <w:rPr>
          <w:rFonts w:cs="Times New Roman"/>
          <w:lang w:val="en-GB"/>
        </w:rPr>
      </w:pPr>
      <w:r>
        <w:rPr>
          <w:rFonts w:cs="Times New Roman"/>
          <w:lang w:val="en-GB"/>
        </w:rPr>
        <w:t>The following table summarises the year’s Freedom of Information (FOI) requests and their outcomes, as discussed on page 74.</w:t>
      </w:r>
    </w:p>
    <w:p w14:paraId="7DC53377" w14:textId="77777777" w:rsidR="006F421D" w:rsidRDefault="006F421D" w:rsidP="006F421D">
      <w:pPr>
        <w:pStyle w:val="3-figure"/>
        <w:divId w:val="1233584718"/>
        <w:rPr>
          <w:rFonts w:cs="Times New Roman"/>
          <w:lang w:val="en-GB"/>
        </w:rPr>
      </w:pPr>
      <w:r>
        <w:rPr>
          <w:rStyle w:val="2body-medium"/>
          <w:rFonts w:cs="Times New Roman"/>
          <w:lang w:val="en-GB"/>
        </w:rPr>
        <w:t>Table 9: Freedom of Information summary 2013/14</w:t>
      </w:r>
      <w:r>
        <w:rPr>
          <w:rStyle w:val="2body-medium"/>
          <w:rFonts w:cs="Times New Roman"/>
          <w:lang w:val="en-GB"/>
        </w:rPr>
        <w:tab/>
      </w:r>
    </w:p>
    <w:tbl>
      <w:tblPr>
        <w:tblW w:w="10251" w:type="dxa"/>
        <w:tblLayout w:type="fixed"/>
        <w:tblCellMar>
          <w:top w:w="28" w:type="dxa"/>
          <w:left w:w="57" w:type="dxa"/>
          <w:bottom w:w="28" w:type="dxa"/>
          <w:right w:w="57" w:type="dxa"/>
        </w:tblCellMar>
        <w:tblLook w:val="04A0" w:firstRow="1" w:lastRow="0" w:firstColumn="1" w:lastColumn="0" w:noHBand="0" w:noVBand="1"/>
      </w:tblPr>
      <w:tblGrid>
        <w:gridCol w:w="8562"/>
        <w:gridCol w:w="18"/>
        <w:gridCol w:w="1671"/>
      </w:tblGrid>
      <w:tr w:rsidR="006F421D" w14:paraId="7C92FDD0" w14:textId="77777777" w:rsidTr="006F421D">
        <w:trPr>
          <w:divId w:val="1233584718"/>
        </w:trPr>
        <w:tc>
          <w:tcPr>
            <w:tcW w:w="8580" w:type="dxa"/>
            <w:gridSpan w:val="2"/>
            <w:tcBorders>
              <w:bottom w:val="dotted" w:sz="8" w:space="0" w:color="005C7E"/>
            </w:tcBorders>
            <w:shd w:val="clear" w:color="auto" w:fill="005C7E"/>
            <w:vAlign w:val="center"/>
            <w:hideMark/>
          </w:tcPr>
          <w:p w14:paraId="11545E76" w14:textId="77777777" w:rsidR="006F421D" w:rsidRDefault="006F421D" w:rsidP="006F421D">
            <w:pPr>
              <w:pStyle w:val="financials03table-header-l"/>
            </w:pPr>
            <w:r>
              <w:t>Activity</w:t>
            </w:r>
          </w:p>
        </w:tc>
        <w:tc>
          <w:tcPr>
            <w:tcW w:w="1671" w:type="dxa"/>
            <w:tcBorders>
              <w:bottom w:val="dotted" w:sz="8" w:space="0" w:color="005C7E"/>
            </w:tcBorders>
            <w:shd w:val="clear" w:color="auto" w:fill="005C7E"/>
            <w:vAlign w:val="center"/>
            <w:hideMark/>
          </w:tcPr>
          <w:p w14:paraId="6CB87CA7" w14:textId="77777777" w:rsidR="006F421D" w:rsidRDefault="006F421D" w:rsidP="006F421D">
            <w:pPr>
              <w:pStyle w:val="financials03table-header-l"/>
              <w:jc w:val="right"/>
            </w:pPr>
            <w:r>
              <w:t>Number</w:t>
            </w:r>
          </w:p>
        </w:tc>
      </w:tr>
      <w:tr w:rsidR="006F421D" w14:paraId="6B637CA1"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2E200B2D" w14:textId="77777777" w:rsidR="006F421D" w:rsidRDefault="006F421D" w:rsidP="006F421D">
            <w:pPr>
              <w:pStyle w:val="financials03table-body-l"/>
              <w:spacing w:before="40" w:after="40"/>
              <w:rPr>
                <w:rFonts w:cs="Times New Roman"/>
              </w:rPr>
            </w:pPr>
            <w:r>
              <w:rPr>
                <w:rStyle w:val="2body-medium"/>
                <w:rFonts w:cs="Times New Roman"/>
              </w:rPr>
              <w:t>Requests</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1E598582" w14:textId="77777777" w:rsidR="006F421D" w:rsidRDefault="006F421D" w:rsidP="006F421D">
            <w:pPr>
              <w:spacing w:before="40" w:after="40"/>
              <w:jc w:val="right"/>
              <w:rPr>
                <w:rFonts w:ascii="Times" w:eastAsia="Times New Roman" w:hAnsi="Times" w:cs="Times New Roman"/>
              </w:rPr>
            </w:pPr>
          </w:p>
        </w:tc>
      </w:tr>
      <w:tr w:rsidR="006F421D" w14:paraId="550961AC"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62B1135D" w14:textId="77777777" w:rsidR="006F421D" w:rsidRDefault="006F421D" w:rsidP="006F421D">
            <w:pPr>
              <w:pStyle w:val="financials03table-body-l"/>
              <w:spacing w:before="40" w:after="40"/>
              <w:rPr>
                <w:rFonts w:cs="Times New Roman"/>
              </w:rPr>
            </w:pPr>
            <w:r>
              <w:rPr>
                <w:rFonts w:cs="Times New Roman"/>
              </w:rPr>
              <w:t xml:space="preserve">On hand at 1 July 2013 </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E40BFC3"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191ED1DD"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63F4E869" w14:textId="77777777" w:rsidR="006F421D" w:rsidRDefault="006F421D" w:rsidP="006F421D">
            <w:pPr>
              <w:pStyle w:val="financials03table-body-l"/>
              <w:spacing w:before="40" w:after="40"/>
              <w:rPr>
                <w:rFonts w:cs="Times New Roman"/>
              </w:rPr>
            </w:pPr>
            <w:r>
              <w:rPr>
                <w:rFonts w:cs="Times New Roman"/>
              </w:rPr>
              <w:t>New requests received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4584F7AF" w14:textId="77777777" w:rsidR="006F421D" w:rsidRDefault="006F421D" w:rsidP="006F421D">
            <w:pPr>
              <w:pStyle w:val="financials03table-body-r"/>
              <w:spacing w:before="40" w:beforeAutospacing="0" w:after="40" w:afterAutospacing="0"/>
              <w:jc w:val="right"/>
              <w:rPr>
                <w:rFonts w:cs="Times New Roman"/>
              </w:rPr>
            </w:pPr>
            <w:r>
              <w:rPr>
                <w:rFonts w:cs="Times New Roman"/>
              </w:rPr>
              <w:t>2</w:t>
            </w:r>
          </w:p>
        </w:tc>
      </w:tr>
      <w:tr w:rsidR="006F421D" w14:paraId="161E7D00"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4E65C43B" w14:textId="77777777" w:rsidR="006F421D" w:rsidRDefault="006F421D" w:rsidP="006F421D">
            <w:pPr>
              <w:pStyle w:val="financials03table-body-l"/>
              <w:spacing w:before="40" w:after="40"/>
              <w:rPr>
                <w:rFonts w:cs="Times New Roman"/>
              </w:rPr>
            </w:pPr>
            <w:r>
              <w:rPr>
                <w:rFonts w:cs="Times New Roman"/>
              </w:rPr>
              <w:t>Total requests handled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125E712" w14:textId="77777777" w:rsidR="006F421D" w:rsidRDefault="006F421D" w:rsidP="006F421D">
            <w:pPr>
              <w:pStyle w:val="financials03table-body-r"/>
              <w:spacing w:before="40" w:beforeAutospacing="0" w:after="40" w:afterAutospacing="0"/>
              <w:jc w:val="right"/>
              <w:rPr>
                <w:rFonts w:cs="Times New Roman"/>
              </w:rPr>
            </w:pPr>
            <w:r>
              <w:rPr>
                <w:rFonts w:cs="Times New Roman"/>
              </w:rPr>
              <w:t>2</w:t>
            </w:r>
          </w:p>
        </w:tc>
      </w:tr>
      <w:tr w:rsidR="006F421D" w14:paraId="7A57D7B3"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2AAE2C36" w14:textId="77777777" w:rsidR="006F421D" w:rsidRDefault="006F421D" w:rsidP="006F421D">
            <w:pPr>
              <w:pStyle w:val="financials03table-body-l"/>
              <w:spacing w:before="40" w:after="40"/>
              <w:rPr>
                <w:rFonts w:cs="Times New Roman"/>
              </w:rPr>
            </w:pPr>
            <w:r>
              <w:rPr>
                <w:rFonts w:cs="Times New Roman"/>
              </w:rPr>
              <w:t>Total requests completed as at 30 June 2014</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76E2EAD5" w14:textId="77777777" w:rsidR="006F421D" w:rsidRDefault="006F421D" w:rsidP="006F421D">
            <w:pPr>
              <w:pStyle w:val="financials03table-body-r"/>
              <w:spacing w:before="40" w:beforeAutospacing="0" w:after="40" w:afterAutospacing="0"/>
              <w:jc w:val="right"/>
              <w:rPr>
                <w:rFonts w:cs="Times New Roman"/>
              </w:rPr>
            </w:pPr>
            <w:r>
              <w:rPr>
                <w:rFonts w:cs="Times New Roman"/>
              </w:rPr>
              <w:t>2</w:t>
            </w:r>
          </w:p>
        </w:tc>
      </w:tr>
      <w:tr w:rsidR="006F421D" w14:paraId="648E1610"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16FAE4A4" w14:textId="77777777" w:rsidR="006F421D" w:rsidRDefault="006F421D" w:rsidP="006F421D">
            <w:pPr>
              <w:spacing w:after="0"/>
              <w:rPr>
                <w:rFonts w:ascii="Times" w:eastAsia="Times New Roman" w:hAnsi="Times" w:cs="Times New Roman"/>
              </w:rPr>
            </w:pP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2222FBC" w14:textId="77777777" w:rsidR="006F421D" w:rsidRDefault="006F421D" w:rsidP="006F421D">
            <w:pPr>
              <w:spacing w:after="0"/>
              <w:jc w:val="right"/>
              <w:rPr>
                <w:rFonts w:ascii="Times" w:eastAsia="Times New Roman" w:hAnsi="Times" w:cs="Times New Roman"/>
              </w:rPr>
            </w:pPr>
          </w:p>
        </w:tc>
      </w:tr>
      <w:tr w:rsidR="006F421D" w14:paraId="253738F9"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39F14AB1" w14:textId="77777777" w:rsidR="006F421D" w:rsidRDefault="006F421D" w:rsidP="006F421D">
            <w:pPr>
              <w:pStyle w:val="financials03table-body-l"/>
              <w:spacing w:before="40" w:after="40"/>
              <w:rPr>
                <w:rFonts w:cs="Times New Roman"/>
              </w:rPr>
            </w:pPr>
            <w:r>
              <w:rPr>
                <w:rStyle w:val="2body-medium"/>
                <w:rFonts w:cs="Times New Roman"/>
              </w:rPr>
              <w:t>Action of request</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78CB2AD5" w14:textId="77777777" w:rsidR="006F421D" w:rsidRDefault="006F421D" w:rsidP="006F421D">
            <w:pPr>
              <w:spacing w:before="40" w:after="40"/>
              <w:jc w:val="right"/>
              <w:rPr>
                <w:rFonts w:ascii="Times" w:eastAsia="Times New Roman" w:hAnsi="Times" w:cs="Times New Roman"/>
              </w:rPr>
            </w:pPr>
          </w:p>
        </w:tc>
      </w:tr>
      <w:tr w:rsidR="006F421D" w14:paraId="1D429039"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52916B38" w14:textId="77777777" w:rsidR="006F421D" w:rsidRDefault="006F421D" w:rsidP="006F421D">
            <w:pPr>
              <w:pStyle w:val="financials03table-body-l"/>
              <w:spacing w:before="40" w:after="40"/>
              <w:rPr>
                <w:rFonts w:cs="Times New Roman"/>
              </w:rPr>
            </w:pPr>
            <w:r>
              <w:rPr>
                <w:rFonts w:cs="Times New Roman"/>
              </w:rPr>
              <w:t>Access granted in full</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2FCB171D" w14:textId="77777777" w:rsidR="006F421D" w:rsidRDefault="006F421D" w:rsidP="006F421D">
            <w:pPr>
              <w:pStyle w:val="financials03table-body-r"/>
              <w:spacing w:before="40" w:beforeAutospacing="0" w:after="40" w:afterAutospacing="0"/>
              <w:jc w:val="right"/>
              <w:rPr>
                <w:rFonts w:cs="Times New Roman"/>
              </w:rPr>
            </w:pPr>
            <w:r>
              <w:rPr>
                <w:rFonts w:cs="Times New Roman"/>
              </w:rPr>
              <w:t>1</w:t>
            </w:r>
          </w:p>
        </w:tc>
      </w:tr>
      <w:tr w:rsidR="006F421D" w14:paraId="6A60E62E"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1DA3A8A3" w14:textId="77777777" w:rsidR="006F421D" w:rsidRDefault="006F421D" w:rsidP="006F421D">
            <w:pPr>
              <w:pStyle w:val="financials03table-body-l"/>
              <w:spacing w:before="40" w:after="40"/>
              <w:rPr>
                <w:rFonts w:cs="Times New Roman"/>
              </w:rPr>
            </w:pPr>
            <w:r>
              <w:rPr>
                <w:rFonts w:cs="Times New Roman"/>
              </w:rPr>
              <w:t>Access granted in part</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2A892518"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52255C7D"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226B5219" w14:textId="77777777" w:rsidR="006F421D" w:rsidRDefault="006F421D" w:rsidP="006F421D">
            <w:pPr>
              <w:pStyle w:val="financials03table-body-l"/>
              <w:spacing w:before="40" w:after="40"/>
              <w:rPr>
                <w:rFonts w:cs="Times New Roman"/>
              </w:rPr>
            </w:pPr>
            <w:r>
              <w:rPr>
                <w:rFonts w:cs="Times New Roman"/>
              </w:rPr>
              <w:t>Access refused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0A394554"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494EB6B1"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7E5A115B" w14:textId="77777777" w:rsidR="006F421D" w:rsidRDefault="006F421D" w:rsidP="006F421D">
            <w:pPr>
              <w:pStyle w:val="financials03table-body-l"/>
              <w:spacing w:before="40" w:after="40"/>
              <w:rPr>
                <w:rFonts w:cs="Times New Roman"/>
              </w:rPr>
            </w:pPr>
            <w:r>
              <w:rPr>
                <w:rFonts w:cs="Times New Roman"/>
              </w:rPr>
              <w:t>Access transferred in full</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6058CA1D"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5A489E6A"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6BC37D50" w14:textId="77777777" w:rsidR="006F421D" w:rsidRDefault="006F421D" w:rsidP="006F421D">
            <w:pPr>
              <w:pStyle w:val="financials03table-body-l"/>
              <w:spacing w:before="40" w:after="40"/>
              <w:rPr>
                <w:rFonts w:cs="Times New Roman"/>
              </w:rPr>
            </w:pPr>
            <w:r>
              <w:rPr>
                <w:rFonts w:cs="Times New Roman"/>
              </w:rPr>
              <w:t>Request withdrawn</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45AB5E2C"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79599C90"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2EF23FF2" w14:textId="77777777" w:rsidR="006F421D" w:rsidRDefault="006F421D" w:rsidP="006F421D">
            <w:pPr>
              <w:pStyle w:val="financials03table-body-l"/>
              <w:spacing w:before="40" w:after="40"/>
              <w:rPr>
                <w:rFonts w:cs="Times New Roman"/>
              </w:rPr>
            </w:pPr>
            <w:r>
              <w:rPr>
                <w:rFonts w:cs="Times New Roman"/>
              </w:rPr>
              <w:t>No records</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1E8BEEEC" w14:textId="77777777" w:rsidR="006F421D" w:rsidRDefault="006F421D" w:rsidP="006F421D">
            <w:pPr>
              <w:pStyle w:val="financials03table-body-r"/>
              <w:spacing w:before="40" w:beforeAutospacing="0" w:after="40" w:afterAutospacing="0"/>
              <w:jc w:val="right"/>
              <w:rPr>
                <w:rFonts w:cs="Times New Roman"/>
              </w:rPr>
            </w:pPr>
            <w:r>
              <w:rPr>
                <w:rFonts w:cs="Times New Roman"/>
              </w:rPr>
              <w:t>1</w:t>
            </w:r>
          </w:p>
        </w:tc>
      </w:tr>
      <w:tr w:rsidR="006F421D" w14:paraId="4C093963"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7DD82F6D" w14:textId="77777777" w:rsidR="006F421D" w:rsidRDefault="006F421D" w:rsidP="006F421D">
            <w:pPr>
              <w:spacing w:before="40" w:after="40"/>
              <w:rPr>
                <w:rFonts w:ascii="Times" w:eastAsia="Times New Roman" w:hAnsi="Times" w:cs="Times New Roman"/>
              </w:rPr>
            </w:pP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69A0772F" w14:textId="77777777" w:rsidR="006F421D" w:rsidRDefault="006F421D" w:rsidP="006F421D">
            <w:pPr>
              <w:spacing w:before="40" w:after="40"/>
              <w:jc w:val="right"/>
              <w:rPr>
                <w:rFonts w:ascii="Times" w:eastAsia="Times New Roman" w:hAnsi="Times" w:cs="Times New Roman"/>
              </w:rPr>
            </w:pPr>
          </w:p>
        </w:tc>
      </w:tr>
      <w:tr w:rsidR="006F421D" w14:paraId="1A82301D"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18EB79B6" w14:textId="77777777" w:rsidR="006F421D" w:rsidRDefault="006F421D" w:rsidP="006F421D">
            <w:pPr>
              <w:pStyle w:val="financials03table-body-l"/>
              <w:spacing w:before="40" w:after="40"/>
              <w:rPr>
                <w:rFonts w:cs="Times New Roman"/>
              </w:rPr>
            </w:pPr>
            <w:r>
              <w:rPr>
                <w:rStyle w:val="2body-medium"/>
                <w:rFonts w:cs="Times New Roman"/>
              </w:rPr>
              <w:t>Response times</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1CA9006E" w14:textId="77777777" w:rsidR="006F421D" w:rsidRDefault="006F421D" w:rsidP="006F421D">
            <w:pPr>
              <w:spacing w:before="40" w:after="40"/>
              <w:jc w:val="right"/>
              <w:rPr>
                <w:rFonts w:ascii="Times" w:eastAsia="Times New Roman" w:hAnsi="Times" w:cs="Times New Roman"/>
              </w:rPr>
            </w:pPr>
          </w:p>
        </w:tc>
      </w:tr>
      <w:tr w:rsidR="006F421D" w14:paraId="06C67A9E"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0F7C8C33" w14:textId="77777777" w:rsidR="006F421D" w:rsidRDefault="006F421D" w:rsidP="006F421D">
            <w:pPr>
              <w:pStyle w:val="financials03table-body-l"/>
              <w:spacing w:before="40" w:after="40"/>
              <w:rPr>
                <w:rFonts w:cs="Times New Roman"/>
              </w:rPr>
            </w:pPr>
            <w:r>
              <w:rPr>
                <w:rFonts w:cs="Times New Roman"/>
              </w:rPr>
              <w:t>0–30 days</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81B34D4" w14:textId="77777777" w:rsidR="006F421D" w:rsidRDefault="006F421D" w:rsidP="006F421D">
            <w:pPr>
              <w:pStyle w:val="financials03table-body-r"/>
              <w:spacing w:before="40" w:beforeAutospacing="0" w:after="40" w:afterAutospacing="0"/>
              <w:jc w:val="right"/>
              <w:rPr>
                <w:rFonts w:cs="Times New Roman"/>
              </w:rPr>
            </w:pPr>
            <w:r>
              <w:rPr>
                <w:rFonts w:cs="Times New Roman"/>
              </w:rPr>
              <w:t>1</w:t>
            </w:r>
          </w:p>
        </w:tc>
      </w:tr>
      <w:tr w:rsidR="006F421D" w14:paraId="41FF6B93"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075AAB76" w14:textId="77777777" w:rsidR="006F421D" w:rsidRDefault="006F421D" w:rsidP="006F421D">
            <w:pPr>
              <w:pStyle w:val="financials03table-body-l"/>
              <w:spacing w:before="40" w:after="40"/>
              <w:rPr>
                <w:rFonts w:cs="Times New Roman"/>
              </w:rPr>
            </w:pPr>
            <w:r>
              <w:rPr>
                <w:rFonts w:cs="Times New Roman"/>
              </w:rPr>
              <w:t>30–60 days</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C7079DA" w14:textId="77777777" w:rsidR="006F421D" w:rsidRDefault="006F421D" w:rsidP="006F421D">
            <w:pPr>
              <w:pStyle w:val="financials03table-body-r"/>
              <w:spacing w:before="40" w:beforeAutospacing="0" w:after="40" w:afterAutospacing="0"/>
              <w:jc w:val="right"/>
              <w:rPr>
                <w:rFonts w:cs="Times New Roman"/>
              </w:rPr>
            </w:pPr>
            <w:r>
              <w:rPr>
                <w:rFonts w:cs="Times New Roman"/>
              </w:rPr>
              <w:t>1</w:t>
            </w:r>
          </w:p>
        </w:tc>
      </w:tr>
      <w:tr w:rsidR="006F421D" w14:paraId="3C642EA4"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7ECEB5E6" w14:textId="77777777" w:rsidR="006F421D" w:rsidRDefault="006F421D" w:rsidP="006F421D">
            <w:pPr>
              <w:spacing w:before="40" w:after="40"/>
              <w:rPr>
                <w:rFonts w:ascii="Times" w:eastAsia="Times New Roman" w:hAnsi="Times" w:cs="Times New Roman"/>
              </w:rPr>
            </w:pP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5B252E0A" w14:textId="77777777" w:rsidR="006F421D" w:rsidRDefault="006F421D" w:rsidP="006F421D">
            <w:pPr>
              <w:spacing w:before="40" w:after="40"/>
              <w:jc w:val="right"/>
              <w:rPr>
                <w:rFonts w:ascii="Times" w:eastAsia="Times New Roman" w:hAnsi="Times" w:cs="Times New Roman"/>
              </w:rPr>
            </w:pPr>
          </w:p>
        </w:tc>
      </w:tr>
      <w:tr w:rsidR="006F421D" w14:paraId="78F56550"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6A5E30D4" w14:textId="77777777" w:rsidR="006F421D" w:rsidRDefault="006F421D" w:rsidP="006F421D">
            <w:pPr>
              <w:pStyle w:val="financials03table-body-l"/>
              <w:spacing w:before="40" w:after="40"/>
              <w:rPr>
                <w:rFonts w:cs="Times New Roman"/>
              </w:rPr>
            </w:pPr>
            <w:r>
              <w:rPr>
                <w:rStyle w:val="2body-medium"/>
                <w:rFonts w:cs="Times New Roman"/>
              </w:rPr>
              <w:t>Internal review</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A841A65" w14:textId="77777777" w:rsidR="006F421D" w:rsidRDefault="006F421D" w:rsidP="006F421D">
            <w:pPr>
              <w:spacing w:before="40" w:after="40"/>
              <w:jc w:val="right"/>
              <w:rPr>
                <w:rFonts w:ascii="Times" w:eastAsia="Times New Roman" w:hAnsi="Times" w:cs="Times New Roman"/>
              </w:rPr>
            </w:pPr>
          </w:p>
        </w:tc>
      </w:tr>
      <w:tr w:rsidR="006F421D" w14:paraId="55C2FB43"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793C98FB" w14:textId="77777777" w:rsidR="006F421D" w:rsidRDefault="006F421D" w:rsidP="006F421D">
            <w:pPr>
              <w:pStyle w:val="financials03table-body-l"/>
              <w:spacing w:before="40" w:after="40"/>
              <w:rPr>
                <w:rFonts w:cs="Times New Roman"/>
              </w:rPr>
            </w:pPr>
            <w:r>
              <w:rPr>
                <w:rFonts w:cs="Times New Roman"/>
              </w:rPr>
              <w:t>On hand as at 1 July 2013</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24C5DD2E"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1936281A"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342E131B" w14:textId="77777777" w:rsidR="006F421D" w:rsidRDefault="006F421D" w:rsidP="006F421D">
            <w:pPr>
              <w:pStyle w:val="financials03table-body-l"/>
              <w:spacing w:before="40" w:after="40"/>
              <w:rPr>
                <w:rFonts w:cs="Times New Roman"/>
              </w:rPr>
            </w:pPr>
            <w:r>
              <w:rPr>
                <w:rFonts w:cs="Times New Roman"/>
              </w:rPr>
              <w:t>Requests received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669FBD83"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70F73BAE"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4DAD3B4C" w14:textId="77777777" w:rsidR="006F421D" w:rsidRDefault="006F421D" w:rsidP="006F421D">
            <w:pPr>
              <w:pStyle w:val="financials03table-body-l"/>
              <w:spacing w:before="40" w:after="40"/>
              <w:rPr>
                <w:rFonts w:cs="Times New Roman"/>
              </w:rPr>
            </w:pPr>
            <w:r>
              <w:rPr>
                <w:rFonts w:cs="Times New Roman"/>
              </w:rPr>
              <w:t>Decision affirmed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09C8A1E3"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43D4BE8E"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57B98795" w14:textId="77777777" w:rsidR="006F421D" w:rsidRDefault="006F421D" w:rsidP="006F421D">
            <w:pPr>
              <w:pStyle w:val="financials03table-body-l"/>
              <w:spacing w:before="40" w:after="40"/>
              <w:rPr>
                <w:rFonts w:cs="Times New Roman"/>
              </w:rPr>
            </w:pPr>
            <w:r>
              <w:rPr>
                <w:rFonts w:cs="Times New Roman"/>
              </w:rPr>
              <w:t>Decision amended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03934543"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617B91AE"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539F35A9" w14:textId="77777777" w:rsidR="006F421D" w:rsidRDefault="006F421D" w:rsidP="006F421D">
            <w:pPr>
              <w:pStyle w:val="financials03table-body-l"/>
              <w:spacing w:before="40" w:after="40"/>
              <w:rPr>
                <w:rFonts w:cs="Times New Roman"/>
              </w:rPr>
            </w:pPr>
            <w:r>
              <w:rPr>
                <w:rFonts w:cs="Times New Roman"/>
              </w:rPr>
              <w:t>Request withdrawn</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1DDA79B3"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5DA32923"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5C90AF41" w14:textId="77777777" w:rsidR="006F421D" w:rsidRDefault="006F421D" w:rsidP="006F421D">
            <w:pPr>
              <w:spacing w:after="0"/>
              <w:rPr>
                <w:rFonts w:ascii="Times" w:eastAsia="Times New Roman" w:hAnsi="Times" w:cs="Times New Roman"/>
              </w:rPr>
            </w:pP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5A031CC" w14:textId="77777777" w:rsidR="006F421D" w:rsidRDefault="006F421D" w:rsidP="006F421D">
            <w:pPr>
              <w:spacing w:after="0"/>
              <w:jc w:val="right"/>
              <w:rPr>
                <w:rFonts w:ascii="Times" w:eastAsia="Times New Roman" w:hAnsi="Times" w:cs="Times New Roman"/>
              </w:rPr>
            </w:pPr>
          </w:p>
        </w:tc>
      </w:tr>
      <w:tr w:rsidR="006F421D" w14:paraId="4B3E1590"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576E0F3C" w14:textId="77777777" w:rsidR="006F421D" w:rsidRDefault="006F421D" w:rsidP="006F421D">
            <w:pPr>
              <w:pStyle w:val="financials03table-body-l"/>
              <w:spacing w:before="40" w:after="40"/>
              <w:rPr>
                <w:rFonts w:cs="Times New Roman"/>
              </w:rPr>
            </w:pPr>
            <w:r>
              <w:rPr>
                <w:rStyle w:val="2body-medium"/>
                <w:rFonts w:cs="Times New Roman"/>
              </w:rPr>
              <w:t>Review by Administrative Appeals Tribunal</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344B63BD" w14:textId="77777777" w:rsidR="006F421D" w:rsidRDefault="006F421D" w:rsidP="006F421D">
            <w:pPr>
              <w:spacing w:before="40" w:after="40"/>
              <w:jc w:val="right"/>
              <w:rPr>
                <w:rFonts w:ascii="Times" w:eastAsia="Times New Roman" w:hAnsi="Times" w:cs="Times New Roman"/>
              </w:rPr>
            </w:pPr>
          </w:p>
        </w:tc>
      </w:tr>
      <w:tr w:rsidR="006F421D" w14:paraId="372DA763"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27CE0F3A" w14:textId="77777777" w:rsidR="006F421D" w:rsidRDefault="006F421D" w:rsidP="006F421D">
            <w:pPr>
              <w:pStyle w:val="financials03table-body-l"/>
              <w:spacing w:before="40" w:after="40"/>
              <w:rPr>
                <w:rFonts w:cs="Times New Roman"/>
              </w:rPr>
            </w:pPr>
            <w:r>
              <w:rPr>
                <w:rFonts w:cs="Times New Roman"/>
              </w:rPr>
              <w:t>Applications received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272AFCB6"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6F421D" w14:paraId="0628E305"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6D7B4F90" w14:textId="77777777" w:rsidR="006F421D" w:rsidRDefault="006F421D" w:rsidP="006F421D">
            <w:pPr>
              <w:spacing w:before="40" w:after="40"/>
              <w:rPr>
                <w:rFonts w:ascii="Times" w:eastAsia="Times New Roman" w:hAnsi="Times" w:cs="Times New Roman"/>
              </w:rPr>
            </w:pP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2EA835E8" w14:textId="77777777" w:rsidR="006F421D" w:rsidRDefault="006F421D" w:rsidP="006F421D">
            <w:pPr>
              <w:spacing w:before="40" w:after="40"/>
              <w:jc w:val="right"/>
              <w:rPr>
                <w:rFonts w:ascii="Times" w:eastAsia="Times New Roman" w:hAnsi="Times" w:cs="Times New Roman"/>
              </w:rPr>
            </w:pPr>
          </w:p>
        </w:tc>
      </w:tr>
      <w:tr w:rsidR="006F421D" w14:paraId="695719BF"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6999F335" w14:textId="77777777" w:rsidR="006F421D" w:rsidRDefault="006F421D" w:rsidP="006F421D">
            <w:pPr>
              <w:pStyle w:val="financials03table-body-l"/>
              <w:spacing w:before="40" w:after="40"/>
              <w:rPr>
                <w:rFonts w:cs="Times New Roman"/>
              </w:rPr>
            </w:pPr>
            <w:r>
              <w:rPr>
                <w:rStyle w:val="2body-medium"/>
                <w:rFonts w:cs="Times New Roman"/>
              </w:rPr>
              <w:t>Review by the Officer of the Australian Information Commissioner</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52142187" w14:textId="77777777" w:rsidR="006F421D" w:rsidRDefault="006F421D" w:rsidP="006F421D">
            <w:pPr>
              <w:spacing w:before="40" w:after="40"/>
              <w:jc w:val="right"/>
              <w:rPr>
                <w:rFonts w:ascii="Times" w:eastAsia="Times New Roman" w:hAnsi="Times" w:cs="Times New Roman"/>
              </w:rPr>
            </w:pPr>
          </w:p>
        </w:tc>
      </w:tr>
      <w:tr w:rsidR="006F421D" w14:paraId="1A6C0A4F"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hideMark/>
          </w:tcPr>
          <w:p w14:paraId="4D83AF32" w14:textId="77777777" w:rsidR="006F421D" w:rsidRDefault="006F421D" w:rsidP="006F421D">
            <w:pPr>
              <w:pStyle w:val="financials03table-body-l"/>
              <w:spacing w:before="40" w:after="40"/>
              <w:rPr>
                <w:rFonts w:cs="Times New Roman"/>
              </w:rPr>
            </w:pPr>
            <w:r>
              <w:rPr>
                <w:rFonts w:cs="Times New Roman"/>
              </w:rPr>
              <w:t>Applications received</w:t>
            </w:r>
          </w:p>
        </w:tc>
        <w:tc>
          <w:tcPr>
            <w:tcW w:w="1689" w:type="dxa"/>
            <w:gridSpan w:val="2"/>
            <w:tcBorders>
              <w:top w:val="dotted" w:sz="8" w:space="0" w:color="005C7E"/>
              <w:left w:val="dotted" w:sz="8" w:space="0" w:color="005C7E"/>
              <w:bottom w:val="dotted" w:sz="8" w:space="0" w:color="005C7E"/>
              <w:right w:val="dotted" w:sz="8" w:space="0" w:color="005C7E"/>
            </w:tcBorders>
            <w:vAlign w:val="center"/>
            <w:hideMark/>
          </w:tcPr>
          <w:p w14:paraId="4FE4DFD7" w14:textId="77777777" w:rsidR="006F421D" w:rsidRDefault="006F421D" w:rsidP="006F421D">
            <w:pPr>
              <w:pStyle w:val="financials03table-body-r"/>
              <w:spacing w:before="40" w:beforeAutospacing="0" w:after="40" w:afterAutospacing="0"/>
              <w:jc w:val="right"/>
              <w:rPr>
                <w:rFonts w:cs="Times New Roman"/>
              </w:rPr>
            </w:pPr>
            <w:r>
              <w:rPr>
                <w:rFonts w:cs="Times New Roman"/>
              </w:rPr>
              <w:t>0</w:t>
            </w:r>
          </w:p>
        </w:tc>
      </w:tr>
      <w:tr w:rsidR="00B8609F" w14:paraId="6FD399CE" w14:textId="77777777" w:rsidTr="006F421D">
        <w:trPr>
          <w:divId w:val="1233584718"/>
        </w:trPr>
        <w:tc>
          <w:tcPr>
            <w:tcW w:w="8562" w:type="dxa"/>
            <w:tcBorders>
              <w:top w:val="dotted" w:sz="8" w:space="0" w:color="005C7E"/>
              <w:left w:val="dotted" w:sz="8" w:space="0" w:color="005C7E"/>
              <w:bottom w:val="dotted" w:sz="8" w:space="0" w:color="005C7E"/>
              <w:right w:val="dotted" w:sz="8" w:space="0" w:color="005C7E"/>
            </w:tcBorders>
            <w:vAlign w:val="center"/>
          </w:tcPr>
          <w:p w14:paraId="534D2BA2" w14:textId="77777777" w:rsidR="00B8609F" w:rsidRDefault="00B8609F" w:rsidP="006F421D">
            <w:pPr>
              <w:pStyle w:val="financials03table-body-l"/>
              <w:spacing w:before="40" w:after="40"/>
              <w:rPr>
                <w:rFonts w:cs="Times New Roman"/>
              </w:rPr>
            </w:pPr>
          </w:p>
        </w:tc>
        <w:tc>
          <w:tcPr>
            <w:tcW w:w="1689" w:type="dxa"/>
            <w:gridSpan w:val="2"/>
            <w:tcBorders>
              <w:top w:val="dotted" w:sz="8" w:space="0" w:color="005C7E"/>
              <w:left w:val="dotted" w:sz="8" w:space="0" w:color="005C7E"/>
              <w:bottom w:val="dotted" w:sz="8" w:space="0" w:color="005C7E"/>
              <w:right w:val="dotted" w:sz="8" w:space="0" w:color="005C7E"/>
            </w:tcBorders>
            <w:vAlign w:val="center"/>
          </w:tcPr>
          <w:p w14:paraId="528FC05D" w14:textId="77777777" w:rsidR="00B8609F" w:rsidRDefault="00B8609F" w:rsidP="006F421D">
            <w:pPr>
              <w:pStyle w:val="financials03table-body-r"/>
              <w:spacing w:before="40" w:beforeAutospacing="0" w:after="40" w:afterAutospacing="0"/>
              <w:jc w:val="right"/>
              <w:rPr>
                <w:rFonts w:cs="Times New Roman"/>
              </w:rPr>
            </w:pPr>
          </w:p>
        </w:tc>
      </w:tr>
    </w:tbl>
    <w:p w14:paraId="3DD42BF3" w14:textId="0A3047A8" w:rsidR="006F421D" w:rsidRDefault="006F421D" w:rsidP="00C83FFA">
      <w:pPr>
        <w:pStyle w:val="Heading2"/>
        <w:divId w:val="1537153696"/>
        <w:rPr>
          <w:lang w:val="en-GB"/>
        </w:rPr>
      </w:pPr>
      <w:r>
        <w:rPr>
          <w:lang w:val="en-GB"/>
        </w:rPr>
        <w:t>Appendix H</w:t>
      </w:r>
      <w:r w:rsidR="00C83FFA">
        <w:rPr>
          <w:lang w:val="en-GB"/>
        </w:rPr>
        <w:t xml:space="preserve">: </w:t>
      </w:r>
      <w:r w:rsidR="00C83FFA">
        <w:rPr>
          <w:rFonts w:cs="Times New Roman"/>
          <w:lang w:val="en-GB"/>
        </w:rPr>
        <w:t>Compliance to ecologically sustainable development</w:t>
      </w:r>
    </w:p>
    <w:p w14:paraId="0FA6EC69" w14:textId="50071E37" w:rsidR="006F421D" w:rsidRDefault="006F421D">
      <w:pPr>
        <w:pStyle w:val="financials01heading-level-2"/>
        <w:divId w:val="1537153696"/>
        <w:rPr>
          <w:rFonts w:cs="Times New Roman"/>
          <w:lang w:val="en-GB"/>
        </w:rPr>
      </w:pPr>
    </w:p>
    <w:p w14:paraId="11C83789" w14:textId="77777777" w:rsidR="006F421D" w:rsidRDefault="006F421D">
      <w:pPr>
        <w:pStyle w:val="2body-copy"/>
        <w:divId w:val="1537153696"/>
        <w:rPr>
          <w:rFonts w:cs="Times New Roman"/>
          <w:lang w:val="en-GB"/>
        </w:rPr>
      </w:pPr>
      <w:r>
        <w:rPr>
          <w:rFonts w:cs="Times New Roman"/>
          <w:lang w:val="en-GB"/>
        </w:rPr>
        <w:t xml:space="preserve">The Commission is committed to making a positive contribution to ecological sustainability. The following table details the Commission’s activities in accordance with section 156A(6) of the </w:t>
      </w:r>
      <w:r>
        <w:rPr>
          <w:rStyle w:val="2body-italic"/>
          <w:rFonts w:cs="Times New Roman"/>
          <w:lang w:val="en-GB"/>
        </w:rPr>
        <w:t xml:space="preserve">Environment Protection and Biodiversity Conservation Act 1999 </w:t>
      </w:r>
      <w:r>
        <w:rPr>
          <w:rFonts w:cs="Times New Roman"/>
          <w:lang w:val="en-GB"/>
        </w:rPr>
        <w:t>(EPBC Act).</w:t>
      </w:r>
    </w:p>
    <w:p w14:paraId="49074FDF" w14:textId="77777777" w:rsidR="006F421D" w:rsidRDefault="006F421D">
      <w:pPr>
        <w:pStyle w:val="3-figure"/>
        <w:divId w:val="1537153696"/>
        <w:rPr>
          <w:rFonts w:cs="Times New Roman"/>
          <w:lang w:val="en-GB"/>
        </w:rPr>
      </w:pPr>
      <w:r>
        <w:rPr>
          <w:rStyle w:val="2body-medium"/>
          <w:rFonts w:cs="Times New Roman"/>
          <w:lang w:val="en-GB"/>
        </w:rPr>
        <w:t>Table 10: Summary of Commission’s compliance to ecologically sustainable development</w:t>
      </w:r>
    </w:p>
    <w:tbl>
      <w:tblPr>
        <w:tblW w:w="0" w:type="auto"/>
        <w:tblCellMar>
          <w:top w:w="28" w:type="dxa"/>
          <w:left w:w="57" w:type="dxa"/>
          <w:bottom w:w="28" w:type="dxa"/>
          <w:right w:w="57" w:type="dxa"/>
        </w:tblCellMar>
        <w:tblLook w:val="04A0" w:firstRow="1" w:lastRow="0" w:firstColumn="1" w:lastColumn="0" w:noHBand="0" w:noVBand="1"/>
      </w:tblPr>
      <w:tblGrid>
        <w:gridCol w:w="3014"/>
        <w:gridCol w:w="7299"/>
      </w:tblGrid>
      <w:tr w:rsidR="006F421D" w14:paraId="7792A82C" w14:textId="77777777" w:rsidTr="006F421D">
        <w:trPr>
          <w:divId w:val="1537153696"/>
        </w:trPr>
        <w:tc>
          <w:tcPr>
            <w:tcW w:w="0" w:type="auto"/>
            <w:shd w:val="clear" w:color="auto" w:fill="005C7E"/>
            <w:vAlign w:val="center"/>
            <w:hideMark/>
          </w:tcPr>
          <w:p w14:paraId="388FF454" w14:textId="77777777" w:rsidR="006F421D" w:rsidRDefault="006F421D">
            <w:pPr>
              <w:pStyle w:val="financials03table-header-l"/>
              <w:rPr>
                <w:rFonts w:cs="Times New Roman"/>
              </w:rPr>
            </w:pPr>
            <w:r>
              <w:rPr>
                <w:rFonts w:cs="Times New Roman"/>
              </w:rPr>
              <w:t>EPBC Act requirement</w:t>
            </w:r>
          </w:p>
        </w:tc>
        <w:tc>
          <w:tcPr>
            <w:tcW w:w="0" w:type="auto"/>
            <w:shd w:val="clear" w:color="auto" w:fill="005C7E"/>
            <w:vAlign w:val="center"/>
            <w:hideMark/>
          </w:tcPr>
          <w:p w14:paraId="059D1DF3" w14:textId="77777777" w:rsidR="006F421D" w:rsidRDefault="006F421D">
            <w:pPr>
              <w:pStyle w:val="financials03table-header-l"/>
              <w:rPr>
                <w:rFonts w:cs="Times New Roman"/>
              </w:rPr>
            </w:pPr>
            <w:r>
              <w:rPr>
                <w:rFonts w:cs="Times New Roman"/>
              </w:rPr>
              <w:t>Commission response</w:t>
            </w:r>
          </w:p>
        </w:tc>
      </w:tr>
      <w:tr w:rsidR="006F421D" w14:paraId="7CFC7F2A" w14:textId="77777777" w:rsidTr="006F421D">
        <w:trPr>
          <w:divId w:val="153715369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504AA954" w14:textId="77777777" w:rsidR="006F421D" w:rsidRDefault="006F421D">
            <w:pPr>
              <w:pStyle w:val="financials03table-body-l"/>
              <w:rPr>
                <w:rFonts w:cs="Times New Roman"/>
              </w:rPr>
            </w:pPr>
            <w:r>
              <w:rPr>
                <w:rFonts w:cs="Times New Roman"/>
              </w:rPr>
              <w:t>The activities of the Commission and its administration of legislation during 2013/14 accord with the principles of ecologically sustainable development.</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5B4ED368" w14:textId="77777777" w:rsidR="006F421D" w:rsidRDefault="006F421D">
            <w:pPr>
              <w:pStyle w:val="financials03table-body-l"/>
              <w:rPr>
                <w:rFonts w:cs="Times New Roman"/>
              </w:rPr>
            </w:pPr>
            <w:r>
              <w:rPr>
                <w:rFonts w:cs="Times New Roman"/>
              </w:rPr>
              <w:t xml:space="preserve">The Commission gives appropriate consideration to the effects its activities may have on the environment, including in terms of its work plan and corporate governance. Instances where the Commission’s activities have environmental impacts are mitigated wherever possible. </w:t>
            </w:r>
          </w:p>
          <w:p w14:paraId="7A111917" w14:textId="77777777" w:rsidR="006F421D" w:rsidRDefault="006F421D">
            <w:pPr>
              <w:pStyle w:val="financials03table-body-l"/>
              <w:rPr>
                <w:rFonts w:cs="Times New Roman"/>
              </w:rPr>
            </w:pPr>
            <w:r>
              <w:rPr>
                <w:rFonts w:cs="Times New Roman"/>
              </w:rPr>
              <w:t>The Commission is not responsible for administering any legislation.</w:t>
            </w:r>
          </w:p>
        </w:tc>
      </w:tr>
      <w:tr w:rsidR="006F421D" w14:paraId="7CC6CC84" w14:textId="77777777" w:rsidTr="006F421D">
        <w:trPr>
          <w:divId w:val="153715369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DA7592D" w14:textId="77777777" w:rsidR="006F421D" w:rsidRDefault="006F421D">
            <w:pPr>
              <w:pStyle w:val="financials03table-body-l"/>
              <w:rPr>
                <w:rFonts w:cs="Times New Roman"/>
              </w:rPr>
            </w:pPr>
            <w:r>
              <w:rPr>
                <w:rFonts w:cs="Times New Roman"/>
              </w:rPr>
              <w:t>Outcomes specified for the Commission in an appropriations Act for 2013/14 contribute to ecologically sustainable development.</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18151B58" w14:textId="77777777" w:rsidR="006F421D" w:rsidRDefault="006F421D">
            <w:pPr>
              <w:pStyle w:val="financials03table-body-l"/>
              <w:rPr>
                <w:rFonts w:cs="Times New Roman"/>
              </w:rPr>
            </w:pPr>
            <w:r>
              <w:rPr>
                <w:rFonts w:cs="Times New Roman"/>
              </w:rPr>
              <w:t xml:space="preserve">The Commission’s single appropriations outcome focuses on improving safety and quality in health care across the health system rather than environmental outcomes and, as such, has no implications on environmental protection and biodiversity conservation. </w:t>
            </w:r>
          </w:p>
        </w:tc>
      </w:tr>
      <w:tr w:rsidR="006F421D" w14:paraId="69308E34" w14:textId="77777777" w:rsidTr="006F421D">
        <w:trPr>
          <w:divId w:val="153715369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71A0E414" w14:textId="77777777" w:rsidR="006F421D" w:rsidRDefault="006F421D">
            <w:pPr>
              <w:pStyle w:val="financials03table-body-l"/>
              <w:rPr>
                <w:rFonts w:cs="Times New Roman"/>
              </w:rPr>
            </w:pPr>
            <w:r>
              <w:rPr>
                <w:rFonts w:cs="Times New Roman"/>
              </w:rPr>
              <w:t>Effects of the Commission’s activities on the environment.</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45AC47B" w14:textId="77777777" w:rsidR="006F421D" w:rsidRDefault="006F421D">
            <w:pPr>
              <w:pStyle w:val="financials03table-body-l"/>
              <w:rPr>
                <w:rFonts w:cs="Times New Roman"/>
              </w:rPr>
            </w:pPr>
            <w:r>
              <w:rPr>
                <w:rFonts w:cs="Times New Roman"/>
              </w:rPr>
              <w:t>The Commission’s offices are located in a 5-star (NABERS rating) building and the Commission’s staff works proactively with the building manager to achieve energy savings where possible. Office lighting is automated to power off outside business hours. The Commission encourages its staff members to view documents online where possible and print only when necessary. The Commission’s waste practices are in accordance with the National Waste Policy.</w:t>
            </w:r>
          </w:p>
        </w:tc>
      </w:tr>
      <w:tr w:rsidR="006F421D" w14:paraId="3A344A12" w14:textId="77777777" w:rsidTr="006F421D">
        <w:trPr>
          <w:divId w:val="153715369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6CC53D6" w14:textId="77777777" w:rsidR="006F421D" w:rsidRDefault="006F421D">
            <w:pPr>
              <w:pStyle w:val="financials03table-body-l"/>
              <w:rPr>
                <w:rFonts w:cs="Times New Roman"/>
              </w:rPr>
            </w:pPr>
            <w:r>
              <w:rPr>
                <w:rFonts w:cs="Times New Roman"/>
              </w:rPr>
              <w:t>Measures the Commission is taking to minimise its impact on the environment.</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67B8DE47" w14:textId="77777777" w:rsidR="006F421D" w:rsidRDefault="006F421D">
            <w:pPr>
              <w:pStyle w:val="financials03table-body-l"/>
              <w:rPr>
                <w:rFonts w:cs="Times New Roman"/>
              </w:rPr>
            </w:pPr>
            <w:r>
              <w:rPr>
                <w:rFonts w:cs="Times New Roman"/>
              </w:rPr>
              <w:t xml:space="preserve">The Commission is working hard to further reduce its environmental effects, particularly in the area of information and communication technology (ICT). In 2013/14, the Commission implemented a number of initiatives required by the Australian Government ICT Sustainability Plan 2010–2015. These initiatives included introducing and using 100% post-consumer recycled paper and modifying the Commission’s ICT infrastructure, which will deliver desktop energy savings and reduce the Commission’s carbon footprint. The Commission is also partnering with the City of Sydney’s </w:t>
            </w:r>
            <w:proofErr w:type="spellStart"/>
            <w:r>
              <w:rPr>
                <w:rFonts w:cs="Times New Roman"/>
              </w:rPr>
              <w:t>CitySwitch</w:t>
            </w:r>
            <w:proofErr w:type="spellEnd"/>
            <w:r>
              <w:rPr>
                <w:rFonts w:cs="Times New Roman"/>
              </w:rPr>
              <w:t xml:space="preserve"> program to explore further environmental sustainability options.</w:t>
            </w:r>
          </w:p>
        </w:tc>
      </w:tr>
      <w:tr w:rsidR="006F421D" w14:paraId="477B35C9" w14:textId="77777777" w:rsidTr="006F421D">
        <w:trPr>
          <w:divId w:val="1537153696"/>
        </w:trPr>
        <w:tc>
          <w:tcPr>
            <w:tcW w:w="0" w:type="auto"/>
            <w:tcBorders>
              <w:top w:val="dotted" w:sz="8" w:space="0" w:color="005C7E"/>
              <w:left w:val="dotted" w:sz="8" w:space="0" w:color="005C7E"/>
              <w:bottom w:val="dotted" w:sz="8" w:space="0" w:color="005C7E"/>
              <w:right w:val="dotted" w:sz="8" w:space="0" w:color="005C7E"/>
            </w:tcBorders>
            <w:vAlign w:val="center"/>
            <w:hideMark/>
          </w:tcPr>
          <w:p w14:paraId="030A6D2F" w14:textId="77777777" w:rsidR="006F421D" w:rsidRDefault="006F421D">
            <w:pPr>
              <w:pStyle w:val="financials03table-body-l"/>
              <w:rPr>
                <w:rFonts w:cs="Times New Roman"/>
              </w:rPr>
            </w:pPr>
            <w:r>
              <w:rPr>
                <w:rFonts w:cs="Times New Roman"/>
              </w:rPr>
              <w:t>Mechanisms for reviewing and increasing the effectiveness of those measures.</w:t>
            </w:r>
          </w:p>
        </w:tc>
        <w:tc>
          <w:tcPr>
            <w:tcW w:w="0" w:type="auto"/>
            <w:tcBorders>
              <w:top w:val="dotted" w:sz="8" w:space="0" w:color="005C7E"/>
              <w:left w:val="dotted" w:sz="8" w:space="0" w:color="005C7E"/>
              <w:bottom w:val="dotted" w:sz="8" w:space="0" w:color="005C7E"/>
              <w:right w:val="dotted" w:sz="8" w:space="0" w:color="005C7E"/>
            </w:tcBorders>
            <w:vAlign w:val="center"/>
            <w:hideMark/>
          </w:tcPr>
          <w:p w14:paraId="420B52FB" w14:textId="77777777" w:rsidR="006F421D" w:rsidRDefault="006F421D">
            <w:pPr>
              <w:pStyle w:val="financials03table-body-l"/>
              <w:rPr>
                <w:rFonts w:cs="Times New Roman"/>
              </w:rPr>
            </w:pPr>
            <w:r>
              <w:rPr>
                <w:rFonts w:cs="Times New Roman"/>
              </w:rPr>
              <w:t>The Commission is implementing a number of initiatives to reduce its environmental impact, with a view to introducing a formal environmental policy. Review mechanisms will be included in this policy.</w:t>
            </w:r>
          </w:p>
        </w:tc>
      </w:tr>
    </w:tbl>
    <w:p w14:paraId="5CCB3F41" w14:textId="77777777" w:rsidR="006F421D" w:rsidRDefault="006F421D">
      <w:pPr>
        <w:divId w:val="1537153696"/>
        <w:rPr>
          <w:rFonts w:eastAsia="Times New Roman" w:cs="Times New Roman"/>
        </w:rPr>
      </w:pPr>
    </w:p>
    <w:p w14:paraId="609AC8C4" w14:textId="5923CB92" w:rsidR="006F421D" w:rsidRDefault="006F421D">
      <w:pPr>
        <w:spacing w:after="0"/>
        <w:rPr>
          <w:rFonts w:cs="Times New Roman"/>
          <w:lang w:val="en-GB"/>
        </w:rPr>
      </w:pPr>
      <w:r>
        <w:rPr>
          <w:rFonts w:cs="Times New Roman"/>
          <w:lang w:val="en-GB"/>
        </w:rPr>
        <w:br w:type="page"/>
      </w:r>
    </w:p>
    <w:p w14:paraId="3FFCE32C" w14:textId="77777777" w:rsidR="006F421D" w:rsidRDefault="006F421D" w:rsidP="00ED772D">
      <w:pPr>
        <w:pStyle w:val="Heading1"/>
        <w:rPr>
          <w:rStyle w:val="S8colours"/>
        </w:rPr>
      </w:pPr>
      <w:bookmarkStart w:id="57" w:name="_Toc414011915"/>
      <w:r>
        <w:rPr>
          <w:rStyle w:val="colourss80"/>
          <w:rFonts w:cs="Times New Roman"/>
        </w:rPr>
        <w:lastRenderedPageBreak/>
        <w:t xml:space="preserve">8 </w:t>
      </w:r>
      <w:r>
        <w:rPr>
          <w:rStyle w:val="S8colours"/>
        </w:rPr>
        <w:t>Indexes and references</w:t>
      </w:r>
      <w:bookmarkEnd w:id="57"/>
    </w:p>
    <w:p w14:paraId="63A3E586" w14:textId="76613ECE" w:rsidR="006F421D" w:rsidRDefault="006F421D">
      <w:pPr>
        <w:pStyle w:val="0contents-level-2-section-start"/>
      </w:pPr>
      <w:r>
        <w:rPr>
          <w:rStyle w:val="colourss80"/>
          <w:rFonts w:cs="Times New Roman"/>
          <w:lang w:val="en-GB"/>
        </w:rPr>
        <w:t>Acronyms and abbreviations</w:t>
      </w:r>
      <w:r>
        <w:rPr>
          <w:rStyle w:val="colourss80"/>
          <w:rFonts w:cs="Times New Roman"/>
          <w:lang w:val="en-GB"/>
        </w:rPr>
        <w:tab/>
        <w:t>1</w:t>
      </w:r>
      <w:r w:rsidR="00E55AEE">
        <w:rPr>
          <w:rStyle w:val="colourss80"/>
          <w:rFonts w:cs="Times New Roman"/>
          <w:lang w:val="en-GB"/>
        </w:rPr>
        <w:t>23</w:t>
      </w:r>
    </w:p>
    <w:p w14:paraId="21A93E04" w14:textId="6C36FCBD" w:rsidR="006F421D" w:rsidRDefault="006F421D">
      <w:pPr>
        <w:pStyle w:val="0contents-level-2-section-start"/>
        <w:rPr>
          <w:rFonts w:cs="Times New Roman"/>
          <w:lang w:val="en-GB"/>
        </w:rPr>
      </w:pPr>
      <w:r>
        <w:rPr>
          <w:rStyle w:val="colourss80"/>
          <w:rFonts w:cs="Times New Roman"/>
          <w:lang w:val="en-GB"/>
        </w:rPr>
        <w:t>Glossary</w:t>
      </w:r>
      <w:r>
        <w:rPr>
          <w:rStyle w:val="colourss80"/>
          <w:rFonts w:cs="Times New Roman"/>
          <w:lang w:val="en-GB"/>
        </w:rPr>
        <w:tab/>
        <w:t>1</w:t>
      </w:r>
      <w:r w:rsidR="00E55AEE">
        <w:rPr>
          <w:rStyle w:val="colourss80"/>
          <w:rFonts w:cs="Times New Roman"/>
          <w:lang w:val="en-GB"/>
        </w:rPr>
        <w:t>24</w:t>
      </w:r>
    </w:p>
    <w:p w14:paraId="74BCEE5A" w14:textId="330B114B" w:rsidR="006F421D" w:rsidRDefault="006F421D">
      <w:pPr>
        <w:pStyle w:val="0contents-level-2-section-start"/>
        <w:rPr>
          <w:rFonts w:cs="Times New Roman"/>
          <w:lang w:val="en-GB"/>
        </w:rPr>
      </w:pPr>
      <w:r>
        <w:rPr>
          <w:rStyle w:val="colourss80"/>
          <w:rFonts w:cs="Times New Roman"/>
          <w:lang w:val="en-GB"/>
        </w:rPr>
        <w:t>Index of tables</w:t>
      </w:r>
      <w:r>
        <w:rPr>
          <w:rStyle w:val="colourss80"/>
          <w:rFonts w:cs="Times New Roman"/>
          <w:lang w:val="en-GB"/>
        </w:rPr>
        <w:tab/>
      </w:r>
      <w:r w:rsidR="00E55AEE">
        <w:rPr>
          <w:rStyle w:val="colourss80"/>
          <w:rFonts w:cs="Times New Roman"/>
          <w:lang w:val="en-GB"/>
        </w:rPr>
        <w:t>127</w:t>
      </w:r>
    </w:p>
    <w:p w14:paraId="0F10D6CE" w14:textId="5F7CAB43" w:rsidR="006F421D" w:rsidRDefault="006F421D">
      <w:pPr>
        <w:pStyle w:val="0contents-level-2-section-start"/>
        <w:rPr>
          <w:rFonts w:cs="Times New Roman"/>
          <w:lang w:val="en-GB"/>
        </w:rPr>
      </w:pPr>
      <w:r>
        <w:rPr>
          <w:rStyle w:val="colourss80"/>
          <w:rFonts w:cs="Times New Roman"/>
          <w:lang w:val="en-GB"/>
        </w:rPr>
        <w:t>Compliance index</w:t>
      </w:r>
      <w:r>
        <w:rPr>
          <w:rStyle w:val="colourss80"/>
          <w:rFonts w:cs="Times New Roman"/>
          <w:lang w:val="en-GB"/>
        </w:rPr>
        <w:tab/>
        <w:t>1</w:t>
      </w:r>
      <w:r w:rsidR="00E55AEE">
        <w:rPr>
          <w:rStyle w:val="colourss80"/>
          <w:rFonts w:cs="Times New Roman"/>
          <w:lang w:val="en-GB"/>
        </w:rPr>
        <w:t>28</w:t>
      </w:r>
    </w:p>
    <w:p w14:paraId="140D43BA" w14:textId="04ABBE78" w:rsidR="006F421D" w:rsidRDefault="006F421D">
      <w:pPr>
        <w:pStyle w:val="0contents-level-2-section-start"/>
        <w:rPr>
          <w:rFonts w:cs="Times New Roman"/>
          <w:lang w:val="en-GB"/>
        </w:rPr>
      </w:pPr>
      <w:r>
        <w:rPr>
          <w:rStyle w:val="colourss80"/>
          <w:rFonts w:cs="Times New Roman"/>
          <w:lang w:val="en-GB"/>
        </w:rPr>
        <w:t>Index</w:t>
      </w:r>
      <w:r>
        <w:rPr>
          <w:rStyle w:val="colourss80"/>
          <w:rFonts w:cs="Times New Roman"/>
          <w:lang w:val="en-GB"/>
        </w:rPr>
        <w:tab/>
      </w:r>
      <w:r w:rsidR="00E55AEE">
        <w:rPr>
          <w:rStyle w:val="colourss80"/>
          <w:rFonts w:cs="Times New Roman"/>
          <w:lang w:val="en-GB"/>
        </w:rPr>
        <w:t>130</w:t>
      </w:r>
    </w:p>
    <w:p w14:paraId="5BEBF476" w14:textId="127F3533" w:rsidR="006F421D" w:rsidRDefault="006F421D">
      <w:pPr>
        <w:pStyle w:val="0contents-level-2-section-start"/>
        <w:rPr>
          <w:rFonts w:cs="Times New Roman"/>
          <w:lang w:val="en-GB"/>
        </w:rPr>
      </w:pPr>
      <w:r>
        <w:rPr>
          <w:rStyle w:val="colourss80"/>
          <w:rFonts w:cs="Times New Roman"/>
          <w:lang w:val="en-GB"/>
        </w:rPr>
        <w:t>References</w:t>
      </w:r>
      <w:r>
        <w:rPr>
          <w:rStyle w:val="colourss80"/>
          <w:rFonts w:cs="Times New Roman"/>
          <w:lang w:val="en-GB"/>
        </w:rPr>
        <w:tab/>
      </w:r>
      <w:r w:rsidR="00E55AEE">
        <w:rPr>
          <w:rStyle w:val="colourss80"/>
          <w:rFonts w:cs="Times New Roman"/>
          <w:lang w:val="en-GB"/>
        </w:rPr>
        <w:t>139</w:t>
      </w:r>
    </w:p>
    <w:p w14:paraId="060E2E0F" w14:textId="77777777" w:rsidR="006F421D" w:rsidRDefault="006F421D">
      <w:pPr>
        <w:rPr>
          <w:rFonts w:cs="Times New Roman"/>
          <w:lang w:val="en-GB"/>
        </w:rPr>
      </w:pPr>
      <w:r>
        <w:rPr>
          <w:rFonts w:cs="Times New Roman"/>
          <w:lang w:val="en-GB"/>
        </w:rPr>
        <w:br w:type="page"/>
      </w:r>
    </w:p>
    <w:p w14:paraId="6909AB18" w14:textId="77777777" w:rsidR="006F421D" w:rsidRDefault="006F421D" w:rsidP="00FD071D">
      <w:pPr>
        <w:pStyle w:val="Heading2"/>
        <w:divId w:val="1565414970"/>
        <w:rPr>
          <w:lang w:val="en-GB"/>
        </w:rPr>
      </w:pPr>
      <w:bookmarkStart w:id="58" w:name="_Toc414011916"/>
      <w:r>
        <w:rPr>
          <w:lang w:val="en-GB"/>
        </w:rPr>
        <w:lastRenderedPageBreak/>
        <w:t>Acronyms and abbreviations</w:t>
      </w:r>
      <w:bookmarkEnd w:id="58"/>
    </w:p>
    <w:tbl>
      <w:tblPr>
        <w:tblW w:w="0" w:type="auto"/>
        <w:tblBorders>
          <w:top w:val="dotted" w:sz="12" w:space="0" w:color="5F605F"/>
          <w:left w:val="dotted" w:sz="12" w:space="0" w:color="5F605F"/>
          <w:bottom w:val="dotted" w:sz="12" w:space="0" w:color="5F605F"/>
          <w:right w:val="dotted" w:sz="12" w:space="0" w:color="5F605F"/>
          <w:insideH w:val="dotted" w:sz="12" w:space="0" w:color="5F605F"/>
          <w:insideV w:val="dotted" w:sz="12" w:space="0" w:color="5F605F"/>
        </w:tblBorders>
        <w:tblCellMar>
          <w:top w:w="28" w:type="dxa"/>
          <w:left w:w="57" w:type="dxa"/>
          <w:bottom w:w="28" w:type="dxa"/>
          <w:right w:w="57" w:type="dxa"/>
        </w:tblCellMar>
        <w:tblLook w:val="04A0" w:firstRow="1" w:lastRow="0" w:firstColumn="1" w:lastColumn="0" w:noHBand="0" w:noVBand="1"/>
      </w:tblPr>
      <w:tblGrid>
        <w:gridCol w:w="2977"/>
        <w:gridCol w:w="6901"/>
      </w:tblGrid>
      <w:tr w:rsidR="006F421D" w14:paraId="2652C61C"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32F5BA05" w14:textId="77777777" w:rsidR="006F421D" w:rsidRDefault="006F421D">
            <w:pPr>
              <w:pStyle w:val="financials03table-body-l"/>
              <w:rPr>
                <w:rFonts w:cs="Times New Roman"/>
              </w:rPr>
            </w:pPr>
            <w:r>
              <w:rPr>
                <w:rFonts w:cs="Times New Roman"/>
              </w:rPr>
              <w:t>AHMAC</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17EE26CA" w14:textId="77777777" w:rsidR="006F421D" w:rsidRDefault="006F421D">
            <w:pPr>
              <w:pStyle w:val="financials03table-body-l"/>
              <w:rPr>
                <w:rFonts w:cs="Times New Roman"/>
              </w:rPr>
            </w:pPr>
            <w:r>
              <w:rPr>
                <w:rFonts w:cs="Times New Roman"/>
              </w:rPr>
              <w:t>Australian Health Ministers’ Advisory Council</w:t>
            </w:r>
          </w:p>
        </w:tc>
      </w:tr>
      <w:tr w:rsidR="006F421D" w14:paraId="577FDBDE"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5086F8E3" w14:textId="77777777" w:rsidR="006F421D" w:rsidRDefault="006F421D">
            <w:pPr>
              <w:pStyle w:val="financials03table-body-l"/>
              <w:rPr>
                <w:rFonts w:cs="Times New Roman"/>
              </w:rPr>
            </w:pPr>
            <w:r>
              <w:rPr>
                <w:rFonts w:cs="Times New Roman"/>
              </w:rPr>
              <w:t>AHSSQA Scheme</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6506F8B3" w14:textId="77777777" w:rsidR="006F421D" w:rsidRDefault="006F421D">
            <w:pPr>
              <w:pStyle w:val="financials03table-body-l"/>
              <w:rPr>
                <w:rFonts w:cs="Times New Roman"/>
              </w:rPr>
            </w:pPr>
            <w:r>
              <w:rPr>
                <w:rFonts w:cs="Times New Roman"/>
              </w:rPr>
              <w:t xml:space="preserve">Australian Health Service Safety and Quality Accreditation Scheme </w:t>
            </w:r>
          </w:p>
        </w:tc>
      </w:tr>
      <w:tr w:rsidR="006F421D" w14:paraId="7CF7B22F"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5F22C29E" w14:textId="77777777" w:rsidR="006F421D" w:rsidRDefault="006F421D">
            <w:pPr>
              <w:pStyle w:val="financials03table-body-l"/>
              <w:rPr>
                <w:rFonts w:cs="Times New Roman"/>
              </w:rPr>
            </w:pPr>
            <w:r>
              <w:rPr>
                <w:rFonts w:cs="Times New Roman"/>
              </w:rPr>
              <w:t>AURA Surveillance Project</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5391019C" w14:textId="77777777" w:rsidR="006F421D" w:rsidRDefault="006F421D">
            <w:pPr>
              <w:pStyle w:val="financials03table-body-l"/>
              <w:rPr>
                <w:rFonts w:cs="Times New Roman"/>
              </w:rPr>
            </w:pPr>
            <w:r>
              <w:rPr>
                <w:rFonts w:cs="Times New Roman"/>
              </w:rPr>
              <w:t>Antimicrobial Utilisation and Resistance in Australia Surveillance Project</w:t>
            </w:r>
          </w:p>
        </w:tc>
      </w:tr>
      <w:tr w:rsidR="006F421D" w14:paraId="507FD116"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457BA039" w14:textId="77777777" w:rsidR="006F421D" w:rsidRDefault="006F421D">
            <w:pPr>
              <w:pStyle w:val="financials03table-body-l"/>
              <w:rPr>
                <w:rFonts w:cs="Times New Roman"/>
              </w:rPr>
            </w:pPr>
            <w:r>
              <w:rPr>
                <w:rFonts w:cs="Times New Roman"/>
              </w:rPr>
              <w:t>CAC Act</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32BE7AF5" w14:textId="77777777" w:rsidR="006F421D" w:rsidRDefault="006F421D">
            <w:pPr>
              <w:pStyle w:val="financials03table-body-l"/>
              <w:rPr>
                <w:rFonts w:cs="Times New Roman"/>
              </w:rPr>
            </w:pPr>
            <w:r>
              <w:rPr>
                <w:rStyle w:val="2body-italic0"/>
                <w:rFonts w:cs="Times New Roman"/>
              </w:rPr>
              <w:t>Commonwealth Authorities and Companies Act 1997</w:t>
            </w:r>
          </w:p>
        </w:tc>
      </w:tr>
      <w:tr w:rsidR="006F421D" w14:paraId="5C4729C3"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528508CA" w14:textId="77777777" w:rsidR="006F421D" w:rsidRDefault="006F421D">
            <w:pPr>
              <w:pStyle w:val="financials03table-body-l"/>
              <w:rPr>
                <w:rFonts w:cs="Times New Roman"/>
              </w:rPr>
            </w:pPr>
            <w:r>
              <w:rPr>
                <w:rFonts w:cs="Times New Roman"/>
              </w:rPr>
              <w:t>CHBOI</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54AF1861" w14:textId="77777777" w:rsidR="006F421D" w:rsidRDefault="006F421D">
            <w:pPr>
              <w:pStyle w:val="financials03table-body-l"/>
              <w:rPr>
                <w:rFonts w:cs="Times New Roman"/>
              </w:rPr>
            </w:pPr>
            <w:r>
              <w:rPr>
                <w:rFonts w:cs="Times New Roman"/>
              </w:rPr>
              <w:t>core, hospital-based outcome indicators</w:t>
            </w:r>
          </w:p>
        </w:tc>
      </w:tr>
      <w:tr w:rsidR="006F421D" w14:paraId="78A1CABB"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311A0697" w14:textId="77777777" w:rsidR="006F421D" w:rsidRDefault="006F421D">
            <w:pPr>
              <w:pStyle w:val="financials03table-body-l"/>
              <w:rPr>
                <w:rFonts w:cs="Times New Roman"/>
              </w:rPr>
            </w:pPr>
            <w:r>
              <w:rPr>
                <w:rFonts w:cs="Times New Roman"/>
              </w:rPr>
              <w:t>the Commission</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4E7BA625" w14:textId="77777777" w:rsidR="006F421D" w:rsidRDefault="006F421D">
            <w:pPr>
              <w:pStyle w:val="financials03table-body-l"/>
              <w:rPr>
                <w:rFonts w:cs="Times New Roman"/>
              </w:rPr>
            </w:pPr>
            <w:r>
              <w:rPr>
                <w:rFonts w:cs="Times New Roman"/>
              </w:rPr>
              <w:t>Australian Commission on Safety and Quality in Health Care</w:t>
            </w:r>
          </w:p>
        </w:tc>
      </w:tr>
      <w:tr w:rsidR="006F421D" w14:paraId="320EEB6B"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71EB5A59" w14:textId="77777777" w:rsidR="006F421D" w:rsidRDefault="006F421D">
            <w:pPr>
              <w:pStyle w:val="financials03table-body-l"/>
              <w:rPr>
                <w:rFonts w:cs="Times New Roman"/>
              </w:rPr>
            </w:pPr>
            <w:r>
              <w:rPr>
                <w:rFonts w:cs="Times New Roman"/>
              </w:rPr>
              <w:t>EPBC Act</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6CF5F041" w14:textId="77777777" w:rsidR="006F421D" w:rsidRDefault="006F421D">
            <w:pPr>
              <w:pStyle w:val="financials03table-body-l"/>
              <w:rPr>
                <w:rFonts w:cs="Times New Roman"/>
              </w:rPr>
            </w:pPr>
            <w:r>
              <w:rPr>
                <w:rStyle w:val="2body-italic0"/>
                <w:rFonts w:cs="Times New Roman"/>
              </w:rPr>
              <w:t>Environment Protection and Biodiversity Conservation Act 1999</w:t>
            </w:r>
          </w:p>
        </w:tc>
      </w:tr>
      <w:tr w:rsidR="006F421D" w14:paraId="4E428C16"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016A40D1" w14:textId="77777777" w:rsidR="006F421D" w:rsidRDefault="006F421D">
            <w:pPr>
              <w:pStyle w:val="financials03table-body-l"/>
              <w:rPr>
                <w:rFonts w:cs="Times New Roman"/>
              </w:rPr>
            </w:pPr>
            <w:r>
              <w:rPr>
                <w:rFonts w:cs="Times New Roman"/>
              </w:rPr>
              <w:t>HAI</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64453657" w14:textId="77777777" w:rsidR="006F421D" w:rsidRDefault="006F421D">
            <w:pPr>
              <w:pStyle w:val="financials03table-body-l"/>
              <w:rPr>
                <w:rFonts w:cs="Times New Roman"/>
              </w:rPr>
            </w:pPr>
            <w:r>
              <w:rPr>
                <w:rFonts w:cs="Times New Roman"/>
              </w:rPr>
              <w:t>Healthcare associated infection</w:t>
            </w:r>
          </w:p>
        </w:tc>
      </w:tr>
      <w:tr w:rsidR="006F421D" w14:paraId="17FA98E5"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6A04FD2F" w14:textId="77777777" w:rsidR="006F421D" w:rsidRDefault="006F421D">
            <w:pPr>
              <w:pStyle w:val="financials03table-body-l"/>
              <w:rPr>
                <w:rFonts w:cs="Times New Roman"/>
              </w:rPr>
            </w:pPr>
            <w:r>
              <w:rPr>
                <w:rFonts w:cs="Times New Roman"/>
              </w:rPr>
              <w:t>HHA</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5C71E211" w14:textId="77777777" w:rsidR="006F421D" w:rsidRDefault="006F421D">
            <w:pPr>
              <w:pStyle w:val="financials03table-body-l"/>
              <w:rPr>
                <w:rFonts w:cs="Times New Roman"/>
              </w:rPr>
            </w:pPr>
            <w:r>
              <w:rPr>
                <w:rFonts w:cs="Times New Roman"/>
              </w:rPr>
              <w:t>Hand Hygiene Australia</w:t>
            </w:r>
          </w:p>
        </w:tc>
      </w:tr>
      <w:tr w:rsidR="006F421D" w14:paraId="7C58DEFE"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03C84031" w14:textId="77777777" w:rsidR="006F421D" w:rsidRDefault="006F421D">
            <w:pPr>
              <w:pStyle w:val="financials03table-body-l"/>
              <w:rPr>
                <w:rFonts w:cs="Times New Roman"/>
              </w:rPr>
            </w:pPr>
            <w:r>
              <w:rPr>
                <w:rFonts w:cs="Times New Roman"/>
              </w:rPr>
              <w:t>IHPA</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345357B7" w14:textId="77777777" w:rsidR="006F421D" w:rsidRDefault="006F421D">
            <w:pPr>
              <w:pStyle w:val="financials03table-body-l"/>
              <w:rPr>
                <w:rFonts w:cs="Times New Roman"/>
              </w:rPr>
            </w:pPr>
            <w:r>
              <w:rPr>
                <w:rFonts w:cs="Times New Roman"/>
              </w:rPr>
              <w:t>Independent Hospital Pricing Authority</w:t>
            </w:r>
          </w:p>
        </w:tc>
      </w:tr>
      <w:tr w:rsidR="006F421D" w14:paraId="5C4CDBDC"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786FBC78" w14:textId="77777777" w:rsidR="006F421D" w:rsidRDefault="006F421D">
            <w:pPr>
              <w:pStyle w:val="financials03table-body-l"/>
              <w:rPr>
                <w:rFonts w:cs="Times New Roman"/>
              </w:rPr>
            </w:pPr>
            <w:r>
              <w:rPr>
                <w:rFonts w:cs="Times New Roman"/>
              </w:rPr>
              <w:t>IJC</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719E2DB8" w14:textId="77777777" w:rsidR="006F421D" w:rsidRDefault="006F421D">
            <w:pPr>
              <w:pStyle w:val="financials03table-body-l"/>
              <w:rPr>
                <w:rFonts w:cs="Times New Roman"/>
              </w:rPr>
            </w:pPr>
            <w:r>
              <w:rPr>
                <w:rFonts w:cs="Times New Roman"/>
              </w:rPr>
              <w:t>Inter-Jurisdictional Committee</w:t>
            </w:r>
          </w:p>
        </w:tc>
      </w:tr>
      <w:tr w:rsidR="006F421D" w14:paraId="7FDDF5ED"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0B9B760B" w14:textId="77777777" w:rsidR="006F421D" w:rsidRDefault="006F421D">
            <w:pPr>
              <w:pStyle w:val="financials03table-body-l"/>
              <w:rPr>
                <w:rFonts w:cs="Times New Roman"/>
              </w:rPr>
            </w:pPr>
            <w:r>
              <w:rPr>
                <w:rFonts w:cs="Times New Roman"/>
              </w:rPr>
              <w:t>NEHTA</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660C45C8" w14:textId="77777777" w:rsidR="006F421D" w:rsidRDefault="006F421D">
            <w:pPr>
              <w:pStyle w:val="financials03table-body-l"/>
              <w:rPr>
                <w:rFonts w:cs="Times New Roman"/>
              </w:rPr>
            </w:pPr>
            <w:r>
              <w:rPr>
                <w:rFonts w:cs="Times New Roman"/>
              </w:rPr>
              <w:t>National E-Health Transition Authority</w:t>
            </w:r>
          </w:p>
        </w:tc>
      </w:tr>
      <w:tr w:rsidR="006F421D" w14:paraId="503FF6F6"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01307100" w14:textId="77777777" w:rsidR="006F421D" w:rsidRDefault="006F421D">
            <w:pPr>
              <w:pStyle w:val="financials03table-body-l"/>
              <w:rPr>
                <w:rFonts w:cs="Times New Roman"/>
              </w:rPr>
            </w:pPr>
            <w:r>
              <w:rPr>
                <w:rFonts w:cs="Times New Roman"/>
              </w:rPr>
              <w:t>NHHI</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3A6BAFB1" w14:textId="77777777" w:rsidR="006F421D" w:rsidRDefault="006F421D">
            <w:pPr>
              <w:pStyle w:val="financials03table-body-l"/>
              <w:rPr>
                <w:rFonts w:cs="Times New Roman"/>
              </w:rPr>
            </w:pPr>
            <w:r>
              <w:rPr>
                <w:rFonts w:cs="Times New Roman"/>
              </w:rPr>
              <w:t>National Hand Hygiene Initiative</w:t>
            </w:r>
          </w:p>
        </w:tc>
      </w:tr>
      <w:tr w:rsidR="006F421D" w14:paraId="04565EEB"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40F2229E" w14:textId="77777777" w:rsidR="006F421D" w:rsidRDefault="006F421D">
            <w:pPr>
              <w:pStyle w:val="financials03table-body-l"/>
              <w:rPr>
                <w:rFonts w:cs="Times New Roman"/>
              </w:rPr>
            </w:pPr>
            <w:r>
              <w:rPr>
                <w:rFonts w:cs="Times New Roman"/>
              </w:rPr>
              <w:t>NHMRC</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2426ECC7" w14:textId="77777777" w:rsidR="006F421D" w:rsidRDefault="006F421D">
            <w:pPr>
              <w:pStyle w:val="financials03table-body-l"/>
              <w:rPr>
                <w:rFonts w:cs="Times New Roman"/>
              </w:rPr>
            </w:pPr>
            <w:r>
              <w:rPr>
                <w:rFonts w:cs="Times New Roman"/>
              </w:rPr>
              <w:t>National Health and Medical Research Council</w:t>
            </w:r>
          </w:p>
        </w:tc>
      </w:tr>
      <w:tr w:rsidR="006F421D" w14:paraId="43934B53"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008421EF" w14:textId="77777777" w:rsidR="006F421D" w:rsidRDefault="006F421D">
            <w:pPr>
              <w:pStyle w:val="financials03table-body-l"/>
              <w:rPr>
                <w:rFonts w:cs="Times New Roman"/>
              </w:rPr>
            </w:pPr>
            <w:r>
              <w:rPr>
                <w:rFonts w:cs="Times New Roman"/>
              </w:rPr>
              <w:t>NHR Act</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68168904" w14:textId="77777777" w:rsidR="006F421D" w:rsidRDefault="006F421D">
            <w:pPr>
              <w:pStyle w:val="financials03table-body-l"/>
              <w:rPr>
                <w:rFonts w:cs="Times New Roman"/>
              </w:rPr>
            </w:pPr>
            <w:r>
              <w:rPr>
                <w:rStyle w:val="2body-italic0"/>
                <w:rFonts w:cs="Times New Roman"/>
              </w:rPr>
              <w:t>National Health Reform Act 2011</w:t>
            </w:r>
          </w:p>
        </w:tc>
      </w:tr>
      <w:tr w:rsidR="006F421D" w14:paraId="43A5C9D7"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04BD918A" w14:textId="77777777" w:rsidR="006F421D" w:rsidRDefault="006F421D">
            <w:pPr>
              <w:pStyle w:val="financials03table-body-l"/>
              <w:rPr>
                <w:rFonts w:cs="Times New Roman"/>
              </w:rPr>
            </w:pPr>
            <w:r>
              <w:rPr>
                <w:rFonts w:cs="Times New Roman"/>
              </w:rPr>
              <w:t>NIMC</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7784FB33" w14:textId="77777777" w:rsidR="006F421D" w:rsidRDefault="006F421D">
            <w:pPr>
              <w:pStyle w:val="financials03table-body-l"/>
              <w:rPr>
                <w:rFonts w:cs="Times New Roman"/>
              </w:rPr>
            </w:pPr>
            <w:r>
              <w:rPr>
                <w:rFonts w:cs="Times New Roman"/>
              </w:rPr>
              <w:t>National Inpatient Medication Chart</w:t>
            </w:r>
          </w:p>
        </w:tc>
      </w:tr>
      <w:tr w:rsidR="006F421D" w14:paraId="37E28561"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4A3D0FC0" w14:textId="77777777" w:rsidR="006F421D" w:rsidRDefault="006F421D">
            <w:pPr>
              <w:pStyle w:val="financials03table-body-l"/>
              <w:rPr>
                <w:rFonts w:cs="Times New Roman"/>
              </w:rPr>
            </w:pPr>
            <w:r>
              <w:rPr>
                <w:rFonts w:cs="Times New Roman"/>
              </w:rPr>
              <w:t>NSQHS Standards</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23922001" w14:textId="77777777" w:rsidR="006F421D" w:rsidRDefault="006F421D">
            <w:pPr>
              <w:pStyle w:val="financials03table-body-l"/>
              <w:rPr>
                <w:rFonts w:cs="Times New Roman"/>
              </w:rPr>
            </w:pPr>
            <w:r>
              <w:rPr>
                <w:rFonts w:cs="Times New Roman"/>
              </w:rPr>
              <w:t>National Safety and Quality Health Service Standards</w:t>
            </w:r>
          </w:p>
        </w:tc>
      </w:tr>
      <w:tr w:rsidR="006F421D" w14:paraId="58E6D406"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0823AADD" w14:textId="77777777" w:rsidR="006F421D" w:rsidRDefault="006F421D">
            <w:pPr>
              <w:pStyle w:val="financials03table-body-l"/>
              <w:rPr>
                <w:rFonts w:cs="Times New Roman"/>
              </w:rPr>
            </w:pPr>
            <w:r>
              <w:rPr>
                <w:rFonts w:cs="Times New Roman"/>
              </w:rPr>
              <w:t>OECD</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5B5EA4D8" w14:textId="77777777" w:rsidR="006F421D" w:rsidRDefault="006F421D">
            <w:pPr>
              <w:pStyle w:val="financials03table-body-l"/>
              <w:rPr>
                <w:rFonts w:cs="Times New Roman"/>
              </w:rPr>
            </w:pPr>
            <w:r>
              <w:rPr>
                <w:rFonts w:cs="Times New Roman"/>
              </w:rPr>
              <w:t>Organization for Economic Co-operation and Development</w:t>
            </w:r>
          </w:p>
        </w:tc>
      </w:tr>
      <w:tr w:rsidR="006F421D" w14:paraId="4F1E3607"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2A60D70D" w14:textId="77777777" w:rsidR="006F421D" w:rsidRDefault="006F421D">
            <w:pPr>
              <w:pStyle w:val="financials03table-body-l"/>
              <w:rPr>
                <w:rFonts w:cs="Times New Roman"/>
              </w:rPr>
            </w:pPr>
            <w:r>
              <w:rPr>
                <w:rFonts w:cs="Times New Roman"/>
              </w:rPr>
              <w:t>PBS</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6026E4A3" w14:textId="77777777" w:rsidR="006F421D" w:rsidRDefault="006F421D">
            <w:pPr>
              <w:pStyle w:val="financials03table-body-l"/>
              <w:rPr>
                <w:rFonts w:cs="Times New Roman"/>
              </w:rPr>
            </w:pPr>
            <w:r>
              <w:rPr>
                <w:rFonts w:cs="Times New Roman"/>
              </w:rPr>
              <w:t>Pharmaceutical Benefits Scheme</w:t>
            </w:r>
          </w:p>
        </w:tc>
      </w:tr>
      <w:tr w:rsidR="006F421D" w14:paraId="7EC17BDE"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550B8B33" w14:textId="77777777" w:rsidR="006F421D" w:rsidRDefault="006F421D">
            <w:pPr>
              <w:pStyle w:val="financials03table-body-l"/>
              <w:rPr>
                <w:rFonts w:cs="Times New Roman"/>
              </w:rPr>
            </w:pPr>
            <w:r>
              <w:rPr>
                <w:rFonts w:cs="Times New Roman"/>
              </w:rPr>
              <w:t>PCEHR</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36E80981" w14:textId="77777777" w:rsidR="006F421D" w:rsidRDefault="006F421D">
            <w:pPr>
              <w:pStyle w:val="financials03table-body-l"/>
              <w:rPr>
                <w:rFonts w:cs="Times New Roman"/>
              </w:rPr>
            </w:pPr>
            <w:r>
              <w:rPr>
                <w:rFonts w:cs="Times New Roman"/>
              </w:rPr>
              <w:t>Personally Controlled Electronic Health Record</w:t>
            </w:r>
          </w:p>
        </w:tc>
      </w:tr>
      <w:tr w:rsidR="006F421D" w14:paraId="27362417"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5FB9E3F7" w14:textId="77777777" w:rsidR="006F421D" w:rsidRDefault="006F421D">
            <w:pPr>
              <w:pStyle w:val="financials03table-body-l"/>
              <w:rPr>
                <w:rFonts w:cs="Times New Roman"/>
              </w:rPr>
            </w:pPr>
            <w:r>
              <w:rPr>
                <w:rFonts w:cs="Times New Roman"/>
              </w:rPr>
              <w:t>RPBS</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796B5F5B" w14:textId="77777777" w:rsidR="006F421D" w:rsidRDefault="006F421D">
            <w:pPr>
              <w:pStyle w:val="financials03table-body-l"/>
              <w:rPr>
                <w:rFonts w:cs="Times New Roman"/>
              </w:rPr>
            </w:pPr>
            <w:r>
              <w:rPr>
                <w:rFonts w:cs="Times New Roman"/>
              </w:rPr>
              <w:t>Repatriation Pharmaceutical Benefits Scheme</w:t>
            </w:r>
          </w:p>
        </w:tc>
      </w:tr>
      <w:tr w:rsidR="006F421D" w14:paraId="124110D0"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63134DE9" w14:textId="77777777" w:rsidR="006F421D" w:rsidRDefault="006F421D">
            <w:pPr>
              <w:pStyle w:val="financials03table-body-l"/>
              <w:rPr>
                <w:rFonts w:cs="Times New Roman"/>
              </w:rPr>
            </w:pPr>
            <w:r>
              <w:rPr>
                <w:rFonts w:cs="Times New Roman"/>
              </w:rPr>
              <w:t>SRC Act</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76A0CF63" w14:textId="77777777" w:rsidR="006F421D" w:rsidRDefault="006F421D">
            <w:pPr>
              <w:pStyle w:val="financials03table-body-l"/>
              <w:rPr>
                <w:rFonts w:cs="Times New Roman"/>
              </w:rPr>
            </w:pPr>
            <w:r>
              <w:rPr>
                <w:rStyle w:val="2body-italic0"/>
                <w:rFonts w:cs="Times New Roman"/>
              </w:rPr>
              <w:t>Safety, Rehabilitation and Compensation Act 1988</w:t>
            </w:r>
          </w:p>
        </w:tc>
      </w:tr>
      <w:tr w:rsidR="006F421D" w14:paraId="51BB6003"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652EBB2D" w14:textId="77777777" w:rsidR="006F421D" w:rsidRDefault="006F421D">
            <w:pPr>
              <w:pStyle w:val="financials03table-body-l"/>
              <w:rPr>
                <w:rFonts w:cs="Times New Roman"/>
              </w:rPr>
            </w:pPr>
            <w:r>
              <w:rPr>
                <w:rFonts w:cs="Times New Roman"/>
              </w:rPr>
              <w:t>WHO</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4CCF8F5A" w14:textId="77777777" w:rsidR="006F421D" w:rsidRDefault="006F421D">
            <w:pPr>
              <w:pStyle w:val="financials03table-body-l"/>
              <w:rPr>
                <w:rFonts w:cs="Times New Roman"/>
              </w:rPr>
            </w:pPr>
            <w:r>
              <w:rPr>
                <w:rFonts w:cs="Times New Roman"/>
              </w:rPr>
              <w:t>World Health Organization</w:t>
            </w:r>
          </w:p>
        </w:tc>
      </w:tr>
      <w:tr w:rsidR="006F421D" w14:paraId="25A1B01C" w14:textId="77777777">
        <w:trPr>
          <w:divId w:val="2142334130"/>
        </w:trPr>
        <w:tc>
          <w:tcPr>
            <w:tcW w:w="2977" w:type="dxa"/>
            <w:tcBorders>
              <w:top w:val="dotted" w:sz="12" w:space="0" w:color="5F605F"/>
              <w:left w:val="dotted" w:sz="12" w:space="0" w:color="5F605F"/>
              <w:bottom w:val="dotted" w:sz="12" w:space="0" w:color="5F605F"/>
              <w:right w:val="dotted" w:sz="12" w:space="0" w:color="5F605F"/>
            </w:tcBorders>
            <w:vAlign w:val="center"/>
            <w:hideMark/>
          </w:tcPr>
          <w:p w14:paraId="1C5F37A5" w14:textId="77777777" w:rsidR="006F421D" w:rsidRDefault="006F421D">
            <w:pPr>
              <w:pStyle w:val="financials03table-body-l"/>
              <w:rPr>
                <w:rFonts w:cs="Times New Roman"/>
              </w:rPr>
            </w:pPr>
            <w:r>
              <w:rPr>
                <w:rFonts w:cs="Times New Roman"/>
              </w:rPr>
              <w:t>WHS Act</w:t>
            </w:r>
          </w:p>
        </w:tc>
        <w:tc>
          <w:tcPr>
            <w:tcW w:w="6901" w:type="dxa"/>
            <w:tcBorders>
              <w:top w:val="dotted" w:sz="12" w:space="0" w:color="5F605F"/>
              <w:left w:val="dotted" w:sz="12" w:space="0" w:color="5F605F"/>
              <w:bottom w:val="dotted" w:sz="12" w:space="0" w:color="5F605F"/>
              <w:right w:val="dotted" w:sz="12" w:space="0" w:color="5F605F"/>
            </w:tcBorders>
            <w:vAlign w:val="center"/>
            <w:hideMark/>
          </w:tcPr>
          <w:p w14:paraId="0BE685A5" w14:textId="77777777" w:rsidR="006F421D" w:rsidRDefault="006F421D">
            <w:pPr>
              <w:pStyle w:val="financials03table-body-l"/>
              <w:rPr>
                <w:rFonts w:cs="Times New Roman"/>
              </w:rPr>
            </w:pPr>
            <w:r>
              <w:rPr>
                <w:rStyle w:val="2body-italic0"/>
                <w:rFonts w:cs="Times New Roman"/>
              </w:rPr>
              <w:t>Work Health and Safety Act 2011</w:t>
            </w:r>
          </w:p>
        </w:tc>
      </w:tr>
    </w:tbl>
    <w:p w14:paraId="2DB40CC5" w14:textId="77777777" w:rsidR="006F421D" w:rsidRDefault="006F421D">
      <w:pPr>
        <w:divId w:val="2142334130"/>
        <w:rPr>
          <w:rFonts w:cs="Times New Roman"/>
          <w:b/>
          <w:bCs/>
          <w:color w:val="5F605F"/>
          <w:sz w:val="30"/>
          <w:szCs w:val="30"/>
          <w:lang w:val="en-GB"/>
        </w:rPr>
      </w:pPr>
      <w:r>
        <w:rPr>
          <w:rFonts w:cs="Times New Roman"/>
          <w:lang w:val="en-GB"/>
        </w:rPr>
        <w:br w:type="page"/>
      </w:r>
    </w:p>
    <w:p w14:paraId="6F5AB4F6" w14:textId="77777777" w:rsidR="006F421D" w:rsidRDefault="006F421D" w:rsidP="00FD071D">
      <w:pPr>
        <w:pStyle w:val="Heading2"/>
        <w:divId w:val="27075341"/>
        <w:rPr>
          <w:lang w:val="en-GB"/>
        </w:rPr>
      </w:pPr>
      <w:bookmarkStart w:id="59" w:name="_Toc414011917"/>
      <w:r>
        <w:rPr>
          <w:lang w:val="en-GB"/>
        </w:rPr>
        <w:lastRenderedPageBreak/>
        <w:t>Glossary</w:t>
      </w:r>
      <w:bookmarkEnd w:id="59"/>
    </w:p>
    <w:p w14:paraId="05DD2194" w14:textId="77777777" w:rsidR="006F421D" w:rsidRDefault="006F421D">
      <w:pPr>
        <w:pStyle w:val="2body-copy"/>
        <w:divId w:val="2142334130"/>
        <w:rPr>
          <w:rFonts w:cs="Times New Roman"/>
          <w:lang w:val="en-GB"/>
        </w:rPr>
      </w:pPr>
      <w:r>
        <w:rPr>
          <w:rStyle w:val="2body-medium"/>
          <w:rFonts w:cs="Times New Roman"/>
          <w:lang w:val="en-GB"/>
        </w:rPr>
        <w:t>Accreditation:</w:t>
      </w:r>
      <w:r>
        <w:rPr>
          <w:rFonts w:cs="Times New Roman"/>
          <w:lang w:val="en-GB"/>
        </w:rPr>
        <w:t xml:space="preserve"> A status that is conferred on an organisation or individual when they have been assessed as having met particular standards. The two conditions for accreditation are compliance with an explicit definition of quality (that is, a standard) and passing an independent review process aimed at identifying the level of congruence between practices and quality standards.</w:t>
      </w:r>
      <w:r>
        <w:rPr>
          <w:rStyle w:val="superscript"/>
          <w:rFonts w:cs="Times New Roman"/>
          <w:lang w:val="en-GB"/>
        </w:rPr>
        <w:t>16</w:t>
      </w:r>
    </w:p>
    <w:p w14:paraId="0F5DE6F0" w14:textId="77777777" w:rsidR="006F421D" w:rsidRDefault="006F421D">
      <w:pPr>
        <w:pStyle w:val="2body-copy"/>
        <w:divId w:val="2142334130"/>
        <w:rPr>
          <w:rFonts w:cs="Times New Roman"/>
          <w:lang w:val="en-GB"/>
        </w:rPr>
      </w:pPr>
      <w:r>
        <w:rPr>
          <w:rStyle w:val="2body-medium"/>
          <w:rFonts w:cs="Times New Roman"/>
          <w:lang w:val="en-GB"/>
        </w:rPr>
        <w:t>Acute healthcare facility:</w:t>
      </w:r>
      <w:r>
        <w:rPr>
          <w:rFonts w:cs="Times New Roman"/>
          <w:lang w:val="en-GB"/>
        </w:rPr>
        <w:t xml:space="preserve"> A hospital or other healthcare facility providing healthcare services to patients for short periods of acute illness, injury or recovery.</w:t>
      </w:r>
    </w:p>
    <w:p w14:paraId="20713332" w14:textId="77777777" w:rsidR="006F421D" w:rsidRDefault="006F421D">
      <w:pPr>
        <w:pStyle w:val="2body-copy"/>
        <w:divId w:val="2142334130"/>
        <w:rPr>
          <w:rFonts w:cs="Times New Roman"/>
          <w:lang w:val="en-GB"/>
        </w:rPr>
      </w:pPr>
      <w:r>
        <w:rPr>
          <w:rStyle w:val="2body-medium"/>
          <w:rFonts w:cs="Times New Roman"/>
          <w:lang w:val="en-GB"/>
        </w:rPr>
        <w:t>Adverse event:</w:t>
      </w:r>
      <w:r>
        <w:rPr>
          <w:rFonts w:cs="Times New Roman"/>
          <w:lang w:val="en-GB"/>
        </w:rPr>
        <w:t xml:space="preserve"> An incident in which harm resulted in a person receiving health care.</w:t>
      </w:r>
    </w:p>
    <w:p w14:paraId="31C5CCDF" w14:textId="77777777" w:rsidR="006F421D" w:rsidRDefault="006F421D">
      <w:pPr>
        <w:pStyle w:val="2body-copy"/>
        <w:divId w:val="2142334130"/>
        <w:rPr>
          <w:rFonts w:cs="Times New Roman"/>
          <w:lang w:val="en-GB"/>
        </w:rPr>
      </w:pPr>
      <w:proofErr w:type="spellStart"/>
      <w:r>
        <w:rPr>
          <w:rStyle w:val="2body-medium"/>
          <w:rFonts w:cs="Times New Roman"/>
          <w:lang w:val="en-GB"/>
        </w:rPr>
        <w:t>Antibiogram</w:t>
      </w:r>
      <w:proofErr w:type="spellEnd"/>
      <w:r>
        <w:rPr>
          <w:rStyle w:val="2body-medium"/>
          <w:rFonts w:cs="Times New Roman"/>
          <w:lang w:val="en-GB"/>
        </w:rPr>
        <w:t>:</w:t>
      </w:r>
      <w:r>
        <w:rPr>
          <w:rFonts w:cs="Times New Roman"/>
          <w:lang w:val="en-GB"/>
        </w:rPr>
        <w:t xml:space="preserve"> A profile of the antimicrobial resistance and susceptibility of a particular microorganism.</w:t>
      </w:r>
      <w:r>
        <w:rPr>
          <w:rStyle w:val="superscript"/>
          <w:rFonts w:cs="Times New Roman"/>
          <w:lang w:val="en-GB"/>
        </w:rPr>
        <w:t>17</w:t>
      </w:r>
    </w:p>
    <w:p w14:paraId="0C515A56" w14:textId="77777777" w:rsidR="006F421D" w:rsidRDefault="006F421D">
      <w:pPr>
        <w:pStyle w:val="2body-copy"/>
        <w:divId w:val="2142334130"/>
        <w:rPr>
          <w:rFonts w:cs="Times New Roman"/>
          <w:lang w:val="en-GB"/>
        </w:rPr>
      </w:pPr>
      <w:r>
        <w:rPr>
          <w:rStyle w:val="2body-medium"/>
          <w:rFonts w:cs="Times New Roman"/>
          <w:lang w:val="en-GB"/>
        </w:rPr>
        <w:t>Antimicrobial:</w:t>
      </w:r>
      <w:r>
        <w:rPr>
          <w:rFonts w:cs="Times New Roman"/>
          <w:lang w:val="en-GB"/>
        </w:rPr>
        <w:t xml:space="preserve"> A chemical substance that inhibits or destroys bacteria, viruses and fungi, including yeasts or moulds.</w:t>
      </w:r>
      <w:r>
        <w:rPr>
          <w:rStyle w:val="superscript"/>
          <w:rFonts w:cs="Times New Roman"/>
          <w:lang w:val="en-GB"/>
        </w:rPr>
        <w:t>18</w:t>
      </w:r>
    </w:p>
    <w:p w14:paraId="2803481F" w14:textId="77777777" w:rsidR="006F421D" w:rsidRDefault="006F421D">
      <w:pPr>
        <w:pStyle w:val="2body-copy"/>
        <w:divId w:val="2142334130"/>
        <w:rPr>
          <w:rFonts w:cs="Times New Roman"/>
          <w:lang w:val="en-GB"/>
        </w:rPr>
      </w:pPr>
      <w:r>
        <w:rPr>
          <w:rStyle w:val="2body-medium"/>
          <w:rFonts w:cs="Times New Roman"/>
          <w:lang w:val="en-GB"/>
        </w:rPr>
        <w:t>Antimicrobial stewardship:</w:t>
      </w:r>
      <w:r>
        <w:rPr>
          <w:rFonts w:cs="Times New Roman"/>
          <w:lang w:val="en-GB"/>
        </w:rPr>
        <w:t xml:space="preserve"> A program implemented in a health service organisation to reduce the risks associated with increasing microbial resistance, and to extend the effectiveness of antimicrobial treatments. Antimicrobial stewardship may incorporate a broad range of strategies, including monitoring and reviewing antimicrobial use.</w:t>
      </w:r>
      <w:r>
        <w:rPr>
          <w:rStyle w:val="superscript"/>
          <w:rFonts w:cs="Times New Roman"/>
          <w:lang w:val="en-GB"/>
        </w:rPr>
        <w:t>18</w:t>
      </w:r>
    </w:p>
    <w:p w14:paraId="20F28D8D" w14:textId="77777777" w:rsidR="006F421D" w:rsidRDefault="006F421D">
      <w:pPr>
        <w:pStyle w:val="2body-copy"/>
        <w:divId w:val="2142334130"/>
        <w:rPr>
          <w:rFonts w:cs="Times New Roman"/>
          <w:lang w:val="en-GB"/>
        </w:rPr>
      </w:pPr>
      <w:r>
        <w:rPr>
          <w:rStyle w:val="2body-medium"/>
          <w:rFonts w:cs="Times New Roman"/>
          <w:lang w:val="en-GB"/>
        </w:rPr>
        <w:t>Blood glucose levels:</w:t>
      </w:r>
      <w:r>
        <w:rPr>
          <w:rFonts w:cs="Times New Roman"/>
          <w:lang w:val="en-GB"/>
        </w:rPr>
        <w:t xml:space="preserve"> The blood glucose level is the amount of glucose in the blood. Glucose is a sugar that comes from food and is also formed and stored inside the body. It’s the main source of energy for the cells in the body, and is carried to each cell through the bloodstream.</w:t>
      </w:r>
    </w:p>
    <w:p w14:paraId="142D2E38" w14:textId="77777777" w:rsidR="006F421D" w:rsidRDefault="006F421D">
      <w:pPr>
        <w:pStyle w:val="2body-copy"/>
        <w:divId w:val="2142334130"/>
        <w:rPr>
          <w:rFonts w:cs="Times New Roman"/>
          <w:lang w:val="en-GB"/>
        </w:rPr>
      </w:pPr>
      <w:proofErr w:type="spellStart"/>
      <w:r>
        <w:rPr>
          <w:rStyle w:val="2body-medium"/>
          <w:rFonts w:cs="Times New Roman"/>
          <w:lang w:val="en-GB"/>
        </w:rPr>
        <w:t>Casemix</w:t>
      </w:r>
      <w:proofErr w:type="spellEnd"/>
      <w:r>
        <w:rPr>
          <w:rStyle w:val="2body-medium"/>
          <w:rFonts w:cs="Times New Roman"/>
          <w:lang w:val="en-GB"/>
        </w:rPr>
        <w:t xml:space="preserve"> data:</w:t>
      </w:r>
      <w:r>
        <w:rPr>
          <w:rFonts w:cs="Times New Roman"/>
          <w:lang w:val="en-GB"/>
        </w:rPr>
        <w:t xml:space="preserve"> The Department of Health manages a number of hospital-related data collections. These contain information about hospital activity in the public and private systems. ‘</w:t>
      </w:r>
      <w:proofErr w:type="spellStart"/>
      <w:r>
        <w:rPr>
          <w:rFonts w:cs="Times New Roman"/>
          <w:lang w:val="en-GB"/>
        </w:rPr>
        <w:t>Casemix</w:t>
      </w:r>
      <w:proofErr w:type="spellEnd"/>
      <w:r>
        <w:rPr>
          <w:rFonts w:cs="Times New Roman"/>
          <w:lang w:val="en-GB"/>
        </w:rPr>
        <w:t xml:space="preserve"> data’ is a shorthand term for the National Admitted Patient Care Dataset, which contains de-identified patient-level hospital separation information, including patient demographics, hospital episode and clinical information (ICD-10-AM). </w:t>
      </w:r>
    </w:p>
    <w:p w14:paraId="2452E593" w14:textId="77777777" w:rsidR="006F421D" w:rsidRDefault="006F421D">
      <w:pPr>
        <w:pStyle w:val="2body-copy"/>
        <w:divId w:val="2142334130"/>
        <w:rPr>
          <w:rFonts w:cs="Times New Roman"/>
          <w:lang w:val="en-GB"/>
        </w:rPr>
      </w:pPr>
      <w:r>
        <w:rPr>
          <w:rStyle w:val="2body-medium"/>
          <w:rFonts w:cs="Times New Roman"/>
          <w:lang w:val="en-GB"/>
        </w:rPr>
        <w:t>Clinical communication:</w:t>
      </w:r>
      <w:r>
        <w:rPr>
          <w:rFonts w:cs="Times New Roman"/>
          <w:lang w:val="en-GB"/>
        </w:rPr>
        <w:t xml:space="preserve"> An exchange of information that occurs between healthcare providers treating a patient. Communication can be formal (for example, when a message conforms to a predetermined structure in a health record or stored electronic data), or informal (when a message’s structure is determined solely by the relevant parties; for example, in a face-to-face or telephone conversation).</w:t>
      </w:r>
      <w:r>
        <w:rPr>
          <w:rStyle w:val="superscript"/>
          <w:rFonts w:cs="Times New Roman"/>
          <w:lang w:val="en-GB"/>
        </w:rPr>
        <w:t>19</w:t>
      </w:r>
    </w:p>
    <w:p w14:paraId="1B3DF9F8" w14:textId="77777777" w:rsidR="006F421D" w:rsidRDefault="006F421D">
      <w:pPr>
        <w:pStyle w:val="2body-copy"/>
        <w:divId w:val="2142334130"/>
        <w:rPr>
          <w:rFonts w:cs="Times New Roman"/>
          <w:lang w:val="en-GB"/>
        </w:rPr>
      </w:pPr>
      <w:r>
        <w:rPr>
          <w:rStyle w:val="2body-medium"/>
          <w:rFonts w:cs="Times New Roman"/>
          <w:lang w:val="en-GB"/>
        </w:rPr>
        <w:t>Clinical handover:</w:t>
      </w:r>
      <w:r>
        <w:rPr>
          <w:rFonts w:cs="Times New Roman"/>
          <w:lang w:val="en-GB"/>
        </w:rPr>
        <w:t xml:space="preserve"> The transfer of professional responsibility and accountability for some or all aspects of care for a patient, or group of patients, to another person or professional group on a temporary or permanent basis.</w:t>
      </w:r>
      <w:r>
        <w:rPr>
          <w:rStyle w:val="superscript"/>
          <w:rFonts w:cs="Times New Roman"/>
          <w:lang w:val="en-GB"/>
        </w:rPr>
        <w:t>20</w:t>
      </w:r>
    </w:p>
    <w:p w14:paraId="33AB5019" w14:textId="77777777" w:rsidR="006F421D" w:rsidRDefault="006F421D">
      <w:pPr>
        <w:pStyle w:val="2body-copy"/>
        <w:divId w:val="2142334130"/>
        <w:rPr>
          <w:rFonts w:cs="Times New Roman"/>
          <w:lang w:val="en-GB"/>
        </w:rPr>
      </w:pPr>
      <w:r>
        <w:rPr>
          <w:rStyle w:val="2body-medium"/>
          <w:rFonts w:cs="Times New Roman"/>
          <w:lang w:val="en-GB"/>
        </w:rPr>
        <w:t>Clinical practice guidelines:</w:t>
      </w:r>
      <w:r>
        <w:rPr>
          <w:rFonts w:cs="Times New Roman"/>
          <w:lang w:val="en-GB"/>
        </w:rPr>
        <w:t xml:space="preserve"> Systematically developed statements to help practitioners and patients make decisions about appropriate health care for specific circumstances.</w:t>
      </w:r>
      <w:r>
        <w:rPr>
          <w:rStyle w:val="superscript"/>
          <w:rFonts w:cs="Times New Roman"/>
          <w:lang w:val="en-GB"/>
        </w:rPr>
        <w:t>21</w:t>
      </w:r>
    </w:p>
    <w:p w14:paraId="4E2CA0FA" w14:textId="77777777" w:rsidR="006F421D" w:rsidRDefault="006F421D">
      <w:pPr>
        <w:pStyle w:val="2body-copy"/>
        <w:divId w:val="2142334130"/>
        <w:rPr>
          <w:rFonts w:cs="Times New Roman"/>
          <w:lang w:val="en-GB"/>
        </w:rPr>
      </w:pPr>
      <w:r>
        <w:rPr>
          <w:rStyle w:val="2body-medium"/>
          <w:rFonts w:cs="Times New Roman"/>
          <w:lang w:val="en-GB"/>
        </w:rPr>
        <w:t>Clinician:</w:t>
      </w:r>
      <w:r>
        <w:rPr>
          <w:rFonts w:cs="Times New Roman"/>
          <w:lang w:val="en-GB"/>
        </w:rPr>
        <w:t xml:space="preserve"> A healthcare provider, trained as a health professional. Clinicians include registered and non-registered practitioners, or teams of health professionals providing health care who spend the majority of their time delivering direct clinical care.</w:t>
      </w:r>
    </w:p>
    <w:p w14:paraId="2128851E" w14:textId="77777777" w:rsidR="006F421D" w:rsidRDefault="006F421D">
      <w:pPr>
        <w:pStyle w:val="2body-copy"/>
        <w:divId w:val="2142334130"/>
        <w:rPr>
          <w:rFonts w:cs="Times New Roman"/>
          <w:lang w:val="en-GB"/>
        </w:rPr>
      </w:pPr>
      <w:r>
        <w:rPr>
          <w:rStyle w:val="2body-medium"/>
          <w:rFonts w:cs="Times New Roman"/>
          <w:lang w:val="en-GB"/>
        </w:rPr>
        <w:t>Consumers:</w:t>
      </w:r>
      <w:r>
        <w:rPr>
          <w:rFonts w:cs="Times New Roman"/>
          <w:lang w:val="en-GB"/>
        </w:rPr>
        <w:t xml:space="preserve"> Patients and potential patients, carers and organisations representing consumers’ interests.</w:t>
      </w:r>
      <w:r>
        <w:rPr>
          <w:rStyle w:val="superscript"/>
          <w:rFonts w:cs="Times New Roman"/>
          <w:lang w:val="en-GB"/>
        </w:rPr>
        <w:t>22</w:t>
      </w:r>
    </w:p>
    <w:p w14:paraId="2A8791C3" w14:textId="77777777" w:rsidR="006F421D" w:rsidRDefault="006F421D">
      <w:pPr>
        <w:pStyle w:val="2body-copy"/>
        <w:divId w:val="2142334130"/>
        <w:rPr>
          <w:rFonts w:cs="Times New Roman"/>
          <w:lang w:val="en-GB"/>
        </w:rPr>
      </w:pPr>
      <w:r>
        <w:rPr>
          <w:rStyle w:val="2body-medium"/>
          <w:rFonts w:cs="Times New Roman"/>
          <w:lang w:val="en-GB"/>
        </w:rPr>
        <w:t>Consumer-centred care:</w:t>
      </w:r>
      <w:r>
        <w:rPr>
          <w:rFonts w:cs="Times New Roman"/>
          <w:lang w:val="en-GB"/>
        </w:rPr>
        <w:t xml:space="preserve"> A consumer-centred approach to care involves treating consumers and/or carers with dignity and respect; communicating and sharing information between consumers and/or carers and healthcare providers; encouraging and supporting consumers’ participation in decision making; and fostering collaboration with consumers and/or carers and healthcare organisations in planning, designing, delivering and evaluating health care. Other terms are used internationally, such as patient-based, person-centred, relationship-based, patient-centred, and patient- and family-centred care. </w:t>
      </w:r>
    </w:p>
    <w:p w14:paraId="2DEFB2B8" w14:textId="77777777" w:rsidR="006F421D" w:rsidRDefault="006F421D">
      <w:pPr>
        <w:pStyle w:val="2body-copy"/>
        <w:divId w:val="2142334130"/>
        <w:rPr>
          <w:rFonts w:cs="Times New Roman"/>
          <w:lang w:val="en-GB"/>
        </w:rPr>
      </w:pPr>
      <w:r>
        <w:rPr>
          <w:rStyle w:val="2body-medium"/>
          <w:rFonts w:cs="Times New Roman"/>
          <w:lang w:val="en-GB"/>
        </w:rPr>
        <w:t>Core, hospital-based outcome indicators:</w:t>
      </w:r>
      <w:r>
        <w:rPr>
          <w:rFonts w:cs="Times New Roman"/>
          <w:lang w:val="en-GB"/>
        </w:rPr>
        <w:t xml:space="preserve"> A succinct set of indicators that hospitals routinely monitor and review. These hospital-based outcome indicators can be generated by the jurisdictions or private hospital owners that hold the source data and reported back to the facilities that provide healthcare services.</w:t>
      </w:r>
    </w:p>
    <w:p w14:paraId="5FA7FE41" w14:textId="77777777" w:rsidR="006F421D" w:rsidRDefault="006F421D">
      <w:pPr>
        <w:pStyle w:val="2body-copy"/>
        <w:divId w:val="2142334130"/>
        <w:rPr>
          <w:rFonts w:cs="Times New Roman"/>
          <w:lang w:val="en-GB"/>
        </w:rPr>
      </w:pPr>
      <w:r>
        <w:rPr>
          <w:rStyle w:val="2body-medium"/>
          <w:rFonts w:cs="Times New Roman"/>
          <w:lang w:val="en-GB"/>
        </w:rPr>
        <w:t xml:space="preserve">Dataset: </w:t>
      </w:r>
      <w:r>
        <w:rPr>
          <w:rFonts w:cs="Times New Roman"/>
          <w:lang w:val="en-GB"/>
        </w:rPr>
        <w:t>A collection of data elements that are collected as a set.</w:t>
      </w:r>
    </w:p>
    <w:p w14:paraId="4AD1F368" w14:textId="77777777" w:rsidR="006F421D" w:rsidRDefault="006F421D">
      <w:pPr>
        <w:pStyle w:val="2body-copy"/>
        <w:divId w:val="2142334130"/>
        <w:rPr>
          <w:rFonts w:cs="Times New Roman"/>
          <w:lang w:val="en-GB"/>
        </w:rPr>
      </w:pPr>
      <w:r>
        <w:rPr>
          <w:rStyle w:val="2body-medium"/>
          <w:rFonts w:cs="Times New Roman"/>
          <w:lang w:val="en-GB"/>
        </w:rPr>
        <w:t>Dataset specifications:</w:t>
      </w:r>
      <w:r>
        <w:rPr>
          <w:rFonts w:cs="Times New Roman"/>
          <w:lang w:val="en-GB"/>
        </w:rPr>
        <w:t xml:space="preserve"> Specifies a group of data elements and the conditions under which this group is collected. A dataset specification can define the sequence in which data elements are included, whether they are mandatory, what verification rules should be employed and the characteristics of the collection (for example, its scope).</w:t>
      </w:r>
    </w:p>
    <w:p w14:paraId="7373B6EB" w14:textId="77777777" w:rsidR="006F421D" w:rsidRDefault="006F421D">
      <w:pPr>
        <w:pStyle w:val="2body-copy"/>
        <w:divId w:val="2142334130"/>
        <w:rPr>
          <w:rFonts w:cs="Times New Roman"/>
          <w:lang w:val="en-GB"/>
        </w:rPr>
      </w:pPr>
      <w:r>
        <w:rPr>
          <w:rStyle w:val="2body-medium"/>
          <w:rFonts w:cs="Times New Roman"/>
          <w:lang w:val="en-GB"/>
        </w:rPr>
        <w:t xml:space="preserve">Electronic medication management system: </w:t>
      </w:r>
      <w:r>
        <w:rPr>
          <w:rFonts w:cs="Times New Roman"/>
          <w:lang w:val="en-GB"/>
        </w:rPr>
        <w:t>Enables medicines to be prescribed, supplied, administered and reconciled electronically.</w:t>
      </w:r>
    </w:p>
    <w:p w14:paraId="393D42EB" w14:textId="77777777" w:rsidR="006F421D" w:rsidRDefault="006F421D">
      <w:pPr>
        <w:pStyle w:val="2body-copy"/>
        <w:divId w:val="2142334130"/>
        <w:rPr>
          <w:rFonts w:cs="Times New Roman"/>
          <w:lang w:val="en-GB"/>
        </w:rPr>
      </w:pPr>
      <w:r>
        <w:rPr>
          <w:rStyle w:val="2body-medium"/>
          <w:rFonts w:cs="Times New Roman"/>
          <w:lang w:val="en-GB"/>
        </w:rPr>
        <w:lastRenderedPageBreak/>
        <w:t>Fall:</w:t>
      </w:r>
      <w:r>
        <w:rPr>
          <w:rFonts w:cs="Times New Roman"/>
          <w:lang w:val="en-GB"/>
        </w:rPr>
        <w:t xml:space="preserve"> An event that results in a person inadvertently coming to rest on the ground.</w:t>
      </w:r>
      <w:r>
        <w:rPr>
          <w:rStyle w:val="superscript"/>
          <w:rFonts w:cs="Times New Roman"/>
          <w:lang w:val="en-GB"/>
        </w:rPr>
        <w:t>23</w:t>
      </w:r>
    </w:p>
    <w:p w14:paraId="7E3CFA6C" w14:textId="77777777" w:rsidR="006F421D" w:rsidRDefault="006F421D">
      <w:pPr>
        <w:pStyle w:val="2body-copy"/>
        <w:divId w:val="2142334130"/>
        <w:rPr>
          <w:rFonts w:cs="Times New Roman"/>
          <w:lang w:val="en-GB"/>
        </w:rPr>
      </w:pPr>
      <w:r>
        <w:rPr>
          <w:rStyle w:val="2body-medium"/>
          <w:rFonts w:cs="Times New Roman"/>
          <w:lang w:val="en-GB"/>
        </w:rPr>
        <w:t>Hand hygiene:</w:t>
      </w:r>
      <w:r>
        <w:rPr>
          <w:rFonts w:cs="Times New Roman"/>
          <w:lang w:val="en-GB"/>
        </w:rPr>
        <w:t xml:space="preserve"> A general term referring to any hand-cleansing action.</w:t>
      </w:r>
    </w:p>
    <w:p w14:paraId="04600543" w14:textId="77777777" w:rsidR="006F421D" w:rsidRDefault="006F421D">
      <w:pPr>
        <w:pStyle w:val="2body-copy"/>
        <w:divId w:val="2142334130"/>
        <w:rPr>
          <w:rFonts w:cs="Times New Roman"/>
          <w:lang w:val="en-GB"/>
        </w:rPr>
      </w:pPr>
      <w:r>
        <w:rPr>
          <w:rStyle w:val="2body-medium"/>
          <w:rFonts w:cs="Times New Roman"/>
          <w:lang w:val="en-GB"/>
        </w:rPr>
        <w:t>Hand Hygiene Australia (HHA):</w:t>
      </w:r>
      <w:r>
        <w:rPr>
          <w:rFonts w:cs="Times New Roman"/>
          <w:lang w:val="en-GB"/>
        </w:rPr>
        <w:t xml:space="preserve"> An organisation engaged by the Commission to implement the National Hand Hygiene Initiative.</w:t>
      </w:r>
    </w:p>
    <w:p w14:paraId="72B690E9" w14:textId="77777777" w:rsidR="006F421D" w:rsidRDefault="006F421D">
      <w:pPr>
        <w:pStyle w:val="2body-copy"/>
        <w:divId w:val="2142334130"/>
        <w:rPr>
          <w:rFonts w:cs="Times New Roman"/>
          <w:lang w:val="en-GB"/>
        </w:rPr>
      </w:pPr>
      <w:r>
        <w:rPr>
          <w:rStyle w:val="2body-medium"/>
          <w:rFonts w:cs="Times New Roman"/>
          <w:lang w:val="en-GB"/>
        </w:rPr>
        <w:t>Health care:</w:t>
      </w:r>
      <w:r>
        <w:rPr>
          <w:rFonts w:cs="Times New Roman"/>
          <w:lang w:val="en-GB"/>
        </w:rPr>
        <w:t xml:space="preserve"> Services provided to individuals or communities to promote, maintain, monitor or restore health. Health care is not limited to medical care, and it includes self-care.</w:t>
      </w:r>
    </w:p>
    <w:p w14:paraId="60E235FA" w14:textId="77777777" w:rsidR="006F421D" w:rsidRDefault="006F421D">
      <w:pPr>
        <w:pStyle w:val="2body-copy"/>
        <w:divId w:val="2142334130"/>
        <w:rPr>
          <w:rFonts w:cs="Times New Roman"/>
          <w:lang w:val="en-GB"/>
        </w:rPr>
      </w:pPr>
      <w:r>
        <w:rPr>
          <w:rStyle w:val="2body-medium"/>
          <w:rFonts w:cs="Times New Roman"/>
          <w:lang w:val="en-GB"/>
        </w:rPr>
        <w:t>Health literacy:</w:t>
      </w:r>
      <w:r>
        <w:rPr>
          <w:rFonts w:cs="Times New Roman"/>
          <w:lang w:val="en-GB"/>
        </w:rPr>
        <w:t xml:space="preserve"> The skills, knowledge, motivation and capacity of a person to access, understand, appraise and apply information to make effective decisions about health and health care and take appropriate action.</w:t>
      </w:r>
    </w:p>
    <w:p w14:paraId="613D910F" w14:textId="77777777" w:rsidR="006F421D" w:rsidRDefault="006F421D">
      <w:pPr>
        <w:pStyle w:val="2body-copy"/>
        <w:divId w:val="2142334130"/>
        <w:rPr>
          <w:rFonts w:cs="Times New Roman"/>
          <w:lang w:val="en-GB"/>
        </w:rPr>
      </w:pPr>
      <w:r>
        <w:rPr>
          <w:rStyle w:val="2body-medium"/>
          <w:rFonts w:cs="Times New Roman"/>
          <w:lang w:val="en-GB"/>
        </w:rPr>
        <w:t>Health literacy environment:</w:t>
      </w:r>
      <w:r>
        <w:rPr>
          <w:rFonts w:cs="Times New Roman"/>
          <w:lang w:val="en-GB"/>
        </w:rPr>
        <w:t xml:space="preserve"> The infrastructure, policies, processes, materials, people and relationships that make up the health system and have an impact on the way in which people access, understand, appraise and apply health-related information and services. </w:t>
      </w:r>
    </w:p>
    <w:p w14:paraId="11F2D31B" w14:textId="77777777" w:rsidR="006F421D" w:rsidRDefault="006F421D">
      <w:pPr>
        <w:pStyle w:val="2body-copy"/>
        <w:divId w:val="2142334130"/>
        <w:rPr>
          <w:rFonts w:cs="Times New Roman"/>
          <w:lang w:val="en-GB"/>
        </w:rPr>
      </w:pPr>
      <w:r>
        <w:rPr>
          <w:rStyle w:val="2body-medium"/>
          <w:rFonts w:cs="Times New Roman"/>
          <w:lang w:val="en-GB"/>
        </w:rPr>
        <w:t>Healthcare associated infections:</w:t>
      </w:r>
      <w:r>
        <w:rPr>
          <w:rFonts w:cs="Times New Roman"/>
          <w:lang w:val="en-GB"/>
        </w:rPr>
        <w:t xml:space="preserve"> Infections that are acquired in healthcare facilities (nosocomial infections) or that occur as a result of healthcare interventions (iatrogenic infections). Healthcare associated infections may manifest after people leave healthcare facilities.</w:t>
      </w:r>
      <w:r>
        <w:rPr>
          <w:rStyle w:val="superscript"/>
          <w:rFonts w:cs="Times New Roman"/>
          <w:lang w:val="en-GB"/>
        </w:rPr>
        <w:t>24</w:t>
      </w:r>
    </w:p>
    <w:p w14:paraId="2B996071" w14:textId="77777777" w:rsidR="006F421D" w:rsidRDefault="006F421D">
      <w:pPr>
        <w:pStyle w:val="2body-copy"/>
        <w:divId w:val="2142334130"/>
        <w:rPr>
          <w:rFonts w:cs="Times New Roman"/>
          <w:lang w:val="en-GB"/>
        </w:rPr>
      </w:pPr>
      <w:r>
        <w:rPr>
          <w:rStyle w:val="2body-medium"/>
          <w:rFonts w:cs="Times New Roman"/>
          <w:lang w:val="en-GB"/>
        </w:rPr>
        <w:t>Healthcare provider:</w:t>
      </w:r>
      <w:r>
        <w:rPr>
          <w:rFonts w:cs="Times New Roman"/>
          <w:lang w:val="en-GB"/>
        </w:rPr>
        <w:t xml:space="preserve"> Any person working within the health sector (at the service or jurisdictional level) who is responsible for providing or organising the provision of care and/or treatment to patients.</w:t>
      </w:r>
    </w:p>
    <w:p w14:paraId="36159A48" w14:textId="77777777" w:rsidR="006F421D" w:rsidRDefault="006F421D">
      <w:pPr>
        <w:pStyle w:val="2body-copy"/>
        <w:divId w:val="2142334130"/>
        <w:rPr>
          <w:rFonts w:cs="Times New Roman"/>
          <w:lang w:val="en-GB"/>
        </w:rPr>
      </w:pPr>
      <w:r>
        <w:rPr>
          <w:rStyle w:val="2body-medium"/>
          <w:rFonts w:cs="Times New Roman"/>
          <w:lang w:val="en-GB"/>
        </w:rPr>
        <w:t>Healthcare variation:</w:t>
      </w:r>
      <w:r>
        <w:rPr>
          <w:rFonts w:cs="Times New Roman"/>
          <w:lang w:val="en-GB"/>
        </w:rPr>
        <w:t xml:space="preserve"> This occurs where patients with the same condition receive different types of care. For example, among a group of patients with the same condition, some may have no active treatment, some may be treated in the community and others in hospital, and some may have surgery while others receive medication. Some variation in how health care is provided is desirable because of differences in patients’ needs, wants and preferences.</w:t>
      </w:r>
      <w:r>
        <w:rPr>
          <w:rStyle w:val="superscript"/>
          <w:rFonts w:cs="Times New Roman"/>
          <w:lang w:val="en-GB"/>
        </w:rPr>
        <w:t>25</w:t>
      </w:r>
    </w:p>
    <w:p w14:paraId="75CC7DB7" w14:textId="77777777" w:rsidR="006F421D" w:rsidRDefault="006F421D">
      <w:pPr>
        <w:pStyle w:val="2body-copy"/>
        <w:divId w:val="2142334130"/>
        <w:rPr>
          <w:rFonts w:cs="Times New Roman"/>
          <w:lang w:val="en-GB"/>
        </w:rPr>
      </w:pPr>
      <w:r>
        <w:rPr>
          <w:rStyle w:val="2body-medium"/>
          <w:rFonts w:cs="Times New Roman"/>
          <w:lang w:val="en-GB"/>
        </w:rPr>
        <w:t>Health service organisation:</w:t>
      </w:r>
      <w:r>
        <w:rPr>
          <w:rFonts w:cs="Times New Roman"/>
          <w:lang w:val="en-GB"/>
        </w:rPr>
        <w:t xml:space="preserve"> A separately constituted health service that is responsible for the clinical governance, administration and financial management of service units that provide health care. A service unit is a group of healthcare providers and others working in a systematic way to deliver health care to patients. This can take place in any location or setting, including pharmacies, clinics, outpatient facilities, hospitals, patients’ homes, community settings, medical practices and healthcare providers’ clinics.</w:t>
      </w:r>
    </w:p>
    <w:p w14:paraId="40FFD336" w14:textId="77777777" w:rsidR="006F421D" w:rsidRDefault="006F421D">
      <w:pPr>
        <w:pStyle w:val="2body-copy"/>
        <w:divId w:val="2142334130"/>
        <w:rPr>
          <w:rFonts w:cs="Times New Roman"/>
          <w:lang w:val="en-GB"/>
        </w:rPr>
      </w:pPr>
      <w:r>
        <w:rPr>
          <w:rStyle w:val="2body-medium"/>
          <w:rFonts w:cs="Times New Roman"/>
          <w:lang w:val="en-GB"/>
        </w:rPr>
        <w:t>Hospital:</w:t>
      </w:r>
      <w:r>
        <w:rPr>
          <w:rFonts w:cs="Times New Roman"/>
          <w:lang w:val="en-GB"/>
        </w:rPr>
        <w:t xml:space="preserve"> A healthcare facility licensed by the respective regulator as a hospital or declared as a hospital.</w:t>
      </w:r>
    </w:p>
    <w:p w14:paraId="315690AA" w14:textId="77777777" w:rsidR="006F421D" w:rsidRDefault="006F421D">
      <w:pPr>
        <w:pStyle w:val="2body-copy"/>
        <w:divId w:val="2142334130"/>
        <w:rPr>
          <w:rFonts w:cs="Times New Roman"/>
          <w:lang w:val="en-GB"/>
        </w:rPr>
      </w:pPr>
      <w:r>
        <w:rPr>
          <w:rStyle w:val="2body-medium"/>
          <w:rFonts w:cs="Times New Roman"/>
          <w:lang w:val="en-GB"/>
        </w:rPr>
        <w:t>Hyperglycaemia:</w:t>
      </w:r>
      <w:r>
        <w:rPr>
          <w:rFonts w:cs="Times New Roman"/>
          <w:lang w:val="en-GB"/>
        </w:rPr>
        <w:t xml:space="preserve"> An abnormally high blood glucose level. It usually affects people who have diabetes. Several factors can contribute to </w:t>
      </w:r>
      <w:proofErr w:type="spellStart"/>
      <w:r>
        <w:rPr>
          <w:rFonts w:cs="Times New Roman"/>
          <w:lang w:val="en-GB"/>
        </w:rPr>
        <w:t>hyperglycemia</w:t>
      </w:r>
      <w:proofErr w:type="spellEnd"/>
      <w:r>
        <w:rPr>
          <w:rFonts w:cs="Times New Roman"/>
          <w:lang w:val="en-GB"/>
        </w:rPr>
        <w:t xml:space="preserve"> in people with diabetes, including food and physical activity choices, illness, non-diabetes medications, or not taking enough glucose-lowering medication.</w:t>
      </w:r>
    </w:p>
    <w:p w14:paraId="60F89FA0" w14:textId="77777777" w:rsidR="006F421D" w:rsidRDefault="006F421D">
      <w:pPr>
        <w:pStyle w:val="2body-copy"/>
        <w:divId w:val="2142334130"/>
        <w:rPr>
          <w:rFonts w:cs="Times New Roman"/>
          <w:lang w:val="en-GB"/>
        </w:rPr>
      </w:pPr>
      <w:r>
        <w:rPr>
          <w:rStyle w:val="2body-medium"/>
          <w:rFonts w:cs="Times New Roman"/>
          <w:lang w:val="en-GB"/>
        </w:rPr>
        <w:t>Hypoglycaemia:</w:t>
      </w:r>
      <w:r>
        <w:rPr>
          <w:rFonts w:cs="Times New Roman"/>
          <w:lang w:val="en-GB"/>
        </w:rPr>
        <w:t xml:space="preserve"> An abnormally low blood glucose level. It is also known as a “hypo” or low blood glucose. Hypoglycaemia can occur in people with diabetes using insulin, and certain diabetes medications. It usually occurs when the blood glucose level falls below 4mmol/L.</w:t>
      </w:r>
    </w:p>
    <w:p w14:paraId="3D109D1C" w14:textId="77777777" w:rsidR="006F421D" w:rsidRDefault="006F421D">
      <w:pPr>
        <w:pStyle w:val="2body-copy"/>
        <w:divId w:val="2142334130"/>
        <w:rPr>
          <w:rFonts w:cs="Times New Roman"/>
          <w:lang w:val="en-GB"/>
        </w:rPr>
      </w:pPr>
      <w:r>
        <w:rPr>
          <w:rStyle w:val="2body-medium"/>
          <w:rFonts w:cs="Times New Roman"/>
          <w:lang w:val="en-GB"/>
        </w:rPr>
        <w:t>Infection:</w:t>
      </w:r>
      <w:r>
        <w:rPr>
          <w:rFonts w:cs="Times New Roman"/>
          <w:lang w:val="en-GB"/>
        </w:rPr>
        <w:t xml:space="preserve"> The invasion and reproduction of pathogenic or disease-causing organisms inside the body. This may cause tissue injury and disease.</w:t>
      </w:r>
      <w:r>
        <w:rPr>
          <w:rStyle w:val="superscript"/>
          <w:rFonts w:cs="Times New Roman"/>
          <w:lang w:val="en-GB"/>
        </w:rPr>
        <w:t>18</w:t>
      </w:r>
    </w:p>
    <w:p w14:paraId="416808CC" w14:textId="77777777" w:rsidR="006F421D" w:rsidRDefault="006F421D">
      <w:pPr>
        <w:pStyle w:val="2body-copy"/>
        <w:divId w:val="2142334130"/>
        <w:rPr>
          <w:rFonts w:cs="Times New Roman"/>
          <w:lang w:val="en-GB"/>
        </w:rPr>
      </w:pPr>
      <w:r>
        <w:rPr>
          <w:rStyle w:val="2body-medium"/>
          <w:rFonts w:cs="Times New Roman"/>
          <w:lang w:val="en-GB"/>
        </w:rPr>
        <w:t>Infection control or infection control measures:</w:t>
      </w:r>
      <w:r>
        <w:rPr>
          <w:rFonts w:cs="Times New Roman"/>
          <w:lang w:val="en-GB"/>
        </w:rPr>
        <w:t xml:space="preserve"> Actions to prevent the spread of pathogens between people in a healthcare setting. Examples of infection control measures include targeted healthcare-associated infection surveillance, infectious disease monitoring, hand hygiene and wearing personal protective equipment.</w:t>
      </w:r>
      <w:r>
        <w:rPr>
          <w:rStyle w:val="superscript"/>
          <w:rFonts w:cs="Times New Roman"/>
          <w:lang w:val="en-GB"/>
        </w:rPr>
        <w:t>18</w:t>
      </w:r>
    </w:p>
    <w:p w14:paraId="4F265AD7" w14:textId="77777777" w:rsidR="006F421D" w:rsidRDefault="006F421D">
      <w:pPr>
        <w:pStyle w:val="2body-copy"/>
        <w:divId w:val="2142334130"/>
        <w:rPr>
          <w:rFonts w:cs="Times New Roman"/>
          <w:lang w:val="en-GB"/>
        </w:rPr>
      </w:pPr>
      <w:r>
        <w:rPr>
          <w:rStyle w:val="2body-medium"/>
          <w:rFonts w:cs="Times New Roman"/>
          <w:lang w:val="en-GB"/>
        </w:rPr>
        <w:t>Jurisdictions:</w:t>
      </w:r>
      <w:r>
        <w:rPr>
          <w:rFonts w:cs="Times New Roman"/>
          <w:lang w:val="en-GB"/>
        </w:rPr>
        <w:t xml:space="preserve"> State and territory governments.</w:t>
      </w:r>
    </w:p>
    <w:p w14:paraId="0D77D70E" w14:textId="77777777" w:rsidR="006F421D" w:rsidRDefault="006F421D">
      <w:pPr>
        <w:pStyle w:val="2body-copy"/>
        <w:divId w:val="2142334130"/>
        <w:rPr>
          <w:rFonts w:cs="Times New Roman"/>
          <w:lang w:val="en-GB"/>
        </w:rPr>
      </w:pPr>
      <w:r>
        <w:rPr>
          <w:rStyle w:val="2body-medium"/>
          <w:rFonts w:cs="Times New Roman"/>
          <w:lang w:val="en-GB"/>
        </w:rPr>
        <w:t>Medicare Locals:</w:t>
      </w:r>
      <w:r>
        <w:rPr>
          <w:rFonts w:cs="Times New Roman"/>
          <w:lang w:val="en-GB"/>
        </w:rPr>
        <w:t xml:space="preserve"> A nation-wide network of primary health care organisations to support health providers, to improve the delivery of primary care services at a local level and to improve access to after </w:t>
      </w:r>
      <w:proofErr w:type="gramStart"/>
      <w:r>
        <w:rPr>
          <w:rFonts w:cs="Times New Roman"/>
          <w:lang w:val="en-GB"/>
        </w:rPr>
        <w:t>hours</w:t>
      </w:r>
      <w:proofErr w:type="gramEnd"/>
      <w:r>
        <w:rPr>
          <w:rFonts w:cs="Times New Roman"/>
          <w:lang w:val="en-GB"/>
        </w:rPr>
        <w:t xml:space="preserve"> primary care.</w:t>
      </w:r>
    </w:p>
    <w:p w14:paraId="4981EB9C" w14:textId="77777777" w:rsidR="006F421D" w:rsidRDefault="006F421D">
      <w:pPr>
        <w:pStyle w:val="2body-copy"/>
        <w:divId w:val="2142334130"/>
        <w:rPr>
          <w:rFonts w:cs="Times New Roman"/>
          <w:lang w:val="en-GB"/>
        </w:rPr>
      </w:pPr>
      <w:r>
        <w:rPr>
          <w:rStyle w:val="2body-medium"/>
          <w:rFonts w:cs="Times New Roman"/>
          <w:lang w:val="en-GB"/>
        </w:rPr>
        <w:t xml:space="preserve">Medication: </w:t>
      </w:r>
      <w:r>
        <w:rPr>
          <w:rFonts w:cs="Times New Roman"/>
          <w:lang w:val="en-GB"/>
        </w:rPr>
        <w:t>Using medicine for therapy or for diagnosis, its interaction with the patient and its effects.</w:t>
      </w:r>
    </w:p>
    <w:p w14:paraId="18388A01" w14:textId="77777777" w:rsidR="006F421D" w:rsidRDefault="006F421D">
      <w:pPr>
        <w:pStyle w:val="2body-copy"/>
        <w:divId w:val="2142334130"/>
        <w:rPr>
          <w:rFonts w:cs="Times New Roman"/>
          <w:lang w:val="en-GB"/>
        </w:rPr>
      </w:pPr>
      <w:r>
        <w:rPr>
          <w:rStyle w:val="2body-medium"/>
          <w:rFonts w:cs="Times New Roman"/>
          <w:lang w:val="en-GB"/>
        </w:rPr>
        <w:t>Medication chart:</w:t>
      </w:r>
      <w:r>
        <w:rPr>
          <w:rFonts w:cs="Times New Roman"/>
          <w:lang w:val="en-GB"/>
        </w:rPr>
        <w:t xml:space="preserve"> A chart used by an authorised prescriber to record medication and treatment orders, as well as by nursing staff to record and monitor the administration of such medicines and treatment.</w:t>
      </w:r>
    </w:p>
    <w:p w14:paraId="4C130308" w14:textId="77777777" w:rsidR="006F421D" w:rsidRDefault="006F421D">
      <w:pPr>
        <w:pStyle w:val="2body-copy"/>
        <w:divId w:val="2142334130"/>
        <w:rPr>
          <w:rFonts w:cs="Times New Roman"/>
          <w:lang w:val="en-GB"/>
        </w:rPr>
      </w:pPr>
      <w:r>
        <w:rPr>
          <w:rStyle w:val="2body-medium"/>
          <w:rFonts w:cs="Times New Roman"/>
          <w:lang w:val="en-GB"/>
        </w:rPr>
        <w:t>Medication error:</w:t>
      </w:r>
      <w:r>
        <w:rPr>
          <w:rFonts w:cs="Times New Roman"/>
          <w:lang w:val="en-GB"/>
        </w:rPr>
        <w:t xml:space="preserve"> Any preventable event that may cause or lead to inappropriate medication use or patient harm while the medication is in the control of the healthcare provider or consumer.</w:t>
      </w:r>
      <w:r>
        <w:rPr>
          <w:rStyle w:val="superscript"/>
          <w:rFonts w:cs="Times New Roman"/>
          <w:lang w:val="en-GB"/>
        </w:rPr>
        <w:t>26</w:t>
      </w:r>
    </w:p>
    <w:p w14:paraId="10682C5E" w14:textId="77777777" w:rsidR="006F421D" w:rsidRDefault="006F421D">
      <w:pPr>
        <w:pStyle w:val="2body-copy"/>
        <w:divId w:val="2142334130"/>
        <w:rPr>
          <w:rFonts w:cs="Times New Roman"/>
          <w:lang w:val="en-GB"/>
        </w:rPr>
      </w:pPr>
      <w:r>
        <w:rPr>
          <w:rStyle w:val="2body-medium"/>
          <w:rFonts w:cs="Times New Roman"/>
          <w:lang w:val="en-GB"/>
        </w:rPr>
        <w:t>Medication reconciliation:</w:t>
      </w:r>
      <w:r>
        <w:rPr>
          <w:rFonts w:cs="Times New Roman"/>
          <w:lang w:val="en-GB"/>
        </w:rPr>
        <w:t xml:space="preserve"> The process of obtaining, verifying and documenting an accurate list of a patient’s current medications on admission to a healthcare facility, and comparing this list to the admission, transfer and/or </w:t>
      </w:r>
      <w:r>
        <w:rPr>
          <w:rFonts w:cs="Times New Roman"/>
          <w:lang w:val="en-GB"/>
        </w:rPr>
        <w:lastRenderedPageBreak/>
        <w:t>discharge medication orders to identify and resolve discrepancies. At the end of the period of care, the verified information is transferred to the next care provider.</w:t>
      </w:r>
    </w:p>
    <w:p w14:paraId="077AB931" w14:textId="77777777" w:rsidR="006F421D" w:rsidRDefault="006F421D">
      <w:pPr>
        <w:pStyle w:val="2body-copy"/>
        <w:divId w:val="2142334130"/>
        <w:rPr>
          <w:rFonts w:cs="Times New Roman"/>
          <w:lang w:val="en-GB"/>
        </w:rPr>
      </w:pPr>
      <w:r>
        <w:rPr>
          <w:rStyle w:val="2body-medium"/>
          <w:rFonts w:cs="Times New Roman"/>
          <w:lang w:val="en-GB"/>
        </w:rPr>
        <w:t>Medicine:</w:t>
      </w:r>
      <w:r>
        <w:rPr>
          <w:rFonts w:cs="Times New Roman"/>
          <w:lang w:val="en-GB"/>
        </w:rPr>
        <w:t xml:space="preserve"> A chemical substance given to prevent, diagnose, cure, control or alleviate disease, or otherwise improve the physical or mental welfare of people. Prescription, non-prescription and complementary medicines, irrespective of their administration route, are included in this definition.</w:t>
      </w:r>
      <w:r>
        <w:rPr>
          <w:rStyle w:val="superscript"/>
          <w:rFonts w:cs="Times New Roman"/>
          <w:lang w:val="en-GB"/>
        </w:rPr>
        <w:t>27</w:t>
      </w:r>
    </w:p>
    <w:p w14:paraId="0A1F3245" w14:textId="77777777" w:rsidR="006F421D" w:rsidRDefault="006F421D">
      <w:pPr>
        <w:pStyle w:val="2body-copy"/>
        <w:divId w:val="2142334130"/>
        <w:rPr>
          <w:rFonts w:cs="Times New Roman"/>
          <w:lang w:val="en-GB"/>
        </w:rPr>
      </w:pPr>
      <w:r>
        <w:rPr>
          <w:rStyle w:val="2body-medium"/>
          <w:rFonts w:cs="Times New Roman"/>
          <w:lang w:val="en-GB"/>
        </w:rPr>
        <w:t xml:space="preserve">Monitor: </w:t>
      </w:r>
      <w:r>
        <w:rPr>
          <w:rFonts w:cs="Times New Roman"/>
          <w:lang w:val="en-GB"/>
        </w:rPr>
        <w:t>To check, supervise, observe critically or record the progress of an activity, action or system on a regular basis to identify and track change.</w:t>
      </w:r>
    </w:p>
    <w:p w14:paraId="69D82DA6" w14:textId="77777777" w:rsidR="006F421D" w:rsidRDefault="006F421D">
      <w:pPr>
        <w:pStyle w:val="2body-copy"/>
        <w:divId w:val="2142334130"/>
        <w:rPr>
          <w:rFonts w:cs="Times New Roman"/>
          <w:lang w:val="en-GB"/>
        </w:rPr>
      </w:pPr>
      <w:r>
        <w:rPr>
          <w:rStyle w:val="2body-medium"/>
          <w:rFonts w:cs="Times New Roman"/>
          <w:lang w:val="en-GB"/>
        </w:rPr>
        <w:t>National Hand Hygiene Initiative (NHHI):</w:t>
      </w:r>
      <w:r>
        <w:rPr>
          <w:rFonts w:cs="Times New Roman"/>
          <w:lang w:val="en-GB"/>
        </w:rPr>
        <w:t xml:space="preserve"> An initiative to develop a national approach to improving hand hygiene and monitor its effectiveness.</w:t>
      </w:r>
    </w:p>
    <w:p w14:paraId="255C1611" w14:textId="77777777" w:rsidR="006F421D" w:rsidRDefault="006F421D">
      <w:pPr>
        <w:pStyle w:val="2body-copy"/>
        <w:divId w:val="2142334130"/>
        <w:rPr>
          <w:rFonts w:cs="Times New Roman"/>
          <w:lang w:val="en-GB"/>
        </w:rPr>
      </w:pPr>
      <w:r>
        <w:rPr>
          <w:rStyle w:val="2body-medium"/>
          <w:rFonts w:cs="Times New Roman"/>
          <w:lang w:val="en-GB"/>
        </w:rPr>
        <w:t>National Inpatient Medication Chart (NIMC):</w:t>
      </w:r>
      <w:r>
        <w:rPr>
          <w:rFonts w:cs="Times New Roman"/>
          <w:lang w:val="en-GB"/>
        </w:rPr>
        <w:t xml:space="preserve"> A suite of nationally standardised medication charts, both paper and electronic, that present and communicate information on the medicines prescribed, dispensed, administered and reconciled for individual inpatients consistently between healthcare providers.</w:t>
      </w:r>
    </w:p>
    <w:p w14:paraId="58C75F11" w14:textId="77777777" w:rsidR="006F421D" w:rsidRDefault="006F421D">
      <w:pPr>
        <w:pStyle w:val="2body-copy"/>
        <w:divId w:val="2142334130"/>
        <w:rPr>
          <w:rFonts w:cs="Times New Roman"/>
          <w:lang w:val="en-GB"/>
        </w:rPr>
      </w:pPr>
      <w:r>
        <w:rPr>
          <w:rStyle w:val="2body-medium"/>
          <w:rFonts w:cs="Times New Roman"/>
          <w:lang w:val="en-GB"/>
        </w:rPr>
        <w:t>National Residential Medication Chart (NRMC):</w:t>
      </w:r>
      <w:r>
        <w:rPr>
          <w:rFonts w:cs="Times New Roman"/>
          <w:lang w:val="en-GB"/>
        </w:rPr>
        <w:t xml:space="preserve"> The medication chart or set of standard elements for a medication chart developed by the Commission. It permits Pharmaceutical Benefits Scheme (PBS) prescribers to prescribe, and eligible approved suppliers to claim for eligible PBS and Repatriation Pharmaceutical Benefits Scheme (RPBS) medicines. It also sets out required fields for safely using medicines in residential aged-care facilities.</w:t>
      </w:r>
    </w:p>
    <w:p w14:paraId="739707A8" w14:textId="77777777" w:rsidR="006F421D" w:rsidRDefault="006F421D">
      <w:pPr>
        <w:pStyle w:val="2body-copy"/>
        <w:divId w:val="2142334130"/>
        <w:rPr>
          <w:rFonts w:cs="Times New Roman"/>
          <w:lang w:val="en-GB"/>
        </w:rPr>
      </w:pPr>
      <w:r>
        <w:rPr>
          <w:rStyle w:val="2body-medium"/>
          <w:rFonts w:cs="Times New Roman"/>
          <w:lang w:val="en-GB"/>
        </w:rPr>
        <w:t>National Safety and Quality Health Service (NSQHS) Standards:</w:t>
      </w:r>
      <w:r>
        <w:rPr>
          <w:rFonts w:cs="Times New Roman"/>
          <w:lang w:val="en-GB"/>
        </w:rPr>
        <w:t xml:space="preserve"> Ten standards developed by the Commission in consultation and collaboration with jurisdictions, technical experts and healthcare providers and patients. The NSQHS Standards aim to protect the public from harm and to improve the quality of health services. They provide a quality assurance mechanism that tests whether relevant systems are in place to ensure minimum safety and quality standards are met, and a quality improvement mechanism that allows health services to realise aspirational or developmental goals.</w:t>
      </w:r>
    </w:p>
    <w:p w14:paraId="040DBB3C" w14:textId="77777777" w:rsidR="006F421D" w:rsidRDefault="006F421D">
      <w:pPr>
        <w:pStyle w:val="2body-copy"/>
        <w:divId w:val="2142334130"/>
        <w:rPr>
          <w:rFonts w:cs="Times New Roman"/>
          <w:lang w:val="en-GB"/>
        </w:rPr>
      </w:pPr>
      <w:r>
        <w:rPr>
          <w:rStyle w:val="2body-medium"/>
          <w:rFonts w:cs="Times New Roman"/>
          <w:lang w:val="en-GB"/>
        </w:rPr>
        <w:t xml:space="preserve">Open disclosure: </w:t>
      </w:r>
      <w:r>
        <w:rPr>
          <w:rFonts w:cs="Times New Roman"/>
          <w:lang w:val="en-GB"/>
        </w:rPr>
        <w:t>An open discussion with a patient about incidents that resulted in harm to that patient while they were receiving health care. The elements of open disclosure are an apology or expression of regret (including the word “sorry”), a factual explanation of what happened, an opportunity for the patient to relate their experience, and an explanation of the steps being taken to manage the event and prevent recurrence. Open disclosure may take place over several meetings.</w:t>
      </w:r>
    </w:p>
    <w:p w14:paraId="1DD4A25F" w14:textId="77777777" w:rsidR="006F421D" w:rsidRDefault="006F421D">
      <w:pPr>
        <w:pStyle w:val="2body-copy"/>
        <w:divId w:val="2142334130"/>
        <w:rPr>
          <w:rFonts w:cs="Times New Roman"/>
          <w:lang w:val="en-GB"/>
        </w:rPr>
      </w:pPr>
      <w:r>
        <w:rPr>
          <w:rStyle w:val="2body-medium"/>
          <w:rFonts w:cs="Times New Roman"/>
          <w:lang w:val="en-GB"/>
        </w:rPr>
        <w:t>Patient:</w:t>
      </w:r>
      <w:r>
        <w:rPr>
          <w:rFonts w:cs="Times New Roman"/>
          <w:lang w:val="en-GB"/>
        </w:rPr>
        <w:t xml:space="preserve"> A person receiving health care. Synonyms for “patient” include consumer and client.</w:t>
      </w:r>
    </w:p>
    <w:p w14:paraId="0165EB7C" w14:textId="77777777" w:rsidR="006F421D" w:rsidRDefault="006F421D">
      <w:pPr>
        <w:pStyle w:val="2body-copy"/>
        <w:divId w:val="2142334130"/>
        <w:rPr>
          <w:rFonts w:cs="Times New Roman"/>
          <w:lang w:val="en-GB"/>
        </w:rPr>
      </w:pPr>
      <w:r>
        <w:rPr>
          <w:rStyle w:val="2body-medium"/>
          <w:rFonts w:cs="Times New Roman"/>
          <w:lang w:val="en-GB"/>
        </w:rPr>
        <w:t>Patient safety:</w:t>
      </w:r>
      <w:r>
        <w:rPr>
          <w:rFonts w:cs="Times New Roman"/>
          <w:lang w:val="en-GB"/>
        </w:rPr>
        <w:t xml:space="preserve"> Reducing the risk of unnecessary harm associated with health care to an acceptable minimum.</w:t>
      </w:r>
    </w:p>
    <w:p w14:paraId="3E07A6C6" w14:textId="77777777" w:rsidR="006F421D" w:rsidRDefault="006F421D">
      <w:pPr>
        <w:pStyle w:val="2body-copy"/>
        <w:divId w:val="2142334130"/>
        <w:rPr>
          <w:rFonts w:cs="Times New Roman"/>
          <w:lang w:val="en-GB"/>
        </w:rPr>
      </w:pPr>
      <w:r>
        <w:rPr>
          <w:rStyle w:val="2body-medium"/>
          <w:rFonts w:cs="Times New Roman"/>
          <w:lang w:val="en-GB"/>
        </w:rPr>
        <w:t>Perioperative:</w:t>
      </w:r>
      <w:r>
        <w:rPr>
          <w:rFonts w:cs="Times New Roman"/>
          <w:lang w:val="en-GB"/>
        </w:rPr>
        <w:t xml:space="preserve"> Pertaining to the period of time surrounding a surgical procedure, including the preoperative, intraoperative and postoperative periods.</w:t>
      </w:r>
    </w:p>
    <w:p w14:paraId="4695D2A5" w14:textId="77777777" w:rsidR="006F421D" w:rsidRDefault="006F421D">
      <w:pPr>
        <w:pStyle w:val="2body-copy"/>
        <w:divId w:val="2142334130"/>
        <w:rPr>
          <w:rFonts w:cs="Times New Roman"/>
          <w:lang w:val="en-GB"/>
        </w:rPr>
      </w:pPr>
      <w:r>
        <w:rPr>
          <w:rStyle w:val="2body-medium"/>
          <w:rFonts w:cs="Times New Roman"/>
          <w:lang w:val="en-GB"/>
        </w:rPr>
        <w:t>Practice gaps:</w:t>
      </w:r>
      <w:r>
        <w:rPr>
          <w:rFonts w:cs="Times New Roman"/>
          <w:lang w:val="en-GB"/>
        </w:rPr>
        <w:t xml:space="preserve"> The difference between actual and ideal performance </w:t>
      </w:r>
      <w:proofErr w:type="gramStart"/>
      <w:r>
        <w:rPr>
          <w:rFonts w:cs="Times New Roman"/>
          <w:lang w:val="en-GB"/>
        </w:rPr>
        <w:t>and/or</w:t>
      </w:r>
      <w:proofErr w:type="gramEnd"/>
      <w:r>
        <w:rPr>
          <w:rFonts w:cs="Times New Roman"/>
          <w:lang w:val="en-GB"/>
        </w:rPr>
        <w:t xml:space="preserve"> patient outcomes.</w:t>
      </w:r>
    </w:p>
    <w:p w14:paraId="7CBEEBA4" w14:textId="77777777" w:rsidR="006F421D" w:rsidRDefault="006F421D">
      <w:pPr>
        <w:pStyle w:val="2body-copy"/>
        <w:divId w:val="2142334130"/>
        <w:rPr>
          <w:rFonts w:cs="Times New Roman"/>
          <w:lang w:val="en-GB"/>
        </w:rPr>
      </w:pPr>
      <w:r>
        <w:rPr>
          <w:rStyle w:val="2body-medium"/>
          <w:rFonts w:cs="Times New Roman"/>
          <w:lang w:val="en-GB"/>
        </w:rPr>
        <w:t>Practice-level indicators:</w:t>
      </w:r>
      <w:r>
        <w:rPr>
          <w:rFonts w:cs="Times New Roman"/>
          <w:lang w:val="en-GB"/>
        </w:rPr>
        <w:t xml:space="preserve"> Indicators designed for voluntary inclusion in quality improvement strategies at the local practice or service level. They are intended for local use by organisations and individuals providing primary healthcare services.</w:t>
      </w:r>
    </w:p>
    <w:p w14:paraId="4362DB67" w14:textId="77777777" w:rsidR="006F421D" w:rsidRDefault="006F421D">
      <w:pPr>
        <w:pStyle w:val="2body-copy"/>
        <w:divId w:val="2142334130"/>
        <w:rPr>
          <w:rFonts w:cs="Times New Roman"/>
          <w:lang w:val="en-GB"/>
        </w:rPr>
      </w:pPr>
      <w:r>
        <w:rPr>
          <w:rStyle w:val="2body-medium"/>
          <w:rFonts w:cs="Times New Roman"/>
          <w:lang w:val="en-GB"/>
        </w:rPr>
        <w:t>Pressure injuries:</w:t>
      </w:r>
      <w:r>
        <w:rPr>
          <w:rFonts w:cs="Times New Roman"/>
          <w:lang w:val="en-GB"/>
        </w:rPr>
        <w:t xml:space="preserve"> These are localised to the skin and/or underlying tissue, usually over a bony prominence and caused by unrelieved pressure, friction or shearing. Pressure injuries occur most commonly on the sacrum and heel but can develop anywhere on the body. Pressure injury is a synonymous term for pressure ulcer.</w:t>
      </w:r>
    </w:p>
    <w:p w14:paraId="4287DCC1" w14:textId="77777777" w:rsidR="006F421D" w:rsidRDefault="006F421D">
      <w:pPr>
        <w:pStyle w:val="2body-copy"/>
        <w:divId w:val="2142334130"/>
        <w:rPr>
          <w:rFonts w:cs="Times New Roman"/>
          <w:lang w:val="en-GB"/>
        </w:rPr>
      </w:pPr>
      <w:r>
        <w:rPr>
          <w:rStyle w:val="2body-medium"/>
          <w:rFonts w:cs="Times New Roman"/>
          <w:lang w:val="en-GB"/>
        </w:rPr>
        <w:t>Prophylaxis:</w:t>
      </w:r>
      <w:r>
        <w:rPr>
          <w:rFonts w:cs="Times New Roman"/>
          <w:lang w:val="en-GB"/>
        </w:rPr>
        <w:t xml:space="preserve"> A measure taken for the prevention of a disease.</w:t>
      </w:r>
    </w:p>
    <w:p w14:paraId="712CA5E3" w14:textId="77777777" w:rsidR="006F421D" w:rsidRDefault="006F421D">
      <w:pPr>
        <w:pStyle w:val="2body-copy"/>
        <w:divId w:val="2142334130"/>
        <w:rPr>
          <w:rFonts w:cs="Times New Roman"/>
          <w:lang w:val="en-GB"/>
        </w:rPr>
      </w:pPr>
      <w:r>
        <w:rPr>
          <w:rStyle w:val="2body-medium"/>
          <w:rFonts w:cs="Times New Roman"/>
          <w:lang w:val="en-GB"/>
        </w:rPr>
        <w:t>Quality of care:</w:t>
      </w:r>
      <w:r>
        <w:rPr>
          <w:rFonts w:cs="Times New Roman"/>
          <w:lang w:val="en-GB"/>
        </w:rPr>
        <w:t xml:space="preserve"> The degree to which health services for individuals and populations increase the likelihood of desired health outcomes, and are consistent with current professional knowledge.</w:t>
      </w:r>
    </w:p>
    <w:p w14:paraId="58E4E422" w14:textId="77777777" w:rsidR="006F421D" w:rsidRDefault="006F421D">
      <w:pPr>
        <w:pStyle w:val="2body-copy"/>
        <w:divId w:val="2142334130"/>
        <w:rPr>
          <w:rFonts w:cs="Times New Roman"/>
          <w:lang w:val="en-GB"/>
        </w:rPr>
      </w:pPr>
      <w:r>
        <w:rPr>
          <w:rStyle w:val="2body-medium"/>
          <w:rFonts w:cs="Times New Roman"/>
          <w:lang w:val="en-GB"/>
        </w:rPr>
        <w:t>Residential aged-care facility:</w:t>
      </w:r>
      <w:r>
        <w:rPr>
          <w:rFonts w:cs="Times New Roman"/>
          <w:lang w:val="en-GB"/>
        </w:rPr>
        <w:t xml:space="preserve"> A facility that cares for older patients, operated by an approved provider. It replaces the older terms “nursing home” and “hostel”.</w:t>
      </w:r>
    </w:p>
    <w:p w14:paraId="6010D121" w14:textId="77777777" w:rsidR="006F421D" w:rsidRDefault="006F421D">
      <w:pPr>
        <w:pStyle w:val="2body-copy"/>
        <w:divId w:val="2142334130"/>
        <w:rPr>
          <w:rFonts w:cs="Times New Roman"/>
          <w:lang w:val="en-GB"/>
        </w:rPr>
      </w:pPr>
      <w:r>
        <w:rPr>
          <w:rStyle w:val="2body-medium"/>
          <w:rFonts w:cs="Times New Roman"/>
          <w:lang w:val="en-GB"/>
        </w:rPr>
        <w:t>Shared decision making:</w:t>
      </w:r>
      <w:r>
        <w:rPr>
          <w:rFonts w:cs="Times New Roman"/>
          <w:lang w:val="en-GB"/>
        </w:rPr>
        <w:t xml:space="preserve"> Shared decision making involves the integration of a patient’s values, goals and concerns with the best available evidence about benefits, risks and uncertainties of treatment to achieve appropriate health care decisions.</w:t>
      </w:r>
      <w:r>
        <w:rPr>
          <w:rStyle w:val="superscript"/>
          <w:rFonts w:cs="Times New Roman"/>
          <w:lang w:val="en-GB"/>
        </w:rPr>
        <w:t>28</w:t>
      </w:r>
    </w:p>
    <w:p w14:paraId="0033C498" w14:textId="77777777" w:rsidR="006F421D" w:rsidRDefault="006F421D">
      <w:pPr>
        <w:pStyle w:val="2body-copy"/>
        <w:divId w:val="2142334130"/>
        <w:rPr>
          <w:rFonts w:cs="Times New Roman"/>
          <w:lang w:val="en-GB"/>
        </w:rPr>
      </w:pPr>
      <w:r>
        <w:rPr>
          <w:rStyle w:val="2body-medium"/>
          <w:rFonts w:cs="Times New Roman"/>
          <w:lang w:val="en-GB"/>
        </w:rPr>
        <w:t>Standard:</w:t>
      </w:r>
      <w:r>
        <w:rPr>
          <w:rFonts w:cs="Times New Roman"/>
          <w:lang w:val="en-GB"/>
        </w:rPr>
        <w:t xml:space="preserve"> Agreed attributes and processes designed to ensure that a product, service or method will perform consistently at a designated level.</w:t>
      </w:r>
    </w:p>
    <w:p w14:paraId="5D09BA62" w14:textId="77777777" w:rsidR="006F421D" w:rsidRDefault="006F421D">
      <w:pPr>
        <w:pStyle w:val="2body-copy"/>
        <w:divId w:val="2142334130"/>
        <w:rPr>
          <w:rFonts w:cs="Times New Roman"/>
          <w:lang w:val="en-GB"/>
        </w:rPr>
      </w:pPr>
      <w:r>
        <w:rPr>
          <w:rStyle w:val="2body-medium"/>
          <w:rFonts w:cs="Times New Roman"/>
          <w:lang w:val="en-GB"/>
        </w:rPr>
        <w:lastRenderedPageBreak/>
        <w:t>Unwarranted healthcare variation:</w:t>
      </w:r>
      <w:r>
        <w:rPr>
          <w:rFonts w:cs="Times New Roman"/>
          <w:lang w:val="en-GB"/>
        </w:rPr>
        <w:t xml:space="preserve"> Variation not attributed to patients’ needs, wants or preferences that cannot be explained on the basis of a patient’s illness, medical evidence or preferences.</w:t>
      </w:r>
      <w:r>
        <w:rPr>
          <w:rStyle w:val="superscript"/>
          <w:rFonts w:cs="Times New Roman"/>
          <w:lang w:val="en-GB"/>
        </w:rPr>
        <w:t>29</w:t>
      </w:r>
      <w:r>
        <w:rPr>
          <w:rFonts w:cs="Times New Roman"/>
          <w:lang w:val="en-GB"/>
        </w:rPr>
        <w:t xml:space="preserve"> Unwarranted variation raises questions about quality, equity and efficiency in health care.</w:t>
      </w:r>
      <w:r>
        <w:rPr>
          <w:rStyle w:val="superscript"/>
          <w:rFonts w:cs="Times New Roman"/>
          <w:lang w:val="en-GB"/>
        </w:rPr>
        <w:t>25</w:t>
      </w:r>
    </w:p>
    <w:p w14:paraId="59402029" w14:textId="77777777" w:rsidR="006F421D" w:rsidRDefault="006F421D">
      <w:pPr>
        <w:pStyle w:val="2body-copy"/>
        <w:divId w:val="2142334130"/>
        <w:rPr>
          <w:rFonts w:cs="Times New Roman"/>
          <w:lang w:val="en-GB"/>
        </w:rPr>
      </w:pPr>
      <w:r>
        <w:rPr>
          <w:rStyle w:val="2body-medium"/>
          <w:rFonts w:cs="Times New Roman"/>
          <w:lang w:val="en-GB"/>
        </w:rPr>
        <w:t xml:space="preserve">Venous thromboembolism: </w:t>
      </w:r>
      <w:r>
        <w:rPr>
          <w:rFonts w:cs="Times New Roman"/>
          <w:lang w:val="en-GB"/>
        </w:rPr>
        <w:t>The blocking of a blood vessel by a blood clot dislodged from its site of origin. It includes both deep vein thrombosis and pulmonary embolism.</w:t>
      </w:r>
    </w:p>
    <w:p w14:paraId="0C1EB5F7" w14:textId="77777777" w:rsidR="006F421D" w:rsidRDefault="006F421D" w:rsidP="00FD071D">
      <w:pPr>
        <w:pStyle w:val="Heading2"/>
        <w:divId w:val="1174342577"/>
        <w:rPr>
          <w:lang w:val="en-GB"/>
        </w:rPr>
      </w:pPr>
      <w:bookmarkStart w:id="60" w:name="_Toc414011918"/>
      <w:r>
        <w:rPr>
          <w:lang w:val="en-GB"/>
        </w:rPr>
        <w:t>Index of tables</w:t>
      </w:r>
      <w:bookmarkEnd w:id="60"/>
    </w:p>
    <w:tbl>
      <w:tblPr>
        <w:tblW w:w="0" w:type="auto"/>
        <w:tblCellMar>
          <w:top w:w="28" w:type="dxa"/>
          <w:left w:w="113" w:type="dxa"/>
          <w:bottom w:w="28" w:type="dxa"/>
          <w:right w:w="113" w:type="dxa"/>
        </w:tblCellMar>
        <w:tblLook w:val="04A0" w:firstRow="1" w:lastRow="0" w:firstColumn="1" w:lastColumn="0" w:noHBand="0" w:noVBand="1"/>
      </w:tblPr>
      <w:tblGrid>
        <w:gridCol w:w="1333"/>
        <w:gridCol w:w="6946"/>
        <w:gridCol w:w="1984"/>
      </w:tblGrid>
      <w:tr w:rsidR="006F421D" w14:paraId="22265422" w14:textId="77777777" w:rsidTr="006F421D">
        <w:trPr>
          <w:divId w:val="2142334130"/>
        </w:trPr>
        <w:tc>
          <w:tcPr>
            <w:tcW w:w="8279" w:type="dxa"/>
            <w:gridSpan w:val="2"/>
            <w:tcBorders>
              <w:top w:val="nil"/>
              <w:left w:val="nil"/>
              <w:right w:val="nil"/>
            </w:tcBorders>
            <w:shd w:val="clear" w:color="auto" w:fill="5F605F"/>
            <w:vAlign w:val="center"/>
            <w:hideMark/>
          </w:tcPr>
          <w:p w14:paraId="11377BE2" w14:textId="77777777" w:rsidR="006F421D" w:rsidRDefault="006F421D">
            <w:pPr>
              <w:pStyle w:val="financials03table-header-l"/>
              <w:rPr>
                <w:rFonts w:cs="Times New Roman"/>
              </w:rPr>
            </w:pPr>
            <w:r>
              <w:rPr>
                <w:rFonts w:cs="Times New Roman"/>
              </w:rPr>
              <w:t>Table</w:t>
            </w:r>
          </w:p>
        </w:tc>
        <w:tc>
          <w:tcPr>
            <w:tcW w:w="1984" w:type="dxa"/>
            <w:tcBorders>
              <w:top w:val="nil"/>
              <w:left w:val="nil"/>
              <w:right w:val="nil"/>
            </w:tcBorders>
            <w:shd w:val="clear" w:color="auto" w:fill="5F605F"/>
            <w:vAlign w:val="center"/>
            <w:hideMark/>
          </w:tcPr>
          <w:p w14:paraId="18983497" w14:textId="77777777" w:rsidR="006F421D" w:rsidRDefault="006F421D">
            <w:pPr>
              <w:pStyle w:val="financials03table-header-r"/>
              <w:jc w:val="right"/>
              <w:rPr>
                <w:rFonts w:cs="Times New Roman"/>
              </w:rPr>
            </w:pPr>
            <w:r>
              <w:rPr>
                <w:rFonts w:cs="Times New Roman"/>
              </w:rPr>
              <w:t>Page reference</w:t>
            </w:r>
          </w:p>
        </w:tc>
      </w:tr>
      <w:tr w:rsidR="006F421D" w14:paraId="2A6A9CFE" w14:textId="77777777" w:rsidTr="006F421D">
        <w:trPr>
          <w:divId w:val="2142334130"/>
        </w:trPr>
        <w:tc>
          <w:tcPr>
            <w:tcW w:w="1333" w:type="dxa"/>
            <w:tcBorders>
              <w:left w:val="dotted" w:sz="12" w:space="0" w:color="5F605F"/>
              <w:bottom w:val="dotted" w:sz="12" w:space="0" w:color="5F605F"/>
              <w:right w:val="dotted" w:sz="12" w:space="0" w:color="5F605F"/>
            </w:tcBorders>
            <w:vAlign w:val="center"/>
            <w:hideMark/>
          </w:tcPr>
          <w:p w14:paraId="33765692" w14:textId="77777777" w:rsidR="006F421D" w:rsidRDefault="006F421D">
            <w:pPr>
              <w:pStyle w:val="financials03table-body-l"/>
              <w:rPr>
                <w:rFonts w:cs="Times New Roman"/>
              </w:rPr>
            </w:pPr>
            <w:r>
              <w:rPr>
                <w:rStyle w:val="2body-medium"/>
                <w:rFonts w:cs="Times New Roman"/>
              </w:rPr>
              <w:t xml:space="preserve">Table 1 </w:t>
            </w:r>
          </w:p>
        </w:tc>
        <w:tc>
          <w:tcPr>
            <w:tcW w:w="6946" w:type="dxa"/>
            <w:tcBorders>
              <w:left w:val="dotted" w:sz="12" w:space="0" w:color="5F605F"/>
              <w:bottom w:val="dotted" w:sz="12" w:space="0" w:color="5F605F"/>
              <w:right w:val="dotted" w:sz="12" w:space="0" w:color="5F605F"/>
            </w:tcBorders>
            <w:vAlign w:val="center"/>
            <w:hideMark/>
          </w:tcPr>
          <w:p w14:paraId="5DE3FE0C" w14:textId="77777777" w:rsidR="006F421D" w:rsidRDefault="006F421D">
            <w:pPr>
              <w:pStyle w:val="financials03table-body-l"/>
              <w:rPr>
                <w:rFonts w:cs="Times New Roman"/>
              </w:rPr>
            </w:pPr>
            <w:r>
              <w:rPr>
                <w:rFonts w:cs="Times New Roman"/>
              </w:rPr>
              <w:t>Board meetings and attendance</w:t>
            </w:r>
          </w:p>
        </w:tc>
        <w:tc>
          <w:tcPr>
            <w:tcW w:w="1984" w:type="dxa"/>
            <w:tcBorders>
              <w:left w:val="dotted" w:sz="12" w:space="0" w:color="5F605F"/>
              <w:bottom w:val="dotted" w:sz="12" w:space="0" w:color="5F605F"/>
              <w:right w:val="dotted" w:sz="12" w:space="0" w:color="5F605F"/>
            </w:tcBorders>
            <w:vAlign w:val="center"/>
            <w:hideMark/>
          </w:tcPr>
          <w:p w14:paraId="0E95F87D" w14:textId="77777777" w:rsidR="006F421D" w:rsidRDefault="006F421D">
            <w:pPr>
              <w:pStyle w:val="financials03table-body-r"/>
              <w:rPr>
                <w:rFonts w:cs="Times New Roman"/>
              </w:rPr>
            </w:pPr>
            <w:r>
              <w:rPr>
                <w:rFonts w:cs="Times New Roman"/>
              </w:rPr>
              <w:t>69</w:t>
            </w:r>
          </w:p>
        </w:tc>
      </w:tr>
      <w:tr w:rsidR="006F421D" w14:paraId="56C9F0F3"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57157DFC" w14:textId="77777777" w:rsidR="006F421D" w:rsidRDefault="006F421D">
            <w:pPr>
              <w:pStyle w:val="financials03table-body-l"/>
              <w:rPr>
                <w:rFonts w:cs="Times New Roman"/>
              </w:rPr>
            </w:pPr>
            <w:r>
              <w:rPr>
                <w:rStyle w:val="2body-medium"/>
                <w:rFonts w:cs="Times New Roman"/>
              </w:rPr>
              <w:t xml:space="preserve">Table 2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6E8F11D9" w14:textId="77777777" w:rsidR="006F421D" w:rsidRDefault="006F421D">
            <w:pPr>
              <w:pStyle w:val="financials03table-body-l"/>
              <w:rPr>
                <w:rFonts w:cs="Times New Roman"/>
              </w:rPr>
            </w:pPr>
            <w:r>
              <w:rPr>
                <w:rFonts w:cs="Times New Roman"/>
              </w:rPr>
              <w:t>Staff numbers by classification as at 30 June 2014</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01ACA1DB" w14:textId="77777777" w:rsidR="006F421D" w:rsidRDefault="006F421D">
            <w:pPr>
              <w:pStyle w:val="financials03table-body-r"/>
              <w:rPr>
                <w:rFonts w:cs="Times New Roman"/>
              </w:rPr>
            </w:pPr>
            <w:r>
              <w:rPr>
                <w:rFonts w:cs="Times New Roman"/>
              </w:rPr>
              <w:t>81</w:t>
            </w:r>
          </w:p>
        </w:tc>
      </w:tr>
      <w:tr w:rsidR="006F421D" w14:paraId="36E2C359"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1C2D826F" w14:textId="77777777" w:rsidR="006F421D" w:rsidRDefault="006F421D">
            <w:pPr>
              <w:pStyle w:val="financials03table-body-l"/>
              <w:rPr>
                <w:rFonts w:cs="Times New Roman"/>
              </w:rPr>
            </w:pPr>
            <w:r>
              <w:rPr>
                <w:rStyle w:val="2body-medium"/>
                <w:rFonts w:cs="Times New Roman"/>
              </w:rPr>
              <w:t xml:space="preserve">Table 3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18F192E0" w14:textId="77777777" w:rsidR="006F421D" w:rsidRDefault="006F421D">
            <w:pPr>
              <w:pStyle w:val="financials03table-body-l"/>
              <w:rPr>
                <w:rFonts w:cs="Times New Roman"/>
              </w:rPr>
            </w:pPr>
            <w:r>
              <w:rPr>
                <w:rFonts w:cs="Times New Roman"/>
              </w:rPr>
              <w:t>Key Commission publications released during 2013/14</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069C57D9" w14:textId="77777777" w:rsidR="006F421D" w:rsidRDefault="006F421D">
            <w:pPr>
              <w:pStyle w:val="financials03table-body-r"/>
              <w:rPr>
                <w:rFonts w:cs="Times New Roman"/>
              </w:rPr>
            </w:pPr>
            <w:r>
              <w:rPr>
                <w:rFonts w:cs="Times New Roman"/>
              </w:rPr>
              <w:t>120</w:t>
            </w:r>
          </w:p>
        </w:tc>
      </w:tr>
      <w:tr w:rsidR="006F421D" w14:paraId="2814699A"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346D0AEB" w14:textId="77777777" w:rsidR="006F421D" w:rsidRDefault="006F421D">
            <w:pPr>
              <w:pStyle w:val="financials03table-body-l"/>
              <w:rPr>
                <w:rFonts w:cs="Times New Roman"/>
              </w:rPr>
            </w:pPr>
            <w:r>
              <w:rPr>
                <w:rStyle w:val="2body-medium"/>
                <w:rFonts w:cs="Times New Roman"/>
              </w:rPr>
              <w:t xml:space="preserve">Table 4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5648AE30" w14:textId="77777777" w:rsidR="006F421D" w:rsidRDefault="006F421D">
            <w:pPr>
              <w:pStyle w:val="financials03table-body-l"/>
              <w:rPr>
                <w:rFonts w:cs="Times New Roman"/>
              </w:rPr>
            </w:pPr>
            <w:r>
              <w:rPr>
                <w:rFonts w:cs="Times New Roman"/>
              </w:rPr>
              <w:t>Published articles with contributions from the Commission</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3D4F58F4" w14:textId="77777777" w:rsidR="006F421D" w:rsidRDefault="006F421D">
            <w:pPr>
              <w:pStyle w:val="financials03table-body-r"/>
              <w:rPr>
                <w:rFonts w:cs="Times New Roman"/>
              </w:rPr>
            </w:pPr>
            <w:r>
              <w:rPr>
                <w:rFonts w:cs="Times New Roman"/>
              </w:rPr>
              <w:t>124</w:t>
            </w:r>
          </w:p>
        </w:tc>
      </w:tr>
      <w:tr w:rsidR="006F421D" w14:paraId="17281E2C"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3223EE12" w14:textId="77777777" w:rsidR="006F421D" w:rsidRDefault="006F421D">
            <w:pPr>
              <w:pStyle w:val="financials03table-body-l"/>
              <w:rPr>
                <w:rFonts w:cs="Times New Roman"/>
              </w:rPr>
            </w:pPr>
            <w:r>
              <w:rPr>
                <w:rStyle w:val="2body-medium"/>
                <w:rFonts w:cs="Times New Roman"/>
              </w:rPr>
              <w:t xml:space="preserve">Table 5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2770FA10" w14:textId="77777777" w:rsidR="006F421D" w:rsidRDefault="006F421D">
            <w:pPr>
              <w:pStyle w:val="financials03table-body-l"/>
              <w:rPr>
                <w:rFonts w:cs="Times New Roman"/>
              </w:rPr>
            </w:pPr>
            <w:r>
              <w:rPr>
                <w:rFonts w:cs="Times New Roman"/>
              </w:rPr>
              <w:t>Commission engagement in research during 2013/14</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34360344" w14:textId="77777777" w:rsidR="006F421D" w:rsidRDefault="006F421D">
            <w:pPr>
              <w:pStyle w:val="financials03table-body-r"/>
              <w:rPr>
                <w:rFonts w:cs="Times New Roman"/>
              </w:rPr>
            </w:pPr>
            <w:r>
              <w:rPr>
                <w:rFonts w:cs="Times New Roman"/>
              </w:rPr>
              <w:t>125</w:t>
            </w:r>
          </w:p>
        </w:tc>
      </w:tr>
      <w:tr w:rsidR="006F421D" w14:paraId="0230C294"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791A48FC" w14:textId="77777777" w:rsidR="006F421D" w:rsidRDefault="006F421D">
            <w:pPr>
              <w:pStyle w:val="financials03table-body-l"/>
              <w:rPr>
                <w:rFonts w:cs="Times New Roman"/>
              </w:rPr>
            </w:pPr>
            <w:r>
              <w:rPr>
                <w:rStyle w:val="2body-medium"/>
                <w:rFonts w:cs="Times New Roman"/>
              </w:rPr>
              <w:t xml:space="preserve">Table 6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006EE4EF" w14:textId="77777777" w:rsidR="006F421D" w:rsidRDefault="006F421D">
            <w:pPr>
              <w:pStyle w:val="financials03table-body-l"/>
              <w:rPr>
                <w:rFonts w:cs="Times New Roman"/>
              </w:rPr>
            </w:pPr>
            <w:r>
              <w:rPr>
                <w:rFonts w:cs="Times New Roman"/>
              </w:rPr>
              <w:t>Event sponsorship 2013/14</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39516231" w14:textId="77777777" w:rsidR="006F421D" w:rsidRDefault="006F421D">
            <w:pPr>
              <w:pStyle w:val="financials03table-body-r"/>
              <w:rPr>
                <w:rFonts w:cs="Times New Roman"/>
              </w:rPr>
            </w:pPr>
            <w:r>
              <w:rPr>
                <w:rFonts w:cs="Times New Roman"/>
              </w:rPr>
              <w:t>127</w:t>
            </w:r>
          </w:p>
        </w:tc>
      </w:tr>
      <w:tr w:rsidR="006F421D" w14:paraId="0CA22743"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23A55F5D" w14:textId="77777777" w:rsidR="006F421D" w:rsidRDefault="006F421D">
            <w:pPr>
              <w:pStyle w:val="financials03table-body-l"/>
              <w:rPr>
                <w:rFonts w:cs="Times New Roman"/>
              </w:rPr>
            </w:pPr>
            <w:r>
              <w:rPr>
                <w:rStyle w:val="2body-medium"/>
                <w:rFonts w:cs="Times New Roman"/>
              </w:rPr>
              <w:t xml:space="preserve">Table 7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1A484416" w14:textId="77777777" w:rsidR="006F421D" w:rsidRDefault="006F421D">
            <w:pPr>
              <w:pStyle w:val="financials03table-body-l"/>
              <w:rPr>
                <w:rFonts w:cs="Times New Roman"/>
              </w:rPr>
            </w:pPr>
            <w:r>
              <w:rPr>
                <w:rFonts w:cs="Times New Roman"/>
              </w:rPr>
              <w:t>Commission external representation 2013/14</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6168CD8B" w14:textId="77777777" w:rsidR="006F421D" w:rsidRDefault="006F421D">
            <w:pPr>
              <w:pStyle w:val="financials03table-body-r"/>
              <w:rPr>
                <w:rFonts w:cs="Times New Roman"/>
              </w:rPr>
            </w:pPr>
            <w:r>
              <w:rPr>
                <w:rFonts w:cs="Times New Roman"/>
              </w:rPr>
              <w:t>128</w:t>
            </w:r>
          </w:p>
        </w:tc>
      </w:tr>
      <w:tr w:rsidR="006F421D" w14:paraId="4DA92E8A"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43C9000B" w14:textId="77777777" w:rsidR="006F421D" w:rsidRDefault="006F421D">
            <w:pPr>
              <w:pStyle w:val="financials03table-body-l"/>
              <w:rPr>
                <w:rFonts w:cs="Times New Roman"/>
              </w:rPr>
            </w:pPr>
            <w:r>
              <w:rPr>
                <w:rStyle w:val="2body-medium"/>
                <w:rFonts w:cs="Times New Roman"/>
              </w:rPr>
              <w:t xml:space="preserve">Table 8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11138383" w14:textId="77777777" w:rsidR="006F421D" w:rsidRDefault="006F421D">
            <w:pPr>
              <w:pStyle w:val="financials03table-body-l"/>
              <w:rPr>
                <w:rFonts w:cs="Times New Roman"/>
              </w:rPr>
            </w:pPr>
            <w:r>
              <w:rPr>
                <w:rFonts w:cs="Times New Roman"/>
              </w:rPr>
              <w:t>Summary of formal consultations undertaken during 2013/14</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34A8E014" w14:textId="77777777" w:rsidR="006F421D" w:rsidRDefault="006F421D">
            <w:pPr>
              <w:pStyle w:val="financials03table-body-r"/>
              <w:rPr>
                <w:rFonts w:cs="Times New Roman"/>
              </w:rPr>
            </w:pPr>
            <w:r>
              <w:rPr>
                <w:rFonts w:cs="Times New Roman"/>
              </w:rPr>
              <w:t>130</w:t>
            </w:r>
          </w:p>
        </w:tc>
      </w:tr>
      <w:tr w:rsidR="006F421D" w14:paraId="2FBF2BB7"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6E6B44B6" w14:textId="77777777" w:rsidR="006F421D" w:rsidRDefault="006F421D">
            <w:pPr>
              <w:pStyle w:val="financials03table-body-l"/>
              <w:rPr>
                <w:rFonts w:cs="Times New Roman"/>
              </w:rPr>
            </w:pPr>
            <w:r>
              <w:rPr>
                <w:rStyle w:val="2body-medium"/>
                <w:rFonts w:cs="Times New Roman"/>
              </w:rPr>
              <w:t xml:space="preserve">Table 9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2437FF7E" w14:textId="77777777" w:rsidR="006F421D" w:rsidRDefault="006F421D">
            <w:pPr>
              <w:pStyle w:val="financials03table-body-l"/>
              <w:rPr>
                <w:rFonts w:cs="Times New Roman"/>
              </w:rPr>
            </w:pPr>
            <w:r>
              <w:rPr>
                <w:rFonts w:cs="Times New Roman"/>
              </w:rPr>
              <w:t>Freedom of Information summary 2013/14</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1351448A" w14:textId="77777777" w:rsidR="006F421D" w:rsidRDefault="006F421D">
            <w:pPr>
              <w:pStyle w:val="financials03table-body-r"/>
              <w:rPr>
                <w:rFonts w:cs="Times New Roman"/>
              </w:rPr>
            </w:pPr>
            <w:r>
              <w:rPr>
                <w:rFonts w:cs="Times New Roman"/>
              </w:rPr>
              <w:t>133</w:t>
            </w:r>
          </w:p>
        </w:tc>
      </w:tr>
      <w:tr w:rsidR="006F421D" w14:paraId="41DEE4E9"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53FCCD31" w14:textId="77777777" w:rsidR="006F421D" w:rsidRDefault="006F421D">
            <w:pPr>
              <w:pStyle w:val="financials03table-body-l"/>
              <w:rPr>
                <w:rFonts w:cs="Times New Roman"/>
              </w:rPr>
            </w:pPr>
            <w:r>
              <w:rPr>
                <w:rStyle w:val="2body-medium"/>
                <w:rFonts w:cs="Times New Roman"/>
              </w:rPr>
              <w:t xml:space="preserve">Table 10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2458B61B" w14:textId="77777777" w:rsidR="006F421D" w:rsidRDefault="006F421D">
            <w:pPr>
              <w:pStyle w:val="financials03table-body-l"/>
              <w:rPr>
                <w:rFonts w:cs="Times New Roman"/>
              </w:rPr>
            </w:pPr>
            <w:r>
              <w:rPr>
                <w:rFonts w:cs="Times New Roman"/>
              </w:rPr>
              <w:t>Summary of Commission’s compliance to ecologically sustainable development</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7A4EF376" w14:textId="77777777" w:rsidR="006F421D" w:rsidRDefault="006F421D">
            <w:pPr>
              <w:pStyle w:val="financials03table-body-r"/>
              <w:rPr>
                <w:rFonts w:cs="Times New Roman"/>
              </w:rPr>
            </w:pPr>
            <w:r>
              <w:rPr>
                <w:rFonts w:cs="Times New Roman"/>
              </w:rPr>
              <w:t>134</w:t>
            </w:r>
          </w:p>
        </w:tc>
      </w:tr>
      <w:tr w:rsidR="006F421D" w14:paraId="30546A60" w14:textId="77777777" w:rsidTr="006F421D">
        <w:trPr>
          <w:divId w:val="2142334130"/>
        </w:trPr>
        <w:tc>
          <w:tcPr>
            <w:tcW w:w="1333" w:type="dxa"/>
            <w:tcBorders>
              <w:top w:val="dotted" w:sz="12" w:space="0" w:color="5F605F"/>
              <w:left w:val="dotted" w:sz="12" w:space="0" w:color="5F605F"/>
              <w:bottom w:val="dotted" w:sz="12" w:space="0" w:color="5F605F"/>
              <w:right w:val="dotted" w:sz="12" w:space="0" w:color="5F605F"/>
            </w:tcBorders>
            <w:vAlign w:val="center"/>
            <w:hideMark/>
          </w:tcPr>
          <w:p w14:paraId="1F009FFB" w14:textId="77777777" w:rsidR="006F421D" w:rsidRDefault="006F421D">
            <w:pPr>
              <w:pStyle w:val="financials03table-body-l"/>
              <w:rPr>
                <w:rFonts w:cs="Times New Roman"/>
              </w:rPr>
            </w:pPr>
            <w:r>
              <w:rPr>
                <w:rStyle w:val="2body-medium"/>
                <w:rFonts w:cs="Times New Roman"/>
              </w:rPr>
              <w:t xml:space="preserve">Table 11 </w:t>
            </w:r>
          </w:p>
        </w:tc>
        <w:tc>
          <w:tcPr>
            <w:tcW w:w="6946" w:type="dxa"/>
            <w:tcBorders>
              <w:top w:val="dotted" w:sz="12" w:space="0" w:color="5F605F"/>
              <w:left w:val="dotted" w:sz="12" w:space="0" w:color="5F605F"/>
              <w:bottom w:val="dotted" w:sz="12" w:space="0" w:color="5F605F"/>
              <w:right w:val="dotted" w:sz="12" w:space="0" w:color="5F605F"/>
            </w:tcBorders>
            <w:vAlign w:val="center"/>
            <w:hideMark/>
          </w:tcPr>
          <w:p w14:paraId="760611C8" w14:textId="77777777" w:rsidR="006F421D" w:rsidRDefault="006F421D">
            <w:pPr>
              <w:pStyle w:val="financials03table-body-l"/>
              <w:rPr>
                <w:rFonts w:cs="Times New Roman"/>
              </w:rPr>
            </w:pPr>
            <w:r>
              <w:rPr>
                <w:rFonts w:cs="Times New Roman"/>
              </w:rPr>
              <w:t>Mandatory reporting orders as per the CAC Orders or the NHR Act</w:t>
            </w:r>
          </w:p>
        </w:tc>
        <w:tc>
          <w:tcPr>
            <w:tcW w:w="1984" w:type="dxa"/>
            <w:tcBorders>
              <w:top w:val="dotted" w:sz="12" w:space="0" w:color="5F605F"/>
              <w:left w:val="dotted" w:sz="12" w:space="0" w:color="5F605F"/>
              <w:bottom w:val="dotted" w:sz="12" w:space="0" w:color="5F605F"/>
              <w:right w:val="dotted" w:sz="12" w:space="0" w:color="5F605F"/>
            </w:tcBorders>
            <w:vAlign w:val="center"/>
            <w:hideMark/>
          </w:tcPr>
          <w:p w14:paraId="61E52F4C" w14:textId="77777777" w:rsidR="006F421D" w:rsidRDefault="006F421D">
            <w:pPr>
              <w:pStyle w:val="financials03table-body-r"/>
              <w:rPr>
                <w:rFonts w:cs="Times New Roman"/>
              </w:rPr>
            </w:pPr>
            <w:r>
              <w:rPr>
                <w:rFonts w:cs="Times New Roman"/>
              </w:rPr>
              <w:t>143</w:t>
            </w:r>
          </w:p>
        </w:tc>
      </w:tr>
    </w:tbl>
    <w:p w14:paraId="3181B0B4" w14:textId="77777777" w:rsidR="006F421D" w:rsidRDefault="006F421D">
      <w:pPr>
        <w:divId w:val="2142334130"/>
        <w:rPr>
          <w:rFonts w:cs="Times New Roman"/>
          <w:b/>
          <w:bCs/>
          <w:color w:val="5F605F"/>
          <w:sz w:val="30"/>
          <w:szCs w:val="30"/>
          <w:lang w:val="en-GB"/>
        </w:rPr>
      </w:pPr>
      <w:r>
        <w:rPr>
          <w:rFonts w:cs="Times New Roman"/>
          <w:lang w:val="en-GB"/>
        </w:rPr>
        <w:br w:type="page"/>
      </w:r>
    </w:p>
    <w:p w14:paraId="5764BC56" w14:textId="77777777" w:rsidR="006F421D" w:rsidRDefault="006F421D" w:rsidP="00FD071D">
      <w:pPr>
        <w:pStyle w:val="Heading2"/>
        <w:divId w:val="673190712"/>
        <w:rPr>
          <w:lang w:val="en-GB"/>
        </w:rPr>
      </w:pPr>
      <w:bookmarkStart w:id="61" w:name="_Toc414011919"/>
      <w:r>
        <w:rPr>
          <w:lang w:val="en-GB"/>
        </w:rPr>
        <w:lastRenderedPageBreak/>
        <w:t>Compliance index</w:t>
      </w:r>
      <w:bookmarkEnd w:id="61"/>
      <w:r>
        <w:rPr>
          <w:lang w:val="en-GB"/>
        </w:rPr>
        <w:t xml:space="preserve"> </w:t>
      </w:r>
    </w:p>
    <w:p w14:paraId="4E9A0C01" w14:textId="77777777" w:rsidR="006F421D" w:rsidRDefault="006F421D">
      <w:pPr>
        <w:pStyle w:val="2body-copy"/>
        <w:divId w:val="2142334130"/>
        <w:rPr>
          <w:rFonts w:cs="Times New Roman"/>
          <w:lang w:val="en-GB"/>
        </w:rPr>
      </w:pPr>
      <w:r>
        <w:rPr>
          <w:rFonts w:cs="Times New Roman"/>
          <w:lang w:val="en-GB"/>
        </w:rPr>
        <w:t xml:space="preserve">The Commission is bound by various legislative requirements to disclose certain information in this annual report. The main requirements are detailed in the Commonwealth Authorities (Annual Reporting) Orders 2011 (CAC Orders) and the </w:t>
      </w:r>
      <w:r>
        <w:rPr>
          <w:rStyle w:val="2body-italic0"/>
          <w:rFonts w:cs="Times New Roman"/>
          <w:lang w:val="en-GB"/>
        </w:rPr>
        <w:t>National Health Reform Act 2011</w:t>
      </w:r>
      <w:r>
        <w:rPr>
          <w:rFonts w:cs="Times New Roman"/>
          <w:lang w:val="en-GB"/>
        </w:rPr>
        <w:t xml:space="preserve"> (NHR Act).</w:t>
      </w:r>
    </w:p>
    <w:p w14:paraId="06CB5743" w14:textId="77777777" w:rsidR="006F421D" w:rsidRDefault="006F421D">
      <w:pPr>
        <w:pStyle w:val="1h4"/>
        <w:divId w:val="2142334130"/>
        <w:rPr>
          <w:rFonts w:cs="Times New Roman"/>
          <w:lang w:val="en-GB"/>
        </w:rPr>
      </w:pPr>
      <w:r>
        <w:rPr>
          <w:rFonts w:cs="Times New Roman"/>
          <w:lang w:val="en-GB"/>
        </w:rPr>
        <w:t xml:space="preserve">Table 11: Mandatory reporting orders as per the CAC Orders or the NHR Act </w:t>
      </w:r>
    </w:p>
    <w:tbl>
      <w:tblPr>
        <w:tblW w:w="0" w:type="auto"/>
        <w:tblCellMar>
          <w:top w:w="28" w:type="dxa"/>
          <w:left w:w="113" w:type="dxa"/>
          <w:bottom w:w="28" w:type="dxa"/>
          <w:right w:w="113" w:type="dxa"/>
        </w:tblCellMar>
        <w:tblLook w:val="04A0" w:firstRow="1" w:lastRow="0" w:firstColumn="1" w:lastColumn="0" w:noHBand="0" w:noVBand="1"/>
      </w:tblPr>
      <w:tblGrid>
        <w:gridCol w:w="4944"/>
        <w:gridCol w:w="3786"/>
        <w:gridCol w:w="1695"/>
      </w:tblGrid>
      <w:tr w:rsidR="006F421D" w14:paraId="497BFACC" w14:textId="77777777" w:rsidTr="006F421D">
        <w:trPr>
          <w:divId w:val="2142334130"/>
          <w:tblHeader/>
        </w:trPr>
        <w:tc>
          <w:tcPr>
            <w:tcW w:w="0" w:type="auto"/>
            <w:tcBorders>
              <w:top w:val="nil"/>
              <w:left w:val="nil"/>
              <w:right w:val="nil"/>
            </w:tcBorders>
            <w:shd w:val="clear" w:color="auto" w:fill="5F605F"/>
            <w:vAlign w:val="center"/>
            <w:hideMark/>
          </w:tcPr>
          <w:p w14:paraId="41DF5119" w14:textId="77777777" w:rsidR="006F421D" w:rsidRDefault="006F421D">
            <w:pPr>
              <w:pStyle w:val="financials03table-header-l"/>
              <w:rPr>
                <w:rFonts w:cs="Times New Roman"/>
              </w:rPr>
            </w:pPr>
            <w:r>
              <w:rPr>
                <w:rFonts w:cs="Times New Roman"/>
              </w:rPr>
              <w:t>Requirement</w:t>
            </w:r>
          </w:p>
        </w:tc>
        <w:tc>
          <w:tcPr>
            <w:tcW w:w="0" w:type="auto"/>
            <w:tcBorders>
              <w:top w:val="nil"/>
              <w:left w:val="nil"/>
              <w:right w:val="nil"/>
            </w:tcBorders>
            <w:shd w:val="clear" w:color="auto" w:fill="5F605F"/>
            <w:vAlign w:val="center"/>
            <w:hideMark/>
          </w:tcPr>
          <w:p w14:paraId="2F3708EB" w14:textId="77777777" w:rsidR="006F421D" w:rsidRDefault="006F421D">
            <w:pPr>
              <w:pStyle w:val="financials03table-header-l"/>
              <w:rPr>
                <w:rFonts w:cs="Times New Roman"/>
              </w:rPr>
            </w:pPr>
            <w:r>
              <w:rPr>
                <w:rFonts w:cs="Times New Roman"/>
              </w:rPr>
              <w:t>Reference</w:t>
            </w:r>
          </w:p>
        </w:tc>
        <w:tc>
          <w:tcPr>
            <w:tcW w:w="0" w:type="auto"/>
            <w:tcBorders>
              <w:top w:val="nil"/>
              <w:left w:val="nil"/>
              <w:right w:val="nil"/>
            </w:tcBorders>
            <w:shd w:val="clear" w:color="auto" w:fill="5F605F"/>
            <w:vAlign w:val="center"/>
            <w:hideMark/>
          </w:tcPr>
          <w:p w14:paraId="6D5DFB3B" w14:textId="77777777" w:rsidR="006F421D" w:rsidRDefault="006F421D">
            <w:pPr>
              <w:pStyle w:val="financials03table-header-r"/>
              <w:jc w:val="right"/>
              <w:rPr>
                <w:rFonts w:cs="Times New Roman"/>
              </w:rPr>
            </w:pPr>
            <w:r>
              <w:rPr>
                <w:rFonts w:cs="Times New Roman"/>
              </w:rPr>
              <w:t>Page listing compliant information</w:t>
            </w:r>
          </w:p>
        </w:tc>
      </w:tr>
      <w:tr w:rsidR="006F421D" w14:paraId="5F28B2AC" w14:textId="77777777" w:rsidTr="006F421D">
        <w:trPr>
          <w:divId w:val="2142334130"/>
        </w:trPr>
        <w:tc>
          <w:tcPr>
            <w:tcW w:w="0" w:type="auto"/>
            <w:tcBorders>
              <w:left w:val="dotted" w:sz="12" w:space="0" w:color="5F605F"/>
              <w:bottom w:val="dotted" w:sz="12" w:space="0" w:color="5F605F"/>
              <w:right w:val="dotted" w:sz="12" w:space="0" w:color="5F605F"/>
            </w:tcBorders>
            <w:vAlign w:val="center"/>
            <w:hideMark/>
          </w:tcPr>
          <w:p w14:paraId="34514165" w14:textId="77777777" w:rsidR="006F421D" w:rsidRDefault="006F421D">
            <w:pPr>
              <w:pStyle w:val="financials03table-body-l"/>
              <w:rPr>
                <w:rFonts w:cs="Times New Roman"/>
              </w:rPr>
            </w:pPr>
            <w:r>
              <w:rPr>
                <w:rFonts w:cs="Times New Roman"/>
              </w:rPr>
              <w:t>Amendments to the Commission’s enabling legislation and to any other legislation directly relevant to its operation</w:t>
            </w:r>
          </w:p>
        </w:tc>
        <w:tc>
          <w:tcPr>
            <w:tcW w:w="0" w:type="auto"/>
            <w:tcBorders>
              <w:left w:val="dotted" w:sz="12" w:space="0" w:color="5F605F"/>
              <w:bottom w:val="dotted" w:sz="12" w:space="0" w:color="5F605F"/>
              <w:right w:val="dotted" w:sz="12" w:space="0" w:color="5F605F"/>
            </w:tcBorders>
            <w:vAlign w:val="center"/>
            <w:hideMark/>
          </w:tcPr>
          <w:p w14:paraId="2C469F00" w14:textId="77777777" w:rsidR="006F421D" w:rsidRDefault="006F421D">
            <w:pPr>
              <w:pStyle w:val="financials03table-body-l"/>
              <w:rPr>
                <w:rFonts w:cs="Times New Roman"/>
              </w:rPr>
            </w:pPr>
            <w:r>
              <w:rPr>
                <w:rFonts w:cs="Times New Roman"/>
              </w:rPr>
              <w:t>CAC Orders 2011, sub-clause 16(d)</w:t>
            </w:r>
          </w:p>
        </w:tc>
        <w:tc>
          <w:tcPr>
            <w:tcW w:w="0" w:type="auto"/>
            <w:tcBorders>
              <w:left w:val="dotted" w:sz="12" w:space="0" w:color="5F605F"/>
              <w:bottom w:val="dotted" w:sz="12" w:space="0" w:color="5F605F"/>
              <w:right w:val="dotted" w:sz="12" w:space="0" w:color="5F605F"/>
            </w:tcBorders>
            <w:vAlign w:val="center"/>
            <w:hideMark/>
          </w:tcPr>
          <w:p w14:paraId="2C4E9EA4" w14:textId="77777777" w:rsidR="006F421D" w:rsidRDefault="006F421D">
            <w:pPr>
              <w:pStyle w:val="financials03table-body-r"/>
              <w:rPr>
                <w:rFonts w:cs="Times New Roman"/>
              </w:rPr>
            </w:pPr>
            <w:r>
              <w:rPr>
                <w:rFonts w:cs="Times New Roman"/>
              </w:rPr>
              <w:t>75</w:t>
            </w:r>
          </w:p>
        </w:tc>
      </w:tr>
      <w:tr w:rsidR="006F421D" w14:paraId="180951CE"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375B5A0F" w14:textId="77777777" w:rsidR="006F421D" w:rsidRDefault="006F421D">
            <w:pPr>
              <w:pStyle w:val="financials03table-body-l"/>
              <w:rPr>
                <w:rFonts w:cs="Times New Roman"/>
              </w:rPr>
            </w:pPr>
            <w:r>
              <w:rPr>
                <w:rFonts w:cs="Times New Roman"/>
              </w:rPr>
              <w:t>Approval by Directors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69AC8AA" w14:textId="77777777" w:rsidR="006F421D" w:rsidRDefault="006F421D">
            <w:pPr>
              <w:pStyle w:val="financials03table-body-l"/>
              <w:rPr>
                <w:rFonts w:cs="Times New Roman"/>
              </w:rPr>
            </w:pPr>
            <w:r>
              <w:rPr>
                <w:rFonts w:cs="Times New Roman"/>
              </w:rPr>
              <w:t>CAC Orders 2011, clause 6</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3B110C15" w14:textId="77777777" w:rsidR="006F421D" w:rsidRDefault="006F421D">
            <w:pPr>
              <w:pStyle w:val="financials03table-body-r"/>
              <w:rPr>
                <w:rFonts w:cs="Times New Roman"/>
              </w:rPr>
            </w:pPr>
            <w:r>
              <w:rPr>
                <w:rFonts w:cs="Times New Roman"/>
              </w:rPr>
              <w:t>I</w:t>
            </w:r>
          </w:p>
        </w:tc>
      </w:tr>
      <w:tr w:rsidR="006F421D" w14:paraId="17B8BD12"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38940CF3" w14:textId="77777777" w:rsidR="006F421D" w:rsidRDefault="006F421D">
            <w:pPr>
              <w:pStyle w:val="financials03table-body-l"/>
              <w:rPr>
                <w:rFonts w:cs="Times New Roman"/>
              </w:rPr>
            </w:pPr>
            <w:r>
              <w:rPr>
                <w:rFonts w:cs="Times New Roman"/>
              </w:rPr>
              <w:t>Assessment of the effect of each of the Commission’s functions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2C19A33" w14:textId="77777777" w:rsidR="006F421D" w:rsidRDefault="006F421D">
            <w:pPr>
              <w:pStyle w:val="financials03table-body-l"/>
              <w:rPr>
                <w:rFonts w:cs="Times New Roman"/>
              </w:rPr>
            </w:pPr>
            <w:r>
              <w:rPr>
                <w:rFonts w:cs="Times New Roman"/>
              </w:rPr>
              <w:t>NHR Act 2011</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78455AC9" w14:textId="77777777" w:rsidR="006F421D" w:rsidRDefault="006F421D">
            <w:pPr>
              <w:pStyle w:val="financials03table-body-r"/>
              <w:rPr>
                <w:rFonts w:cs="Times New Roman"/>
              </w:rPr>
            </w:pPr>
            <w:r>
              <w:rPr>
                <w:rFonts w:cs="Times New Roman"/>
              </w:rPr>
              <w:t>15–57</w:t>
            </w:r>
          </w:p>
        </w:tc>
      </w:tr>
      <w:tr w:rsidR="006F421D" w14:paraId="059B5F62"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53A0C52" w14:textId="77777777" w:rsidR="006F421D" w:rsidRDefault="006F421D">
            <w:pPr>
              <w:pStyle w:val="financials03table-body-l"/>
              <w:rPr>
                <w:rFonts w:cs="Times New Roman"/>
              </w:rPr>
            </w:pPr>
            <w:r>
              <w:rPr>
                <w:rFonts w:cs="Times New Roman"/>
              </w:rPr>
              <w:t>Assessment of the performance of each of the Commission’s functions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3EF762C8" w14:textId="77777777" w:rsidR="006F421D" w:rsidRDefault="006F421D">
            <w:pPr>
              <w:pStyle w:val="financials03table-body-l"/>
              <w:rPr>
                <w:rFonts w:cs="Times New Roman"/>
              </w:rPr>
            </w:pPr>
            <w:r>
              <w:rPr>
                <w:rFonts w:cs="Times New Roman"/>
              </w:rPr>
              <w:t>NHR Act 2011</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339566F4" w14:textId="77777777" w:rsidR="006F421D" w:rsidRDefault="006F421D">
            <w:pPr>
              <w:pStyle w:val="financials03table-body-r"/>
              <w:rPr>
                <w:rFonts w:cs="Times New Roman"/>
              </w:rPr>
            </w:pPr>
            <w:r>
              <w:rPr>
                <w:rFonts w:cs="Times New Roman"/>
              </w:rPr>
              <w:t>15–57</w:t>
            </w:r>
          </w:p>
        </w:tc>
      </w:tr>
      <w:tr w:rsidR="006F421D" w14:paraId="6A215380"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34A6E3AE" w14:textId="77777777" w:rsidR="006F421D" w:rsidRDefault="006F421D">
            <w:pPr>
              <w:pStyle w:val="financials03table-body-l"/>
              <w:rPr>
                <w:rFonts w:cs="Times New Roman"/>
              </w:rPr>
            </w:pPr>
            <w:r>
              <w:rPr>
                <w:rFonts w:cs="Times New Roman"/>
              </w:rPr>
              <w:t>Assessment of safety of healthcare services provided</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1796314" w14:textId="77777777" w:rsidR="006F421D" w:rsidRDefault="006F421D">
            <w:pPr>
              <w:pStyle w:val="financials03table-body-l"/>
              <w:rPr>
                <w:rFonts w:cs="Times New Roman"/>
              </w:rPr>
            </w:pPr>
            <w:r>
              <w:rPr>
                <w:rFonts w:cs="Times New Roman"/>
              </w:rPr>
              <w:t>NHR Act 2011</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8DABA14" w14:textId="77777777" w:rsidR="006F421D" w:rsidRDefault="006F421D">
            <w:pPr>
              <w:pStyle w:val="financials03table-body-r"/>
              <w:rPr>
                <w:rFonts w:cs="Times New Roman"/>
              </w:rPr>
            </w:pPr>
            <w:r>
              <w:rPr>
                <w:rFonts w:cs="Times New Roman"/>
              </w:rPr>
              <w:t>15–57</w:t>
            </w:r>
          </w:p>
        </w:tc>
      </w:tr>
      <w:tr w:rsidR="006F421D" w14:paraId="7A10E793"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1B8D50B9" w14:textId="77777777" w:rsidR="006F421D" w:rsidRDefault="006F421D">
            <w:pPr>
              <w:pStyle w:val="financials03table-body-l"/>
              <w:rPr>
                <w:rFonts w:cs="Times New Roman"/>
              </w:rPr>
            </w:pPr>
            <w:r>
              <w:rPr>
                <w:rFonts w:cs="Times New Roman"/>
              </w:rPr>
              <w:t>Board committees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75E84B4" w14:textId="77777777" w:rsidR="006F421D" w:rsidRDefault="006F421D">
            <w:pPr>
              <w:pStyle w:val="financials03table-body-l"/>
              <w:rPr>
                <w:rFonts w:cs="Times New Roman"/>
              </w:rPr>
            </w:pPr>
            <w:r>
              <w:rPr>
                <w:rFonts w:cs="Times New Roman"/>
              </w:rPr>
              <w:t>CAC Orders 2011, clause 14</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015A969" w14:textId="77777777" w:rsidR="006F421D" w:rsidRDefault="006F421D">
            <w:pPr>
              <w:pStyle w:val="financials03table-body-r"/>
              <w:rPr>
                <w:rFonts w:cs="Times New Roman"/>
              </w:rPr>
            </w:pPr>
            <w:r>
              <w:rPr>
                <w:rFonts w:cs="Times New Roman"/>
              </w:rPr>
              <w:t>71–72</w:t>
            </w:r>
          </w:p>
        </w:tc>
      </w:tr>
      <w:tr w:rsidR="006F421D" w14:paraId="543BFF9F"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7590E8B6" w14:textId="77777777" w:rsidR="006F421D" w:rsidRDefault="006F421D">
            <w:pPr>
              <w:pStyle w:val="financials03table-body-l"/>
              <w:rPr>
                <w:rFonts w:cs="Times New Roman"/>
              </w:rPr>
            </w:pPr>
            <w:r>
              <w:rPr>
                <w:rFonts w:cs="Times New Roman"/>
              </w:rPr>
              <w:t>Commonwealth Disability Strategy</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33C8720" w14:textId="77777777" w:rsidR="006F421D" w:rsidRDefault="006F421D">
            <w:pPr>
              <w:pStyle w:val="financials03table-body-l"/>
              <w:rPr>
                <w:rFonts w:cs="Times New Roman"/>
              </w:rPr>
            </w:pPr>
            <w:r>
              <w:rPr>
                <w:rFonts w:cs="Times New Roman"/>
              </w:rPr>
              <w:t>CAC Orders 2011, clause 12</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418BDF3" w14:textId="77777777" w:rsidR="006F421D" w:rsidRDefault="006F421D">
            <w:pPr>
              <w:pStyle w:val="financials03table-body-r"/>
              <w:rPr>
                <w:rFonts w:cs="Times New Roman"/>
              </w:rPr>
            </w:pPr>
            <w:r>
              <w:rPr>
                <w:rFonts w:cs="Times New Roman"/>
              </w:rPr>
              <w:t>82</w:t>
            </w:r>
          </w:p>
        </w:tc>
      </w:tr>
      <w:tr w:rsidR="006F421D" w14:paraId="6997C254"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1CCA69A1" w14:textId="77777777" w:rsidR="006F421D" w:rsidRDefault="006F421D">
            <w:pPr>
              <w:pStyle w:val="financials03table-body-l"/>
              <w:rPr>
                <w:rFonts w:cs="Times New Roman"/>
              </w:rPr>
            </w:pPr>
            <w:r>
              <w:rPr>
                <w:rFonts w:cs="Times New Roman"/>
              </w:rPr>
              <w:t>Statement on governance</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C430A6D" w14:textId="77777777" w:rsidR="006F421D" w:rsidRDefault="006F421D">
            <w:pPr>
              <w:pStyle w:val="financials03table-body-l"/>
              <w:rPr>
                <w:rFonts w:cs="Times New Roman"/>
              </w:rPr>
            </w:pPr>
            <w:r>
              <w:rPr>
                <w:rFonts w:cs="Times New Roman"/>
              </w:rPr>
              <w:t>CAC Orders 2011, clause 14</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2F3AF45" w14:textId="77777777" w:rsidR="006F421D" w:rsidRDefault="006F421D">
            <w:pPr>
              <w:pStyle w:val="financials03table-body-r"/>
              <w:rPr>
                <w:rFonts w:cs="Times New Roman"/>
              </w:rPr>
            </w:pPr>
            <w:r>
              <w:rPr>
                <w:rFonts w:cs="Times New Roman"/>
              </w:rPr>
              <w:t>63–75</w:t>
            </w:r>
          </w:p>
        </w:tc>
      </w:tr>
      <w:tr w:rsidR="006F421D" w14:paraId="0ADBEC6F"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7E070FAA" w14:textId="77777777" w:rsidR="006F421D" w:rsidRDefault="006F421D">
            <w:pPr>
              <w:pStyle w:val="financials03table-body-l"/>
              <w:rPr>
                <w:rFonts w:cs="Times New Roman"/>
              </w:rPr>
            </w:pPr>
            <w:r>
              <w:rPr>
                <w:rFonts w:cs="Times New Roman"/>
              </w:rPr>
              <w:t>Directors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6FF0F653" w14:textId="77777777" w:rsidR="006F421D" w:rsidRDefault="006F421D">
            <w:pPr>
              <w:pStyle w:val="financials03table-body-l"/>
              <w:rPr>
                <w:rFonts w:cs="Times New Roman"/>
              </w:rPr>
            </w:pPr>
            <w:r>
              <w:rPr>
                <w:rFonts w:cs="Times New Roman"/>
              </w:rPr>
              <w:t>CAC Orders 2011, clause 13</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A26BAE0" w14:textId="77777777" w:rsidR="006F421D" w:rsidRDefault="006F421D">
            <w:pPr>
              <w:pStyle w:val="financials03table-body-r"/>
              <w:rPr>
                <w:rFonts w:cs="Times New Roman"/>
              </w:rPr>
            </w:pPr>
            <w:r>
              <w:rPr>
                <w:rFonts w:cs="Times New Roman"/>
              </w:rPr>
              <w:t>66–68</w:t>
            </w:r>
          </w:p>
        </w:tc>
      </w:tr>
      <w:tr w:rsidR="006F421D" w14:paraId="1E72B6F3"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320A159F" w14:textId="77777777" w:rsidR="006F421D" w:rsidRDefault="006F421D">
            <w:pPr>
              <w:pStyle w:val="financials03table-body-l"/>
              <w:rPr>
                <w:rFonts w:cs="Times New Roman"/>
              </w:rPr>
            </w:pPr>
            <w:r>
              <w:rPr>
                <w:rFonts w:cs="Times New Roman"/>
              </w:rPr>
              <w:t>Ecologically sustainable development and environmental performance</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7EC508C" w14:textId="77777777" w:rsidR="006F421D" w:rsidRDefault="006F421D">
            <w:pPr>
              <w:pStyle w:val="financials03table-body-l"/>
              <w:rPr>
                <w:rFonts w:cs="Times New Roman"/>
              </w:rPr>
            </w:pPr>
            <w:r>
              <w:rPr>
                <w:rFonts w:cs="Times New Roman"/>
              </w:rPr>
              <w:t xml:space="preserve">CAC Orders 2011, sub-clause 12, ref </w:t>
            </w:r>
            <w:r>
              <w:rPr>
                <w:rStyle w:val="2body-italic0"/>
                <w:rFonts w:cs="Times New Roman"/>
              </w:rPr>
              <w:t>Environment Protection and Biodiversity Conservation Act 1999</w:t>
            </w:r>
            <w:r>
              <w:rPr>
                <w:rFonts w:cs="Times New Roman"/>
              </w:rPr>
              <w:t>, section 516A</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FDAF841" w14:textId="77777777" w:rsidR="006F421D" w:rsidRDefault="006F421D">
            <w:pPr>
              <w:pStyle w:val="financials03table-body-r"/>
              <w:rPr>
                <w:rFonts w:cs="Times New Roman"/>
              </w:rPr>
            </w:pPr>
            <w:r>
              <w:rPr>
                <w:rFonts w:cs="Times New Roman"/>
              </w:rPr>
              <w:t>75</w:t>
            </w:r>
          </w:p>
        </w:tc>
      </w:tr>
      <w:tr w:rsidR="006F421D" w14:paraId="3FE1594D"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31E139E2" w14:textId="77777777" w:rsidR="006F421D" w:rsidRDefault="006F421D">
            <w:pPr>
              <w:pStyle w:val="financials03table-body-l"/>
              <w:rPr>
                <w:rFonts w:cs="Times New Roman"/>
              </w:rPr>
            </w:pPr>
            <w:r>
              <w:rPr>
                <w:rFonts w:cs="Times New Roman"/>
              </w:rPr>
              <w:t>Education and performance review processes for Directors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8765005" w14:textId="77777777" w:rsidR="006F421D" w:rsidRDefault="006F421D">
            <w:pPr>
              <w:pStyle w:val="financials03table-body-l"/>
              <w:rPr>
                <w:rFonts w:cs="Times New Roman"/>
              </w:rPr>
            </w:pPr>
            <w:r>
              <w:rPr>
                <w:rFonts w:cs="Times New Roman"/>
              </w:rPr>
              <w:t>CAC Orders 2011, clause 14</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DE89D24" w14:textId="77777777" w:rsidR="006F421D" w:rsidRDefault="006F421D">
            <w:pPr>
              <w:pStyle w:val="financials03table-body-r"/>
              <w:rPr>
                <w:rFonts w:cs="Times New Roman"/>
              </w:rPr>
            </w:pPr>
            <w:r>
              <w:rPr>
                <w:rFonts w:cs="Times New Roman"/>
              </w:rPr>
              <w:t>70</w:t>
            </w:r>
          </w:p>
        </w:tc>
      </w:tr>
      <w:tr w:rsidR="006F421D" w14:paraId="67D2C028"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432BB60A" w14:textId="77777777" w:rsidR="006F421D" w:rsidRDefault="006F421D">
            <w:pPr>
              <w:pStyle w:val="financials03table-body-l"/>
              <w:rPr>
                <w:rFonts w:cs="Times New Roman"/>
              </w:rPr>
            </w:pPr>
            <w:r>
              <w:rPr>
                <w:rFonts w:cs="Times New Roman"/>
              </w:rPr>
              <w:t>Enabling legislation, functions and objectives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7EF37A04" w14:textId="77777777" w:rsidR="006F421D" w:rsidRDefault="006F421D">
            <w:pPr>
              <w:pStyle w:val="financials03table-body-l"/>
              <w:rPr>
                <w:rFonts w:cs="Times New Roman"/>
              </w:rPr>
            </w:pPr>
            <w:r>
              <w:rPr>
                <w:rFonts w:cs="Times New Roman"/>
              </w:rPr>
              <w:t>CAC Orders 2011, clause 10</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D9CEA3B" w14:textId="77777777" w:rsidR="006F421D" w:rsidRDefault="006F421D">
            <w:pPr>
              <w:pStyle w:val="financials03table-body-r"/>
              <w:rPr>
                <w:rFonts w:cs="Times New Roman"/>
              </w:rPr>
            </w:pPr>
            <w:r>
              <w:rPr>
                <w:rFonts w:cs="Times New Roman"/>
              </w:rPr>
              <w:t>2–3, 16, 64</w:t>
            </w:r>
          </w:p>
        </w:tc>
      </w:tr>
      <w:tr w:rsidR="006F421D" w14:paraId="394A8850"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1B22BFDC" w14:textId="77777777" w:rsidR="006F421D" w:rsidRDefault="006F421D">
            <w:pPr>
              <w:pStyle w:val="financials03table-body-l"/>
              <w:rPr>
                <w:rFonts w:cs="Times New Roman"/>
              </w:rPr>
            </w:pPr>
            <w:r>
              <w:rPr>
                <w:rFonts w:cs="Times New Roman"/>
              </w:rPr>
              <w:t>Ethics and risk management policies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F272208" w14:textId="77777777" w:rsidR="006F421D" w:rsidRDefault="006F421D">
            <w:pPr>
              <w:pStyle w:val="financials03table-body-l"/>
              <w:rPr>
                <w:rFonts w:cs="Times New Roman"/>
              </w:rPr>
            </w:pPr>
            <w:r>
              <w:rPr>
                <w:rFonts w:cs="Times New Roman"/>
              </w:rPr>
              <w:t>CAC Orders 2011, clause 14</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3B514ED8" w14:textId="77777777" w:rsidR="006F421D" w:rsidRDefault="006F421D">
            <w:pPr>
              <w:pStyle w:val="financials03table-body-r"/>
              <w:rPr>
                <w:rFonts w:cs="Times New Roman"/>
              </w:rPr>
            </w:pPr>
            <w:r>
              <w:rPr>
                <w:rFonts w:cs="Times New Roman"/>
              </w:rPr>
              <w:t>70, 73</w:t>
            </w:r>
          </w:p>
        </w:tc>
      </w:tr>
      <w:tr w:rsidR="006F421D" w14:paraId="2C93D88C"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7B5C48B7" w14:textId="77777777" w:rsidR="006F421D" w:rsidRDefault="006F421D">
            <w:pPr>
              <w:pStyle w:val="financials03table-body-l"/>
              <w:rPr>
                <w:rFonts w:cs="Times New Roman"/>
              </w:rPr>
            </w:pPr>
            <w:r>
              <w:rPr>
                <w:rFonts w:cs="Times New Roman"/>
              </w:rPr>
              <w:t>Financial statements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E5E84A7" w14:textId="77777777" w:rsidR="006F421D" w:rsidRDefault="006F421D">
            <w:pPr>
              <w:pStyle w:val="financials03table-body-l"/>
              <w:rPr>
                <w:rFonts w:cs="Times New Roman"/>
              </w:rPr>
            </w:pPr>
            <w:r>
              <w:rPr>
                <w:rFonts w:cs="Times New Roman"/>
              </w:rPr>
              <w:t>Sub-clause 1(b) and sub-clause 2(1) of Schedule 1 to the CAC Act. Finance Ministers’ Orders for Financial Reports July 2009</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B13AB00" w14:textId="77777777" w:rsidR="006F421D" w:rsidRDefault="006F421D">
            <w:pPr>
              <w:pStyle w:val="financials03table-body-r"/>
              <w:rPr>
                <w:rFonts w:cs="Times New Roman"/>
              </w:rPr>
            </w:pPr>
            <w:r>
              <w:rPr>
                <w:rFonts w:cs="Times New Roman"/>
              </w:rPr>
              <w:t>83–118</w:t>
            </w:r>
          </w:p>
        </w:tc>
      </w:tr>
      <w:tr w:rsidR="006F421D" w14:paraId="13D65F31"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3EE73984" w14:textId="77777777" w:rsidR="006F421D" w:rsidRDefault="006F421D">
            <w:pPr>
              <w:pStyle w:val="financials03table-body-l"/>
              <w:rPr>
                <w:rFonts w:cs="Times New Roman"/>
              </w:rPr>
            </w:pPr>
            <w:r>
              <w:rPr>
                <w:rFonts w:cs="Times New Roman"/>
              </w:rPr>
              <w:t>Financial statements certification: a statement, signed by the Directors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79661CE" w14:textId="77777777" w:rsidR="006F421D" w:rsidRDefault="006F421D">
            <w:pPr>
              <w:pStyle w:val="financials03table-body-l"/>
              <w:rPr>
                <w:rFonts w:cs="Times New Roman"/>
              </w:rPr>
            </w:pPr>
            <w:r>
              <w:rPr>
                <w:rFonts w:cs="Times New Roman"/>
              </w:rPr>
              <w:t>Sub-clause 2(3) of Schedule 1 to the CAC Act</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6F330868" w14:textId="77777777" w:rsidR="006F421D" w:rsidRDefault="006F421D">
            <w:pPr>
              <w:pStyle w:val="financials03table-body-r"/>
              <w:rPr>
                <w:rFonts w:cs="Times New Roman"/>
              </w:rPr>
            </w:pPr>
            <w:r>
              <w:rPr>
                <w:rFonts w:cs="Times New Roman"/>
              </w:rPr>
              <w:t>86</w:t>
            </w:r>
          </w:p>
        </w:tc>
      </w:tr>
      <w:tr w:rsidR="006F421D" w14:paraId="5867C8C6"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20E9360" w14:textId="77777777" w:rsidR="006F421D" w:rsidRDefault="006F421D">
            <w:pPr>
              <w:pStyle w:val="financials03table-body-l"/>
              <w:rPr>
                <w:rFonts w:cs="Times New Roman"/>
              </w:rPr>
            </w:pPr>
            <w:r>
              <w:rPr>
                <w:rFonts w:cs="Times New Roman"/>
              </w:rPr>
              <w:t xml:space="preserve">Financial statements certification: </w:t>
            </w:r>
            <w:r>
              <w:rPr>
                <w:rFonts w:cs="Times New Roman"/>
              </w:rPr>
              <w:br/>
              <w:t>Auditor-General’s Report</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43882AC" w14:textId="77777777" w:rsidR="006F421D" w:rsidRDefault="006F421D">
            <w:pPr>
              <w:pStyle w:val="financials03table-body-l"/>
              <w:rPr>
                <w:rFonts w:cs="Times New Roman"/>
              </w:rPr>
            </w:pPr>
            <w:r>
              <w:rPr>
                <w:rFonts w:cs="Times New Roman"/>
              </w:rPr>
              <w:t>Sub-clause 1(c) and Part 2 of Schedule 1 to the CAC Act</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6F9CE30" w14:textId="77777777" w:rsidR="006F421D" w:rsidRDefault="006F421D">
            <w:pPr>
              <w:pStyle w:val="financials03table-body-r"/>
              <w:rPr>
                <w:rFonts w:cs="Times New Roman"/>
              </w:rPr>
            </w:pPr>
            <w:r>
              <w:rPr>
                <w:rFonts w:cs="Times New Roman"/>
              </w:rPr>
              <w:t>84–85</w:t>
            </w:r>
          </w:p>
        </w:tc>
      </w:tr>
      <w:tr w:rsidR="006F421D" w14:paraId="15B3B101"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08E3CC2" w14:textId="77777777" w:rsidR="006F421D" w:rsidRDefault="006F421D">
            <w:pPr>
              <w:pStyle w:val="financials03table-body-l"/>
              <w:rPr>
                <w:rFonts w:cs="Times New Roman"/>
              </w:rPr>
            </w:pPr>
            <w:r>
              <w:rPr>
                <w:rFonts w:cs="Times New Roman"/>
              </w:rPr>
              <w:t>Fraud risk assessment and control</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BBD9660" w14:textId="77777777" w:rsidR="006F421D" w:rsidRDefault="006F421D">
            <w:pPr>
              <w:pStyle w:val="financials03table-body-l"/>
              <w:rPr>
                <w:rFonts w:cs="Times New Roman"/>
              </w:rPr>
            </w:pPr>
            <w:r>
              <w:rPr>
                <w:rFonts w:cs="Times New Roman"/>
              </w:rPr>
              <w:t>Commonwealth Fraud Control Guidelines 2002</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33EA7B0" w14:textId="77777777" w:rsidR="006F421D" w:rsidRDefault="006F421D">
            <w:pPr>
              <w:pStyle w:val="financials03table-body-r"/>
              <w:rPr>
                <w:rFonts w:cs="Times New Roman"/>
              </w:rPr>
            </w:pPr>
            <w:r>
              <w:rPr>
                <w:rFonts w:cs="Times New Roman"/>
              </w:rPr>
              <w:t>73</w:t>
            </w:r>
          </w:p>
        </w:tc>
      </w:tr>
      <w:tr w:rsidR="006F421D" w14:paraId="37E9CE9F"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99A3155" w14:textId="77777777" w:rsidR="006F421D" w:rsidRDefault="006F421D">
            <w:pPr>
              <w:pStyle w:val="financials03table-body-l"/>
              <w:rPr>
                <w:rFonts w:cs="Times New Roman"/>
              </w:rPr>
            </w:pPr>
            <w:r>
              <w:rPr>
                <w:rFonts w:cs="Times New Roman"/>
              </w:rPr>
              <w:t>General policies of the Australian Government and General Policy Orders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B635CAD" w14:textId="77777777" w:rsidR="006F421D" w:rsidRDefault="006F421D">
            <w:pPr>
              <w:pStyle w:val="financials03table-body-l"/>
              <w:rPr>
                <w:rFonts w:cs="Times New Roman"/>
              </w:rPr>
            </w:pPr>
            <w:r>
              <w:rPr>
                <w:rFonts w:cs="Times New Roman"/>
              </w:rPr>
              <w:t>CAC Orders 2011, clause 12</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DE727AC" w14:textId="77777777" w:rsidR="006F421D" w:rsidRDefault="006F421D">
            <w:pPr>
              <w:pStyle w:val="financials03table-body-r"/>
              <w:rPr>
                <w:rFonts w:cs="Times New Roman"/>
              </w:rPr>
            </w:pPr>
            <w:r>
              <w:rPr>
                <w:rFonts w:cs="Times New Roman"/>
              </w:rPr>
              <w:t>n/a</w:t>
            </w:r>
          </w:p>
        </w:tc>
      </w:tr>
      <w:tr w:rsidR="006F421D" w14:paraId="5686B6B2"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1FA87B23" w14:textId="77777777" w:rsidR="006F421D" w:rsidRDefault="006F421D">
            <w:pPr>
              <w:pStyle w:val="financials03table-body-l"/>
              <w:rPr>
                <w:rFonts w:cs="Times New Roman"/>
              </w:rPr>
            </w:pPr>
            <w:r>
              <w:rPr>
                <w:rFonts w:cs="Times New Roman"/>
              </w:rPr>
              <w:t>Indemnities and insurance premiums for officers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D88AB3C" w14:textId="77777777" w:rsidR="006F421D" w:rsidRDefault="006F421D">
            <w:pPr>
              <w:pStyle w:val="financials03table-body-l"/>
              <w:rPr>
                <w:rFonts w:cs="Times New Roman"/>
              </w:rPr>
            </w:pPr>
            <w:r>
              <w:rPr>
                <w:rFonts w:cs="Times New Roman"/>
              </w:rPr>
              <w:t>CAC Orders 2011, clause 19</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F1DD525" w14:textId="77777777" w:rsidR="006F421D" w:rsidRDefault="006F421D">
            <w:pPr>
              <w:pStyle w:val="financials03table-body-r"/>
              <w:rPr>
                <w:rFonts w:cs="Times New Roman"/>
              </w:rPr>
            </w:pPr>
            <w:r>
              <w:rPr>
                <w:rFonts w:cs="Times New Roman"/>
              </w:rPr>
              <w:t>70</w:t>
            </w:r>
          </w:p>
        </w:tc>
      </w:tr>
      <w:tr w:rsidR="006F421D" w14:paraId="48742ABA"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091BA4BB" w14:textId="77777777" w:rsidR="006F421D" w:rsidRDefault="006F421D">
            <w:pPr>
              <w:pStyle w:val="financials03table-body-l"/>
              <w:rPr>
                <w:rFonts w:cs="Times New Roman"/>
              </w:rPr>
            </w:pPr>
            <w:r>
              <w:rPr>
                <w:rFonts w:cs="Times New Roman"/>
              </w:rPr>
              <w:t>Information Publication Scheme Statement</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48B5A27" w14:textId="77777777" w:rsidR="006F421D" w:rsidRDefault="006F421D">
            <w:pPr>
              <w:pStyle w:val="financials03table-body-l"/>
              <w:rPr>
                <w:rFonts w:cs="Times New Roman"/>
              </w:rPr>
            </w:pPr>
            <w:r>
              <w:rPr>
                <w:rFonts w:cs="Times New Roman"/>
              </w:rPr>
              <w:t>CAC Orders 2011, clause 12</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710E30D4" w14:textId="77777777" w:rsidR="006F421D" w:rsidRDefault="006F421D">
            <w:pPr>
              <w:pStyle w:val="financials03table-body-r"/>
              <w:rPr>
                <w:rFonts w:cs="Times New Roman"/>
              </w:rPr>
            </w:pPr>
            <w:r>
              <w:rPr>
                <w:rFonts w:cs="Times New Roman"/>
              </w:rPr>
              <w:t>74</w:t>
            </w:r>
          </w:p>
        </w:tc>
      </w:tr>
      <w:tr w:rsidR="006F421D" w14:paraId="6EF3D1F6"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B980933" w14:textId="77777777" w:rsidR="006F421D" w:rsidRDefault="006F421D">
            <w:pPr>
              <w:pStyle w:val="financials03table-body-l"/>
              <w:rPr>
                <w:rFonts w:cs="Times New Roman"/>
              </w:rPr>
            </w:pPr>
            <w:r>
              <w:rPr>
                <w:rFonts w:cs="Times New Roman"/>
              </w:rPr>
              <w:t>Judicial decisions and decisions by administrative tribunals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2A5A506" w14:textId="77777777" w:rsidR="006F421D" w:rsidRDefault="006F421D">
            <w:pPr>
              <w:pStyle w:val="financials03table-body-l"/>
              <w:rPr>
                <w:rFonts w:cs="Times New Roman"/>
              </w:rPr>
            </w:pPr>
            <w:r>
              <w:rPr>
                <w:rFonts w:cs="Times New Roman"/>
              </w:rPr>
              <w:t>CAC Orders 2011, clause 17</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27B89333" w14:textId="77777777" w:rsidR="006F421D" w:rsidRDefault="006F421D">
            <w:pPr>
              <w:pStyle w:val="financials03table-body-r"/>
              <w:rPr>
                <w:rFonts w:cs="Times New Roman"/>
              </w:rPr>
            </w:pPr>
            <w:r>
              <w:rPr>
                <w:rFonts w:cs="Times New Roman"/>
              </w:rPr>
              <w:t>74</w:t>
            </w:r>
          </w:p>
        </w:tc>
      </w:tr>
      <w:tr w:rsidR="006F421D" w14:paraId="1DD2800E"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1ACAB152" w14:textId="77777777" w:rsidR="006F421D" w:rsidRDefault="006F421D">
            <w:pPr>
              <w:pStyle w:val="financials03table-body-l"/>
              <w:rPr>
                <w:rFonts w:cs="Times New Roman"/>
              </w:rPr>
            </w:pPr>
            <w:r>
              <w:rPr>
                <w:rFonts w:cs="Times New Roman"/>
              </w:rPr>
              <w:t>Key activities and changes that have affected the Commission</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6D016071" w14:textId="77777777" w:rsidR="006F421D" w:rsidRDefault="006F421D">
            <w:pPr>
              <w:pStyle w:val="financials03table-body-l"/>
              <w:rPr>
                <w:rFonts w:cs="Times New Roman"/>
              </w:rPr>
            </w:pPr>
            <w:r>
              <w:rPr>
                <w:rFonts w:cs="Times New Roman"/>
              </w:rPr>
              <w:t>CAC Orders 2011, clause 16</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68DDBE18" w14:textId="77777777" w:rsidR="006F421D" w:rsidRDefault="006F421D">
            <w:pPr>
              <w:pStyle w:val="financials03table-body-r"/>
              <w:rPr>
                <w:rFonts w:cs="Times New Roman"/>
              </w:rPr>
            </w:pPr>
            <w:r>
              <w:rPr>
                <w:rFonts w:cs="Times New Roman"/>
              </w:rPr>
              <w:t>15–57, 75</w:t>
            </w:r>
          </w:p>
        </w:tc>
      </w:tr>
      <w:tr w:rsidR="006F421D" w14:paraId="7FDE6557"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F874AB1" w14:textId="77777777" w:rsidR="006F421D" w:rsidRDefault="006F421D">
            <w:pPr>
              <w:pStyle w:val="financials03table-body-l"/>
              <w:rPr>
                <w:rFonts w:cs="Times New Roman"/>
              </w:rPr>
            </w:pPr>
            <w:r>
              <w:rPr>
                <w:rFonts w:cs="Times New Roman"/>
              </w:rPr>
              <w:lastRenderedPageBreak/>
              <w:t>Letter of transmittal detailing approval by Directors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74492537" w14:textId="77777777" w:rsidR="006F421D" w:rsidRDefault="006F421D">
            <w:pPr>
              <w:pStyle w:val="financials03table-body-l"/>
              <w:rPr>
                <w:rFonts w:cs="Times New Roman"/>
              </w:rPr>
            </w:pPr>
            <w:r>
              <w:rPr>
                <w:rFonts w:cs="Times New Roman"/>
              </w:rPr>
              <w:t>CAC Orders 2011, clause 6</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3525A2AC" w14:textId="77777777" w:rsidR="006F421D" w:rsidRDefault="006F421D">
            <w:pPr>
              <w:pStyle w:val="financials03table-body-r"/>
              <w:rPr>
                <w:rFonts w:cs="Times New Roman"/>
              </w:rPr>
            </w:pPr>
            <w:r>
              <w:rPr>
                <w:rFonts w:cs="Times New Roman"/>
              </w:rPr>
              <w:t>74</w:t>
            </w:r>
          </w:p>
        </w:tc>
      </w:tr>
      <w:tr w:rsidR="006F421D" w14:paraId="60AED5EC"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11E2B80A" w14:textId="77777777" w:rsidR="006F421D" w:rsidRDefault="006F421D">
            <w:pPr>
              <w:pStyle w:val="financials03table-body-l"/>
              <w:rPr>
                <w:rFonts w:cs="Times New Roman"/>
              </w:rPr>
            </w:pPr>
            <w:r>
              <w:rPr>
                <w:rFonts w:cs="Times New Roman"/>
              </w:rPr>
              <w:t>Location of major activities and facilities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1BB0DCE" w14:textId="77777777" w:rsidR="006F421D" w:rsidRDefault="006F421D">
            <w:pPr>
              <w:pStyle w:val="financials03table-body-l"/>
              <w:rPr>
                <w:rFonts w:cs="Times New Roman"/>
              </w:rPr>
            </w:pPr>
            <w:r>
              <w:rPr>
                <w:rFonts w:cs="Times New Roman"/>
              </w:rPr>
              <w:t>CAC Orders 2011, clause 14</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00D7E30" w14:textId="77777777" w:rsidR="006F421D" w:rsidRDefault="006F421D">
            <w:pPr>
              <w:pStyle w:val="financials03table-body-r"/>
              <w:rPr>
                <w:rFonts w:cs="Times New Roman"/>
              </w:rPr>
            </w:pPr>
            <w:r>
              <w:rPr>
                <w:rFonts w:cs="Times New Roman"/>
              </w:rPr>
              <w:t>inside cover, 80</w:t>
            </w:r>
          </w:p>
        </w:tc>
      </w:tr>
      <w:tr w:rsidR="006F421D" w14:paraId="7494E38A"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E519A73" w14:textId="77777777" w:rsidR="006F421D" w:rsidRDefault="006F421D">
            <w:pPr>
              <w:pStyle w:val="financials03table-body-l"/>
              <w:rPr>
                <w:rFonts w:cs="Times New Roman"/>
              </w:rPr>
            </w:pPr>
            <w:r>
              <w:rPr>
                <w:rFonts w:cs="Times New Roman"/>
              </w:rPr>
              <w:t>Ministerial Directions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B9EEDD8" w14:textId="77777777" w:rsidR="006F421D" w:rsidRDefault="006F421D">
            <w:pPr>
              <w:pStyle w:val="financials03table-body-l"/>
              <w:rPr>
                <w:rFonts w:cs="Times New Roman"/>
              </w:rPr>
            </w:pPr>
            <w:r>
              <w:rPr>
                <w:rFonts w:cs="Times New Roman"/>
              </w:rPr>
              <w:t>CAC Orders 2011, sub-clause 12</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6B17368E" w14:textId="77777777" w:rsidR="006F421D" w:rsidRDefault="006F421D">
            <w:pPr>
              <w:pStyle w:val="financials03table-body-r"/>
              <w:rPr>
                <w:rFonts w:cs="Times New Roman"/>
              </w:rPr>
            </w:pPr>
            <w:r>
              <w:rPr>
                <w:rFonts w:cs="Times New Roman"/>
              </w:rPr>
              <w:t>65</w:t>
            </w:r>
          </w:p>
        </w:tc>
      </w:tr>
      <w:tr w:rsidR="006F421D" w14:paraId="6F51ABA2"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0EEA0C03" w14:textId="77777777" w:rsidR="006F421D" w:rsidRDefault="006F421D">
            <w:pPr>
              <w:pStyle w:val="financials03table-body-l"/>
              <w:rPr>
                <w:rFonts w:cs="Times New Roman"/>
              </w:rPr>
            </w:pPr>
            <w:r>
              <w:rPr>
                <w:rFonts w:cs="Times New Roman"/>
              </w:rPr>
              <w:t>Operational and financial results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3DB91B4" w14:textId="77777777" w:rsidR="006F421D" w:rsidRDefault="006F421D">
            <w:pPr>
              <w:pStyle w:val="financials03table-body-l"/>
              <w:rPr>
                <w:rFonts w:cs="Times New Roman"/>
              </w:rPr>
            </w:pPr>
            <w:r>
              <w:rPr>
                <w:rFonts w:cs="Times New Roman"/>
              </w:rPr>
              <w:t>CAC Orders 2011, sub-clause 16(b)</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9716C39" w14:textId="77777777" w:rsidR="006F421D" w:rsidRDefault="006F421D">
            <w:pPr>
              <w:pStyle w:val="financials03table-body-r"/>
              <w:rPr>
                <w:rFonts w:cs="Times New Roman"/>
              </w:rPr>
            </w:pPr>
            <w:r>
              <w:rPr>
                <w:rFonts w:cs="Times New Roman"/>
              </w:rPr>
              <w:t>83–118</w:t>
            </w:r>
          </w:p>
        </w:tc>
      </w:tr>
      <w:tr w:rsidR="006F421D" w14:paraId="029A0B64"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B325965" w14:textId="77777777" w:rsidR="006F421D" w:rsidRDefault="006F421D">
            <w:pPr>
              <w:pStyle w:val="financials03table-body-l"/>
              <w:rPr>
                <w:rFonts w:cs="Times New Roman"/>
              </w:rPr>
            </w:pPr>
            <w:r>
              <w:rPr>
                <w:rFonts w:cs="Times New Roman"/>
              </w:rPr>
              <w:t xml:space="preserve">Organisational structure </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59C2EC4" w14:textId="77777777" w:rsidR="006F421D" w:rsidRDefault="006F421D">
            <w:pPr>
              <w:pStyle w:val="financials03table-body-l"/>
              <w:rPr>
                <w:rFonts w:cs="Times New Roman"/>
              </w:rPr>
            </w:pPr>
            <w:r>
              <w:rPr>
                <w:rFonts w:cs="Times New Roman"/>
              </w:rPr>
              <w:t>CAC Orders 2011, clause 14</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3BADC17" w14:textId="77777777" w:rsidR="006F421D" w:rsidRDefault="006F421D">
            <w:pPr>
              <w:pStyle w:val="financials03table-body-r"/>
              <w:rPr>
                <w:rFonts w:cs="Times New Roman"/>
              </w:rPr>
            </w:pPr>
            <w:r>
              <w:rPr>
                <w:rFonts w:cs="Times New Roman"/>
              </w:rPr>
              <w:t>78–79</w:t>
            </w:r>
          </w:p>
        </w:tc>
      </w:tr>
      <w:tr w:rsidR="006F421D" w14:paraId="23D3AF28"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6AB3B52C" w14:textId="77777777" w:rsidR="006F421D" w:rsidRDefault="006F421D">
            <w:pPr>
              <w:pStyle w:val="financials03table-body-l"/>
              <w:rPr>
                <w:rFonts w:cs="Times New Roman"/>
              </w:rPr>
            </w:pPr>
            <w:r>
              <w:rPr>
                <w:rFonts w:cs="Times New Roman"/>
              </w:rPr>
              <w:t>Other legislation</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B3A3B85" w14:textId="77777777" w:rsidR="006F421D" w:rsidRDefault="006F421D">
            <w:pPr>
              <w:pStyle w:val="financials03table-body-l"/>
              <w:rPr>
                <w:rFonts w:cs="Times New Roman"/>
              </w:rPr>
            </w:pPr>
            <w:r>
              <w:rPr>
                <w:rFonts w:cs="Times New Roman"/>
              </w:rPr>
              <w:t>CAC Orders 2011, clause 12</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40A2253" w14:textId="77777777" w:rsidR="006F421D" w:rsidRDefault="006F421D">
            <w:pPr>
              <w:pStyle w:val="financials03table-body-r"/>
              <w:rPr>
                <w:rFonts w:cs="Times New Roman"/>
              </w:rPr>
            </w:pPr>
            <w:r>
              <w:rPr>
                <w:rFonts w:cs="Times New Roman"/>
              </w:rPr>
              <w:t>75</w:t>
            </w:r>
          </w:p>
        </w:tc>
      </w:tr>
      <w:tr w:rsidR="006F421D" w14:paraId="3175BD0C"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0AF365AE" w14:textId="77777777" w:rsidR="006F421D" w:rsidRDefault="006F421D">
            <w:pPr>
              <w:pStyle w:val="financials03table-body-l"/>
              <w:rPr>
                <w:rFonts w:cs="Times New Roman"/>
              </w:rPr>
            </w:pPr>
            <w:r>
              <w:rPr>
                <w:rFonts w:cs="Times New Roman"/>
              </w:rPr>
              <w:t>Related-entity transactions</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36907703" w14:textId="77777777" w:rsidR="006F421D" w:rsidRDefault="006F421D">
            <w:pPr>
              <w:pStyle w:val="financials03table-body-l"/>
              <w:rPr>
                <w:rFonts w:cs="Times New Roman"/>
              </w:rPr>
            </w:pPr>
            <w:r>
              <w:rPr>
                <w:rFonts w:cs="Times New Roman"/>
              </w:rPr>
              <w:t>CAC Orders 2011, clause 15</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F328DC6" w14:textId="77777777" w:rsidR="006F421D" w:rsidRDefault="006F421D">
            <w:pPr>
              <w:pStyle w:val="financials03table-body-r"/>
              <w:rPr>
                <w:rFonts w:cs="Times New Roman"/>
              </w:rPr>
            </w:pPr>
            <w:r>
              <w:rPr>
                <w:rFonts w:cs="Times New Roman"/>
              </w:rPr>
              <w:t>70</w:t>
            </w:r>
          </w:p>
        </w:tc>
      </w:tr>
      <w:tr w:rsidR="006F421D" w14:paraId="7BE2F70A"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0CE24037" w14:textId="77777777" w:rsidR="006F421D" w:rsidRDefault="006F421D">
            <w:pPr>
              <w:pStyle w:val="financials03table-body-l"/>
              <w:rPr>
                <w:rFonts w:cs="Times New Roman"/>
              </w:rPr>
            </w:pPr>
            <w:r>
              <w:rPr>
                <w:rFonts w:cs="Times New Roman"/>
              </w:rPr>
              <w:t>Reporting of significant events, as required by section 15 of the CAC Act</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5EC64310" w14:textId="77777777" w:rsidR="006F421D" w:rsidRDefault="006F421D">
            <w:pPr>
              <w:pStyle w:val="financials03table-body-l"/>
              <w:rPr>
                <w:rFonts w:cs="Times New Roman"/>
              </w:rPr>
            </w:pPr>
            <w:r>
              <w:rPr>
                <w:rFonts w:cs="Times New Roman"/>
              </w:rPr>
              <w:t>CAC Orders 2011, sub-clause 16(a)</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7707A8C8" w14:textId="77777777" w:rsidR="006F421D" w:rsidRDefault="006F421D">
            <w:pPr>
              <w:pStyle w:val="financials03table-body-r"/>
              <w:rPr>
                <w:rFonts w:cs="Times New Roman"/>
              </w:rPr>
            </w:pPr>
            <w:r>
              <w:rPr>
                <w:rFonts w:cs="Times New Roman"/>
              </w:rPr>
              <w:t>75</w:t>
            </w:r>
          </w:p>
        </w:tc>
      </w:tr>
      <w:tr w:rsidR="006F421D" w14:paraId="4D78BADC"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4D2C3A89" w14:textId="77777777" w:rsidR="006F421D" w:rsidRDefault="006F421D">
            <w:pPr>
              <w:pStyle w:val="financials03table-body-l"/>
              <w:rPr>
                <w:rFonts w:cs="Times New Roman"/>
              </w:rPr>
            </w:pPr>
            <w:r>
              <w:rPr>
                <w:rFonts w:cs="Times New Roman"/>
              </w:rPr>
              <w:t>Reports about the Commission by the Auditor-General, a parliamentary committee, the Commonwealth Ombudsman or the Office of the Australian Information Commissioner</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34CE7602" w14:textId="77777777" w:rsidR="006F421D" w:rsidRDefault="006F421D">
            <w:pPr>
              <w:pStyle w:val="financials03table-body-l"/>
              <w:rPr>
                <w:rFonts w:cs="Times New Roman"/>
              </w:rPr>
            </w:pPr>
            <w:r>
              <w:rPr>
                <w:rFonts w:cs="Times New Roman"/>
              </w:rPr>
              <w:t>CAC Orders 2011, clause 17</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6F91F534" w14:textId="77777777" w:rsidR="006F421D" w:rsidRDefault="006F421D">
            <w:pPr>
              <w:pStyle w:val="financials03table-body-r"/>
              <w:rPr>
                <w:rFonts w:cs="Times New Roman"/>
              </w:rPr>
            </w:pPr>
            <w:r>
              <w:rPr>
                <w:rFonts w:cs="Times New Roman"/>
              </w:rPr>
              <w:t>74</w:t>
            </w:r>
          </w:p>
        </w:tc>
      </w:tr>
      <w:tr w:rsidR="006F421D" w14:paraId="57DB67A0"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2BA56436" w14:textId="77777777" w:rsidR="006F421D" w:rsidRDefault="006F421D">
            <w:pPr>
              <w:pStyle w:val="financials03table-body-l"/>
              <w:rPr>
                <w:rFonts w:cs="Times New Roman"/>
              </w:rPr>
            </w:pPr>
            <w:r>
              <w:rPr>
                <w:rFonts w:cs="Times New Roman"/>
              </w:rPr>
              <w:t>Responsible Minister</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30240BD" w14:textId="77777777" w:rsidR="006F421D" w:rsidRDefault="006F421D">
            <w:pPr>
              <w:pStyle w:val="financials03table-body-l"/>
              <w:rPr>
                <w:rFonts w:cs="Times New Roman"/>
              </w:rPr>
            </w:pPr>
            <w:r>
              <w:rPr>
                <w:rFonts w:cs="Times New Roman"/>
              </w:rPr>
              <w:t>CAC Orders 2011, clause 11</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087A5354" w14:textId="77777777" w:rsidR="006F421D" w:rsidRDefault="006F421D">
            <w:pPr>
              <w:pStyle w:val="financials03table-body-r"/>
              <w:rPr>
                <w:rFonts w:cs="Times New Roman"/>
              </w:rPr>
            </w:pPr>
            <w:r>
              <w:rPr>
                <w:rFonts w:cs="Times New Roman"/>
              </w:rPr>
              <w:t>3</w:t>
            </w:r>
          </w:p>
        </w:tc>
      </w:tr>
      <w:tr w:rsidR="006F421D" w14:paraId="51E8D374"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1723591C" w14:textId="77777777" w:rsidR="006F421D" w:rsidRDefault="006F421D">
            <w:pPr>
              <w:pStyle w:val="financials03table-body-l"/>
              <w:rPr>
                <w:rFonts w:cs="Times New Roman"/>
              </w:rPr>
            </w:pPr>
            <w:r>
              <w:rPr>
                <w:rFonts w:cs="Times New Roman"/>
              </w:rPr>
              <w:t>Review of performance</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421E3241" w14:textId="77777777" w:rsidR="006F421D" w:rsidRDefault="006F421D">
            <w:pPr>
              <w:pStyle w:val="financials03table-body-l"/>
              <w:rPr>
                <w:rFonts w:cs="Times New Roman"/>
              </w:rPr>
            </w:pPr>
            <w:r>
              <w:rPr>
                <w:rFonts w:cs="Times New Roman"/>
              </w:rPr>
              <w:t>CAC Orders 2011, clause 16</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B7AD277" w14:textId="77777777" w:rsidR="006F421D" w:rsidRDefault="006F421D">
            <w:pPr>
              <w:pStyle w:val="financials03table-body-r"/>
              <w:rPr>
                <w:rFonts w:cs="Times New Roman"/>
              </w:rPr>
            </w:pPr>
            <w:r>
              <w:rPr>
                <w:rFonts w:cs="Times New Roman"/>
              </w:rPr>
              <w:t>15–57</w:t>
            </w:r>
          </w:p>
        </w:tc>
      </w:tr>
      <w:tr w:rsidR="006F421D" w14:paraId="179A7108" w14:textId="77777777" w:rsidTr="006F421D">
        <w:trPr>
          <w:divId w:val="2142334130"/>
        </w:trPr>
        <w:tc>
          <w:tcPr>
            <w:tcW w:w="0" w:type="auto"/>
            <w:tcBorders>
              <w:top w:val="dotted" w:sz="12" w:space="0" w:color="5F605F"/>
              <w:left w:val="dotted" w:sz="12" w:space="0" w:color="5F605F"/>
              <w:bottom w:val="dotted" w:sz="12" w:space="0" w:color="5F605F"/>
              <w:right w:val="dotted" w:sz="12" w:space="0" w:color="5F605F"/>
            </w:tcBorders>
            <w:vAlign w:val="center"/>
            <w:hideMark/>
          </w:tcPr>
          <w:p w14:paraId="6C04FA21" w14:textId="77777777" w:rsidR="006F421D" w:rsidRDefault="006F421D">
            <w:pPr>
              <w:pStyle w:val="financials03table-body-l"/>
              <w:rPr>
                <w:rFonts w:cs="Times New Roman"/>
              </w:rPr>
            </w:pPr>
            <w:r>
              <w:rPr>
                <w:rFonts w:cs="Times New Roman"/>
              </w:rPr>
              <w:t>Work health and safety</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5FCC0E6" w14:textId="77777777" w:rsidR="006F421D" w:rsidRDefault="006F421D">
            <w:pPr>
              <w:pStyle w:val="financials03table-body-l"/>
              <w:rPr>
                <w:rFonts w:cs="Times New Roman"/>
              </w:rPr>
            </w:pPr>
            <w:r>
              <w:rPr>
                <w:rFonts w:cs="Times New Roman"/>
              </w:rPr>
              <w:t>CAC Orders 2011, clause 12, ref Work Health and Safety Act 2011, Schedule 2, Part 4</w:t>
            </w:r>
          </w:p>
        </w:tc>
        <w:tc>
          <w:tcPr>
            <w:tcW w:w="0" w:type="auto"/>
            <w:tcBorders>
              <w:top w:val="dotted" w:sz="12" w:space="0" w:color="5F605F"/>
              <w:left w:val="dotted" w:sz="12" w:space="0" w:color="5F605F"/>
              <w:bottom w:val="dotted" w:sz="12" w:space="0" w:color="5F605F"/>
              <w:right w:val="dotted" w:sz="12" w:space="0" w:color="5F605F"/>
            </w:tcBorders>
            <w:vAlign w:val="center"/>
            <w:hideMark/>
          </w:tcPr>
          <w:p w14:paraId="1C80E33E" w14:textId="77777777" w:rsidR="006F421D" w:rsidRDefault="006F421D">
            <w:pPr>
              <w:pStyle w:val="financials03table-body-r"/>
              <w:rPr>
                <w:rFonts w:cs="Times New Roman"/>
              </w:rPr>
            </w:pPr>
            <w:r>
              <w:rPr>
                <w:rFonts w:cs="Times New Roman"/>
              </w:rPr>
              <w:t>82</w:t>
            </w:r>
          </w:p>
        </w:tc>
      </w:tr>
    </w:tbl>
    <w:p w14:paraId="1AEEF987" w14:textId="77777777" w:rsidR="006F421D" w:rsidRDefault="006F421D">
      <w:pPr>
        <w:pStyle w:val="2body-copy"/>
        <w:divId w:val="2142334130"/>
        <w:rPr>
          <w:lang w:val="en-GB"/>
        </w:rPr>
      </w:pPr>
    </w:p>
    <w:p w14:paraId="5CE77DAB" w14:textId="77777777" w:rsidR="006F421D" w:rsidRDefault="006F421D">
      <w:pPr>
        <w:divId w:val="2142334130"/>
        <w:rPr>
          <w:rFonts w:cs="Times New Roman"/>
          <w:b/>
          <w:bCs/>
          <w:color w:val="5F605F"/>
          <w:sz w:val="30"/>
          <w:szCs w:val="30"/>
          <w:lang w:val="en-GB"/>
        </w:rPr>
      </w:pPr>
      <w:r>
        <w:rPr>
          <w:rFonts w:cs="Times New Roman"/>
          <w:lang w:val="en-GB"/>
        </w:rPr>
        <w:br w:type="page"/>
      </w:r>
    </w:p>
    <w:p w14:paraId="37CCE9DB" w14:textId="77777777" w:rsidR="006F421D" w:rsidRDefault="006F421D" w:rsidP="00FD071D">
      <w:pPr>
        <w:pStyle w:val="Heading2"/>
        <w:divId w:val="740950536"/>
        <w:rPr>
          <w:lang w:val="en-GB"/>
        </w:rPr>
      </w:pPr>
      <w:bookmarkStart w:id="62" w:name="_Toc414011920"/>
      <w:r>
        <w:rPr>
          <w:lang w:val="en-GB"/>
        </w:rPr>
        <w:lastRenderedPageBreak/>
        <w:t>Index</w:t>
      </w:r>
      <w:bookmarkEnd w:id="62"/>
    </w:p>
    <w:p w14:paraId="4B343D24" w14:textId="77777777" w:rsidR="006F421D" w:rsidRDefault="006F421D">
      <w:pPr>
        <w:pStyle w:val="2body-copy-before-bullet"/>
        <w:divId w:val="2142334130"/>
        <w:rPr>
          <w:rFonts w:cs="Times New Roman"/>
          <w:lang w:val="en-GB"/>
        </w:rPr>
      </w:pPr>
      <w:r>
        <w:rPr>
          <w:rFonts w:cs="Times New Roman"/>
          <w:lang w:val="en-GB"/>
        </w:rPr>
        <w:t xml:space="preserve">Page references in </w:t>
      </w:r>
      <w:r>
        <w:rPr>
          <w:rStyle w:val="2body-medium"/>
          <w:rFonts w:cs="Times New Roman"/>
          <w:lang w:val="en-GB"/>
        </w:rPr>
        <w:t>bold</w:t>
      </w:r>
      <w:r>
        <w:rPr>
          <w:rFonts w:cs="Times New Roman"/>
          <w:lang w:val="en-GB"/>
        </w:rPr>
        <w:t xml:space="preserve"> type refer to major discussions of a topic.</w:t>
      </w:r>
    </w:p>
    <w:p w14:paraId="2E1A6BF7" w14:textId="77777777" w:rsidR="006F421D" w:rsidRDefault="006F421D">
      <w:pPr>
        <w:pStyle w:val="1heading-level-3"/>
        <w:divId w:val="2142334130"/>
        <w:rPr>
          <w:rFonts w:cs="Times New Roman"/>
          <w:lang w:val="en-GB"/>
        </w:rPr>
      </w:pPr>
      <w:r>
        <w:rPr>
          <w:rFonts w:cs="Times New Roman"/>
          <w:lang w:val="en-GB"/>
        </w:rPr>
        <w:t>A</w:t>
      </w:r>
    </w:p>
    <w:p w14:paraId="46ACAD0F" w14:textId="77777777" w:rsidR="006F421D" w:rsidRDefault="006F421D">
      <w:pPr>
        <w:pStyle w:val="2body-copy-before-bullet"/>
        <w:divId w:val="2142334130"/>
        <w:rPr>
          <w:rFonts w:cs="Times New Roman"/>
          <w:lang w:val="en-GB"/>
        </w:rPr>
      </w:pPr>
      <w:proofErr w:type="gramStart"/>
      <w:r>
        <w:rPr>
          <w:rFonts w:cs="Times New Roman"/>
          <w:lang w:val="en-GB"/>
        </w:rPr>
        <w:t>abbreviations</w:t>
      </w:r>
      <w:proofErr w:type="gramEnd"/>
      <w:r>
        <w:rPr>
          <w:rFonts w:cs="Times New Roman"/>
          <w:lang w:val="en-GB"/>
        </w:rPr>
        <w:t>, 136</w:t>
      </w:r>
    </w:p>
    <w:p w14:paraId="6977F97B" w14:textId="77777777" w:rsidR="006F421D" w:rsidRDefault="006F421D">
      <w:pPr>
        <w:pStyle w:val="2body-copy-before-bullet"/>
        <w:divId w:val="2142334130"/>
        <w:rPr>
          <w:rFonts w:cs="Times New Roman"/>
          <w:lang w:val="en-GB"/>
        </w:rPr>
      </w:pPr>
      <w:proofErr w:type="gramStart"/>
      <w:r>
        <w:rPr>
          <w:rFonts w:cs="Times New Roman"/>
          <w:lang w:val="en-GB"/>
        </w:rPr>
        <w:t>accountability</w:t>
      </w:r>
      <w:proofErr w:type="gramEnd"/>
      <w:r>
        <w:rPr>
          <w:rFonts w:cs="Times New Roman"/>
          <w:lang w:val="en-GB"/>
        </w:rPr>
        <w:t xml:space="preserve">, </w:t>
      </w:r>
      <w:r>
        <w:rPr>
          <w:rStyle w:val="2body-medium"/>
          <w:rFonts w:cs="Times New Roman"/>
          <w:lang w:val="en-GB"/>
        </w:rPr>
        <w:t>3</w:t>
      </w:r>
    </w:p>
    <w:p w14:paraId="3AAAC624" w14:textId="77777777" w:rsidR="006F421D" w:rsidRDefault="006F421D">
      <w:pPr>
        <w:pStyle w:val="2body-copy-before-bullet"/>
        <w:divId w:val="2142334130"/>
        <w:rPr>
          <w:rFonts w:cs="Times New Roman"/>
          <w:lang w:val="en-GB"/>
        </w:rPr>
      </w:pPr>
      <w:proofErr w:type="gramStart"/>
      <w:r>
        <w:rPr>
          <w:rFonts w:cs="Times New Roman"/>
          <w:lang w:val="en-GB"/>
        </w:rPr>
        <w:t>accreditation</w:t>
      </w:r>
      <w:proofErr w:type="gramEnd"/>
      <w:r>
        <w:rPr>
          <w:rFonts w:cs="Times New Roman"/>
          <w:lang w:val="en-GB"/>
        </w:rPr>
        <w:t xml:space="preserve">, </w:t>
      </w:r>
      <w:r>
        <w:rPr>
          <w:rStyle w:val="2body-medium"/>
          <w:rFonts w:cs="Times New Roman"/>
          <w:lang w:val="en-GB"/>
        </w:rPr>
        <w:t>8–9</w:t>
      </w:r>
      <w:r>
        <w:rPr>
          <w:rFonts w:cs="Times New Roman"/>
          <w:lang w:val="en-GB"/>
        </w:rPr>
        <w:t xml:space="preserve">, </w:t>
      </w:r>
      <w:r>
        <w:rPr>
          <w:rStyle w:val="2body-medium"/>
          <w:rFonts w:cs="Times New Roman"/>
          <w:lang w:val="en-GB"/>
        </w:rPr>
        <w:t>17–21</w:t>
      </w:r>
    </w:p>
    <w:p w14:paraId="4480207B" w14:textId="77777777" w:rsidR="006F421D" w:rsidRDefault="006F421D">
      <w:pPr>
        <w:pStyle w:val="2body-copy-before-bullet"/>
        <w:ind w:left="567"/>
        <w:divId w:val="2142334130"/>
        <w:rPr>
          <w:rFonts w:cs="Times New Roman"/>
          <w:lang w:val="en-GB"/>
        </w:rPr>
      </w:pPr>
      <w:r>
        <w:rPr>
          <w:rFonts w:cs="Times New Roman"/>
          <w:lang w:val="en-GB"/>
        </w:rPr>
        <w:t xml:space="preserve">AHSSQA scheme, 17, </w:t>
      </w:r>
      <w:r>
        <w:rPr>
          <w:rStyle w:val="2body-medium"/>
          <w:rFonts w:cs="Times New Roman"/>
          <w:lang w:val="en-GB"/>
        </w:rPr>
        <w:t>20</w:t>
      </w:r>
    </w:p>
    <w:p w14:paraId="026ADA84" w14:textId="77777777" w:rsidR="006F421D" w:rsidRDefault="006F421D">
      <w:pPr>
        <w:pStyle w:val="2body-copy-before-bullet"/>
        <w:ind w:left="567"/>
        <w:divId w:val="2142334130"/>
        <w:rPr>
          <w:rFonts w:cs="Times New Roman"/>
          <w:lang w:val="en-GB"/>
        </w:rPr>
      </w:pPr>
      <w:proofErr w:type="gramStart"/>
      <w:r>
        <w:rPr>
          <w:rFonts w:cs="Times New Roman"/>
          <w:lang w:val="en-GB"/>
        </w:rPr>
        <w:t>dental</w:t>
      </w:r>
      <w:proofErr w:type="gramEnd"/>
      <w:r>
        <w:rPr>
          <w:rFonts w:cs="Times New Roman"/>
          <w:lang w:val="en-GB"/>
        </w:rPr>
        <w:t xml:space="preserve"> practice, 22</w:t>
      </w:r>
    </w:p>
    <w:p w14:paraId="584DA689" w14:textId="77777777" w:rsidR="006F421D" w:rsidRDefault="006F421D">
      <w:pPr>
        <w:pStyle w:val="2body-copy-before-bullet"/>
        <w:ind w:left="567"/>
        <w:divId w:val="2142334130"/>
        <w:rPr>
          <w:rFonts w:cs="Times New Roman"/>
          <w:lang w:val="en-GB"/>
        </w:rPr>
      </w:pPr>
      <w:proofErr w:type="gramStart"/>
      <w:r>
        <w:rPr>
          <w:rFonts w:cs="Times New Roman"/>
          <w:lang w:val="en-GB"/>
        </w:rPr>
        <w:t>general</w:t>
      </w:r>
      <w:proofErr w:type="gramEnd"/>
      <w:r>
        <w:rPr>
          <w:rFonts w:cs="Times New Roman"/>
          <w:lang w:val="en-GB"/>
        </w:rPr>
        <w:t xml:space="preserve"> practice, 22</w:t>
      </w:r>
    </w:p>
    <w:p w14:paraId="35FAB289" w14:textId="77777777" w:rsidR="006F421D" w:rsidRDefault="006F421D">
      <w:pPr>
        <w:pStyle w:val="2body-copy-before-bullet"/>
        <w:ind w:left="567"/>
        <w:divId w:val="2142334130"/>
        <w:rPr>
          <w:rFonts w:cs="Times New Roman"/>
          <w:lang w:val="en-GB"/>
        </w:rPr>
      </w:pPr>
      <w:proofErr w:type="gramStart"/>
      <w:r>
        <w:rPr>
          <w:rFonts w:cs="Times New Roman"/>
          <w:lang w:val="en-GB"/>
        </w:rPr>
        <w:t>new</w:t>
      </w:r>
      <w:proofErr w:type="gramEnd"/>
      <w:r>
        <w:rPr>
          <w:rFonts w:cs="Times New Roman"/>
          <w:lang w:val="en-GB"/>
        </w:rPr>
        <w:t xml:space="preserve"> national scheme, 61</w:t>
      </w:r>
    </w:p>
    <w:p w14:paraId="6D9FF74D" w14:textId="77777777" w:rsidR="006F421D" w:rsidRDefault="006F421D">
      <w:pPr>
        <w:pStyle w:val="2body-copy-before-bullet"/>
        <w:ind w:left="567"/>
        <w:divId w:val="2142334130"/>
        <w:rPr>
          <w:rFonts w:cs="Times New Roman"/>
          <w:lang w:val="en-GB"/>
        </w:rPr>
      </w:pPr>
      <w:proofErr w:type="gramStart"/>
      <w:r>
        <w:rPr>
          <w:rFonts w:cs="Times New Roman"/>
          <w:lang w:val="en-GB"/>
        </w:rPr>
        <w:t>standards</w:t>
      </w:r>
      <w:proofErr w:type="gramEnd"/>
      <w:r>
        <w:rPr>
          <w:rFonts w:cs="Times New Roman"/>
          <w:lang w:val="en-GB"/>
        </w:rPr>
        <w:t xml:space="preserve"> </w:t>
      </w:r>
      <w:r>
        <w:rPr>
          <w:rStyle w:val="2body-italic0"/>
          <w:rFonts w:cs="Times New Roman"/>
          <w:lang w:val="en-GB"/>
        </w:rPr>
        <w:t>see</w:t>
      </w:r>
      <w:r>
        <w:rPr>
          <w:rFonts w:cs="Times New Roman"/>
          <w:lang w:val="en-GB"/>
        </w:rPr>
        <w:t xml:space="preserve"> National Safety and Quality Health Service (NSQHS) Standards</w:t>
      </w:r>
    </w:p>
    <w:p w14:paraId="2CDF3464" w14:textId="77777777" w:rsidR="006F421D" w:rsidRDefault="006F421D">
      <w:pPr>
        <w:pStyle w:val="2body-copy-before-bullet"/>
        <w:divId w:val="2142334130"/>
        <w:rPr>
          <w:rFonts w:cs="Times New Roman"/>
          <w:lang w:val="en-GB"/>
        </w:rPr>
      </w:pPr>
      <w:r>
        <w:rPr>
          <w:rStyle w:val="2body-italic0"/>
          <w:rFonts w:cs="Times New Roman"/>
          <w:lang w:val="en-GB"/>
        </w:rPr>
        <w:t>Accreditation Workbook for Mental Health Services</w:t>
      </w:r>
      <w:r>
        <w:rPr>
          <w:rFonts w:cs="Times New Roman"/>
          <w:lang w:val="en-GB"/>
        </w:rPr>
        <w:t xml:space="preserve">, 7, 24, </w:t>
      </w:r>
      <w:r>
        <w:rPr>
          <w:rStyle w:val="2body-medium"/>
          <w:rFonts w:cs="Times New Roman"/>
          <w:lang w:val="en-GB"/>
        </w:rPr>
        <w:t>52–53</w:t>
      </w:r>
      <w:r>
        <w:rPr>
          <w:rFonts w:cs="Times New Roman"/>
          <w:lang w:val="en-GB"/>
        </w:rPr>
        <w:t>, 123</w:t>
      </w:r>
    </w:p>
    <w:p w14:paraId="09E9BE11" w14:textId="77777777" w:rsidR="006F421D" w:rsidRDefault="006F421D">
      <w:pPr>
        <w:pStyle w:val="2body-copy-before-bullet"/>
        <w:divId w:val="2142334130"/>
        <w:rPr>
          <w:rFonts w:cs="Times New Roman"/>
          <w:lang w:val="en-GB"/>
        </w:rPr>
      </w:pPr>
      <w:proofErr w:type="gramStart"/>
      <w:r>
        <w:rPr>
          <w:rFonts w:cs="Times New Roman"/>
          <w:lang w:val="en-GB"/>
        </w:rPr>
        <w:t>acronyms</w:t>
      </w:r>
      <w:proofErr w:type="gramEnd"/>
      <w:r>
        <w:rPr>
          <w:rFonts w:cs="Times New Roman"/>
          <w:lang w:val="en-GB"/>
        </w:rPr>
        <w:t>, 136</w:t>
      </w:r>
    </w:p>
    <w:p w14:paraId="672D4E91" w14:textId="77777777" w:rsidR="006F421D" w:rsidRDefault="006F421D">
      <w:pPr>
        <w:pStyle w:val="2body-copy-before-bullet"/>
        <w:divId w:val="2142334130"/>
        <w:rPr>
          <w:rFonts w:cs="Times New Roman"/>
          <w:lang w:val="en-GB"/>
        </w:rPr>
      </w:pPr>
      <w:r>
        <w:rPr>
          <w:rFonts w:cs="Times New Roman"/>
          <w:lang w:val="en-GB"/>
        </w:rPr>
        <w:t>Advice Centre, 18</w:t>
      </w:r>
    </w:p>
    <w:p w14:paraId="502BF9F3" w14:textId="77777777" w:rsidR="006F421D" w:rsidRDefault="006F421D">
      <w:pPr>
        <w:pStyle w:val="2body-copy-before-bullet"/>
        <w:divId w:val="2142334130"/>
        <w:rPr>
          <w:rFonts w:cs="Times New Roman"/>
          <w:lang w:val="en-GB"/>
        </w:rPr>
      </w:pPr>
      <w:proofErr w:type="gramStart"/>
      <w:r>
        <w:rPr>
          <w:rFonts w:cs="Times New Roman"/>
          <w:lang w:val="en-GB"/>
        </w:rPr>
        <w:t>advisories</w:t>
      </w:r>
      <w:proofErr w:type="gramEnd"/>
      <w:r>
        <w:rPr>
          <w:rFonts w:cs="Times New Roman"/>
          <w:lang w:val="en-GB"/>
        </w:rPr>
        <w:t>, 18</w:t>
      </w:r>
    </w:p>
    <w:p w14:paraId="4220C0FC" w14:textId="77777777" w:rsidR="006F421D" w:rsidRDefault="006F421D">
      <w:pPr>
        <w:pStyle w:val="2body-copy-before-bullet"/>
        <w:divId w:val="2142334130"/>
        <w:rPr>
          <w:rFonts w:cs="Times New Roman"/>
          <w:lang w:val="en-GB"/>
        </w:rPr>
      </w:pPr>
      <w:proofErr w:type="gramStart"/>
      <w:r>
        <w:rPr>
          <w:rFonts w:cs="Times New Roman"/>
          <w:lang w:val="en-GB"/>
        </w:rPr>
        <w:t>aged-care</w:t>
      </w:r>
      <w:proofErr w:type="gramEnd"/>
      <w:r>
        <w:rPr>
          <w:rFonts w:cs="Times New Roman"/>
          <w:lang w:val="en-GB"/>
        </w:rPr>
        <w:t xml:space="preserve"> facilities, 6, 32</w:t>
      </w:r>
    </w:p>
    <w:p w14:paraId="7D9857FD" w14:textId="77777777" w:rsidR="006F421D" w:rsidRDefault="006F421D">
      <w:pPr>
        <w:pStyle w:val="2body-copy-before-bullet"/>
        <w:divId w:val="2142334130"/>
        <w:rPr>
          <w:rFonts w:cs="Times New Roman"/>
          <w:lang w:val="en-GB"/>
        </w:rPr>
      </w:pPr>
      <w:proofErr w:type="gramStart"/>
      <w:r>
        <w:rPr>
          <w:rFonts w:cs="Times New Roman"/>
          <w:lang w:val="en-GB"/>
        </w:rPr>
        <w:t>agriculture</w:t>
      </w:r>
      <w:proofErr w:type="gramEnd"/>
      <w:r>
        <w:rPr>
          <w:rFonts w:cs="Times New Roman"/>
          <w:lang w:val="en-GB"/>
        </w:rPr>
        <w:t xml:space="preserve"> and health, 45</w:t>
      </w:r>
    </w:p>
    <w:p w14:paraId="587479F2" w14:textId="77777777" w:rsidR="006F421D" w:rsidRDefault="006F421D">
      <w:pPr>
        <w:pStyle w:val="2body-copy-before-bullet"/>
        <w:divId w:val="2142334130"/>
        <w:rPr>
          <w:rFonts w:cs="Times New Roman"/>
          <w:lang w:val="en-GB"/>
        </w:rPr>
      </w:pPr>
      <w:r>
        <w:rPr>
          <w:rFonts w:cs="Times New Roman"/>
          <w:lang w:val="en-GB"/>
        </w:rPr>
        <w:t xml:space="preserve">AMR (antimicrobial resistance), 4, 12, </w:t>
      </w:r>
      <w:r>
        <w:rPr>
          <w:rStyle w:val="2body-medium"/>
          <w:rFonts w:cs="Times New Roman"/>
          <w:lang w:val="en-GB"/>
        </w:rPr>
        <w:t>43–47</w:t>
      </w:r>
      <w:r>
        <w:rPr>
          <w:rFonts w:cs="Times New Roman"/>
          <w:lang w:val="en-GB"/>
        </w:rPr>
        <w:t>, 131</w:t>
      </w:r>
    </w:p>
    <w:p w14:paraId="07772EA1" w14:textId="77777777" w:rsidR="006F421D" w:rsidRDefault="006F421D">
      <w:pPr>
        <w:pStyle w:val="2body-copy-before-bullet"/>
        <w:divId w:val="2142334130"/>
        <w:rPr>
          <w:rFonts w:cs="Times New Roman"/>
          <w:lang w:val="en-GB"/>
        </w:rPr>
      </w:pPr>
      <w:proofErr w:type="gramStart"/>
      <w:r>
        <w:rPr>
          <w:rFonts w:cs="Times New Roman"/>
          <w:lang w:val="en-GB"/>
        </w:rPr>
        <w:t>animal</w:t>
      </w:r>
      <w:proofErr w:type="gramEnd"/>
      <w:r>
        <w:rPr>
          <w:rFonts w:cs="Times New Roman"/>
          <w:lang w:val="en-GB"/>
        </w:rPr>
        <w:t xml:space="preserve"> health, 45</w:t>
      </w:r>
    </w:p>
    <w:p w14:paraId="024497AE" w14:textId="77777777" w:rsidR="006F421D" w:rsidRDefault="006F421D">
      <w:pPr>
        <w:pStyle w:val="2body-copy-before-bullet"/>
        <w:divId w:val="2142334130"/>
        <w:rPr>
          <w:rFonts w:cs="Times New Roman"/>
          <w:lang w:val="en-GB"/>
        </w:rPr>
      </w:pPr>
      <w:r>
        <w:rPr>
          <w:rFonts w:cs="Times New Roman"/>
          <w:lang w:val="en-GB"/>
        </w:rPr>
        <w:t>Anstey, Dr Matthew, 6</w:t>
      </w:r>
    </w:p>
    <w:p w14:paraId="1C7BA2BD" w14:textId="77777777" w:rsidR="006F421D" w:rsidRDefault="006F421D">
      <w:pPr>
        <w:pStyle w:val="2body-copy-before-bullet"/>
        <w:divId w:val="2142334130"/>
        <w:rPr>
          <w:rFonts w:cs="Times New Roman"/>
          <w:lang w:val="en-GB"/>
        </w:rPr>
      </w:pPr>
      <w:proofErr w:type="spellStart"/>
      <w:proofErr w:type="gramStart"/>
      <w:r>
        <w:rPr>
          <w:rFonts w:cs="Times New Roman"/>
          <w:lang w:val="en-GB"/>
        </w:rPr>
        <w:t>antibiograms</w:t>
      </w:r>
      <w:proofErr w:type="spellEnd"/>
      <w:proofErr w:type="gramEnd"/>
      <w:r>
        <w:rPr>
          <w:rFonts w:cs="Times New Roman"/>
          <w:lang w:val="en-GB"/>
        </w:rPr>
        <w:t xml:space="preserve">, </w:t>
      </w:r>
      <w:r>
        <w:rPr>
          <w:rStyle w:val="2body-medium"/>
          <w:rFonts w:cs="Times New Roman"/>
          <w:lang w:val="en-GB"/>
        </w:rPr>
        <w:t>47</w:t>
      </w:r>
    </w:p>
    <w:p w14:paraId="4E1EECCD" w14:textId="77777777" w:rsidR="006F421D" w:rsidRDefault="006F421D">
      <w:pPr>
        <w:pStyle w:val="2body-copy-before-bullet"/>
        <w:divId w:val="2142334130"/>
        <w:rPr>
          <w:rFonts w:cs="Times New Roman"/>
          <w:lang w:val="en-GB"/>
        </w:rPr>
      </w:pPr>
      <w:r>
        <w:rPr>
          <w:rFonts w:cs="Times New Roman"/>
          <w:lang w:val="en-GB"/>
        </w:rPr>
        <w:t>Antibiotic Awareness Week (AAW), 5, 45</w:t>
      </w:r>
    </w:p>
    <w:p w14:paraId="136F5189" w14:textId="77777777" w:rsidR="006F421D" w:rsidRDefault="006F421D">
      <w:pPr>
        <w:pStyle w:val="2body-copy-before-bullet"/>
        <w:divId w:val="2142334130"/>
        <w:rPr>
          <w:rFonts w:cs="Times New Roman"/>
          <w:lang w:val="en-GB"/>
        </w:rPr>
      </w:pPr>
      <w:proofErr w:type="gramStart"/>
      <w:r>
        <w:rPr>
          <w:rFonts w:cs="Times New Roman"/>
          <w:lang w:val="en-GB"/>
        </w:rPr>
        <w:t>antimicrobial</w:t>
      </w:r>
      <w:proofErr w:type="gramEnd"/>
      <w:r>
        <w:rPr>
          <w:rFonts w:cs="Times New Roman"/>
          <w:lang w:val="en-GB"/>
        </w:rPr>
        <w:t xml:space="preserve"> prescription, 56</w:t>
      </w:r>
    </w:p>
    <w:p w14:paraId="3097BF2D" w14:textId="77777777" w:rsidR="006F421D" w:rsidRDefault="006F421D">
      <w:pPr>
        <w:pStyle w:val="2body-copy-before-bullet"/>
        <w:divId w:val="2142334130"/>
        <w:rPr>
          <w:rFonts w:cs="Times New Roman"/>
          <w:lang w:val="en-GB"/>
        </w:rPr>
      </w:pPr>
      <w:proofErr w:type="gramStart"/>
      <w:r>
        <w:rPr>
          <w:rFonts w:cs="Times New Roman"/>
          <w:lang w:val="en-GB"/>
        </w:rPr>
        <w:t>antimicrobial</w:t>
      </w:r>
      <w:proofErr w:type="gramEnd"/>
      <w:r>
        <w:rPr>
          <w:rFonts w:cs="Times New Roman"/>
          <w:lang w:val="en-GB"/>
        </w:rPr>
        <w:t xml:space="preserve"> resistance (AMR), 4, 12, </w:t>
      </w:r>
      <w:r>
        <w:rPr>
          <w:rStyle w:val="2body-medium"/>
          <w:rFonts w:cs="Times New Roman"/>
          <w:lang w:val="en-GB"/>
        </w:rPr>
        <w:t>43–47</w:t>
      </w:r>
      <w:r>
        <w:rPr>
          <w:rFonts w:cs="Times New Roman"/>
          <w:lang w:val="en-GB"/>
        </w:rPr>
        <w:t>, 131</w:t>
      </w:r>
    </w:p>
    <w:p w14:paraId="488DE2FC" w14:textId="77777777" w:rsidR="006F421D" w:rsidRDefault="006F421D">
      <w:pPr>
        <w:pStyle w:val="2body-copy-before-bullet"/>
        <w:divId w:val="2142334130"/>
        <w:rPr>
          <w:rFonts w:cs="Times New Roman"/>
          <w:lang w:val="en-GB"/>
        </w:rPr>
      </w:pPr>
      <w:proofErr w:type="gramStart"/>
      <w:r>
        <w:rPr>
          <w:rFonts w:cs="Times New Roman"/>
          <w:lang w:val="en-GB"/>
        </w:rPr>
        <w:t>antimicrobial</w:t>
      </w:r>
      <w:proofErr w:type="gramEnd"/>
      <w:r>
        <w:rPr>
          <w:rFonts w:cs="Times New Roman"/>
          <w:lang w:val="en-GB"/>
        </w:rPr>
        <w:t xml:space="preserve"> stewardship (AMS), 5, 21, </w:t>
      </w:r>
      <w:r>
        <w:rPr>
          <w:rStyle w:val="2body-medium"/>
          <w:rFonts w:cs="Times New Roman"/>
          <w:lang w:val="en-GB"/>
        </w:rPr>
        <w:t>44–45</w:t>
      </w:r>
      <w:r>
        <w:rPr>
          <w:rFonts w:cs="Times New Roman"/>
          <w:lang w:val="en-GB"/>
        </w:rPr>
        <w:t>, 47, 55</w:t>
      </w:r>
    </w:p>
    <w:p w14:paraId="0649BBE3" w14:textId="77777777" w:rsidR="006F421D" w:rsidRDefault="006F421D">
      <w:pPr>
        <w:pStyle w:val="2body-copy-before-bullet"/>
        <w:divId w:val="2142334130"/>
        <w:rPr>
          <w:rFonts w:cs="Times New Roman"/>
          <w:lang w:val="en-GB"/>
        </w:rPr>
      </w:pPr>
      <w:proofErr w:type="gramStart"/>
      <w:r>
        <w:rPr>
          <w:rFonts w:cs="Times New Roman"/>
          <w:lang w:val="en-GB"/>
        </w:rPr>
        <w:t>antimicrobial</w:t>
      </w:r>
      <w:proofErr w:type="gramEnd"/>
      <w:r>
        <w:rPr>
          <w:rFonts w:cs="Times New Roman"/>
          <w:lang w:val="en-GB"/>
        </w:rPr>
        <w:t xml:space="preserve"> utilisation and resistance surveillance system, </w:t>
      </w:r>
      <w:r>
        <w:rPr>
          <w:rStyle w:val="2body-medium"/>
          <w:rFonts w:cs="Times New Roman"/>
          <w:lang w:val="en-GB"/>
        </w:rPr>
        <w:t>46–47</w:t>
      </w:r>
    </w:p>
    <w:p w14:paraId="55B99AE0" w14:textId="77777777" w:rsidR="006F421D" w:rsidRDefault="006F421D">
      <w:pPr>
        <w:pStyle w:val="2body-copy-before-bullet"/>
        <w:divId w:val="2142334130"/>
        <w:rPr>
          <w:rFonts w:cs="Times New Roman"/>
          <w:lang w:val="en-GB"/>
        </w:rPr>
      </w:pPr>
      <w:r>
        <w:rPr>
          <w:rFonts w:cs="Times New Roman"/>
          <w:lang w:val="en-GB"/>
        </w:rPr>
        <w:t xml:space="preserve">Antimicrobial </w:t>
      </w:r>
      <w:proofErr w:type="spellStart"/>
      <w:r>
        <w:rPr>
          <w:rFonts w:cs="Times New Roman"/>
          <w:lang w:val="en-GB"/>
        </w:rPr>
        <w:t>Utilitisations</w:t>
      </w:r>
      <w:proofErr w:type="spellEnd"/>
      <w:r>
        <w:rPr>
          <w:rFonts w:cs="Times New Roman"/>
          <w:lang w:val="en-GB"/>
        </w:rPr>
        <w:t xml:space="preserve"> and Resistance in Australia (AURA) Surveillance Project, 5, 6, </w:t>
      </w:r>
      <w:r>
        <w:rPr>
          <w:rStyle w:val="2body-medium"/>
          <w:rFonts w:cs="Times New Roman"/>
          <w:lang w:val="en-GB"/>
        </w:rPr>
        <w:t>46–47</w:t>
      </w:r>
    </w:p>
    <w:p w14:paraId="4C77720B" w14:textId="77777777" w:rsidR="006F421D" w:rsidRDefault="006F421D">
      <w:pPr>
        <w:pStyle w:val="2body-copy-before-bullet"/>
        <w:divId w:val="2142334130"/>
        <w:rPr>
          <w:rFonts w:cs="Times New Roman"/>
          <w:lang w:val="en-GB"/>
        </w:rPr>
      </w:pPr>
      <w:proofErr w:type="gramStart"/>
      <w:r>
        <w:rPr>
          <w:rFonts w:cs="Times New Roman"/>
          <w:lang w:val="en-GB"/>
        </w:rPr>
        <w:t>articles</w:t>
      </w:r>
      <w:proofErr w:type="gramEnd"/>
      <w:r>
        <w:rPr>
          <w:rFonts w:cs="Times New Roman"/>
          <w:lang w:val="en-GB"/>
        </w:rPr>
        <w:t xml:space="preserve">, </w:t>
      </w:r>
      <w:r>
        <w:rPr>
          <w:rStyle w:val="2body-medium"/>
          <w:rFonts w:cs="Times New Roman"/>
          <w:lang w:val="en-GB"/>
        </w:rPr>
        <w:t>124</w:t>
      </w:r>
    </w:p>
    <w:p w14:paraId="1D5EF4B4" w14:textId="77777777" w:rsidR="006F421D" w:rsidRDefault="006F421D">
      <w:pPr>
        <w:pStyle w:val="2body-copy-before-bullet"/>
        <w:divId w:val="2142334130"/>
        <w:rPr>
          <w:rFonts w:cs="Times New Roman"/>
          <w:lang w:val="en-GB"/>
        </w:rPr>
      </w:pPr>
      <w:proofErr w:type="gramStart"/>
      <w:r>
        <w:rPr>
          <w:rFonts w:cs="Times New Roman"/>
          <w:lang w:val="en-GB"/>
        </w:rPr>
        <w:t>assets</w:t>
      </w:r>
      <w:proofErr w:type="gramEnd"/>
    </w:p>
    <w:p w14:paraId="5EDE55A9" w14:textId="77777777" w:rsidR="006F421D" w:rsidRDefault="006F421D">
      <w:pPr>
        <w:pStyle w:val="2body-copy-before-bullet"/>
        <w:ind w:left="567"/>
        <w:divId w:val="2142334130"/>
        <w:rPr>
          <w:rFonts w:cs="Times New Roman"/>
          <w:lang w:val="en-GB"/>
        </w:rPr>
      </w:pPr>
      <w:proofErr w:type="gramStart"/>
      <w:r>
        <w:rPr>
          <w:rFonts w:cs="Times New Roman"/>
          <w:lang w:val="en-GB"/>
        </w:rPr>
        <w:t>contingent</w:t>
      </w:r>
      <w:proofErr w:type="gramEnd"/>
      <w:r>
        <w:rPr>
          <w:rFonts w:cs="Times New Roman"/>
          <w:lang w:val="en-GB"/>
        </w:rPr>
        <w:t>, 110</w:t>
      </w:r>
    </w:p>
    <w:p w14:paraId="12891E0C" w14:textId="77777777" w:rsidR="006F421D" w:rsidRDefault="006F421D">
      <w:pPr>
        <w:pStyle w:val="2body-copy-before-bullet"/>
        <w:ind w:left="567"/>
        <w:divId w:val="2142334130"/>
        <w:rPr>
          <w:rFonts w:cs="Times New Roman"/>
          <w:lang w:val="en-GB"/>
        </w:rPr>
      </w:pPr>
      <w:proofErr w:type="gramStart"/>
      <w:r>
        <w:rPr>
          <w:rFonts w:cs="Times New Roman"/>
          <w:lang w:val="en-GB"/>
        </w:rPr>
        <w:t>financial</w:t>
      </w:r>
      <w:proofErr w:type="gramEnd"/>
      <w:r>
        <w:rPr>
          <w:rFonts w:cs="Times New Roman"/>
          <w:lang w:val="en-GB"/>
        </w:rPr>
        <w:t>, 106, 188</w:t>
      </w:r>
    </w:p>
    <w:p w14:paraId="31526A2F" w14:textId="77777777" w:rsidR="006F421D" w:rsidRDefault="006F421D">
      <w:pPr>
        <w:pStyle w:val="2body-copy-before-bullet"/>
        <w:ind w:left="567"/>
        <w:divId w:val="2142334130"/>
        <w:rPr>
          <w:rFonts w:cs="Times New Roman"/>
          <w:lang w:val="en-GB"/>
        </w:rPr>
      </w:pPr>
      <w:proofErr w:type="gramStart"/>
      <w:r>
        <w:rPr>
          <w:rFonts w:cs="Times New Roman"/>
          <w:lang w:val="en-GB"/>
        </w:rPr>
        <w:t>non-financial</w:t>
      </w:r>
      <w:proofErr w:type="gramEnd"/>
      <w:r>
        <w:rPr>
          <w:rFonts w:cs="Times New Roman"/>
          <w:lang w:val="en-GB"/>
        </w:rPr>
        <w:t>, 107</w:t>
      </w:r>
    </w:p>
    <w:p w14:paraId="41C04CEA" w14:textId="77777777" w:rsidR="006F421D" w:rsidRDefault="006F421D">
      <w:pPr>
        <w:pStyle w:val="2body-copy-before-bullet"/>
        <w:divId w:val="2142334130"/>
        <w:rPr>
          <w:rFonts w:cs="Times New Roman"/>
          <w:lang w:val="en-GB"/>
        </w:rPr>
      </w:pPr>
      <w:r>
        <w:rPr>
          <w:rStyle w:val="2body-italic0"/>
          <w:rFonts w:cs="Times New Roman"/>
          <w:lang w:val="en-GB"/>
        </w:rPr>
        <w:t>Atlas of Healthcare Variation</w:t>
      </w:r>
      <w:r>
        <w:rPr>
          <w:rFonts w:cs="Times New Roman"/>
          <w:lang w:val="en-GB"/>
        </w:rPr>
        <w:t xml:space="preserve">, 41, </w:t>
      </w:r>
      <w:r>
        <w:rPr>
          <w:rStyle w:val="2body-medium"/>
          <w:rFonts w:cs="Times New Roman"/>
          <w:lang w:val="en-GB"/>
        </w:rPr>
        <w:t>42</w:t>
      </w:r>
    </w:p>
    <w:p w14:paraId="09537D8F" w14:textId="77777777" w:rsidR="006F421D" w:rsidRDefault="006F421D">
      <w:pPr>
        <w:pStyle w:val="2body-copy-before-bullet"/>
        <w:divId w:val="2142334130"/>
        <w:rPr>
          <w:rFonts w:cs="Times New Roman"/>
          <w:lang w:val="en-GB"/>
        </w:rPr>
      </w:pPr>
      <w:r>
        <w:rPr>
          <w:rFonts w:cs="Times New Roman"/>
          <w:lang w:val="en-GB"/>
        </w:rPr>
        <w:t xml:space="preserve">Audit and Risk Committee, </w:t>
      </w:r>
      <w:r>
        <w:rPr>
          <w:rStyle w:val="2body-medium"/>
          <w:rFonts w:cs="Times New Roman"/>
          <w:lang w:val="en-GB"/>
        </w:rPr>
        <w:t>71</w:t>
      </w:r>
    </w:p>
    <w:p w14:paraId="6304948A" w14:textId="77777777" w:rsidR="006F421D" w:rsidRDefault="006F421D">
      <w:pPr>
        <w:pStyle w:val="2body-copy-before-bullet"/>
        <w:divId w:val="2142334130"/>
        <w:rPr>
          <w:rFonts w:cs="Times New Roman"/>
          <w:lang w:val="en-GB"/>
        </w:rPr>
      </w:pPr>
      <w:proofErr w:type="gramStart"/>
      <w:r>
        <w:rPr>
          <w:rFonts w:cs="Times New Roman"/>
          <w:lang w:val="en-GB"/>
        </w:rPr>
        <w:t>audit</w:t>
      </w:r>
      <w:proofErr w:type="gramEnd"/>
      <w:r>
        <w:rPr>
          <w:rFonts w:cs="Times New Roman"/>
          <w:lang w:val="en-GB"/>
        </w:rPr>
        <w:t>, internal, 73–74</w:t>
      </w:r>
    </w:p>
    <w:p w14:paraId="41C357D0" w14:textId="77777777" w:rsidR="006F421D" w:rsidRDefault="006F421D">
      <w:pPr>
        <w:pStyle w:val="2body-copy-before-bullet"/>
        <w:divId w:val="2142334130"/>
        <w:rPr>
          <w:rFonts w:cs="Times New Roman"/>
          <w:lang w:val="en-GB"/>
        </w:rPr>
      </w:pPr>
      <w:r>
        <w:rPr>
          <w:rFonts w:cs="Times New Roman"/>
          <w:lang w:val="en-GB"/>
        </w:rPr>
        <w:t xml:space="preserve">Auditor-General’s report, </w:t>
      </w:r>
      <w:r>
        <w:rPr>
          <w:rStyle w:val="2body-medium"/>
          <w:rFonts w:cs="Times New Roman"/>
          <w:lang w:val="en-GB"/>
        </w:rPr>
        <w:t>83–84</w:t>
      </w:r>
    </w:p>
    <w:p w14:paraId="7E0C8CB1" w14:textId="77777777" w:rsidR="006F421D" w:rsidRDefault="006F421D">
      <w:pPr>
        <w:pStyle w:val="2body-copy-before-bullet"/>
        <w:divId w:val="2142334130"/>
        <w:rPr>
          <w:rFonts w:cs="Times New Roman"/>
          <w:lang w:val="en-GB"/>
        </w:rPr>
      </w:pPr>
      <w:proofErr w:type="gramStart"/>
      <w:r>
        <w:rPr>
          <w:rFonts w:cs="Times New Roman"/>
          <w:lang w:val="en-GB"/>
        </w:rPr>
        <w:t>auditors</w:t>
      </w:r>
      <w:proofErr w:type="gramEnd"/>
    </w:p>
    <w:p w14:paraId="427E631A" w14:textId="77777777" w:rsidR="006F421D" w:rsidRDefault="006F421D">
      <w:pPr>
        <w:pStyle w:val="2body-copy-before-bullet"/>
        <w:ind w:left="567"/>
        <w:divId w:val="2142334130"/>
        <w:rPr>
          <w:rFonts w:cs="Times New Roman"/>
          <w:lang w:val="en-GB"/>
        </w:rPr>
      </w:pPr>
      <w:proofErr w:type="gramStart"/>
      <w:r>
        <w:rPr>
          <w:rFonts w:cs="Times New Roman"/>
          <w:lang w:val="en-GB"/>
        </w:rPr>
        <w:t>remuneration</w:t>
      </w:r>
      <w:proofErr w:type="gramEnd"/>
      <w:r>
        <w:rPr>
          <w:rFonts w:cs="Times New Roman"/>
          <w:lang w:val="en-GB"/>
        </w:rPr>
        <w:t>, 115</w:t>
      </w:r>
    </w:p>
    <w:p w14:paraId="05ACBF94" w14:textId="77777777" w:rsidR="006F421D" w:rsidRDefault="006F421D">
      <w:pPr>
        <w:pStyle w:val="2body-copy-before-bullet"/>
        <w:ind w:left="567"/>
        <w:divId w:val="2142334130"/>
        <w:rPr>
          <w:rFonts w:cs="Times New Roman"/>
          <w:lang w:val="en-GB"/>
        </w:rPr>
      </w:pPr>
      <w:proofErr w:type="gramStart"/>
      <w:r>
        <w:rPr>
          <w:rFonts w:cs="Times New Roman"/>
          <w:lang w:val="en-GB"/>
        </w:rPr>
        <w:t>report</w:t>
      </w:r>
      <w:proofErr w:type="gramEnd"/>
      <w:r>
        <w:rPr>
          <w:rFonts w:cs="Times New Roman"/>
          <w:lang w:val="en-GB"/>
        </w:rPr>
        <w:t xml:space="preserve">, </w:t>
      </w:r>
      <w:r>
        <w:rPr>
          <w:rStyle w:val="2body-medium"/>
          <w:rFonts w:cs="Times New Roman"/>
          <w:lang w:val="en-GB"/>
        </w:rPr>
        <w:t>83–84</w:t>
      </w:r>
    </w:p>
    <w:p w14:paraId="4F3E5028" w14:textId="77777777" w:rsidR="006F421D" w:rsidRDefault="006F421D">
      <w:pPr>
        <w:pStyle w:val="2body-copy-before-bullet"/>
        <w:divId w:val="2142334130"/>
        <w:rPr>
          <w:rFonts w:cs="Times New Roman"/>
          <w:lang w:val="en-GB"/>
        </w:rPr>
      </w:pPr>
      <w:r>
        <w:rPr>
          <w:rFonts w:cs="Times New Roman"/>
          <w:lang w:val="en-GB"/>
        </w:rPr>
        <w:t xml:space="preserve">AURA Surveillance Project, 5, 6, </w:t>
      </w:r>
      <w:r>
        <w:rPr>
          <w:rStyle w:val="2body-medium"/>
          <w:rFonts w:cs="Times New Roman"/>
          <w:lang w:val="en-GB"/>
        </w:rPr>
        <w:t>46–47</w:t>
      </w:r>
    </w:p>
    <w:p w14:paraId="2495DBA2" w14:textId="77777777" w:rsidR="006F421D" w:rsidRDefault="006F421D">
      <w:pPr>
        <w:pStyle w:val="2body-copy-before-bullet"/>
        <w:divId w:val="2142334130"/>
        <w:rPr>
          <w:rFonts w:cs="Times New Roman"/>
          <w:lang w:val="en-GB"/>
        </w:rPr>
      </w:pPr>
      <w:r>
        <w:rPr>
          <w:rFonts w:cs="Times New Roman"/>
          <w:lang w:val="en-GB"/>
        </w:rPr>
        <w:t>Australasian College for Infection Prevention and Control, 45</w:t>
      </w:r>
    </w:p>
    <w:p w14:paraId="2417AC2C" w14:textId="77777777" w:rsidR="006F421D" w:rsidRDefault="006F421D">
      <w:pPr>
        <w:pStyle w:val="2body-copy-before-bullet"/>
        <w:divId w:val="2142334130"/>
        <w:rPr>
          <w:rFonts w:cs="Times New Roman"/>
          <w:lang w:val="en-GB"/>
        </w:rPr>
      </w:pPr>
      <w:r>
        <w:rPr>
          <w:rFonts w:cs="Times New Roman"/>
          <w:lang w:val="en-GB"/>
        </w:rPr>
        <w:t>Australian Antibiotic Awareness Week, 45</w:t>
      </w:r>
    </w:p>
    <w:p w14:paraId="3B34D10D" w14:textId="77777777" w:rsidR="006F421D" w:rsidRDefault="006F421D">
      <w:pPr>
        <w:pStyle w:val="2body-copy-before-bullet"/>
        <w:divId w:val="2142334130"/>
        <w:rPr>
          <w:rFonts w:cs="Times New Roman"/>
          <w:lang w:val="en-GB"/>
        </w:rPr>
      </w:pPr>
      <w:r>
        <w:rPr>
          <w:rFonts w:cs="Times New Roman"/>
          <w:lang w:val="en-GB"/>
        </w:rPr>
        <w:t>Australian Antimicrobial Resistance, Prevention and Containment Steering Group, 4, 55</w:t>
      </w:r>
    </w:p>
    <w:p w14:paraId="7444BAFC" w14:textId="77777777" w:rsidR="006F421D" w:rsidRDefault="006F421D">
      <w:pPr>
        <w:pStyle w:val="2body-copy-before-bullet"/>
        <w:divId w:val="2142334130"/>
        <w:rPr>
          <w:rFonts w:cs="Times New Roman"/>
          <w:lang w:val="en-GB"/>
        </w:rPr>
      </w:pPr>
      <w:r>
        <w:rPr>
          <w:rStyle w:val="2body-italic0"/>
          <w:rFonts w:cs="Times New Roman"/>
          <w:lang w:val="en-GB"/>
        </w:rPr>
        <w:t>Australian Atlas of Healthcare Variation</w:t>
      </w:r>
      <w:r>
        <w:rPr>
          <w:rFonts w:cs="Times New Roman"/>
          <w:lang w:val="en-GB"/>
        </w:rPr>
        <w:t xml:space="preserve">, 41, </w:t>
      </w:r>
      <w:r>
        <w:rPr>
          <w:rStyle w:val="2body-medium"/>
          <w:rFonts w:cs="Times New Roman"/>
          <w:lang w:val="en-GB"/>
        </w:rPr>
        <w:t>42</w:t>
      </w:r>
    </w:p>
    <w:p w14:paraId="0BC63888" w14:textId="77777777" w:rsidR="006F421D" w:rsidRDefault="006F421D">
      <w:pPr>
        <w:pStyle w:val="2body-copy-before-bullet"/>
        <w:divId w:val="2142334130"/>
        <w:rPr>
          <w:rFonts w:cs="Times New Roman"/>
          <w:lang w:val="en-GB"/>
        </w:rPr>
      </w:pPr>
      <w:r>
        <w:rPr>
          <w:rFonts w:cs="Times New Roman"/>
          <w:lang w:val="en-GB"/>
        </w:rPr>
        <w:t>Australian General Practice Accreditation Limited (AGPAL) Safety and Quality Award, 127</w:t>
      </w:r>
    </w:p>
    <w:p w14:paraId="4E736AEF" w14:textId="77777777" w:rsidR="006F421D" w:rsidRDefault="006F421D">
      <w:pPr>
        <w:pStyle w:val="2body-copy-before-bullet"/>
        <w:divId w:val="2142334130"/>
        <w:rPr>
          <w:rFonts w:cs="Times New Roman"/>
          <w:lang w:val="en-GB"/>
        </w:rPr>
      </w:pPr>
      <w:r>
        <w:rPr>
          <w:rFonts w:cs="Times New Roman"/>
          <w:lang w:val="en-GB"/>
        </w:rPr>
        <w:t>Australian Health Ministers’ Advisory Council (AHMAC), 17</w:t>
      </w:r>
    </w:p>
    <w:p w14:paraId="3CDA2F23" w14:textId="77777777" w:rsidR="006F421D" w:rsidRDefault="006F421D">
      <w:pPr>
        <w:pStyle w:val="2body-copy-before-bullet"/>
        <w:divId w:val="2142334130"/>
        <w:rPr>
          <w:rFonts w:cs="Times New Roman"/>
          <w:lang w:val="en-GB"/>
        </w:rPr>
      </w:pPr>
      <w:r>
        <w:rPr>
          <w:rFonts w:cs="Times New Roman"/>
          <w:lang w:val="en-GB"/>
        </w:rPr>
        <w:t xml:space="preserve">Australian Health Service Safety and Quality Accreditation (AHSSQA) Scheme, 17, </w:t>
      </w:r>
      <w:r>
        <w:rPr>
          <w:rStyle w:val="2body-medium"/>
          <w:rFonts w:cs="Times New Roman"/>
          <w:lang w:val="en-GB"/>
        </w:rPr>
        <w:t>20</w:t>
      </w:r>
    </w:p>
    <w:p w14:paraId="194F232A" w14:textId="77777777" w:rsidR="006F421D" w:rsidRDefault="006F421D">
      <w:pPr>
        <w:pStyle w:val="2body-copy-before-bullet"/>
        <w:divId w:val="2142334130"/>
        <w:rPr>
          <w:rFonts w:cs="Times New Roman"/>
          <w:lang w:val="en-GB"/>
        </w:rPr>
      </w:pPr>
      <w:r>
        <w:rPr>
          <w:rFonts w:cs="Times New Roman"/>
          <w:lang w:val="en-GB"/>
        </w:rPr>
        <w:t>Australian Institute of Health and Welfare (AIHW), 7, 49, 50, 61</w:t>
      </w:r>
    </w:p>
    <w:p w14:paraId="0C04C6BF" w14:textId="77777777" w:rsidR="006F421D" w:rsidRDefault="006F421D">
      <w:pPr>
        <w:pStyle w:val="2body-copy-before-bullet"/>
        <w:divId w:val="2142334130"/>
        <w:rPr>
          <w:rFonts w:cs="Times New Roman"/>
          <w:lang w:val="en-GB"/>
        </w:rPr>
      </w:pPr>
      <w:r>
        <w:rPr>
          <w:rFonts w:cs="Times New Roman"/>
          <w:lang w:val="en-GB"/>
        </w:rPr>
        <w:t>Australian One Health Antimicrobial Resistance Colloquium, 4, 55</w:t>
      </w:r>
    </w:p>
    <w:p w14:paraId="2E49419D" w14:textId="77777777" w:rsidR="006F421D" w:rsidRDefault="006F421D">
      <w:pPr>
        <w:pStyle w:val="2body-copy-before-bullet"/>
        <w:divId w:val="2142334130"/>
        <w:rPr>
          <w:rFonts w:cs="Times New Roman"/>
          <w:lang w:val="en-GB"/>
        </w:rPr>
      </w:pPr>
      <w:r>
        <w:rPr>
          <w:rFonts w:cs="Times New Roman"/>
          <w:lang w:val="en-GB"/>
        </w:rPr>
        <w:t xml:space="preserve">Australian Open Disclosure Framework, 4, </w:t>
      </w:r>
      <w:r>
        <w:rPr>
          <w:rStyle w:val="2body-medium"/>
          <w:rFonts w:cs="Times New Roman"/>
          <w:lang w:val="en-GB"/>
        </w:rPr>
        <w:t>37–38</w:t>
      </w:r>
    </w:p>
    <w:p w14:paraId="4B66EEAA" w14:textId="77777777" w:rsidR="006F421D" w:rsidRDefault="006F421D">
      <w:pPr>
        <w:pStyle w:val="2body-copy-before-bullet"/>
        <w:divId w:val="2142334130"/>
        <w:rPr>
          <w:rFonts w:cs="Times New Roman"/>
          <w:lang w:val="en-GB"/>
        </w:rPr>
      </w:pPr>
      <w:r>
        <w:rPr>
          <w:rFonts w:cs="Times New Roman"/>
          <w:lang w:val="en-GB"/>
        </w:rPr>
        <w:t>Australian Private Hospital Association, 49</w:t>
      </w:r>
    </w:p>
    <w:p w14:paraId="46DEC64D" w14:textId="77777777" w:rsidR="006F421D" w:rsidRDefault="006F421D">
      <w:pPr>
        <w:pStyle w:val="2body-copy-before-bullet"/>
        <w:divId w:val="2142334130"/>
        <w:rPr>
          <w:rFonts w:cs="Times New Roman"/>
          <w:lang w:val="en-GB"/>
        </w:rPr>
      </w:pPr>
      <w:r>
        <w:rPr>
          <w:rFonts w:cs="Times New Roman"/>
          <w:lang w:val="en-GB"/>
        </w:rPr>
        <w:t>Australian Public Service Commission, 80</w:t>
      </w:r>
    </w:p>
    <w:p w14:paraId="6B6A49F1" w14:textId="77777777" w:rsidR="006F421D" w:rsidRDefault="006F421D">
      <w:pPr>
        <w:pStyle w:val="2body-copy-before-bullet"/>
        <w:divId w:val="2142334130"/>
        <w:rPr>
          <w:rFonts w:cs="Times New Roman"/>
          <w:lang w:val="en-GB"/>
        </w:rPr>
      </w:pPr>
      <w:r>
        <w:rPr>
          <w:rFonts w:cs="Times New Roman"/>
          <w:lang w:val="en-GB"/>
        </w:rPr>
        <w:t>Australian Radiation Protection and Nuclear Safety Agency (ARPANSA), 40</w:t>
      </w:r>
    </w:p>
    <w:p w14:paraId="67A397D0" w14:textId="77777777" w:rsidR="006F421D" w:rsidRDefault="006F421D">
      <w:pPr>
        <w:pStyle w:val="2body-copy-before-bullet"/>
        <w:divId w:val="2142334130"/>
        <w:rPr>
          <w:rFonts w:cs="Times New Roman"/>
          <w:lang w:val="en-GB"/>
        </w:rPr>
      </w:pPr>
      <w:r>
        <w:rPr>
          <w:rFonts w:cs="Times New Roman"/>
          <w:lang w:val="en-GB"/>
        </w:rPr>
        <w:t>Australian Safety and Quality Goals for Health Care, 16, 17</w:t>
      </w:r>
    </w:p>
    <w:p w14:paraId="0A03EABF" w14:textId="77777777" w:rsidR="006F421D" w:rsidRDefault="006F421D">
      <w:pPr>
        <w:pStyle w:val="2body-copy-before-bullet"/>
        <w:divId w:val="2142334130"/>
        <w:rPr>
          <w:rFonts w:cs="Times New Roman"/>
          <w:lang w:val="en-GB"/>
        </w:rPr>
      </w:pPr>
      <w:r>
        <w:rPr>
          <w:rStyle w:val="2body-italic0"/>
          <w:rFonts w:cs="Times New Roman"/>
          <w:lang w:val="en-GB"/>
        </w:rPr>
        <w:t>Australian Standards for Risk Management</w:t>
      </w:r>
      <w:r>
        <w:rPr>
          <w:rFonts w:cs="Times New Roman"/>
          <w:lang w:val="en-GB"/>
        </w:rPr>
        <w:t>, 73</w:t>
      </w:r>
    </w:p>
    <w:p w14:paraId="53514F3E" w14:textId="77777777" w:rsidR="006F421D" w:rsidRDefault="006F421D">
      <w:pPr>
        <w:pStyle w:val="2body-copy"/>
        <w:divId w:val="2142334130"/>
        <w:rPr>
          <w:rFonts w:cs="Times New Roman"/>
          <w:lang w:val="en-GB"/>
        </w:rPr>
      </w:pPr>
      <w:proofErr w:type="gramStart"/>
      <w:r>
        <w:rPr>
          <w:rFonts w:cs="Times New Roman"/>
          <w:lang w:val="en-GB"/>
        </w:rPr>
        <w:t>awards</w:t>
      </w:r>
      <w:proofErr w:type="gramEnd"/>
      <w:r>
        <w:rPr>
          <w:rFonts w:cs="Times New Roman"/>
          <w:lang w:val="en-GB"/>
        </w:rPr>
        <w:t xml:space="preserve">, 5, 12, </w:t>
      </w:r>
      <w:r>
        <w:rPr>
          <w:rStyle w:val="2body-medium"/>
          <w:rFonts w:cs="Times New Roman"/>
          <w:lang w:val="en-GB"/>
        </w:rPr>
        <w:t>18</w:t>
      </w:r>
    </w:p>
    <w:p w14:paraId="7159DDA7" w14:textId="77777777" w:rsidR="006F421D" w:rsidRDefault="006F421D">
      <w:pPr>
        <w:pStyle w:val="1heading-level-3"/>
        <w:divId w:val="2142334130"/>
        <w:rPr>
          <w:rFonts w:cs="Times New Roman"/>
          <w:lang w:val="en-GB"/>
        </w:rPr>
      </w:pPr>
      <w:r>
        <w:rPr>
          <w:rFonts w:cs="Times New Roman"/>
          <w:lang w:val="en-GB"/>
        </w:rPr>
        <w:lastRenderedPageBreak/>
        <w:t>B</w:t>
      </w:r>
    </w:p>
    <w:p w14:paraId="1F995199" w14:textId="77777777" w:rsidR="006F421D" w:rsidRDefault="006F421D">
      <w:pPr>
        <w:pStyle w:val="2body-copy-before-bullet"/>
        <w:divId w:val="2142334130"/>
        <w:rPr>
          <w:rFonts w:cs="Times New Roman"/>
          <w:lang w:val="en-GB"/>
        </w:rPr>
      </w:pPr>
      <w:proofErr w:type="spellStart"/>
      <w:r>
        <w:rPr>
          <w:rFonts w:cs="Times New Roman"/>
          <w:lang w:val="en-GB"/>
        </w:rPr>
        <w:t>Baggoley</w:t>
      </w:r>
      <w:proofErr w:type="spellEnd"/>
      <w:r>
        <w:rPr>
          <w:rFonts w:cs="Times New Roman"/>
          <w:lang w:val="en-GB"/>
        </w:rPr>
        <w:t>, Professor Chris, 5, 40, 45</w:t>
      </w:r>
    </w:p>
    <w:p w14:paraId="57DC0CDC" w14:textId="77777777" w:rsidR="006F421D" w:rsidRDefault="006F421D">
      <w:pPr>
        <w:pStyle w:val="2body-copy-before-bullet"/>
        <w:divId w:val="2142334130"/>
        <w:rPr>
          <w:rFonts w:cs="Times New Roman"/>
          <w:lang w:val="en-GB"/>
        </w:rPr>
      </w:pPr>
      <w:proofErr w:type="gramStart"/>
      <w:r>
        <w:rPr>
          <w:rFonts w:cs="Times New Roman"/>
          <w:lang w:val="en-GB"/>
        </w:rPr>
        <w:t>benefits</w:t>
      </w:r>
      <w:proofErr w:type="gramEnd"/>
      <w:r>
        <w:rPr>
          <w:rFonts w:cs="Times New Roman"/>
          <w:lang w:val="en-GB"/>
        </w:rPr>
        <w:t>, staff, 81</w:t>
      </w:r>
    </w:p>
    <w:p w14:paraId="2FE62931" w14:textId="77777777" w:rsidR="006F421D" w:rsidRDefault="006F421D">
      <w:pPr>
        <w:pStyle w:val="2body-copy-before-bullet"/>
        <w:divId w:val="2142334130"/>
        <w:rPr>
          <w:rFonts w:cs="Times New Roman"/>
          <w:lang w:val="en-GB"/>
        </w:rPr>
      </w:pPr>
      <w:r>
        <w:rPr>
          <w:rFonts w:cs="Times New Roman"/>
          <w:lang w:val="en-GB"/>
        </w:rPr>
        <w:t>Between the Flags program (NSW), 21, 60</w:t>
      </w:r>
    </w:p>
    <w:p w14:paraId="2BC70B67" w14:textId="77777777" w:rsidR="006F421D" w:rsidRDefault="006F421D">
      <w:pPr>
        <w:pStyle w:val="2body-copy-before-bullet"/>
        <w:divId w:val="2142334130"/>
        <w:rPr>
          <w:rFonts w:cs="Times New Roman"/>
          <w:lang w:val="en-GB"/>
        </w:rPr>
      </w:pPr>
      <w:proofErr w:type="gramStart"/>
      <w:r>
        <w:rPr>
          <w:rFonts w:cs="Times New Roman"/>
          <w:lang w:val="en-GB"/>
        </w:rPr>
        <w:t>birth</w:t>
      </w:r>
      <w:proofErr w:type="gramEnd"/>
      <w:r>
        <w:rPr>
          <w:rFonts w:cs="Times New Roman"/>
          <w:lang w:val="en-GB"/>
        </w:rPr>
        <w:t xml:space="preserve"> events, 50</w:t>
      </w:r>
    </w:p>
    <w:p w14:paraId="0E0D36A7" w14:textId="77777777" w:rsidR="006F421D" w:rsidRDefault="006F421D">
      <w:pPr>
        <w:pStyle w:val="2body-copy-before-bullet"/>
        <w:divId w:val="2142334130"/>
        <w:rPr>
          <w:rFonts w:cs="Times New Roman"/>
          <w:lang w:val="en-GB"/>
        </w:rPr>
      </w:pPr>
      <w:r>
        <w:rPr>
          <w:rFonts w:cs="Times New Roman"/>
          <w:lang w:val="en-GB"/>
        </w:rPr>
        <w:t xml:space="preserve">Board, </w:t>
      </w:r>
      <w:r>
        <w:rPr>
          <w:rStyle w:val="2body-medium"/>
          <w:rFonts w:cs="Times New Roman"/>
          <w:lang w:val="en-GB"/>
        </w:rPr>
        <w:t>65–71</w:t>
      </w:r>
    </w:p>
    <w:p w14:paraId="2BF65C0B" w14:textId="77777777" w:rsidR="006F421D" w:rsidRDefault="006F421D">
      <w:pPr>
        <w:pStyle w:val="2body-copy-before-bullet"/>
        <w:ind w:left="567"/>
        <w:divId w:val="2142334130"/>
        <w:rPr>
          <w:rFonts w:cs="Times New Roman"/>
          <w:lang w:val="en-GB"/>
        </w:rPr>
      </w:pPr>
      <w:proofErr w:type="gramStart"/>
      <w:r>
        <w:rPr>
          <w:rFonts w:cs="Times New Roman"/>
          <w:lang w:val="en-GB"/>
        </w:rPr>
        <w:t>approval</w:t>
      </w:r>
      <w:proofErr w:type="gramEnd"/>
      <w:r>
        <w:rPr>
          <w:rFonts w:cs="Times New Roman"/>
          <w:lang w:val="en-GB"/>
        </w:rPr>
        <w:t xml:space="preserve"> of report, </w:t>
      </w:r>
      <w:proofErr w:type="spellStart"/>
      <w:r>
        <w:rPr>
          <w:rFonts w:cs="Times New Roman"/>
          <w:lang w:val="en-GB"/>
        </w:rPr>
        <w:t>i</w:t>
      </w:r>
      <w:proofErr w:type="spellEnd"/>
    </w:p>
    <w:p w14:paraId="2535CE64" w14:textId="77777777" w:rsidR="006F421D" w:rsidRDefault="006F421D">
      <w:pPr>
        <w:pStyle w:val="2body-copy-before-bullet"/>
        <w:ind w:left="567"/>
        <w:divId w:val="2142334130"/>
        <w:rPr>
          <w:rFonts w:cs="Times New Roman"/>
          <w:lang w:val="en-GB"/>
        </w:rPr>
      </w:pPr>
      <w:proofErr w:type="gramStart"/>
      <w:r>
        <w:rPr>
          <w:rFonts w:cs="Times New Roman"/>
          <w:lang w:val="en-GB"/>
        </w:rPr>
        <w:t>committees</w:t>
      </w:r>
      <w:proofErr w:type="gramEnd"/>
      <w:r>
        <w:rPr>
          <w:rFonts w:cs="Times New Roman"/>
          <w:lang w:val="en-GB"/>
        </w:rPr>
        <w:t xml:space="preserve">, </w:t>
      </w:r>
      <w:r>
        <w:rPr>
          <w:rStyle w:val="2body-medium"/>
          <w:rFonts w:cs="Times New Roman"/>
          <w:lang w:val="en-GB"/>
        </w:rPr>
        <w:t>71–72</w:t>
      </w:r>
    </w:p>
    <w:p w14:paraId="1C3B953E" w14:textId="77777777" w:rsidR="006F421D" w:rsidRDefault="006F421D">
      <w:pPr>
        <w:pStyle w:val="2body-copy-before-bullet"/>
        <w:ind w:left="567"/>
        <w:divId w:val="2142334130"/>
        <w:rPr>
          <w:rFonts w:cs="Times New Roman"/>
          <w:lang w:val="en-GB"/>
        </w:rPr>
      </w:pPr>
      <w:proofErr w:type="gramStart"/>
      <w:r>
        <w:rPr>
          <w:rFonts w:cs="Times New Roman"/>
          <w:lang w:val="en-GB"/>
        </w:rPr>
        <w:t>development</w:t>
      </w:r>
      <w:proofErr w:type="gramEnd"/>
      <w:r>
        <w:rPr>
          <w:rFonts w:cs="Times New Roman"/>
          <w:lang w:val="en-GB"/>
        </w:rPr>
        <w:t xml:space="preserve"> and review, </w:t>
      </w:r>
      <w:r>
        <w:rPr>
          <w:rStyle w:val="2body-medium"/>
          <w:rFonts w:cs="Times New Roman"/>
          <w:lang w:val="en-GB"/>
        </w:rPr>
        <w:t>70</w:t>
      </w:r>
    </w:p>
    <w:p w14:paraId="34D926DE" w14:textId="77777777" w:rsidR="006F421D" w:rsidRDefault="006F421D">
      <w:pPr>
        <w:pStyle w:val="2body-copy-before-bullet"/>
        <w:ind w:left="567"/>
        <w:divId w:val="2142334130"/>
        <w:rPr>
          <w:rFonts w:cs="Times New Roman"/>
          <w:lang w:val="en-GB"/>
        </w:rPr>
      </w:pPr>
      <w:r>
        <w:rPr>
          <w:rFonts w:cs="Times New Roman"/>
          <w:lang w:val="en-GB"/>
        </w:rPr>
        <w:t>Directors’ Code of Conduct, 70</w:t>
      </w:r>
    </w:p>
    <w:p w14:paraId="09B4E719" w14:textId="77777777" w:rsidR="006F421D" w:rsidRDefault="006F421D">
      <w:pPr>
        <w:pStyle w:val="2body-copy-before-bullet"/>
        <w:ind w:left="567"/>
        <w:divId w:val="2142334130"/>
        <w:rPr>
          <w:rFonts w:cs="Times New Roman"/>
          <w:lang w:val="en-GB"/>
        </w:rPr>
      </w:pPr>
      <w:r>
        <w:rPr>
          <w:rFonts w:cs="Times New Roman"/>
          <w:lang w:val="en-GB"/>
        </w:rPr>
        <w:t>Directors’ remuneration, 111</w:t>
      </w:r>
    </w:p>
    <w:p w14:paraId="7C125264" w14:textId="77777777" w:rsidR="006F421D" w:rsidRDefault="006F421D">
      <w:pPr>
        <w:pStyle w:val="2body-copy-before-bullet"/>
        <w:ind w:left="567"/>
        <w:divId w:val="2142334130"/>
        <w:rPr>
          <w:rFonts w:cs="Times New Roman"/>
          <w:lang w:val="en-GB"/>
        </w:rPr>
      </w:pPr>
      <w:r>
        <w:rPr>
          <w:rFonts w:cs="Times New Roman"/>
          <w:lang w:val="en-GB"/>
        </w:rPr>
        <w:t>Directors’ statement, 86</w:t>
      </w:r>
    </w:p>
    <w:p w14:paraId="65EFBBE3" w14:textId="77777777" w:rsidR="006F421D" w:rsidRDefault="006F421D">
      <w:pPr>
        <w:pStyle w:val="2body-copy-before-bullet"/>
        <w:ind w:left="567"/>
        <w:divId w:val="2142334130"/>
        <w:rPr>
          <w:rFonts w:cs="Times New Roman"/>
          <w:lang w:val="en-GB"/>
        </w:rPr>
      </w:pPr>
      <w:proofErr w:type="gramStart"/>
      <w:r>
        <w:rPr>
          <w:rFonts w:cs="Times New Roman"/>
          <w:lang w:val="en-GB"/>
        </w:rPr>
        <w:t>education</w:t>
      </w:r>
      <w:proofErr w:type="gramEnd"/>
      <w:r>
        <w:rPr>
          <w:rFonts w:cs="Times New Roman"/>
          <w:lang w:val="en-GB"/>
        </w:rPr>
        <w:t xml:space="preserve"> and performance review, 70</w:t>
      </w:r>
    </w:p>
    <w:p w14:paraId="3907F385" w14:textId="77777777" w:rsidR="006F421D" w:rsidRDefault="006F421D">
      <w:pPr>
        <w:pStyle w:val="2body-copy-before-bullet"/>
        <w:ind w:left="567"/>
        <w:divId w:val="2142334130"/>
        <w:rPr>
          <w:rFonts w:cs="Times New Roman"/>
          <w:lang w:val="en-GB"/>
        </w:rPr>
      </w:pPr>
      <w:proofErr w:type="gramStart"/>
      <w:r>
        <w:rPr>
          <w:rFonts w:cs="Times New Roman"/>
          <w:lang w:val="en-GB"/>
        </w:rPr>
        <w:t>ethical</w:t>
      </w:r>
      <w:proofErr w:type="gramEnd"/>
      <w:r>
        <w:rPr>
          <w:rFonts w:cs="Times New Roman"/>
          <w:lang w:val="en-GB"/>
        </w:rPr>
        <w:t xml:space="preserve"> standards, </w:t>
      </w:r>
      <w:r>
        <w:rPr>
          <w:rStyle w:val="2body-medium"/>
          <w:rFonts w:cs="Times New Roman"/>
          <w:lang w:val="en-GB"/>
        </w:rPr>
        <w:t>70</w:t>
      </w:r>
    </w:p>
    <w:p w14:paraId="0115F90E" w14:textId="77777777" w:rsidR="006F421D" w:rsidRDefault="006F421D">
      <w:pPr>
        <w:pStyle w:val="2body-copy-before-bullet"/>
        <w:ind w:left="567"/>
        <w:divId w:val="2142334130"/>
        <w:rPr>
          <w:rFonts w:cs="Times New Roman"/>
          <w:lang w:val="en-GB"/>
        </w:rPr>
      </w:pPr>
      <w:proofErr w:type="gramStart"/>
      <w:r>
        <w:rPr>
          <w:rFonts w:cs="Times New Roman"/>
          <w:lang w:val="en-GB"/>
        </w:rPr>
        <w:t>function</w:t>
      </w:r>
      <w:proofErr w:type="gramEnd"/>
      <w:r>
        <w:rPr>
          <w:rFonts w:cs="Times New Roman"/>
          <w:lang w:val="en-GB"/>
        </w:rPr>
        <w:t>, 65</w:t>
      </w:r>
    </w:p>
    <w:p w14:paraId="4300495B" w14:textId="77777777" w:rsidR="006F421D" w:rsidRDefault="006F421D">
      <w:pPr>
        <w:pStyle w:val="2body-copy-before-bullet"/>
        <w:ind w:left="567"/>
        <w:divId w:val="2142334130"/>
        <w:rPr>
          <w:rFonts w:cs="Times New Roman"/>
          <w:lang w:val="en-GB"/>
        </w:rPr>
      </w:pPr>
      <w:proofErr w:type="gramStart"/>
      <w:r>
        <w:rPr>
          <w:rFonts w:cs="Times New Roman"/>
          <w:lang w:val="en-GB"/>
        </w:rPr>
        <w:t>indemnity</w:t>
      </w:r>
      <w:proofErr w:type="gramEnd"/>
      <w:r>
        <w:rPr>
          <w:rFonts w:cs="Times New Roman"/>
          <w:lang w:val="en-GB"/>
        </w:rPr>
        <w:t xml:space="preserve"> and insurance, </w:t>
      </w:r>
      <w:r>
        <w:rPr>
          <w:rStyle w:val="2body-medium"/>
          <w:rFonts w:cs="Times New Roman"/>
          <w:lang w:val="en-GB"/>
        </w:rPr>
        <w:t>70</w:t>
      </w:r>
    </w:p>
    <w:p w14:paraId="7D0AF588" w14:textId="77777777" w:rsidR="006F421D" w:rsidRDefault="006F421D">
      <w:pPr>
        <w:pStyle w:val="2body-copy-before-bullet"/>
        <w:ind w:left="567"/>
        <w:divId w:val="2142334130"/>
        <w:rPr>
          <w:rFonts w:cs="Times New Roman"/>
          <w:lang w:val="en-GB"/>
        </w:rPr>
      </w:pPr>
      <w:proofErr w:type="gramStart"/>
      <w:r>
        <w:rPr>
          <w:rFonts w:cs="Times New Roman"/>
          <w:lang w:val="en-GB"/>
        </w:rPr>
        <w:t>meetings</w:t>
      </w:r>
      <w:proofErr w:type="gramEnd"/>
      <w:r>
        <w:rPr>
          <w:rFonts w:cs="Times New Roman"/>
          <w:lang w:val="en-GB"/>
        </w:rPr>
        <w:t xml:space="preserve"> and attendance, </w:t>
      </w:r>
      <w:r>
        <w:rPr>
          <w:rStyle w:val="2body-medium"/>
          <w:rFonts w:cs="Times New Roman"/>
          <w:lang w:val="en-GB"/>
        </w:rPr>
        <w:t>69</w:t>
      </w:r>
    </w:p>
    <w:p w14:paraId="287A6708" w14:textId="77777777" w:rsidR="006F421D" w:rsidRDefault="006F421D">
      <w:pPr>
        <w:pStyle w:val="2body-copy-before-bullet"/>
        <w:ind w:left="567"/>
        <w:divId w:val="2142334130"/>
        <w:rPr>
          <w:rFonts w:cs="Times New Roman"/>
          <w:lang w:val="en-GB"/>
        </w:rPr>
      </w:pPr>
      <w:proofErr w:type="gramStart"/>
      <w:r>
        <w:rPr>
          <w:rFonts w:cs="Times New Roman"/>
          <w:lang w:val="en-GB"/>
        </w:rPr>
        <w:t>membership</w:t>
      </w:r>
      <w:proofErr w:type="gramEnd"/>
      <w:r>
        <w:rPr>
          <w:rFonts w:cs="Times New Roman"/>
          <w:lang w:val="en-GB"/>
        </w:rPr>
        <w:t xml:space="preserve">, </w:t>
      </w:r>
      <w:r>
        <w:rPr>
          <w:rStyle w:val="2body-medium"/>
          <w:rFonts w:cs="Times New Roman"/>
          <w:lang w:val="en-GB"/>
        </w:rPr>
        <w:t>66–69</w:t>
      </w:r>
    </w:p>
    <w:p w14:paraId="7ACF64DC" w14:textId="77777777" w:rsidR="006F421D" w:rsidRDefault="006F421D">
      <w:pPr>
        <w:pStyle w:val="2body-copy-before-bullet"/>
        <w:ind w:left="567"/>
        <w:divId w:val="2142334130"/>
        <w:rPr>
          <w:rFonts w:cs="Times New Roman"/>
          <w:lang w:val="en-GB"/>
        </w:rPr>
      </w:pPr>
      <w:proofErr w:type="gramStart"/>
      <w:r>
        <w:rPr>
          <w:rFonts w:cs="Times New Roman"/>
          <w:lang w:val="en-GB"/>
        </w:rPr>
        <w:t>related-entity</w:t>
      </w:r>
      <w:proofErr w:type="gramEnd"/>
      <w:r>
        <w:rPr>
          <w:rFonts w:cs="Times New Roman"/>
          <w:lang w:val="en-GB"/>
        </w:rPr>
        <w:t xml:space="preserve"> transactions, </w:t>
      </w:r>
      <w:r>
        <w:rPr>
          <w:rStyle w:val="2body-medium"/>
          <w:rFonts w:cs="Times New Roman"/>
          <w:lang w:val="en-GB"/>
        </w:rPr>
        <w:t>70</w:t>
      </w:r>
    </w:p>
    <w:p w14:paraId="015D4CA7" w14:textId="77777777" w:rsidR="006F421D" w:rsidRDefault="006F421D">
      <w:pPr>
        <w:pStyle w:val="2body-copy-before-bullet"/>
        <w:ind w:left="567"/>
        <w:divId w:val="2142334130"/>
        <w:rPr>
          <w:rFonts w:cs="Times New Roman"/>
          <w:lang w:val="en-GB"/>
        </w:rPr>
      </w:pPr>
      <w:proofErr w:type="gramStart"/>
      <w:r>
        <w:rPr>
          <w:rFonts w:cs="Times New Roman"/>
          <w:lang w:val="en-GB"/>
        </w:rPr>
        <w:t>remuneration</w:t>
      </w:r>
      <w:proofErr w:type="gramEnd"/>
      <w:r>
        <w:rPr>
          <w:rFonts w:cs="Times New Roman"/>
          <w:lang w:val="en-GB"/>
        </w:rPr>
        <w:t xml:space="preserve"> and expenses, </w:t>
      </w:r>
      <w:r>
        <w:rPr>
          <w:rStyle w:val="2body-medium"/>
          <w:rFonts w:cs="Times New Roman"/>
          <w:lang w:val="en-GB"/>
        </w:rPr>
        <w:t>70</w:t>
      </w:r>
    </w:p>
    <w:p w14:paraId="7352588A" w14:textId="77777777" w:rsidR="006F421D" w:rsidRDefault="006F421D">
      <w:pPr>
        <w:pStyle w:val="2body-copy-before-bullet"/>
        <w:divId w:val="2142334130"/>
        <w:rPr>
          <w:rFonts w:cs="Times New Roman"/>
          <w:lang w:val="en-GB"/>
        </w:rPr>
      </w:pPr>
      <w:r>
        <w:rPr>
          <w:rFonts w:cs="Times New Roman"/>
          <w:lang w:val="en-GB"/>
        </w:rPr>
        <w:t>Brook, Professor Christopher, 66</w:t>
      </w:r>
    </w:p>
    <w:p w14:paraId="391B96FA" w14:textId="77777777" w:rsidR="006F421D" w:rsidRDefault="006F421D">
      <w:pPr>
        <w:pStyle w:val="1heading-level-3"/>
        <w:divId w:val="2142334130"/>
        <w:rPr>
          <w:rFonts w:cs="Times New Roman"/>
          <w:lang w:val="en-GB"/>
        </w:rPr>
      </w:pPr>
      <w:r>
        <w:rPr>
          <w:rFonts w:cs="Times New Roman"/>
          <w:lang w:val="en-GB"/>
        </w:rPr>
        <w:t>C</w:t>
      </w:r>
    </w:p>
    <w:p w14:paraId="727BC8F6" w14:textId="77777777" w:rsidR="006F421D" w:rsidRDefault="006F421D">
      <w:pPr>
        <w:pStyle w:val="2body-copy-before-bullet"/>
        <w:divId w:val="2142334130"/>
        <w:rPr>
          <w:rFonts w:cs="Times New Roman"/>
          <w:lang w:val="en-GB"/>
        </w:rPr>
      </w:pPr>
      <w:r>
        <w:rPr>
          <w:rFonts w:cs="Times New Roman"/>
          <w:lang w:val="en-GB"/>
        </w:rPr>
        <w:t>CAC Act (</w:t>
      </w:r>
      <w:r>
        <w:rPr>
          <w:rStyle w:val="2body-italic0"/>
          <w:rFonts w:cs="Times New Roman"/>
          <w:lang w:val="en-GB"/>
        </w:rPr>
        <w:t>Commonwealth Authorities and Companies Act 1997</w:t>
      </w:r>
      <w:r>
        <w:rPr>
          <w:rFonts w:cs="Times New Roman"/>
          <w:lang w:val="en-GB"/>
        </w:rPr>
        <w:t>), 2, 64</w:t>
      </w:r>
    </w:p>
    <w:p w14:paraId="11D984E6" w14:textId="77777777" w:rsidR="006F421D" w:rsidRDefault="006F421D">
      <w:pPr>
        <w:pStyle w:val="2body-copy-before-bullet"/>
        <w:divId w:val="2142334130"/>
        <w:rPr>
          <w:rFonts w:cs="Times New Roman"/>
          <w:lang w:val="en-GB"/>
        </w:rPr>
      </w:pPr>
      <w:proofErr w:type="spellStart"/>
      <w:proofErr w:type="gramStart"/>
      <w:r>
        <w:rPr>
          <w:rFonts w:cs="Times New Roman"/>
          <w:lang w:val="en-GB"/>
        </w:rPr>
        <w:t>carbapenem</w:t>
      </w:r>
      <w:proofErr w:type="spellEnd"/>
      <w:r>
        <w:rPr>
          <w:rFonts w:cs="Times New Roman"/>
          <w:lang w:val="en-GB"/>
        </w:rPr>
        <w:t>-resistant</w:t>
      </w:r>
      <w:proofErr w:type="gramEnd"/>
      <w:r>
        <w:rPr>
          <w:rFonts w:cs="Times New Roman"/>
          <w:lang w:val="en-GB"/>
        </w:rPr>
        <w:t xml:space="preserve"> </w:t>
      </w:r>
      <w:proofErr w:type="spellStart"/>
      <w:r>
        <w:rPr>
          <w:rFonts w:cs="Times New Roman"/>
          <w:lang w:val="en-GB"/>
        </w:rPr>
        <w:t>enterobacteriaceae</w:t>
      </w:r>
      <w:proofErr w:type="spellEnd"/>
      <w:r>
        <w:rPr>
          <w:rFonts w:cs="Times New Roman"/>
          <w:lang w:val="en-GB"/>
        </w:rPr>
        <w:t xml:space="preserve"> (CRE), 46</w:t>
      </w:r>
    </w:p>
    <w:p w14:paraId="60CC2506" w14:textId="77777777" w:rsidR="006F421D" w:rsidRDefault="006F421D">
      <w:pPr>
        <w:pStyle w:val="2body-copy-before-bullet"/>
        <w:divId w:val="2142334130"/>
        <w:rPr>
          <w:rFonts w:cs="Times New Roman"/>
          <w:lang w:val="en-GB"/>
        </w:rPr>
      </w:pPr>
      <w:proofErr w:type="gramStart"/>
      <w:r>
        <w:rPr>
          <w:rFonts w:cs="Times New Roman"/>
          <w:lang w:val="en-GB"/>
        </w:rPr>
        <w:t>cash</w:t>
      </w:r>
      <w:proofErr w:type="gramEnd"/>
      <w:r>
        <w:rPr>
          <w:rFonts w:cs="Times New Roman"/>
          <w:lang w:val="en-GB"/>
        </w:rPr>
        <w:t xml:space="preserve"> flow, 90, 110</w:t>
      </w:r>
    </w:p>
    <w:p w14:paraId="12B53D3C" w14:textId="77777777" w:rsidR="006F421D" w:rsidRDefault="006F421D">
      <w:pPr>
        <w:pStyle w:val="2body-copy-before-bullet"/>
        <w:divId w:val="2142334130"/>
        <w:rPr>
          <w:rFonts w:cs="Times New Roman"/>
          <w:lang w:val="en-GB"/>
        </w:rPr>
      </w:pPr>
      <w:r>
        <w:rPr>
          <w:rFonts w:cs="Times New Roman"/>
          <w:lang w:val="en-GB"/>
        </w:rPr>
        <w:t>Census survey, 80</w:t>
      </w:r>
    </w:p>
    <w:p w14:paraId="4DFAE968" w14:textId="77777777" w:rsidR="006F421D" w:rsidRDefault="006F421D">
      <w:pPr>
        <w:pStyle w:val="2body-copy-before-bullet"/>
        <w:divId w:val="2142334130"/>
        <w:rPr>
          <w:rFonts w:cs="Times New Roman"/>
          <w:lang w:val="en-GB"/>
        </w:rPr>
      </w:pPr>
      <w:r>
        <w:rPr>
          <w:rFonts w:cs="Times New Roman"/>
          <w:lang w:val="en-GB"/>
        </w:rPr>
        <w:t>CEO</w:t>
      </w:r>
    </w:p>
    <w:p w14:paraId="2DD926FB" w14:textId="77777777" w:rsidR="006F421D" w:rsidRDefault="006F421D">
      <w:pPr>
        <w:pStyle w:val="2body-copy-before-bullet"/>
        <w:ind w:left="567"/>
        <w:divId w:val="2142334130"/>
        <w:rPr>
          <w:rFonts w:cs="Times New Roman"/>
          <w:lang w:val="en-GB"/>
        </w:rPr>
      </w:pPr>
      <w:proofErr w:type="gramStart"/>
      <w:r>
        <w:rPr>
          <w:rFonts w:cs="Times New Roman"/>
          <w:lang w:val="en-GB"/>
        </w:rPr>
        <w:t>report</w:t>
      </w:r>
      <w:proofErr w:type="gramEnd"/>
      <w:r>
        <w:rPr>
          <w:rFonts w:cs="Times New Roman"/>
          <w:lang w:val="en-GB"/>
        </w:rPr>
        <w:t xml:space="preserve">, </w:t>
      </w:r>
      <w:r>
        <w:rPr>
          <w:rStyle w:val="2body-medium"/>
          <w:rFonts w:cs="Times New Roman"/>
          <w:lang w:val="en-GB"/>
        </w:rPr>
        <w:t>12–13</w:t>
      </w:r>
    </w:p>
    <w:p w14:paraId="7EB929BF" w14:textId="77777777" w:rsidR="006F421D" w:rsidRDefault="006F421D">
      <w:pPr>
        <w:pStyle w:val="2body-copy-before-bullet"/>
        <w:ind w:left="567"/>
        <w:divId w:val="2142334130"/>
        <w:rPr>
          <w:rFonts w:cs="Times New Roman"/>
          <w:lang w:val="en-GB"/>
        </w:rPr>
      </w:pPr>
      <w:proofErr w:type="gramStart"/>
      <w:r>
        <w:rPr>
          <w:rFonts w:cs="Times New Roman"/>
          <w:lang w:val="en-GB"/>
        </w:rPr>
        <w:t>role</w:t>
      </w:r>
      <w:proofErr w:type="gramEnd"/>
      <w:r>
        <w:rPr>
          <w:rFonts w:cs="Times New Roman"/>
          <w:lang w:val="en-GB"/>
        </w:rPr>
        <w:t>, 73</w:t>
      </w:r>
    </w:p>
    <w:p w14:paraId="208377EE" w14:textId="77777777" w:rsidR="006F421D" w:rsidRDefault="006F421D">
      <w:pPr>
        <w:pStyle w:val="2body-copy-before-bullet"/>
        <w:divId w:val="2142334130"/>
        <w:rPr>
          <w:rFonts w:cs="Times New Roman"/>
          <w:lang w:val="en-GB"/>
        </w:rPr>
      </w:pPr>
      <w:r>
        <w:rPr>
          <w:rFonts w:cs="Times New Roman"/>
          <w:lang w:val="en-GB"/>
        </w:rPr>
        <w:t xml:space="preserve">Chair’s report, </w:t>
      </w:r>
      <w:r>
        <w:rPr>
          <w:rStyle w:val="2body-medium"/>
          <w:rFonts w:cs="Times New Roman"/>
          <w:lang w:val="en-GB"/>
        </w:rPr>
        <w:t>10–11</w:t>
      </w:r>
    </w:p>
    <w:p w14:paraId="6E9C9C88" w14:textId="77777777" w:rsidR="006F421D" w:rsidRDefault="006F421D">
      <w:pPr>
        <w:pStyle w:val="2body-copy-before-bullet"/>
        <w:divId w:val="2142334130"/>
        <w:rPr>
          <w:rFonts w:cs="Times New Roman"/>
          <w:lang w:val="en-GB"/>
        </w:rPr>
      </w:pPr>
      <w:proofErr w:type="gramStart"/>
      <w:r>
        <w:rPr>
          <w:rFonts w:cs="Times New Roman"/>
          <w:lang w:val="en-GB"/>
        </w:rPr>
        <w:t>children’s</w:t>
      </w:r>
      <w:proofErr w:type="gramEnd"/>
      <w:r>
        <w:rPr>
          <w:rFonts w:cs="Times New Roman"/>
          <w:lang w:val="en-GB"/>
        </w:rPr>
        <w:t xml:space="preserve"> radiation exposure from CT scans, </w:t>
      </w:r>
      <w:r>
        <w:rPr>
          <w:rStyle w:val="2body-medium"/>
          <w:rFonts w:cs="Times New Roman"/>
          <w:lang w:val="en-GB"/>
        </w:rPr>
        <w:t>40</w:t>
      </w:r>
      <w:r>
        <w:rPr>
          <w:rFonts w:cs="Times New Roman"/>
          <w:lang w:val="en-GB"/>
        </w:rPr>
        <w:t>, 131</w:t>
      </w:r>
    </w:p>
    <w:p w14:paraId="092DFAA8" w14:textId="77777777" w:rsidR="006F421D" w:rsidRDefault="006F421D">
      <w:pPr>
        <w:pStyle w:val="2body-copy-before-bullet"/>
        <w:divId w:val="2142334130"/>
        <w:rPr>
          <w:rFonts w:cs="Times New Roman"/>
          <w:lang w:val="en-GB"/>
        </w:rPr>
      </w:pPr>
      <w:r>
        <w:rPr>
          <w:rFonts w:cs="Times New Roman"/>
          <w:lang w:val="en-GB"/>
        </w:rPr>
        <w:t>Clark, Jennifer, 71</w:t>
      </w:r>
    </w:p>
    <w:p w14:paraId="43F5AC37" w14:textId="77777777" w:rsidR="006F421D" w:rsidRDefault="006F421D">
      <w:pPr>
        <w:pStyle w:val="2body-copy-before-bullet"/>
        <w:divId w:val="2142334130"/>
        <w:rPr>
          <w:rFonts w:cs="Times New Roman"/>
          <w:lang w:val="en-GB"/>
        </w:rPr>
      </w:pPr>
      <w:r>
        <w:rPr>
          <w:rFonts w:cs="Times New Roman"/>
          <w:lang w:val="en-GB"/>
        </w:rPr>
        <w:t xml:space="preserve">Clinical Care Standards program, </w:t>
      </w:r>
      <w:r>
        <w:rPr>
          <w:rStyle w:val="2body-medium"/>
          <w:rFonts w:cs="Times New Roman"/>
          <w:lang w:val="en-GB"/>
        </w:rPr>
        <w:t>22–23</w:t>
      </w:r>
    </w:p>
    <w:p w14:paraId="42DC81C3" w14:textId="77777777" w:rsidR="006F421D" w:rsidRDefault="006F421D">
      <w:pPr>
        <w:pStyle w:val="2body-copy-before-bullet"/>
        <w:ind w:left="567"/>
        <w:divId w:val="2142334130"/>
        <w:rPr>
          <w:rFonts w:cs="Times New Roman"/>
          <w:lang w:val="en-GB"/>
        </w:rPr>
      </w:pPr>
      <w:proofErr w:type="gramStart"/>
      <w:r>
        <w:rPr>
          <w:rFonts w:cs="Times New Roman"/>
          <w:lang w:val="en-GB"/>
        </w:rPr>
        <w:t>antimicrobial</w:t>
      </w:r>
      <w:proofErr w:type="gramEnd"/>
      <w:r>
        <w:rPr>
          <w:rFonts w:cs="Times New Roman"/>
          <w:lang w:val="en-GB"/>
        </w:rPr>
        <w:t xml:space="preserve"> stewardship, 5</w:t>
      </w:r>
    </w:p>
    <w:p w14:paraId="206AF021" w14:textId="77777777" w:rsidR="006F421D" w:rsidRDefault="006F421D">
      <w:pPr>
        <w:pStyle w:val="2body-copy-before-bullet"/>
        <w:ind w:left="567"/>
        <w:divId w:val="2142334130"/>
        <w:rPr>
          <w:rFonts w:cs="Times New Roman"/>
          <w:lang w:val="en-GB"/>
        </w:rPr>
      </w:pPr>
      <w:proofErr w:type="gramStart"/>
      <w:r>
        <w:rPr>
          <w:rFonts w:cs="Times New Roman"/>
          <w:lang w:val="en-GB"/>
        </w:rPr>
        <w:t>consultations</w:t>
      </w:r>
      <w:proofErr w:type="gramEnd"/>
      <w:r>
        <w:rPr>
          <w:rFonts w:cs="Times New Roman"/>
          <w:lang w:val="en-GB"/>
        </w:rPr>
        <w:t>, 130</w:t>
      </w:r>
    </w:p>
    <w:p w14:paraId="418AF71B" w14:textId="77777777" w:rsidR="006F421D" w:rsidRDefault="006F421D">
      <w:pPr>
        <w:pStyle w:val="2body-copy-before-bullet"/>
        <w:ind w:left="567"/>
        <w:divId w:val="2142334130"/>
        <w:rPr>
          <w:rFonts w:cs="Times New Roman"/>
          <w:lang w:val="en-GB"/>
        </w:rPr>
      </w:pPr>
      <w:proofErr w:type="gramStart"/>
      <w:r>
        <w:rPr>
          <w:rFonts w:cs="Times New Roman"/>
          <w:lang w:val="en-GB"/>
        </w:rPr>
        <w:t>delirium</w:t>
      </w:r>
      <w:proofErr w:type="gramEnd"/>
      <w:r>
        <w:rPr>
          <w:rFonts w:cs="Times New Roman"/>
          <w:lang w:val="en-GB"/>
        </w:rPr>
        <w:t>, 25</w:t>
      </w:r>
    </w:p>
    <w:p w14:paraId="0B36ADD7" w14:textId="77777777" w:rsidR="006F421D" w:rsidRDefault="006F421D">
      <w:pPr>
        <w:pStyle w:val="2body-copy-before-bullet"/>
        <w:ind w:left="567"/>
        <w:divId w:val="2142334130"/>
        <w:rPr>
          <w:rFonts w:cs="Times New Roman"/>
          <w:lang w:val="en-GB"/>
        </w:rPr>
      </w:pPr>
      <w:proofErr w:type="gramStart"/>
      <w:r>
        <w:rPr>
          <w:rFonts w:cs="Times New Roman"/>
          <w:lang w:val="en-GB"/>
        </w:rPr>
        <w:t>development</w:t>
      </w:r>
      <w:proofErr w:type="gramEnd"/>
      <w:r>
        <w:rPr>
          <w:rFonts w:cs="Times New Roman"/>
          <w:lang w:val="en-GB"/>
        </w:rPr>
        <w:t>, 10, 17</w:t>
      </w:r>
    </w:p>
    <w:p w14:paraId="4BB7BB37" w14:textId="77777777" w:rsidR="006F421D" w:rsidRDefault="006F421D">
      <w:pPr>
        <w:pStyle w:val="2body-copy-before-bullet"/>
        <w:ind w:left="567"/>
        <w:divId w:val="2142334130"/>
        <w:rPr>
          <w:rFonts w:cs="Times New Roman"/>
          <w:lang w:val="en-GB"/>
        </w:rPr>
      </w:pPr>
      <w:proofErr w:type="gramStart"/>
      <w:r>
        <w:rPr>
          <w:rFonts w:cs="Times New Roman"/>
          <w:lang w:val="en-GB"/>
        </w:rPr>
        <w:t>publications</w:t>
      </w:r>
      <w:proofErr w:type="gramEnd"/>
      <w:r>
        <w:rPr>
          <w:rFonts w:cs="Times New Roman"/>
          <w:lang w:val="en-GB"/>
        </w:rPr>
        <w:t>, 120</w:t>
      </w:r>
    </w:p>
    <w:p w14:paraId="629609F7" w14:textId="77777777" w:rsidR="006F421D" w:rsidRDefault="006F421D">
      <w:pPr>
        <w:pStyle w:val="2body-copy-before-bullet"/>
        <w:divId w:val="2142334130"/>
        <w:rPr>
          <w:rFonts w:cs="Times New Roman"/>
          <w:lang w:val="en-GB"/>
        </w:rPr>
      </w:pPr>
      <w:r>
        <w:rPr>
          <w:rFonts w:cs="Times New Roman"/>
          <w:lang w:val="en-GB"/>
        </w:rPr>
        <w:t xml:space="preserve">Clinical Communication program, </w:t>
      </w:r>
      <w:r>
        <w:rPr>
          <w:rStyle w:val="2body-medium"/>
          <w:rFonts w:cs="Times New Roman"/>
          <w:lang w:val="en-GB"/>
        </w:rPr>
        <w:t>27</w:t>
      </w:r>
    </w:p>
    <w:p w14:paraId="31093288" w14:textId="77777777" w:rsidR="006F421D" w:rsidRDefault="006F421D">
      <w:pPr>
        <w:pStyle w:val="2body-copy-before-bullet"/>
        <w:divId w:val="2142334130"/>
        <w:rPr>
          <w:rFonts w:cs="Times New Roman"/>
          <w:lang w:val="en-GB"/>
        </w:rPr>
      </w:pPr>
      <w:r>
        <w:rPr>
          <w:rFonts w:cs="Times New Roman"/>
          <w:lang w:val="en-GB"/>
        </w:rPr>
        <w:t>Clinical Director appointed, 7</w:t>
      </w:r>
    </w:p>
    <w:p w14:paraId="48E4512A" w14:textId="77777777" w:rsidR="006F421D" w:rsidRDefault="006F421D">
      <w:pPr>
        <w:pStyle w:val="2body-copy-before-bullet"/>
        <w:divId w:val="2142334130"/>
        <w:rPr>
          <w:rFonts w:cs="Times New Roman"/>
          <w:lang w:val="en-GB"/>
        </w:rPr>
      </w:pPr>
      <w:r>
        <w:rPr>
          <w:rFonts w:cs="Times New Roman"/>
          <w:lang w:val="en-GB"/>
        </w:rPr>
        <w:t>Clinical Excellence Commission (NSW), 35</w:t>
      </w:r>
    </w:p>
    <w:p w14:paraId="7A0A9637" w14:textId="77777777" w:rsidR="006F421D" w:rsidRDefault="006F421D">
      <w:pPr>
        <w:pStyle w:val="2body-copy-before-bullet"/>
        <w:divId w:val="2142334130"/>
        <w:rPr>
          <w:rFonts w:cs="Times New Roman"/>
          <w:lang w:val="en-GB"/>
        </w:rPr>
      </w:pPr>
      <w:proofErr w:type="gramStart"/>
      <w:r>
        <w:rPr>
          <w:rFonts w:cs="Times New Roman"/>
          <w:lang w:val="en-GB"/>
        </w:rPr>
        <w:t>clinical</w:t>
      </w:r>
      <w:proofErr w:type="gramEnd"/>
      <w:r>
        <w:rPr>
          <w:rFonts w:cs="Times New Roman"/>
          <w:lang w:val="en-GB"/>
        </w:rPr>
        <w:t xml:space="preserve"> quality registries, </w:t>
      </w:r>
      <w:r>
        <w:rPr>
          <w:rStyle w:val="2body-medium"/>
          <w:rFonts w:cs="Times New Roman"/>
          <w:lang w:val="en-GB"/>
        </w:rPr>
        <w:t>26</w:t>
      </w:r>
    </w:p>
    <w:p w14:paraId="0331B3A5" w14:textId="77777777" w:rsidR="006F421D" w:rsidRDefault="006F421D">
      <w:pPr>
        <w:pStyle w:val="2body-copy-before-bullet"/>
        <w:divId w:val="2142334130"/>
        <w:rPr>
          <w:rFonts w:cs="Times New Roman"/>
          <w:lang w:val="en-GB"/>
        </w:rPr>
      </w:pPr>
      <w:r>
        <w:rPr>
          <w:rStyle w:val="2body-italic0"/>
          <w:rFonts w:cs="Times New Roman"/>
          <w:lang w:val="en-GB"/>
        </w:rPr>
        <w:t>Clostridium difficile</w:t>
      </w:r>
      <w:r>
        <w:rPr>
          <w:rFonts w:cs="Times New Roman"/>
          <w:lang w:val="en-GB"/>
        </w:rPr>
        <w:t xml:space="preserve"> infection (CDI), 44</w:t>
      </w:r>
    </w:p>
    <w:p w14:paraId="24C57791" w14:textId="77777777" w:rsidR="006F421D" w:rsidRDefault="006F421D">
      <w:pPr>
        <w:pStyle w:val="2body-copy-before-bullet"/>
        <w:divId w:val="2142334130"/>
        <w:rPr>
          <w:rFonts w:cs="Times New Roman"/>
          <w:lang w:val="en-GB"/>
        </w:rPr>
      </w:pPr>
      <w:proofErr w:type="gramStart"/>
      <w:r>
        <w:rPr>
          <w:rFonts w:cs="Times New Roman"/>
          <w:lang w:val="en-GB"/>
        </w:rPr>
        <w:t>cognitive</w:t>
      </w:r>
      <w:proofErr w:type="gramEnd"/>
      <w:r>
        <w:rPr>
          <w:rFonts w:cs="Times New Roman"/>
          <w:lang w:val="en-GB"/>
        </w:rPr>
        <w:t xml:space="preserve"> impairment management, 17, </w:t>
      </w:r>
      <w:r>
        <w:rPr>
          <w:rStyle w:val="2body-medium"/>
          <w:rFonts w:cs="Times New Roman"/>
          <w:lang w:val="en-GB"/>
        </w:rPr>
        <w:t>25</w:t>
      </w:r>
    </w:p>
    <w:p w14:paraId="4688B91D" w14:textId="77777777" w:rsidR="006F421D" w:rsidRDefault="006F421D">
      <w:pPr>
        <w:pStyle w:val="2body-copy-before-bullet"/>
        <w:divId w:val="2142334130"/>
        <w:rPr>
          <w:rFonts w:cs="Times New Roman"/>
          <w:lang w:val="en-GB"/>
        </w:rPr>
      </w:pPr>
      <w:proofErr w:type="spellStart"/>
      <w:r>
        <w:rPr>
          <w:rFonts w:cs="Times New Roman"/>
          <w:lang w:val="en-GB"/>
        </w:rPr>
        <w:t>Comcare</w:t>
      </w:r>
      <w:proofErr w:type="spellEnd"/>
      <w:r>
        <w:rPr>
          <w:rFonts w:cs="Times New Roman"/>
          <w:lang w:val="en-GB"/>
        </w:rPr>
        <w:t xml:space="preserve"> work health and safety e-learning training module, 82</w:t>
      </w:r>
    </w:p>
    <w:p w14:paraId="06326A4D" w14:textId="77777777" w:rsidR="006F421D" w:rsidRDefault="006F421D">
      <w:pPr>
        <w:pStyle w:val="2body-copy-before-bullet"/>
        <w:divId w:val="2142334130"/>
        <w:rPr>
          <w:rFonts w:cs="Times New Roman"/>
          <w:lang w:val="en-GB"/>
        </w:rPr>
      </w:pPr>
      <w:proofErr w:type="spellStart"/>
      <w:r>
        <w:rPr>
          <w:rFonts w:cs="Times New Roman"/>
          <w:lang w:val="en-GB"/>
        </w:rPr>
        <w:t>Comcover</w:t>
      </w:r>
      <w:proofErr w:type="spellEnd"/>
      <w:r>
        <w:rPr>
          <w:rFonts w:cs="Times New Roman"/>
          <w:lang w:val="en-GB"/>
        </w:rPr>
        <w:t>, 70</w:t>
      </w:r>
    </w:p>
    <w:p w14:paraId="5724BA81" w14:textId="77777777" w:rsidR="006F421D" w:rsidRDefault="006F421D">
      <w:pPr>
        <w:pStyle w:val="2body-copy-before-bullet"/>
        <w:divId w:val="2142334130"/>
        <w:rPr>
          <w:rFonts w:cs="Times New Roman"/>
          <w:lang w:val="en-GB"/>
        </w:rPr>
      </w:pPr>
      <w:proofErr w:type="gramStart"/>
      <w:r>
        <w:rPr>
          <w:rFonts w:cs="Times New Roman"/>
          <w:lang w:val="en-GB"/>
        </w:rPr>
        <w:t>commitments</w:t>
      </w:r>
      <w:proofErr w:type="gramEnd"/>
      <w:r>
        <w:rPr>
          <w:rFonts w:cs="Times New Roman"/>
          <w:lang w:val="en-GB"/>
        </w:rPr>
        <w:t xml:space="preserve"> schedule, 91</w:t>
      </w:r>
    </w:p>
    <w:p w14:paraId="3713B8FC" w14:textId="77777777" w:rsidR="006F421D" w:rsidRDefault="006F421D">
      <w:pPr>
        <w:pStyle w:val="2body-copy-before-bullet"/>
        <w:divId w:val="2142334130"/>
        <w:rPr>
          <w:rFonts w:cs="Times New Roman"/>
          <w:lang w:val="en-GB"/>
        </w:rPr>
      </w:pPr>
      <w:proofErr w:type="gramStart"/>
      <w:r>
        <w:rPr>
          <w:rFonts w:cs="Times New Roman"/>
          <w:lang w:val="en-GB"/>
        </w:rPr>
        <w:t>committees</w:t>
      </w:r>
      <w:proofErr w:type="gramEnd"/>
    </w:p>
    <w:p w14:paraId="0AAC7863" w14:textId="77777777" w:rsidR="006F421D" w:rsidRDefault="006F421D">
      <w:pPr>
        <w:pStyle w:val="2body-copy-before-bullet"/>
        <w:ind w:left="567"/>
        <w:divId w:val="2142334130"/>
        <w:rPr>
          <w:rFonts w:cs="Times New Roman"/>
          <w:lang w:val="en-GB"/>
        </w:rPr>
      </w:pPr>
      <w:r>
        <w:rPr>
          <w:rFonts w:cs="Times New Roman"/>
          <w:lang w:val="en-GB"/>
        </w:rPr>
        <w:t>Audit and Risk Committee,</w:t>
      </w:r>
      <w:r>
        <w:rPr>
          <w:rStyle w:val="2body-medium"/>
          <w:rFonts w:cs="Times New Roman"/>
          <w:lang w:val="en-GB"/>
        </w:rPr>
        <w:t xml:space="preserve"> 71</w:t>
      </w:r>
    </w:p>
    <w:p w14:paraId="15932377" w14:textId="77777777" w:rsidR="006F421D" w:rsidRDefault="006F421D">
      <w:pPr>
        <w:pStyle w:val="2body-copy-before-bullet"/>
        <w:ind w:left="567"/>
        <w:divId w:val="2142334130"/>
        <w:rPr>
          <w:rFonts w:cs="Times New Roman"/>
          <w:lang w:val="en-GB"/>
        </w:rPr>
      </w:pPr>
      <w:r>
        <w:rPr>
          <w:rFonts w:cs="Times New Roman"/>
          <w:lang w:val="en-GB"/>
        </w:rPr>
        <w:t xml:space="preserve">Board, </w:t>
      </w:r>
      <w:r>
        <w:rPr>
          <w:rStyle w:val="2body-medium"/>
          <w:rFonts w:cs="Times New Roman"/>
          <w:lang w:val="en-GB"/>
        </w:rPr>
        <w:t>71–72</w:t>
      </w:r>
    </w:p>
    <w:p w14:paraId="48C45A3B" w14:textId="77777777" w:rsidR="006F421D" w:rsidRDefault="006F421D">
      <w:pPr>
        <w:pStyle w:val="2body-copy-before-bullet"/>
        <w:ind w:left="567"/>
        <w:divId w:val="2142334130"/>
        <w:rPr>
          <w:rFonts w:cs="Times New Roman"/>
          <w:lang w:val="en-GB"/>
        </w:rPr>
      </w:pPr>
      <w:r>
        <w:rPr>
          <w:rFonts w:cs="Times New Roman"/>
          <w:lang w:val="en-GB"/>
        </w:rPr>
        <w:t xml:space="preserve">Inter-Jurisdictional Committee, </w:t>
      </w:r>
      <w:r>
        <w:rPr>
          <w:rStyle w:val="2body-medium"/>
          <w:rFonts w:cs="Times New Roman"/>
          <w:lang w:val="en-GB"/>
        </w:rPr>
        <w:t>72</w:t>
      </w:r>
    </w:p>
    <w:p w14:paraId="2FC666A5" w14:textId="77777777" w:rsidR="006F421D" w:rsidRDefault="006F421D">
      <w:pPr>
        <w:pStyle w:val="2body-copy-before-bullet"/>
        <w:ind w:left="567"/>
        <w:divId w:val="2142334130"/>
        <w:rPr>
          <w:rFonts w:cs="Times New Roman"/>
          <w:lang w:val="en-GB"/>
        </w:rPr>
      </w:pPr>
      <w:proofErr w:type="gramStart"/>
      <w:r>
        <w:rPr>
          <w:rFonts w:cs="Times New Roman"/>
          <w:lang w:val="en-GB"/>
        </w:rPr>
        <w:t>internal</w:t>
      </w:r>
      <w:proofErr w:type="gramEnd"/>
      <w:r>
        <w:rPr>
          <w:rFonts w:cs="Times New Roman"/>
          <w:lang w:val="en-GB"/>
        </w:rPr>
        <w:t xml:space="preserve"> management, 73</w:t>
      </w:r>
    </w:p>
    <w:p w14:paraId="695CA048" w14:textId="77777777" w:rsidR="006F421D" w:rsidRDefault="006F421D">
      <w:pPr>
        <w:pStyle w:val="2body-copy-before-bullet"/>
        <w:divId w:val="2142334130"/>
        <w:rPr>
          <w:rFonts w:cs="Times New Roman"/>
          <w:lang w:val="en-GB"/>
        </w:rPr>
      </w:pPr>
      <w:r>
        <w:rPr>
          <w:rStyle w:val="2body-italic0"/>
          <w:rFonts w:cs="Times New Roman"/>
          <w:lang w:val="en-GB"/>
        </w:rPr>
        <w:t>Commonwealth Authorities and Companies Act 1997</w:t>
      </w:r>
      <w:r>
        <w:rPr>
          <w:rFonts w:cs="Times New Roman"/>
          <w:lang w:val="en-GB"/>
        </w:rPr>
        <w:t xml:space="preserve"> (CAC Act), 2, 64</w:t>
      </w:r>
    </w:p>
    <w:p w14:paraId="217DC9EB" w14:textId="77777777" w:rsidR="006F421D" w:rsidRDefault="006F421D">
      <w:pPr>
        <w:pStyle w:val="2body-copy-before-bullet"/>
        <w:divId w:val="2142334130"/>
        <w:rPr>
          <w:rFonts w:cs="Times New Roman"/>
          <w:lang w:val="en-GB"/>
        </w:rPr>
      </w:pPr>
      <w:r>
        <w:rPr>
          <w:rFonts w:cs="Times New Roman"/>
          <w:lang w:val="en-GB"/>
        </w:rPr>
        <w:t>Commonwealth Disability Strategy, 82</w:t>
      </w:r>
    </w:p>
    <w:p w14:paraId="71B7F517" w14:textId="77777777" w:rsidR="006F421D" w:rsidRDefault="006F421D">
      <w:pPr>
        <w:pStyle w:val="2body-copy-before-bullet"/>
        <w:divId w:val="2142334130"/>
        <w:rPr>
          <w:rFonts w:cs="Times New Roman"/>
          <w:lang w:val="en-GB"/>
        </w:rPr>
      </w:pPr>
      <w:proofErr w:type="gramStart"/>
      <w:r>
        <w:rPr>
          <w:rFonts w:cs="Times New Roman"/>
          <w:lang w:val="en-GB"/>
        </w:rPr>
        <w:t>communication</w:t>
      </w:r>
      <w:proofErr w:type="gramEnd"/>
    </w:p>
    <w:p w14:paraId="39426074" w14:textId="77777777" w:rsidR="006F421D" w:rsidRDefault="006F421D">
      <w:pPr>
        <w:pStyle w:val="2body-copy-before-bullet"/>
        <w:ind w:left="567"/>
        <w:divId w:val="2142334130"/>
        <w:rPr>
          <w:rFonts w:cs="Times New Roman"/>
          <w:lang w:val="en-GB"/>
        </w:rPr>
      </w:pPr>
      <w:r>
        <w:rPr>
          <w:rFonts w:cs="Times New Roman"/>
          <w:lang w:val="en-GB"/>
        </w:rPr>
        <w:t xml:space="preserve">Clinical Communication program, </w:t>
      </w:r>
      <w:r>
        <w:rPr>
          <w:rStyle w:val="2body-medium"/>
          <w:rFonts w:cs="Times New Roman"/>
          <w:lang w:val="en-GB"/>
        </w:rPr>
        <w:t>27</w:t>
      </w:r>
    </w:p>
    <w:p w14:paraId="427B0799" w14:textId="77777777" w:rsidR="006F421D" w:rsidRDefault="006F421D">
      <w:pPr>
        <w:pStyle w:val="2body-copy-before-bullet"/>
        <w:ind w:left="567"/>
        <w:divId w:val="2142334130"/>
        <w:rPr>
          <w:rFonts w:cs="Times New Roman"/>
          <w:lang w:val="en-GB"/>
        </w:rPr>
      </w:pPr>
      <w:proofErr w:type="gramStart"/>
      <w:r>
        <w:rPr>
          <w:rFonts w:cs="Times New Roman"/>
          <w:lang w:val="en-GB"/>
        </w:rPr>
        <w:t>medicines</w:t>
      </w:r>
      <w:proofErr w:type="gramEnd"/>
      <w:r>
        <w:rPr>
          <w:rFonts w:cs="Times New Roman"/>
          <w:lang w:val="en-GB"/>
        </w:rPr>
        <w:t>, 34–36</w:t>
      </w:r>
    </w:p>
    <w:p w14:paraId="04DF6109" w14:textId="77777777" w:rsidR="006F421D" w:rsidRDefault="006F421D">
      <w:pPr>
        <w:pStyle w:val="2body-copy-before-bullet"/>
        <w:divId w:val="2142334130"/>
        <w:rPr>
          <w:rFonts w:cs="Times New Roman"/>
          <w:lang w:val="en-GB"/>
        </w:rPr>
      </w:pPr>
      <w:proofErr w:type="gramStart"/>
      <w:r>
        <w:rPr>
          <w:rFonts w:cs="Times New Roman"/>
          <w:lang w:val="en-GB"/>
        </w:rPr>
        <w:lastRenderedPageBreak/>
        <w:t>community</w:t>
      </w:r>
      <w:proofErr w:type="gramEnd"/>
      <w:r>
        <w:rPr>
          <w:rFonts w:cs="Times New Roman"/>
          <w:lang w:val="en-GB"/>
        </w:rPr>
        <w:t xml:space="preserve"> health services, 22</w:t>
      </w:r>
    </w:p>
    <w:p w14:paraId="089A51B1" w14:textId="77777777" w:rsidR="006F421D" w:rsidRDefault="006F421D">
      <w:pPr>
        <w:pStyle w:val="2body-copy-before-bullet"/>
        <w:divId w:val="2142334130"/>
        <w:rPr>
          <w:rFonts w:cs="Times New Roman"/>
          <w:lang w:val="en-GB"/>
        </w:rPr>
      </w:pPr>
      <w:proofErr w:type="gramStart"/>
      <w:r>
        <w:rPr>
          <w:rFonts w:cs="Times New Roman"/>
          <w:lang w:val="en-GB"/>
        </w:rPr>
        <w:t>compensation</w:t>
      </w:r>
      <w:proofErr w:type="gramEnd"/>
      <w:r>
        <w:rPr>
          <w:rFonts w:cs="Times New Roman"/>
          <w:lang w:val="en-GB"/>
        </w:rPr>
        <w:t>, 118</w:t>
      </w:r>
    </w:p>
    <w:p w14:paraId="233CA85A" w14:textId="77777777" w:rsidR="006F421D" w:rsidRDefault="006F421D">
      <w:pPr>
        <w:pStyle w:val="2body-copy-before-bullet"/>
        <w:divId w:val="2142334130"/>
        <w:rPr>
          <w:rFonts w:cs="Times New Roman"/>
          <w:lang w:val="en-GB"/>
        </w:rPr>
      </w:pPr>
      <w:proofErr w:type="gramStart"/>
      <w:r>
        <w:rPr>
          <w:rFonts w:cs="Times New Roman"/>
          <w:lang w:val="en-GB"/>
        </w:rPr>
        <w:t>compliance</w:t>
      </w:r>
      <w:proofErr w:type="gramEnd"/>
      <w:r>
        <w:rPr>
          <w:rFonts w:cs="Times New Roman"/>
          <w:lang w:val="en-GB"/>
        </w:rPr>
        <w:t xml:space="preserve"> index, 143–144</w:t>
      </w:r>
    </w:p>
    <w:p w14:paraId="69134F3F" w14:textId="77777777" w:rsidR="006F421D" w:rsidRDefault="006F421D">
      <w:pPr>
        <w:pStyle w:val="2body-copy-before-bullet"/>
        <w:divId w:val="2142334130"/>
        <w:rPr>
          <w:rFonts w:cs="Times New Roman"/>
          <w:lang w:val="en-GB"/>
        </w:rPr>
      </w:pPr>
      <w:proofErr w:type="gramStart"/>
      <w:r>
        <w:rPr>
          <w:rFonts w:cs="Times New Roman"/>
          <w:lang w:val="en-GB"/>
        </w:rPr>
        <w:t>conferences</w:t>
      </w:r>
      <w:proofErr w:type="gramEnd"/>
      <w:r>
        <w:rPr>
          <w:rFonts w:cs="Times New Roman"/>
          <w:lang w:val="en-GB"/>
        </w:rPr>
        <w:t>, 55–56</w:t>
      </w:r>
    </w:p>
    <w:p w14:paraId="24D419D3" w14:textId="77777777" w:rsidR="006F421D" w:rsidRDefault="006F421D">
      <w:pPr>
        <w:pStyle w:val="2body-copy-before-bullet"/>
        <w:divId w:val="2142334130"/>
        <w:rPr>
          <w:rFonts w:cs="Times New Roman"/>
          <w:lang w:val="en-GB"/>
        </w:rPr>
      </w:pPr>
      <w:proofErr w:type="gramStart"/>
      <w:r>
        <w:rPr>
          <w:rFonts w:cs="Times New Roman"/>
          <w:lang w:val="en-GB"/>
        </w:rPr>
        <w:t>consultations</w:t>
      </w:r>
      <w:proofErr w:type="gramEnd"/>
      <w:r>
        <w:rPr>
          <w:rFonts w:cs="Times New Roman"/>
          <w:lang w:val="en-GB"/>
        </w:rPr>
        <w:t xml:space="preserve">, </w:t>
      </w:r>
      <w:r>
        <w:rPr>
          <w:rStyle w:val="2body-medium"/>
          <w:rFonts w:cs="Times New Roman"/>
          <w:lang w:val="en-GB"/>
        </w:rPr>
        <w:t>72</w:t>
      </w:r>
      <w:r>
        <w:rPr>
          <w:rFonts w:cs="Times New Roman"/>
          <w:lang w:val="en-GB"/>
        </w:rPr>
        <w:t xml:space="preserve">, </w:t>
      </w:r>
      <w:r>
        <w:rPr>
          <w:rStyle w:val="2body-medium"/>
          <w:rFonts w:cs="Times New Roman"/>
          <w:lang w:val="en-GB"/>
        </w:rPr>
        <w:t>130–132</w:t>
      </w:r>
    </w:p>
    <w:p w14:paraId="77EF89BE" w14:textId="77777777" w:rsidR="006F421D" w:rsidRDefault="006F421D">
      <w:pPr>
        <w:pStyle w:val="2body-copy-before-bullet"/>
        <w:divId w:val="2142334130"/>
        <w:rPr>
          <w:rFonts w:cs="Times New Roman"/>
          <w:lang w:val="en-GB"/>
        </w:rPr>
      </w:pPr>
      <w:proofErr w:type="gramStart"/>
      <w:r>
        <w:rPr>
          <w:rFonts w:cs="Times New Roman"/>
          <w:lang w:val="en-GB"/>
        </w:rPr>
        <w:t>consumers</w:t>
      </w:r>
      <w:proofErr w:type="gramEnd"/>
      <w:r>
        <w:rPr>
          <w:rFonts w:cs="Times New Roman"/>
          <w:lang w:val="en-GB"/>
        </w:rPr>
        <w:t xml:space="preserve"> </w:t>
      </w:r>
      <w:r>
        <w:rPr>
          <w:rStyle w:val="2body-italic0"/>
          <w:rFonts w:cs="Times New Roman"/>
          <w:lang w:val="en-GB"/>
        </w:rPr>
        <w:t>see</w:t>
      </w:r>
      <w:r>
        <w:rPr>
          <w:rFonts w:cs="Times New Roman"/>
          <w:lang w:val="en-GB"/>
        </w:rPr>
        <w:t xml:space="preserve"> patients</w:t>
      </w:r>
    </w:p>
    <w:p w14:paraId="3B8432EA" w14:textId="77777777" w:rsidR="006F421D" w:rsidRDefault="006F421D">
      <w:pPr>
        <w:pStyle w:val="2body-copy-before-bullet"/>
        <w:divId w:val="2142334130"/>
        <w:rPr>
          <w:rFonts w:cs="Times New Roman"/>
          <w:lang w:val="en-GB"/>
        </w:rPr>
      </w:pPr>
      <w:r>
        <w:rPr>
          <w:rStyle w:val="2body-italic0"/>
          <w:rFonts w:cs="Times New Roman"/>
          <w:lang w:val="en-GB"/>
        </w:rPr>
        <w:t>Consumers, the health system and health literacy</w:t>
      </w:r>
      <w:r>
        <w:rPr>
          <w:rFonts w:cs="Times New Roman"/>
          <w:lang w:val="en-GB"/>
        </w:rPr>
        <w:t>, 30</w:t>
      </w:r>
    </w:p>
    <w:p w14:paraId="59A1FC45" w14:textId="77777777" w:rsidR="006F421D" w:rsidRDefault="006F421D">
      <w:pPr>
        <w:pStyle w:val="2body-copy-before-bullet"/>
        <w:divId w:val="2142334130"/>
        <w:rPr>
          <w:rFonts w:cs="Times New Roman"/>
          <w:lang w:val="en-GB"/>
        </w:rPr>
      </w:pPr>
      <w:proofErr w:type="gramStart"/>
      <w:r>
        <w:rPr>
          <w:rFonts w:cs="Times New Roman"/>
          <w:lang w:val="en-GB"/>
        </w:rPr>
        <w:t>contingent</w:t>
      </w:r>
      <w:proofErr w:type="gramEnd"/>
      <w:r>
        <w:rPr>
          <w:rFonts w:cs="Times New Roman"/>
          <w:lang w:val="en-GB"/>
        </w:rPr>
        <w:t xml:space="preserve"> assets and liabilities, 110</w:t>
      </w:r>
    </w:p>
    <w:p w14:paraId="3657C4EC" w14:textId="77777777" w:rsidR="006F421D" w:rsidRDefault="006F421D">
      <w:pPr>
        <w:pStyle w:val="2body-copy-before-bullet"/>
        <w:divId w:val="2142334130"/>
        <w:rPr>
          <w:rFonts w:cs="Times New Roman"/>
          <w:lang w:val="en-GB"/>
        </w:rPr>
      </w:pPr>
      <w:proofErr w:type="gramStart"/>
      <w:r>
        <w:rPr>
          <w:rFonts w:cs="Times New Roman"/>
          <w:lang w:val="en-GB"/>
        </w:rPr>
        <w:t>continuing</w:t>
      </w:r>
      <w:proofErr w:type="gramEnd"/>
      <w:r>
        <w:rPr>
          <w:rFonts w:cs="Times New Roman"/>
          <w:lang w:val="en-GB"/>
        </w:rPr>
        <w:t xml:space="preserve"> professional development (CPD), 82</w:t>
      </w:r>
    </w:p>
    <w:p w14:paraId="602A741D" w14:textId="77777777" w:rsidR="006F421D" w:rsidRDefault="006F421D">
      <w:pPr>
        <w:pStyle w:val="2body-copy-before-bullet"/>
        <w:divId w:val="2142334130"/>
        <w:rPr>
          <w:rFonts w:cs="Times New Roman"/>
          <w:lang w:val="en-GB"/>
        </w:rPr>
      </w:pPr>
      <w:proofErr w:type="gramStart"/>
      <w:r>
        <w:rPr>
          <w:rFonts w:cs="Times New Roman"/>
          <w:lang w:val="en-GB"/>
        </w:rPr>
        <w:t>core</w:t>
      </w:r>
      <w:proofErr w:type="gramEnd"/>
      <w:r>
        <w:rPr>
          <w:rFonts w:cs="Times New Roman"/>
          <w:lang w:val="en-GB"/>
        </w:rPr>
        <w:t xml:space="preserve">, hospital-based outcome indicators (CHBOI), </w:t>
      </w:r>
      <w:r>
        <w:rPr>
          <w:rStyle w:val="2body-medium"/>
          <w:rFonts w:cs="Times New Roman"/>
          <w:lang w:val="en-GB"/>
        </w:rPr>
        <w:t>48–49</w:t>
      </w:r>
    </w:p>
    <w:p w14:paraId="57B56954" w14:textId="77777777" w:rsidR="006F421D" w:rsidRDefault="006F421D">
      <w:pPr>
        <w:pStyle w:val="2body-copy-before-bullet"/>
        <w:divId w:val="2142334130"/>
        <w:rPr>
          <w:rFonts w:cs="Times New Roman"/>
          <w:lang w:val="en-GB"/>
        </w:rPr>
      </w:pPr>
      <w:r>
        <w:rPr>
          <w:rFonts w:cs="Times New Roman"/>
          <w:lang w:val="en-GB"/>
        </w:rPr>
        <w:t>Core Indicators Working Party (CIWP), 48</w:t>
      </w:r>
    </w:p>
    <w:p w14:paraId="6596B1D3" w14:textId="77777777" w:rsidR="006F421D" w:rsidRDefault="006F421D">
      <w:pPr>
        <w:pStyle w:val="2body-copy-before-bullet"/>
        <w:divId w:val="2142334130"/>
        <w:rPr>
          <w:rFonts w:cs="Times New Roman"/>
          <w:lang w:val="en-GB"/>
        </w:rPr>
      </w:pPr>
      <w:r>
        <w:rPr>
          <w:rFonts w:cs="Times New Roman"/>
          <w:lang w:val="en-GB"/>
        </w:rPr>
        <w:t>Corporate Governance Framework, 80</w:t>
      </w:r>
    </w:p>
    <w:p w14:paraId="6130E496" w14:textId="77777777" w:rsidR="006F421D" w:rsidRDefault="006F421D">
      <w:pPr>
        <w:pStyle w:val="2body-copy"/>
        <w:divId w:val="2142334130"/>
        <w:rPr>
          <w:rFonts w:cs="Times New Roman"/>
          <w:lang w:val="en-GB"/>
        </w:rPr>
      </w:pPr>
      <w:r>
        <w:rPr>
          <w:rFonts w:cs="Times New Roman"/>
          <w:lang w:val="en-GB"/>
        </w:rPr>
        <w:t xml:space="preserve">CT </w:t>
      </w:r>
      <w:proofErr w:type="gramStart"/>
      <w:r>
        <w:rPr>
          <w:rFonts w:cs="Times New Roman"/>
          <w:lang w:val="en-GB"/>
        </w:rPr>
        <w:t>scan</w:t>
      </w:r>
      <w:proofErr w:type="gramEnd"/>
      <w:r>
        <w:rPr>
          <w:rFonts w:cs="Times New Roman"/>
          <w:lang w:val="en-GB"/>
        </w:rPr>
        <w:t xml:space="preserve"> safety, </w:t>
      </w:r>
      <w:r>
        <w:rPr>
          <w:rStyle w:val="2body-medium"/>
          <w:rFonts w:cs="Times New Roman"/>
          <w:lang w:val="en-GB"/>
        </w:rPr>
        <w:t>40</w:t>
      </w:r>
      <w:r>
        <w:rPr>
          <w:rFonts w:cs="Times New Roman"/>
          <w:lang w:val="en-GB"/>
        </w:rPr>
        <w:t>, 131</w:t>
      </w:r>
    </w:p>
    <w:p w14:paraId="2BBE2EC7" w14:textId="77777777" w:rsidR="006F421D" w:rsidRDefault="006F421D">
      <w:pPr>
        <w:pStyle w:val="1heading-level-3"/>
        <w:divId w:val="2142334130"/>
        <w:rPr>
          <w:rFonts w:cs="Times New Roman"/>
          <w:lang w:val="en-GB"/>
        </w:rPr>
      </w:pPr>
      <w:r>
        <w:rPr>
          <w:rFonts w:cs="Times New Roman"/>
          <w:lang w:val="en-GB"/>
        </w:rPr>
        <w:t>D</w:t>
      </w:r>
    </w:p>
    <w:p w14:paraId="3A154B6E" w14:textId="77777777" w:rsidR="006F421D" w:rsidRDefault="006F421D">
      <w:pPr>
        <w:pStyle w:val="2body-copy-before-bullet"/>
        <w:divId w:val="2142334130"/>
        <w:rPr>
          <w:rFonts w:cs="Times New Roman"/>
          <w:lang w:val="en-GB"/>
        </w:rPr>
      </w:pPr>
      <w:proofErr w:type="gramStart"/>
      <w:r>
        <w:rPr>
          <w:rFonts w:cs="Times New Roman"/>
          <w:lang w:val="en-GB"/>
        </w:rPr>
        <w:t>dataset</w:t>
      </w:r>
      <w:proofErr w:type="gramEnd"/>
      <w:r>
        <w:rPr>
          <w:rFonts w:cs="Times New Roman"/>
          <w:lang w:val="en-GB"/>
        </w:rPr>
        <w:t xml:space="preserve"> development, </w:t>
      </w:r>
      <w:r>
        <w:rPr>
          <w:rStyle w:val="2body-medium"/>
          <w:rFonts w:cs="Times New Roman"/>
          <w:lang w:val="en-GB"/>
        </w:rPr>
        <w:t>48–50</w:t>
      </w:r>
    </w:p>
    <w:p w14:paraId="5DFB8B35" w14:textId="77777777" w:rsidR="006F421D" w:rsidRDefault="006F421D">
      <w:pPr>
        <w:pStyle w:val="2body-copy-before-bullet"/>
        <w:divId w:val="2142334130"/>
        <w:rPr>
          <w:rFonts w:cs="Times New Roman"/>
          <w:lang w:val="en-GB"/>
        </w:rPr>
      </w:pPr>
      <w:proofErr w:type="gramStart"/>
      <w:r>
        <w:rPr>
          <w:rFonts w:cs="Times New Roman"/>
          <w:lang w:val="en-GB"/>
        </w:rPr>
        <w:t>day</w:t>
      </w:r>
      <w:proofErr w:type="gramEnd"/>
      <w:r>
        <w:rPr>
          <w:rFonts w:cs="Times New Roman"/>
          <w:lang w:val="en-GB"/>
        </w:rPr>
        <w:t xml:space="preserve"> procedure services</w:t>
      </w:r>
    </w:p>
    <w:p w14:paraId="16185EB3" w14:textId="77777777" w:rsidR="006F421D" w:rsidRDefault="006F421D">
      <w:pPr>
        <w:pStyle w:val="2body-copy-before-bullet"/>
        <w:ind w:left="567"/>
        <w:divId w:val="2142334130"/>
        <w:rPr>
          <w:rFonts w:cs="Times New Roman"/>
          <w:lang w:val="en-GB"/>
        </w:rPr>
      </w:pPr>
      <w:proofErr w:type="gramStart"/>
      <w:r>
        <w:rPr>
          <w:rFonts w:cs="Times New Roman"/>
          <w:lang w:val="en-GB"/>
        </w:rPr>
        <w:t>accreditation</w:t>
      </w:r>
      <w:proofErr w:type="gramEnd"/>
      <w:r>
        <w:rPr>
          <w:rFonts w:cs="Times New Roman"/>
          <w:lang w:val="en-GB"/>
        </w:rPr>
        <w:t>, 61</w:t>
      </w:r>
    </w:p>
    <w:p w14:paraId="3FF5C8D4" w14:textId="77777777" w:rsidR="006F421D" w:rsidRDefault="006F421D">
      <w:pPr>
        <w:pStyle w:val="2body-copy-before-bullet"/>
        <w:ind w:left="567"/>
        <w:divId w:val="2142334130"/>
        <w:rPr>
          <w:rFonts w:cs="Times New Roman"/>
          <w:lang w:val="en-GB"/>
        </w:rPr>
      </w:pPr>
      <w:proofErr w:type="gramStart"/>
      <w:r>
        <w:rPr>
          <w:rFonts w:cs="Times New Roman"/>
          <w:lang w:val="en-GB"/>
        </w:rPr>
        <w:t>assessment</w:t>
      </w:r>
      <w:proofErr w:type="gramEnd"/>
      <w:r>
        <w:rPr>
          <w:rFonts w:cs="Times New Roman"/>
          <w:lang w:val="en-GB"/>
        </w:rPr>
        <w:t>, 4, 5, 7</w:t>
      </w:r>
    </w:p>
    <w:p w14:paraId="532631A6" w14:textId="77777777" w:rsidR="006F421D" w:rsidRDefault="006F421D">
      <w:pPr>
        <w:pStyle w:val="2body-copy-before-bullet"/>
        <w:divId w:val="2142334130"/>
        <w:rPr>
          <w:rFonts w:cs="Times New Roman"/>
          <w:lang w:val="en-GB"/>
        </w:rPr>
      </w:pPr>
      <w:proofErr w:type="gramStart"/>
      <w:r>
        <w:rPr>
          <w:rFonts w:cs="Times New Roman"/>
          <w:lang w:val="en-GB"/>
        </w:rPr>
        <w:t>debt</w:t>
      </w:r>
      <w:proofErr w:type="gramEnd"/>
      <w:r>
        <w:rPr>
          <w:rFonts w:cs="Times New Roman"/>
          <w:lang w:val="en-GB"/>
        </w:rPr>
        <w:t xml:space="preserve"> relief, 118</w:t>
      </w:r>
    </w:p>
    <w:p w14:paraId="7B4B95D4" w14:textId="77777777" w:rsidR="006F421D" w:rsidRDefault="006F421D">
      <w:pPr>
        <w:pStyle w:val="2body-copy-before-bullet"/>
        <w:divId w:val="2142334130"/>
        <w:rPr>
          <w:rFonts w:cs="Times New Roman"/>
          <w:lang w:val="en-GB"/>
        </w:rPr>
      </w:pPr>
      <w:proofErr w:type="gramStart"/>
      <w:r>
        <w:rPr>
          <w:rFonts w:cs="Times New Roman"/>
          <w:lang w:val="en-GB"/>
        </w:rPr>
        <w:t>delirium</w:t>
      </w:r>
      <w:proofErr w:type="gramEnd"/>
      <w:r>
        <w:rPr>
          <w:rFonts w:cs="Times New Roman"/>
          <w:lang w:val="en-GB"/>
        </w:rPr>
        <w:t>, 25</w:t>
      </w:r>
    </w:p>
    <w:p w14:paraId="1DBFCEC5" w14:textId="77777777" w:rsidR="006F421D" w:rsidRDefault="006F421D">
      <w:pPr>
        <w:pStyle w:val="2body-copy-before-bullet"/>
        <w:divId w:val="2142334130"/>
        <w:rPr>
          <w:rFonts w:cs="Times New Roman"/>
          <w:lang w:val="en-GB"/>
        </w:rPr>
      </w:pPr>
      <w:r>
        <w:rPr>
          <w:rFonts w:cs="Times New Roman"/>
          <w:lang w:val="en-GB"/>
        </w:rPr>
        <w:t>Della, Professor Phillip, 66</w:t>
      </w:r>
    </w:p>
    <w:p w14:paraId="626C0CA5" w14:textId="77777777" w:rsidR="006F421D" w:rsidRDefault="006F421D">
      <w:pPr>
        <w:pStyle w:val="2body-copy-before-bullet"/>
        <w:divId w:val="2142334130"/>
        <w:rPr>
          <w:rFonts w:cs="Times New Roman"/>
          <w:lang w:val="en-GB"/>
        </w:rPr>
      </w:pPr>
      <w:proofErr w:type="gramStart"/>
      <w:r>
        <w:rPr>
          <w:rFonts w:cs="Times New Roman"/>
          <w:lang w:val="en-GB"/>
        </w:rPr>
        <w:t>dementia</w:t>
      </w:r>
      <w:proofErr w:type="gramEnd"/>
      <w:r>
        <w:rPr>
          <w:rFonts w:cs="Times New Roman"/>
          <w:lang w:val="en-GB"/>
        </w:rPr>
        <w:t>, 25</w:t>
      </w:r>
    </w:p>
    <w:p w14:paraId="662DEECE" w14:textId="77777777" w:rsidR="006F421D" w:rsidRDefault="006F421D">
      <w:pPr>
        <w:pStyle w:val="2body-copy-before-bullet"/>
        <w:divId w:val="2142334130"/>
        <w:rPr>
          <w:rFonts w:cs="Times New Roman"/>
          <w:lang w:val="en-GB"/>
        </w:rPr>
      </w:pPr>
      <w:proofErr w:type="gramStart"/>
      <w:r>
        <w:rPr>
          <w:rFonts w:cs="Times New Roman"/>
          <w:lang w:val="en-GB"/>
        </w:rPr>
        <w:t>dental</w:t>
      </w:r>
      <w:proofErr w:type="gramEnd"/>
      <w:r>
        <w:rPr>
          <w:rFonts w:cs="Times New Roman"/>
          <w:lang w:val="en-GB"/>
        </w:rPr>
        <w:t xml:space="preserve"> practice, 22</w:t>
      </w:r>
    </w:p>
    <w:p w14:paraId="0B2F3F03" w14:textId="77777777" w:rsidR="006F421D" w:rsidRDefault="006F421D">
      <w:pPr>
        <w:pStyle w:val="2body-copy-before-bullet"/>
        <w:divId w:val="2142334130"/>
        <w:rPr>
          <w:rFonts w:cs="Times New Roman"/>
          <w:lang w:val="en-GB"/>
        </w:rPr>
      </w:pPr>
      <w:r>
        <w:rPr>
          <w:rFonts w:cs="Times New Roman"/>
          <w:lang w:val="en-GB"/>
        </w:rPr>
        <w:t>Department of Health and Ageing, 61</w:t>
      </w:r>
    </w:p>
    <w:p w14:paraId="2E911854" w14:textId="77777777" w:rsidR="006F421D" w:rsidRDefault="006F421D">
      <w:pPr>
        <w:pStyle w:val="2body-copy-before-bullet"/>
        <w:divId w:val="2142334130"/>
        <w:rPr>
          <w:rFonts w:cs="Times New Roman"/>
          <w:lang w:val="en-GB"/>
        </w:rPr>
      </w:pPr>
      <w:r>
        <w:rPr>
          <w:rFonts w:cs="Times New Roman"/>
          <w:lang w:val="en-GB"/>
        </w:rPr>
        <w:t xml:space="preserve">Directors </w:t>
      </w:r>
      <w:r>
        <w:rPr>
          <w:rStyle w:val="2body-italic0"/>
          <w:rFonts w:cs="Times New Roman"/>
          <w:lang w:val="en-GB"/>
        </w:rPr>
        <w:t>see</w:t>
      </w:r>
      <w:r>
        <w:rPr>
          <w:rFonts w:cs="Times New Roman"/>
          <w:lang w:val="en-GB"/>
        </w:rPr>
        <w:t xml:space="preserve"> Board</w:t>
      </w:r>
    </w:p>
    <w:p w14:paraId="0F5F17E0" w14:textId="77777777" w:rsidR="006F421D" w:rsidRDefault="006F421D">
      <w:pPr>
        <w:pStyle w:val="2body-copy-before-bullet"/>
        <w:divId w:val="2142334130"/>
        <w:rPr>
          <w:rFonts w:cs="Times New Roman"/>
          <w:lang w:val="en-GB"/>
        </w:rPr>
      </w:pPr>
      <w:r>
        <w:rPr>
          <w:rFonts w:cs="Times New Roman"/>
          <w:lang w:val="en-GB"/>
        </w:rPr>
        <w:t xml:space="preserve">Disability Action Plan, </w:t>
      </w:r>
      <w:r>
        <w:rPr>
          <w:rStyle w:val="2body-medium"/>
          <w:rFonts w:cs="Times New Roman"/>
          <w:lang w:val="en-GB"/>
        </w:rPr>
        <w:t>82</w:t>
      </w:r>
    </w:p>
    <w:p w14:paraId="4E23992E" w14:textId="77777777" w:rsidR="006F421D" w:rsidRDefault="006F421D">
      <w:pPr>
        <w:pStyle w:val="2body-copy-before-bullet"/>
        <w:divId w:val="2142334130"/>
        <w:rPr>
          <w:rFonts w:cs="Times New Roman"/>
          <w:lang w:val="en-GB"/>
        </w:rPr>
      </w:pPr>
      <w:r>
        <w:rPr>
          <w:rStyle w:val="2body-italic0"/>
          <w:rFonts w:cs="Times New Roman"/>
          <w:lang w:val="en-GB"/>
        </w:rPr>
        <w:t>Draft National Consensus Statement: Essential Elements for Safe and High-Quality End-of-Life Care in Acute Hospitals</w:t>
      </w:r>
      <w:r>
        <w:rPr>
          <w:rFonts w:cs="Times New Roman"/>
          <w:lang w:val="en-GB"/>
        </w:rPr>
        <w:t>, 6, 28–29</w:t>
      </w:r>
    </w:p>
    <w:p w14:paraId="46B86B61" w14:textId="77777777" w:rsidR="006F421D" w:rsidRDefault="006F421D">
      <w:pPr>
        <w:pStyle w:val="2body-copy-before-bullet"/>
        <w:divId w:val="2142334130"/>
        <w:rPr>
          <w:rFonts w:cs="Times New Roman"/>
          <w:lang w:val="en-GB"/>
        </w:rPr>
      </w:pPr>
      <w:r>
        <w:rPr>
          <w:rFonts w:cs="Times New Roman"/>
          <w:lang w:val="en-GB"/>
        </w:rPr>
        <w:t>Duggan, Professor Anne, 6</w:t>
      </w:r>
    </w:p>
    <w:p w14:paraId="2BFC30C5" w14:textId="77777777" w:rsidR="006F421D" w:rsidRDefault="006F421D">
      <w:pPr>
        <w:pStyle w:val="2body-copy"/>
        <w:divId w:val="2142334130"/>
        <w:rPr>
          <w:rFonts w:cs="Times New Roman"/>
          <w:lang w:val="en-GB"/>
        </w:rPr>
      </w:pPr>
      <w:r>
        <w:rPr>
          <w:rFonts w:cs="Times New Roman"/>
          <w:lang w:val="en-GB"/>
        </w:rPr>
        <w:t>Dutton, Hon. Peter, 3</w:t>
      </w:r>
    </w:p>
    <w:p w14:paraId="04E7C8D1" w14:textId="77777777" w:rsidR="006F421D" w:rsidRDefault="006F421D">
      <w:pPr>
        <w:pStyle w:val="1heading-level-3"/>
        <w:divId w:val="2142334130"/>
        <w:rPr>
          <w:rFonts w:cs="Times New Roman"/>
          <w:lang w:val="en-GB"/>
        </w:rPr>
      </w:pPr>
      <w:r>
        <w:rPr>
          <w:rFonts w:cs="Times New Roman"/>
          <w:lang w:val="en-GB"/>
        </w:rPr>
        <w:t>E</w:t>
      </w:r>
    </w:p>
    <w:p w14:paraId="4B0FA5D5" w14:textId="77777777" w:rsidR="006F421D" w:rsidRDefault="006F421D">
      <w:pPr>
        <w:pStyle w:val="2body-copy-before-bullet"/>
        <w:divId w:val="2142334130"/>
        <w:rPr>
          <w:rFonts w:cs="Times New Roman"/>
          <w:lang w:val="en-GB"/>
        </w:rPr>
      </w:pPr>
      <w:proofErr w:type="gramStart"/>
      <w:r>
        <w:rPr>
          <w:rFonts w:cs="Times New Roman"/>
          <w:lang w:val="en-GB"/>
        </w:rPr>
        <w:t>ecologically</w:t>
      </w:r>
      <w:proofErr w:type="gramEnd"/>
      <w:r>
        <w:rPr>
          <w:rFonts w:cs="Times New Roman"/>
          <w:lang w:val="en-GB"/>
        </w:rPr>
        <w:t xml:space="preserve"> sustainable development, </w:t>
      </w:r>
      <w:r>
        <w:rPr>
          <w:rStyle w:val="2body-medium"/>
          <w:rFonts w:cs="Times New Roman"/>
          <w:lang w:val="en-GB"/>
        </w:rPr>
        <w:t>75</w:t>
      </w:r>
      <w:r>
        <w:rPr>
          <w:rFonts w:cs="Times New Roman"/>
          <w:lang w:val="en-GB"/>
        </w:rPr>
        <w:t xml:space="preserve">, </w:t>
      </w:r>
      <w:r>
        <w:rPr>
          <w:rStyle w:val="2body-medium"/>
          <w:rFonts w:cs="Times New Roman"/>
          <w:lang w:val="en-GB"/>
        </w:rPr>
        <w:t>134</w:t>
      </w:r>
    </w:p>
    <w:p w14:paraId="3259C727" w14:textId="77777777" w:rsidR="006F421D" w:rsidRDefault="006F421D">
      <w:pPr>
        <w:pStyle w:val="2body-copy-before-bullet"/>
        <w:divId w:val="2142334130"/>
        <w:rPr>
          <w:rFonts w:cs="Times New Roman"/>
          <w:lang w:val="en-GB"/>
        </w:rPr>
      </w:pPr>
      <w:proofErr w:type="gramStart"/>
      <w:r>
        <w:rPr>
          <w:rFonts w:cs="Times New Roman"/>
          <w:lang w:val="en-GB"/>
        </w:rPr>
        <w:t>education</w:t>
      </w:r>
      <w:proofErr w:type="gramEnd"/>
      <w:r>
        <w:rPr>
          <w:rFonts w:cs="Times New Roman"/>
          <w:lang w:val="en-GB"/>
        </w:rPr>
        <w:t xml:space="preserve"> </w:t>
      </w:r>
      <w:r>
        <w:rPr>
          <w:rStyle w:val="2body-italic0"/>
          <w:rFonts w:cs="Times New Roman"/>
          <w:lang w:val="en-GB"/>
        </w:rPr>
        <w:t>see</w:t>
      </w:r>
      <w:r>
        <w:rPr>
          <w:rFonts w:cs="Times New Roman"/>
          <w:lang w:val="en-GB"/>
        </w:rPr>
        <w:t xml:space="preserve"> training</w:t>
      </w:r>
    </w:p>
    <w:p w14:paraId="3939F6CA" w14:textId="77777777" w:rsidR="006F421D" w:rsidRDefault="006F421D">
      <w:pPr>
        <w:pStyle w:val="2body-copy-before-bullet"/>
        <w:divId w:val="2142334130"/>
        <w:rPr>
          <w:rFonts w:cs="Times New Roman"/>
          <w:lang w:val="en-GB"/>
        </w:rPr>
      </w:pPr>
      <w:r>
        <w:rPr>
          <w:rFonts w:cs="Times New Roman"/>
          <w:lang w:val="en-GB"/>
        </w:rPr>
        <w:t>electronic medication management systems, 36</w:t>
      </w:r>
    </w:p>
    <w:p w14:paraId="7FBD7221" w14:textId="77777777" w:rsidR="006F421D" w:rsidRDefault="006F421D">
      <w:pPr>
        <w:pStyle w:val="2body-copy-before-bullet"/>
        <w:divId w:val="2142334130"/>
        <w:rPr>
          <w:rFonts w:cs="Times New Roman"/>
          <w:lang w:val="en-GB"/>
        </w:rPr>
      </w:pPr>
      <w:proofErr w:type="gramStart"/>
      <w:r>
        <w:rPr>
          <w:rFonts w:cs="Times New Roman"/>
          <w:lang w:val="en-GB"/>
        </w:rPr>
        <w:t>employees</w:t>
      </w:r>
      <w:proofErr w:type="gramEnd"/>
      <w:r>
        <w:rPr>
          <w:rFonts w:cs="Times New Roman"/>
          <w:lang w:val="en-GB"/>
        </w:rPr>
        <w:t xml:space="preserve"> </w:t>
      </w:r>
      <w:r>
        <w:rPr>
          <w:rStyle w:val="2body-italic0"/>
          <w:rFonts w:cs="Times New Roman"/>
          <w:lang w:val="en-GB"/>
        </w:rPr>
        <w:t>see</w:t>
      </w:r>
      <w:r>
        <w:rPr>
          <w:rFonts w:cs="Times New Roman"/>
          <w:lang w:val="en-GB"/>
        </w:rPr>
        <w:t xml:space="preserve"> staff</w:t>
      </w:r>
    </w:p>
    <w:p w14:paraId="21D05885" w14:textId="77777777" w:rsidR="006F421D" w:rsidRDefault="006F421D">
      <w:pPr>
        <w:pStyle w:val="2body-copy-before-bullet"/>
        <w:divId w:val="2142334130"/>
        <w:rPr>
          <w:rFonts w:cs="Times New Roman"/>
          <w:lang w:val="en-GB"/>
        </w:rPr>
      </w:pPr>
      <w:proofErr w:type="gramStart"/>
      <w:r>
        <w:rPr>
          <w:rFonts w:cs="Times New Roman"/>
          <w:lang w:val="en-GB"/>
        </w:rPr>
        <w:t>enabling</w:t>
      </w:r>
      <w:proofErr w:type="gramEnd"/>
      <w:r>
        <w:rPr>
          <w:rFonts w:cs="Times New Roman"/>
          <w:lang w:val="en-GB"/>
        </w:rPr>
        <w:t xml:space="preserve"> legislation</w:t>
      </w:r>
    </w:p>
    <w:p w14:paraId="50E0BBF5" w14:textId="77777777" w:rsidR="006F421D" w:rsidRDefault="006F421D" w:rsidP="006F421D">
      <w:pPr>
        <w:pStyle w:val="2body-copy-before-bullet"/>
        <w:ind w:left="567"/>
        <w:divId w:val="2142334130"/>
        <w:rPr>
          <w:rFonts w:cs="Times New Roman"/>
          <w:lang w:val="en-GB"/>
        </w:rPr>
      </w:pPr>
      <w:r>
        <w:rPr>
          <w:rStyle w:val="2body-italic0"/>
          <w:rFonts w:cs="Times New Roman"/>
          <w:lang w:val="en-GB"/>
        </w:rPr>
        <w:t>Commonwealth Authorities and Companies Act 1997</w:t>
      </w:r>
      <w:r>
        <w:rPr>
          <w:rFonts w:cs="Times New Roman"/>
          <w:lang w:val="en-GB"/>
        </w:rPr>
        <w:t xml:space="preserve"> (CAC Act), 2, 64</w:t>
      </w:r>
    </w:p>
    <w:p w14:paraId="58979772" w14:textId="77777777" w:rsidR="006F421D" w:rsidRDefault="006F421D" w:rsidP="006F421D">
      <w:pPr>
        <w:pStyle w:val="2body-copy-before-bullet"/>
        <w:ind w:left="567"/>
        <w:divId w:val="2142334130"/>
        <w:rPr>
          <w:rFonts w:cs="Times New Roman"/>
          <w:lang w:val="en-GB"/>
        </w:rPr>
      </w:pPr>
      <w:r>
        <w:rPr>
          <w:rStyle w:val="2body-italic0"/>
          <w:rFonts w:cs="Times New Roman"/>
          <w:lang w:val="en-GB"/>
        </w:rPr>
        <w:t>National Health Reform Act 2011</w:t>
      </w:r>
      <w:r>
        <w:rPr>
          <w:rFonts w:cs="Times New Roman"/>
          <w:lang w:val="en-GB"/>
        </w:rPr>
        <w:t xml:space="preserve"> (NHR Act), 2, 16, 48, 64</w:t>
      </w:r>
    </w:p>
    <w:p w14:paraId="4A99CA67" w14:textId="77777777" w:rsidR="006F421D" w:rsidRDefault="006F421D">
      <w:pPr>
        <w:pStyle w:val="2body-copy-before-bullet"/>
        <w:divId w:val="2142334130"/>
        <w:rPr>
          <w:rFonts w:cs="Times New Roman"/>
          <w:lang w:val="en-GB"/>
        </w:rPr>
      </w:pPr>
      <w:proofErr w:type="gramStart"/>
      <w:r>
        <w:rPr>
          <w:rFonts w:cs="Times New Roman"/>
          <w:lang w:val="en-GB"/>
        </w:rPr>
        <w:t>end-of-life</w:t>
      </w:r>
      <w:proofErr w:type="gramEnd"/>
      <w:r>
        <w:rPr>
          <w:rFonts w:cs="Times New Roman"/>
          <w:lang w:val="en-GB"/>
        </w:rPr>
        <w:t xml:space="preserve"> care, 6, </w:t>
      </w:r>
      <w:r>
        <w:rPr>
          <w:rStyle w:val="2body-medium"/>
          <w:rFonts w:cs="Times New Roman"/>
          <w:lang w:val="en-GB"/>
        </w:rPr>
        <w:t>28–29</w:t>
      </w:r>
      <w:r>
        <w:rPr>
          <w:rFonts w:cs="Times New Roman"/>
          <w:lang w:val="en-GB"/>
        </w:rPr>
        <w:t>, 53, 120, 131</w:t>
      </w:r>
    </w:p>
    <w:p w14:paraId="08F6B108" w14:textId="77777777" w:rsidR="006F421D" w:rsidRDefault="006F421D">
      <w:pPr>
        <w:pStyle w:val="2body-copy-before-bullet"/>
        <w:divId w:val="2142334130"/>
        <w:rPr>
          <w:rFonts w:cs="Times New Roman"/>
          <w:lang w:val="en-GB"/>
        </w:rPr>
      </w:pPr>
      <w:r>
        <w:rPr>
          <w:rFonts w:cs="Times New Roman"/>
          <w:lang w:val="en-GB"/>
        </w:rPr>
        <w:t>Enterprise Data Warehouse, 20</w:t>
      </w:r>
    </w:p>
    <w:p w14:paraId="7AF22AB0" w14:textId="77777777" w:rsidR="006F421D" w:rsidRDefault="006F421D">
      <w:pPr>
        <w:pStyle w:val="2body-copy-before-bullet"/>
        <w:divId w:val="2142334130"/>
        <w:rPr>
          <w:rFonts w:cs="Times New Roman"/>
          <w:lang w:val="en-GB"/>
        </w:rPr>
      </w:pPr>
      <w:r>
        <w:rPr>
          <w:rStyle w:val="2body-italic0"/>
          <w:rFonts w:cs="Times New Roman"/>
          <w:lang w:val="en-GB"/>
        </w:rPr>
        <w:t>Environment Protection and Biodiversity Conservation Act 1999</w:t>
      </w:r>
      <w:r>
        <w:rPr>
          <w:rFonts w:cs="Times New Roman"/>
          <w:lang w:val="en-GB"/>
        </w:rPr>
        <w:t xml:space="preserve"> (EPBC Act), 75</w:t>
      </w:r>
    </w:p>
    <w:p w14:paraId="375C9747" w14:textId="77777777" w:rsidR="006F421D" w:rsidRDefault="006F421D">
      <w:pPr>
        <w:pStyle w:val="2body-copy-before-bullet"/>
        <w:divId w:val="2142334130"/>
        <w:rPr>
          <w:rFonts w:cs="Times New Roman"/>
          <w:lang w:val="en-GB"/>
        </w:rPr>
      </w:pPr>
      <w:proofErr w:type="gramStart"/>
      <w:r>
        <w:rPr>
          <w:rFonts w:cs="Times New Roman"/>
          <w:lang w:val="en-GB"/>
        </w:rPr>
        <w:t>environmental</w:t>
      </w:r>
      <w:proofErr w:type="gramEnd"/>
      <w:r>
        <w:rPr>
          <w:rFonts w:cs="Times New Roman"/>
          <w:lang w:val="en-GB"/>
        </w:rPr>
        <w:t xml:space="preserve"> performance, </w:t>
      </w:r>
      <w:r>
        <w:rPr>
          <w:rStyle w:val="2body-medium"/>
          <w:rFonts w:cs="Times New Roman"/>
          <w:lang w:val="en-GB"/>
        </w:rPr>
        <w:t>75</w:t>
      </w:r>
    </w:p>
    <w:p w14:paraId="762443A6" w14:textId="77777777" w:rsidR="006F421D" w:rsidRDefault="006F421D">
      <w:pPr>
        <w:pStyle w:val="2body-copy-before-bullet"/>
        <w:divId w:val="2142334130"/>
        <w:rPr>
          <w:rFonts w:cs="Times New Roman"/>
          <w:lang w:val="en-GB"/>
        </w:rPr>
      </w:pPr>
      <w:proofErr w:type="gramStart"/>
      <w:r>
        <w:rPr>
          <w:rFonts w:cs="Times New Roman"/>
          <w:lang w:val="en-GB"/>
        </w:rPr>
        <w:t>equity</w:t>
      </w:r>
      <w:proofErr w:type="gramEnd"/>
      <w:r>
        <w:rPr>
          <w:rFonts w:cs="Times New Roman"/>
          <w:lang w:val="en-GB"/>
        </w:rPr>
        <w:t xml:space="preserve"> statement, 89</w:t>
      </w:r>
    </w:p>
    <w:p w14:paraId="684434BC" w14:textId="77777777" w:rsidR="006F421D" w:rsidRDefault="006F421D">
      <w:pPr>
        <w:pStyle w:val="2body-copy-before-bullet"/>
        <w:divId w:val="2142334130"/>
        <w:rPr>
          <w:rFonts w:cs="Times New Roman"/>
          <w:lang w:val="en-GB"/>
        </w:rPr>
      </w:pPr>
      <w:proofErr w:type="gramStart"/>
      <w:r>
        <w:rPr>
          <w:rFonts w:cs="Times New Roman"/>
          <w:lang w:val="en-GB"/>
        </w:rPr>
        <w:t>ethical</w:t>
      </w:r>
      <w:proofErr w:type="gramEnd"/>
      <w:r>
        <w:rPr>
          <w:rFonts w:cs="Times New Roman"/>
          <w:lang w:val="en-GB"/>
        </w:rPr>
        <w:t xml:space="preserve"> standards, </w:t>
      </w:r>
      <w:r>
        <w:rPr>
          <w:rStyle w:val="2body-medium"/>
          <w:rFonts w:cs="Times New Roman"/>
          <w:lang w:val="en-GB"/>
        </w:rPr>
        <w:t>70</w:t>
      </w:r>
    </w:p>
    <w:p w14:paraId="1BA7ECD6" w14:textId="77777777" w:rsidR="006F421D" w:rsidRDefault="006F421D">
      <w:pPr>
        <w:pStyle w:val="2body-copy-before-bullet"/>
        <w:divId w:val="2142334130"/>
        <w:rPr>
          <w:rFonts w:cs="Times New Roman"/>
          <w:lang w:val="en-GB"/>
        </w:rPr>
      </w:pPr>
      <w:proofErr w:type="gramStart"/>
      <w:r>
        <w:rPr>
          <w:rFonts w:cs="Times New Roman"/>
          <w:lang w:val="en-GB"/>
        </w:rPr>
        <w:t>event</w:t>
      </w:r>
      <w:proofErr w:type="gramEnd"/>
      <w:r>
        <w:rPr>
          <w:rFonts w:cs="Times New Roman"/>
          <w:lang w:val="en-GB"/>
        </w:rPr>
        <w:t xml:space="preserve"> sponsorship, </w:t>
      </w:r>
      <w:r>
        <w:rPr>
          <w:rStyle w:val="2body-medium"/>
          <w:rFonts w:cs="Times New Roman"/>
          <w:lang w:val="en-GB"/>
        </w:rPr>
        <w:t>127</w:t>
      </w:r>
    </w:p>
    <w:p w14:paraId="14358DBC" w14:textId="77777777" w:rsidR="006F421D" w:rsidRDefault="006F421D">
      <w:pPr>
        <w:pStyle w:val="2body-copy-before-bullet"/>
        <w:divId w:val="2142334130"/>
        <w:rPr>
          <w:rFonts w:cs="Times New Roman"/>
          <w:lang w:val="en-GB"/>
        </w:rPr>
      </w:pPr>
      <w:r>
        <w:rPr>
          <w:rFonts w:cs="Times New Roman"/>
          <w:lang w:val="en-GB"/>
        </w:rPr>
        <w:t>Executive and Management Committee, 73</w:t>
      </w:r>
    </w:p>
    <w:p w14:paraId="658B1D6B" w14:textId="77777777" w:rsidR="006F421D" w:rsidRDefault="006F421D">
      <w:pPr>
        <w:pStyle w:val="2body-copy-before-bullet"/>
        <w:divId w:val="2142334130"/>
        <w:rPr>
          <w:rFonts w:cs="Times New Roman"/>
          <w:lang w:val="en-GB"/>
        </w:rPr>
      </w:pPr>
      <w:proofErr w:type="gramStart"/>
      <w:r>
        <w:rPr>
          <w:rFonts w:cs="Times New Roman"/>
          <w:lang w:val="en-GB"/>
        </w:rPr>
        <w:t>expenses</w:t>
      </w:r>
      <w:proofErr w:type="gramEnd"/>
      <w:r>
        <w:rPr>
          <w:rFonts w:cs="Times New Roman"/>
          <w:lang w:val="en-GB"/>
        </w:rPr>
        <w:t>, 101–102</w:t>
      </w:r>
    </w:p>
    <w:p w14:paraId="24F46D96" w14:textId="77777777" w:rsidR="006F421D" w:rsidRDefault="006F421D">
      <w:pPr>
        <w:pStyle w:val="2body-copy-before-bullet"/>
        <w:divId w:val="2142334130"/>
        <w:rPr>
          <w:rFonts w:cs="Times New Roman"/>
          <w:lang w:val="en-GB"/>
        </w:rPr>
      </w:pPr>
      <w:r>
        <w:rPr>
          <w:rStyle w:val="2body-italic0"/>
          <w:rFonts w:cs="Times New Roman"/>
          <w:lang w:val="en-GB"/>
        </w:rPr>
        <w:t>Exploring Healthcare Variation in Australia</w:t>
      </w:r>
      <w:r>
        <w:rPr>
          <w:rFonts w:cs="Times New Roman"/>
          <w:lang w:val="en-GB"/>
        </w:rPr>
        <w:t xml:space="preserve">, 7, 41, </w:t>
      </w:r>
      <w:r>
        <w:rPr>
          <w:rStyle w:val="2body-medium"/>
          <w:rFonts w:cs="Times New Roman"/>
          <w:lang w:val="en-GB"/>
        </w:rPr>
        <w:t>52</w:t>
      </w:r>
    </w:p>
    <w:p w14:paraId="501CD38E" w14:textId="77777777" w:rsidR="006F421D" w:rsidRDefault="006F421D">
      <w:pPr>
        <w:pStyle w:val="2body-copy-before-bullet"/>
        <w:divId w:val="2142334130"/>
        <w:rPr>
          <w:rFonts w:cs="Times New Roman"/>
          <w:lang w:val="en-GB"/>
        </w:rPr>
      </w:pPr>
      <w:proofErr w:type="gramStart"/>
      <w:r>
        <w:rPr>
          <w:rFonts w:cs="Times New Roman"/>
          <w:lang w:val="en-GB"/>
        </w:rPr>
        <w:t>external</w:t>
      </w:r>
      <w:proofErr w:type="gramEnd"/>
      <w:r>
        <w:rPr>
          <w:rFonts w:cs="Times New Roman"/>
          <w:lang w:val="en-GB"/>
        </w:rPr>
        <w:t xml:space="preserve"> representations, 56, </w:t>
      </w:r>
      <w:r>
        <w:rPr>
          <w:rStyle w:val="2body-medium"/>
          <w:rFonts w:cs="Times New Roman"/>
          <w:lang w:val="en-GB"/>
        </w:rPr>
        <w:t>128–129</w:t>
      </w:r>
    </w:p>
    <w:p w14:paraId="7CECD409" w14:textId="77777777" w:rsidR="006F421D" w:rsidRDefault="006F421D">
      <w:pPr>
        <w:pStyle w:val="2body-copy-before-bullet"/>
        <w:divId w:val="2142334130"/>
        <w:rPr>
          <w:rFonts w:cs="Times New Roman"/>
          <w:lang w:val="en-GB"/>
        </w:rPr>
      </w:pPr>
      <w:proofErr w:type="gramStart"/>
      <w:r>
        <w:rPr>
          <w:rFonts w:cs="Times New Roman"/>
          <w:lang w:val="en-GB"/>
        </w:rPr>
        <w:t>external</w:t>
      </w:r>
      <w:proofErr w:type="gramEnd"/>
      <w:r>
        <w:rPr>
          <w:rFonts w:cs="Times New Roman"/>
          <w:lang w:val="en-GB"/>
        </w:rPr>
        <w:t xml:space="preserve"> scrutiny, </w:t>
      </w:r>
      <w:r>
        <w:rPr>
          <w:rStyle w:val="2body-medium"/>
          <w:rFonts w:cs="Times New Roman"/>
          <w:lang w:val="en-GB"/>
        </w:rPr>
        <w:t>74</w:t>
      </w:r>
    </w:p>
    <w:p w14:paraId="248F5B3A" w14:textId="77777777" w:rsidR="006F421D" w:rsidRDefault="006F421D">
      <w:pPr>
        <w:pStyle w:val="1heading-level-3"/>
        <w:divId w:val="2142334130"/>
        <w:rPr>
          <w:rFonts w:cs="Times New Roman"/>
          <w:lang w:val="en-GB"/>
        </w:rPr>
      </w:pPr>
      <w:r>
        <w:rPr>
          <w:rFonts w:cs="Times New Roman"/>
          <w:lang w:val="en-GB"/>
        </w:rPr>
        <w:t>F</w:t>
      </w:r>
    </w:p>
    <w:p w14:paraId="2AAB8096" w14:textId="77777777" w:rsidR="006F421D" w:rsidRDefault="006F421D">
      <w:pPr>
        <w:pStyle w:val="2body-copy-before-bullet"/>
        <w:divId w:val="2142334130"/>
        <w:rPr>
          <w:rFonts w:cs="Times New Roman"/>
          <w:lang w:val="en-GB"/>
        </w:rPr>
      </w:pPr>
      <w:proofErr w:type="gramStart"/>
      <w:r>
        <w:rPr>
          <w:rFonts w:cs="Times New Roman"/>
          <w:lang w:val="en-GB"/>
        </w:rPr>
        <w:t>fact</w:t>
      </w:r>
      <w:proofErr w:type="gramEnd"/>
      <w:r>
        <w:rPr>
          <w:rFonts w:cs="Times New Roman"/>
          <w:lang w:val="en-GB"/>
        </w:rPr>
        <w:t xml:space="preserve"> sheets, 20</w:t>
      </w:r>
    </w:p>
    <w:p w14:paraId="1070BD08" w14:textId="77777777" w:rsidR="006F421D" w:rsidRDefault="006F421D">
      <w:pPr>
        <w:pStyle w:val="2body-copy-before-bullet"/>
        <w:divId w:val="2142334130"/>
        <w:rPr>
          <w:rFonts w:cs="Times New Roman"/>
          <w:lang w:val="en-GB"/>
        </w:rPr>
      </w:pPr>
      <w:proofErr w:type="gramStart"/>
      <w:r>
        <w:rPr>
          <w:rFonts w:cs="Times New Roman"/>
          <w:lang w:val="en-GB"/>
        </w:rPr>
        <w:t>falls</w:t>
      </w:r>
      <w:proofErr w:type="gramEnd"/>
      <w:r>
        <w:rPr>
          <w:rFonts w:cs="Times New Roman"/>
          <w:lang w:val="en-GB"/>
        </w:rPr>
        <w:t xml:space="preserve"> prevention, </w:t>
      </w:r>
      <w:r>
        <w:rPr>
          <w:rStyle w:val="2body-medium"/>
          <w:rFonts w:cs="Times New Roman"/>
          <w:lang w:val="en-GB"/>
        </w:rPr>
        <w:t>29</w:t>
      </w:r>
    </w:p>
    <w:p w14:paraId="50109AC5" w14:textId="77777777" w:rsidR="006F421D" w:rsidRDefault="006F421D">
      <w:pPr>
        <w:pStyle w:val="2body-copy-before-bullet"/>
        <w:divId w:val="2142334130"/>
        <w:rPr>
          <w:rFonts w:cs="Times New Roman"/>
          <w:lang w:val="en-GB"/>
        </w:rPr>
      </w:pPr>
      <w:proofErr w:type="gramStart"/>
      <w:r>
        <w:rPr>
          <w:rFonts w:cs="Times New Roman"/>
          <w:lang w:val="en-GB"/>
        </w:rPr>
        <w:lastRenderedPageBreak/>
        <w:t>financial</w:t>
      </w:r>
      <w:proofErr w:type="gramEnd"/>
      <w:r>
        <w:rPr>
          <w:rFonts w:cs="Times New Roman"/>
          <w:lang w:val="en-GB"/>
        </w:rPr>
        <w:t xml:space="preserve"> assets, 106, 118</w:t>
      </w:r>
    </w:p>
    <w:p w14:paraId="280E609E" w14:textId="77777777" w:rsidR="006F421D" w:rsidRDefault="006F421D">
      <w:pPr>
        <w:pStyle w:val="2body-copy-before-bullet"/>
        <w:divId w:val="2142334130"/>
        <w:rPr>
          <w:rFonts w:cs="Times New Roman"/>
          <w:lang w:val="en-GB"/>
        </w:rPr>
      </w:pPr>
      <w:proofErr w:type="gramStart"/>
      <w:r>
        <w:rPr>
          <w:rFonts w:cs="Times New Roman"/>
          <w:lang w:val="en-GB"/>
        </w:rPr>
        <w:t>financial</w:t>
      </w:r>
      <w:proofErr w:type="gramEnd"/>
      <w:r>
        <w:rPr>
          <w:rFonts w:cs="Times New Roman"/>
          <w:lang w:val="en-GB"/>
        </w:rPr>
        <w:t xml:space="preserve"> instruments, 115–117</w:t>
      </w:r>
    </w:p>
    <w:p w14:paraId="4A9D5A33" w14:textId="77777777" w:rsidR="006F421D" w:rsidRDefault="006F421D">
      <w:pPr>
        <w:pStyle w:val="2body-copy-before-bullet"/>
        <w:divId w:val="2142334130"/>
        <w:rPr>
          <w:rFonts w:cs="Times New Roman"/>
          <w:lang w:val="en-GB"/>
        </w:rPr>
      </w:pPr>
      <w:proofErr w:type="gramStart"/>
      <w:r>
        <w:rPr>
          <w:rFonts w:cs="Times New Roman"/>
          <w:lang w:val="en-GB"/>
        </w:rPr>
        <w:t>financial</w:t>
      </w:r>
      <w:proofErr w:type="gramEnd"/>
      <w:r>
        <w:rPr>
          <w:rFonts w:cs="Times New Roman"/>
          <w:lang w:val="en-GB"/>
        </w:rPr>
        <w:t xml:space="preserve"> position, 88</w:t>
      </w:r>
    </w:p>
    <w:p w14:paraId="119A3756" w14:textId="77777777" w:rsidR="006F421D" w:rsidRDefault="006F421D">
      <w:pPr>
        <w:pStyle w:val="2body-copy-before-bullet"/>
        <w:divId w:val="2142334130"/>
        <w:rPr>
          <w:rFonts w:cs="Times New Roman"/>
          <w:lang w:val="en-GB"/>
        </w:rPr>
      </w:pPr>
      <w:proofErr w:type="gramStart"/>
      <w:r>
        <w:rPr>
          <w:rFonts w:cs="Times New Roman"/>
          <w:lang w:val="en-GB"/>
        </w:rPr>
        <w:t>financial</w:t>
      </w:r>
      <w:proofErr w:type="gramEnd"/>
      <w:r>
        <w:rPr>
          <w:rFonts w:cs="Times New Roman"/>
          <w:lang w:val="en-GB"/>
        </w:rPr>
        <w:t xml:space="preserve"> statements, </w:t>
      </w:r>
      <w:r>
        <w:rPr>
          <w:rStyle w:val="2body-medium"/>
          <w:rFonts w:cs="Times New Roman"/>
          <w:lang w:val="en-GB"/>
        </w:rPr>
        <w:t>83–118</w:t>
      </w:r>
    </w:p>
    <w:p w14:paraId="6449ABC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auditor’s</w:t>
      </w:r>
      <w:proofErr w:type="gramEnd"/>
      <w:r>
        <w:rPr>
          <w:rFonts w:cs="Times New Roman"/>
          <w:lang w:val="en-GB"/>
        </w:rPr>
        <w:t xml:space="preserve"> report, 84–85</w:t>
      </w:r>
    </w:p>
    <w:p w14:paraId="79506482"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cash</w:t>
      </w:r>
      <w:proofErr w:type="gramEnd"/>
      <w:r>
        <w:rPr>
          <w:rFonts w:cs="Times New Roman"/>
          <w:lang w:val="en-GB"/>
        </w:rPr>
        <w:t xml:space="preserve"> flow, 90</w:t>
      </w:r>
    </w:p>
    <w:p w14:paraId="1C2CC04C"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changes</w:t>
      </w:r>
      <w:proofErr w:type="gramEnd"/>
      <w:r>
        <w:rPr>
          <w:rFonts w:cs="Times New Roman"/>
          <w:lang w:val="en-GB"/>
        </w:rPr>
        <w:t xml:space="preserve"> in equity, 89</w:t>
      </w:r>
    </w:p>
    <w:p w14:paraId="7BD9DAD4"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comprehensive</w:t>
      </w:r>
      <w:proofErr w:type="gramEnd"/>
      <w:r>
        <w:rPr>
          <w:rFonts w:cs="Times New Roman"/>
          <w:lang w:val="en-GB"/>
        </w:rPr>
        <w:t xml:space="preserve"> income, 87</w:t>
      </w:r>
    </w:p>
    <w:p w14:paraId="6FACF232" w14:textId="77777777" w:rsidR="006F421D" w:rsidRDefault="006F421D" w:rsidP="006F421D">
      <w:pPr>
        <w:pStyle w:val="2body-copy-before-bullet"/>
        <w:ind w:left="567"/>
        <w:divId w:val="2142334130"/>
        <w:rPr>
          <w:rFonts w:cs="Times New Roman"/>
          <w:lang w:val="en-GB"/>
        </w:rPr>
      </w:pPr>
      <w:r>
        <w:rPr>
          <w:rFonts w:cs="Times New Roman"/>
          <w:lang w:val="en-GB"/>
        </w:rPr>
        <w:t>Directors’ statement, 86</w:t>
      </w:r>
    </w:p>
    <w:p w14:paraId="58D459AE"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schedule</w:t>
      </w:r>
      <w:proofErr w:type="gramEnd"/>
      <w:r>
        <w:rPr>
          <w:rFonts w:cs="Times New Roman"/>
          <w:lang w:val="en-GB"/>
        </w:rPr>
        <w:t xml:space="preserve"> of commitments, 91</w:t>
      </w:r>
    </w:p>
    <w:p w14:paraId="6581493E" w14:textId="77777777" w:rsidR="006F421D" w:rsidRDefault="006F421D">
      <w:pPr>
        <w:pStyle w:val="2body-copy-before-bullet"/>
        <w:divId w:val="2142334130"/>
        <w:rPr>
          <w:rFonts w:cs="Times New Roman"/>
          <w:lang w:val="en-GB"/>
        </w:rPr>
      </w:pPr>
      <w:r>
        <w:rPr>
          <w:rFonts w:cs="Times New Roman"/>
          <w:lang w:val="en-GB"/>
        </w:rPr>
        <w:t>Firth, Hon. Verity, 66–67</w:t>
      </w:r>
    </w:p>
    <w:p w14:paraId="2BE3B1FB" w14:textId="77777777" w:rsidR="006F421D" w:rsidRDefault="006F421D">
      <w:pPr>
        <w:pStyle w:val="2body-copy-before-bullet"/>
        <w:divId w:val="2142334130"/>
        <w:rPr>
          <w:rFonts w:cs="Times New Roman"/>
          <w:lang w:val="en-GB"/>
        </w:rPr>
      </w:pPr>
      <w:r>
        <w:rPr>
          <w:rStyle w:val="2body-italic0"/>
          <w:rFonts w:cs="Times New Roman"/>
          <w:lang w:val="en-GB"/>
        </w:rPr>
        <w:t>5 Moments for Hand Hygiene</w:t>
      </w:r>
      <w:r>
        <w:rPr>
          <w:rFonts w:cs="Times New Roman"/>
          <w:lang w:val="en-GB"/>
        </w:rPr>
        <w:t xml:space="preserve"> (WHO), 43</w:t>
      </w:r>
    </w:p>
    <w:p w14:paraId="592FB795" w14:textId="77777777" w:rsidR="006F421D" w:rsidRDefault="006F421D">
      <w:pPr>
        <w:pStyle w:val="2body-copy-before-bullet"/>
        <w:divId w:val="2142334130"/>
        <w:rPr>
          <w:rFonts w:cs="Times New Roman"/>
          <w:lang w:val="en-GB"/>
        </w:rPr>
      </w:pPr>
      <w:r>
        <w:rPr>
          <w:rStyle w:val="2body-italic0"/>
          <w:rFonts w:cs="Times New Roman"/>
          <w:lang w:val="en-GB"/>
        </w:rPr>
        <w:t>Framework for Australian clinical quality registries</w:t>
      </w:r>
      <w:r>
        <w:rPr>
          <w:rFonts w:cs="Times New Roman"/>
          <w:lang w:val="en-GB"/>
        </w:rPr>
        <w:t>, 26</w:t>
      </w:r>
    </w:p>
    <w:p w14:paraId="16A2C153" w14:textId="77777777" w:rsidR="006F421D" w:rsidRDefault="006F421D">
      <w:pPr>
        <w:pStyle w:val="2body-copy-before-bullet"/>
        <w:divId w:val="2142334130"/>
        <w:rPr>
          <w:rFonts w:cs="Times New Roman"/>
          <w:lang w:val="en-GB"/>
        </w:rPr>
      </w:pPr>
      <w:proofErr w:type="gramStart"/>
      <w:r>
        <w:rPr>
          <w:rFonts w:cs="Times New Roman"/>
          <w:lang w:val="en-GB"/>
        </w:rPr>
        <w:t>fraud</w:t>
      </w:r>
      <w:proofErr w:type="gramEnd"/>
      <w:r>
        <w:rPr>
          <w:rFonts w:cs="Times New Roman"/>
          <w:lang w:val="en-GB"/>
        </w:rPr>
        <w:t xml:space="preserve"> control, </w:t>
      </w:r>
      <w:r>
        <w:rPr>
          <w:rStyle w:val="2body-medium"/>
          <w:rFonts w:cs="Times New Roman"/>
          <w:lang w:val="en-GB"/>
        </w:rPr>
        <w:t>73</w:t>
      </w:r>
    </w:p>
    <w:p w14:paraId="7CDF39BB" w14:textId="77777777" w:rsidR="006F421D" w:rsidRDefault="006F421D">
      <w:pPr>
        <w:pStyle w:val="2body-copy-before-bullet"/>
        <w:divId w:val="2142334130"/>
        <w:rPr>
          <w:rFonts w:cs="Times New Roman"/>
          <w:lang w:val="en-GB"/>
        </w:rPr>
      </w:pPr>
      <w:r>
        <w:rPr>
          <w:rStyle w:val="2body-italic0"/>
          <w:rFonts w:cs="Times New Roman"/>
          <w:lang w:val="en-GB"/>
        </w:rPr>
        <w:t>Freedom of Information Act 1982</w:t>
      </w:r>
      <w:r>
        <w:rPr>
          <w:rFonts w:cs="Times New Roman"/>
          <w:lang w:val="en-GB"/>
        </w:rPr>
        <w:t xml:space="preserve"> (FOI Act), 74</w:t>
      </w:r>
    </w:p>
    <w:p w14:paraId="1AB6BE10" w14:textId="77777777" w:rsidR="006F421D" w:rsidRDefault="006F421D">
      <w:pPr>
        <w:pStyle w:val="2body-copy-before-bullet"/>
        <w:divId w:val="2142334130"/>
        <w:rPr>
          <w:rFonts w:cs="Times New Roman"/>
          <w:lang w:val="en-GB"/>
        </w:rPr>
      </w:pPr>
      <w:proofErr w:type="gramStart"/>
      <w:r>
        <w:rPr>
          <w:rFonts w:cs="Times New Roman"/>
          <w:lang w:val="en-GB"/>
        </w:rPr>
        <w:t>freedom</w:t>
      </w:r>
      <w:proofErr w:type="gramEnd"/>
      <w:r>
        <w:rPr>
          <w:rFonts w:cs="Times New Roman"/>
          <w:lang w:val="en-GB"/>
        </w:rPr>
        <w:t xml:space="preserve"> of information (FOI), </w:t>
      </w:r>
      <w:r>
        <w:rPr>
          <w:rStyle w:val="2body-medium"/>
          <w:rFonts w:cs="Times New Roman"/>
          <w:lang w:val="en-GB"/>
        </w:rPr>
        <w:t>74</w:t>
      </w:r>
      <w:r>
        <w:rPr>
          <w:rFonts w:cs="Times New Roman"/>
          <w:lang w:val="en-GB"/>
        </w:rPr>
        <w:t xml:space="preserve">, </w:t>
      </w:r>
      <w:r>
        <w:rPr>
          <w:rStyle w:val="2body-medium"/>
          <w:rFonts w:cs="Times New Roman"/>
          <w:lang w:val="en-GB"/>
        </w:rPr>
        <w:t>133</w:t>
      </w:r>
    </w:p>
    <w:p w14:paraId="6FA61A7E" w14:textId="77777777" w:rsidR="006F421D" w:rsidRDefault="006F421D">
      <w:pPr>
        <w:pStyle w:val="2body-copy"/>
        <w:divId w:val="2142334130"/>
        <w:rPr>
          <w:rFonts w:cs="Times New Roman"/>
          <w:lang w:val="en-GB"/>
        </w:rPr>
      </w:pPr>
      <w:proofErr w:type="gramStart"/>
      <w:r>
        <w:rPr>
          <w:rFonts w:cs="Times New Roman"/>
          <w:lang w:val="en-GB"/>
        </w:rPr>
        <w:t>functions</w:t>
      </w:r>
      <w:proofErr w:type="gramEnd"/>
      <w:r>
        <w:rPr>
          <w:rFonts w:cs="Times New Roman"/>
          <w:lang w:val="en-GB"/>
        </w:rPr>
        <w:t xml:space="preserve"> of the Commission, 8, 16</w:t>
      </w:r>
    </w:p>
    <w:p w14:paraId="525333D5" w14:textId="77777777" w:rsidR="006F421D" w:rsidRDefault="006F421D">
      <w:pPr>
        <w:pStyle w:val="1heading-level-3"/>
        <w:divId w:val="2142334130"/>
        <w:rPr>
          <w:rFonts w:cs="Times New Roman"/>
          <w:lang w:val="en-GB"/>
        </w:rPr>
      </w:pPr>
      <w:r>
        <w:rPr>
          <w:rFonts w:cs="Times New Roman"/>
          <w:lang w:val="en-GB"/>
        </w:rPr>
        <w:t>G</w:t>
      </w:r>
    </w:p>
    <w:p w14:paraId="5CF8471F" w14:textId="77777777" w:rsidR="006F421D" w:rsidRDefault="006F421D">
      <w:pPr>
        <w:pStyle w:val="2body-copy-before-bullet"/>
        <w:divId w:val="2142334130"/>
        <w:rPr>
          <w:rFonts w:cs="Times New Roman"/>
          <w:lang w:val="en-GB"/>
        </w:rPr>
      </w:pPr>
      <w:r>
        <w:rPr>
          <w:rFonts w:cs="Times New Roman"/>
          <w:lang w:val="en-GB"/>
        </w:rPr>
        <w:t>Gee, Christine, 67</w:t>
      </w:r>
    </w:p>
    <w:p w14:paraId="3BCD5ACF" w14:textId="77777777" w:rsidR="006F421D" w:rsidRDefault="006F421D">
      <w:pPr>
        <w:pStyle w:val="2body-copy-before-bullet"/>
        <w:divId w:val="2142334130"/>
        <w:rPr>
          <w:rFonts w:cs="Times New Roman"/>
          <w:lang w:val="en-GB"/>
        </w:rPr>
      </w:pPr>
      <w:proofErr w:type="gramStart"/>
      <w:r>
        <w:rPr>
          <w:rFonts w:cs="Times New Roman"/>
          <w:lang w:val="en-GB"/>
        </w:rPr>
        <w:t>general</w:t>
      </w:r>
      <w:proofErr w:type="gramEnd"/>
      <w:r>
        <w:rPr>
          <w:rFonts w:cs="Times New Roman"/>
          <w:lang w:val="en-GB"/>
        </w:rPr>
        <w:t xml:space="preserve"> practice, 22, 62</w:t>
      </w:r>
    </w:p>
    <w:p w14:paraId="50219C47" w14:textId="77777777" w:rsidR="006F421D" w:rsidRDefault="006F421D">
      <w:pPr>
        <w:pStyle w:val="2body-copy-before-bullet"/>
        <w:divId w:val="2142334130"/>
        <w:rPr>
          <w:rFonts w:cs="Times New Roman"/>
          <w:lang w:val="en-GB"/>
        </w:rPr>
      </w:pPr>
      <w:r>
        <w:rPr>
          <w:rStyle w:val="2body-italic0"/>
          <w:rFonts w:cs="Times New Roman"/>
          <w:lang w:val="en-GB"/>
        </w:rPr>
        <w:t>Get it right! Taking a Best Possible Medication History</w:t>
      </w:r>
      <w:r>
        <w:rPr>
          <w:rFonts w:cs="Times New Roman"/>
          <w:lang w:val="en-GB"/>
        </w:rPr>
        <w:t xml:space="preserve"> (video), 34</w:t>
      </w:r>
    </w:p>
    <w:p w14:paraId="34752AE8" w14:textId="77777777" w:rsidR="006F421D" w:rsidRDefault="006F421D">
      <w:pPr>
        <w:pStyle w:val="2body-copy-before-bullet"/>
        <w:divId w:val="2142334130"/>
        <w:rPr>
          <w:rFonts w:cs="Times New Roman"/>
          <w:lang w:val="en-GB"/>
        </w:rPr>
      </w:pPr>
      <w:proofErr w:type="gramStart"/>
      <w:r>
        <w:rPr>
          <w:rFonts w:cs="Times New Roman"/>
          <w:lang w:val="en-GB"/>
        </w:rPr>
        <w:t>glossary</w:t>
      </w:r>
      <w:proofErr w:type="gramEnd"/>
      <w:r>
        <w:rPr>
          <w:rFonts w:cs="Times New Roman"/>
          <w:lang w:val="en-GB"/>
        </w:rPr>
        <w:t>, 137–141</w:t>
      </w:r>
    </w:p>
    <w:p w14:paraId="0DFBDB54" w14:textId="77777777" w:rsidR="006F421D" w:rsidRDefault="006F421D">
      <w:pPr>
        <w:pStyle w:val="2body-copy-before-bullet"/>
        <w:divId w:val="2142334130"/>
        <w:rPr>
          <w:rFonts w:cs="Times New Roman"/>
          <w:lang w:val="en-GB"/>
        </w:rPr>
      </w:pPr>
      <w:proofErr w:type="gramStart"/>
      <w:r>
        <w:rPr>
          <w:rFonts w:cs="Times New Roman"/>
          <w:lang w:val="en-GB"/>
        </w:rPr>
        <w:t>governance</w:t>
      </w:r>
      <w:proofErr w:type="gramEnd"/>
      <w:r>
        <w:rPr>
          <w:rFonts w:cs="Times New Roman"/>
          <w:lang w:val="en-GB"/>
        </w:rPr>
        <w:t xml:space="preserve">, internal, </w:t>
      </w:r>
      <w:r>
        <w:rPr>
          <w:rStyle w:val="2body-medium"/>
          <w:rFonts w:cs="Times New Roman"/>
          <w:lang w:val="en-GB"/>
        </w:rPr>
        <w:t>73–74</w:t>
      </w:r>
    </w:p>
    <w:p w14:paraId="1219DF37" w14:textId="77777777" w:rsidR="006F421D" w:rsidRDefault="006F421D">
      <w:pPr>
        <w:pStyle w:val="2body-copy-before-bullet"/>
        <w:divId w:val="2142334130"/>
        <w:rPr>
          <w:rFonts w:cs="Times New Roman"/>
          <w:lang w:val="en-GB"/>
        </w:rPr>
      </w:pPr>
      <w:proofErr w:type="gramStart"/>
      <w:r>
        <w:rPr>
          <w:rFonts w:cs="Times New Roman"/>
          <w:lang w:val="en-GB"/>
        </w:rPr>
        <w:t>governance</w:t>
      </w:r>
      <w:proofErr w:type="gramEnd"/>
      <w:r>
        <w:rPr>
          <w:rFonts w:cs="Times New Roman"/>
          <w:lang w:val="en-GB"/>
        </w:rPr>
        <w:t xml:space="preserve"> statement, 64</w:t>
      </w:r>
    </w:p>
    <w:p w14:paraId="0594EF37" w14:textId="77777777" w:rsidR="006F421D" w:rsidRDefault="006F421D">
      <w:pPr>
        <w:pStyle w:val="2body-copy-before-bullet"/>
        <w:divId w:val="2142334130"/>
        <w:rPr>
          <w:rFonts w:cs="Times New Roman"/>
          <w:lang w:val="en-GB"/>
        </w:rPr>
      </w:pPr>
      <w:proofErr w:type="gramStart"/>
      <w:r>
        <w:rPr>
          <w:rFonts w:cs="Times New Roman"/>
          <w:lang w:val="en-GB"/>
        </w:rPr>
        <w:t>gram-negative</w:t>
      </w:r>
      <w:proofErr w:type="gramEnd"/>
      <w:r>
        <w:rPr>
          <w:rFonts w:cs="Times New Roman"/>
          <w:lang w:val="en-GB"/>
        </w:rPr>
        <w:t xml:space="preserve"> bacteria, 46</w:t>
      </w:r>
    </w:p>
    <w:p w14:paraId="3DA9C73B" w14:textId="77777777" w:rsidR="006F421D" w:rsidRDefault="006F421D">
      <w:pPr>
        <w:pStyle w:val="2body-copy-before-bullet"/>
        <w:divId w:val="2142334130"/>
        <w:rPr>
          <w:rFonts w:cs="Times New Roman"/>
          <w:lang w:val="en-GB"/>
        </w:rPr>
      </w:pPr>
      <w:proofErr w:type="spellStart"/>
      <w:r>
        <w:rPr>
          <w:rFonts w:cs="Times New Roman"/>
          <w:lang w:val="en-GB"/>
        </w:rPr>
        <w:t>Gray</w:t>
      </w:r>
      <w:proofErr w:type="spellEnd"/>
      <w:r>
        <w:rPr>
          <w:rFonts w:cs="Times New Roman"/>
          <w:lang w:val="en-GB"/>
        </w:rPr>
        <w:t>, Professor Sir Muir, 4, 55</w:t>
      </w:r>
    </w:p>
    <w:p w14:paraId="354CE964" w14:textId="77777777" w:rsidR="006F421D" w:rsidRDefault="006F421D">
      <w:pPr>
        <w:pStyle w:val="1heading-level-3"/>
        <w:divId w:val="2142334130"/>
        <w:rPr>
          <w:rFonts w:cs="Times New Roman"/>
          <w:lang w:val="en-GB"/>
        </w:rPr>
      </w:pPr>
      <w:r>
        <w:rPr>
          <w:rFonts w:cs="Times New Roman"/>
          <w:lang w:val="en-GB"/>
        </w:rPr>
        <w:t>H</w:t>
      </w:r>
    </w:p>
    <w:p w14:paraId="62A27BB1" w14:textId="77777777" w:rsidR="006F421D" w:rsidRDefault="006F421D">
      <w:pPr>
        <w:pStyle w:val="2body-copy-before-bullet"/>
        <w:divId w:val="2142334130"/>
        <w:rPr>
          <w:rFonts w:cs="Times New Roman"/>
          <w:lang w:val="en-GB"/>
        </w:rPr>
      </w:pPr>
      <w:proofErr w:type="spellStart"/>
      <w:r>
        <w:rPr>
          <w:rFonts w:cs="Times New Roman"/>
          <w:lang w:val="en-GB"/>
        </w:rPr>
        <w:t>Halton</w:t>
      </w:r>
      <w:proofErr w:type="spellEnd"/>
      <w:r>
        <w:rPr>
          <w:rFonts w:cs="Times New Roman"/>
          <w:lang w:val="en-GB"/>
        </w:rPr>
        <w:t>, Professor Jane, 67</w:t>
      </w:r>
    </w:p>
    <w:p w14:paraId="0E701164" w14:textId="77777777" w:rsidR="006F421D" w:rsidRDefault="006F421D">
      <w:pPr>
        <w:pStyle w:val="2body-copy-before-bullet"/>
        <w:divId w:val="2142334130"/>
        <w:rPr>
          <w:rFonts w:cs="Times New Roman"/>
          <w:lang w:val="en-GB"/>
        </w:rPr>
      </w:pPr>
      <w:r>
        <w:rPr>
          <w:rFonts w:cs="Times New Roman"/>
          <w:lang w:val="en-GB"/>
        </w:rPr>
        <w:t>Hand Hygiene Australia (HHA), 43</w:t>
      </w:r>
    </w:p>
    <w:p w14:paraId="7C57E5DE" w14:textId="77777777" w:rsidR="006F421D" w:rsidRDefault="006F421D">
      <w:pPr>
        <w:pStyle w:val="2body-copy-before-bullet"/>
        <w:divId w:val="2142334130"/>
        <w:rPr>
          <w:rFonts w:cs="Times New Roman"/>
          <w:lang w:val="en-GB"/>
        </w:rPr>
      </w:pPr>
      <w:proofErr w:type="gramStart"/>
      <w:r>
        <w:rPr>
          <w:rFonts w:cs="Times New Roman"/>
          <w:lang w:val="en-GB"/>
        </w:rPr>
        <w:t>hand</w:t>
      </w:r>
      <w:proofErr w:type="gramEnd"/>
      <w:r>
        <w:rPr>
          <w:rFonts w:cs="Times New Roman"/>
          <w:lang w:val="en-GB"/>
        </w:rPr>
        <w:t xml:space="preserve"> hygiene program, 21, 43–44</w:t>
      </w:r>
    </w:p>
    <w:p w14:paraId="531A6CDC" w14:textId="77777777" w:rsidR="006F421D" w:rsidRDefault="006F421D">
      <w:pPr>
        <w:pStyle w:val="2body-copy-before-bullet"/>
        <w:divId w:val="2142334130"/>
        <w:rPr>
          <w:rFonts w:cs="Times New Roman"/>
          <w:lang w:val="en-GB"/>
        </w:rPr>
      </w:pPr>
      <w:r>
        <w:rPr>
          <w:rStyle w:val="2body-italic0"/>
          <w:rFonts w:cs="Times New Roman"/>
          <w:lang w:val="en-GB"/>
        </w:rPr>
        <w:t>Handbook for improving safety and providing high quality care for people with cognitive impairment in acute car</w:t>
      </w:r>
      <w:r>
        <w:rPr>
          <w:rFonts w:cs="Times New Roman"/>
          <w:lang w:val="en-GB"/>
        </w:rPr>
        <w:t>e</w:t>
      </w:r>
      <w:proofErr w:type="gramStart"/>
      <w:r>
        <w:rPr>
          <w:rFonts w:cs="Times New Roman"/>
          <w:lang w:val="en-GB"/>
        </w:rPr>
        <w:t>,4</w:t>
      </w:r>
      <w:proofErr w:type="gramEnd"/>
      <w:r>
        <w:rPr>
          <w:rFonts w:cs="Times New Roman"/>
          <w:lang w:val="en-GB"/>
        </w:rPr>
        <w:t>, 25, 123</w:t>
      </w:r>
    </w:p>
    <w:p w14:paraId="37CF0D76" w14:textId="77777777" w:rsidR="006F421D" w:rsidRDefault="006F421D">
      <w:pPr>
        <w:pStyle w:val="2body-copy-before-bullet"/>
        <w:divId w:val="2142334130"/>
        <w:rPr>
          <w:rFonts w:cs="Times New Roman"/>
          <w:lang w:val="en-GB"/>
        </w:rPr>
      </w:pPr>
      <w:r>
        <w:rPr>
          <w:rFonts w:cs="Times New Roman"/>
          <w:lang w:val="en-GB"/>
        </w:rPr>
        <w:t>Health Informatics Conference, 127</w:t>
      </w:r>
    </w:p>
    <w:p w14:paraId="1D444408" w14:textId="77777777" w:rsidR="006F421D" w:rsidRDefault="006F421D">
      <w:pPr>
        <w:pStyle w:val="2body-copy-before-bullet"/>
        <w:divId w:val="2142334130"/>
        <w:rPr>
          <w:rFonts w:cs="Times New Roman"/>
          <w:lang w:val="en-GB"/>
        </w:rPr>
      </w:pPr>
      <w:proofErr w:type="gramStart"/>
      <w:r>
        <w:rPr>
          <w:rFonts w:cs="Times New Roman"/>
          <w:lang w:val="en-GB"/>
        </w:rPr>
        <w:t>health</w:t>
      </w:r>
      <w:proofErr w:type="gramEnd"/>
      <w:r>
        <w:rPr>
          <w:rFonts w:cs="Times New Roman"/>
          <w:lang w:val="en-GB"/>
        </w:rPr>
        <w:t xml:space="preserve"> literacy, </w:t>
      </w:r>
      <w:r>
        <w:rPr>
          <w:rStyle w:val="2body-medium"/>
          <w:rFonts w:cs="Times New Roman"/>
          <w:lang w:val="en-GB"/>
        </w:rPr>
        <w:t>29–30</w:t>
      </w:r>
      <w:r>
        <w:rPr>
          <w:rFonts w:cs="Times New Roman"/>
          <w:lang w:val="en-GB"/>
        </w:rPr>
        <w:t>, 35, 62, 121, 130</w:t>
      </w:r>
    </w:p>
    <w:p w14:paraId="5EF2AA6A" w14:textId="77777777" w:rsidR="006F421D" w:rsidRDefault="006F421D">
      <w:pPr>
        <w:pStyle w:val="2body-copy-before-bullet"/>
        <w:divId w:val="2142334130"/>
        <w:rPr>
          <w:rFonts w:cs="Times New Roman"/>
          <w:lang w:val="en-GB"/>
        </w:rPr>
      </w:pPr>
      <w:r>
        <w:rPr>
          <w:rStyle w:val="2body-italic0"/>
          <w:rFonts w:cs="Times New Roman"/>
          <w:lang w:val="en-GB"/>
        </w:rPr>
        <w:t>Health literacy: Taking action for safety and quality</w:t>
      </w:r>
      <w:r>
        <w:rPr>
          <w:rFonts w:cs="Times New Roman"/>
          <w:lang w:val="en-GB"/>
        </w:rPr>
        <w:t>, 30</w:t>
      </w:r>
    </w:p>
    <w:p w14:paraId="1E80979A" w14:textId="77777777" w:rsidR="006F421D" w:rsidRDefault="006F421D">
      <w:pPr>
        <w:pStyle w:val="2body-copy-before-bullet"/>
        <w:divId w:val="2142334130"/>
        <w:rPr>
          <w:rFonts w:cs="Times New Roman"/>
          <w:lang w:val="en-GB"/>
        </w:rPr>
      </w:pPr>
      <w:proofErr w:type="gramStart"/>
      <w:r>
        <w:rPr>
          <w:rFonts w:cs="Times New Roman"/>
          <w:lang w:val="en-GB"/>
        </w:rPr>
        <w:t>health</w:t>
      </w:r>
      <w:proofErr w:type="gramEnd"/>
      <w:r>
        <w:rPr>
          <w:rFonts w:cs="Times New Roman"/>
          <w:lang w:val="en-GB"/>
        </w:rPr>
        <w:t xml:space="preserve"> records, electronic, 56</w:t>
      </w:r>
    </w:p>
    <w:p w14:paraId="4644A26C" w14:textId="77777777" w:rsidR="006F421D" w:rsidRDefault="006F421D">
      <w:pPr>
        <w:pStyle w:val="2body-copy-before-bullet"/>
        <w:divId w:val="2142334130"/>
        <w:rPr>
          <w:rFonts w:cs="Times New Roman"/>
          <w:lang w:val="en-GB"/>
        </w:rPr>
      </w:pPr>
      <w:proofErr w:type="gramStart"/>
      <w:r>
        <w:rPr>
          <w:rFonts w:cs="Times New Roman"/>
          <w:lang w:val="en-GB"/>
        </w:rPr>
        <w:t>healthcare</w:t>
      </w:r>
      <w:proofErr w:type="gramEnd"/>
      <w:r>
        <w:rPr>
          <w:rFonts w:cs="Times New Roman"/>
          <w:lang w:val="en-GB"/>
        </w:rPr>
        <w:t xml:space="preserve"> associated infection, </w:t>
      </w:r>
      <w:r>
        <w:rPr>
          <w:rStyle w:val="2body-medium"/>
          <w:rFonts w:cs="Times New Roman"/>
          <w:lang w:val="en-GB"/>
        </w:rPr>
        <w:t>43–46</w:t>
      </w:r>
      <w:r>
        <w:rPr>
          <w:rFonts w:cs="Times New Roman"/>
          <w:lang w:val="en-GB"/>
        </w:rPr>
        <w:t>, 56, 60, 121</w:t>
      </w:r>
    </w:p>
    <w:p w14:paraId="5217DAE8" w14:textId="77777777" w:rsidR="006F421D" w:rsidRDefault="006F421D">
      <w:pPr>
        <w:pStyle w:val="2body-copy-before-bullet"/>
        <w:divId w:val="2142334130"/>
        <w:rPr>
          <w:rFonts w:cs="Times New Roman"/>
          <w:lang w:val="en-GB"/>
        </w:rPr>
      </w:pPr>
      <w:proofErr w:type="gramStart"/>
      <w:r>
        <w:rPr>
          <w:rFonts w:cs="Times New Roman"/>
          <w:lang w:val="en-GB"/>
        </w:rPr>
        <w:t>healthcare</w:t>
      </w:r>
      <w:proofErr w:type="gramEnd"/>
      <w:r>
        <w:rPr>
          <w:rFonts w:cs="Times New Roman"/>
          <w:lang w:val="en-GB"/>
        </w:rPr>
        <w:t xml:space="preserve"> variation see variation in clinical practice and healthcare</w:t>
      </w:r>
    </w:p>
    <w:p w14:paraId="7835CFAB" w14:textId="77777777" w:rsidR="006F421D" w:rsidRDefault="006F421D">
      <w:pPr>
        <w:pStyle w:val="2body-copy-before-bullet"/>
        <w:divId w:val="2142334130"/>
        <w:rPr>
          <w:rFonts w:cs="Times New Roman"/>
          <w:lang w:val="en-GB"/>
        </w:rPr>
      </w:pPr>
      <w:r>
        <w:rPr>
          <w:rFonts w:cs="Times New Roman"/>
          <w:lang w:val="en-GB"/>
        </w:rPr>
        <w:t>Herkes, Dr Robert, 7</w:t>
      </w:r>
    </w:p>
    <w:p w14:paraId="436CC7B6" w14:textId="77777777" w:rsidR="006F421D" w:rsidRDefault="006F421D">
      <w:pPr>
        <w:pStyle w:val="2body-copy-before-bullet"/>
        <w:divId w:val="2142334130"/>
        <w:rPr>
          <w:rFonts w:cs="Times New Roman"/>
          <w:lang w:val="en-GB"/>
        </w:rPr>
      </w:pPr>
      <w:r>
        <w:rPr>
          <w:rFonts w:cs="Times New Roman"/>
          <w:lang w:val="en-GB"/>
        </w:rPr>
        <w:t>High 5s Medication Reconciliation Project (WHO), 34</w:t>
      </w:r>
    </w:p>
    <w:p w14:paraId="3F365CDF" w14:textId="77777777" w:rsidR="006F421D" w:rsidRDefault="006F421D">
      <w:pPr>
        <w:pStyle w:val="2body-copy-before-bullet"/>
        <w:divId w:val="2142334130"/>
        <w:rPr>
          <w:rFonts w:cs="Times New Roman"/>
          <w:lang w:val="en-GB"/>
        </w:rPr>
      </w:pPr>
      <w:proofErr w:type="gramStart"/>
      <w:r>
        <w:rPr>
          <w:rFonts w:cs="Times New Roman"/>
          <w:lang w:val="en-GB"/>
        </w:rPr>
        <w:t>highlights</w:t>
      </w:r>
      <w:proofErr w:type="gramEnd"/>
      <w:r>
        <w:rPr>
          <w:rFonts w:cs="Times New Roman"/>
          <w:lang w:val="en-GB"/>
        </w:rPr>
        <w:t xml:space="preserve"> of 2013/14, </w:t>
      </w:r>
      <w:r>
        <w:rPr>
          <w:rStyle w:val="2body-medium"/>
          <w:rFonts w:cs="Times New Roman"/>
          <w:lang w:val="en-GB"/>
        </w:rPr>
        <w:t>4–7</w:t>
      </w:r>
    </w:p>
    <w:p w14:paraId="2395A2FE" w14:textId="77777777" w:rsidR="006F421D" w:rsidRDefault="006F421D">
      <w:pPr>
        <w:pStyle w:val="2body-copy-before-bullet"/>
        <w:divId w:val="2142334130"/>
        <w:rPr>
          <w:rFonts w:cs="Times New Roman"/>
          <w:lang w:val="en-GB"/>
        </w:rPr>
      </w:pPr>
      <w:r>
        <w:rPr>
          <w:rFonts w:cs="Times New Roman"/>
          <w:lang w:val="en-GB"/>
        </w:rPr>
        <w:t>Hospital Mortality Indicator Advisory Group (HMI Advisory Group), 48</w:t>
      </w:r>
    </w:p>
    <w:p w14:paraId="3E9AA4CB" w14:textId="77777777" w:rsidR="006F421D" w:rsidRDefault="006F421D">
      <w:pPr>
        <w:pStyle w:val="2body-copy-before-bullet"/>
        <w:divId w:val="2142334130"/>
        <w:rPr>
          <w:rFonts w:cs="Times New Roman"/>
          <w:lang w:val="en-GB"/>
        </w:rPr>
      </w:pPr>
      <w:proofErr w:type="gramStart"/>
      <w:r>
        <w:rPr>
          <w:rFonts w:cs="Times New Roman"/>
          <w:lang w:val="en-GB"/>
        </w:rPr>
        <w:t>hospitals</w:t>
      </w:r>
      <w:proofErr w:type="gramEnd"/>
    </w:p>
    <w:p w14:paraId="4DB0D444"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assessment</w:t>
      </w:r>
      <w:proofErr w:type="gramEnd"/>
      <w:r>
        <w:rPr>
          <w:rFonts w:cs="Times New Roman"/>
          <w:lang w:val="en-GB"/>
        </w:rPr>
        <w:t>, 4, 5, 7, 61</w:t>
      </w:r>
    </w:p>
    <w:p w14:paraId="13CC0A59"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cumulative</w:t>
      </w:r>
      <w:proofErr w:type="gramEnd"/>
      <w:r>
        <w:rPr>
          <w:rFonts w:cs="Times New Roman"/>
          <w:lang w:val="en-GB"/>
        </w:rPr>
        <w:t xml:space="preserve"> </w:t>
      </w:r>
      <w:proofErr w:type="spellStart"/>
      <w:r>
        <w:rPr>
          <w:rFonts w:cs="Times New Roman"/>
          <w:lang w:val="en-GB"/>
        </w:rPr>
        <w:t>antibiograms</w:t>
      </w:r>
      <w:proofErr w:type="spellEnd"/>
      <w:r>
        <w:rPr>
          <w:rFonts w:cs="Times New Roman"/>
          <w:lang w:val="en-GB"/>
        </w:rPr>
        <w:t xml:space="preserve">, </w:t>
      </w:r>
      <w:r>
        <w:rPr>
          <w:rStyle w:val="2body-medium"/>
          <w:rFonts w:cs="Times New Roman"/>
          <w:lang w:val="en-GB"/>
        </w:rPr>
        <w:t>47</w:t>
      </w:r>
    </w:p>
    <w:p w14:paraId="15B5C36A"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end-of-life</w:t>
      </w:r>
      <w:proofErr w:type="gramEnd"/>
      <w:r>
        <w:rPr>
          <w:rFonts w:cs="Times New Roman"/>
          <w:lang w:val="en-GB"/>
        </w:rPr>
        <w:t xml:space="preserve"> care, 28, 53</w:t>
      </w:r>
    </w:p>
    <w:p w14:paraId="79166D21"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hospital-acquired</w:t>
      </w:r>
      <w:proofErr w:type="gramEnd"/>
      <w:r>
        <w:rPr>
          <w:rFonts w:cs="Times New Roman"/>
          <w:lang w:val="en-GB"/>
        </w:rPr>
        <w:t xml:space="preserve"> infections, 43–44, 45</w:t>
      </w:r>
    </w:p>
    <w:p w14:paraId="6C6590F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maternal</w:t>
      </w:r>
      <w:proofErr w:type="gramEnd"/>
      <w:r>
        <w:rPr>
          <w:rFonts w:cs="Times New Roman"/>
          <w:lang w:val="en-GB"/>
        </w:rPr>
        <w:t xml:space="preserve"> sentinel events, </w:t>
      </w:r>
      <w:r>
        <w:rPr>
          <w:rStyle w:val="2body-medium"/>
          <w:rFonts w:cs="Times New Roman"/>
          <w:lang w:val="en-GB"/>
        </w:rPr>
        <w:t>50</w:t>
      </w:r>
    </w:p>
    <w:p w14:paraId="0F76FE8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mortality</w:t>
      </w:r>
      <w:proofErr w:type="gramEnd"/>
      <w:r>
        <w:rPr>
          <w:rFonts w:cs="Times New Roman"/>
          <w:lang w:val="en-GB"/>
        </w:rPr>
        <w:t xml:space="preserve"> indicators, </w:t>
      </w:r>
      <w:r>
        <w:rPr>
          <w:rStyle w:val="2body-medium"/>
          <w:rFonts w:cs="Times New Roman"/>
          <w:lang w:val="en-GB"/>
        </w:rPr>
        <w:t>48–49</w:t>
      </w:r>
    </w:p>
    <w:p w14:paraId="630EDD00"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multi-drug</w:t>
      </w:r>
      <w:proofErr w:type="gramEnd"/>
      <w:r>
        <w:rPr>
          <w:rFonts w:cs="Times New Roman"/>
          <w:lang w:val="en-GB"/>
        </w:rPr>
        <w:t xml:space="preserve"> resistant gram-negative guidance, 53</w:t>
      </w:r>
    </w:p>
    <w:p w14:paraId="4C413B0A"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patient</w:t>
      </w:r>
      <w:proofErr w:type="gramEnd"/>
      <w:r>
        <w:rPr>
          <w:rFonts w:cs="Times New Roman"/>
          <w:lang w:val="en-GB"/>
        </w:rPr>
        <w:t xml:space="preserve"> experience questions, </w:t>
      </w:r>
      <w:r>
        <w:rPr>
          <w:rStyle w:val="2body-medium"/>
          <w:rFonts w:cs="Times New Roman"/>
          <w:lang w:val="en-GB"/>
        </w:rPr>
        <w:t>49–50</w:t>
      </w:r>
    </w:p>
    <w:p w14:paraId="7D82DA00"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pricing</w:t>
      </w:r>
      <w:proofErr w:type="gramEnd"/>
      <w:r>
        <w:rPr>
          <w:rFonts w:cs="Times New Roman"/>
          <w:lang w:val="en-GB"/>
        </w:rPr>
        <w:t>, 56, 57</w:t>
      </w:r>
    </w:p>
    <w:p w14:paraId="1FF23D5E" w14:textId="77777777" w:rsidR="006F421D" w:rsidRDefault="006F421D" w:rsidP="006F421D">
      <w:pPr>
        <w:pStyle w:val="2body-copy-before-bullet"/>
        <w:ind w:left="567"/>
        <w:divId w:val="2142334130"/>
        <w:rPr>
          <w:rFonts w:cs="Times New Roman"/>
          <w:lang w:val="en-GB"/>
        </w:rPr>
      </w:pPr>
      <w:r>
        <w:rPr>
          <w:rStyle w:val="2body-italic0"/>
          <w:rFonts w:cs="Times New Roman"/>
          <w:lang w:val="en-GB"/>
        </w:rPr>
        <w:t>Staphylococcus aureus</w:t>
      </w:r>
      <w:r>
        <w:rPr>
          <w:rFonts w:cs="Times New Roman"/>
          <w:lang w:val="en-GB"/>
        </w:rPr>
        <w:t xml:space="preserve"> bacteraemia, 21, 60</w:t>
      </w:r>
    </w:p>
    <w:p w14:paraId="2B29134B" w14:textId="77777777" w:rsidR="006F421D" w:rsidRDefault="006F421D">
      <w:pPr>
        <w:pStyle w:val="2body-copy-before-bullet"/>
        <w:divId w:val="2142334130"/>
        <w:rPr>
          <w:rFonts w:cs="Times New Roman"/>
          <w:lang w:val="en-GB"/>
        </w:rPr>
      </w:pPr>
      <w:proofErr w:type="gramStart"/>
      <w:r>
        <w:rPr>
          <w:rFonts w:cs="Times New Roman"/>
          <w:lang w:val="en-GB"/>
        </w:rPr>
        <w:t>human</w:t>
      </w:r>
      <w:proofErr w:type="gramEnd"/>
      <w:r>
        <w:rPr>
          <w:rFonts w:cs="Times New Roman"/>
          <w:lang w:val="en-GB"/>
        </w:rPr>
        <w:t xml:space="preserve"> resources </w:t>
      </w:r>
      <w:r>
        <w:rPr>
          <w:rStyle w:val="2body-italic0"/>
          <w:rFonts w:cs="Times New Roman"/>
          <w:lang w:val="en-GB"/>
        </w:rPr>
        <w:t>see</w:t>
      </w:r>
      <w:r>
        <w:rPr>
          <w:rFonts w:cs="Times New Roman"/>
          <w:lang w:val="en-GB"/>
        </w:rPr>
        <w:t xml:space="preserve"> staff</w:t>
      </w:r>
    </w:p>
    <w:p w14:paraId="61D5FD69" w14:textId="77777777" w:rsidR="006F421D" w:rsidRDefault="006F421D">
      <w:pPr>
        <w:pStyle w:val="1heading-level-3"/>
        <w:divId w:val="2142334130"/>
        <w:rPr>
          <w:rFonts w:cs="Times New Roman"/>
          <w:lang w:val="en-GB"/>
        </w:rPr>
      </w:pPr>
      <w:r>
        <w:rPr>
          <w:rFonts w:cs="Times New Roman"/>
          <w:lang w:val="en-GB"/>
        </w:rPr>
        <w:lastRenderedPageBreak/>
        <w:t>I</w:t>
      </w:r>
    </w:p>
    <w:p w14:paraId="696784D3" w14:textId="77777777" w:rsidR="006F421D" w:rsidRDefault="006F421D">
      <w:pPr>
        <w:pStyle w:val="2body-copy-before-bullet"/>
        <w:divId w:val="2142334130"/>
        <w:rPr>
          <w:rFonts w:cs="Times New Roman"/>
          <w:lang w:val="en-GB"/>
        </w:rPr>
      </w:pPr>
      <w:proofErr w:type="gramStart"/>
      <w:r>
        <w:rPr>
          <w:rFonts w:cs="Times New Roman"/>
          <w:lang w:val="en-GB"/>
        </w:rPr>
        <w:t>implanted</w:t>
      </w:r>
      <w:proofErr w:type="gramEnd"/>
      <w:r>
        <w:rPr>
          <w:rFonts w:cs="Times New Roman"/>
          <w:lang w:val="en-GB"/>
        </w:rPr>
        <w:t xml:space="preserve"> medical devices, 37</w:t>
      </w:r>
    </w:p>
    <w:p w14:paraId="435F9122" w14:textId="77777777" w:rsidR="006F421D" w:rsidRDefault="006F421D">
      <w:pPr>
        <w:pStyle w:val="2body-copy-before-bullet"/>
        <w:divId w:val="2142334130"/>
        <w:rPr>
          <w:rFonts w:cs="Times New Roman"/>
          <w:lang w:val="en-GB"/>
        </w:rPr>
      </w:pPr>
      <w:proofErr w:type="gramStart"/>
      <w:r>
        <w:rPr>
          <w:rFonts w:cs="Times New Roman"/>
          <w:lang w:val="en-GB"/>
        </w:rPr>
        <w:t>income</w:t>
      </w:r>
      <w:proofErr w:type="gramEnd"/>
      <w:r>
        <w:rPr>
          <w:rFonts w:cs="Times New Roman"/>
          <w:lang w:val="en-GB"/>
        </w:rPr>
        <w:t xml:space="preserve">, </w:t>
      </w:r>
      <w:r>
        <w:rPr>
          <w:rStyle w:val="2body-medium"/>
          <w:rFonts w:cs="Times New Roman"/>
          <w:lang w:val="en-GB"/>
        </w:rPr>
        <w:t>87</w:t>
      </w:r>
      <w:r>
        <w:rPr>
          <w:rFonts w:cs="Times New Roman"/>
          <w:lang w:val="en-GB"/>
        </w:rPr>
        <w:t>, 103</w:t>
      </w:r>
    </w:p>
    <w:p w14:paraId="444F9034" w14:textId="77777777" w:rsidR="006F421D" w:rsidRDefault="006F421D">
      <w:pPr>
        <w:pStyle w:val="2body-copy-before-bullet"/>
        <w:divId w:val="2142334130"/>
        <w:rPr>
          <w:rFonts w:cs="Times New Roman"/>
          <w:lang w:val="en-GB"/>
        </w:rPr>
      </w:pPr>
      <w:proofErr w:type="gramStart"/>
      <w:r>
        <w:rPr>
          <w:rFonts w:cs="Times New Roman"/>
          <w:lang w:val="en-GB"/>
        </w:rPr>
        <w:t>indemnity</w:t>
      </w:r>
      <w:proofErr w:type="gramEnd"/>
      <w:r>
        <w:rPr>
          <w:rFonts w:cs="Times New Roman"/>
          <w:lang w:val="en-GB"/>
        </w:rPr>
        <w:t>, 70</w:t>
      </w:r>
    </w:p>
    <w:p w14:paraId="3B5C0657" w14:textId="77777777" w:rsidR="006F421D" w:rsidRDefault="006F421D">
      <w:pPr>
        <w:pStyle w:val="2body-copy-before-bullet"/>
        <w:divId w:val="2142334130"/>
        <w:rPr>
          <w:rFonts w:cs="Times New Roman"/>
          <w:lang w:val="en-GB"/>
        </w:rPr>
      </w:pPr>
      <w:r>
        <w:rPr>
          <w:rFonts w:cs="Times New Roman"/>
          <w:lang w:val="en-GB"/>
        </w:rPr>
        <w:t>Independent Hospital Pricing Authority (IHPA), 56, 57</w:t>
      </w:r>
    </w:p>
    <w:p w14:paraId="546BFD37" w14:textId="77777777" w:rsidR="006F421D" w:rsidRDefault="006F421D">
      <w:pPr>
        <w:pStyle w:val="2body-copy-before-bullet"/>
        <w:divId w:val="2142334130"/>
        <w:rPr>
          <w:rFonts w:cs="Times New Roman"/>
          <w:lang w:val="en-GB"/>
        </w:rPr>
      </w:pPr>
      <w:r>
        <w:rPr>
          <w:rStyle w:val="2body-italic0"/>
          <w:rFonts w:cs="Times New Roman"/>
          <w:lang w:val="en-GB"/>
        </w:rPr>
        <w:t>Indicators for Quality Use of Medicines in Australian Hospitals</w:t>
      </w:r>
      <w:r>
        <w:rPr>
          <w:rFonts w:cs="Times New Roman"/>
          <w:lang w:val="en-GB"/>
        </w:rPr>
        <w:t>, 36</w:t>
      </w:r>
    </w:p>
    <w:p w14:paraId="4DDDF701" w14:textId="77777777" w:rsidR="006F421D" w:rsidRDefault="006F421D">
      <w:pPr>
        <w:pStyle w:val="2body-copy-before-bullet"/>
        <w:divId w:val="2142334130"/>
        <w:rPr>
          <w:rFonts w:cs="Times New Roman"/>
          <w:lang w:val="en-GB"/>
        </w:rPr>
      </w:pPr>
      <w:proofErr w:type="gramStart"/>
      <w:r>
        <w:rPr>
          <w:rFonts w:cs="Times New Roman"/>
          <w:lang w:val="en-GB"/>
        </w:rPr>
        <w:t>induction</w:t>
      </w:r>
      <w:proofErr w:type="gramEnd"/>
      <w:r>
        <w:rPr>
          <w:rFonts w:cs="Times New Roman"/>
          <w:lang w:val="en-GB"/>
        </w:rPr>
        <w:t xml:space="preserve"> program</w:t>
      </w:r>
    </w:p>
    <w:p w14:paraId="5759BAE7" w14:textId="77777777" w:rsidR="006F421D" w:rsidRDefault="006F421D" w:rsidP="006F421D">
      <w:pPr>
        <w:pStyle w:val="2body-copy-before-bullet"/>
        <w:ind w:left="567"/>
        <w:divId w:val="2142334130"/>
        <w:rPr>
          <w:rFonts w:cs="Times New Roman"/>
          <w:lang w:val="en-GB"/>
        </w:rPr>
      </w:pPr>
      <w:r>
        <w:rPr>
          <w:rFonts w:cs="Times New Roman"/>
          <w:lang w:val="en-GB"/>
        </w:rPr>
        <w:t>Board, 70</w:t>
      </w:r>
    </w:p>
    <w:p w14:paraId="28640C1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staff</w:t>
      </w:r>
      <w:proofErr w:type="gramEnd"/>
      <w:r>
        <w:rPr>
          <w:rFonts w:cs="Times New Roman"/>
          <w:lang w:val="en-GB"/>
        </w:rPr>
        <w:t>, 80</w:t>
      </w:r>
    </w:p>
    <w:p w14:paraId="21304524" w14:textId="77777777" w:rsidR="006F421D" w:rsidRDefault="006F421D">
      <w:pPr>
        <w:pStyle w:val="2body-copy-before-bullet"/>
        <w:divId w:val="2142334130"/>
        <w:rPr>
          <w:rFonts w:cs="Times New Roman"/>
          <w:lang w:val="en-GB"/>
        </w:rPr>
      </w:pPr>
      <w:proofErr w:type="gramStart"/>
      <w:r>
        <w:rPr>
          <w:rFonts w:cs="Times New Roman"/>
          <w:lang w:val="en-GB"/>
        </w:rPr>
        <w:t>infection</w:t>
      </w:r>
      <w:proofErr w:type="gramEnd"/>
      <w:r>
        <w:rPr>
          <w:rFonts w:cs="Times New Roman"/>
          <w:lang w:val="en-GB"/>
        </w:rPr>
        <w:t xml:space="preserve"> prevention program, </w:t>
      </w:r>
      <w:r>
        <w:rPr>
          <w:rStyle w:val="2body-medium"/>
          <w:rFonts w:cs="Times New Roman"/>
          <w:lang w:val="en-GB"/>
        </w:rPr>
        <w:t>43–46</w:t>
      </w:r>
      <w:r>
        <w:rPr>
          <w:rFonts w:cs="Times New Roman"/>
          <w:lang w:val="en-GB"/>
        </w:rPr>
        <w:t>, 56, 60, 121</w:t>
      </w:r>
    </w:p>
    <w:p w14:paraId="53D942CE" w14:textId="77777777" w:rsidR="006F421D" w:rsidRDefault="006F421D">
      <w:pPr>
        <w:pStyle w:val="2body-copy-before-bullet"/>
        <w:divId w:val="2142334130"/>
        <w:rPr>
          <w:rFonts w:cs="Times New Roman"/>
          <w:lang w:val="en-GB"/>
        </w:rPr>
      </w:pPr>
      <w:r>
        <w:rPr>
          <w:rFonts w:cs="Times New Roman"/>
          <w:lang w:val="en-GB"/>
        </w:rPr>
        <w:t>Information Publication Scheme (IPS), 74</w:t>
      </w:r>
    </w:p>
    <w:p w14:paraId="50E4B2AD" w14:textId="77777777" w:rsidR="006F421D" w:rsidRDefault="006F421D">
      <w:pPr>
        <w:pStyle w:val="2body-copy-before-bullet"/>
        <w:divId w:val="2142334130"/>
        <w:rPr>
          <w:rFonts w:cs="Times New Roman"/>
          <w:lang w:val="en-GB"/>
        </w:rPr>
      </w:pPr>
      <w:proofErr w:type="gramStart"/>
      <w:r>
        <w:rPr>
          <w:rFonts w:cs="Times New Roman"/>
          <w:lang w:val="en-GB"/>
        </w:rPr>
        <w:t>information</w:t>
      </w:r>
      <w:proofErr w:type="gramEnd"/>
      <w:r>
        <w:rPr>
          <w:rFonts w:cs="Times New Roman"/>
          <w:lang w:val="en-GB"/>
        </w:rPr>
        <w:t xml:space="preserve"> strategy, 121, 130, 131, 132</w:t>
      </w:r>
    </w:p>
    <w:p w14:paraId="70A76884" w14:textId="77777777" w:rsidR="006F421D" w:rsidRDefault="006F421D">
      <w:pPr>
        <w:pStyle w:val="2body-copy-before-bullet"/>
        <w:divId w:val="2142334130"/>
        <w:rPr>
          <w:rFonts w:cs="Times New Roman"/>
          <w:lang w:val="en-GB"/>
        </w:rPr>
      </w:pPr>
      <w:proofErr w:type="gramStart"/>
      <w:r>
        <w:rPr>
          <w:rFonts w:cs="Times New Roman"/>
          <w:lang w:val="en-GB"/>
        </w:rPr>
        <w:t>injectable</w:t>
      </w:r>
      <w:proofErr w:type="gramEnd"/>
      <w:r>
        <w:rPr>
          <w:rFonts w:cs="Times New Roman"/>
          <w:lang w:val="en-GB"/>
        </w:rPr>
        <w:t xml:space="preserve"> medicines labelling, 34</w:t>
      </w:r>
    </w:p>
    <w:p w14:paraId="61618FB4" w14:textId="77777777" w:rsidR="006F421D" w:rsidRDefault="006F421D">
      <w:pPr>
        <w:pStyle w:val="2body-copy-before-bullet"/>
        <w:divId w:val="2142334130"/>
        <w:rPr>
          <w:rFonts w:cs="Times New Roman"/>
          <w:lang w:val="en-GB"/>
        </w:rPr>
      </w:pPr>
      <w:proofErr w:type="gramStart"/>
      <w:r>
        <w:rPr>
          <w:rFonts w:cs="Times New Roman"/>
          <w:lang w:val="en-GB"/>
        </w:rPr>
        <w:t>insulin</w:t>
      </w:r>
      <w:proofErr w:type="gramEnd"/>
      <w:r>
        <w:rPr>
          <w:rFonts w:cs="Times New Roman"/>
          <w:lang w:val="en-GB"/>
        </w:rPr>
        <w:t>, 33</w:t>
      </w:r>
    </w:p>
    <w:p w14:paraId="76D2E10D" w14:textId="77777777" w:rsidR="006F421D" w:rsidRDefault="006F421D">
      <w:pPr>
        <w:pStyle w:val="2body-copy-before-bullet"/>
        <w:divId w:val="2142334130"/>
        <w:rPr>
          <w:rFonts w:cs="Times New Roman"/>
          <w:lang w:val="en-GB"/>
        </w:rPr>
      </w:pPr>
      <w:proofErr w:type="gramStart"/>
      <w:r>
        <w:rPr>
          <w:rFonts w:cs="Times New Roman"/>
          <w:lang w:val="en-GB"/>
        </w:rPr>
        <w:t>insurance</w:t>
      </w:r>
      <w:proofErr w:type="gramEnd"/>
      <w:r>
        <w:rPr>
          <w:rFonts w:cs="Times New Roman"/>
          <w:lang w:val="en-GB"/>
        </w:rPr>
        <w:t xml:space="preserve">, </w:t>
      </w:r>
      <w:r>
        <w:rPr>
          <w:rStyle w:val="2body-medium"/>
          <w:rFonts w:cs="Times New Roman"/>
          <w:lang w:val="en-GB"/>
        </w:rPr>
        <w:t>70</w:t>
      </w:r>
    </w:p>
    <w:p w14:paraId="1310A8CF" w14:textId="77777777" w:rsidR="006F421D" w:rsidRDefault="006F421D">
      <w:pPr>
        <w:pStyle w:val="2body-copy-before-bullet"/>
        <w:divId w:val="2142334130"/>
        <w:rPr>
          <w:rFonts w:cs="Times New Roman"/>
          <w:lang w:val="en-GB"/>
        </w:rPr>
      </w:pPr>
      <w:r>
        <w:rPr>
          <w:rFonts w:cs="Times New Roman"/>
          <w:lang w:val="en-GB"/>
        </w:rPr>
        <w:t xml:space="preserve">Inter-Jurisdictional Committee (IJC), </w:t>
      </w:r>
      <w:r>
        <w:rPr>
          <w:rStyle w:val="2body-medium"/>
          <w:rFonts w:cs="Times New Roman"/>
          <w:lang w:val="en-GB"/>
        </w:rPr>
        <w:t>72</w:t>
      </w:r>
    </w:p>
    <w:p w14:paraId="0128D50F" w14:textId="77777777" w:rsidR="006F421D" w:rsidRDefault="006F421D">
      <w:pPr>
        <w:pStyle w:val="2body-copy-before-bullet"/>
        <w:divId w:val="2142334130"/>
        <w:rPr>
          <w:rFonts w:cs="Times New Roman"/>
          <w:lang w:val="en-GB"/>
        </w:rPr>
      </w:pPr>
      <w:proofErr w:type="gramStart"/>
      <w:r>
        <w:rPr>
          <w:rFonts w:cs="Times New Roman"/>
          <w:lang w:val="en-GB"/>
        </w:rPr>
        <w:t>internal</w:t>
      </w:r>
      <w:proofErr w:type="gramEnd"/>
      <w:r>
        <w:rPr>
          <w:rFonts w:cs="Times New Roman"/>
          <w:lang w:val="en-GB"/>
        </w:rPr>
        <w:t xml:space="preserve"> audit, </w:t>
      </w:r>
      <w:r>
        <w:rPr>
          <w:rStyle w:val="2body-medium"/>
          <w:rFonts w:cs="Times New Roman"/>
          <w:lang w:val="en-GB"/>
        </w:rPr>
        <w:t>73–74</w:t>
      </w:r>
    </w:p>
    <w:p w14:paraId="16825B59" w14:textId="77777777" w:rsidR="006F421D" w:rsidRDefault="006F421D">
      <w:pPr>
        <w:pStyle w:val="2body-copy-before-bullet"/>
        <w:divId w:val="2142334130"/>
        <w:rPr>
          <w:rFonts w:cs="Times New Roman"/>
          <w:lang w:val="en-GB"/>
        </w:rPr>
      </w:pPr>
      <w:proofErr w:type="gramStart"/>
      <w:r>
        <w:rPr>
          <w:rFonts w:cs="Times New Roman"/>
          <w:lang w:val="en-GB"/>
        </w:rPr>
        <w:t>internal</w:t>
      </w:r>
      <w:proofErr w:type="gramEnd"/>
      <w:r>
        <w:rPr>
          <w:rFonts w:cs="Times New Roman"/>
          <w:lang w:val="en-GB"/>
        </w:rPr>
        <w:t xml:space="preserve"> governance, </w:t>
      </w:r>
      <w:r>
        <w:rPr>
          <w:rStyle w:val="2body-medium"/>
          <w:rFonts w:cs="Times New Roman"/>
          <w:lang w:val="en-GB"/>
        </w:rPr>
        <w:t>73–74</w:t>
      </w:r>
    </w:p>
    <w:p w14:paraId="21F70FF8" w14:textId="77777777" w:rsidR="006F421D" w:rsidRDefault="006F421D">
      <w:pPr>
        <w:pStyle w:val="2body-copy"/>
        <w:divId w:val="2142334130"/>
        <w:rPr>
          <w:rFonts w:cs="Times New Roman"/>
          <w:lang w:val="en-GB"/>
        </w:rPr>
      </w:pPr>
      <w:r>
        <w:rPr>
          <w:rFonts w:cs="Times New Roman"/>
          <w:lang w:val="en-GB"/>
        </w:rPr>
        <w:t>International Conference on Safety Quality Audit and Outcomes, 127</w:t>
      </w:r>
    </w:p>
    <w:p w14:paraId="1E2C69A3" w14:textId="77777777" w:rsidR="006F421D" w:rsidRDefault="006F421D">
      <w:pPr>
        <w:pStyle w:val="1heading-level-3"/>
        <w:divId w:val="2142334130"/>
        <w:rPr>
          <w:rFonts w:cs="Times New Roman"/>
          <w:lang w:val="en-GB"/>
        </w:rPr>
      </w:pPr>
      <w:r>
        <w:rPr>
          <w:rFonts w:cs="Times New Roman"/>
          <w:lang w:val="en-GB"/>
        </w:rPr>
        <w:t>J</w:t>
      </w:r>
    </w:p>
    <w:p w14:paraId="28DD4774" w14:textId="77777777" w:rsidR="006F421D" w:rsidRDefault="006F421D">
      <w:pPr>
        <w:pStyle w:val="2body-copy"/>
        <w:divId w:val="2142334130"/>
        <w:rPr>
          <w:rFonts w:cs="Times New Roman"/>
          <w:lang w:val="en-GB"/>
        </w:rPr>
      </w:pPr>
      <w:proofErr w:type="gramStart"/>
      <w:r>
        <w:rPr>
          <w:rFonts w:cs="Times New Roman"/>
          <w:lang w:val="en-GB"/>
        </w:rPr>
        <w:t>judicial</w:t>
      </w:r>
      <w:proofErr w:type="gramEnd"/>
      <w:r>
        <w:rPr>
          <w:rFonts w:cs="Times New Roman"/>
          <w:lang w:val="en-GB"/>
        </w:rPr>
        <w:t xml:space="preserve"> decisions, </w:t>
      </w:r>
      <w:r>
        <w:rPr>
          <w:rStyle w:val="2body-medium"/>
          <w:rFonts w:cs="Times New Roman"/>
          <w:lang w:val="en-GB"/>
        </w:rPr>
        <w:t>74</w:t>
      </w:r>
    </w:p>
    <w:p w14:paraId="4C0AF5EF" w14:textId="77777777" w:rsidR="006F421D" w:rsidRDefault="006F421D">
      <w:pPr>
        <w:pStyle w:val="1heading-level-3"/>
        <w:divId w:val="2142334130"/>
        <w:rPr>
          <w:rFonts w:cs="Times New Roman"/>
          <w:lang w:val="en-GB"/>
        </w:rPr>
      </w:pPr>
      <w:r>
        <w:rPr>
          <w:rFonts w:cs="Times New Roman"/>
          <w:lang w:val="en-GB"/>
        </w:rPr>
        <w:t>L</w:t>
      </w:r>
    </w:p>
    <w:p w14:paraId="5B89AA47" w14:textId="77777777" w:rsidR="006F421D" w:rsidRDefault="006F421D">
      <w:pPr>
        <w:pStyle w:val="2body-copy-before-bullet"/>
        <w:divId w:val="2142334130"/>
        <w:rPr>
          <w:rFonts w:cs="Times New Roman"/>
          <w:lang w:val="en-GB"/>
        </w:rPr>
      </w:pPr>
      <w:r>
        <w:rPr>
          <w:rFonts w:cs="Times New Roman"/>
          <w:lang w:val="en-GB"/>
        </w:rPr>
        <w:t>Larkin, Dr Shaun, 67–68</w:t>
      </w:r>
    </w:p>
    <w:p w14:paraId="4B563CDC" w14:textId="77777777" w:rsidR="006F421D" w:rsidRDefault="006F421D">
      <w:pPr>
        <w:pStyle w:val="2body-copy-before-bullet"/>
        <w:divId w:val="2142334130"/>
        <w:rPr>
          <w:rFonts w:cs="Times New Roman"/>
          <w:lang w:val="en-GB"/>
        </w:rPr>
      </w:pPr>
      <w:r>
        <w:rPr>
          <w:rFonts w:cs="Times New Roman"/>
          <w:lang w:val="en-GB"/>
        </w:rPr>
        <w:t>Learning and Development Strategy, 80, 82</w:t>
      </w:r>
    </w:p>
    <w:p w14:paraId="4669A04F" w14:textId="77777777" w:rsidR="006F421D" w:rsidRDefault="006F421D">
      <w:pPr>
        <w:pStyle w:val="2body-copy-before-bullet"/>
        <w:divId w:val="2142334130"/>
        <w:rPr>
          <w:rFonts w:cs="Times New Roman"/>
          <w:lang w:val="en-GB"/>
        </w:rPr>
      </w:pPr>
      <w:proofErr w:type="spellStart"/>
      <w:r>
        <w:rPr>
          <w:rFonts w:cs="Times New Roman"/>
          <w:lang w:val="en-GB"/>
        </w:rPr>
        <w:t>Légaré</w:t>
      </w:r>
      <w:proofErr w:type="spellEnd"/>
      <w:r>
        <w:rPr>
          <w:rFonts w:cs="Times New Roman"/>
          <w:lang w:val="en-GB"/>
        </w:rPr>
        <w:t>, Professor France, 5, 55</w:t>
      </w:r>
    </w:p>
    <w:p w14:paraId="5D37CF1D" w14:textId="77777777" w:rsidR="006F421D" w:rsidRDefault="006F421D">
      <w:pPr>
        <w:pStyle w:val="2body-copy-before-bullet"/>
        <w:divId w:val="2142334130"/>
        <w:rPr>
          <w:rFonts w:cs="Times New Roman"/>
          <w:lang w:val="en-GB"/>
        </w:rPr>
      </w:pPr>
      <w:proofErr w:type="gramStart"/>
      <w:r>
        <w:rPr>
          <w:rFonts w:cs="Times New Roman"/>
          <w:lang w:val="en-GB"/>
        </w:rPr>
        <w:t>legislation</w:t>
      </w:r>
      <w:proofErr w:type="gramEnd"/>
      <w:r>
        <w:rPr>
          <w:rFonts w:cs="Times New Roman"/>
          <w:lang w:val="en-GB"/>
        </w:rPr>
        <w:t xml:space="preserve">, </w:t>
      </w:r>
      <w:r>
        <w:rPr>
          <w:rStyle w:val="2body-medium"/>
          <w:rFonts w:cs="Times New Roman"/>
          <w:lang w:val="en-GB"/>
        </w:rPr>
        <w:t>64</w:t>
      </w:r>
    </w:p>
    <w:p w14:paraId="41117243" w14:textId="77777777" w:rsidR="006F421D" w:rsidRDefault="006F421D" w:rsidP="006F421D">
      <w:pPr>
        <w:pStyle w:val="2body-copy-before-bullet"/>
        <w:ind w:left="567"/>
        <w:divId w:val="2142334130"/>
        <w:rPr>
          <w:rFonts w:cs="Times New Roman"/>
          <w:lang w:val="en-GB"/>
        </w:rPr>
      </w:pPr>
      <w:r>
        <w:rPr>
          <w:rFonts w:cs="Times New Roman"/>
          <w:lang w:val="en-GB"/>
        </w:rPr>
        <w:t>CAC Act, 2, 64</w:t>
      </w:r>
    </w:p>
    <w:p w14:paraId="55594F4D" w14:textId="77777777" w:rsidR="006F421D" w:rsidRDefault="006F421D" w:rsidP="006F421D">
      <w:pPr>
        <w:pStyle w:val="2body-copy-before-bullet"/>
        <w:ind w:left="567"/>
        <w:divId w:val="2142334130"/>
        <w:rPr>
          <w:rFonts w:cs="Times New Roman"/>
          <w:lang w:val="en-GB"/>
        </w:rPr>
      </w:pPr>
      <w:r>
        <w:rPr>
          <w:rFonts w:cs="Times New Roman"/>
          <w:lang w:val="en-GB"/>
        </w:rPr>
        <w:t>EPBC Act, 75</w:t>
      </w:r>
    </w:p>
    <w:p w14:paraId="5E442A71" w14:textId="77777777" w:rsidR="006F421D" w:rsidRDefault="006F421D" w:rsidP="006F421D">
      <w:pPr>
        <w:pStyle w:val="2body-copy-before-bullet"/>
        <w:ind w:left="567"/>
        <w:divId w:val="2142334130"/>
        <w:rPr>
          <w:rFonts w:cs="Times New Roman"/>
          <w:lang w:val="en-GB"/>
        </w:rPr>
      </w:pPr>
      <w:r>
        <w:rPr>
          <w:rFonts w:cs="Times New Roman"/>
          <w:lang w:val="en-GB"/>
        </w:rPr>
        <w:t>FOI, 74</w:t>
      </w:r>
    </w:p>
    <w:p w14:paraId="781D1959" w14:textId="77777777" w:rsidR="006F421D" w:rsidRDefault="006F421D" w:rsidP="006F421D">
      <w:pPr>
        <w:pStyle w:val="2body-copy-before-bullet"/>
        <w:ind w:left="567"/>
        <w:divId w:val="2142334130"/>
        <w:rPr>
          <w:rFonts w:cs="Times New Roman"/>
          <w:lang w:val="en-GB"/>
        </w:rPr>
      </w:pPr>
      <w:r>
        <w:rPr>
          <w:rStyle w:val="2body-italic0"/>
          <w:rFonts w:cs="Times New Roman"/>
          <w:lang w:val="en-GB"/>
        </w:rPr>
        <w:t>National Health and Hospitals Network Act 2011</w:t>
      </w:r>
      <w:r>
        <w:rPr>
          <w:rFonts w:cs="Times New Roman"/>
          <w:lang w:val="en-GB"/>
        </w:rPr>
        <w:t>, 2</w:t>
      </w:r>
    </w:p>
    <w:p w14:paraId="0F62658B" w14:textId="77777777" w:rsidR="006F421D" w:rsidRDefault="006F421D" w:rsidP="006F421D">
      <w:pPr>
        <w:pStyle w:val="2body-copy-before-bullet"/>
        <w:ind w:left="567"/>
        <w:divId w:val="2142334130"/>
        <w:rPr>
          <w:rFonts w:cs="Times New Roman"/>
          <w:lang w:val="en-GB"/>
        </w:rPr>
      </w:pPr>
      <w:r>
        <w:rPr>
          <w:rFonts w:cs="Times New Roman"/>
          <w:lang w:val="en-GB"/>
        </w:rPr>
        <w:t>NHR Act, 2, 16, 48, 64, 75</w:t>
      </w:r>
    </w:p>
    <w:p w14:paraId="4CDE42DD" w14:textId="77777777" w:rsidR="006F421D" w:rsidRDefault="006F421D" w:rsidP="006F421D">
      <w:pPr>
        <w:pStyle w:val="2body-copy-before-bullet"/>
        <w:ind w:left="567"/>
        <w:divId w:val="2142334130"/>
        <w:rPr>
          <w:rFonts w:cs="Times New Roman"/>
          <w:lang w:val="en-GB"/>
        </w:rPr>
      </w:pPr>
      <w:r>
        <w:rPr>
          <w:rFonts w:cs="Times New Roman"/>
          <w:lang w:val="en-GB"/>
        </w:rPr>
        <w:t>SRC Act, 82</w:t>
      </w:r>
    </w:p>
    <w:p w14:paraId="05B7E910" w14:textId="77777777" w:rsidR="006F421D" w:rsidRDefault="006F421D" w:rsidP="006F421D">
      <w:pPr>
        <w:pStyle w:val="2body-copy-before-bullet"/>
        <w:ind w:left="567"/>
        <w:divId w:val="2142334130"/>
        <w:rPr>
          <w:rFonts w:cs="Times New Roman"/>
          <w:lang w:val="en-GB"/>
        </w:rPr>
      </w:pPr>
      <w:r>
        <w:rPr>
          <w:rFonts w:cs="Times New Roman"/>
          <w:lang w:val="en-GB"/>
        </w:rPr>
        <w:t>WHS Act, 82</w:t>
      </w:r>
    </w:p>
    <w:p w14:paraId="7B74B6F1" w14:textId="77777777" w:rsidR="006F421D" w:rsidRDefault="006F421D">
      <w:pPr>
        <w:pStyle w:val="2body-copy-before-bullet"/>
        <w:divId w:val="2142334130"/>
        <w:rPr>
          <w:rFonts w:cs="Times New Roman"/>
          <w:lang w:val="en-GB"/>
        </w:rPr>
      </w:pPr>
      <w:proofErr w:type="gramStart"/>
      <w:r>
        <w:rPr>
          <w:rFonts w:cs="Times New Roman"/>
          <w:lang w:val="en-GB"/>
        </w:rPr>
        <w:t>letter</w:t>
      </w:r>
      <w:proofErr w:type="gramEnd"/>
      <w:r>
        <w:rPr>
          <w:rFonts w:cs="Times New Roman"/>
          <w:lang w:val="en-GB"/>
        </w:rPr>
        <w:t xml:space="preserve"> of transmittal, </w:t>
      </w:r>
      <w:proofErr w:type="spellStart"/>
      <w:r>
        <w:rPr>
          <w:rFonts w:cs="Times New Roman"/>
          <w:lang w:val="en-GB"/>
        </w:rPr>
        <w:t>i</w:t>
      </w:r>
      <w:proofErr w:type="spellEnd"/>
    </w:p>
    <w:p w14:paraId="479B3B3A" w14:textId="77777777" w:rsidR="006F421D" w:rsidRDefault="006F421D">
      <w:pPr>
        <w:pStyle w:val="2body-copy-before-bullet"/>
        <w:divId w:val="2142334130"/>
        <w:rPr>
          <w:rFonts w:cs="Times New Roman"/>
          <w:lang w:val="en-GB"/>
        </w:rPr>
      </w:pPr>
      <w:proofErr w:type="gramStart"/>
      <w:r>
        <w:rPr>
          <w:rFonts w:cs="Times New Roman"/>
          <w:lang w:val="en-GB"/>
        </w:rPr>
        <w:t>liabilities</w:t>
      </w:r>
      <w:proofErr w:type="gramEnd"/>
      <w:r>
        <w:rPr>
          <w:rFonts w:cs="Times New Roman"/>
          <w:lang w:val="en-GB"/>
        </w:rPr>
        <w:t>, 98</w:t>
      </w:r>
    </w:p>
    <w:p w14:paraId="293C0DB1" w14:textId="77777777" w:rsidR="006F421D" w:rsidRDefault="006F421D">
      <w:pPr>
        <w:pStyle w:val="2body-copy-before-bullet"/>
        <w:divId w:val="2142334130"/>
        <w:rPr>
          <w:rFonts w:cs="Times New Roman"/>
          <w:lang w:val="en-GB"/>
        </w:rPr>
      </w:pPr>
      <w:proofErr w:type="gramStart"/>
      <w:r>
        <w:rPr>
          <w:rFonts w:cs="Times New Roman"/>
          <w:lang w:val="en-GB"/>
        </w:rPr>
        <w:t>liability</w:t>
      </w:r>
      <w:proofErr w:type="gramEnd"/>
      <w:r>
        <w:rPr>
          <w:rFonts w:cs="Times New Roman"/>
          <w:lang w:val="en-GB"/>
        </w:rPr>
        <w:t xml:space="preserve"> insurance, 70</w:t>
      </w:r>
    </w:p>
    <w:p w14:paraId="7FE60F2C" w14:textId="77777777" w:rsidR="006F421D" w:rsidRDefault="006F421D">
      <w:pPr>
        <w:pStyle w:val="1heading-level-3"/>
        <w:divId w:val="2142334130"/>
        <w:rPr>
          <w:rFonts w:cs="Times New Roman"/>
          <w:lang w:val="en-GB"/>
        </w:rPr>
      </w:pPr>
      <w:r>
        <w:rPr>
          <w:rFonts w:cs="Times New Roman"/>
          <w:lang w:val="en-GB"/>
        </w:rPr>
        <w:t>M</w:t>
      </w:r>
    </w:p>
    <w:p w14:paraId="37E0FCF3" w14:textId="77777777" w:rsidR="006F421D" w:rsidRDefault="006F421D">
      <w:pPr>
        <w:pStyle w:val="2body-copy-before-bullet"/>
        <w:divId w:val="2142334130"/>
        <w:rPr>
          <w:rFonts w:cs="Times New Roman"/>
          <w:lang w:val="en-GB"/>
        </w:rPr>
      </w:pPr>
      <w:proofErr w:type="gramStart"/>
      <w:r>
        <w:rPr>
          <w:rFonts w:cs="Times New Roman"/>
          <w:lang w:val="en-GB"/>
        </w:rPr>
        <w:t>management</w:t>
      </w:r>
      <w:proofErr w:type="gramEnd"/>
      <w:r>
        <w:rPr>
          <w:rFonts w:cs="Times New Roman"/>
          <w:lang w:val="en-GB"/>
        </w:rPr>
        <w:t xml:space="preserve">, </w:t>
      </w:r>
      <w:r>
        <w:rPr>
          <w:rStyle w:val="2body-medium"/>
          <w:rFonts w:cs="Times New Roman"/>
          <w:lang w:val="en-GB"/>
        </w:rPr>
        <w:t>73–74</w:t>
      </w:r>
    </w:p>
    <w:p w14:paraId="4D54DAC1" w14:textId="77777777" w:rsidR="006F421D" w:rsidRDefault="006F421D">
      <w:pPr>
        <w:pStyle w:val="2body-copy-before-bullet"/>
        <w:divId w:val="2142334130"/>
        <w:rPr>
          <w:rFonts w:cs="Times New Roman"/>
          <w:lang w:val="en-GB"/>
        </w:rPr>
      </w:pPr>
      <w:r>
        <w:rPr>
          <w:rFonts w:cs="Times New Roman"/>
          <w:lang w:val="en-GB"/>
        </w:rPr>
        <w:t xml:space="preserve">Marshall, Professor </w:t>
      </w:r>
      <w:proofErr w:type="spellStart"/>
      <w:r>
        <w:rPr>
          <w:rFonts w:cs="Times New Roman"/>
          <w:lang w:val="en-GB"/>
        </w:rPr>
        <w:t>Villis</w:t>
      </w:r>
      <w:proofErr w:type="spellEnd"/>
      <w:r>
        <w:rPr>
          <w:rFonts w:cs="Times New Roman"/>
          <w:lang w:val="en-GB"/>
        </w:rPr>
        <w:t xml:space="preserve">, </w:t>
      </w:r>
      <w:proofErr w:type="spellStart"/>
      <w:r>
        <w:rPr>
          <w:rFonts w:cs="Times New Roman"/>
          <w:lang w:val="en-GB"/>
        </w:rPr>
        <w:t>i</w:t>
      </w:r>
      <w:proofErr w:type="spellEnd"/>
      <w:r>
        <w:rPr>
          <w:rFonts w:cs="Times New Roman"/>
          <w:lang w:val="en-GB"/>
        </w:rPr>
        <w:t>, 10–11, 66</w:t>
      </w:r>
    </w:p>
    <w:p w14:paraId="4B590E35" w14:textId="77777777" w:rsidR="006F421D" w:rsidRDefault="006F421D">
      <w:pPr>
        <w:pStyle w:val="2body-copy-before-bullet"/>
        <w:divId w:val="2142334130"/>
        <w:rPr>
          <w:rFonts w:cs="Times New Roman"/>
          <w:lang w:val="en-GB"/>
        </w:rPr>
      </w:pPr>
      <w:r>
        <w:rPr>
          <w:rFonts w:cs="Times New Roman"/>
          <w:lang w:val="en-GB"/>
        </w:rPr>
        <w:t>Maternal Sentinel Event and Post-Partum Haemorrhage Working Group, 50</w:t>
      </w:r>
    </w:p>
    <w:p w14:paraId="3282D6E7" w14:textId="77777777" w:rsidR="006F421D" w:rsidRDefault="006F421D">
      <w:pPr>
        <w:pStyle w:val="2body-copy-before-bullet"/>
        <w:divId w:val="2142334130"/>
        <w:rPr>
          <w:rFonts w:cs="Times New Roman"/>
          <w:lang w:val="en-GB"/>
        </w:rPr>
      </w:pPr>
      <w:proofErr w:type="gramStart"/>
      <w:r>
        <w:rPr>
          <w:rFonts w:cs="Times New Roman"/>
          <w:lang w:val="en-GB"/>
        </w:rPr>
        <w:t>maternal</w:t>
      </w:r>
      <w:proofErr w:type="gramEnd"/>
      <w:r>
        <w:rPr>
          <w:rFonts w:cs="Times New Roman"/>
          <w:lang w:val="en-GB"/>
        </w:rPr>
        <w:t xml:space="preserve"> sentinel events, </w:t>
      </w:r>
      <w:r>
        <w:rPr>
          <w:rStyle w:val="2body-medium"/>
          <w:rFonts w:cs="Times New Roman"/>
          <w:lang w:val="en-GB"/>
        </w:rPr>
        <w:t>50</w:t>
      </w:r>
    </w:p>
    <w:p w14:paraId="607B38FA" w14:textId="77777777" w:rsidR="006F421D" w:rsidRDefault="006F421D">
      <w:pPr>
        <w:pStyle w:val="2body-copy-before-bullet"/>
        <w:divId w:val="2142334130"/>
        <w:rPr>
          <w:rFonts w:cs="Times New Roman"/>
          <w:lang w:val="en-GB"/>
        </w:rPr>
      </w:pPr>
      <w:r>
        <w:rPr>
          <w:rFonts w:cs="Times New Roman"/>
          <w:lang w:val="en-GB"/>
        </w:rPr>
        <w:t>McGowan, Russell, 11, 68, 70</w:t>
      </w:r>
    </w:p>
    <w:p w14:paraId="7245BF96" w14:textId="77777777" w:rsidR="006F421D" w:rsidRDefault="006F421D">
      <w:pPr>
        <w:pStyle w:val="2body-copy-before-bullet"/>
        <w:divId w:val="2142334130"/>
        <w:rPr>
          <w:rFonts w:cs="Times New Roman"/>
          <w:lang w:val="en-GB"/>
        </w:rPr>
      </w:pPr>
      <w:proofErr w:type="gramStart"/>
      <w:r>
        <w:rPr>
          <w:rFonts w:cs="Times New Roman"/>
          <w:lang w:val="en-GB"/>
        </w:rPr>
        <w:t>mediation</w:t>
      </w:r>
      <w:proofErr w:type="gramEnd"/>
      <w:r>
        <w:rPr>
          <w:rFonts w:cs="Times New Roman"/>
          <w:lang w:val="en-GB"/>
        </w:rPr>
        <w:t>, 18</w:t>
      </w:r>
    </w:p>
    <w:p w14:paraId="78D3C57D" w14:textId="77777777" w:rsidR="006F421D" w:rsidRDefault="006F421D">
      <w:pPr>
        <w:pStyle w:val="2body-copy-before-bullet"/>
        <w:divId w:val="2142334130"/>
        <w:rPr>
          <w:rFonts w:cs="Times New Roman"/>
          <w:lang w:val="en-GB"/>
        </w:rPr>
      </w:pPr>
      <w:proofErr w:type="gramStart"/>
      <w:r>
        <w:rPr>
          <w:rFonts w:cs="Times New Roman"/>
          <w:lang w:val="en-GB"/>
        </w:rPr>
        <w:t>medical</w:t>
      </w:r>
      <w:proofErr w:type="gramEnd"/>
      <w:r>
        <w:rPr>
          <w:rFonts w:cs="Times New Roman"/>
          <w:lang w:val="en-GB"/>
        </w:rPr>
        <w:t xml:space="preserve"> advisers appointed, 6</w:t>
      </w:r>
    </w:p>
    <w:p w14:paraId="6F4C511B" w14:textId="77777777" w:rsidR="006F421D" w:rsidRDefault="006F421D">
      <w:pPr>
        <w:pStyle w:val="2body-copy-before-bullet"/>
        <w:divId w:val="2142334130"/>
        <w:rPr>
          <w:rFonts w:cs="Times New Roman"/>
          <w:lang w:val="en-GB"/>
        </w:rPr>
      </w:pPr>
      <w:proofErr w:type="gramStart"/>
      <w:r>
        <w:rPr>
          <w:rFonts w:cs="Times New Roman"/>
          <w:lang w:val="en-GB"/>
        </w:rPr>
        <w:t>medication</w:t>
      </w:r>
      <w:proofErr w:type="gramEnd"/>
    </w:p>
    <w:p w14:paraId="5DD06D0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communication</w:t>
      </w:r>
      <w:proofErr w:type="gramEnd"/>
      <w:r>
        <w:rPr>
          <w:rFonts w:cs="Times New Roman"/>
          <w:lang w:val="en-GB"/>
        </w:rPr>
        <w:t xml:space="preserve"> about, 6, 34–36</w:t>
      </w:r>
    </w:p>
    <w:p w14:paraId="1FF34E88"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dispensing</w:t>
      </w:r>
      <w:proofErr w:type="gramEnd"/>
      <w:r>
        <w:rPr>
          <w:rFonts w:cs="Times New Roman"/>
          <w:lang w:val="en-GB"/>
        </w:rPr>
        <w:t xml:space="preserve"> label instructions, 35</w:t>
      </w:r>
    </w:p>
    <w:p w14:paraId="54187898"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electronic</w:t>
      </w:r>
      <w:proofErr w:type="gramEnd"/>
      <w:r>
        <w:rPr>
          <w:rFonts w:cs="Times New Roman"/>
          <w:lang w:val="en-GB"/>
        </w:rPr>
        <w:t xml:space="preserve"> medication management systems, 36</w:t>
      </w:r>
    </w:p>
    <w:p w14:paraId="49D73A1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errors</w:t>
      </w:r>
      <w:proofErr w:type="gramEnd"/>
      <w:r>
        <w:rPr>
          <w:rFonts w:cs="Times New Roman"/>
          <w:lang w:val="en-GB"/>
        </w:rPr>
        <w:t xml:space="preserve">, </w:t>
      </w:r>
      <w:r>
        <w:rPr>
          <w:rStyle w:val="2body-medium"/>
          <w:rFonts w:cs="Times New Roman"/>
          <w:lang w:val="en-GB"/>
        </w:rPr>
        <w:t>32–34</w:t>
      </w:r>
    </w:p>
    <w:p w14:paraId="60DD044F"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labelling</w:t>
      </w:r>
      <w:proofErr w:type="gramEnd"/>
      <w:r>
        <w:rPr>
          <w:rFonts w:cs="Times New Roman"/>
          <w:lang w:val="en-GB"/>
        </w:rPr>
        <w:t>, 34</w:t>
      </w:r>
    </w:p>
    <w:p w14:paraId="19FB3720"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reconciliation</w:t>
      </w:r>
      <w:proofErr w:type="gramEnd"/>
      <w:r>
        <w:rPr>
          <w:rFonts w:cs="Times New Roman"/>
          <w:lang w:val="en-GB"/>
        </w:rPr>
        <w:t>, 61</w:t>
      </w:r>
    </w:p>
    <w:p w14:paraId="557E73B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safety</w:t>
      </w:r>
      <w:proofErr w:type="gramEnd"/>
      <w:r>
        <w:rPr>
          <w:rFonts w:cs="Times New Roman"/>
          <w:lang w:val="en-GB"/>
        </w:rPr>
        <w:t xml:space="preserve">, </w:t>
      </w:r>
      <w:r>
        <w:rPr>
          <w:rStyle w:val="2body-medium"/>
          <w:rFonts w:cs="Times New Roman"/>
          <w:lang w:val="en-GB"/>
        </w:rPr>
        <w:t>30–36</w:t>
      </w:r>
      <w:r>
        <w:rPr>
          <w:rFonts w:cs="Times New Roman"/>
          <w:lang w:val="en-GB"/>
        </w:rPr>
        <w:t>, 122</w:t>
      </w:r>
    </w:p>
    <w:p w14:paraId="6F2AB41B" w14:textId="77777777" w:rsidR="006F421D" w:rsidRDefault="006F421D">
      <w:pPr>
        <w:pStyle w:val="2body-copy-before-bullet"/>
        <w:divId w:val="2142334130"/>
        <w:rPr>
          <w:rFonts w:cs="Times New Roman"/>
          <w:lang w:val="en-GB"/>
        </w:rPr>
      </w:pPr>
      <w:r>
        <w:rPr>
          <w:rStyle w:val="2body-italic0"/>
          <w:rFonts w:cs="Times New Roman"/>
          <w:lang w:val="en-GB"/>
        </w:rPr>
        <w:t>Medication Safety in Australia</w:t>
      </w:r>
      <w:r>
        <w:rPr>
          <w:rFonts w:cs="Times New Roman"/>
          <w:lang w:val="en-GB"/>
        </w:rPr>
        <w:t>, 31</w:t>
      </w:r>
    </w:p>
    <w:p w14:paraId="544C7495" w14:textId="77777777" w:rsidR="006F421D" w:rsidRDefault="006F421D">
      <w:pPr>
        <w:pStyle w:val="2body-copy-before-bullet"/>
        <w:divId w:val="2142334130"/>
        <w:rPr>
          <w:rFonts w:cs="Times New Roman"/>
          <w:lang w:val="en-GB"/>
        </w:rPr>
      </w:pPr>
      <w:proofErr w:type="gramStart"/>
      <w:r>
        <w:rPr>
          <w:rFonts w:cs="Times New Roman"/>
          <w:lang w:val="en-GB"/>
        </w:rPr>
        <w:lastRenderedPageBreak/>
        <w:t>meetings</w:t>
      </w:r>
      <w:proofErr w:type="gramEnd"/>
      <w:r>
        <w:rPr>
          <w:rFonts w:cs="Times New Roman"/>
          <w:lang w:val="en-GB"/>
        </w:rPr>
        <w:t>, 55–56</w:t>
      </w:r>
    </w:p>
    <w:p w14:paraId="14214CE0" w14:textId="77777777" w:rsidR="006F421D" w:rsidRDefault="006F421D">
      <w:pPr>
        <w:pStyle w:val="2body-copy-before-bullet"/>
        <w:divId w:val="2142334130"/>
        <w:rPr>
          <w:rFonts w:cs="Times New Roman"/>
          <w:lang w:val="en-GB"/>
        </w:rPr>
      </w:pPr>
      <w:r>
        <w:rPr>
          <w:rFonts w:cs="Times New Roman"/>
          <w:lang w:val="en-GB"/>
        </w:rPr>
        <w:t>Melbourne Health’s National Health and Medical Research Council Antimicrobial Stewardship Research team, 45</w:t>
      </w:r>
    </w:p>
    <w:p w14:paraId="5C8EF18F" w14:textId="77777777" w:rsidR="006F421D" w:rsidRDefault="006F421D">
      <w:pPr>
        <w:pStyle w:val="2body-copy-before-bullet"/>
        <w:divId w:val="2142334130"/>
        <w:rPr>
          <w:rFonts w:cs="Times New Roman"/>
          <w:lang w:val="en-GB"/>
        </w:rPr>
      </w:pPr>
      <w:proofErr w:type="gramStart"/>
      <w:r>
        <w:rPr>
          <w:rFonts w:cs="Times New Roman"/>
          <w:lang w:val="en-GB"/>
        </w:rPr>
        <w:t>mental</w:t>
      </w:r>
      <w:proofErr w:type="gramEnd"/>
      <w:r>
        <w:rPr>
          <w:rFonts w:cs="Times New Roman"/>
          <w:lang w:val="en-GB"/>
        </w:rPr>
        <w:t xml:space="preserve"> health services, </w:t>
      </w:r>
      <w:r>
        <w:rPr>
          <w:rStyle w:val="2body-medium"/>
          <w:rFonts w:cs="Times New Roman"/>
          <w:lang w:val="en-GB"/>
        </w:rPr>
        <w:t>24</w:t>
      </w:r>
    </w:p>
    <w:p w14:paraId="72D5E006" w14:textId="77777777" w:rsidR="006F421D" w:rsidRDefault="006F421D" w:rsidP="006F421D">
      <w:pPr>
        <w:pStyle w:val="2body-copy-before-bullet"/>
        <w:ind w:left="567"/>
        <w:divId w:val="2142334130"/>
        <w:rPr>
          <w:rFonts w:cs="Times New Roman"/>
          <w:lang w:val="en-GB"/>
        </w:rPr>
      </w:pPr>
      <w:r>
        <w:rPr>
          <w:rStyle w:val="2body-italic0"/>
          <w:rFonts w:cs="Times New Roman"/>
          <w:lang w:val="en-GB"/>
        </w:rPr>
        <w:t>Accreditation Workbook</w:t>
      </w:r>
      <w:r>
        <w:rPr>
          <w:rFonts w:cs="Times New Roman"/>
          <w:lang w:val="en-GB"/>
        </w:rPr>
        <w:t>, 7, 52–53</w:t>
      </w:r>
    </w:p>
    <w:p w14:paraId="120047A9"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assistance</w:t>
      </w:r>
      <w:proofErr w:type="gramEnd"/>
      <w:r>
        <w:rPr>
          <w:rFonts w:cs="Times New Roman"/>
          <w:lang w:val="en-GB"/>
        </w:rPr>
        <w:t xml:space="preserve"> to providers, 17</w:t>
      </w:r>
    </w:p>
    <w:p w14:paraId="2FC9CD14"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consultations</w:t>
      </w:r>
      <w:proofErr w:type="gramEnd"/>
      <w:r>
        <w:rPr>
          <w:rFonts w:cs="Times New Roman"/>
          <w:lang w:val="en-GB"/>
        </w:rPr>
        <w:t>, 131</w:t>
      </w:r>
    </w:p>
    <w:p w14:paraId="6BCD31F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publications</w:t>
      </w:r>
      <w:proofErr w:type="gramEnd"/>
      <w:r>
        <w:rPr>
          <w:rFonts w:cs="Times New Roman"/>
          <w:lang w:val="en-GB"/>
        </w:rPr>
        <w:t>, 123</w:t>
      </w:r>
    </w:p>
    <w:p w14:paraId="3A027EF6" w14:textId="77777777" w:rsidR="006F421D" w:rsidRDefault="006F421D">
      <w:pPr>
        <w:pStyle w:val="2body-copy-before-bullet"/>
        <w:divId w:val="2142334130"/>
        <w:rPr>
          <w:rFonts w:cs="Times New Roman"/>
          <w:lang w:val="en-GB"/>
        </w:rPr>
      </w:pPr>
      <w:proofErr w:type="gramStart"/>
      <w:r>
        <w:rPr>
          <w:rFonts w:cs="Times New Roman"/>
          <w:lang w:val="en-GB"/>
        </w:rPr>
        <w:t>mental</w:t>
      </w:r>
      <w:proofErr w:type="gramEnd"/>
      <w:r>
        <w:rPr>
          <w:rFonts w:cs="Times New Roman"/>
          <w:lang w:val="en-GB"/>
        </w:rPr>
        <w:t xml:space="preserve"> illness, 60</w:t>
      </w:r>
    </w:p>
    <w:p w14:paraId="0CCD800F" w14:textId="77777777" w:rsidR="006F421D" w:rsidRDefault="006F421D">
      <w:pPr>
        <w:pStyle w:val="2body-copy-before-bullet"/>
        <w:divId w:val="2142334130"/>
        <w:rPr>
          <w:rFonts w:cs="Times New Roman"/>
          <w:lang w:val="en-GB"/>
        </w:rPr>
      </w:pPr>
      <w:proofErr w:type="gramStart"/>
      <w:r>
        <w:rPr>
          <w:rFonts w:cs="Times New Roman"/>
          <w:lang w:val="en-GB"/>
        </w:rPr>
        <w:t>mental</w:t>
      </w:r>
      <w:proofErr w:type="gramEnd"/>
      <w:r>
        <w:rPr>
          <w:rFonts w:cs="Times New Roman"/>
          <w:lang w:val="en-GB"/>
        </w:rPr>
        <w:t xml:space="preserve"> state deterioration, </w:t>
      </w:r>
      <w:r>
        <w:rPr>
          <w:rStyle w:val="2body-medium"/>
          <w:rFonts w:cs="Times New Roman"/>
          <w:lang w:val="en-GB"/>
        </w:rPr>
        <w:t>38–39</w:t>
      </w:r>
    </w:p>
    <w:p w14:paraId="42B66703" w14:textId="77777777" w:rsidR="006F421D" w:rsidRDefault="006F421D">
      <w:pPr>
        <w:pStyle w:val="2body-copy-before-bullet"/>
        <w:divId w:val="2142334130"/>
        <w:rPr>
          <w:rFonts w:cs="Times New Roman"/>
          <w:lang w:val="en-GB"/>
        </w:rPr>
      </w:pPr>
      <w:r>
        <w:rPr>
          <w:rFonts w:cs="Times New Roman"/>
          <w:lang w:val="en-GB"/>
        </w:rPr>
        <w:t>Minister for Health, 3, 74</w:t>
      </w:r>
    </w:p>
    <w:p w14:paraId="6A9AB454" w14:textId="77777777" w:rsidR="006F421D" w:rsidRDefault="006F421D">
      <w:pPr>
        <w:pStyle w:val="2body-copy-before-bullet"/>
        <w:divId w:val="2142334130"/>
        <w:rPr>
          <w:rFonts w:cs="Times New Roman"/>
          <w:lang w:val="en-GB"/>
        </w:rPr>
      </w:pPr>
      <w:r>
        <w:rPr>
          <w:rFonts w:cs="Times New Roman"/>
          <w:lang w:val="en-GB"/>
        </w:rPr>
        <w:t xml:space="preserve">Ministerial Directions, </w:t>
      </w:r>
      <w:r>
        <w:rPr>
          <w:rStyle w:val="2body-medium"/>
          <w:rFonts w:cs="Times New Roman"/>
          <w:lang w:val="en-GB"/>
        </w:rPr>
        <w:t>65</w:t>
      </w:r>
    </w:p>
    <w:p w14:paraId="4C04FD57" w14:textId="77777777" w:rsidR="006F421D" w:rsidRDefault="006F421D">
      <w:pPr>
        <w:pStyle w:val="2body-copy-before-bullet"/>
        <w:divId w:val="2142334130"/>
        <w:rPr>
          <w:rFonts w:cs="Times New Roman"/>
          <w:lang w:val="en-GB"/>
        </w:rPr>
      </w:pPr>
      <w:r>
        <w:rPr>
          <w:rFonts w:cs="Times New Roman"/>
          <w:lang w:val="en-GB"/>
        </w:rPr>
        <w:t xml:space="preserve">Ministerial oversight, </w:t>
      </w:r>
      <w:r>
        <w:rPr>
          <w:rStyle w:val="2body-medium"/>
          <w:rFonts w:cs="Times New Roman"/>
          <w:lang w:val="en-GB"/>
        </w:rPr>
        <w:t>74</w:t>
      </w:r>
    </w:p>
    <w:p w14:paraId="7677D1FC" w14:textId="77777777" w:rsidR="006F421D" w:rsidRDefault="006F421D">
      <w:pPr>
        <w:pStyle w:val="2body-copy-before-bullet"/>
        <w:divId w:val="2142334130"/>
        <w:rPr>
          <w:rFonts w:cs="Times New Roman"/>
          <w:lang w:val="en-GB"/>
        </w:rPr>
      </w:pPr>
      <w:proofErr w:type="gramStart"/>
      <w:r>
        <w:rPr>
          <w:rFonts w:cs="Times New Roman"/>
          <w:lang w:val="en-GB"/>
        </w:rPr>
        <w:t>mission</w:t>
      </w:r>
      <w:proofErr w:type="gramEnd"/>
      <w:r>
        <w:rPr>
          <w:rFonts w:cs="Times New Roman"/>
          <w:lang w:val="en-GB"/>
        </w:rPr>
        <w:t xml:space="preserve"> of the Commission, </w:t>
      </w:r>
      <w:r>
        <w:rPr>
          <w:rStyle w:val="2body-medium"/>
          <w:rFonts w:cs="Times New Roman"/>
          <w:lang w:val="en-GB"/>
        </w:rPr>
        <w:t>2</w:t>
      </w:r>
    </w:p>
    <w:p w14:paraId="6DBFB983" w14:textId="77777777" w:rsidR="006F421D" w:rsidRDefault="006F421D">
      <w:pPr>
        <w:pStyle w:val="2body-copy-before-bullet"/>
        <w:divId w:val="2142334130"/>
        <w:rPr>
          <w:rFonts w:cs="Times New Roman"/>
          <w:lang w:val="en-GB"/>
        </w:rPr>
      </w:pPr>
      <w:r>
        <w:rPr>
          <w:rStyle w:val="2body-italic0"/>
          <w:rFonts w:cs="Times New Roman"/>
          <w:lang w:val="en-GB"/>
        </w:rPr>
        <w:t xml:space="preserve">Mistakes can happen with your medicines </w:t>
      </w:r>
      <w:r>
        <w:rPr>
          <w:rFonts w:cs="Times New Roman"/>
          <w:lang w:val="en-GB"/>
        </w:rPr>
        <w:t>banner, 36</w:t>
      </w:r>
    </w:p>
    <w:p w14:paraId="6F3CD84A" w14:textId="77777777" w:rsidR="006F421D" w:rsidRDefault="006F421D">
      <w:pPr>
        <w:pStyle w:val="2body-copy-before-bullet"/>
        <w:divId w:val="2142334130"/>
        <w:rPr>
          <w:rFonts w:cs="Times New Roman"/>
          <w:lang w:val="en-GB"/>
        </w:rPr>
      </w:pPr>
      <w:proofErr w:type="gramStart"/>
      <w:r>
        <w:rPr>
          <w:rFonts w:cs="Times New Roman"/>
          <w:lang w:val="en-GB"/>
        </w:rPr>
        <w:t>mortality</w:t>
      </w:r>
      <w:proofErr w:type="gramEnd"/>
      <w:r>
        <w:rPr>
          <w:rFonts w:cs="Times New Roman"/>
          <w:lang w:val="en-GB"/>
        </w:rPr>
        <w:t xml:space="preserve"> indicators, </w:t>
      </w:r>
      <w:r>
        <w:rPr>
          <w:rStyle w:val="2body-medium"/>
          <w:rFonts w:cs="Times New Roman"/>
          <w:lang w:val="en-GB"/>
        </w:rPr>
        <w:t>48–49</w:t>
      </w:r>
    </w:p>
    <w:p w14:paraId="0C4278E9" w14:textId="77777777" w:rsidR="006F421D" w:rsidRDefault="006F421D">
      <w:pPr>
        <w:pStyle w:val="2body-copy"/>
        <w:divId w:val="2142334130"/>
        <w:rPr>
          <w:rFonts w:cs="Times New Roman"/>
          <w:lang w:val="en-GB"/>
        </w:rPr>
      </w:pPr>
      <w:proofErr w:type="gramStart"/>
      <w:r>
        <w:rPr>
          <w:rFonts w:cs="Times New Roman"/>
          <w:lang w:val="en-GB"/>
        </w:rPr>
        <w:t>multi-drug</w:t>
      </w:r>
      <w:proofErr w:type="gramEnd"/>
      <w:r>
        <w:rPr>
          <w:rFonts w:cs="Times New Roman"/>
          <w:lang w:val="en-GB"/>
        </w:rPr>
        <w:t xml:space="preserve"> resistant gram-negative guidance, 46, 53</w:t>
      </w:r>
    </w:p>
    <w:p w14:paraId="6D253704" w14:textId="77777777" w:rsidR="006F421D" w:rsidRDefault="006F421D">
      <w:pPr>
        <w:pStyle w:val="1heading-level-3"/>
        <w:divId w:val="2142334130"/>
        <w:rPr>
          <w:rFonts w:cs="Times New Roman"/>
          <w:lang w:val="en-GB"/>
        </w:rPr>
      </w:pPr>
      <w:r>
        <w:rPr>
          <w:rFonts w:cs="Times New Roman"/>
          <w:lang w:val="en-GB"/>
        </w:rPr>
        <w:t>N</w:t>
      </w:r>
    </w:p>
    <w:p w14:paraId="47BC9362" w14:textId="77777777" w:rsidR="006F421D" w:rsidRDefault="006F421D">
      <w:pPr>
        <w:pStyle w:val="2body-copy-before-bullet"/>
        <w:divId w:val="2142334130"/>
        <w:rPr>
          <w:rFonts w:cs="Times New Roman"/>
          <w:lang w:val="en-GB"/>
        </w:rPr>
      </w:pPr>
      <w:proofErr w:type="spellStart"/>
      <w:r>
        <w:rPr>
          <w:rFonts w:cs="Times New Roman"/>
          <w:lang w:val="en-GB"/>
        </w:rPr>
        <w:t>Nathwani</w:t>
      </w:r>
      <w:proofErr w:type="spellEnd"/>
      <w:r>
        <w:rPr>
          <w:rFonts w:cs="Times New Roman"/>
          <w:lang w:val="en-GB"/>
        </w:rPr>
        <w:t xml:space="preserve">, Professor </w:t>
      </w:r>
      <w:proofErr w:type="spellStart"/>
      <w:r>
        <w:rPr>
          <w:rFonts w:cs="Times New Roman"/>
          <w:lang w:val="en-GB"/>
        </w:rPr>
        <w:t>Dilip</w:t>
      </w:r>
      <w:proofErr w:type="spellEnd"/>
      <w:r>
        <w:rPr>
          <w:rFonts w:cs="Times New Roman"/>
          <w:lang w:val="en-GB"/>
        </w:rPr>
        <w:t>, 55</w:t>
      </w:r>
    </w:p>
    <w:p w14:paraId="286EE50E" w14:textId="77777777" w:rsidR="006F421D" w:rsidRDefault="006F421D">
      <w:pPr>
        <w:pStyle w:val="2body-copy-before-bullet"/>
        <w:divId w:val="2142334130"/>
        <w:rPr>
          <w:rFonts w:cs="Times New Roman"/>
          <w:lang w:val="en-GB"/>
        </w:rPr>
      </w:pPr>
      <w:r>
        <w:rPr>
          <w:rFonts w:cs="Times New Roman"/>
          <w:lang w:val="en-GB"/>
        </w:rPr>
        <w:t>National Antimicrobial Prescribing Survey (NAPS), 45</w:t>
      </w:r>
    </w:p>
    <w:p w14:paraId="41560461" w14:textId="77777777" w:rsidR="006F421D" w:rsidRDefault="006F421D">
      <w:pPr>
        <w:pStyle w:val="2body-copy-before-bullet"/>
        <w:divId w:val="2142334130"/>
        <w:rPr>
          <w:rFonts w:cs="Times New Roman"/>
          <w:lang w:val="en-GB"/>
        </w:rPr>
      </w:pPr>
      <w:r>
        <w:rPr>
          <w:rFonts w:cs="Times New Roman"/>
          <w:lang w:val="en-GB"/>
        </w:rPr>
        <w:t>National Antimicrobial Resistance (AMR) Strategy, 4</w:t>
      </w:r>
    </w:p>
    <w:p w14:paraId="1BF2E338" w14:textId="77777777" w:rsidR="006F421D" w:rsidRDefault="006F421D">
      <w:pPr>
        <w:pStyle w:val="2body-copy-before-bullet"/>
        <w:divId w:val="2142334130"/>
        <w:rPr>
          <w:rFonts w:cs="Times New Roman"/>
          <w:lang w:val="en-GB"/>
        </w:rPr>
      </w:pPr>
      <w:r>
        <w:rPr>
          <w:rStyle w:val="2body-italic0"/>
          <w:rFonts w:cs="Times New Roman"/>
          <w:lang w:val="en-GB"/>
        </w:rPr>
        <w:t>National Consensus Statement</w:t>
      </w:r>
      <w:r>
        <w:rPr>
          <w:rFonts w:cs="Times New Roman"/>
          <w:lang w:val="en-GB"/>
        </w:rPr>
        <w:t xml:space="preserve">, </w:t>
      </w:r>
      <w:r>
        <w:rPr>
          <w:rStyle w:val="2body-medium"/>
          <w:rFonts w:cs="Times New Roman"/>
          <w:lang w:val="en-GB"/>
        </w:rPr>
        <w:t>53</w:t>
      </w:r>
    </w:p>
    <w:p w14:paraId="500396FC" w14:textId="77777777" w:rsidR="006F421D" w:rsidRDefault="006F421D">
      <w:pPr>
        <w:pStyle w:val="2body-copy-before-bullet"/>
        <w:divId w:val="2142334130"/>
        <w:rPr>
          <w:rFonts w:cs="Times New Roman"/>
          <w:lang w:val="en-GB"/>
        </w:rPr>
      </w:pPr>
      <w:r>
        <w:rPr>
          <w:rFonts w:cs="Times New Roman"/>
          <w:lang w:val="en-GB"/>
        </w:rPr>
        <w:t>National Core Indicators Working Party (CIWP), 48</w:t>
      </w:r>
    </w:p>
    <w:p w14:paraId="34C431DE" w14:textId="77777777" w:rsidR="006F421D" w:rsidRDefault="006F421D">
      <w:pPr>
        <w:pStyle w:val="2body-copy-before-bullet"/>
        <w:divId w:val="2142334130"/>
        <w:rPr>
          <w:rFonts w:cs="Times New Roman"/>
          <w:lang w:val="en-GB"/>
        </w:rPr>
      </w:pPr>
      <w:r>
        <w:rPr>
          <w:rFonts w:cs="Times New Roman"/>
          <w:lang w:val="en-GB"/>
        </w:rPr>
        <w:t>National Hand Hygiene Initiative (NHHI), 43–44</w:t>
      </w:r>
    </w:p>
    <w:p w14:paraId="65B9CFD6" w14:textId="77777777" w:rsidR="006F421D" w:rsidRDefault="006F421D">
      <w:pPr>
        <w:pStyle w:val="2body-copy-before-bullet"/>
        <w:divId w:val="2142334130"/>
        <w:rPr>
          <w:rFonts w:cs="Times New Roman"/>
          <w:lang w:val="en-GB"/>
        </w:rPr>
      </w:pPr>
      <w:r>
        <w:rPr>
          <w:rStyle w:val="2body-italic0"/>
          <w:rFonts w:cs="Times New Roman"/>
          <w:lang w:val="en-GB"/>
        </w:rPr>
        <w:t>National Health and Hospitals Network Act 2011</w:t>
      </w:r>
      <w:r>
        <w:rPr>
          <w:rFonts w:cs="Times New Roman"/>
          <w:lang w:val="en-GB"/>
        </w:rPr>
        <w:t>, 2</w:t>
      </w:r>
    </w:p>
    <w:p w14:paraId="24673BCE" w14:textId="77777777" w:rsidR="006F421D" w:rsidRDefault="006F421D">
      <w:pPr>
        <w:pStyle w:val="2body-copy-before-bullet"/>
        <w:divId w:val="2142334130"/>
        <w:rPr>
          <w:rFonts w:cs="Times New Roman"/>
          <w:lang w:val="en-GB"/>
        </w:rPr>
      </w:pPr>
      <w:r>
        <w:rPr>
          <w:rFonts w:cs="Times New Roman"/>
          <w:lang w:val="en-GB"/>
        </w:rPr>
        <w:t>National Health Information and Performance Principal Committee (NHIPPC), 49</w:t>
      </w:r>
    </w:p>
    <w:p w14:paraId="276E195E" w14:textId="77777777" w:rsidR="006F421D" w:rsidRDefault="006F421D">
      <w:pPr>
        <w:pStyle w:val="2body-copy-before-bullet"/>
        <w:divId w:val="2142334130"/>
        <w:rPr>
          <w:rFonts w:cs="Times New Roman"/>
          <w:lang w:val="en-GB"/>
        </w:rPr>
      </w:pPr>
      <w:r>
        <w:rPr>
          <w:rFonts w:cs="Times New Roman"/>
          <w:lang w:val="en-GB"/>
        </w:rPr>
        <w:t>National Health Information Standards and Statistics Committee (NHISSC), 49</w:t>
      </w:r>
    </w:p>
    <w:p w14:paraId="45CFE239" w14:textId="77777777" w:rsidR="006F421D" w:rsidRDefault="006F421D">
      <w:pPr>
        <w:pStyle w:val="2body-copy-before-bullet"/>
        <w:divId w:val="2142334130"/>
        <w:rPr>
          <w:rFonts w:cs="Times New Roman"/>
          <w:lang w:val="en-GB"/>
        </w:rPr>
      </w:pPr>
      <w:r>
        <w:rPr>
          <w:rFonts w:cs="Times New Roman"/>
          <w:lang w:val="en-GB"/>
        </w:rPr>
        <w:t>National Health Performance Authority, 49</w:t>
      </w:r>
    </w:p>
    <w:p w14:paraId="53266B97" w14:textId="77777777" w:rsidR="006F421D" w:rsidRDefault="006F421D">
      <w:pPr>
        <w:pStyle w:val="2body-copy-before-bullet"/>
        <w:divId w:val="2142334130"/>
        <w:rPr>
          <w:rFonts w:cs="Times New Roman"/>
          <w:lang w:val="en-GB"/>
        </w:rPr>
      </w:pPr>
      <w:r>
        <w:rPr>
          <w:rStyle w:val="2body-italic0"/>
          <w:rFonts w:cs="Times New Roman"/>
          <w:lang w:val="en-GB"/>
        </w:rPr>
        <w:t>National Health Reform Act 2011</w:t>
      </w:r>
      <w:r>
        <w:rPr>
          <w:rFonts w:cs="Times New Roman"/>
          <w:lang w:val="en-GB"/>
        </w:rPr>
        <w:t xml:space="preserve"> (NHR Act), 2, 16, 48, 64, 75</w:t>
      </w:r>
    </w:p>
    <w:p w14:paraId="03FA5341" w14:textId="77777777" w:rsidR="006F421D" w:rsidRDefault="006F421D">
      <w:pPr>
        <w:pStyle w:val="2body-copy-before-bullet"/>
        <w:divId w:val="2142334130"/>
        <w:rPr>
          <w:rFonts w:cs="Times New Roman"/>
          <w:lang w:val="en-GB"/>
        </w:rPr>
      </w:pPr>
      <w:r>
        <w:rPr>
          <w:rStyle w:val="2body-italic0"/>
          <w:rFonts w:cs="Times New Roman"/>
          <w:lang w:val="en-GB"/>
        </w:rPr>
        <w:t>National Health Reform Agreement</w:t>
      </w:r>
      <w:r>
        <w:rPr>
          <w:rFonts w:cs="Times New Roman"/>
          <w:lang w:val="en-GB"/>
        </w:rPr>
        <w:t>, 16</w:t>
      </w:r>
    </w:p>
    <w:p w14:paraId="35589E75" w14:textId="77777777" w:rsidR="006F421D" w:rsidRDefault="006F421D">
      <w:pPr>
        <w:pStyle w:val="2body-copy-before-bullet"/>
        <w:divId w:val="2142334130"/>
        <w:rPr>
          <w:rFonts w:cs="Times New Roman"/>
          <w:lang w:val="en-GB"/>
        </w:rPr>
      </w:pPr>
      <w:r>
        <w:rPr>
          <w:rFonts w:cs="Times New Roman"/>
          <w:lang w:val="en-GB"/>
        </w:rPr>
        <w:t>National Inpatient Medication Chart (NIMC), 32</w:t>
      </w:r>
    </w:p>
    <w:p w14:paraId="23C3D109" w14:textId="77777777" w:rsidR="006F421D" w:rsidRDefault="006F421D">
      <w:pPr>
        <w:pStyle w:val="2body-copy-before-bullet"/>
        <w:divId w:val="2142334130"/>
        <w:rPr>
          <w:rFonts w:cs="Times New Roman"/>
          <w:lang w:val="en-GB"/>
        </w:rPr>
      </w:pPr>
      <w:r>
        <w:rPr>
          <w:rFonts w:cs="Times New Roman"/>
          <w:lang w:val="en-GB"/>
        </w:rPr>
        <w:t>National Labelling Recommendations for User-Applied Labelling of Injectable Medicines, Fluids and Lines, 34</w:t>
      </w:r>
    </w:p>
    <w:p w14:paraId="2A371AA4" w14:textId="77777777" w:rsidR="006F421D" w:rsidRDefault="006F421D">
      <w:pPr>
        <w:pStyle w:val="2body-copy-before-bullet"/>
        <w:divId w:val="2142334130"/>
        <w:rPr>
          <w:rFonts w:cs="Times New Roman"/>
          <w:lang w:val="en-GB"/>
        </w:rPr>
      </w:pPr>
      <w:r>
        <w:rPr>
          <w:rFonts w:cs="Times New Roman"/>
          <w:lang w:val="en-GB"/>
        </w:rPr>
        <w:t>National Maternity Data Development Project, 50</w:t>
      </w:r>
    </w:p>
    <w:p w14:paraId="1F05CD49" w14:textId="77777777" w:rsidR="006F421D" w:rsidRDefault="006F421D">
      <w:pPr>
        <w:pStyle w:val="2body-copy-before-bullet"/>
        <w:divId w:val="2142334130"/>
        <w:rPr>
          <w:rFonts w:cs="Times New Roman"/>
          <w:lang w:val="en-GB"/>
        </w:rPr>
      </w:pPr>
      <w:r>
        <w:rPr>
          <w:rFonts w:cs="Times New Roman"/>
          <w:lang w:val="en-GB"/>
        </w:rPr>
        <w:t>National Mental Health Commission, 24</w:t>
      </w:r>
    </w:p>
    <w:p w14:paraId="3CA13CD7" w14:textId="77777777" w:rsidR="006F421D" w:rsidRDefault="006F421D">
      <w:pPr>
        <w:pStyle w:val="2body-copy-before-bullet"/>
        <w:divId w:val="2142334130"/>
        <w:rPr>
          <w:rFonts w:cs="Times New Roman"/>
          <w:lang w:val="en-GB"/>
        </w:rPr>
      </w:pPr>
      <w:r>
        <w:rPr>
          <w:rFonts w:cs="Times New Roman"/>
          <w:lang w:val="en-GB"/>
        </w:rPr>
        <w:t xml:space="preserve">National Patient Contact Protocol, </w:t>
      </w:r>
      <w:r>
        <w:rPr>
          <w:rStyle w:val="2body-medium"/>
          <w:rFonts w:cs="Times New Roman"/>
          <w:lang w:val="en-GB"/>
        </w:rPr>
        <w:t>37</w:t>
      </w:r>
    </w:p>
    <w:p w14:paraId="10A7DD59" w14:textId="77777777" w:rsidR="006F421D" w:rsidRDefault="006F421D">
      <w:pPr>
        <w:pStyle w:val="2body-copy-before-bullet"/>
        <w:divId w:val="2142334130"/>
        <w:rPr>
          <w:rFonts w:cs="Times New Roman"/>
          <w:lang w:val="en-GB"/>
        </w:rPr>
      </w:pPr>
      <w:r>
        <w:rPr>
          <w:rStyle w:val="2body-italic0"/>
          <w:rFonts w:cs="Times New Roman"/>
          <w:lang w:val="en-GB"/>
        </w:rPr>
        <w:t>National patient contact protocol for patients with Implanted Medical Devices subject to Hazard Alerts</w:t>
      </w:r>
      <w:r>
        <w:rPr>
          <w:rFonts w:cs="Times New Roman"/>
          <w:lang w:val="en-GB"/>
        </w:rPr>
        <w:t>, 37</w:t>
      </w:r>
    </w:p>
    <w:p w14:paraId="12E35FA0" w14:textId="77777777" w:rsidR="006F421D" w:rsidRDefault="006F421D">
      <w:pPr>
        <w:pStyle w:val="2body-copy-before-bullet"/>
        <w:divId w:val="2142334130"/>
        <w:rPr>
          <w:rFonts w:cs="Times New Roman"/>
          <w:lang w:val="en-GB"/>
        </w:rPr>
      </w:pPr>
      <w:r>
        <w:rPr>
          <w:rFonts w:cs="Times New Roman"/>
          <w:lang w:val="en-GB"/>
        </w:rPr>
        <w:t>National Perinatal and Epidemiology Statistics Unit, 50</w:t>
      </w:r>
    </w:p>
    <w:p w14:paraId="37D82AC2" w14:textId="77777777" w:rsidR="006F421D" w:rsidRDefault="006F421D">
      <w:pPr>
        <w:pStyle w:val="2body-copy-before-bullet"/>
        <w:divId w:val="2142334130"/>
        <w:rPr>
          <w:rFonts w:cs="Times New Roman"/>
          <w:lang w:val="en-GB"/>
        </w:rPr>
      </w:pPr>
      <w:r>
        <w:rPr>
          <w:rFonts w:cs="Times New Roman"/>
          <w:lang w:val="en-GB"/>
        </w:rPr>
        <w:t>National Prescribing Curriculum, 56</w:t>
      </w:r>
    </w:p>
    <w:p w14:paraId="7AED1FB4" w14:textId="77777777" w:rsidR="006F421D" w:rsidRDefault="006F421D">
      <w:pPr>
        <w:pStyle w:val="2body-copy-before-bullet"/>
        <w:divId w:val="2142334130"/>
        <w:rPr>
          <w:rFonts w:cs="Times New Roman"/>
          <w:lang w:val="en-GB"/>
        </w:rPr>
      </w:pPr>
      <w:r>
        <w:rPr>
          <w:rFonts w:cs="Times New Roman"/>
          <w:lang w:val="en-GB"/>
        </w:rPr>
        <w:t>National Residential Medication Chart (NRMC), 6, 32</w:t>
      </w:r>
    </w:p>
    <w:p w14:paraId="75E62450" w14:textId="77777777" w:rsidR="006F421D" w:rsidRDefault="006F421D">
      <w:pPr>
        <w:pStyle w:val="2body-copy-before-bullet"/>
        <w:divId w:val="2142334130"/>
        <w:rPr>
          <w:rFonts w:cs="Times New Roman"/>
          <w:lang w:val="en-GB"/>
        </w:rPr>
      </w:pPr>
      <w:r>
        <w:rPr>
          <w:rFonts w:cs="Times New Roman"/>
          <w:lang w:val="en-GB"/>
        </w:rPr>
        <w:t xml:space="preserve">National Safety and Quality Health Service (NSQHS) Standards, </w:t>
      </w:r>
      <w:r>
        <w:rPr>
          <w:rStyle w:val="2body-medium"/>
          <w:rFonts w:cs="Times New Roman"/>
          <w:lang w:val="en-GB"/>
        </w:rPr>
        <w:t>17–21</w:t>
      </w:r>
    </w:p>
    <w:p w14:paraId="190C0EDF"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accreditation</w:t>
      </w:r>
      <w:proofErr w:type="gramEnd"/>
      <w:r>
        <w:rPr>
          <w:rFonts w:cs="Times New Roman"/>
          <w:lang w:val="en-GB"/>
        </w:rPr>
        <w:t xml:space="preserve"> </w:t>
      </w:r>
      <w:r>
        <w:rPr>
          <w:rStyle w:val="2body-italic0"/>
          <w:rFonts w:cs="Times New Roman"/>
          <w:lang w:val="en-GB"/>
        </w:rPr>
        <w:t>see</w:t>
      </w:r>
      <w:r>
        <w:rPr>
          <w:rFonts w:cs="Times New Roman"/>
          <w:lang w:val="en-GB"/>
        </w:rPr>
        <w:t xml:space="preserve"> accreditation</w:t>
      </w:r>
    </w:p>
    <w:p w14:paraId="7EA33396"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awards</w:t>
      </w:r>
      <w:proofErr w:type="gramEnd"/>
      <w:r>
        <w:rPr>
          <w:rFonts w:cs="Times New Roman"/>
          <w:lang w:val="en-GB"/>
        </w:rPr>
        <w:t>, 5, 12</w:t>
      </w:r>
    </w:p>
    <w:p w14:paraId="55FEF2A2" w14:textId="77777777" w:rsidR="006F421D" w:rsidRDefault="006F421D" w:rsidP="006F421D">
      <w:pPr>
        <w:pStyle w:val="2body-copy-before-bullet"/>
        <w:ind w:left="567"/>
        <w:divId w:val="2142334130"/>
        <w:rPr>
          <w:rFonts w:cs="Times New Roman"/>
          <w:lang w:val="en-GB"/>
        </w:rPr>
      </w:pPr>
      <w:r>
        <w:rPr>
          <w:rFonts w:cs="Times New Roman"/>
          <w:lang w:val="en-GB"/>
        </w:rPr>
        <w:t xml:space="preserve">Clinical Care Standards program, </w:t>
      </w:r>
      <w:r>
        <w:rPr>
          <w:rStyle w:val="2body-medium"/>
          <w:rFonts w:cs="Times New Roman"/>
          <w:lang w:val="en-GB"/>
        </w:rPr>
        <w:t>22–23</w:t>
      </w:r>
    </w:p>
    <w:p w14:paraId="30AF157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clinical</w:t>
      </w:r>
      <w:proofErr w:type="gramEnd"/>
      <w:r>
        <w:rPr>
          <w:rFonts w:cs="Times New Roman"/>
          <w:lang w:val="en-GB"/>
        </w:rPr>
        <w:t xml:space="preserve"> quality registries, </w:t>
      </w:r>
      <w:r>
        <w:rPr>
          <w:rStyle w:val="2body-medium"/>
          <w:rFonts w:cs="Times New Roman"/>
          <w:lang w:val="en-GB"/>
        </w:rPr>
        <w:t>26</w:t>
      </w:r>
    </w:p>
    <w:p w14:paraId="47D7E759"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cognitive</w:t>
      </w:r>
      <w:proofErr w:type="gramEnd"/>
      <w:r>
        <w:rPr>
          <w:rFonts w:cs="Times New Roman"/>
          <w:lang w:val="en-GB"/>
        </w:rPr>
        <w:t xml:space="preserve"> impairment management, </w:t>
      </w:r>
      <w:r>
        <w:rPr>
          <w:rStyle w:val="2body-medium"/>
          <w:rFonts w:cs="Times New Roman"/>
          <w:lang w:val="en-GB"/>
        </w:rPr>
        <w:t>25</w:t>
      </w:r>
    </w:p>
    <w:p w14:paraId="40D32F1A"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consultations</w:t>
      </w:r>
      <w:proofErr w:type="gramEnd"/>
      <w:r>
        <w:rPr>
          <w:rFonts w:cs="Times New Roman"/>
          <w:lang w:val="en-GB"/>
        </w:rPr>
        <w:t>, 132</w:t>
      </w:r>
    </w:p>
    <w:p w14:paraId="00C2D642"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evaluating</w:t>
      </w:r>
      <w:proofErr w:type="gramEnd"/>
      <w:r>
        <w:rPr>
          <w:rFonts w:cs="Times New Roman"/>
          <w:lang w:val="en-GB"/>
        </w:rPr>
        <w:t>, 21</w:t>
      </w:r>
    </w:p>
    <w:p w14:paraId="4DA26556"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feedback</w:t>
      </w:r>
      <w:proofErr w:type="gramEnd"/>
      <w:r>
        <w:rPr>
          <w:rFonts w:cs="Times New Roman"/>
          <w:lang w:val="en-GB"/>
        </w:rPr>
        <w:t>, 12</w:t>
      </w:r>
    </w:p>
    <w:p w14:paraId="6A16796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implementation</w:t>
      </w:r>
      <w:proofErr w:type="gramEnd"/>
      <w:r>
        <w:rPr>
          <w:rFonts w:cs="Times New Roman"/>
          <w:lang w:val="en-GB"/>
        </w:rPr>
        <w:t xml:space="preserve">, 10, </w:t>
      </w:r>
      <w:r>
        <w:rPr>
          <w:rStyle w:val="2body-medium"/>
          <w:rFonts w:cs="Times New Roman"/>
          <w:lang w:val="en-GB"/>
        </w:rPr>
        <w:t>18–20</w:t>
      </w:r>
    </w:p>
    <w:p w14:paraId="7B3C053C"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list</w:t>
      </w:r>
      <w:proofErr w:type="gramEnd"/>
      <w:r>
        <w:rPr>
          <w:rFonts w:cs="Times New Roman"/>
          <w:lang w:val="en-GB"/>
        </w:rPr>
        <w:t xml:space="preserve"> of standards, 17</w:t>
      </w:r>
    </w:p>
    <w:p w14:paraId="48A1BE11"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mental</w:t>
      </w:r>
      <w:proofErr w:type="gramEnd"/>
      <w:r>
        <w:rPr>
          <w:rFonts w:cs="Times New Roman"/>
          <w:lang w:val="en-GB"/>
        </w:rPr>
        <w:t xml:space="preserve"> health services, </w:t>
      </w:r>
      <w:r>
        <w:rPr>
          <w:rStyle w:val="2body-medium"/>
          <w:rFonts w:cs="Times New Roman"/>
          <w:lang w:val="en-GB"/>
        </w:rPr>
        <w:t>24</w:t>
      </w:r>
    </w:p>
    <w:p w14:paraId="000561F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patient</w:t>
      </w:r>
      <w:proofErr w:type="gramEnd"/>
      <w:r>
        <w:rPr>
          <w:rFonts w:cs="Times New Roman"/>
          <w:lang w:val="en-GB"/>
        </w:rPr>
        <w:t xml:space="preserve"> safety, </w:t>
      </w:r>
      <w:r>
        <w:rPr>
          <w:rStyle w:val="2body-medium"/>
          <w:rFonts w:cs="Times New Roman"/>
          <w:lang w:val="en-GB"/>
        </w:rPr>
        <w:t>61–62</w:t>
      </w:r>
    </w:p>
    <w:p w14:paraId="698C7874"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primary</w:t>
      </w:r>
      <w:proofErr w:type="gramEnd"/>
      <w:r>
        <w:rPr>
          <w:rFonts w:cs="Times New Roman"/>
          <w:lang w:val="en-GB"/>
        </w:rPr>
        <w:t xml:space="preserve"> care, </w:t>
      </w:r>
      <w:r>
        <w:rPr>
          <w:rStyle w:val="2body-medium"/>
          <w:rFonts w:cs="Times New Roman"/>
          <w:lang w:val="en-GB"/>
        </w:rPr>
        <w:t>22</w:t>
      </w:r>
    </w:p>
    <w:p w14:paraId="4CF5E2A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recognition</w:t>
      </w:r>
      <w:proofErr w:type="gramEnd"/>
      <w:r>
        <w:rPr>
          <w:rFonts w:cs="Times New Roman"/>
          <w:lang w:val="en-GB"/>
        </w:rPr>
        <w:t xml:space="preserve"> for, 12</w:t>
      </w:r>
    </w:p>
    <w:p w14:paraId="10058A5F"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review</w:t>
      </w:r>
      <w:proofErr w:type="gramEnd"/>
      <w:r>
        <w:rPr>
          <w:rFonts w:cs="Times New Roman"/>
          <w:lang w:val="en-GB"/>
        </w:rPr>
        <w:t>, 13</w:t>
      </w:r>
    </w:p>
    <w:p w14:paraId="3F9A2698" w14:textId="77777777" w:rsidR="006F421D" w:rsidRDefault="006F421D" w:rsidP="006F421D">
      <w:pPr>
        <w:pStyle w:val="2body-copy-before-bullet"/>
        <w:ind w:left="567"/>
        <w:divId w:val="2142334130"/>
        <w:rPr>
          <w:rFonts w:cs="Times New Roman"/>
          <w:lang w:val="en-GB"/>
        </w:rPr>
      </w:pPr>
      <w:r>
        <w:rPr>
          <w:rFonts w:cs="Times New Roman"/>
          <w:lang w:val="en-GB"/>
        </w:rPr>
        <w:t>Standard 1: Governance for Safety and Quality in Health Service Organisations, 37</w:t>
      </w:r>
    </w:p>
    <w:p w14:paraId="17C76505" w14:textId="77777777" w:rsidR="006F421D" w:rsidRDefault="006F421D" w:rsidP="006F421D">
      <w:pPr>
        <w:pStyle w:val="2body-copy-before-bullet"/>
        <w:ind w:left="567"/>
        <w:divId w:val="2142334130"/>
        <w:rPr>
          <w:rFonts w:cs="Times New Roman"/>
          <w:lang w:val="en-GB"/>
        </w:rPr>
      </w:pPr>
      <w:r>
        <w:rPr>
          <w:rFonts w:cs="Times New Roman"/>
          <w:lang w:val="en-GB"/>
        </w:rPr>
        <w:t>Standard 2: Partnering, 19–20</w:t>
      </w:r>
    </w:p>
    <w:p w14:paraId="577B3573" w14:textId="77777777" w:rsidR="006F421D" w:rsidRDefault="006F421D" w:rsidP="006F421D">
      <w:pPr>
        <w:pStyle w:val="2body-copy-before-bullet"/>
        <w:ind w:left="567"/>
        <w:divId w:val="2142334130"/>
        <w:rPr>
          <w:rFonts w:cs="Times New Roman"/>
          <w:lang w:val="en-GB"/>
        </w:rPr>
      </w:pPr>
      <w:r>
        <w:rPr>
          <w:rFonts w:cs="Times New Roman"/>
          <w:lang w:val="en-GB"/>
        </w:rPr>
        <w:t>Standard 3: Preventing and Controlling Healthcare-Associated Infections, 21, 43, 45, 47</w:t>
      </w:r>
    </w:p>
    <w:p w14:paraId="2CBE654E" w14:textId="77777777" w:rsidR="006F421D" w:rsidRDefault="006F421D" w:rsidP="006F421D">
      <w:pPr>
        <w:pStyle w:val="2body-copy-before-bullet"/>
        <w:ind w:left="567"/>
        <w:divId w:val="2142334130"/>
        <w:rPr>
          <w:rFonts w:cs="Times New Roman"/>
          <w:lang w:val="en-GB"/>
        </w:rPr>
      </w:pPr>
      <w:r>
        <w:rPr>
          <w:rFonts w:cs="Times New Roman"/>
          <w:lang w:val="en-GB"/>
        </w:rPr>
        <w:lastRenderedPageBreak/>
        <w:t>Standard 6: Clinical Handover, 27</w:t>
      </w:r>
    </w:p>
    <w:p w14:paraId="1F4123BA" w14:textId="77777777" w:rsidR="006F421D" w:rsidRDefault="006F421D" w:rsidP="006F421D">
      <w:pPr>
        <w:pStyle w:val="2body-copy-before-bullet"/>
        <w:ind w:left="567"/>
        <w:divId w:val="2142334130"/>
        <w:rPr>
          <w:rFonts w:cs="Times New Roman"/>
          <w:lang w:val="en-GB"/>
        </w:rPr>
      </w:pPr>
      <w:r>
        <w:rPr>
          <w:rFonts w:cs="Times New Roman"/>
          <w:lang w:val="en-GB"/>
        </w:rPr>
        <w:t xml:space="preserve">Standard 10: Preventing Falls and Harm from </w:t>
      </w:r>
      <w:proofErr w:type="gramStart"/>
      <w:r>
        <w:rPr>
          <w:rFonts w:cs="Times New Roman"/>
          <w:lang w:val="en-GB"/>
        </w:rPr>
        <w:t>Falls</w:t>
      </w:r>
      <w:proofErr w:type="gramEnd"/>
      <w:r>
        <w:rPr>
          <w:rFonts w:cs="Times New Roman"/>
          <w:lang w:val="en-GB"/>
        </w:rPr>
        <w:t>, 29</w:t>
      </w:r>
    </w:p>
    <w:p w14:paraId="21044780" w14:textId="77777777" w:rsidR="006F421D" w:rsidRDefault="006F421D">
      <w:pPr>
        <w:pStyle w:val="2body-copy-before-bullet"/>
        <w:divId w:val="2142334130"/>
        <w:rPr>
          <w:rFonts w:cs="Times New Roman"/>
          <w:lang w:val="en-GB"/>
        </w:rPr>
      </w:pPr>
      <w:r>
        <w:rPr>
          <w:rFonts w:cs="Times New Roman"/>
          <w:lang w:val="en-GB"/>
        </w:rPr>
        <w:t>National Standards for Mental Health Services (NSMHS), 7, 24</w:t>
      </w:r>
    </w:p>
    <w:p w14:paraId="3C37C46E" w14:textId="77777777" w:rsidR="006F421D" w:rsidRDefault="006F421D">
      <w:pPr>
        <w:pStyle w:val="2body-copy-before-bullet"/>
        <w:divId w:val="2142334130"/>
        <w:rPr>
          <w:rFonts w:cs="Times New Roman"/>
          <w:lang w:val="en-GB"/>
        </w:rPr>
      </w:pPr>
      <w:r>
        <w:rPr>
          <w:rFonts w:cs="Times New Roman"/>
          <w:lang w:val="en-GB"/>
        </w:rPr>
        <w:t>National Surveillance Initiative, 44</w:t>
      </w:r>
    </w:p>
    <w:p w14:paraId="42777C03" w14:textId="77777777" w:rsidR="006F421D" w:rsidRDefault="006F421D">
      <w:pPr>
        <w:pStyle w:val="2body-copy-before-bullet"/>
        <w:divId w:val="2142334130"/>
        <w:rPr>
          <w:rFonts w:cs="Times New Roman"/>
          <w:lang w:val="en-GB"/>
        </w:rPr>
      </w:pPr>
      <w:r>
        <w:rPr>
          <w:rFonts w:cs="Times New Roman"/>
          <w:lang w:val="en-GB"/>
        </w:rPr>
        <w:t>NHR Act (</w:t>
      </w:r>
      <w:r>
        <w:rPr>
          <w:rStyle w:val="2body-italic0"/>
          <w:rFonts w:cs="Times New Roman"/>
          <w:lang w:val="en-GB"/>
        </w:rPr>
        <w:t>National Health Reform Act 2011</w:t>
      </w:r>
      <w:r>
        <w:rPr>
          <w:rFonts w:cs="Times New Roman"/>
          <w:lang w:val="en-GB"/>
        </w:rPr>
        <w:t>), 2, 16, 48, 64</w:t>
      </w:r>
    </w:p>
    <w:p w14:paraId="7CDD66F0" w14:textId="77777777" w:rsidR="006F421D" w:rsidRDefault="006F421D">
      <w:pPr>
        <w:pStyle w:val="2body-copy-before-bullet"/>
        <w:divId w:val="2142334130"/>
        <w:rPr>
          <w:rFonts w:cs="Times New Roman"/>
          <w:lang w:val="en-GB"/>
        </w:rPr>
      </w:pPr>
      <w:r>
        <w:rPr>
          <w:rStyle w:val="2body-italic0"/>
          <w:rFonts w:cs="Times New Roman"/>
          <w:lang w:val="en-GB"/>
        </w:rPr>
        <w:t>NIMC National Audit Report Supplement: From measurement to action</w:t>
      </w:r>
      <w:r>
        <w:rPr>
          <w:rFonts w:cs="Times New Roman"/>
          <w:lang w:val="en-GB"/>
        </w:rPr>
        <w:t>, 32</w:t>
      </w:r>
    </w:p>
    <w:p w14:paraId="54C2FBF3" w14:textId="77777777" w:rsidR="006F421D" w:rsidRDefault="006F421D">
      <w:pPr>
        <w:pStyle w:val="2body-copy-before-bullet"/>
        <w:divId w:val="2142334130"/>
        <w:rPr>
          <w:rFonts w:cs="Times New Roman"/>
          <w:lang w:val="en-GB"/>
        </w:rPr>
      </w:pPr>
      <w:r>
        <w:rPr>
          <w:rFonts w:cs="Times New Roman"/>
          <w:lang w:val="en-GB"/>
        </w:rPr>
        <w:t>NIMC (National Inpatient Medication Chart), 32</w:t>
      </w:r>
    </w:p>
    <w:p w14:paraId="57486F5E" w14:textId="77777777" w:rsidR="006F421D" w:rsidRDefault="006F421D">
      <w:pPr>
        <w:pStyle w:val="2body-copy-before-bullet"/>
        <w:divId w:val="2142334130"/>
        <w:rPr>
          <w:rFonts w:cs="Times New Roman"/>
          <w:lang w:val="en-GB"/>
        </w:rPr>
      </w:pPr>
      <w:r>
        <w:rPr>
          <w:rStyle w:val="2body-italic0"/>
          <w:rFonts w:cs="Times New Roman"/>
          <w:lang w:val="en-GB"/>
        </w:rPr>
        <w:t>No action today, no cure tomorrow</w:t>
      </w:r>
      <w:r>
        <w:rPr>
          <w:rFonts w:cs="Times New Roman"/>
          <w:lang w:val="en-GB"/>
        </w:rPr>
        <w:t>, 45</w:t>
      </w:r>
    </w:p>
    <w:p w14:paraId="10E55E0A" w14:textId="77777777" w:rsidR="006F421D" w:rsidRDefault="006F421D">
      <w:pPr>
        <w:pStyle w:val="2body-copy-before-bullet"/>
        <w:divId w:val="2142334130"/>
        <w:rPr>
          <w:rFonts w:cs="Times New Roman"/>
          <w:lang w:val="en-GB"/>
        </w:rPr>
      </w:pPr>
      <w:proofErr w:type="gramStart"/>
      <w:r>
        <w:rPr>
          <w:rFonts w:cs="Times New Roman"/>
          <w:lang w:val="en-GB"/>
        </w:rPr>
        <w:t>non-financial</w:t>
      </w:r>
      <w:proofErr w:type="gramEnd"/>
      <w:r>
        <w:rPr>
          <w:rFonts w:cs="Times New Roman"/>
          <w:lang w:val="en-GB"/>
        </w:rPr>
        <w:t xml:space="preserve"> assets, 107</w:t>
      </w:r>
    </w:p>
    <w:p w14:paraId="4A5566E5" w14:textId="77777777" w:rsidR="006F421D" w:rsidRDefault="006F421D">
      <w:pPr>
        <w:pStyle w:val="2body-copy-before-bullet"/>
        <w:divId w:val="2142334130"/>
        <w:rPr>
          <w:rFonts w:cs="Times New Roman"/>
          <w:lang w:val="en-GB"/>
        </w:rPr>
      </w:pPr>
      <w:proofErr w:type="gramStart"/>
      <w:r>
        <w:rPr>
          <w:rFonts w:cs="Times New Roman"/>
          <w:lang w:val="en-GB"/>
        </w:rPr>
        <w:t>non-salary</w:t>
      </w:r>
      <w:proofErr w:type="gramEnd"/>
      <w:r>
        <w:rPr>
          <w:rFonts w:cs="Times New Roman"/>
          <w:lang w:val="en-GB"/>
        </w:rPr>
        <w:t xml:space="preserve"> benefits for staff, </w:t>
      </w:r>
      <w:r>
        <w:rPr>
          <w:rStyle w:val="2body-medium"/>
          <w:rFonts w:cs="Times New Roman"/>
          <w:lang w:val="en-GB"/>
        </w:rPr>
        <w:t>81</w:t>
      </w:r>
    </w:p>
    <w:p w14:paraId="4959410C" w14:textId="77777777" w:rsidR="006F421D" w:rsidRDefault="006F421D">
      <w:pPr>
        <w:pStyle w:val="2body-copy-before-bullet"/>
        <w:divId w:val="2142334130"/>
        <w:rPr>
          <w:rFonts w:cs="Times New Roman"/>
          <w:lang w:val="en-GB"/>
        </w:rPr>
      </w:pPr>
      <w:r>
        <w:rPr>
          <w:rFonts w:cs="Times New Roman"/>
          <w:lang w:val="en-GB"/>
        </w:rPr>
        <w:t xml:space="preserve">NSQHS Standards </w:t>
      </w:r>
      <w:r>
        <w:rPr>
          <w:rStyle w:val="2body-italic0"/>
          <w:rFonts w:cs="Times New Roman"/>
          <w:lang w:val="en-GB"/>
        </w:rPr>
        <w:t>see</w:t>
      </w:r>
      <w:r>
        <w:rPr>
          <w:rFonts w:cs="Times New Roman"/>
          <w:lang w:val="en-GB"/>
        </w:rPr>
        <w:t xml:space="preserve"> National Safety and Quality Health Service (NSQHS) Standards</w:t>
      </w:r>
    </w:p>
    <w:p w14:paraId="00214BBF" w14:textId="77777777" w:rsidR="006F421D" w:rsidRDefault="006F421D">
      <w:pPr>
        <w:pStyle w:val="2body-copy-before-bullet"/>
        <w:divId w:val="2142334130"/>
        <w:rPr>
          <w:rFonts w:cs="Times New Roman"/>
          <w:lang w:val="en-GB"/>
        </w:rPr>
      </w:pPr>
      <w:r>
        <w:rPr>
          <w:rFonts w:cs="Times New Roman"/>
          <w:lang w:val="en-GB"/>
        </w:rPr>
        <w:t>NSQHS Standards Accreditation Advice Centre, 18</w:t>
      </w:r>
    </w:p>
    <w:p w14:paraId="18637E75" w14:textId="77777777" w:rsidR="006F421D" w:rsidRDefault="006F421D">
      <w:pPr>
        <w:pStyle w:val="2body-copy"/>
        <w:divId w:val="2142334130"/>
        <w:rPr>
          <w:rFonts w:cs="Times New Roman"/>
          <w:lang w:val="en-GB"/>
        </w:rPr>
      </w:pPr>
      <w:proofErr w:type="gramStart"/>
      <w:r>
        <w:rPr>
          <w:rFonts w:cs="Times New Roman"/>
          <w:lang w:val="en-GB"/>
        </w:rPr>
        <w:t>nursing</w:t>
      </w:r>
      <w:proofErr w:type="gramEnd"/>
      <w:r>
        <w:rPr>
          <w:rFonts w:cs="Times New Roman"/>
          <w:lang w:val="en-GB"/>
        </w:rPr>
        <w:t xml:space="preserve"> schools, 55</w:t>
      </w:r>
    </w:p>
    <w:p w14:paraId="3BF71E74" w14:textId="77777777" w:rsidR="006F421D" w:rsidRDefault="006F421D">
      <w:pPr>
        <w:pStyle w:val="1heading-level-3"/>
        <w:divId w:val="2142334130"/>
        <w:rPr>
          <w:rFonts w:cs="Times New Roman"/>
          <w:lang w:val="en-GB"/>
        </w:rPr>
      </w:pPr>
      <w:r>
        <w:rPr>
          <w:rFonts w:cs="Times New Roman"/>
          <w:lang w:val="en-GB"/>
        </w:rPr>
        <w:t>O</w:t>
      </w:r>
    </w:p>
    <w:p w14:paraId="12582915" w14:textId="77777777" w:rsidR="006F421D" w:rsidRDefault="006F421D">
      <w:pPr>
        <w:pStyle w:val="2body-copy-before-bullet"/>
        <w:divId w:val="2142334130"/>
        <w:rPr>
          <w:rFonts w:cs="Times New Roman"/>
          <w:lang w:val="en-GB"/>
        </w:rPr>
      </w:pPr>
      <w:proofErr w:type="gramStart"/>
      <w:r>
        <w:rPr>
          <w:rFonts w:cs="Times New Roman"/>
          <w:lang w:val="en-GB"/>
        </w:rPr>
        <w:t>obstetrics</w:t>
      </w:r>
      <w:proofErr w:type="gramEnd"/>
      <w:r>
        <w:rPr>
          <w:rFonts w:cs="Times New Roman"/>
          <w:lang w:val="en-GB"/>
        </w:rPr>
        <w:t>, 50</w:t>
      </w:r>
    </w:p>
    <w:p w14:paraId="5B2CC79F" w14:textId="77777777" w:rsidR="006F421D" w:rsidRDefault="006F421D">
      <w:pPr>
        <w:pStyle w:val="2body-copy-before-bullet"/>
        <w:divId w:val="2142334130"/>
        <w:rPr>
          <w:rFonts w:cs="Times New Roman"/>
          <w:lang w:val="en-GB"/>
        </w:rPr>
      </w:pPr>
      <w:r>
        <w:rPr>
          <w:rFonts w:cs="Times New Roman"/>
          <w:lang w:val="en-GB"/>
        </w:rPr>
        <w:t xml:space="preserve">Occupational Health and Safety </w:t>
      </w:r>
      <w:r>
        <w:rPr>
          <w:rFonts w:cs="Times New Roman"/>
          <w:lang w:val="en-GB"/>
        </w:rPr>
        <w:tab/>
        <w:t>Committee, 73</w:t>
      </w:r>
    </w:p>
    <w:p w14:paraId="5FF2F30E" w14:textId="77777777" w:rsidR="006F421D" w:rsidRDefault="006F421D">
      <w:pPr>
        <w:pStyle w:val="2body-copy-before-bullet"/>
        <w:divId w:val="2142334130"/>
        <w:rPr>
          <w:rFonts w:cs="Times New Roman"/>
          <w:lang w:val="en-GB"/>
        </w:rPr>
      </w:pPr>
      <w:r>
        <w:rPr>
          <w:rFonts w:cs="Times New Roman"/>
          <w:lang w:val="en-GB"/>
        </w:rPr>
        <w:t xml:space="preserve">OECD study of healthcare variation, </w:t>
      </w:r>
      <w:r>
        <w:rPr>
          <w:rStyle w:val="2body-medium"/>
          <w:rFonts w:cs="Times New Roman"/>
          <w:lang w:val="en-GB"/>
        </w:rPr>
        <w:t>41–42</w:t>
      </w:r>
      <w:r>
        <w:rPr>
          <w:rFonts w:cs="Times New Roman"/>
          <w:lang w:val="en-GB"/>
        </w:rPr>
        <w:t>, 52</w:t>
      </w:r>
    </w:p>
    <w:p w14:paraId="06634731" w14:textId="77777777" w:rsidR="006F421D" w:rsidRDefault="006F421D">
      <w:pPr>
        <w:pStyle w:val="2body-copy-before-bullet"/>
        <w:divId w:val="2142334130"/>
        <w:rPr>
          <w:rFonts w:cs="Times New Roman"/>
          <w:lang w:val="en-GB"/>
        </w:rPr>
      </w:pPr>
      <w:r>
        <w:rPr>
          <w:rStyle w:val="2body-italic0"/>
          <w:rFonts w:cs="Times New Roman"/>
          <w:lang w:val="en-GB"/>
        </w:rPr>
        <w:t>On the Radar</w:t>
      </w:r>
      <w:r>
        <w:rPr>
          <w:rFonts w:cs="Times New Roman"/>
          <w:lang w:val="en-GB"/>
        </w:rPr>
        <w:t>, 54</w:t>
      </w:r>
    </w:p>
    <w:p w14:paraId="29AED3E1" w14:textId="77777777" w:rsidR="006F421D" w:rsidRDefault="006F421D">
      <w:pPr>
        <w:pStyle w:val="2body-copy-before-bullet"/>
        <w:divId w:val="2142334130"/>
        <w:rPr>
          <w:rFonts w:cs="Times New Roman"/>
          <w:lang w:val="en-GB"/>
        </w:rPr>
      </w:pPr>
      <w:proofErr w:type="gramStart"/>
      <w:r>
        <w:rPr>
          <w:rFonts w:cs="Times New Roman"/>
          <w:lang w:val="en-GB"/>
        </w:rPr>
        <w:t>open</w:t>
      </w:r>
      <w:proofErr w:type="gramEnd"/>
      <w:r>
        <w:rPr>
          <w:rFonts w:cs="Times New Roman"/>
          <w:lang w:val="en-GB"/>
        </w:rPr>
        <w:t xml:space="preserve"> disclosure program, 4, </w:t>
      </w:r>
      <w:r>
        <w:rPr>
          <w:rStyle w:val="2body-medium"/>
          <w:rFonts w:cs="Times New Roman"/>
          <w:lang w:val="en-GB"/>
        </w:rPr>
        <w:t>37–38</w:t>
      </w:r>
    </w:p>
    <w:p w14:paraId="3303379B" w14:textId="77777777" w:rsidR="006F421D" w:rsidRDefault="006F421D">
      <w:pPr>
        <w:pStyle w:val="2body-copy-before-bullet"/>
        <w:divId w:val="2142334130"/>
        <w:rPr>
          <w:rFonts w:cs="Times New Roman"/>
          <w:lang w:val="en-GB"/>
        </w:rPr>
      </w:pPr>
      <w:proofErr w:type="gramStart"/>
      <w:r>
        <w:rPr>
          <w:rFonts w:cs="Times New Roman"/>
          <w:lang w:val="en-GB"/>
        </w:rPr>
        <w:t>operational</w:t>
      </w:r>
      <w:proofErr w:type="gramEnd"/>
      <w:r>
        <w:rPr>
          <w:rFonts w:cs="Times New Roman"/>
          <w:lang w:val="en-GB"/>
        </w:rPr>
        <w:t xml:space="preserve"> results, 4–8, 15–57</w:t>
      </w:r>
    </w:p>
    <w:p w14:paraId="1D78F91F" w14:textId="77777777" w:rsidR="006F421D" w:rsidRDefault="006F421D">
      <w:pPr>
        <w:pStyle w:val="2body-copy-before-bullet"/>
        <w:divId w:val="2142334130"/>
        <w:rPr>
          <w:rFonts w:cs="Times New Roman"/>
          <w:lang w:val="en-GB"/>
        </w:rPr>
      </w:pPr>
      <w:r>
        <w:rPr>
          <w:rStyle w:val="2body-italic0"/>
          <w:rFonts w:cs="Times New Roman"/>
          <w:lang w:val="en-GB"/>
        </w:rPr>
        <w:t>Options for Incorporating Safety and Quality into Public Hospital Pricing</w:t>
      </w:r>
      <w:r>
        <w:rPr>
          <w:rFonts w:cs="Times New Roman"/>
          <w:lang w:val="en-GB"/>
        </w:rPr>
        <w:t>, 57</w:t>
      </w:r>
    </w:p>
    <w:p w14:paraId="44F9DC80" w14:textId="77777777" w:rsidR="006F421D" w:rsidRDefault="006F421D">
      <w:pPr>
        <w:pStyle w:val="2body-copy-before-bullet"/>
        <w:divId w:val="2142334130"/>
        <w:rPr>
          <w:rFonts w:cs="Times New Roman"/>
          <w:lang w:val="en-GB"/>
        </w:rPr>
      </w:pPr>
      <w:r>
        <w:rPr>
          <w:rFonts w:cs="Times New Roman"/>
          <w:lang w:val="en-GB"/>
        </w:rPr>
        <w:t>Organisation for Economic Cooperation and Development (OECD), 41, 61</w:t>
      </w:r>
    </w:p>
    <w:p w14:paraId="408CE3DB" w14:textId="77777777" w:rsidR="006F421D" w:rsidRDefault="006F421D">
      <w:pPr>
        <w:pStyle w:val="2body-copy-before-bullet"/>
        <w:divId w:val="2142334130"/>
        <w:rPr>
          <w:rFonts w:cs="Times New Roman"/>
          <w:lang w:val="en-GB"/>
        </w:rPr>
      </w:pPr>
      <w:proofErr w:type="gramStart"/>
      <w:r>
        <w:rPr>
          <w:rFonts w:cs="Times New Roman"/>
          <w:lang w:val="en-GB"/>
        </w:rPr>
        <w:t>organisational</w:t>
      </w:r>
      <w:proofErr w:type="gramEnd"/>
      <w:r>
        <w:rPr>
          <w:rFonts w:cs="Times New Roman"/>
          <w:lang w:val="en-GB"/>
        </w:rPr>
        <w:t xml:space="preserve"> structure, </w:t>
      </w:r>
      <w:r>
        <w:rPr>
          <w:rStyle w:val="2body-medium"/>
          <w:rFonts w:cs="Times New Roman"/>
          <w:lang w:val="en-GB"/>
        </w:rPr>
        <w:t>78–79</w:t>
      </w:r>
    </w:p>
    <w:p w14:paraId="780E1BBA" w14:textId="77777777" w:rsidR="006F421D" w:rsidRDefault="006F421D">
      <w:pPr>
        <w:pStyle w:val="2body-copy-before-bullet"/>
        <w:divId w:val="2142334130"/>
        <w:rPr>
          <w:rFonts w:cs="Times New Roman"/>
          <w:lang w:val="en-GB"/>
        </w:rPr>
      </w:pPr>
      <w:proofErr w:type="gramStart"/>
      <w:r>
        <w:rPr>
          <w:rFonts w:cs="Times New Roman"/>
          <w:lang w:val="en-GB"/>
        </w:rPr>
        <w:t>outcomes</w:t>
      </w:r>
      <w:proofErr w:type="gramEnd"/>
      <w:r>
        <w:rPr>
          <w:rFonts w:cs="Times New Roman"/>
          <w:lang w:val="en-GB"/>
        </w:rPr>
        <w:t xml:space="preserve"> (financial report), 118</w:t>
      </w:r>
    </w:p>
    <w:p w14:paraId="504AA03C" w14:textId="77777777" w:rsidR="006F421D" w:rsidRDefault="006F421D">
      <w:pPr>
        <w:pStyle w:val="1heading-level-3"/>
        <w:divId w:val="2142334130"/>
        <w:rPr>
          <w:rFonts w:cs="Times New Roman"/>
          <w:lang w:val="en-GB"/>
        </w:rPr>
      </w:pPr>
      <w:r>
        <w:rPr>
          <w:rFonts w:cs="Times New Roman"/>
          <w:lang w:val="en-GB"/>
        </w:rPr>
        <w:t>P</w:t>
      </w:r>
    </w:p>
    <w:p w14:paraId="59F20CC4" w14:textId="77777777" w:rsidR="006F421D" w:rsidRDefault="006F421D">
      <w:pPr>
        <w:pStyle w:val="2body-copy-before-bullet"/>
        <w:divId w:val="2142334130"/>
        <w:rPr>
          <w:rFonts w:cs="Times New Roman"/>
          <w:lang w:val="en-GB"/>
        </w:rPr>
      </w:pPr>
      <w:r>
        <w:rPr>
          <w:rFonts w:cs="Times New Roman"/>
          <w:lang w:val="en-GB"/>
        </w:rPr>
        <w:t>Park, Shelly, 11, 68, 70</w:t>
      </w:r>
    </w:p>
    <w:p w14:paraId="35E0956B" w14:textId="77777777" w:rsidR="006F421D" w:rsidRDefault="006F421D">
      <w:pPr>
        <w:pStyle w:val="2body-copy-before-bullet"/>
        <w:divId w:val="2142334130"/>
        <w:rPr>
          <w:rFonts w:cs="Times New Roman"/>
          <w:lang w:val="en-GB"/>
        </w:rPr>
      </w:pPr>
      <w:proofErr w:type="gramStart"/>
      <w:r>
        <w:rPr>
          <w:rFonts w:cs="Times New Roman"/>
          <w:lang w:val="en-GB"/>
        </w:rPr>
        <w:t>parliamentary</w:t>
      </w:r>
      <w:proofErr w:type="gramEnd"/>
      <w:r>
        <w:rPr>
          <w:rFonts w:cs="Times New Roman"/>
          <w:lang w:val="en-GB"/>
        </w:rPr>
        <w:t xml:space="preserve"> oversight, </w:t>
      </w:r>
      <w:r>
        <w:rPr>
          <w:rStyle w:val="2body-medium"/>
          <w:rFonts w:cs="Times New Roman"/>
          <w:lang w:val="en-GB"/>
        </w:rPr>
        <w:t>74</w:t>
      </w:r>
    </w:p>
    <w:p w14:paraId="03D0F806" w14:textId="77777777" w:rsidR="006F421D" w:rsidRDefault="006F421D">
      <w:pPr>
        <w:pStyle w:val="2body-copy-before-bullet"/>
        <w:divId w:val="2142334130"/>
        <w:rPr>
          <w:rFonts w:cs="Times New Roman"/>
          <w:lang w:val="en-GB"/>
        </w:rPr>
      </w:pPr>
      <w:proofErr w:type="gramStart"/>
      <w:r>
        <w:rPr>
          <w:rFonts w:cs="Times New Roman"/>
          <w:lang w:val="en-GB"/>
        </w:rPr>
        <w:t>patient</w:t>
      </w:r>
      <w:proofErr w:type="gramEnd"/>
      <w:r>
        <w:rPr>
          <w:rFonts w:cs="Times New Roman"/>
          <w:lang w:val="en-GB"/>
        </w:rPr>
        <w:t xml:space="preserve"> experience questions, </w:t>
      </w:r>
      <w:r>
        <w:rPr>
          <w:rStyle w:val="2body-medium"/>
          <w:rFonts w:cs="Times New Roman"/>
          <w:lang w:val="en-GB"/>
        </w:rPr>
        <w:t>49–50</w:t>
      </w:r>
    </w:p>
    <w:p w14:paraId="02C7C2F8" w14:textId="77777777" w:rsidR="006F421D" w:rsidRDefault="006F421D">
      <w:pPr>
        <w:pStyle w:val="2body-copy-before-bullet"/>
        <w:divId w:val="2142334130"/>
        <w:rPr>
          <w:rFonts w:cs="Times New Roman"/>
          <w:lang w:val="en-GB"/>
        </w:rPr>
      </w:pPr>
      <w:proofErr w:type="gramStart"/>
      <w:r>
        <w:rPr>
          <w:rFonts w:cs="Times New Roman"/>
          <w:lang w:val="en-GB"/>
        </w:rPr>
        <w:t>patient</w:t>
      </w:r>
      <w:proofErr w:type="gramEnd"/>
      <w:r>
        <w:rPr>
          <w:rFonts w:cs="Times New Roman"/>
          <w:lang w:val="en-GB"/>
        </w:rPr>
        <w:t xml:space="preserve"> harm reduction, </w:t>
      </w:r>
      <w:r>
        <w:rPr>
          <w:rStyle w:val="2body-medium"/>
          <w:rFonts w:cs="Times New Roman"/>
          <w:lang w:val="en-GB"/>
        </w:rPr>
        <w:t>32–34</w:t>
      </w:r>
    </w:p>
    <w:p w14:paraId="448F4DD4" w14:textId="77777777" w:rsidR="006F421D" w:rsidRDefault="006F421D">
      <w:pPr>
        <w:pStyle w:val="2body-copy-before-bullet"/>
        <w:divId w:val="2142334130"/>
        <w:rPr>
          <w:rFonts w:cs="Times New Roman"/>
          <w:lang w:val="en-GB"/>
        </w:rPr>
      </w:pPr>
      <w:proofErr w:type="gramStart"/>
      <w:r>
        <w:rPr>
          <w:rFonts w:cs="Times New Roman"/>
          <w:lang w:val="en-GB"/>
        </w:rPr>
        <w:t>patient</w:t>
      </w:r>
      <w:proofErr w:type="gramEnd"/>
      <w:r>
        <w:rPr>
          <w:rFonts w:cs="Times New Roman"/>
          <w:lang w:val="en-GB"/>
        </w:rPr>
        <w:t xml:space="preserve"> safety, </w:t>
      </w:r>
      <w:r>
        <w:rPr>
          <w:rStyle w:val="2body-medium"/>
          <w:rFonts w:cs="Times New Roman"/>
          <w:lang w:val="en-GB"/>
        </w:rPr>
        <w:t>60–62</w:t>
      </w:r>
    </w:p>
    <w:p w14:paraId="48A99E87" w14:textId="77777777" w:rsidR="006F421D" w:rsidRDefault="006F421D">
      <w:pPr>
        <w:pStyle w:val="2body-copy-before-bullet"/>
        <w:divId w:val="2142334130"/>
        <w:rPr>
          <w:rFonts w:cs="Times New Roman"/>
          <w:lang w:val="en-GB"/>
        </w:rPr>
      </w:pPr>
      <w:proofErr w:type="gramStart"/>
      <w:r>
        <w:rPr>
          <w:rFonts w:cs="Times New Roman"/>
          <w:lang w:val="en-GB"/>
        </w:rPr>
        <w:t>patients</w:t>
      </w:r>
      <w:proofErr w:type="gramEnd"/>
    </w:p>
    <w:p w14:paraId="2E3369BA"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care</w:t>
      </w:r>
      <w:proofErr w:type="gramEnd"/>
      <w:r>
        <w:rPr>
          <w:rFonts w:cs="Times New Roman"/>
          <w:lang w:val="en-GB"/>
        </w:rPr>
        <w:t xml:space="preserve"> standards </w:t>
      </w:r>
      <w:r>
        <w:rPr>
          <w:rStyle w:val="2body-italic0"/>
          <w:rFonts w:cs="Times New Roman"/>
          <w:lang w:val="en-GB"/>
        </w:rPr>
        <w:t>see</w:t>
      </w:r>
      <w:r>
        <w:rPr>
          <w:rFonts w:cs="Times New Roman"/>
          <w:lang w:val="en-GB"/>
        </w:rPr>
        <w:t xml:space="preserve"> National Safety and Quality Health Service (NSQHS) Standards</w:t>
      </w:r>
    </w:p>
    <w:p w14:paraId="056BBF65" w14:textId="77777777" w:rsidR="006F421D" w:rsidRDefault="006F421D" w:rsidP="006F421D">
      <w:pPr>
        <w:pStyle w:val="2body-copy-before-bullet"/>
        <w:ind w:left="567"/>
        <w:divId w:val="2142334130"/>
        <w:rPr>
          <w:rFonts w:cs="Times New Roman"/>
          <w:lang w:val="en-GB"/>
        </w:rPr>
      </w:pPr>
      <w:r>
        <w:rPr>
          <w:rFonts w:cs="Times New Roman"/>
          <w:lang w:val="en-GB"/>
        </w:rPr>
        <w:t xml:space="preserve">Clinical Communication program, </w:t>
      </w:r>
      <w:r>
        <w:rPr>
          <w:rStyle w:val="2body-medium"/>
          <w:rFonts w:cs="Times New Roman"/>
          <w:lang w:val="en-GB"/>
        </w:rPr>
        <w:t>27</w:t>
      </w:r>
    </w:p>
    <w:p w14:paraId="119A295C"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health</w:t>
      </w:r>
      <w:proofErr w:type="gramEnd"/>
      <w:r>
        <w:rPr>
          <w:rFonts w:cs="Times New Roman"/>
          <w:lang w:val="en-GB"/>
        </w:rPr>
        <w:t xml:space="preserve"> literacy, </w:t>
      </w:r>
      <w:r>
        <w:rPr>
          <w:rStyle w:val="2body-medium"/>
          <w:rFonts w:cs="Times New Roman"/>
          <w:lang w:val="en-GB"/>
        </w:rPr>
        <w:t>29–30</w:t>
      </w:r>
      <w:r>
        <w:rPr>
          <w:rFonts w:cs="Times New Roman"/>
          <w:lang w:val="en-GB"/>
        </w:rPr>
        <w:t>, 35, 62, 121, 130</w:t>
      </w:r>
    </w:p>
    <w:p w14:paraId="62317394"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medication</w:t>
      </w:r>
      <w:proofErr w:type="gramEnd"/>
      <w:r>
        <w:rPr>
          <w:rFonts w:cs="Times New Roman"/>
          <w:lang w:val="en-GB"/>
        </w:rPr>
        <w:t xml:space="preserve"> errors, </w:t>
      </w:r>
      <w:r>
        <w:rPr>
          <w:rStyle w:val="2body-medium"/>
          <w:rFonts w:cs="Times New Roman"/>
          <w:lang w:val="en-GB"/>
        </w:rPr>
        <w:t>32–34</w:t>
      </w:r>
    </w:p>
    <w:p w14:paraId="1E2BE7B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mental</w:t>
      </w:r>
      <w:proofErr w:type="gramEnd"/>
      <w:r>
        <w:rPr>
          <w:rFonts w:cs="Times New Roman"/>
          <w:lang w:val="en-GB"/>
        </w:rPr>
        <w:t xml:space="preserve"> state, </w:t>
      </w:r>
      <w:r>
        <w:rPr>
          <w:rStyle w:val="2body-medium"/>
          <w:rFonts w:cs="Times New Roman"/>
          <w:lang w:val="en-GB"/>
        </w:rPr>
        <w:t>38–39</w:t>
      </w:r>
    </w:p>
    <w:p w14:paraId="1564D6A9" w14:textId="77777777" w:rsidR="006F421D" w:rsidRDefault="006F421D" w:rsidP="006F421D">
      <w:pPr>
        <w:pStyle w:val="2body-copy-before-bullet"/>
        <w:ind w:left="567"/>
        <w:divId w:val="2142334130"/>
        <w:rPr>
          <w:rFonts w:cs="Times New Roman"/>
          <w:lang w:val="en-GB"/>
        </w:rPr>
      </w:pPr>
      <w:r>
        <w:rPr>
          <w:rFonts w:cs="Times New Roman"/>
          <w:lang w:val="en-GB"/>
        </w:rPr>
        <w:t>National Patient Contact Protocol, 37</w:t>
      </w:r>
    </w:p>
    <w:p w14:paraId="588BC4F2"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needs</w:t>
      </w:r>
      <w:proofErr w:type="gramEnd"/>
      <w:r>
        <w:rPr>
          <w:rFonts w:cs="Times New Roman"/>
          <w:lang w:val="en-GB"/>
        </w:rPr>
        <w:t>, 19</w:t>
      </w:r>
    </w:p>
    <w:p w14:paraId="050F508F"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open</w:t>
      </w:r>
      <w:proofErr w:type="gramEnd"/>
      <w:r>
        <w:rPr>
          <w:rFonts w:cs="Times New Roman"/>
          <w:lang w:val="en-GB"/>
        </w:rPr>
        <w:t xml:space="preserve"> disclosure program, 37–38</w:t>
      </w:r>
    </w:p>
    <w:p w14:paraId="37922CD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role</w:t>
      </w:r>
      <w:proofErr w:type="gramEnd"/>
      <w:r>
        <w:rPr>
          <w:rFonts w:cs="Times New Roman"/>
          <w:lang w:val="en-GB"/>
        </w:rPr>
        <w:t xml:space="preserve"> in healthcare safety, 62</w:t>
      </w:r>
    </w:p>
    <w:p w14:paraId="7DCF9C28"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seclusion</w:t>
      </w:r>
      <w:proofErr w:type="gramEnd"/>
      <w:r>
        <w:rPr>
          <w:rFonts w:cs="Times New Roman"/>
          <w:lang w:val="en-GB"/>
        </w:rPr>
        <w:t>, 60</w:t>
      </w:r>
    </w:p>
    <w:p w14:paraId="20A69921" w14:textId="77777777" w:rsidR="006F421D" w:rsidRDefault="006F421D">
      <w:pPr>
        <w:pStyle w:val="2body-copy-before-bullet"/>
        <w:divId w:val="2142334130"/>
        <w:rPr>
          <w:rFonts w:cs="Times New Roman"/>
          <w:lang w:val="en-GB"/>
        </w:rPr>
      </w:pPr>
      <w:proofErr w:type="gramStart"/>
      <w:r>
        <w:rPr>
          <w:rFonts w:cs="Times New Roman"/>
          <w:lang w:val="en-GB"/>
        </w:rPr>
        <w:t>payables</w:t>
      </w:r>
      <w:proofErr w:type="gramEnd"/>
      <w:r>
        <w:rPr>
          <w:rFonts w:cs="Times New Roman"/>
          <w:lang w:val="en-GB"/>
        </w:rPr>
        <w:t>, 108</w:t>
      </w:r>
    </w:p>
    <w:p w14:paraId="324D3E5D" w14:textId="77777777" w:rsidR="006F421D" w:rsidRDefault="006F421D">
      <w:pPr>
        <w:pStyle w:val="2body-copy-before-bullet"/>
        <w:divId w:val="2142334130"/>
        <w:rPr>
          <w:rFonts w:cs="Times New Roman"/>
          <w:lang w:val="en-GB"/>
        </w:rPr>
      </w:pPr>
      <w:r>
        <w:rPr>
          <w:rFonts w:cs="Times New Roman"/>
          <w:lang w:val="en-GB"/>
        </w:rPr>
        <w:t>PCEHR system, 56–57</w:t>
      </w:r>
    </w:p>
    <w:p w14:paraId="585E322D" w14:textId="77777777" w:rsidR="006F421D" w:rsidRDefault="006F421D">
      <w:pPr>
        <w:pStyle w:val="2body-copy-before-bullet"/>
        <w:divId w:val="2142334130"/>
        <w:rPr>
          <w:rFonts w:cs="Times New Roman"/>
          <w:lang w:val="en-GB"/>
        </w:rPr>
      </w:pPr>
      <w:proofErr w:type="gramStart"/>
      <w:r>
        <w:rPr>
          <w:rFonts w:cs="Times New Roman"/>
          <w:lang w:val="en-GB"/>
        </w:rPr>
        <w:t>people</w:t>
      </w:r>
      <w:proofErr w:type="gramEnd"/>
      <w:r>
        <w:rPr>
          <w:rFonts w:cs="Times New Roman"/>
          <w:lang w:val="en-GB"/>
        </w:rPr>
        <w:t xml:space="preserve"> management </w:t>
      </w:r>
      <w:r>
        <w:rPr>
          <w:rStyle w:val="2body-italic0"/>
          <w:rFonts w:cs="Times New Roman"/>
          <w:lang w:val="en-GB"/>
        </w:rPr>
        <w:t>see</w:t>
      </w:r>
      <w:r>
        <w:rPr>
          <w:rFonts w:cs="Times New Roman"/>
          <w:lang w:val="en-GB"/>
        </w:rPr>
        <w:t xml:space="preserve"> staff</w:t>
      </w:r>
    </w:p>
    <w:p w14:paraId="30B7D1A0" w14:textId="77777777" w:rsidR="006F421D" w:rsidRDefault="006F421D">
      <w:pPr>
        <w:pStyle w:val="2body-copy-before-bullet"/>
        <w:divId w:val="2142334130"/>
        <w:rPr>
          <w:rFonts w:cs="Times New Roman"/>
          <w:lang w:val="en-GB"/>
        </w:rPr>
      </w:pPr>
      <w:proofErr w:type="gramStart"/>
      <w:r>
        <w:rPr>
          <w:rFonts w:cs="Times New Roman"/>
          <w:lang w:val="en-GB"/>
        </w:rPr>
        <w:t>performance</w:t>
      </w:r>
      <w:proofErr w:type="gramEnd"/>
      <w:r>
        <w:rPr>
          <w:rFonts w:cs="Times New Roman"/>
          <w:lang w:val="en-GB"/>
        </w:rPr>
        <w:t xml:space="preserve"> development scheme (PDS), 82</w:t>
      </w:r>
    </w:p>
    <w:p w14:paraId="16F1A279" w14:textId="77777777" w:rsidR="006F421D" w:rsidRDefault="006F421D">
      <w:pPr>
        <w:pStyle w:val="2body-copy-before-bullet"/>
        <w:divId w:val="2142334130"/>
        <w:rPr>
          <w:rFonts w:cs="Times New Roman"/>
          <w:lang w:val="en-GB"/>
        </w:rPr>
      </w:pPr>
      <w:r>
        <w:rPr>
          <w:rFonts w:cs="Times New Roman"/>
          <w:lang w:val="en-GB"/>
        </w:rPr>
        <w:t>Personally Controlled Electronic Health Record (PCEHR) system, 36, 56</w:t>
      </w:r>
    </w:p>
    <w:p w14:paraId="4EF2AA0A" w14:textId="77777777" w:rsidR="006F421D" w:rsidRDefault="006F421D">
      <w:pPr>
        <w:pStyle w:val="2body-copy-before-bullet"/>
        <w:divId w:val="2142334130"/>
        <w:rPr>
          <w:rFonts w:cs="Times New Roman"/>
          <w:lang w:val="en-GB"/>
        </w:rPr>
      </w:pPr>
      <w:r>
        <w:rPr>
          <w:rFonts w:cs="Times New Roman"/>
          <w:lang w:val="en-GB"/>
        </w:rPr>
        <w:t>Pharmaceutical Benefit Scheme (PBS), 32, 33</w:t>
      </w:r>
    </w:p>
    <w:p w14:paraId="4E72104F" w14:textId="77777777" w:rsidR="006F421D" w:rsidRDefault="006F421D">
      <w:pPr>
        <w:pStyle w:val="2body-copy-before-bullet"/>
        <w:divId w:val="2142334130"/>
        <w:rPr>
          <w:rFonts w:cs="Times New Roman"/>
          <w:lang w:val="en-GB"/>
        </w:rPr>
      </w:pPr>
      <w:proofErr w:type="gramStart"/>
      <w:r>
        <w:rPr>
          <w:rFonts w:cs="Times New Roman"/>
          <w:lang w:val="en-GB"/>
        </w:rPr>
        <w:t>pharmacy</w:t>
      </w:r>
      <w:proofErr w:type="gramEnd"/>
      <w:r>
        <w:rPr>
          <w:rFonts w:cs="Times New Roman"/>
          <w:lang w:val="en-GB"/>
        </w:rPr>
        <w:t xml:space="preserve"> dispensing labels, 35</w:t>
      </w:r>
    </w:p>
    <w:p w14:paraId="08E875E7" w14:textId="77777777" w:rsidR="006F421D" w:rsidRDefault="006F421D">
      <w:pPr>
        <w:pStyle w:val="2body-copy-before-bullet"/>
        <w:divId w:val="2142334130"/>
        <w:rPr>
          <w:rFonts w:cs="Times New Roman"/>
          <w:lang w:val="en-GB"/>
        </w:rPr>
      </w:pPr>
      <w:proofErr w:type="gramStart"/>
      <w:r>
        <w:rPr>
          <w:rFonts w:cs="Times New Roman"/>
          <w:lang w:val="en-GB"/>
        </w:rPr>
        <w:t>pharmacy</w:t>
      </w:r>
      <w:proofErr w:type="gramEnd"/>
      <w:r>
        <w:rPr>
          <w:rFonts w:cs="Times New Roman"/>
          <w:lang w:val="en-GB"/>
        </w:rPr>
        <w:t xml:space="preserve"> supply errors, 33</w:t>
      </w:r>
    </w:p>
    <w:p w14:paraId="58FFD22B" w14:textId="77777777" w:rsidR="006F421D" w:rsidRDefault="006F421D">
      <w:pPr>
        <w:pStyle w:val="2body-copy-before-bullet"/>
        <w:divId w:val="2142334130"/>
        <w:rPr>
          <w:rFonts w:cs="Times New Roman"/>
          <w:lang w:val="en-GB"/>
        </w:rPr>
      </w:pPr>
      <w:r>
        <w:rPr>
          <w:rFonts w:cs="Times New Roman"/>
          <w:lang w:val="en-GB"/>
        </w:rPr>
        <w:t>Picone, Professor Debora, 12–13</w:t>
      </w:r>
    </w:p>
    <w:p w14:paraId="692E9EC0" w14:textId="77777777" w:rsidR="006F421D" w:rsidRDefault="006F421D">
      <w:pPr>
        <w:pStyle w:val="2body-copy-before-bullet"/>
        <w:divId w:val="2142334130"/>
        <w:rPr>
          <w:rFonts w:cs="Times New Roman"/>
          <w:lang w:val="en-GB"/>
        </w:rPr>
      </w:pPr>
      <w:r>
        <w:rPr>
          <w:rFonts w:cs="Times New Roman"/>
          <w:lang w:val="en-GB"/>
        </w:rPr>
        <w:t>Plibersek, Hon. Tanya, 3</w:t>
      </w:r>
    </w:p>
    <w:p w14:paraId="3C8D1181" w14:textId="77777777" w:rsidR="006F421D" w:rsidRDefault="006F421D">
      <w:pPr>
        <w:pStyle w:val="2body-copy-before-bullet"/>
        <w:divId w:val="2142334130"/>
        <w:rPr>
          <w:rFonts w:cs="Times New Roman"/>
          <w:lang w:val="en-GB"/>
        </w:rPr>
      </w:pPr>
      <w:proofErr w:type="gramStart"/>
      <w:r>
        <w:rPr>
          <w:rFonts w:cs="Times New Roman"/>
          <w:lang w:val="en-GB"/>
        </w:rPr>
        <w:t>post-partum</w:t>
      </w:r>
      <w:proofErr w:type="gramEnd"/>
      <w:r>
        <w:rPr>
          <w:rFonts w:cs="Times New Roman"/>
          <w:lang w:val="en-GB"/>
        </w:rPr>
        <w:t xml:space="preserve"> haemorrhage, </w:t>
      </w:r>
      <w:r>
        <w:rPr>
          <w:rStyle w:val="2body-medium"/>
          <w:rFonts w:cs="Times New Roman"/>
          <w:lang w:val="en-GB"/>
        </w:rPr>
        <w:t>50</w:t>
      </w:r>
    </w:p>
    <w:p w14:paraId="0AE54EF8" w14:textId="77777777" w:rsidR="006F421D" w:rsidRDefault="006F421D">
      <w:pPr>
        <w:pStyle w:val="2body-copy-before-bullet"/>
        <w:divId w:val="2142334130"/>
        <w:rPr>
          <w:rFonts w:cs="Times New Roman"/>
          <w:lang w:val="en-GB"/>
        </w:rPr>
      </w:pPr>
      <w:r>
        <w:rPr>
          <w:rStyle w:val="2body-italic0"/>
          <w:rFonts w:cs="Times New Roman"/>
          <w:lang w:val="en-GB"/>
        </w:rPr>
        <w:t>Preliminary Report on AMR and AU Surveillance in Australia</w:t>
      </w:r>
      <w:r>
        <w:rPr>
          <w:rFonts w:cs="Times New Roman"/>
          <w:lang w:val="en-GB"/>
        </w:rPr>
        <w:t>, 47</w:t>
      </w:r>
    </w:p>
    <w:p w14:paraId="1A13300D" w14:textId="77777777" w:rsidR="006F421D" w:rsidRDefault="006F421D">
      <w:pPr>
        <w:pStyle w:val="2body-copy-before-bullet"/>
        <w:divId w:val="2142334130"/>
        <w:rPr>
          <w:rFonts w:cs="Times New Roman"/>
          <w:lang w:val="en-GB"/>
        </w:rPr>
      </w:pPr>
      <w:proofErr w:type="gramStart"/>
      <w:r>
        <w:rPr>
          <w:rFonts w:cs="Times New Roman"/>
          <w:lang w:val="en-GB"/>
        </w:rPr>
        <w:t>prescription</w:t>
      </w:r>
      <w:proofErr w:type="gramEnd"/>
      <w:r>
        <w:rPr>
          <w:rFonts w:cs="Times New Roman"/>
          <w:lang w:val="en-GB"/>
        </w:rPr>
        <w:t xml:space="preserve"> of antimicrobials, 56</w:t>
      </w:r>
    </w:p>
    <w:p w14:paraId="6D271FC9" w14:textId="77777777" w:rsidR="006F421D" w:rsidRDefault="006F421D">
      <w:pPr>
        <w:pStyle w:val="2body-copy-before-bullet"/>
        <w:divId w:val="2142334130"/>
        <w:rPr>
          <w:rFonts w:cs="Times New Roman"/>
          <w:lang w:val="en-GB"/>
        </w:rPr>
      </w:pPr>
      <w:proofErr w:type="gramStart"/>
      <w:r>
        <w:rPr>
          <w:rFonts w:cs="Times New Roman"/>
          <w:lang w:val="en-GB"/>
        </w:rPr>
        <w:t>primary</w:t>
      </w:r>
      <w:proofErr w:type="gramEnd"/>
      <w:r>
        <w:rPr>
          <w:rFonts w:cs="Times New Roman"/>
          <w:lang w:val="en-GB"/>
        </w:rPr>
        <w:t xml:space="preserve"> care,</w:t>
      </w:r>
      <w:r>
        <w:rPr>
          <w:rStyle w:val="2body-medium"/>
          <w:rFonts w:cs="Times New Roman"/>
          <w:lang w:val="en-GB"/>
        </w:rPr>
        <w:t xml:space="preserve"> 22</w:t>
      </w:r>
    </w:p>
    <w:p w14:paraId="10FB63A6" w14:textId="77777777" w:rsidR="006F421D" w:rsidRDefault="006F421D">
      <w:pPr>
        <w:pStyle w:val="2body-copy-before-bullet"/>
        <w:divId w:val="2142334130"/>
        <w:rPr>
          <w:rFonts w:cs="Times New Roman"/>
          <w:lang w:val="en-GB"/>
        </w:rPr>
      </w:pPr>
      <w:r>
        <w:rPr>
          <w:rFonts w:cs="Times New Roman"/>
          <w:lang w:val="en-GB"/>
        </w:rPr>
        <w:t>Primary Health Committee, 72</w:t>
      </w:r>
    </w:p>
    <w:p w14:paraId="172A9413" w14:textId="77777777" w:rsidR="006F421D" w:rsidRDefault="006F421D">
      <w:pPr>
        <w:pStyle w:val="2body-copy-before-bullet"/>
        <w:divId w:val="2142334130"/>
        <w:rPr>
          <w:rFonts w:cs="Times New Roman"/>
          <w:lang w:val="en-GB"/>
        </w:rPr>
      </w:pPr>
      <w:r>
        <w:rPr>
          <w:rFonts w:cs="Times New Roman"/>
          <w:lang w:val="en-GB"/>
        </w:rPr>
        <w:lastRenderedPageBreak/>
        <w:t>Prime Minister’s Awards for Excellence in Public Sector Management, 5, 12, 18</w:t>
      </w:r>
    </w:p>
    <w:p w14:paraId="577F5C4A" w14:textId="77777777" w:rsidR="006F421D" w:rsidRDefault="006F421D">
      <w:pPr>
        <w:pStyle w:val="2body-copy-before-bullet"/>
        <w:divId w:val="2142334130"/>
        <w:rPr>
          <w:rFonts w:cs="Times New Roman"/>
          <w:lang w:val="en-GB"/>
        </w:rPr>
      </w:pPr>
      <w:proofErr w:type="gramStart"/>
      <w:r>
        <w:rPr>
          <w:rFonts w:cs="Times New Roman"/>
          <w:lang w:val="en-GB"/>
        </w:rPr>
        <w:t>priorities</w:t>
      </w:r>
      <w:proofErr w:type="gramEnd"/>
      <w:r>
        <w:rPr>
          <w:rFonts w:cs="Times New Roman"/>
          <w:lang w:val="en-GB"/>
        </w:rPr>
        <w:t xml:space="preserve"> of the Commission, </w:t>
      </w:r>
      <w:r>
        <w:rPr>
          <w:rStyle w:val="2body-medium"/>
          <w:rFonts w:cs="Times New Roman"/>
          <w:lang w:val="en-GB"/>
        </w:rPr>
        <w:t>16</w:t>
      </w:r>
    </w:p>
    <w:p w14:paraId="4C047659" w14:textId="77777777" w:rsidR="006F421D" w:rsidRDefault="006F421D">
      <w:pPr>
        <w:pStyle w:val="2body-copy-before-bullet"/>
        <w:divId w:val="2142334130"/>
        <w:rPr>
          <w:rFonts w:cs="Times New Roman"/>
          <w:lang w:val="en-GB"/>
        </w:rPr>
      </w:pPr>
      <w:r>
        <w:rPr>
          <w:rFonts w:cs="Times New Roman"/>
          <w:lang w:val="en-GB"/>
        </w:rPr>
        <w:t>Private Hospital Sector Committee, 72</w:t>
      </w:r>
    </w:p>
    <w:p w14:paraId="623D0AA6" w14:textId="77777777" w:rsidR="006F421D" w:rsidRDefault="006F421D">
      <w:pPr>
        <w:pStyle w:val="2body-copy-before-bullet"/>
        <w:divId w:val="2142334130"/>
        <w:rPr>
          <w:rFonts w:cs="Times New Roman"/>
          <w:lang w:val="en-GB"/>
        </w:rPr>
      </w:pPr>
      <w:r>
        <w:rPr>
          <w:rFonts w:cs="Times New Roman"/>
          <w:lang w:val="en-GB"/>
        </w:rPr>
        <w:t>Private Mental Health Alliance, 24</w:t>
      </w:r>
    </w:p>
    <w:p w14:paraId="5ACE65BC" w14:textId="77777777" w:rsidR="006F421D" w:rsidRDefault="006F421D">
      <w:pPr>
        <w:pStyle w:val="2body-copy-before-bullet"/>
        <w:divId w:val="2142334130"/>
        <w:rPr>
          <w:rFonts w:cs="Times New Roman"/>
          <w:lang w:val="en-GB"/>
        </w:rPr>
      </w:pPr>
      <w:proofErr w:type="gramStart"/>
      <w:r>
        <w:rPr>
          <w:rFonts w:cs="Times New Roman"/>
          <w:lang w:val="en-GB"/>
        </w:rPr>
        <w:t>provisions</w:t>
      </w:r>
      <w:proofErr w:type="gramEnd"/>
      <w:r>
        <w:rPr>
          <w:rFonts w:cs="Times New Roman"/>
          <w:lang w:val="en-GB"/>
        </w:rPr>
        <w:t>, 109</w:t>
      </w:r>
    </w:p>
    <w:p w14:paraId="3B21B88F" w14:textId="77777777" w:rsidR="006F421D" w:rsidRDefault="006F421D">
      <w:pPr>
        <w:pStyle w:val="2body-copy-before-bullet"/>
        <w:divId w:val="2142334130"/>
        <w:rPr>
          <w:rFonts w:cs="Times New Roman"/>
          <w:lang w:val="en-GB"/>
        </w:rPr>
      </w:pPr>
      <w:r>
        <w:rPr>
          <w:rStyle w:val="2body-italic0"/>
          <w:rFonts w:cs="Times New Roman"/>
          <w:lang w:val="en-GB"/>
        </w:rPr>
        <w:t>Public Service Act</w:t>
      </w:r>
      <w:r>
        <w:rPr>
          <w:rFonts w:cs="Times New Roman"/>
          <w:lang w:val="en-GB"/>
        </w:rPr>
        <w:t xml:space="preserve"> reforms, 80</w:t>
      </w:r>
    </w:p>
    <w:p w14:paraId="17B228EF" w14:textId="77777777" w:rsidR="006F421D" w:rsidRDefault="006F421D">
      <w:pPr>
        <w:pStyle w:val="2body-copy"/>
        <w:divId w:val="2142334130"/>
        <w:rPr>
          <w:rFonts w:cs="Times New Roman"/>
          <w:lang w:val="en-GB"/>
        </w:rPr>
      </w:pPr>
      <w:proofErr w:type="gramStart"/>
      <w:r>
        <w:rPr>
          <w:rFonts w:cs="Times New Roman"/>
          <w:lang w:val="en-GB"/>
        </w:rPr>
        <w:t>publications</w:t>
      </w:r>
      <w:proofErr w:type="gramEnd"/>
      <w:r>
        <w:rPr>
          <w:rFonts w:cs="Times New Roman"/>
          <w:lang w:val="en-GB"/>
        </w:rPr>
        <w:t xml:space="preserve">, 4–7, </w:t>
      </w:r>
      <w:r>
        <w:rPr>
          <w:rStyle w:val="2body-medium"/>
          <w:rFonts w:cs="Times New Roman"/>
          <w:lang w:val="en-GB"/>
        </w:rPr>
        <w:t>51–57</w:t>
      </w:r>
      <w:r>
        <w:rPr>
          <w:rFonts w:cs="Times New Roman"/>
          <w:lang w:val="en-GB"/>
        </w:rPr>
        <w:t xml:space="preserve">, </w:t>
      </w:r>
      <w:r>
        <w:rPr>
          <w:rStyle w:val="2body-medium"/>
          <w:rFonts w:cs="Times New Roman"/>
          <w:lang w:val="en-GB"/>
        </w:rPr>
        <w:t>120–124</w:t>
      </w:r>
    </w:p>
    <w:p w14:paraId="28D90A47" w14:textId="77777777" w:rsidR="006F421D" w:rsidRDefault="006F421D">
      <w:pPr>
        <w:pStyle w:val="1heading-level-3"/>
        <w:divId w:val="2142334130"/>
        <w:rPr>
          <w:rFonts w:cs="Times New Roman"/>
          <w:lang w:val="en-GB"/>
        </w:rPr>
      </w:pPr>
      <w:r>
        <w:rPr>
          <w:rFonts w:cs="Times New Roman"/>
          <w:lang w:val="en-GB"/>
        </w:rPr>
        <w:t>R</w:t>
      </w:r>
    </w:p>
    <w:p w14:paraId="296C1B23" w14:textId="77777777" w:rsidR="006F421D" w:rsidRDefault="006F421D">
      <w:pPr>
        <w:pStyle w:val="2body-copy-before-bullet"/>
        <w:divId w:val="2142334130"/>
        <w:rPr>
          <w:rFonts w:cs="Times New Roman"/>
          <w:lang w:val="en-GB"/>
        </w:rPr>
      </w:pPr>
      <w:proofErr w:type="gramStart"/>
      <w:r>
        <w:rPr>
          <w:rFonts w:cs="Times New Roman"/>
          <w:lang w:val="en-GB"/>
        </w:rPr>
        <w:t>radiation</w:t>
      </w:r>
      <w:proofErr w:type="gramEnd"/>
      <w:r>
        <w:rPr>
          <w:rFonts w:cs="Times New Roman"/>
          <w:lang w:val="en-GB"/>
        </w:rPr>
        <w:t xml:space="preserve"> exposure from CT scans, </w:t>
      </w:r>
      <w:r>
        <w:rPr>
          <w:rStyle w:val="2body-medium"/>
          <w:rFonts w:cs="Times New Roman"/>
          <w:lang w:val="en-GB"/>
        </w:rPr>
        <w:t>40</w:t>
      </w:r>
      <w:r>
        <w:rPr>
          <w:rFonts w:cs="Times New Roman"/>
          <w:lang w:val="en-GB"/>
        </w:rPr>
        <w:t>, 131</w:t>
      </w:r>
    </w:p>
    <w:p w14:paraId="3359E349" w14:textId="77777777" w:rsidR="006F421D" w:rsidRDefault="006F421D">
      <w:pPr>
        <w:pStyle w:val="2body-copy-before-bullet"/>
        <w:divId w:val="2142334130"/>
        <w:rPr>
          <w:rFonts w:cs="Times New Roman"/>
          <w:lang w:val="en-GB"/>
        </w:rPr>
      </w:pPr>
      <w:r>
        <w:rPr>
          <w:rFonts w:cs="Times New Roman"/>
          <w:lang w:val="en-GB"/>
        </w:rPr>
        <w:t xml:space="preserve">Recognising and Responding to Clinical Deterioration program, </w:t>
      </w:r>
      <w:r>
        <w:rPr>
          <w:rStyle w:val="2body-medium"/>
          <w:rFonts w:cs="Times New Roman"/>
          <w:lang w:val="en-GB"/>
        </w:rPr>
        <w:t>38–39</w:t>
      </w:r>
    </w:p>
    <w:p w14:paraId="1A712BA2" w14:textId="77777777" w:rsidR="006F421D" w:rsidRDefault="006F421D">
      <w:pPr>
        <w:pStyle w:val="2body-copy-before-bullet"/>
        <w:divId w:val="2142334130"/>
        <w:rPr>
          <w:rFonts w:cs="Times New Roman"/>
          <w:lang w:val="en-GB"/>
        </w:rPr>
      </w:pPr>
      <w:proofErr w:type="gramStart"/>
      <w:r>
        <w:rPr>
          <w:rFonts w:cs="Times New Roman"/>
          <w:lang w:val="en-GB"/>
        </w:rPr>
        <w:t>recognition</w:t>
      </w:r>
      <w:proofErr w:type="gramEnd"/>
      <w:r>
        <w:rPr>
          <w:rFonts w:cs="Times New Roman"/>
          <w:lang w:val="en-GB"/>
        </w:rPr>
        <w:t xml:space="preserve"> and response systems, 21</w:t>
      </w:r>
    </w:p>
    <w:p w14:paraId="02A39D9A" w14:textId="77777777" w:rsidR="006F421D" w:rsidRDefault="006F421D">
      <w:pPr>
        <w:pStyle w:val="2body-copy-before-bullet"/>
        <w:divId w:val="2142334130"/>
        <w:rPr>
          <w:rFonts w:cs="Times New Roman"/>
          <w:lang w:val="en-GB"/>
        </w:rPr>
      </w:pPr>
      <w:r>
        <w:rPr>
          <w:rStyle w:val="2body-italic0"/>
          <w:rFonts w:cs="Times New Roman"/>
          <w:lang w:val="en-GB"/>
        </w:rPr>
        <w:t>Recommendations for the control of Multi-drug resistant Gram-negatives</w:t>
      </w:r>
      <w:r>
        <w:rPr>
          <w:rFonts w:cs="Times New Roman"/>
          <w:lang w:val="en-GB"/>
        </w:rPr>
        <w:t xml:space="preserve">, 46, </w:t>
      </w:r>
      <w:r>
        <w:rPr>
          <w:rStyle w:val="2body-medium"/>
          <w:rFonts w:cs="Times New Roman"/>
          <w:lang w:val="en-GB"/>
        </w:rPr>
        <w:t>53</w:t>
      </w:r>
    </w:p>
    <w:p w14:paraId="59E1D5D1" w14:textId="77777777" w:rsidR="006F421D" w:rsidRDefault="006F421D">
      <w:pPr>
        <w:pStyle w:val="2body-copy-before-bullet"/>
        <w:divId w:val="2142334130"/>
        <w:rPr>
          <w:rFonts w:cs="Times New Roman"/>
          <w:lang w:val="en-GB"/>
        </w:rPr>
      </w:pPr>
      <w:proofErr w:type="gramStart"/>
      <w:r>
        <w:rPr>
          <w:rFonts w:cs="Times New Roman"/>
          <w:lang w:val="en-GB"/>
        </w:rPr>
        <w:t>registries</w:t>
      </w:r>
      <w:proofErr w:type="gramEnd"/>
      <w:r>
        <w:rPr>
          <w:rFonts w:cs="Times New Roman"/>
          <w:lang w:val="en-GB"/>
        </w:rPr>
        <w:t xml:space="preserve"> of clinical quality, 26</w:t>
      </w:r>
    </w:p>
    <w:p w14:paraId="47D48799" w14:textId="77777777" w:rsidR="006F421D" w:rsidRDefault="006F421D">
      <w:pPr>
        <w:pStyle w:val="2body-copy-before-bullet"/>
        <w:divId w:val="2142334130"/>
        <w:rPr>
          <w:rFonts w:cs="Times New Roman"/>
          <w:lang w:val="en-GB"/>
        </w:rPr>
      </w:pPr>
      <w:proofErr w:type="gramStart"/>
      <w:r>
        <w:rPr>
          <w:rFonts w:cs="Times New Roman"/>
          <w:lang w:val="en-GB"/>
        </w:rPr>
        <w:t>related-entity</w:t>
      </w:r>
      <w:proofErr w:type="gramEnd"/>
      <w:r>
        <w:rPr>
          <w:rFonts w:cs="Times New Roman"/>
          <w:lang w:val="en-GB"/>
        </w:rPr>
        <w:t xml:space="preserve"> transactions, 70</w:t>
      </w:r>
    </w:p>
    <w:p w14:paraId="3F62CCCD" w14:textId="77777777" w:rsidR="006F421D" w:rsidRDefault="006F421D">
      <w:pPr>
        <w:pStyle w:val="2body-copy-before-bullet"/>
        <w:divId w:val="2142334130"/>
        <w:rPr>
          <w:rFonts w:cs="Times New Roman"/>
          <w:lang w:val="en-GB"/>
        </w:rPr>
      </w:pPr>
      <w:proofErr w:type="gramStart"/>
      <w:r>
        <w:rPr>
          <w:rFonts w:cs="Times New Roman"/>
          <w:lang w:val="en-GB"/>
        </w:rPr>
        <w:t>related</w:t>
      </w:r>
      <w:proofErr w:type="gramEnd"/>
      <w:r>
        <w:rPr>
          <w:rFonts w:cs="Times New Roman"/>
          <w:lang w:val="en-GB"/>
        </w:rPr>
        <w:t xml:space="preserve"> party disclosures, 111</w:t>
      </w:r>
    </w:p>
    <w:p w14:paraId="4C57B49B" w14:textId="77777777" w:rsidR="006F421D" w:rsidRDefault="006F421D">
      <w:pPr>
        <w:pStyle w:val="2body-copy-before-bullet"/>
        <w:divId w:val="2142334130"/>
        <w:rPr>
          <w:rFonts w:cs="Times New Roman"/>
          <w:lang w:val="en-GB"/>
        </w:rPr>
      </w:pPr>
      <w:proofErr w:type="gramStart"/>
      <w:r>
        <w:rPr>
          <w:rFonts w:cs="Times New Roman"/>
          <w:lang w:val="en-GB"/>
        </w:rPr>
        <w:t>remuneration</w:t>
      </w:r>
      <w:proofErr w:type="gramEnd"/>
    </w:p>
    <w:p w14:paraId="5BB879DF"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auditors</w:t>
      </w:r>
      <w:proofErr w:type="gramEnd"/>
      <w:r>
        <w:rPr>
          <w:rFonts w:cs="Times New Roman"/>
          <w:lang w:val="en-GB"/>
        </w:rPr>
        <w:t>, 115</w:t>
      </w:r>
    </w:p>
    <w:p w14:paraId="4F283880" w14:textId="77777777" w:rsidR="006F421D" w:rsidRDefault="006F421D" w:rsidP="006F421D">
      <w:pPr>
        <w:pStyle w:val="2body-copy-before-bullet"/>
        <w:ind w:left="567"/>
        <w:divId w:val="2142334130"/>
        <w:rPr>
          <w:rFonts w:cs="Times New Roman"/>
          <w:lang w:val="en-GB"/>
        </w:rPr>
      </w:pPr>
      <w:r>
        <w:rPr>
          <w:rFonts w:cs="Times New Roman"/>
          <w:lang w:val="en-GB"/>
        </w:rPr>
        <w:t>Directors, 111</w:t>
      </w:r>
    </w:p>
    <w:p w14:paraId="550C7432"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senior</w:t>
      </w:r>
      <w:proofErr w:type="gramEnd"/>
      <w:r>
        <w:rPr>
          <w:rFonts w:cs="Times New Roman"/>
          <w:lang w:val="en-GB"/>
        </w:rPr>
        <w:t xml:space="preserve"> executives, 112–113</w:t>
      </w:r>
    </w:p>
    <w:p w14:paraId="59D27901" w14:textId="77777777" w:rsidR="006F421D" w:rsidRDefault="006F421D">
      <w:pPr>
        <w:pStyle w:val="2body-copy-before-bullet"/>
        <w:divId w:val="2142334130"/>
        <w:rPr>
          <w:rFonts w:cs="Times New Roman"/>
          <w:lang w:val="en-GB"/>
        </w:rPr>
      </w:pPr>
      <w:r>
        <w:rPr>
          <w:rFonts w:cs="Times New Roman"/>
          <w:lang w:val="en-GB"/>
        </w:rPr>
        <w:t>Repatriation Pharmaceutical Benefit Scheme (RPBS), 32, 33</w:t>
      </w:r>
    </w:p>
    <w:p w14:paraId="7A790934" w14:textId="77777777" w:rsidR="006F421D" w:rsidRDefault="006F421D">
      <w:pPr>
        <w:pStyle w:val="2body-copy-before-bullet"/>
        <w:divId w:val="2142334130"/>
        <w:rPr>
          <w:rFonts w:cs="Times New Roman"/>
          <w:lang w:val="en-GB"/>
        </w:rPr>
      </w:pPr>
      <w:proofErr w:type="gramStart"/>
      <w:r>
        <w:rPr>
          <w:rFonts w:cs="Times New Roman"/>
          <w:lang w:val="en-GB"/>
        </w:rPr>
        <w:t>reports</w:t>
      </w:r>
      <w:proofErr w:type="gramEnd"/>
      <w:r>
        <w:rPr>
          <w:rFonts w:cs="Times New Roman"/>
          <w:lang w:val="en-GB"/>
        </w:rPr>
        <w:t xml:space="preserve">, </w:t>
      </w:r>
      <w:r>
        <w:rPr>
          <w:rStyle w:val="2body-medium"/>
          <w:rFonts w:cs="Times New Roman"/>
          <w:lang w:val="en-GB"/>
        </w:rPr>
        <w:t>51–57</w:t>
      </w:r>
    </w:p>
    <w:p w14:paraId="10631B09" w14:textId="77777777" w:rsidR="006F421D" w:rsidRDefault="006F421D">
      <w:pPr>
        <w:pStyle w:val="2body-copy-before-bullet"/>
        <w:divId w:val="2142334130"/>
        <w:rPr>
          <w:rFonts w:cs="Times New Roman"/>
          <w:lang w:val="en-GB"/>
        </w:rPr>
      </w:pPr>
      <w:proofErr w:type="gramStart"/>
      <w:r>
        <w:rPr>
          <w:rFonts w:cs="Times New Roman"/>
          <w:lang w:val="en-GB"/>
        </w:rPr>
        <w:t>representations</w:t>
      </w:r>
      <w:proofErr w:type="gramEnd"/>
      <w:r>
        <w:rPr>
          <w:rFonts w:cs="Times New Roman"/>
          <w:lang w:val="en-GB"/>
        </w:rPr>
        <w:t>, external, 56</w:t>
      </w:r>
    </w:p>
    <w:p w14:paraId="4510E795" w14:textId="77777777" w:rsidR="006F421D" w:rsidRDefault="006F421D">
      <w:pPr>
        <w:pStyle w:val="2body-copy-before-bullet"/>
        <w:divId w:val="2142334130"/>
        <w:rPr>
          <w:rFonts w:cs="Times New Roman"/>
          <w:lang w:val="en-GB"/>
        </w:rPr>
      </w:pPr>
      <w:proofErr w:type="gramStart"/>
      <w:r>
        <w:rPr>
          <w:rFonts w:cs="Times New Roman"/>
          <w:lang w:val="en-GB"/>
        </w:rPr>
        <w:t>research</w:t>
      </w:r>
      <w:proofErr w:type="gramEnd"/>
      <w:r>
        <w:rPr>
          <w:rFonts w:cs="Times New Roman"/>
          <w:lang w:val="en-GB"/>
        </w:rPr>
        <w:t xml:space="preserve">, 55, </w:t>
      </w:r>
      <w:r>
        <w:rPr>
          <w:rStyle w:val="2body-medium"/>
          <w:rFonts w:cs="Times New Roman"/>
          <w:lang w:val="en-GB"/>
        </w:rPr>
        <w:t>125–126</w:t>
      </w:r>
    </w:p>
    <w:p w14:paraId="34912BA0" w14:textId="77777777" w:rsidR="006F421D" w:rsidRDefault="006F421D">
      <w:pPr>
        <w:pStyle w:val="2body-copy-before-bullet"/>
        <w:divId w:val="2142334130"/>
        <w:rPr>
          <w:rFonts w:cs="Times New Roman"/>
          <w:lang w:val="en-GB"/>
        </w:rPr>
      </w:pPr>
      <w:proofErr w:type="gramStart"/>
      <w:r>
        <w:rPr>
          <w:rFonts w:cs="Times New Roman"/>
          <w:lang w:val="en-GB"/>
        </w:rPr>
        <w:t>residential</w:t>
      </w:r>
      <w:proofErr w:type="gramEnd"/>
      <w:r>
        <w:rPr>
          <w:rFonts w:cs="Times New Roman"/>
          <w:lang w:val="en-GB"/>
        </w:rPr>
        <w:t xml:space="preserve"> aged-care facilities (RACFs), 6, 32</w:t>
      </w:r>
    </w:p>
    <w:p w14:paraId="40437390" w14:textId="77777777" w:rsidR="006F421D" w:rsidRDefault="006F421D">
      <w:pPr>
        <w:pStyle w:val="2body-copy-before-bullet"/>
        <w:divId w:val="2142334130"/>
        <w:rPr>
          <w:rFonts w:cs="Times New Roman"/>
          <w:lang w:val="en-GB"/>
        </w:rPr>
      </w:pPr>
      <w:proofErr w:type="gramStart"/>
      <w:r>
        <w:rPr>
          <w:rFonts w:cs="Times New Roman"/>
          <w:lang w:val="en-GB"/>
        </w:rPr>
        <w:t>reviews</w:t>
      </w:r>
      <w:proofErr w:type="gramEnd"/>
      <w:r>
        <w:rPr>
          <w:rFonts w:cs="Times New Roman"/>
          <w:lang w:val="en-GB"/>
        </w:rPr>
        <w:t xml:space="preserve">, external, </w:t>
      </w:r>
      <w:r>
        <w:rPr>
          <w:rStyle w:val="2body-medium"/>
          <w:rFonts w:cs="Times New Roman"/>
          <w:lang w:val="en-GB"/>
        </w:rPr>
        <w:t>74</w:t>
      </w:r>
    </w:p>
    <w:p w14:paraId="76B53E5D" w14:textId="77777777" w:rsidR="006F421D" w:rsidRDefault="006F421D">
      <w:pPr>
        <w:pStyle w:val="2body-copy-before-bullet"/>
        <w:divId w:val="2142334130"/>
        <w:rPr>
          <w:rFonts w:cs="Times New Roman"/>
          <w:lang w:val="en-GB"/>
        </w:rPr>
      </w:pPr>
      <w:proofErr w:type="gramStart"/>
      <w:r>
        <w:rPr>
          <w:rFonts w:cs="Times New Roman"/>
          <w:lang w:val="en-GB"/>
        </w:rPr>
        <w:t>risk</w:t>
      </w:r>
      <w:proofErr w:type="gramEnd"/>
      <w:r>
        <w:rPr>
          <w:rFonts w:cs="Times New Roman"/>
          <w:lang w:val="en-GB"/>
        </w:rPr>
        <w:t xml:space="preserve"> management, 71, </w:t>
      </w:r>
      <w:r>
        <w:rPr>
          <w:rStyle w:val="2body-medium"/>
          <w:rFonts w:cs="Times New Roman"/>
          <w:lang w:val="en-GB"/>
        </w:rPr>
        <w:t>73</w:t>
      </w:r>
    </w:p>
    <w:p w14:paraId="22267AEF" w14:textId="77777777" w:rsidR="006F421D" w:rsidRDefault="006F421D">
      <w:pPr>
        <w:pStyle w:val="2body-copy-before-bullet"/>
        <w:divId w:val="2142334130"/>
        <w:rPr>
          <w:rFonts w:cs="Times New Roman"/>
          <w:lang w:val="en-GB"/>
        </w:rPr>
      </w:pPr>
      <w:proofErr w:type="gramStart"/>
      <w:r>
        <w:rPr>
          <w:rFonts w:cs="Times New Roman"/>
          <w:lang w:val="en-GB"/>
        </w:rPr>
        <w:t>role</w:t>
      </w:r>
      <w:proofErr w:type="gramEnd"/>
      <w:r>
        <w:rPr>
          <w:rFonts w:cs="Times New Roman"/>
          <w:lang w:val="en-GB"/>
        </w:rPr>
        <w:t xml:space="preserve"> of the Commission, </w:t>
      </w:r>
      <w:r>
        <w:rPr>
          <w:rStyle w:val="2body-medium"/>
          <w:rFonts w:cs="Times New Roman"/>
          <w:lang w:val="en-GB"/>
        </w:rPr>
        <w:t>2</w:t>
      </w:r>
    </w:p>
    <w:p w14:paraId="3946F41F" w14:textId="77777777" w:rsidR="006F421D" w:rsidRDefault="006F421D">
      <w:pPr>
        <w:pStyle w:val="2body-copy"/>
        <w:divId w:val="2142334130"/>
        <w:rPr>
          <w:rFonts w:cs="Times New Roman"/>
          <w:lang w:val="en-GB"/>
        </w:rPr>
      </w:pPr>
      <w:r>
        <w:rPr>
          <w:rFonts w:cs="Times New Roman"/>
          <w:lang w:val="en-GB"/>
        </w:rPr>
        <w:t>Royal Australian College of General Practitioners (RACGP), 22</w:t>
      </w:r>
    </w:p>
    <w:p w14:paraId="7210262C" w14:textId="77777777" w:rsidR="006F421D" w:rsidRDefault="006F421D">
      <w:pPr>
        <w:pStyle w:val="1heading-level-3"/>
        <w:divId w:val="2142334130"/>
        <w:rPr>
          <w:rFonts w:cs="Times New Roman"/>
          <w:lang w:val="en-GB"/>
        </w:rPr>
      </w:pPr>
      <w:r>
        <w:rPr>
          <w:rFonts w:cs="Times New Roman"/>
          <w:lang w:val="en-GB"/>
        </w:rPr>
        <w:t>S</w:t>
      </w:r>
    </w:p>
    <w:p w14:paraId="709548D0" w14:textId="77777777" w:rsidR="006F421D" w:rsidRDefault="006F421D">
      <w:pPr>
        <w:pStyle w:val="2body-copy-before-bullet"/>
        <w:divId w:val="2142334130"/>
        <w:rPr>
          <w:rFonts w:cs="Times New Roman"/>
          <w:lang w:val="en-GB"/>
        </w:rPr>
      </w:pPr>
      <w:r>
        <w:rPr>
          <w:rStyle w:val="2body-italic0"/>
          <w:rFonts w:cs="Times New Roman"/>
          <w:lang w:val="en-GB"/>
        </w:rPr>
        <w:t>The Safety and Quality of End-of-Life Care in Acute Hospitals</w:t>
      </w:r>
      <w:r>
        <w:rPr>
          <w:rFonts w:cs="Times New Roman"/>
          <w:lang w:val="en-GB"/>
        </w:rPr>
        <w:t>, 28</w:t>
      </w:r>
    </w:p>
    <w:p w14:paraId="2A1743E2" w14:textId="77777777" w:rsidR="006F421D" w:rsidRDefault="006F421D">
      <w:pPr>
        <w:pStyle w:val="2body-copy-before-bullet"/>
        <w:divId w:val="2142334130"/>
        <w:rPr>
          <w:rFonts w:cs="Times New Roman"/>
          <w:lang w:val="en-GB"/>
        </w:rPr>
      </w:pPr>
      <w:r>
        <w:rPr>
          <w:rFonts w:cs="Times New Roman"/>
          <w:lang w:val="en-GB"/>
        </w:rPr>
        <w:t>Safety and Quality Partnership Standing Committee, 24</w:t>
      </w:r>
    </w:p>
    <w:p w14:paraId="5993F35E" w14:textId="77777777" w:rsidR="006F421D" w:rsidRDefault="006F421D">
      <w:pPr>
        <w:pStyle w:val="2body-copy-before-bullet"/>
        <w:divId w:val="2142334130"/>
        <w:rPr>
          <w:rFonts w:cs="Times New Roman"/>
          <w:lang w:val="en-GB"/>
        </w:rPr>
      </w:pPr>
      <w:r>
        <w:rPr>
          <w:rStyle w:val="2body-italic0"/>
          <w:rFonts w:cs="Times New Roman"/>
          <w:lang w:val="en-GB"/>
        </w:rPr>
        <w:t>Safety, Rehabilitation and Compensation Act 1988</w:t>
      </w:r>
      <w:r>
        <w:rPr>
          <w:rFonts w:cs="Times New Roman"/>
          <w:lang w:val="en-GB"/>
        </w:rPr>
        <w:t xml:space="preserve"> (SRC Act), 82</w:t>
      </w:r>
    </w:p>
    <w:p w14:paraId="1BEC34D1" w14:textId="77777777" w:rsidR="006F421D" w:rsidRDefault="006F421D">
      <w:pPr>
        <w:pStyle w:val="2body-copy-before-bullet"/>
        <w:divId w:val="2142334130"/>
        <w:rPr>
          <w:rFonts w:cs="Times New Roman"/>
          <w:lang w:val="en-GB"/>
        </w:rPr>
      </w:pPr>
      <w:proofErr w:type="gramStart"/>
      <w:r>
        <w:rPr>
          <w:rFonts w:cs="Times New Roman"/>
          <w:lang w:val="en-GB"/>
        </w:rPr>
        <w:t>schedule</w:t>
      </w:r>
      <w:proofErr w:type="gramEnd"/>
      <w:r>
        <w:rPr>
          <w:rFonts w:cs="Times New Roman"/>
          <w:lang w:val="en-GB"/>
        </w:rPr>
        <w:t xml:space="preserve"> of commitments, 91</w:t>
      </w:r>
    </w:p>
    <w:p w14:paraId="4FB2FD55" w14:textId="77777777" w:rsidR="006F421D" w:rsidRDefault="006F421D">
      <w:pPr>
        <w:pStyle w:val="2body-copy-before-bullet"/>
        <w:divId w:val="2142334130"/>
        <w:rPr>
          <w:rFonts w:cs="Times New Roman"/>
          <w:lang w:val="en-GB"/>
        </w:rPr>
      </w:pPr>
      <w:proofErr w:type="spellStart"/>
      <w:r>
        <w:rPr>
          <w:rFonts w:cs="Times New Roman"/>
          <w:lang w:val="en-GB"/>
        </w:rPr>
        <w:t>Schipp</w:t>
      </w:r>
      <w:proofErr w:type="spellEnd"/>
      <w:r>
        <w:rPr>
          <w:rFonts w:cs="Times New Roman"/>
          <w:lang w:val="en-GB"/>
        </w:rPr>
        <w:t>, Dr Mark, 5, 45</w:t>
      </w:r>
    </w:p>
    <w:p w14:paraId="20AD83B1" w14:textId="77777777" w:rsidR="006F421D" w:rsidRDefault="006F421D">
      <w:pPr>
        <w:pStyle w:val="2body-copy-before-bullet"/>
        <w:divId w:val="2142334130"/>
        <w:rPr>
          <w:rFonts w:cs="Times New Roman"/>
          <w:lang w:val="en-GB"/>
        </w:rPr>
      </w:pPr>
      <w:r>
        <w:rPr>
          <w:rFonts w:cs="Times New Roman"/>
          <w:lang w:val="en-GB"/>
        </w:rPr>
        <w:t>Scoping Study Report on AMR and AU Surveillance, 47</w:t>
      </w:r>
    </w:p>
    <w:p w14:paraId="3BA1E0A9" w14:textId="77777777" w:rsidR="006F421D" w:rsidRDefault="006F421D">
      <w:pPr>
        <w:pStyle w:val="2body-copy-before-bullet"/>
        <w:divId w:val="2142334130"/>
        <w:rPr>
          <w:rFonts w:cs="Times New Roman"/>
          <w:lang w:val="en-GB"/>
        </w:rPr>
      </w:pPr>
      <w:proofErr w:type="gramStart"/>
      <w:r>
        <w:rPr>
          <w:rFonts w:cs="Times New Roman"/>
          <w:lang w:val="en-GB"/>
        </w:rPr>
        <w:t>scrutiny</w:t>
      </w:r>
      <w:proofErr w:type="gramEnd"/>
      <w:r>
        <w:rPr>
          <w:rFonts w:cs="Times New Roman"/>
          <w:lang w:val="en-GB"/>
        </w:rPr>
        <w:t xml:space="preserve">, external, </w:t>
      </w:r>
      <w:r>
        <w:rPr>
          <w:rStyle w:val="2body-medium"/>
          <w:rFonts w:cs="Times New Roman"/>
          <w:lang w:val="en-GB"/>
        </w:rPr>
        <w:t>74</w:t>
      </w:r>
    </w:p>
    <w:p w14:paraId="4C34988C" w14:textId="77777777" w:rsidR="006F421D" w:rsidRDefault="006F421D">
      <w:pPr>
        <w:pStyle w:val="2body-copy-before-bullet"/>
        <w:divId w:val="2142334130"/>
        <w:rPr>
          <w:rFonts w:cs="Times New Roman"/>
          <w:lang w:val="en-GB"/>
        </w:rPr>
      </w:pPr>
      <w:proofErr w:type="gramStart"/>
      <w:r>
        <w:rPr>
          <w:rFonts w:cs="Times New Roman"/>
          <w:lang w:val="en-GB"/>
        </w:rPr>
        <w:t>seclusion</w:t>
      </w:r>
      <w:proofErr w:type="gramEnd"/>
      <w:r>
        <w:rPr>
          <w:rFonts w:cs="Times New Roman"/>
          <w:lang w:val="en-GB"/>
        </w:rPr>
        <w:t xml:space="preserve"> of patients, 60</w:t>
      </w:r>
    </w:p>
    <w:p w14:paraId="18CD14F1" w14:textId="77777777" w:rsidR="006F421D" w:rsidRDefault="006F421D">
      <w:pPr>
        <w:pStyle w:val="2body-copy-before-bullet"/>
        <w:divId w:val="2142334130"/>
        <w:rPr>
          <w:rFonts w:cs="Times New Roman"/>
          <w:lang w:val="en-GB"/>
        </w:rPr>
      </w:pPr>
      <w:proofErr w:type="gramStart"/>
      <w:r>
        <w:rPr>
          <w:rFonts w:cs="Times New Roman"/>
          <w:lang w:val="en-GB"/>
        </w:rPr>
        <w:t>senior</w:t>
      </w:r>
      <w:proofErr w:type="gramEnd"/>
      <w:r>
        <w:rPr>
          <w:rFonts w:cs="Times New Roman"/>
          <w:lang w:val="en-GB"/>
        </w:rPr>
        <w:t xml:space="preserve"> executive remuneration, 112–113</w:t>
      </w:r>
    </w:p>
    <w:p w14:paraId="0EA9327A" w14:textId="77777777" w:rsidR="006F421D" w:rsidRDefault="006F421D">
      <w:pPr>
        <w:pStyle w:val="2body-copy-before-bullet"/>
        <w:divId w:val="2142334130"/>
        <w:rPr>
          <w:rFonts w:cs="Times New Roman"/>
          <w:lang w:val="en-GB"/>
        </w:rPr>
      </w:pPr>
      <w:proofErr w:type="gramStart"/>
      <w:r>
        <w:rPr>
          <w:rFonts w:cs="Times New Roman"/>
          <w:lang w:val="en-GB"/>
        </w:rPr>
        <w:t>sentinel</w:t>
      </w:r>
      <w:proofErr w:type="gramEnd"/>
      <w:r>
        <w:rPr>
          <w:rFonts w:cs="Times New Roman"/>
          <w:lang w:val="en-GB"/>
        </w:rPr>
        <w:t xml:space="preserve"> events, maternal, 50</w:t>
      </w:r>
    </w:p>
    <w:p w14:paraId="0C022C65" w14:textId="77777777" w:rsidR="006F421D" w:rsidRDefault="006F421D">
      <w:pPr>
        <w:pStyle w:val="2body-copy-before-bullet"/>
        <w:divId w:val="2142334130"/>
        <w:rPr>
          <w:rFonts w:cs="Times New Roman"/>
          <w:lang w:val="en-GB"/>
        </w:rPr>
      </w:pPr>
      <w:proofErr w:type="gramStart"/>
      <w:r>
        <w:rPr>
          <w:rFonts w:cs="Times New Roman"/>
          <w:lang w:val="en-GB"/>
        </w:rPr>
        <w:t>severe</w:t>
      </w:r>
      <w:proofErr w:type="gramEnd"/>
      <w:r>
        <w:rPr>
          <w:rFonts w:cs="Times New Roman"/>
          <w:lang w:val="en-GB"/>
        </w:rPr>
        <w:t xml:space="preserve"> acute maternal morbidity (SAMM), 50</w:t>
      </w:r>
    </w:p>
    <w:p w14:paraId="4A6DC966" w14:textId="77777777" w:rsidR="006F421D" w:rsidRDefault="006F421D">
      <w:pPr>
        <w:pStyle w:val="2body-copy-before-bullet"/>
        <w:divId w:val="2142334130"/>
        <w:rPr>
          <w:rFonts w:cs="Times New Roman"/>
          <w:lang w:val="en-GB"/>
        </w:rPr>
      </w:pPr>
      <w:proofErr w:type="gramStart"/>
      <w:r>
        <w:rPr>
          <w:rFonts w:cs="Times New Roman"/>
          <w:lang w:val="en-GB"/>
        </w:rPr>
        <w:t>significant</w:t>
      </w:r>
      <w:proofErr w:type="gramEnd"/>
      <w:r>
        <w:rPr>
          <w:rFonts w:cs="Times New Roman"/>
          <w:lang w:val="en-GB"/>
        </w:rPr>
        <w:t xml:space="preserve"> events reporting, 75</w:t>
      </w:r>
    </w:p>
    <w:p w14:paraId="70D43C6C" w14:textId="77777777" w:rsidR="006F421D" w:rsidRDefault="006F421D">
      <w:pPr>
        <w:pStyle w:val="2body-copy-before-bullet"/>
        <w:divId w:val="2142334130"/>
        <w:rPr>
          <w:rFonts w:cs="Times New Roman"/>
          <w:lang w:val="en-GB"/>
        </w:rPr>
      </w:pPr>
      <w:r>
        <w:rPr>
          <w:rStyle w:val="2body-italic0"/>
          <w:rFonts w:cs="Times New Roman"/>
          <w:lang w:val="en-GB"/>
        </w:rPr>
        <w:t xml:space="preserve">Specification for a Hospital-Level Cumulative </w:t>
      </w:r>
      <w:proofErr w:type="spellStart"/>
      <w:r>
        <w:rPr>
          <w:rStyle w:val="2body-italic0"/>
          <w:rFonts w:cs="Times New Roman"/>
          <w:lang w:val="en-GB"/>
        </w:rPr>
        <w:t>Antibiogram</w:t>
      </w:r>
      <w:proofErr w:type="spellEnd"/>
      <w:r>
        <w:rPr>
          <w:rFonts w:cs="Times New Roman"/>
          <w:lang w:val="en-GB"/>
        </w:rPr>
        <w:t>, 47</w:t>
      </w:r>
    </w:p>
    <w:p w14:paraId="191EEA6E" w14:textId="77777777" w:rsidR="006F421D" w:rsidRDefault="006F421D">
      <w:pPr>
        <w:pStyle w:val="2body-copy-before-bullet"/>
        <w:divId w:val="2142334130"/>
        <w:rPr>
          <w:rFonts w:cs="Times New Roman"/>
          <w:lang w:val="en-GB"/>
        </w:rPr>
      </w:pPr>
      <w:proofErr w:type="gramStart"/>
      <w:r>
        <w:rPr>
          <w:rFonts w:cs="Times New Roman"/>
          <w:lang w:val="en-GB"/>
        </w:rPr>
        <w:t>sponsorships</w:t>
      </w:r>
      <w:proofErr w:type="gramEnd"/>
      <w:r>
        <w:rPr>
          <w:rFonts w:cs="Times New Roman"/>
          <w:lang w:val="en-GB"/>
        </w:rPr>
        <w:t xml:space="preserve">, </w:t>
      </w:r>
      <w:r>
        <w:rPr>
          <w:rStyle w:val="2body-medium"/>
          <w:rFonts w:cs="Times New Roman"/>
          <w:lang w:val="en-GB"/>
        </w:rPr>
        <w:t>127</w:t>
      </w:r>
    </w:p>
    <w:p w14:paraId="521446B7" w14:textId="77777777" w:rsidR="006F421D" w:rsidRDefault="006F421D">
      <w:pPr>
        <w:pStyle w:val="2body-copy-before-bullet"/>
        <w:divId w:val="2142334130"/>
        <w:rPr>
          <w:rFonts w:cs="Times New Roman"/>
          <w:lang w:val="en-GB"/>
        </w:rPr>
      </w:pPr>
      <w:proofErr w:type="gramStart"/>
      <w:r>
        <w:rPr>
          <w:rFonts w:cs="Times New Roman"/>
          <w:lang w:val="en-GB"/>
        </w:rPr>
        <w:t>staff</w:t>
      </w:r>
      <w:proofErr w:type="gramEnd"/>
      <w:r>
        <w:rPr>
          <w:rFonts w:cs="Times New Roman"/>
          <w:lang w:val="en-GB"/>
        </w:rPr>
        <w:t xml:space="preserve">, </w:t>
      </w:r>
      <w:r>
        <w:rPr>
          <w:rStyle w:val="2body-medium"/>
          <w:rFonts w:cs="Times New Roman"/>
          <w:lang w:val="en-GB"/>
        </w:rPr>
        <w:t>80–82</w:t>
      </w:r>
    </w:p>
    <w:p w14:paraId="6EE9C2A1"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classification</w:t>
      </w:r>
      <w:proofErr w:type="gramEnd"/>
      <w:r>
        <w:rPr>
          <w:rFonts w:cs="Times New Roman"/>
          <w:lang w:val="en-GB"/>
        </w:rPr>
        <w:t>, 81</w:t>
      </w:r>
    </w:p>
    <w:p w14:paraId="18DC86C3"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disability</w:t>
      </w:r>
      <w:proofErr w:type="gramEnd"/>
      <w:r>
        <w:rPr>
          <w:rFonts w:cs="Times New Roman"/>
          <w:lang w:val="en-GB"/>
        </w:rPr>
        <w:t xml:space="preserve"> strategy, </w:t>
      </w:r>
      <w:r>
        <w:rPr>
          <w:rStyle w:val="2body-medium"/>
          <w:rFonts w:cs="Times New Roman"/>
          <w:lang w:val="en-GB"/>
        </w:rPr>
        <w:t>82</w:t>
      </w:r>
    </w:p>
    <w:p w14:paraId="5F2AAC72"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learning</w:t>
      </w:r>
      <w:proofErr w:type="gramEnd"/>
      <w:r>
        <w:rPr>
          <w:rFonts w:cs="Times New Roman"/>
          <w:lang w:val="en-GB"/>
        </w:rPr>
        <w:t xml:space="preserve"> and development, </w:t>
      </w:r>
      <w:r>
        <w:rPr>
          <w:rStyle w:val="2body-medium"/>
          <w:rFonts w:cs="Times New Roman"/>
          <w:lang w:val="en-GB"/>
        </w:rPr>
        <w:t>82</w:t>
      </w:r>
    </w:p>
    <w:p w14:paraId="032687CE"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non-salary</w:t>
      </w:r>
      <w:proofErr w:type="gramEnd"/>
      <w:r>
        <w:rPr>
          <w:rFonts w:cs="Times New Roman"/>
          <w:lang w:val="en-GB"/>
        </w:rPr>
        <w:t xml:space="preserve"> benefits, </w:t>
      </w:r>
      <w:r>
        <w:rPr>
          <w:rStyle w:val="2body-medium"/>
          <w:rFonts w:cs="Times New Roman"/>
          <w:lang w:val="en-GB"/>
        </w:rPr>
        <w:t>81</w:t>
      </w:r>
    </w:p>
    <w:p w14:paraId="78349D02"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profile</w:t>
      </w:r>
      <w:proofErr w:type="gramEnd"/>
      <w:r>
        <w:rPr>
          <w:rFonts w:cs="Times New Roman"/>
          <w:lang w:val="en-GB"/>
        </w:rPr>
        <w:t xml:space="preserve">, </w:t>
      </w:r>
      <w:r>
        <w:rPr>
          <w:rStyle w:val="2body-medium"/>
          <w:rFonts w:cs="Times New Roman"/>
          <w:lang w:val="en-GB"/>
        </w:rPr>
        <w:t>80–81</w:t>
      </w:r>
    </w:p>
    <w:p w14:paraId="15785842"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training</w:t>
      </w:r>
      <w:proofErr w:type="gramEnd"/>
      <w:r>
        <w:rPr>
          <w:rFonts w:cs="Times New Roman"/>
          <w:lang w:val="en-GB"/>
        </w:rPr>
        <w:t xml:space="preserve">, </w:t>
      </w:r>
      <w:r>
        <w:rPr>
          <w:rStyle w:val="2body-medium"/>
          <w:rFonts w:cs="Times New Roman"/>
          <w:lang w:val="en-GB"/>
        </w:rPr>
        <w:t>82</w:t>
      </w:r>
    </w:p>
    <w:p w14:paraId="44DE9034"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workplace</w:t>
      </w:r>
      <w:proofErr w:type="gramEnd"/>
      <w:r>
        <w:rPr>
          <w:rFonts w:cs="Times New Roman"/>
          <w:lang w:val="en-GB"/>
        </w:rPr>
        <w:t xml:space="preserve"> health and safety, </w:t>
      </w:r>
      <w:r>
        <w:rPr>
          <w:rStyle w:val="2body-medium"/>
          <w:rFonts w:cs="Times New Roman"/>
          <w:lang w:val="en-GB"/>
        </w:rPr>
        <w:t>82</w:t>
      </w:r>
    </w:p>
    <w:p w14:paraId="294EE585" w14:textId="77777777" w:rsidR="006F421D" w:rsidRDefault="006F421D">
      <w:pPr>
        <w:pStyle w:val="2body-copy-before-bullet"/>
        <w:divId w:val="2142334130"/>
        <w:rPr>
          <w:rFonts w:cs="Times New Roman"/>
          <w:lang w:val="en-GB"/>
        </w:rPr>
      </w:pPr>
      <w:r>
        <w:rPr>
          <w:rStyle w:val="2body-italic0"/>
          <w:rFonts w:cs="Times New Roman"/>
          <w:lang w:val="en-GB"/>
        </w:rPr>
        <w:t>Staphylococcus aureus</w:t>
      </w:r>
      <w:r>
        <w:rPr>
          <w:rFonts w:cs="Times New Roman"/>
          <w:lang w:val="en-GB"/>
        </w:rPr>
        <w:t xml:space="preserve"> bacteraemia (SAB), 21, 44, 60</w:t>
      </w:r>
    </w:p>
    <w:p w14:paraId="52C7F5DC" w14:textId="77777777" w:rsidR="006F421D" w:rsidRDefault="006F421D">
      <w:pPr>
        <w:pStyle w:val="2body-copy-before-bullet"/>
        <w:divId w:val="2142334130"/>
        <w:rPr>
          <w:rFonts w:cs="Times New Roman"/>
          <w:lang w:val="en-GB"/>
        </w:rPr>
      </w:pPr>
      <w:proofErr w:type="gramStart"/>
      <w:r>
        <w:rPr>
          <w:rFonts w:cs="Times New Roman"/>
          <w:lang w:val="en-GB"/>
        </w:rPr>
        <w:t>statement</w:t>
      </w:r>
      <w:proofErr w:type="gramEnd"/>
      <w:r>
        <w:rPr>
          <w:rFonts w:cs="Times New Roman"/>
          <w:lang w:val="en-GB"/>
        </w:rPr>
        <w:t xml:space="preserve"> of changes in equity, 89</w:t>
      </w:r>
    </w:p>
    <w:p w14:paraId="5C2FCAE4" w14:textId="77777777" w:rsidR="006F421D" w:rsidRDefault="006F421D">
      <w:pPr>
        <w:pStyle w:val="2body-copy-before-bullet"/>
        <w:divId w:val="2142334130"/>
        <w:rPr>
          <w:rFonts w:cs="Times New Roman"/>
          <w:lang w:val="en-GB"/>
        </w:rPr>
      </w:pPr>
      <w:proofErr w:type="gramStart"/>
      <w:r>
        <w:rPr>
          <w:rFonts w:cs="Times New Roman"/>
          <w:lang w:val="en-GB"/>
        </w:rPr>
        <w:t>statement</w:t>
      </w:r>
      <w:proofErr w:type="gramEnd"/>
      <w:r>
        <w:rPr>
          <w:rFonts w:cs="Times New Roman"/>
          <w:lang w:val="en-GB"/>
        </w:rPr>
        <w:t xml:space="preserve"> of comprehensive income, 87</w:t>
      </w:r>
    </w:p>
    <w:p w14:paraId="30878218" w14:textId="77777777" w:rsidR="006F421D" w:rsidRDefault="006F421D">
      <w:pPr>
        <w:pStyle w:val="2body-copy-before-bullet"/>
        <w:divId w:val="2142334130"/>
        <w:rPr>
          <w:rFonts w:cs="Times New Roman"/>
          <w:lang w:val="en-GB"/>
        </w:rPr>
      </w:pPr>
      <w:proofErr w:type="gramStart"/>
      <w:r>
        <w:rPr>
          <w:rFonts w:cs="Times New Roman"/>
          <w:lang w:val="en-GB"/>
        </w:rPr>
        <w:t>statement</w:t>
      </w:r>
      <w:proofErr w:type="gramEnd"/>
      <w:r>
        <w:rPr>
          <w:rFonts w:cs="Times New Roman"/>
          <w:lang w:val="en-GB"/>
        </w:rPr>
        <w:t xml:space="preserve"> of financial position, 88</w:t>
      </w:r>
    </w:p>
    <w:p w14:paraId="59969075" w14:textId="77777777" w:rsidR="006F421D" w:rsidRDefault="006F421D">
      <w:pPr>
        <w:pStyle w:val="2body-copy-before-bullet"/>
        <w:divId w:val="2142334130"/>
        <w:rPr>
          <w:rFonts w:cs="Times New Roman"/>
          <w:lang w:val="en-GB"/>
        </w:rPr>
      </w:pPr>
      <w:proofErr w:type="gramStart"/>
      <w:r>
        <w:rPr>
          <w:rFonts w:cs="Times New Roman"/>
          <w:lang w:val="en-GB"/>
        </w:rPr>
        <w:lastRenderedPageBreak/>
        <w:t>strategic</w:t>
      </w:r>
      <w:proofErr w:type="gramEnd"/>
      <w:r>
        <w:rPr>
          <w:rFonts w:cs="Times New Roman"/>
          <w:lang w:val="en-GB"/>
        </w:rPr>
        <w:t xml:space="preserve"> planning, 6, </w:t>
      </w:r>
      <w:r>
        <w:rPr>
          <w:rStyle w:val="2body-medium"/>
          <w:rFonts w:cs="Times New Roman"/>
          <w:lang w:val="en-GB"/>
        </w:rPr>
        <w:t>64–65</w:t>
      </w:r>
    </w:p>
    <w:p w14:paraId="0030CC1F" w14:textId="77777777" w:rsidR="006F421D" w:rsidRDefault="006F421D">
      <w:pPr>
        <w:pStyle w:val="2body-copy-before-bullet"/>
        <w:divId w:val="2142334130"/>
        <w:rPr>
          <w:rFonts w:cs="Times New Roman"/>
          <w:lang w:val="en-GB"/>
        </w:rPr>
      </w:pPr>
      <w:proofErr w:type="gramStart"/>
      <w:r>
        <w:rPr>
          <w:rFonts w:cs="Times New Roman"/>
          <w:lang w:val="en-GB"/>
        </w:rPr>
        <w:t>stroke</w:t>
      </w:r>
      <w:proofErr w:type="gramEnd"/>
      <w:r>
        <w:rPr>
          <w:rFonts w:cs="Times New Roman"/>
          <w:lang w:val="en-GB"/>
        </w:rPr>
        <w:t>, 5, 23</w:t>
      </w:r>
    </w:p>
    <w:p w14:paraId="6B137F26" w14:textId="77777777" w:rsidR="006F421D" w:rsidRDefault="006F421D">
      <w:pPr>
        <w:pStyle w:val="2body-copy-before-bullet"/>
        <w:divId w:val="2142334130"/>
        <w:rPr>
          <w:rFonts w:cs="Times New Roman"/>
          <w:lang w:val="en-GB"/>
        </w:rPr>
      </w:pPr>
      <w:r>
        <w:rPr>
          <w:rFonts w:cs="Times New Roman"/>
          <w:lang w:val="en-GB"/>
        </w:rPr>
        <w:t>Study Leave Review Panel, 73</w:t>
      </w:r>
    </w:p>
    <w:p w14:paraId="6601D65B" w14:textId="77777777" w:rsidR="006F421D" w:rsidRDefault="006F421D">
      <w:pPr>
        <w:pStyle w:val="2body-copy-before-bullet"/>
        <w:divId w:val="2142334130"/>
        <w:rPr>
          <w:rFonts w:cs="Times New Roman"/>
          <w:lang w:val="en-GB"/>
        </w:rPr>
      </w:pPr>
      <w:proofErr w:type="gramStart"/>
      <w:r>
        <w:rPr>
          <w:rFonts w:cs="Times New Roman"/>
          <w:lang w:val="en-GB"/>
        </w:rPr>
        <w:t>study</w:t>
      </w:r>
      <w:proofErr w:type="gramEnd"/>
      <w:r>
        <w:rPr>
          <w:rFonts w:cs="Times New Roman"/>
          <w:lang w:val="en-GB"/>
        </w:rPr>
        <w:t xml:space="preserve"> support assistance, 82</w:t>
      </w:r>
    </w:p>
    <w:p w14:paraId="6F894B87" w14:textId="77777777" w:rsidR="006F421D" w:rsidRDefault="006F421D">
      <w:pPr>
        <w:pStyle w:val="2body-copy"/>
        <w:divId w:val="2142334130"/>
        <w:rPr>
          <w:rFonts w:cs="Times New Roman"/>
          <w:lang w:val="en-GB"/>
        </w:rPr>
      </w:pPr>
      <w:proofErr w:type="gramStart"/>
      <w:r>
        <w:rPr>
          <w:rFonts w:cs="Times New Roman"/>
          <w:lang w:val="en-GB"/>
        </w:rPr>
        <w:t>subcutaneous</w:t>
      </w:r>
      <w:proofErr w:type="gramEnd"/>
      <w:r>
        <w:rPr>
          <w:rFonts w:cs="Times New Roman"/>
          <w:lang w:val="en-GB"/>
        </w:rPr>
        <w:t xml:space="preserve"> insulin chart, 33</w:t>
      </w:r>
    </w:p>
    <w:p w14:paraId="01237E85" w14:textId="77777777" w:rsidR="006F421D" w:rsidRDefault="006F421D">
      <w:pPr>
        <w:pStyle w:val="1heading-level-3"/>
        <w:divId w:val="2142334130"/>
        <w:rPr>
          <w:rFonts w:cs="Times New Roman"/>
          <w:lang w:val="en-GB"/>
        </w:rPr>
      </w:pPr>
      <w:r>
        <w:rPr>
          <w:rFonts w:cs="Times New Roman"/>
          <w:lang w:val="en-GB"/>
        </w:rPr>
        <w:t>T</w:t>
      </w:r>
    </w:p>
    <w:p w14:paraId="49B96D30" w14:textId="77777777" w:rsidR="006F421D" w:rsidRDefault="006F421D">
      <w:pPr>
        <w:pStyle w:val="2body-copy-before-bullet"/>
        <w:divId w:val="2142334130"/>
        <w:rPr>
          <w:rFonts w:cs="Times New Roman"/>
          <w:lang w:val="en-GB"/>
        </w:rPr>
      </w:pPr>
      <w:proofErr w:type="gramStart"/>
      <w:r>
        <w:rPr>
          <w:rFonts w:cs="Times New Roman"/>
          <w:lang w:val="en-GB"/>
        </w:rPr>
        <w:t>therapeutic</w:t>
      </w:r>
      <w:proofErr w:type="gramEnd"/>
      <w:r>
        <w:rPr>
          <w:rFonts w:cs="Times New Roman"/>
          <w:lang w:val="en-GB"/>
        </w:rPr>
        <w:t xml:space="preserve"> goods industry, 37</w:t>
      </w:r>
    </w:p>
    <w:p w14:paraId="699E9F1B" w14:textId="77777777" w:rsidR="006F421D" w:rsidRDefault="006F421D">
      <w:pPr>
        <w:pStyle w:val="2body-copy-before-bullet"/>
        <w:divId w:val="2142334130"/>
        <w:rPr>
          <w:rFonts w:cs="Times New Roman"/>
          <w:lang w:val="en-GB"/>
        </w:rPr>
      </w:pPr>
      <w:proofErr w:type="gramStart"/>
      <w:r>
        <w:rPr>
          <w:rFonts w:cs="Times New Roman"/>
          <w:lang w:val="en-GB"/>
        </w:rPr>
        <w:t>training</w:t>
      </w:r>
      <w:proofErr w:type="gramEnd"/>
    </w:p>
    <w:p w14:paraId="054ABDDB"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healthcare</w:t>
      </w:r>
      <w:proofErr w:type="gramEnd"/>
      <w:r>
        <w:rPr>
          <w:rFonts w:cs="Times New Roman"/>
          <w:lang w:val="en-GB"/>
        </w:rPr>
        <w:t xml:space="preserve"> providers, 54–55, 56</w:t>
      </w:r>
    </w:p>
    <w:p w14:paraId="1F623561"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medication</w:t>
      </w:r>
      <w:proofErr w:type="gramEnd"/>
      <w:r>
        <w:rPr>
          <w:rFonts w:cs="Times New Roman"/>
          <w:lang w:val="en-GB"/>
        </w:rPr>
        <w:t xml:space="preserve"> safety, 34</w:t>
      </w:r>
    </w:p>
    <w:p w14:paraId="15A69445"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staff</w:t>
      </w:r>
      <w:proofErr w:type="gramEnd"/>
      <w:r>
        <w:rPr>
          <w:rFonts w:cs="Times New Roman"/>
          <w:lang w:val="en-GB"/>
        </w:rPr>
        <w:t xml:space="preserve">, </w:t>
      </w:r>
      <w:r>
        <w:rPr>
          <w:rStyle w:val="2body-medium"/>
          <w:rFonts w:cs="Times New Roman"/>
          <w:lang w:val="en-GB"/>
        </w:rPr>
        <w:t>82</w:t>
      </w:r>
    </w:p>
    <w:p w14:paraId="3292E03A"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work</w:t>
      </w:r>
      <w:proofErr w:type="gramEnd"/>
      <w:r>
        <w:rPr>
          <w:rFonts w:cs="Times New Roman"/>
          <w:lang w:val="en-GB"/>
        </w:rPr>
        <w:t xml:space="preserve"> health and safety, 82</w:t>
      </w:r>
    </w:p>
    <w:p w14:paraId="47B0DDA6" w14:textId="77777777" w:rsidR="006F421D" w:rsidRDefault="006F421D">
      <w:pPr>
        <w:pStyle w:val="2body-copy"/>
        <w:divId w:val="2142334130"/>
        <w:rPr>
          <w:rFonts w:cs="Times New Roman"/>
          <w:lang w:val="en-GB"/>
        </w:rPr>
      </w:pPr>
      <w:r>
        <w:rPr>
          <w:rFonts w:cs="Times New Roman"/>
          <w:lang w:val="en-GB"/>
        </w:rPr>
        <w:t>Turnidge, Professor John, 6</w:t>
      </w:r>
    </w:p>
    <w:p w14:paraId="6733F534" w14:textId="77777777" w:rsidR="006F421D" w:rsidRDefault="006F421D">
      <w:pPr>
        <w:pStyle w:val="1heading-level-3"/>
        <w:divId w:val="2142334130"/>
        <w:rPr>
          <w:rFonts w:cs="Times New Roman"/>
          <w:lang w:val="en-GB"/>
        </w:rPr>
      </w:pPr>
      <w:r>
        <w:rPr>
          <w:rFonts w:cs="Times New Roman"/>
          <w:lang w:val="en-GB"/>
        </w:rPr>
        <w:t>U</w:t>
      </w:r>
    </w:p>
    <w:p w14:paraId="4F52CC2B" w14:textId="77777777" w:rsidR="006F421D" w:rsidRDefault="006F421D">
      <w:pPr>
        <w:pStyle w:val="2body-copy-before-bullet"/>
        <w:divId w:val="2142334130"/>
        <w:rPr>
          <w:rFonts w:cs="Times New Roman"/>
          <w:lang w:val="en-GB"/>
        </w:rPr>
      </w:pPr>
      <w:r>
        <w:rPr>
          <w:rFonts w:cs="Times New Roman"/>
          <w:lang w:val="en-GB"/>
        </w:rPr>
        <w:t>Uniform Recall Procedure for Therapeutic Goods, 37</w:t>
      </w:r>
    </w:p>
    <w:p w14:paraId="366F6643" w14:textId="77777777" w:rsidR="006F421D" w:rsidRDefault="006F421D">
      <w:pPr>
        <w:pStyle w:val="2body-copy"/>
        <w:divId w:val="2142334130"/>
        <w:rPr>
          <w:rFonts w:cs="Times New Roman"/>
          <w:lang w:val="en-GB"/>
        </w:rPr>
      </w:pPr>
      <w:proofErr w:type="gramStart"/>
      <w:r>
        <w:rPr>
          <w:rFonts w:cs="Times New Roman"/>
          <w:lang w:val="en-GB"/>
        </w:rPr>
        <w:t>unwarranted</w:t>
      </w:r>
      <w:proofErr w:type="gramEnd"/>
      <w:r>
        <w:rPr>
          <w:rFonts w:cs="Times New Roman"/>
          <w:lang w:val="en-GB"/>
        </w:rPr>
        <w:t xml:space="preserve"> variation </w:t>
      </w:r>
      <w:r>
        <w:rPr>
          <w:rStyle w:val="2body-italic0"/>
          <w:rFonts w:cs="Times New Roman"/>
          <w:lang w:val="en-GB"/>
        </w:rPr>
        <w:t>see</w:t>
      </w:r>
      <w:r>
        <w:rPr>
          <w:rFonts w:cs="Times New Roman"/>
          <w:lang w:val="en-GB"/>
        </w:rPr>
        <w:t xml:space="preserve"> variation in clinical practice and healthcare</w:t>
      </w:r>
    </w:p>
    <w:p w14:paraId="6AB2ED9B" w14:textId="77777777" w:rsidR="006F421D" w:rsidRDefault="006F421D">
      <w:pPr>
        <w:pStyle w:val="1heading-level-3"/>
        <w:divId w:val="2142334130"/>
        <w:rPr>
          <w:rFonts w:cs="Times New Roman"/>
          <w:lang w:val="en-GB"/>
        </w:rPr>
      </w:pPr>
      <w:r>
        <w:rPr>
          <w:rFonts w:cs="Times New Roman"/>
          <w:lang w:val="en-GB"/>
        </w:rPr>
        <w:t>V</w:t>
      </w:r>
    </w:p>
    <w:p w14:paraId="6D524845" w14:textId="77777777" w:rsidR="006F421D" w:rsidRDefault="006F421D">
      <w:pPr>
        <w:pStyle w:val="2body-copy-before-bullet"/>
        <w:divId w:val="2142334130"/>
        <w:rPr>
          <w:rFonts w:cs="Times New Roman"/>
          <w:lang w:val="en-GB"/>
        </w:rPr>
      </w:pPr>
      <w:proofErr w:type="gramStart"/>
      <w:r>
        <w:rPr>
          <w:rFonts w:cs="Times New Roman"/>
          <w:lang w:val="en-GB"/>
        </w:rPr>
        <w:t>values</w:t>
      </w:r>
      <w:proofErr w:type="gramEnd"/>
      <w:r>
        <w:rPr>
          <w:rFonts w:cs="Times New Roman"/>
          <w:lang w:val="en-GB"/>
        </w:rPr>
        <w:t xml:space="preserve"> of the Commission, </w:t>
      </w:r>
      <w:r>
        <w:rPr>
          <w:rStyle w:val="2body-medium"/>
          <w:rFonts w:cs="Times New Roman"/>
          <w:lang w:val="en-GB"/>
        </w:rPr>
        <w:t>3</w:t>
      </w:r>
    </w:p>
    <w:p w14:paraId="08AB6DAA" w14:textId="77777777" w:rsidR="006F421D" w:rsidRDefault="006F421D">
      <w:pPr>
        <w:pStyle w:val="2body-copy-before-bullet"/>
        <w:divId w:val="2142334130"/>
        <w:rPr>
          <w:rFonts w:cs="Times New Roman"/>
          <w:lang w:val="en-GB"/>
        </w:rPr>
      </w:pPr>
      <w:proofErr w:type="gramStart"/>
      <w:r>
        <w:rPr>
          <w:rFonts w:cs="Times New Roman"/>
          <w:lang w:val="en-GB"/>
        </w:rPr>
        <w:t>variation</w:t>
      </w:r>
      <w:proofErr w:type="gramEnd"/>
      <w:r>
        <w:rPr>
          <w:rFonts w:cs="Times New Roman"/>
          <w:lang w:val="en-GB"/>
        </w:rPr>
        <w:t xml:space="preserve"> in clinical practice and healthcare, </w:t>
      </w:r>
      <w:r>
        <w:rPr>
          <w:rStyle w:val="2body-medium"/>
          <w:rFonts w:cs="Times New Roman"/>
          <w:lang w:val="en-GB"/>
        </w:rPr>
        <w:t>41–42</w:t>
      </w:r>
    </w:p>
    <w:p w14:paraId="339ACA22" w14:textId="77777777" w:rsidR="006F421D" w:rsidRDefault="006F421D" w:rsidP="006F421D">
      <w:pPr>
        <w:pStyle w:val="2body-copy-before-bullet"/>
        <w:ind w:left="567"/>
        <w:divId w:val="2142334130"/>
        <w:rPr>
          <w:rFonts w:cs="Times New Roman"/>
          <w:lang w:val="en-GB"/>
        </w:rPr>
      </w:pPr>
      <w:r>
        <w:rPr>
          <w:rFonts w:cs="Times New Roman"/>
          <w:lang w:val="en-GB"/>
        </w:rPr>
        <w:t>Clinical Care Standards, 5</w:t>
      </w:r>
    </w:p>
    <w:p w14:paraId="544936BE"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consultations</w:t>
      </w:r>
      <w:proofErr w:type="gramEnd"/>
      <w:r>
        <w:rPr>
          <w:rFonts w:cs="Times New Roman"/>
          <w:lang w:val="en-GB"/>
        </w:rPr>
        <w:t>, 132</w:t>
      </w:r>
    </w:p>
    <w:p w14:paraId="17C6004D"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discussion</w:t>
      </w:r>
      <w:proofErr w:type="gramEnd"/>
      <w:r>
        <w:rPr>
          <w:rFonts w:cs="Times New Roman"/>
          <w:lang w:val="en-GB"/>
        </w:rPr>
        <w:t xml:space="preserve"> paper, 52</w:t>
      </w:r>
    </w:p>
    <w:p w14:paraId="22064551"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participation</w:t>
      </w:r>
      <w:proofErr w:type="gramEnd"/>
      <w:r>
        <w:rPr>
          <w:rFonts w:cs="Times New Roman"/>
          <w:lang w:val="en-GB"/>
        </w:rPr>
        <w:t xml:space="preserve"> in OECD study, 61–62</w:t>
      </w:r>
    </w:p>
    <w:p w14:paraId="659E08DE"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program</w:t>
      </w:r>
      <w:proofErr w:type="gramEnd"/>
      <w:r>
        <w:rPr>
          <w:rFonts w:cs="Times New Roman"/>
          <w:lang w:val="en-GB"/>
        </w:rPr>
        <w:t xml:space="preserve"> established, 11</w:t>
      </w:r>
    </w:p>
    <w:p w14:paraId="7AC721AF"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publications</w:t>
      </w:r>
      <w:proofErr w:type="gramEnd"/>
      <w:r>
        <w:rPr>
          <w:rFonts w:cs="Times New Roman"/>
          <w:lang w:val="en-GB"/>
        </w:rPr>
        <w:t>, 121</w:t>
      </w:r>
    </w:p>
    <w:p w14:paraId="44642C23"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report</w:t>
      </w:r>
      <w:proofErr w:type="gramEnd"/>
      <w:r>
        <w:rPr>
          <w:rFonts w:cs="Times New Roman"/>
          <w:lang w:val="en-GB"/>
        </w:rPr>
        <w:t xml:space="preserve"> released, 7</w:t>
      </w:r>
    </w:p>
    <w:p w14:paraId="51FE1467" w14:textId="77777777" w:rsidR="006F421D" w:rsidRDefault="006F421D">
      <w:pPr>
        <w:pStyle w:val="2body-copy-before-bullet"/>
        <w:divId w:val="2142334130"/>
        <w:rPr>
          <w:rFonts w:cs="Times New Roman"/>
          <w:lang w:val="en-GB"/>
        </w:rPr>
      </w:pPr>
      <w:proofErr w:type="gramStart"/>
      <w:r>
        <w:rPr>
          <w:rFonts w:cs="Times New Roman"/>
          <w:lang w:val="en-GB"/>
        </w:rPr>
        <w:t>video</w:t>
      </w:r>
      <w:proofErr w:type="gramEnd"/>
      <w:r>
        <w:rPr>
          <w:rFonts w:cs="Times New Roman"/>
          <w:lang w:val="en-GB"/>
        </w:rPr>
        <w:t>, 34</w:t>
      </w:r>
    </w:p>
    <w:p w14:paraId="1B619D85" w14:textId="77777777" w:rsidR="006F421D" w:rsidRDefault="006F421D">
      <w:pPr>
        <w:pStyle w:val="2body-copy-before-bullet"/>
        <w:divId w:val="2142334130"/>
        <w:rPr>
          <w:rFonts w:cs="Times New Roman"/>
          <w:lang w:val="en-GB"/>
        </w:rPr>
      </w:pPr>
      <w:proofErr w:type="gramStart"/>
      <w:r>
        <w:rPr>
          <w:rFonts w:cs="Times New Roman"/>
          <w:lang w:val="en-GB"/>
        </w:rPr>
        <w:t>vision</w:t>
      </w:r>
      <w:proofErr w:type="gramEnd"/>
      <w:r>
        <w:rPr>
          <w:rFonts w:cs="Times New Roman"/>
          <w:lang w:val="en-GB"/>
        </w:rPr>
        <w:t xml:space="preserve"> of the Commission, </w:t>
      </w:r>
      <w:r>
        <w:rPr>
          <w:rStyle w:val="2body-medium"/>
          <w:rFonts w:cs="Times New Roman"/>
          <w:lang w:val="en-GB"/>
        </w:rPr>
        <w:t>2</w:t>
      </w:r>
    </w:p>
    <w:p w14:paraId="0AE4B297" w14:textId="77777777" w:rsidR="006F421D" w:rsidRDefault="006F421D">
      <w:pPr>
        <w:pStyle w:val="2body-copy-before-bullet"/>
        <w:divId w:val="2142334130"/>
        <w:rPr>
          <w:rFonts w:cs="Times New Roman"/>
          <w:lang w:val="en-GB"/>
        </w:rPr>
      </w:pPr>
      <w:r>
        <w:rPr>
          <w:rStyle w:val="2body-italic0"/>
          <w:rFonts w:cs="Times New Roman"/>
          <w:lang w:val="en-GB"/>
        </w:rPr>
        <w:t>Vital Signs 2013</w:t>
      </w:r>
      <w:r>
        <w:rPr>
          <w:rFonts w:cs="Times New Roman"/>
          <w:lang w:val="en-GB"/>
        </w:rPr>
        <w:t xml:space="preserve">, 5, </w:t>
      </w:r>
      <w:r>
        <w:rPr>
          <w:rStyle w:val="2body-medium"/>
          <w:rFonts w:cs="Times New Roman"/>
          <w:lang w:val="en-GB"/>
        </w:rPr>
        <w:t>52</w:t>
      </w:r>
      <w:r>
        <w:rPr>
          <w:rFonts w:cs="Times New Roman"/>
          <w:lang w:val="en-GB"/>
        </w:rPr>
        <w:t>, 123</w:t>
      </w:r>
    </w:p>
    <w:p w14:paraId="02A3F1F9" w14:textId="77777777" w:rsidR="006F421D" w:rsidRDefault="006F421D">
      <w:pPr>
        <w:pStyle w:val="2body-copy"/>
        <w:divId w:val="2142334130"/>
        <w:rPr>
          <w:rFonts w:cs="Times New Roman"/>
          <w:lang w:val="en-GB"/>
        </w:rPr>
      </w:pPr>
      <w:r>
        <w:rPr>
          <w:rStyle w:val="2body-italic0"/>
          <w:rFonts w:cs="Times New Roman"/>
          <w:lang w:val="en-GB"/>
        </w:rPr>
        <w:t>Vital Signs 2014</w:t>
      </w:r>
      <w:r>
        <w:rPr>
          <w:rFonts w:cs="Times New Roman"/>
          <w:lang w:val="en-GB"/>
        </w:rPr>
        <w:t>, 62</w:t>
      </w:r>
    </w:p>
    <w:p w14:paraId="668689E3" w14:textId="77777777" w:rsidR="006F421D" w:rsidRDefault="006F421D">
      <w:pPr>
        <w:pStyle w:val="1heading-level-3"/>
        <w:divId w:val="2142334130"/>
        <w:rPr>
          <w:rFonts w:cs="Times New Roman"/>
          <w:lang w:val="en-GB"/>
        </w:rPr>
      </w:pPr>
      <w:r>
        <w:rPr>
          <w:rFonts w:cs="Times New Roman"/>
          <w:lang w:val="en-GB"/>
        </w:rPr>
        <w:t>W</w:t>
      </w:r>
    </w:p>
    <w:p w14:paraId="5264BEA7" w14:textId="77777777" w:rsidR="006F421D" w:rsidRDefault="006F421D">
      <w:pPr>
        <w:pStyle w:val="2body-copy-before-bullet"/>
        <w:divId w:val="2142334130"/>
        <w:rPr>
          <w:rFonts w:cs="Times New Roman"/>
          <w:lang w:val="en-GB"/>
        </w:rPr>
      </w:pPr>
      <w:proofErr w:type="gramStart"/>
      <w:r>
        <w:rPr>
          <w:rFonts w:cs="Times New Roman"/>
          <w:lang w:val="en-GB"/>
        </w:rPr>
        <w:t>web</w:t>
      </w:r>
      <w:proofErr w:type="gramEnd"/>
      <w:r>
        <w:rPr>
          <w:rFonts w:cs="Times New Roman"/>
          <w:lang w:val="en-GB"/>
        </w:rPr>
        <w:t xml:space="preserve"> site</w:t>
      </w:r>
    </w:p>
    <w:p w14:paraId="7DF300CE" w14:textId="77777777" w:rsidR="006F421D" w:rsidRDefault="006F421D" w:rsidP="006F421D">
      <w:pPr>
        <w:pStyle w:val="2body-copy-before-bullet"/>
        <w:ind w:left="567"/>
        <w:divId w:val="2142334130"/>
        <w:rPr>
          <w:rFonts w:cs="Times New Roman"/>
          <w:lang w:val="en-GB"/>
        </w:rPr>
      </w:pPr>
      <w:r>
        <w:rPr>
          <w:rFonts w:cs="Times New Roman"/>
          <w:lang w:val="en-GB"/>
        </w:rPr>
        <w:t>Australian Antibiotic Awareness Week, 45</w:t>
      </w:r>
    </w:p>
    <w:p w14:paraId="6E72CD81"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freedom</w:t>
      </w:r>
      <w:proofErr w:type="gramEnd"/>
      <w:r>
        <w:rPr>
          <w:rFonts w:cs="Times New Roman"/>
          <w:lang w:val="en-GB"/>
        </w:rPr>
        <w:t xml:space="preserve"> of information, 74</w:t>
      </w:r>
    </w:p>
    <w:p w14:paraId="4542B2A4" w14:textId="77777777" w:rsidR="006F421D" w:rsidRDefault="006F421D" w:rsidP="006F421D">
      <w:pPr>
        <w:pStyle w:val="2body-copy-before-bullet"/>
        <w:ind w:left="567"/>
        <w:divId w:val="2142334130"/>
        <w:rPr>
          <w:rFonts w:cs="Times New Roman"/>
          <w:lang w:val="en-GB"/>
        </w:rPr>
      </w:pPr>
      <w:proofErr w:type="gramStart"/>
      <w:r>
        <w:rPr>
          <w:rFonts w:cs="Times New Roman"/>
          <w:lang w:val="en-GB"/>
        </w:rPr>
        <w:t>publications</w:t>
      </w:r>
      <w:proofErr w:type="gramEnd"/>
      <w:r>
        <w:rPr>
          <w:rFonts w:cs="Times New Roman"/>
          <w:lang w:val="en-GB"/>
        </w:rPr>
        <w:t xml:space="preserve"> and reports, 51</w:t>
      </w:r>
    </w:p>
    <w:p w14:paraId="2ACC2342" w14:textId="77777777" w:rsidR="006F421D" w:rsidRDefault="006F421D">
      <w:pPr>
        <w:pStyle w:val="2body-copy-before-bullet"/>
        <w:divId w:val="2142334130"/>
        <w:rPr>
          <w:rFonts w:cs="Times New Roman"/>
          <w:lang w:val="en-GB"/>
        </w:rPr>
      </w:pPr>
      <w:r>
        <w:rPr>
          <w:rFonts w:cs="Times New Roman"/>
          <w:lang w:val="en-GB"/>
        </w:rPr>
        <w:t>Williams, Dr Helena, 68–69</w:t>
      </w:r>
    </w:p>
    <w:p w14:paraId="7471611B" w14:textId="77777777" w:rsidR="006F421D" w:rsidRDefault="006F421D">
      <w:pPr>
        <w:pStyle w:val="2body-copy-before-bullet"/>
        <w:divId w:val="2142334130"/>
        <w:rPr>
          <w:rFonts w:cs="Times New Roman"/>
          <w:lang w:val="en-GB"/>
        </w:rPr>
      </w:pPr>
      <w:r>
        <w:rPr>
          <w:rStyle w:val="2body-italic0"/>
          <w:rFonts w:cs="Times New Roman"/>
          <w:lang w:val="en-GB"/>
        </w:rPr>
        <w:t>Work Health and Safety Act 2011</w:t>
      </w:r>
      <w:r>
        <w:rPr>
          <w:rFonts w:cs="Times New Roman"/>
          <w:lang w:val="en-GB"/>
        </w:rPr>
        <w:t xml:space="preserve"> (WHS Act), 82</w:t>
      </w:r>
    </w:p>
    <w:p w14:paraId="3CA7499C" w14:textId="77777777" w:rsidR="006F421D" w:rsidRDefault="006F421D">
      <w:pPr>
        <w:pStyle w:val="2body-copy-before-bullet"/>
        <w:divId w:val="2142334130"/>
        <w:rPr>
          <w:rFonts w:cs="Times New Roman"/>
          <w:lang w:val="en-GB"/>
        </w:rPr>
      </w:pPr>
      <w:proofErr w:type="gramStart"/>
      <w:r>
        <w:rPr>
          <w:rFonts w:cs="Times New Roman"/>
          <w:lang w:val="en-GB"/>
        </w:rPr>
        <w:t>workplace</w:t>
      </w:r>
      <w:proofErr w:type="gramEnd"/>
      <w:r>
        <w:rPr>
          <w:rFonts w:cs="Times New Roman"/>
          <w:lang w:val="en-GB"/>
        </w:rPr>
        <w:t xml:space="preserve"> health and safety, </w:t>
      </w:r>
      <w:r>
        <w:rPr>
          <w:rStyle w:val="2body-medium"/>
          <w:rFonts w:cs="Times New Roman"/>
          <w:lang w:val="en-GB"/>
        </w:rPr>
        <w:t>82</w:t>
      </w:r>
    </w:p>
    <w:p w14:paraId="78BFC8CD" w14:textId="77777777" w:rsidR="006F421D" w:rsidRDefault="006F421D">
      <w:pPr>
        <w:pStyle w:val="2body-copy-before-bullet"/>
        <w:divId w:val="2142334130"/>
        <w:rPr>
          <w:rFonts w:cs="Times New Roman"/>
          <w:lang w:val="en-GB"/>
        </w:rPr>
      </w:pPr>
      <w:proofErr w:type="gramStart"/>
      <w:r>
        <w:rPr>
          <w:rFonts w:cs="Times New Roman"/>
          <w:lang w:val="en-GB"/>
        </w:rPr>
        <w:t>workshops</w:t>
      </w:r>
      <w:proofErr w:type="gramEnd"/>
      <w:r>
        <w:rPr>
          <w:rFonts w:cs="Times New Roman"/>
          <w:lang w:val="en-GB"/>
        </w:rPr>
        <w:t>, 4–7, 56</w:t>
      </w:r>
    </w:p>
    <w:p w14:paraId="70874639" w14:textId="77777777" w:rsidR="006F421D" w:rsidRDefault="006F421D">
      <w:pPr>
        <w:pStyle w:val="2body-copy-before-bullet"/>
        <w:divId w:val="2142334130"/>
        <w:rPr>
          <w:rFonts w:cs="Times New Roman"/>
          <w:lang w:val="en-GB"/>
        </w:rPr>
      </w:pPr>
      <w:r>
        <w:rPr>
          <w:rFonts w:cs="Times New Roman"/>
          <w:lang w:val="en-GB"/>
        </w:rPr>
        <w:t>World Health Organization (WHO), 34, 43, 61</w:t>
      </w:r>
    </w:p>
    <w:p w14:paraId="109DEC53" w14:textId="77777777" w:rsidR="006F421D" w:rsidRDefault="006F421D">
      <w:pPr>
        <w:rPr>
          <w:rFonts w:cs="Times New Roman"/>
          <w:b/>
          <w:bCs/>
          <w:color w:val="5F605F"/>
          <w:sz w:val="30"/>
          <w:szCs w:val="30"/>
          <w:lang w:val="en-GB"/>
        </w:rPr>
      </w:pPr>
      <w:r>
        <w:rPr>
          <w:rFonts w:cs="Times New Roman"/>
          <w:lang w:val="en-GB"/>
        </w:rPr>
        <w:br w:type="page"/>
      </w:r>
    </w:p>
    <w:p w14:paraId="157FEA1F" w14:textId="77777777" w:rsidR="006F421D" w:rsidRDefault="006F421D" w:rsidP="00FD071D">
      <w:pPr>
        <w:pStyle w:val="Heading2"/>
        <w:divId w:val="64838044"/>
        <w:rPr>
          <w:lang w:val="en-GB"/>
        </w:rPr>
      </w:pPr>
      <w:bookmarkStart w:id="63" w:name="_Toc414011921"/>
      <w:r>
        <w:rPr>
          <w:lang w:val="en-GB"/>
        </w:rPr>
        <w:lastRenderedPageBreak/>
        <w:t>References</w:t>
      </w:r>
      <w:bookmarkEnd w:id="63"/>
    </w:p>
    <w:p w14:paraId="6745630D" w14:textId="77777777" w:rsidR="006F421D" w:rsidRDefault="006F421D" w:rsidP="006F421D">
      <w:pPr>
        <w:pStyle w:val="2bodyreferences-only"/>
        <w:ind w:left="426" w:hanging="426"/>
        <w:divId w:val="1262954456"/>
        <w:rPr>
          <w:rFonts w:cs="Times New Roman"/>
          <w:lang w:val="en-GB"/>
        </w:rPr>
      </w:pPr>
      <w:r>
        <w:rPr>
          <w:rFonts w:cs="Times New Roman"/>
          <w:lang w:val="en-GB"/>
        </w:rPr>
        <w:t>1.</w:t>
      </w:r>
      <w:r>
        <w:rPr>
          <w:rFonts w:cs="Times New Roman"/>
          <w:lang w:val="en-GB"/>
        </w:rPr>
        <w:tab/>
      </w:r>
      <w:proofErr w:type="spellStart"/>
      <w:r>
        <w:rPr>
          <w:rFonts w:cs="Times New Roman"/>
          <w:lang w:val="en-GB"/>
        </w:rPr>
        <w:t>Kannus</w:t>
      </w:r>
      <w:proofErr w:type="spellEnd"/>
      <w:r>
        <w:rPr>
          <w:rFonts w:cs="Times New Roman"/>
          <w:lang w:val="en-GB"/>
        </w:rPr>
        <w:t xml:space="preserve"> P KK, Lord S. Preventing falls among elderly people in the hospital environment. </w:t>
      </w:r>
      <w:proofErr w:type="gramStart"/>
      <w:r>
        <w:rPr>
          <w:rStyle w:val="2body-italic0"/>
          <w:rFonts w:cs="Times New Roman"/>
          <w:lang w:val="en-GB"/>
        </w:rPr>
        <w:t>Medical Journal of Australia</w:t>
      </w:r>
      <w:r>
        <w:rPr>
          <w:rFonts w:cs="Times New Roman"/>
          <w:lang w:val="en-GB"/>
        </w:rPr>
        <w:t>.</w:t>
      </w:r>
      <w:proofErr w:type="gramEnd"/>
      <w:r>
        <w:rPr>
          <w:rFonts w:cs="Times New Roman"/>
          <w:lang w:val="en-GB"/>
        </w:rPr>
        <w:t xml:space="preserve"> </w:t>
      </w:r>
      <w:proofErr w:type="gramStart"/>
      <w:r>
        <w:rPr>
          <w:rFonts w:cs="Times New Roman"/>
          <w:lang w:val="en-GB"/>
        </w:rPr>
        <w:t>2006; 184: 372–3.</w:t>
      </w:r>
      <w:proofErr w:type="gramEnd"/>
    </w:p>
    <w:p w14:paraId="6BF5E7F9" w14:textId="77777777" w:rsidR="006F421D" w:rsidRDefault="006F421D" w:rsidP="006F421D">
      <w:pPr>
        <w:pStyle w:val="2bodyreferences-only"/>
        <w:ind w:left="426" w:hanging="426"/>
        <w:divId w:val="1262954456"/>
        <w:rPr>
          <w:rFonts w:cs="Times New Roman"/>
          <w:lang w:val="en-GB"/>
        </w:rPr>
      </w:pPr>
      <w:r>
        <w:rPr>
          <w:rFonts w:cs="Times New Roman"/>
          <w:lang w:val="en-GB"/>
        </w:rPr>
        <w:t>2.</w:t>
      </w:r>
      <w:r>
        <w:rPr>
          <w:rFonts w:cs="Times New Roman"/>
          <w:lang w:val="en-GB"/>
        </w:rPr>
        <w:tab/>
        <w:t xml:space="preserve">US Institute of Medicine. </w:t>
      </w:r>
      <w:r>
        <w:rPr>
          <w:rStyle w:val="2body-italic0"/>
          <w:rFonts w:cs="Times New Roman"/>
          <w:lang w:val="en-GB"/>
        </w:rPr>
        <w:t>Crossing the quality chasm: a new health system for the 21st century</w:t>
      </w:r>
      <w:r>
        <w:rPr>
          <w:rFonts w:cs="Times New Roman"/>
          <w:lang w:val="en-GB"/>
        </w:rPr>
        <w:t>. Washington: National Academy Press, 2001.</w:t>
      </w:r>
    </w:p>
    <w:p w14:paraId="53D13E22" w14:textId="77777777" w:rsidR="006F421D" w:rsidRDefault="006F421D" w:rsidP="006F421D">
      <w:pPr>
        <w:pStyle w:val="2bodyreferences-only"/>
        <w:ind w:left="426" w:hanging="426"/>
        <w:divId w:val="1262954456"/>
        <w:rPr>
          <w:rFonts w:cs="Times New Roman"/>
          <w:lang w:val="en-GB"/>
        </w:rPr>
      </w:pPr>
      <w:r>
        <w:rPr>
          <w:rFonts w:cs="Times New Roman"/>
          <w:lang w:val="en-GB"/>
        </w:rPr>
        <w:t>3.</w:t>
      </w:r>
      <w:r>
        <w:rPr>
          <w:rFonts w:cs="Times New Roman"/>
          <w:lang w:val="en-GB"/>
        </w:rPr>
        <w:tab/>
        <w:t xml:space="preserve">Kohn LT, Corrigan JM and Donaldson MS. </w:t>
      </w:r>
      <w:r>
        <w:rPr>
          <w:rStyle w:val="2body-italic0"/>
          <w:rFonts w:cs="Times New Roman"/>
          <w:lang w:val="en-GB"/>
        </w:rPr>
        <w:t>To err is human: Building a safer health system</w:t>
      </w:r>
      <w:r>
        <w:rPr>
          <w:rFonts w:cs="Times New Roman"/>
          <w:lang w:val="en-GB"/>
        </w:rPr>
        <w:t>. Washington D.C.: National Academy Press, 1999.</w:t>
      </w:r>
    </w:p>
    <w:p w14:paraId="1D496FCD" w14:textId="77777777" w:rsidR="006F421D" w:rsidRDefault="006F421D" w:rsidP="006F421D">
      <w:pPr>
        <w:pStyle w:val="2bodyreferences-only"/>
        <w:ind w:left="426" w:hanging="426"/>
        <w:divId w:val="1262954456"/>
        <w:rPr>
          <w:rFonts w:cs="Times New Roman"/>
          <w:lang w:val="en-GB"/>
        </w:rPr>
      </w:pPr>
      <w:r>
        <w:rPr>
          <w:rFonts w:cs="Times New Roman"/>
          <w:lang w:val="en-GB"/>
        </w:rPr>
        <w:t>4.</w:t>
      </w:r>
      <w:r>
        <w:rPr>
          <w:rFonts w:cs="Times New Roman"/>
          <w:lang w:val="en-GB"/>
        </w:rPr>
        <w:tab/>
        <w:t>Australian Bureau of Statistics. Health Literacy, Australia. Canberra: Australian Bureau of Statistics, 2008.</w:t>
      </w:r>
    </w:p>
    <w:p w14:paraId="2552CFF6" w14:textId="77777777" w:rsidR="006F421D" w:rsidRDefault="006F421D" w:rsidP="006F421D">
      <w:pPr>
        <w:pStyle w:val="2bodyreferences-only"/>
        <w:ind w:left="426" w:hanging="426"/>
        <w:divId w:val="1262954456"/>
        <w:rPr>
          <w:rFonts w:cs="Times New Roman"/>
          <w:lang w:val="en-GB"/>
        </w:rPr>
      </w:pPr>
      <w:r>
        <w:rPr>
          <w:rFonts w:cs="Times New Roman"/>
          <w:lang w:val="en-GB"/>
        </w:rPr>
        <w:t>5.</w:t>
      </w:r>
      <w:r>
        <w:rPr>
          <w:rFonts w:cs="Times New Roman"/>
          <w:lang w:val="en-GB"/>
        </w:rPr>
        <w:tab/>
      </w:r>
      <w:proofErr w:type="spellStart"/>
      <w:r>
        <w:rPr>
          <w:rFonts w:cs="Times New Roman"/>
          <w:lang w:val="en-GB"/>
        </w:rPr>
        <w:t>Berkman</w:t>
      </w:r>
      <w:proofErr w:type="spellEnd"/>
      <w:r>
        <w:rPr>
          <w:rFonts w:cs="Times New Roman"/>
          <w:lang w:val="en-GB"/>
        </w:rPr>
        <w:t xml:space="preserve"> ND, Sheridan SL, Donahue KE, et al. Health literacy interventions and outcomes: an updated systematic review. 2011.</w:t>
      </w:r>
    </w:p>
    <w:p w14:paraId="7500C497" w14:textId="77777777" w:rsidR="006F421D" w:rsidRDefault="006F421D" w:rsidP="006F421D">
      <w:pPr>
        <w:pStyle w:val="2bodyreferences-only"/>
        <w:ind w:left="426" w:hanging="426"/>
        <w:divId w:val="1262954456"/>
        <w:rPr>
          <w:rFonts w:cs="Times New Roman"/>
          <w:lang w:val="en-GB"/>
        </w:rPr>
      </w:pPr>
      <w:r>
        <w:rPr>
          <w:rFonts w:cs="Times New Roman"/>
          <w:lang w:val="en-GB"/>
        </w:rPr>
        <w:t>6.</w:t>
      </w:r>
      <w:r>
        <w:rPr>
          <w:rFonts w:cs="Times New Roman"/>
          <w:lang w:val="en-GB"/>
        </w:rPr>
        <w:tab/>
        <w:t>Australian Commission on Safety and Quality in Health Care. Literature Review: Medication Safety in Australia. Sydney: ACSQHC, 2013.</w:t>
      </w:r>
    </w:p>
    <w:p w14:paraId="3982C5D9" w14:textId="77777777" w:rsidR="006F421D" w:rsidRDefault="006F421D" w:rsidP="006F421D">
      <w:pPr>
        <w:pStyle w:val="2bodyreferences-only"/>
        <w:ind w:left="426" w:hanging="426"/>
        <w:divId w:val="1262954456"/>
        <w:rPr>
          <w:rFonts w:cs="Times New Roman"/>
          <w:lang w:val="en-GB"/>
        </w:rPr>
      </w:pPr>
      <w:r>
        <w:rPr>
          <w:rFonts w:cs="Times New Roman"/>
          <w:lang w:val="en-GB"/>
        </w:rPr>
        <w:t>7.</w:t>
      </w:r>
      <w:r>
        <w:rPr>
          <w:rFonts w:cs="Times New Roman"/>
          <w:lang w:val="en-GB"/>
        </w:rPr>
        <w:tab/>
        <w:t xml:space="preserve">Coombes ID, Reid C, McDougall D, </w:t>
      </w:r>
      <w:proofErr w:type="spellStart"/>
      <w:r>
        <w:rPr>
          <w:rFonts w:cs="Times New Roman"/>
          <w:lang w:val="en-GB"/>
        </w:rPr>
        <w:t>Stowasser</w:t>
      </w:r>
      <w:proofErr w:type="spellEnd"/>
      <w:r>
        <w:rPr>
          <w:rFonts w:cs="Times New Roman"/>
          <w:lang w:val="en-GB"/>
        </w:rPr>
        <w:t xml:space="preserve"> D, </w:t>
      </w:r>
      <w:proofErr w:type="spellStart"/>
      <w:r>
        <w:rPr>
          <w:rFonts w:cs="Times New Roman"/>
          <w:lang w:val="en-GB"/>
        </w:rPr>
        <w:t>Duiguid</w:t>
      </w:r>
      <w:proofErr w:type="spellEnd"/>
      <w:r>
        <w:rPr>
          <w:rFonts w:cs="Times New Roman"/>
          <w:lang w:val="en-GB"/>
        </w:rPr>
        <w:t xml:space="preserve"> M and Mitchell C. Pilot of a national inpatient medication chart in Australia: improving prescribing safety and enabling prescribing training. </w:t>
      </w:r>
      <w:proofErr w:type="gramStart"/>
      <w:r>
        <w:rPr>
          <w:rStyle w:val="2body-italic0"/>
          <w:rFonts w:cs="Times New Roman"/>
          <w:lang w:val="en-GB"/>
        </w:rPr>
        <w:t>British journal of clinical pharmacology</w:t>
      </w:r>
      <w:r>
        <w:rPr>
          <w:rFonts w:cs="Times New Roman"/>
          <w:lang w:val="en-GB"/>
        </w:rPr>
        <w:t>.</w:t>
      </w:r>
      <w:proofErr w:type="gramEnd"/>
      <w:r>
        <w:rPr>
          <w:rFonts w:cs="Times New Roman"/>
          <w:lang w:val="en-GB"/>
        </w:rPr>
        <w:t> </w:t>
      </w:r>
      <w:proofErr w:type="gramStart"/>
      <w:r>
        <w:rPr>
          <w:rFonts w:cs="Times New Roman"/>
          <w:lang w:val="en-GB"/>
        </w:rPr>
        <w:t>2011; 72: 338–49.</w:t>
      </w:r>
      <w:proofErr w:type="gramEnd"/>
    </w:p>
    <w:p w14:paraId="68ECEC5F" w14:textId="77777777" w:rsidR="006F421D" w:rsidRDefault="006F421D" w:rsidP="006F421D">
      <w:pPr>
        <w:pStyle w:val="2bodyreferences-only"/>
        <w:ind w:left="426" w:hanging="426"/>
        <w:divId w:val="1262954456"/>
        <w:rPr>
          <w:rFonts w:cs="Times New Roman"/>
          <w:lang w:val="en-GB"/>
        </w:rPr>
      </w:pPr>
      <w:r>
        <w:rPr>
          <w:rFonts w:cs="Times New Roman"/>
          <w:lang w:val="en-GB"/>
        </w:rPr>
        <w:t>8.</w:t>
      </w:r>
      <w:r>
        <w:rPr>
          <w:rFonts w:cs="Times New Roman"/>
          <w:lang w:val="en-GB"/>
        </w:rPr>
        <w:tab/>
        <w:t xml:space="preserve">Baker HM, </w:t>
      </w:r>
      <w:proofErr w:type="spellStart"/>
      <w:r>
        <w:rPr>
          <w:rFonts w:cs="Times New Roman"/>
          <w:lang w:val="en-GB"/>
        </w:rPr>
        <w:t>Napthine</w:t>
      </w:r>
      <w:proofErr w:type="spellEnd"/>
      <w:r>
        <w:rPr>
          <w:rFonts w:cs="Times New Roman"/>
          <w:lang w:val="en-GB"/>
        </w:rPr>
        <w:t xml:space="preserve"> R and Federation AN. </w:t>
      </w:r>
      <w:r>
        <w:rPr>
          <w:rStyle w:val="2body-italic0"/>
          <w:rFonts w:cs="Times New Roman"/>
          <w:lang w:val="en-GB"/>
        </w:rPr>
        <w:t>Nurses &amp; medication: A literature review</w:t>
      </w:r>
      <w:r>
        <w:rPr>
          <w:rFonts w:cs="Times New Roman"/>
          <w:lang w:val="en-GB"/>
        </w:rPr>
        <w:t xml:space="preserve">. </w:t>
      </w:r>
      <w:proofErr w:type="gramStart"/>
      <w:r>
        <w:rPr>
          <w:rFonts w:cs="Times New Roman"/>
          <w:lang w:val="en-GB"/>
        </w:rPr>
        <w:t>Australian Nursing Federation, 1994.</w:t>
      </w:r>
      <w:proofErr w:type="gramEnd"/>
    </w:p>
    <w:p w14:paraId="6434F0D8" w14:textId="77777777" w:rsidR="006F421D" w:rsidRDefault="006F421D" w:rsidP="006F421D">
      <w:pPr>
        <w:pStyle w:val="2bodyreferences-only"/>
        <w:ind w:left="426" w:hanging="426"/>
        <w:divId w:val="1262954456"/>
        <w:rPr>
          <w:rFonts w:cs="Times New Roman"/>
          <w:lang w:val="en-GB"/>
        </w:rPr>
      </w:pPr>
      <w:r>
        <w:rPr>
          <w:rFonts w:cs="Times New Roman"/>
          <w:lang w:val="en-GB"/>
        </w:rPr>
        <w:t>9.</w:t>
      </w:r>
      <w:r>
        <w:rPr>
          <w:rFonts w:cs="Times New Roman"/>
          <w:lang w:val="en-GB"/>
        </w:rPr>
        <w:tab/>
        <w:t xml:space="preserve">Tong B and Stevenson C. </w:t>
      </w:r>
      <w:r>
        <w:rPr>
          <w:rStyle w:val="2body-italic0"/>
          <w:rFonts w:cs="Times New Roman"/>
          <w:lang w:val="en-GB"/>
        </w:rPr>
        <w:t>Comorbidity of cardiovascular disease, diabetes and chronic kidney disease in Australia</w:t>
      </w:r>
      <w:r>
        <w:rPr>
          <w:rFonts w:cs="Times New Roman"/>
          <w:lang w:val="en-GB"/>
        </w:rPr>
        <w:t>. 37th ed. Canberra: Australian Institute of Health and Welfare, 2007.</w:t>
      </w:r>
    </w:p>
    <w:p w14:paraId="5E0883BB" w14:textId="77777777" w:rsidR="006F421D" w:rsidRDefault="006F421D" w:rsidP="006F421D">
      <w:pPr>
        <w:pStyle w:val="2bodyreferences-only"/>
        <w:ind w:left="426" w:hanging="426"/>
        <w:divId w:val="1262954456"/>
        <w:rPr>
          <w:rFonts w:cs="Times New Roman"/>
          <w:lang w:val="en-GB"/>
        </w:rPr>
      </w:pPr>
      <w:r>
        <w:rPr>
          <w:rFonts w:cs="Times New Roman"/>
          <w:lang w:val="en-GB"/>
        </w:rPr>
        <w:t>10.</w:t>
      </w:r>
      <w:r>
        <w:rPr>
          <w:rFonts w:cs="Times New Roman"/>
          <w:lang w:val="en-GB"/>
        </w:rPr>
        <w:tab/>
        <w:t xml:space="preserve">Westbrook JI, Rob MI, Woods A and Parry D. Errors in the administration of intravenous medications in hospital and the role of correct procedures and nurse experience. </w:t>
      </w:r>
      <w:proofErr w:type="gramStart"/>
      <w:r>
        <w:rPr>
          <w:rStyle w:val="2body-italic0"/>
          <w:rFonts w:cs="Times New Roman"/>
          <w:lang w:val="en-GB"/>
        </w:rPr>
        <w:t>BMJ Quality &amp; Safety</w:t>
      </w:r>
      <w:r>
        <w:rPr>
          <w:rFonts w:cs="Times New Roman"/>
          <w:lang w:val="en-GB"/>
        </w:rPr>
        <w:t>.</w:t>
      </w:r>
      <w:proofErr w:type="gramEnd"/>
      <w:r>
        <w:rPr>
          <w:rFonts w:cs="Times New Roman"/>
          <w:lang w:val="en-GB"/>
        </w:rPr>
        <w:t xml:space="preserve"> </w:t>
      </w:r>
      <w:proofErr w:type="gramStart"/>
      <w:r>
        <w:rPr>
          <w:rFonts w:cs="Times New Roman"/>
          <w:lang w:val="en-GB"/>
        </w:rPr>
        <w:t>2011; 20: 1027–34.</w:t>
      </w:r>
      <w:proofErr w:type="gramEnd"/>
    </w:p>
    <w:p w14:paraId="07B2810B" w14:textId="77777777" w:rsidR="006F421D" w:rsidRDefault="006F421D" w:rsidP="006F421D">
      <w:pPr>
        <w:pStyle w:val="2bodyreferences-only"/>
        <w:ind w:left="426" w:hanging="426"/>
        <w:divId w:val="1262954456"/>
        <w:rPr>
          <w:rFonts w:cs="Times New Roman"/>
          <w:lang w:val="en-GB"/>
        </w:rPr>
      </w:pPr>
      <w:r>
        <w:rPr>
          <w:rFonts w:cs="Times New Roman"/>
          <w:lang w:val="en-GB"/>
        </w:rPr>
        <w:t>11.</w:t>
      </w:r>
      <w:r>
        <w:rPr>
          <w:rFonts w:cs="Times New Roman"/>
          <w:lang w:val="en-GB"/>
        </w:rPr>
        <w:tab/>
        <w:t xml:space="preserve">Appleby J, Raleigh V, </w:t>
      </w:r>
      <w:proofErr w:type="spellStart"/>
      <w:r>
        <w:rPr>
          <w:rFonts w:cs="Times New Roman"/>
          <w:lang w:val="en-GB"/>
        </w:rPr>
        <w:t>Frosini</w:t>
      </w:r>
      <w:proofErr w:type="spellEnd"/>
      <w:r>
        <w:rPr>
          <w:rFonts w:cs="Times New Roman"/>
          <w:lang w:val="en-GB"/>
        </w:rPr>
        <w:t xml:space="preserve"> F, et al. </w:t>
      </w:r>
      <w:r>
        <w:rPr>
          <w:rStyle w:val="2body-italic0"/>
          <w:rFonts w:cs="Times New Roman"/>
          <w:lang w:val="en-GB"/>
        </w:rPr>
        <w:t>Variations in health care: the good, the bad and the inexplicable</w:t>
      </w:r>
      <w:r>
        <w:rPr>
          <w:rFonts w:cs="Times New Roman"/>
          <w:lang w:val="en-GB"/>
        </w:rPr>
        <w:t xml:space="preserve">. </w:t>
      </w:r>
      <w:proofErr w:type="gramStart"/>
      <w:r>
        <w:rPr>
          <w:rFonts w:cs="Times New Roman"/>
          <w:lang w:val="en-GB"/>
        </w:rPr>
        <w:t>King’s Fund, 2011.</w:t>
      </w:r>
      <w:proofErr w:type="gramEnd"/>
    </w:p>
    <w:p w14:paraId="660D29E2" w14:textId="77777777" w:rsidR="006F421D" w:rsidRDefault="006F421D" w:rsidP="006F421D">
      <w:pPr>
        <w:pStyle w:val="2bodyreferences-only"/>
        <w:ind w:left="426" w:hanging="426"/>
        <w:divId w:val="1262954456"/>
        <w:rPr>
          <w:rFonts w:cs="Times New Roman"/>
          <w:lang w:val="en-GB"/>
        </w:rPr>
      </w:pPr>
      <w:r>
        <w:rPr>
          <w:rFonts w:cs="Times New Roman"/>
          <w:lang w:val="en-GB"/>
        </w:rPr>
        <w:t>12.</w:t>
      </w:r>
      <w:r>
        <w:rPr>
          <w:rFonts w:cs="Times New Roman"/>
          <w:lang w:val="en-GB"/>
        </w:rPr>
        <w:tab/>
        <w:t xml:space="preserve">Office of the Chief Scientist. Meeting the Threat of Antibiotic Resistance: Building a New Frontline Defence. </w:t>
      </w:r>
      <w:proofErr w:type="gramStart"/>
      <w:r>
        <w:rPr>
          <w:rFonts w:cs="Times New Roman"/>
          <w:lang w:val="en-GB"/>
        </w:rPr>
        <w:t>Occasional Paper Series.</w:t>
      </w:r>
      <w:proofErr w:type="gramEnd"/>
      <w:r>
        <w:rPr>
          <w:rFonts w:cs="Times New Roman"/>
          <w:lang w:val="en-GB"/>
        </w:rPr>
        <w:t xml:space="preserve"> Canberra: Australian Government, 2013.</w:t>
      </w:r>
    </w:p>
    <w:p w14:paraId="220CA75C" w14:textId="77777777" w:rsidR="006F421D" w:rsidRDefault="006F421D" w:rsidP="006F421D">
      <w:pPr>
        <w:pStyle w:val="2bodyreferences-only"/>
        <w:ind w:left="426" w:hanging="426"/>
        <w:divId w:val="1262954456"/>
        <w:rPr>
          <w:rFonts w:cs="Times New Roman"/>
          <w:lang w:val="en-GB"/>
        </w:rPr>
      </w:pPr>
      <w:r>
        <w:rPr>
          <w:rFonts w:cs="Times New Roman"/>
          <w:lang w:val="en-GB"/>
        </w:rPr>
        <w:t>13.</w:t>
      </w:r>
      <w:r>
        <w:rPr>
          <w:rFonts w:cs="Times New Roman"/>
          <w:lang w:val="en-GB"/>
        </w:rPr>
        <w:tab/>
        <w:t xml:space="preserve">Turnidge JD, </w:t>
      </w:r>
      <w:proofErr w:type="spellStart"/>
      <w:r>
        <w:rPr>
          <w:rFonts w:cs="Times New Roman"/>
          <w:lang w:val="en-GB"/>
        </w:rPr>
        <w:t>Kotsanas</w:t>
      </w:r>
      <w:proofErr w:type="spellEnd"/>
      <w:r>
        <w:rPr>
          <w:rFonts w:cs="Times New Roman"/>
          <w:lang w:val="en-GB"/>
        </w:rPr>
        <w:t xml:space="preserve"> D, </w:t>
      </w:r>
      <w:proofErr w:type="spellStart"/>
      <w:r>
        <w:rPr>
          <w:rFonts w:cs="Times New Roman"/>
          <w:lang w:val="en-GB"/>
        </w:rPr>
        <w:t>Munckhof</w:t>
      </w:r>
      <w:proofErr w:type="spellEnd"/>
      <w:r>
        <w:rPr>
          <w:rFonts w:cs="Times New Roman"/>
          <w:lang w:val="en-GB"/>
        </w:rPr>
        <w:t xml:space="preserve"> W, Roberts S and Bennett C. Staphylococcus aureus bacteraemia: a major cause of mortality in Australia and New Zealand. </w:t>
      </w:r>
      <w:proofErr w:type="gramStart"/>
      <w:r>
        <w:rPr>
          <w:rStyle w:val="2body-italic0"/>
          <w:rFonts w:cs="Times New Roman"/>
          <w:lang w:val="en-GB"/>
        </w:rPr>
        <w:t>Medical Journal of Australia</w:t>
      </w:r>
      <w:r>
        <w:rPr>
          <w:rFonts w:cs="Times New Roman"/>
          <w:lang w:val="en-GB"/>
        </w:rPr>
        <w:t>.</w:t>
      </w:r>
      <w:proofErr w:type="gramEnd"/>
      <w:r>
        <w:rPr>
          <w:rFonts w:cs="Times New Roman"/>
          <w:lang w:val="en-GB"/>
        </w:rPr>
        <w:t xml:space="preserve"> </w:t>
      </w:r>
      <w:proofErr w:type="gramStart"/>
      <w:r>
        <w:rPr>
          <w:rFonts w:cs="Times New Roman"/>
          <w:lang w:val="en-GB"/>
        </w:rPr>
        <w:t>2009; 191: 368–73.</w:t>
      </w:r>
      <w:proofErr w:type="gramEnd"/>
    </w:p>
    <w:p w14:paraId="5A7D293F" w14:textId="77777777" w:rsidR="006F421D" w:rsidRDefault="006F421D" w:rsidP="006F421D">
      <w:pPr>
        <w:pStyle w:val="2bodyreferences-only"/>
        <w:ind w:left="426" w:hanging="426"/>
        <w:divId w:val="1262954456"/>
        <w:rPr>
          <w:rFonts w:cs="Times New Roman"/>
          <w:lang w:val="en-GB"/>
        </w:rPr>
      </w:pPr>
      <w:r>
        <w:rPr>
          <w:rFonts w:cs="Times New Roman"/>
          <w:lang w:val="en-GB"/>
        </w:rPr>
        <w:t>14.</w:t>
      </w:r>
      <w:r>
        <w:rPr>
          <w:rFonts w:cs="Times New Roman"/>
          <w:lang w:val="en-GB"/>
        </w:rPr>
        <w:tab/>
      </w:r>
      <w:proofErr w:type="spellStart"/>
      <w:r>
        <w:rPr>
          <w:rFonts w:cs="Times New Roman"/>
          <w:lang w:val="en-GB"/>
        </w:rPr>
        <w:t>Duguid</w:t>
      </w:r>
      <w:proofErr w:type="spellEnd"/>
      <w:r>
        <w:rPr>
          <w:rFonts w:cs="Times New Roman"/>
          <w:lang w:val="en-GB"/>
        </w:rPr>
        <w:t xml:space="preserve"> M and Cruickshank M. Antimicrobial Stewardship in Australian Hospitals. Sydney: Australian Commission on Safety and Quality in Health Care, 2011.</w:t>
      </w:r>
    </w:p>
    <w:p w14:paraId="0EA431E7" w14:textId="77777777" w:rsidR="006F421D" w:rsidRDefault="006F421D" w:rsidP="006F421D">
      <w:pPr>
        <w:pStyle w:val="2bodyreferences-only"/>
        <w:ind w:left="426" w:hanging="426"/>
        <w:divId w:val="1262954456"/>
        <w:rPr>
          <w:rFonts w:cs="Times New Roman"/>
          <w:lang w:val="en-GB"/>
        </w:rPr>
      </w:pPr>
      <w:r>
        <w:rPr>
          <w:rFonts w:cs="Times New Roman"/>
          <w:lang w:val="en-GB"/>
        </w:rPr>
        <w:t>15.</w:t>
      </w:r>
      <w:r>
        <w:rPr>
          <w:rFonts w:cs="Times New Roman"/>
          <w:lang w:val="en-GB"/>
        </w:rPr>
        <w:tab/>
        <w:t xml:space="preserve">Eliopoulos GM, Cosgrove SE and </w:t>
      </w:r>
      <w:proofErr w:type="spellStart"/>
      <w:r>
        <w:rPr>
          <w:rFonts w:cs="Times New Roman"/>
          <w:lang w:val="en-GB"/>
        </w:rPr>
        <w:t>Carmeli</w:t>
      </w:r>
      <w:proofErr w:type="spellEnd"/>
      <w:r>
        <w:rPr>
          <w:rFonts w:cs="Times New Roman"/>
          <w:lang w:val="en-GB"/>
        </w:rPr>
        <w:t xml:space="preserve"> Y. </w:t>
      </w:r>
      <w:proofErr w:type="gramStart"/>
      <w:r>
        <w:rPr>
          <w:rFonts w:cs="Times New Roman"/>
          <w:lang w:val="en-GB"/>
        </w:rPr>
        <w:t>The impact of antimicrobial resistance on health and economic outcomes.</w:t>
      </w:r>
      <w:proofErr w:type="gramEnd"/>
      <w:r>
        <w:rPr>
          <w:rFonts w:cs="Times New Roman"/>
          <w:lang w:val="en-GB"/>
        </w:rPr>
        <w:t xml:space="preserve"> </w:t>
      </w:r>
      <w:proofErr w:type="gramStart"/>
      <w:r>
        <w:rPr>
          <w:rStyle w:val="2body-italic0"/>
          <w:rFonts w:cs="Times New Roman"/>
          <w:lang w:val="en-GB"/>
        </w:rPr>
        <w:t>Clinical Infectious Diseases</w:t>
      </w:r>
      <w:r>
        <w:rPr>
          <w:rFonts w:cs="Times New Roman"/>
          <w:lang w:val="en-GB"/>
        </w:rPr>
        <w:t>.</w:t>
      </w:r>
      <w:proofErr w:type="gramEnd"/>
      <w:r>
        <w:rPr>
          <w:rFonts w:cs="Times New Roman"/>
          <w:lang w:val="en-GB"/>
        </w:rPr>
        <w:t xml:space="preserve"> </w:t>
      </w:r>
      <w:proofErr w:type="gramStart"/>
      <w:r>
        <w:rPr>
          <w:rFonts w:cs="Times New Roman"/>
          <w:lang w:val="en-GB"/>
        </w:rPr>
        <w:t>2003; 36: 1433–7.</w:t>
      </w:r>
      <w:proofErr w:type="gramEnd"/>
    </w:p>
    <w:p w14:paraId="4C1B207E" w14:textId="77777777" w:rsidR="006F421D" w:rsidRDefault="006F421D" w:rsidP="006F421D">
      <w:pPr>
        <w:pStyle w:val="2bodyreferences-only"/>
        <w:ind w:left="426" w:hanging="426"/>
        <w:divId w:val="1262954456"/>
        <w:rPr>
          <w:rFonts w:cs="Times New Roman"/>
          <w:lang w:val="en-GB"/>
        </w:rPr>
      </w:pPr>
      <w:r>
        <w:rPr>
          <w:rFonts w:cs="Times New Roman"/>
          <w:lang w:val="en-GB"/>
        </w:rPr>
        <w:t>16.</w:t>
      </w:r>
      <w:r>
        <w:rPr>
          <w:rFonts w:cs="Times New Roman"/>
          <w:lang w:val="en-GB"/>
        </w:rPr>
        <w:tab/>
        <w:t xml:space="preserve">Australian Council for Safety and Quality in Health Care. Standard for </w:t>
      </w:r>
      <w:proofErr w:type="spellStart"/>
      <w:r>
        <w:rPr>
          <w:rFonts w:cs="Times New Roman"/>
          <w:lang w:val="en-GB"/>
        </w:rPr>
        <w:t>Credentialling</w:t>
      </w:r>
      <w:proofErr w:type="spellEnd"/>
      <w:r>
        <w:rPr>
          <w:rFonts w:cs="Times New Roman"/>
          <w:lang w:val="en-GB"/>
        </w:rPr>
        <w:t xml:space="preserve"> and Defining the Scope of Clinical Practice: A National Standard for </w:t>
      </w:r>
      <w:proofErr w:type="spellStart"/>
      <w:r>
        <w:rPr>
          <w:rFonts w:cs="Times New Roman"/>
          <w:lang w:val="en-GB"/>
        </w:rPr>
        <w:t>credentialling</w:t>
      </w:r>
      <w:proofErr w:type="spellEnd"/>
      <w:r>
        <w:rPr>
          <w:rFonts w:cs="Times New Roman"/>
          <w:lang w:val="en-GB"/>
        </w:rPr>
        <w:t xml:space="preserve"> and defining the scope of clinical practice of medical practitioners, for use in public and private hospitals. 2004.</w:t>
      </w:r>
    </w:p>
    <w:p w14:paraId="47BA56BE" w14:textId="77777777" w:rsidR="006F421D" w:rsidRDefault="006F421D" w:rsidP="006F421D">
      <w:pPr>
        <w:pStyle w:val="2bodyreferences-only"/>
        <w:ind w:left="426" w:hanging="426"/>
        <w:divId w:val="1262954456"/>
        <w:rPr>
          <w:rFonts w:cs="Times New Roman"/>
          <w:lang w:val="en-GB"/>
        </w:rPr>
      </w:pPr>
      <w:r>
        <w:rPr>
          <w:rFonts w:cs="Times New Roman"/>
          <w:lang w:val="en-GB"/>
        </w:rPr>
        <w:t>17.</w:t>
      </w:r>
      <w:r>
        <w:rPr>
          <w:rFonts w:cs="Times New Roman"/>
          <w:lang w:val="en-GB"/>
        </w:rPr>
        <w:tab/>
      </w:r>
      <w:r>
        <w:rPr>
          <w:rStyle w:val="2body-italic0"/>
          <w:rFonts w:cs="Times New Roman"/>
          <w:lang w:val="en-GB"/>
        </w:rPr>
        <w:t>Medical Dictionary for the Health Professions and Nursing</w:t>
      </w:r>
      <w:r>
        <w:rPr>
          <w:rFonts w:cs="Times New Roman"/>
          <w:lang w:val="en-GB"/>
        </w:rPr>
        <w:t xml:space="preserve">. </w:t>
      </w:r>
      <w:proofErr w:type="spellStart"/>
      <w:proofErr w:type="gramStart"/>
      <w:r>
        <w:rPr>
          <w:rFonts w:cs="Times New Roman"/>
          <w:lang w:val="en-GB"/>
        </w:rPr>
        <w:t>Farlex</w:t>
      </w:r>
      <w:proofErr w:type="spellEnd"/>
      <w:r>
        <w:rPr>
          <w:rFonts w:cs="Times New Roman"/>
          <w:lang w:val="en-GB"/>
        </w:rPr>
        <w:t>, 2012.</w:t>
      </w:r>
      <w:proofErr w:type="gramEnd"/>
    </w:p>
    <w:p w14:paraId="529E901D" w14:textId="77777777" w:rsidR="006F421D" w:rsidRDefault="006F421D" w:rsidP="006F421D">
      <w:pPr>
        <w:pStyle w:val="2bodyreferences-only"/>
        <w:ind w:left="426" w:hanging="426"/>
        <w:divId w:val="1262954456"/>
        <w:rPr>
          <w:rFonts w:cs="Times New Roman"/>
          <w:lang w:val="en-GB"/>
        </w:rPr>
      </w:pPr>
      <w:r>
        <w:rPr>
          <w:rFonts w:cs="Times New Roman"/>
          <w:lang w:val="en-GB"/>
        </w:rPr>
        <w:t>18.</w:t>
      </w:r>
      <w:r>
        <w:rPr>
          <w:rFonts w:cs="Times New Roman"/>
          <w:lang w:val="en-GB"/>
        </w:rPr>
        <w:tab/>
        <w:t>Cruickshank M and Ferguson J. Reducing Harm to Patients from Health Care Associated Infection: The Role of Surveillance. Sydney: Australian Commission on Safety and Quality in Health Care, 2008.</w:t>
      </w:r>
    </w:p>
    <w:p w14:paraId="280B8141" w14:textId="77777777" w:rsidR="006F421D" w:rsidRDefault="006F421D" w:rsidP="006F421D">
      <w:pPr>
        <w:pStyle w:val="2bodyreferences-only"/>
        <w:ind w:left="426" w:hanging="426"/>
        <w:divId w:val="1262954456"/>
        <w:rPr>
          <w:rFonts w:cs="Times New Roman"/>
          <w:lang w:val="en-GB"/>
        </w:rPr>
      </w:pPr>
      <w:r>
        <w:rPr>
          <w:rFonts w:cs="Times New Roman"/>
          <w:lang w:val="en-GB"/>
        </w:rPr>
        <w:t>19.</w:t>
      </w:r>
      <w:r>
        <w:rPr>
          <w:rFonts w:cs="Times New Roman"/>
          <w:lang w:val="en-GB"/>
        </w:rPr>
        <w:tab/>
      </w:r>
      <w:proofErr w:type="spellStart"/>
      <w:r>
        <w:rPr>
          <w:rFonts w:cs="Times New Roman"/>
          <w:lang w:val="en-GB"/>
        </w:rPr>
        <w:t>Coiera</w:t>
      </w:r>
      <w:proofErr w:type="spellEnd"/>
      <w:r>
        <w:rPr>
          <w:rFonts w:cs="Times New Roman"/>
          <w:lang w:val="en-GB"/>
        </w:rPr>
        <w:t xml:space="preserve"> EW, </w:t>
      </w:r>
      <w:proofErr w:type="spellStart"/>
      <w:r>
        <w:rPr>
          <w:rFonts w:cs="Times New Roman"/>
          <w:lang w:val="en-GB"/>
        </w:rPr>
        <w:t>Jayasuriya</w:t>
      </w:r>
      <w:proofErr w:type="spellEnd"/>
      <w:r>
        <w:rPr>
          <w:rFonts w:cs="Times New Roman"/>
          <w:lang w:val="en-GB"/>
        </w:rPr>
        <w:t xml:space="preserve"> RA, Hardy J, </w:t>
      </w:r>
      <w:proofErr w:type="spellStart"/>
      <w:r>
        <w:rPr>
          <w:rFonts w:cs="Times New Roman"/>
          <w:lang w:val="en-GB"/>
        </w:rPr>
        <w:t>Bannan</w:t>
      </w:r>
      <w:proofErr w:type="spellEnd"/>
      <w:r>
        <w:rPr>
          <w:rFonts w:cs="Times New Roman"/>
          <w:lang w:val="en-GB"/>
        </w:rPr>
        <w:t xml:space="preserve"> A and Thorpe MEC. Communication loads on clinical staff in the emergency department. </w:t>
      </w:r>
      <w:proofErr w:type="gramStart"/>
      <w:r>
        <w:rPr>
          <w:rStyle w:val="2body-italic0"/>
          <w:rFonts w:cs="Times New Roman"/>
          <w:lang w:val="en-GB"/>
        </w:rPr>
        <w:t>Medical Journal of Australia</w:t>
      </w:r>
      <w:r>
        <w:rPr>
          <w:rFonts w:cs="Times New Roman"/>
          <w:lang w:val="en-GB"/>
        </w:rPr>
        <w:t>.</w:t>
      </w:r>
      <w:proofErr w:type="gramEnd"/>
      <w:r>
        <w:rPr>
          <w:rFonts w:cs="Times New Roman"/>
          <w:lang w:val="en-GB"/>
        </w:rPr>
        <w:t xml:space="preserve"> </w:t>
      </w:r>
      <w:proofErr w:type="gramStart"/>
      <w:r>
        <w:rPr>
          <w:rFonts w:cs="Times New Roman"/>
          <w:lang w:val="en-GB"/>
        </w:rPr>
        <w:t>2002; 176: 415–8.</w:t>
      </w:r>
      <w:proofErr w:type="gramEnd"/>
    </w:p>
    <w:p w14:paraId="5C6A507C" w14:textId="77777777" w:rsidR="006F421D" w:rsidRDefault="006F421D" w:rsidP="006F421D">
      <w:pPr>
        <w:pStyle w:val="2bodyreferences-only"/>
        <w:ind w:left="426" w:hanging="426"/>
        <w:divId w:val="1262954456"/>
        <w:rPr>
          <w:rFonts w:cs="Times New Roman"/>
          <w:lang w:val="en-GB"/>
        </w:rPr>
      </w:pPr>
      <w:r>
        <w:rPr>
          <w:rFonts w:cs="Times New Roman"/>
          <w:lang w:val="en-GB"/>
        </w:rPr>
        <w:t>20.</w:t>
      </w:r>
      <w:r>
        <w:rPr>
          <w:rFonts w:cs="Times New Roman"/>
          <w:lang w:val="en-GB"/>
        </w:rPr>
        <w:tab/>
        <w:t>National Patient Safety Agency. Seven steps to patient safety. London: National Patient Safety Agency, 2004.</w:t>
      </w:r>
    </w:p>
    <w:p w14:paraId="759E95E3" w14:textId="77777777" w:rsidR="006F421D" w:rsidRDefault="006F421D" w:rsidP="006F421D">
      <w:pPr>
        <w:pStyle w:val="2bodyreferences-only"/>
        <w:ind w:left="426" w:hanging="426"/>
        <w:divId w:val="1262954456"/>
        <w:rPr>
          <w:rFonts w:cs="Times New Roman"/>
          <w:lang w:val="en-GB"/>
        </w:rPr>
      </w:pPr>
      <w:r>
        <w:rPr>
          <w:rFonts w:cs="Times New Roman"/>
          <w:lang w:val="en-GB"/>
        </w:rPr>
        <w:t>21.</w:t>
      </w:r>
      <w:r>
        <w:rPr>
          <w:rFonts w:cs="Times New Roman"/>
          <w:lang w:val="en-GB"/>
        </w:rPr>
        <w:tab/>
        <w:t xml:space="preserve">Field M and </w:t>
      </w:r>
      <w:proofErr w:type="spellStart"/>
      <w:r>
        <w:rPr>
          <w:rFonts w:cs="Times New Roman"/>
          <w:lang w:val="en-GB"/>
        </w:rPr>
        <w:t>Lohr</w:t>
      </w:r>
      <w:proofErr w:type="spellEnd"/>
      <w:r>
        <w:rPr>
          <w:rFonts w:cs="Times New Roman"/>
          <w:lang w:val="en-GB"/>
        </w:rPr>
        <w:t xml:space="preserve"> K. Guidelines for clinical practice: from development to use. Washington </w:t>
      </w:r>
      <w:proofErr w:type="gramStart"/>
      <w:r>
        <w:rPr>
          <w:rFonts w:cs="Times New Roman"/>
          <w:lang w:val="en-GB"/>
        </w:rPr>
        <w:t>DC.:</w:t>
      </w:r>
      <w:proofErr w:type="gramEnd"/>
      <w:r>
        <w:rPr>
          <w:rFonts w:cs="Times New Roman"/>
          <w:lang w:val="en-GB"/>
        </w:rPr>
        <w:t xml:space="preserve"> National Academy Press, 1992.</w:t>
      </w:r>
    </w:p>
    <w:p w14:paraId="5FE9146F" w14:textId="77777777" w:rsidR="006F421D" w:rsidRDefault="006F421D" w:rsidP="006F421D">
      <w:pPr>
        <w:pStyle w:val="2bodyreferences-only"/>
        <w:ind w:left="426" w:hanging="426"/>
        <w:divId w:val="1262954456"/>
        <w:rPr>
          <w:rFonts w:cs="Times New Roman"/>
          <w:lang w:val="en-GB"/>
        </w:rPr>
      </w:pPr>
      <w:r>
        <w:rPr>
          <w:rFonts w:cs="Times New Roman"/>
          <w:lang w:val="en-GB"/>
        </w:rPr>
        <w:t>22.</w:t>
      </w:r>
      <w:r>
        <w:rPr>
          <w:rFonts w:cs="Times New Roman"/>
          <w:lang w:val="en-GB"/>
        </w:rPr>
        <w:tab/>
        <w:t xml:space="preserve">Consumers Health Forum of Australia. </w:t>
      </w:r>
      <w:proofErr w:type="gramStart"/>
      <w:r>
        <w:rPr>
          <w:rFonts w:cs="Times New Roman"/>
          <w:lang w:val="en-GB"/>
        </w:rPr>
        <w:t>Consumer representative program policy.</w:t>
      </w:r>
      <w:proofErr w:type="gramEnd"/>
      <w:r>
        <w:rPr>
          <w:rFonts w:cs="Times New Roman"/>
          <w:lang w:val="en-GB"/>
        </w:rPr>
        <w:t xml:space="preserve"> </w:t>
      </w:r>
      <w:proofErr w:type="gramStart"/>
      <w:r>
        <w:rPr>
          <w:rFonts w:cs="Times New Roman"/>
          <w:lang w:val="en-GB"/>
        </w:rPr>
        <w:t>Consumers Health Forum of Australia, 2011.</w:t>
      </w:r>
      <w:proofErr w:type="gramEnd"/>
    </w:p>
    <w:p w14:paraId="0BC1C09E" w14:textId="77777777" w:rsidR="006F421D" w:rsidRDefault="006F421D" w:rsidP="006F421D">
      <w:pPr>
        <w:pStyle w:val="2bodyreferences-only"/>
        <w:ind w:left="426" w:hanging="426"/>
        <w:divId w:val="1262954456"/>
        <w:rPr>
          <w:rFonts w:cs="Times New Roman"/>
          <w:lang w:val="en-GB"/>
        </w:rPr>
      </w:pPr>
      <w:r>
        <w:rPr>
          <w:rFonts w:cs="Times New Roman"/>
          <w:lang w:val="en-GB"/>
        </w:rPr>
        <w:t>23.</w:t>
      </w:r>
      <w:r>
        <w:rPr>
          <w:rFonts w:cs="Times New Roman"/>
          <w:lang w:val="en-GB"/>
        </w:rPr>
        <w:tab/>
        <w:t xml:space="preserve">World Health Organisation. Falls, Fact Sheet No 344. </w:t>
      </w:r>
      <w:proofErr w:type="gramStart"/>
      <w:r>
        <w:rPr>
          <w:rFonts w:cs="Times New Roman"/>
          <w:lang w:val="en-GB"/>
        </w:rPr>
        <w:t>WHO, 2010.</w:t>
      </w:r>
      <w:proofErr w:type="gramEnd"/>
    </w:p>
    <w:p w14:paraId="23071C28" w14:textId="77777777" w:rsidR="006F421D" w:rsidRDefault="006F421D" w:rsidP="006F421D">
      <w:pPr>
        <w:pStyle w:val="2bodyreferences-only"/>
        <w:ind w:left="426" w:hanging="426"/>
        <w:divId w:val="1262954456"/>
        <w:rPr>
          <w:rFonts w:cs="Times New Roman"/>
          <w:lang w:val="en-GB"/>
        </w:rPr>
      </w:pPr>
      <w:r>
        <w:rPr>
          <w:rFonts w:cs="Times New Roman"/>
          <w:lang w:val="en-GB"/>
        </w:rPr>
        <w:t>24.</w:t>
      </w:r>
      <w:r>
        <w:rPr>
          <w:rFonts w:cs="Times New Roman"/>
          <w:lang w:val="en-GB"/>
        </w:rPr>
        <w:tab/>
        <w:t xml:space="preserve">National Health &amp; Medical Research Council. </w:t>
      </w:r>
      <w:proofErr w:type="gramStart"/>
      <w:r>
        <w:rPr>
          <w:rFonts w:cs="Times New Roman"/>
          <w:lang w:val="en-GB"/>
        </w:rPr>
        <w:t>Australian Guidelines for the Prevention and Control of Infection in Healthcare.</w:t>
      </w:r>
      <w:proofErr w:type="gramEnd"/>
      <w:r>
        <w:rPr>
          <w:rFonts w:cs="Times New Roman"/>
          <w:lang w:val="en-GB"/>
        </w:rPr>
        <w:t xml:space="preserve"> Canberra: NHMRC, 2010, p. 260.</w:t>
      </w:r>
    </w:p>
    <w:p w14:paraId="62CFEB31" w14:textId="77777777" w:rsidR="006F421D" w:rsidRDefault="006F421D" w:rsidP="006F421D">
      <w:pPr>
        <w:pStyle w:val="2bodyreferences-only"/>
        <w:ind w:left="426" w:hanging="426"/>
        <w:divId w:val="1262954456"/>
        <w:rPr>
          <w:rFonts w:cs="Times New Roman"/>
          <w:lang w:val="en-GB"/>
        </w:rPr>
      </w:pPr>
      <w:r>
        <w:rPr>
          <w:rFonts w:cs="Times New Roman"/>
          <w:lang w:val="en-GB"/>
        </w:rPr>
        <w:t>25.</w:t>
      </w:r>
      <w:r>
        <w:rPr>
          <w:rFonts w:cs="Times New Roman"/>
          <w:lang w:val="en-GB"/>
        </w:rPr>
        <w:tab/>
        <w:t>Australian Institute of Health and Welfare and Australian Commission on safety and Quality in Health Care. Exploring Healthcare Variation in Australia: Analyses Resulting from an OECD Study. Sydney: ACSQHC, 2014, p. 2.</w:t>
      </w:r>
    </w:p>
    <w:p w14:paraId="5D7EADA3" w14:textId="77777777" w:rsidR="006F421D" w:rsidRDefault="006F421D" w:rsidP="006F421D">
      <w:pPr>
        <w:pStyle w:val="2bodyreferences-only"/>
        <w:ind w:left="426" w:hanging="426"/>
        <w:divId w:val="1262954456"/>
        <w:rPr>
          <w:rFonts w:cs="Times New Roman"/>
          <w:lang w:val="en-GB"/>
        </w:rPr>
      </w:pPr>
      <w:r>
        <w:rPr>
          <w:rFonts w:cs="Times New Roman"/>
          <w:lang w:val="en-GB"/>
        </w:rPr>
        <w:lastRenderedPageBreak/>
        <w:t>26.</w:t>
      </w:r>
      <w:r>
        <w:rPr>
          <w:rFonts w:cs="Times New Roman"/>
          <w:lang w:val="en-GB"/>
        </w:rPr>
        <w:tab/>
        <w:t>National Coordinating Council for Medication Error Reporting and Prevention. What is a medication error? : National Coordinating Council for Medication Error Reporting and Prevention.</w:t>
      </w:r>
    </w:p>
    <w:p w14:paraId="5FD82333" w14:textId="77777777" w:rsidR="006F421D" w:rsidRDefault="006F421D" w:rsidP="006F421D">
      <w:pPr>
        <w:pStyle w:val="2bodyreferences-only"/>
        <w:ind w:left="426" w:hanging="426"/>
        <w:divId w:val="1262954456"/>
        <w:rPr>
          <w:rFonts w:cs="Times New Roman"/>
          <w:lang w:val="en-GB"/>
        </w:rPr>
      </w:pPr>
      <w:r>
        <w:rPr>
          <w:rFonts w:cs="Times New Roman"/>
          <w:lang w:val="en-GB"/>
        </w:rPr>
        <w:t>27.</w:t>
      </w:r>
      <w:r>
        <w:rPr>
          <w:rFonts w:cs="Times New Roman"/>
          <w:lang w:val="en-GB"/>
        </w:rPr>
        <w:tab/>
        <w:t>Australian Pharmaceutical Advisory Council. Guiding principles for medication management in the community. Canberra: Commonwealth of Australia, 2006.</w:t>
      </w:r>
    </w:p>
    <w:p w14:paraId="01CB4555" w14:textId="77777777" w:rsidR="006F421D" w:rsidRDefault="006F421D" w:rsidP="006F421D">
      <w:pPr>
        <w:pStyle w:val="2bodyreferences-only"/>
        <w:ind w:left="426" w:hanging="426"/>
        <w:divId w:val="1262954456"/>
        <w:rPr>
          <w:rFonts w:cs="Times New Roman"/>
          <w:lang w:val="en-GB"/>
        </w:rPr>
      </w:pPr>
      <w:r>
        <w:rPr>
          <w:rFonts w:cs="Times New Roman"/>
          <w:lang w:val="en-GB"/>
        </w:rPr>
        <w:t>28.</w:t>
      </w:r>
      <w:r>
        <w:rPr>
          <w:rFonts w:cs="Times New Roman"/>
          <w:lang w:val="en-GB"/>
        </w:rPr>
        <w:tab/>
      </w:r>
      <w:proofErr w:type="spellStart"/>
      <w:r>
        <w:rPr>
          <w:rFonts w:cs="Times New Roman"/>
          <w:lang w:val="en-GB"/>
        </w:rPr>
        <w:t>Légaré</w:t>
      </w:r>
      <w:proofErr w:type="spellEnd"/>
      <w:r>
        <w:rPr>
          <w:rFonts w:cs="Times New Roman"/>
          <w:lang w:val="en-GB"/>
        </w:rPr>
        <w:t xml:space="preserve"> F, </w:t>
      </w:r>
      <w:proofErr w:type="spellStart"/>
      <w:r>
        <w:rPr>
          <w:rFonts w:cs="Times New Roman"/>
          <w:lang w:val="en-GB"/>
        </w:rPr>
        <w:t>Ratté</w:t>
      </w:r>
      <w:proofErr w:type="spellEnd"/>
      <w:r>
        <w:rPr>
          <w:rFonts w:cs="Times New Roman"/>
          <w:lang w:val="en-GB"/>
        </w:rPr>
        <w:t xml:space="preserve"> S, Stacey D, et al. Interventions for improving the adoption of shared decision making by healthcare professionals. </w:t>
      </w:r>
      <w:proofErr w:type="gramStart"/>
      <w:r>
        <w:rPr>
          <w:rStyle w:val="2body-italic0"/>
          <w:rFonts w:cs="Times New Roman"/>
          <w:lang w:val="en-GB"/>
        </w:rPr>
        <w:t xml:space="preserve">Cochrane Database </w:t>
      </w:r>
      <w:proofErr w:type="spellStart"/>
      <w:r>
        <w:rPr>
          <w:rStyle w:val="2body-italic0"/>
          <w:rFonts w:cs="Times New Roman"/>
          <w:lang w:val="en-GB"/>
        </w:rPr>
        <w:t>Syst</w:t>
      </w:r>
      <w:proofErr w:type="spellEnd"/>
      <w:r>
        <w:rPr>
          <w:rStyle w:val="2body-italic0"/>
          <w:rFonts w:cs="Times New Roman"/>
          <w:lang w:val="en-GB"/>
        </w:rPr>
        <w:t xml:space="preserve"> Rev</w:t>
      </w:r>
      <w:r>
        <w:rPr>
          <w:rFonts w:cs="Times New Roman"/>
          <w:lang w:val="en-GB"/>
        </w:rPr>
        <w:t>. 2010; 5.</w:t>
      </w:r>
      <w:proofErr w:type="gramEnd"/>
    </w:p>
    <w:p w14:paraId="6E2F6D45" w14:textId="77777777" w:rsidR="006F421D" w:rsidRPr="00596F3D" w:rsidRDefault="006F421D" w:rsidP="006F421D">
      <w:pPr>
        <w:pStyle w:val="2bodyreferences-only"/>
        <w:ind w:left="426" w:hanging="426"/>
        <w:divId w:val="1262954456"/>
        <w:rPr>
          <w:rFonts w:cs="Times New Roman"/>
          <w:color w:val="5F605F"/>
          <w:lang w:val="en-GB"/>
        </w:rPr>
      </w:pPr>
      <w:r>
        <w:rPr>
          <w:rFonts w:cs="Times New Roman"/>
          <w:lang w:val="en-GB"/>
        </w:rPr>
        <w:t>29.</w:t>
      </w:r>
      <w:r>
        <w:rPr>
          <w:rFonts w:cs="Times New Roman"/>
          <w:lang w:val="en-GB"/>
        </w:rPr>
        <w:tab/>
      </w:r>
      <w:proofErr w:type="spellStart"/>
      <w:r>
        <w:rPr>
          <w:rFonts w:cs="Times New Roman"/>
          <w:lang w:val="en-GB"/>
        </w:rPr>
        <w:t>Wennberg</w:t>
      </w:r>
      <w:proofErr w:type="spellEnd"/>
      <w:r>
        <w:rPr>
          <w:rFonts w:cs="Times New Roman"/>
          <w:lang w:val="en-GB"/>
        </w:rPr>
        <w:t xml:space="preserve"> JE. Tracking Medicine: A Researcher’s Quest to Understand Health Care. New York: Oxford University Press, 2010, p. 4.</w:t>
      </w:r>
    </w:p>
    <w:p w14:paraId="4D4581BF" w14:textId="0BBC3C35" w:rsidR="006F421D" w:rsidRDefault="006F421D">
      <w:pPr>
        <w:spacing w:after="0"/>
        <w:rPr>
          <w:rFonts w:cs="Times New Roman"/>
          <w:lang w:val="en-GB"/>
        </w:rPr>
      </w:pPr>
      <w:r>
        <w:rPr>
          <w:rFonts w:cs="Times New Roman"/>
          <w:lang w:val="en-GB"/>
        </w:rPr>
        <w:br w:type="page"/>
      </w:r>
    </w:p>
    <w:p w14:paraId="7D2DA33F" w14:textId="0096D6A8" w:rsidR="006F421D" w:rsidRDefault="00B03550" w:rsidP="00B03550">
      <w:pPr>
        <w:pStyle w:val="2body-copy"/>
        <w:divId w:val="1614826056"/>
        <w:rPr>
          <w:lang w:val="en-GB"/>
        </w:rPr>
      </w:pPr>
      <w:r>
        <w:rPr>
          <w:rFonts w:cs="Times New Roman"/>
          <w:noProof/>
          <w:lang w:eastAsia="en-AU"/>
        </w:rPr>
        <w:lastRenderedPageBreak/>
        <w:drawing>
          <wp:anchor distT="0" distB="0" distL="114300" distR="114300" simplePos="0" relativeHeight="251663360" behindDoc="1" locked="0" layoutInCell="1" allowOverlap="1" wp14:anchorId="63D4B78B" wp14:editId="4E7846C7">
            <wp:simplePos x="0" y="0"/>
            <wp:positionH relativeFrom="column">
              <wp:posOffset>-685800</wp:posOffset>
            </wp:positionH>
            <wp:positionV relativeFrom="paragraph">
              <wp:posOffset>-1143000</wp:posOffset>
            </wp:positionV>
            <wp:extent cx="7626985" cy="10836275"/>
            <wp:effectExtent l="0" t="0" r="0" b="3175"/>
            <wp:wrapNone/>
            <wp:docPr id="261" name="Picture 261" descr="Back cover image" title="Back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ng"/>
                    <pic:cNvPicPr/>
                  </pic:nvPicPr>
                  <pic:blipFill>
                    <a:blip r:embed="rId49">
                      <a:extLst>
                        <a:ext uri="{28A0092B-C50C-407E-A947-70E740481C1C}">
                          <a14:useLocalDpi xmlns:a14="http://schemas.microsoft.com/office/drawing/2010/main" val="0"/>
                        </a:ext>
                      </a:extLst>
                    </a:blip>
                    <a:stretch>
                      <a:fillRect/>
                    </a:stretch>
                  </pic:blipFill>
                  <pic:spPr>
                    <a:xfrm>
                      <a:off x="0" y="0"/>
                      <a:ext cx="7626985" cy="108362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F421D">
        <w:rPr>
          <w:rFonts w:cs="Times New Roman"/>
          <w:noProof/>
          <w:lang w:eastAsia="en-AU"/>
        </w:rPr>
        <w:drawing>
          <wp:anchor distT="0" distB="0" distL="114300" distR="114300" simplePos="0" relativeHeight="251662336" behindDoc="1" locked="0" layoutInCell="1" allowOverlap="1" wp14:anchorId="1E463B13" wp14:editId="54CEFEC9">
            <wp:simplePos x="0" y="0"/>
            <wp:positionH relativeFrom="column">
              <wp:posOffset>-697865</wp:posOffset>
            </wp:positionH>
            <wp:positionV relativeFrom="paragraph">
              <wp:posOffset>9695180</wp:posOffset>
            </wp:positionV>
            <wp:extent cx="7561580" cy="10744200"/>
            <wp:effectExtent l="0" t="0" r="1270" b="0"/>
            <wp:wrapNone/>
            <wp:docPr id="256" name="Picture 256" descr="Back cover image" title="Back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ng"/>
                    <pic:cNvPicPr/>
                  </pic:nvPicPr>
                  <pic:blipFill>
                    <a:blip r:embed="rId49">
                      <a:extLst>
                        <a:ext uri="{28A0092B-C50C-407E-A947-70E740481C1C}">
                          <a14:useLocalDpi xmlns:a14="http://schemas.microsoft.com/office/drawing/2010/main" val="0"/>
                        </a:ext>
                      </a:extLst>
                    </a:blip>
                    <a:stretch>
                      <a:fillRect/>
                    </a:stretch>
                  </pic:blipFill>
                  <pic:spPr>
                    <a:xfrm>
                      <a:off x="0" y="0"/>
                      <a:ext cx="7561580" cy="10744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ADC901C" w14:textId="59C89F5F" w:rsidR="006F421D" w:rsidRDefault="006F421D" w:rsidP="006F421D">
      <w:pPr>
        <w:pStyle w:val="2body-copy"/>
        <w:divId w:val="1614826056"/>
        <w:rPr>
          <w:rStyle w:val="charoverride-1"/>
          <w:rFonts w:cs="Times New Roman"/>
          <w:lang w:val="en-GB"/>
        </w:rPr>
      </w:pPr>
    </w:p>
    <w:p w14:paraId="5A91757C" w14:textId="77777777" w:rsidR="006F421D" w:rsidRDefault="006F421D" w:rsidP="006F421D">
      <w:pPr>
        <w:pStyle w:val="2body-copy"/>
        <w:divId w:val="1614826056"/>
        <w:rPr>
          <w:rStyle w:val="charoverride-1"/>
          <w:rFonts w:cs="Times New Roman"/>
          <w:lang w:val="en-GB"/>
        </w:rPr>
      </w:pPr>
    </w:p>
    <w:p w14:paraId="195504CB" w14:textId="77777777" w:rsidR="006F421D" w:rsidRDefault="006F421D" w:rsidP="006F421D">
      <w:pPr>
        <w:pStyle w:val="2body-copy"/>
        <w:divId w:val="1614826056"/>
        <w:rPr>
          <w:rStyle w:val="charoverride-1"/>
          <w:rFonts w:cs="Times New Roman"/>
          <w:lang w:val="en-GB"/>
        </w:rPr>
      </w:pPr>
    </w:p>
    <w:p w14:paraId="6DA5A50D" w14:textId="77777777" w:rsidR="006F421D" w:rsidRDefault="006F421D" w:rsidP="006F421D">
      <w:pPr>
        <w:pStyle w:val="2body-copy"/>
        <w:divId w:val="1614826056"/>
        <w:rPr>
          <w:rStyle w:val="charoverride-1"/>
          <w:rFonts w:cs="Times New Roman"/>
          <w:lang w:val="en-GB"/>
        </w:rPr>
      </w:pPr>
    </w:p>
    <w:p w14:paraId="06B9E49A" w14:textId="77777777" w:rsidR="006F421D" w:rsidRDefault="006F421D" w:rsidP="006F421D">
      <w:pPr>
        <w:pStyle w:val="2body-copy"/>
        <w:divId w:val="1614826056"/>
        <w:rPr>
          <w:rStyle w:val="charoverride-1"/>
          <w:rFonts w:cs="Times New Roman"/>
          <w:lang w:val="en-GB"/>
        </w:rPr>
      </w:pPr>
    </w:p>
    <w:p w14:paraId="2483AB9C" w14:textId="77777777" w:rsidR="006F421D" w:rsidRDefault="006F421D" w:rsidP="006F421D">
      <w:pPr>
        <w:pStyle w:val="2body-copy"/>
        <w:divId w:val="1614826056"/>
        <w:rPr>
          <w:rStyle w:val="charoverride-1"/>
          <w:rFonts w:cs="Times New Roman"/>
          <w:lang w:val="en-GB"/>
        </w:rPr>
      </w:pPr>
    </w:p>
    <w:p w14:paraId="6A5B33F8" w14:textId="77777777" w:rsidR="006F421D" w:rsidRDefault="006F421D" w:rsidP="006F421D">
      <w:pPr>
        <w:pStyle w:val="2body-copy"/>
        <w:divId w:val="1614826056"/>
        <w:rPr>
          <w:rStyle w:val="charoverride-1"/>
          <w:rFonts w:cs="Times New Roman"/>
          <w:lang w:val="en-GB"/>
        </w:rPr>
      </w:pPr>
    </w:p>
    <w:p w14:paraId="47E5A90E" w14:textId="77777777" w:rsidR="006F421D" w:rsidRDefault="006F421D" w:rsidP="006F421D">
      <w:pPr>
        <w:pStyle w:val="2body-copy"/>
        <w:divId w:val="1614826056"/>
        <w:rPr>
          <w:rStyle w:val="charoverride-1"/>
          <w:rFonts w:cs="Times New Roman"/>
          <w:lang w:val="en-GB"/>
        </w:rPr>
      </w:pPr>
    </w:p>
    <w:p w14:paraId="50935082" w14:textId="77777777" w:rsidR="006F421D" w:rsidRDefault="006F421D" w:rsidP="006F421D">
      <w:pPr>
        <w:pStyle w:val="2body-copy"/>
        <w:divId w:val="1614826056"/>
        <w:rPr>
          <w:rStyle w:val="charoverride-1"/>
          <w:rFonts w:cs="Times New Roman"/>
          <w:lang w:val="en-GB"/>
        </w:rPr>
      </w:pPr>
    </w:p>
    <w:p w14:paraId="3E845D93" w14:textId="77777777" w:rsidR="006F421D" w:rsidRDefault="006F421D" w:rsidP="006F421D">
      <w:pPr>
        <w:pStyle w:val="2body-copy"/>
        <w:divId w:val="1614826056"/>
        <w:rPr>
          <w:rStyle w:val="charoverride-1"/>
          <w:rFonts w:cs="Times New Roman"/>
          <w:lang w:val="en-GB"/>
        </w:rPr>
      </w:pPr>
    </w:p>
    <w:p w14:paraId="77069BC7" w14:textId="77777777" w:rsidR="006F421D" w:rsidRDefault="006F421D" w:rsidP="006F421D">
      <w:pPr>
        <w:pStyle w:val="2body-copy"/>
        <w:divId w:val="1614826056"/>
        <w:rPr>
          <w:rStyle w:val="charoverride-1"/>
          <w:rFonts w:cs="Times New Roman"/>
          <w:lang w:val="en-GB"/>
        </w:rPr>
      </w:pPr>
    </w:p>
    <w:p w14:paraId="53931728" w14:textId="77777777" w:rsidR="006F421D" w:rsidRDefault="006F421D" w:rsidP="006F421D">
      <w:pPr>
        <w:pStyle w:val="2body-copy"/>
        <w:divId w:val="1614826056"/>
        <w:rPr>
          <w:rStyle w:val="charoverride-1"/>
          <w:rFonts w:cs="Times New Roman"/>
          <w:lang w:val="en-GB"/>
        </w:rPr>
      </w:pPr>
    </w:p>
    <w:p w14:paraId="4CEC28BB" w14:textId="77777777" w:rsidR="006F421D" w:rsidRDefault="006F421D" w:rsidP="006F421D">
      <w:pPr>
        <w:pStyle w:val="2body-copy"/>
        <w:divId w:val="1614826056"/>
        <w:rPr>
          <w:rStyle w:val="charoverride-1"/>
          <w:rFonts w:cs="Times New Roman"/>
          <w:lang w:val="en-GB"/>
        </w:rPr>
      </w:pPr>
    </w:p>
    <w:p w14:paraId="1AE3678D" w14:textId="77777777" w:rsidR="006F421D" w:rsidRDefault="006F421D" w:rsidP="006F421D">
      <w:pPr>
        <w:pStyle w:val="2body-copy"/>
        <w:divId w:val="1614826056"/>
        <w:rPr>
          <w:rStyle w:val="charoverride-1"/>
          <w:rFonts w:cs="Times New Roman"/>
          <w:lang w:val="en-GB"/>
        </w:rPr>
      </w:pPr>
    </w:p>
    <w:p w14:paraId="210848FE" w14:textId="77777777" w:rsidR="006F421D" w:rsidRDefault="006F421D" w:rsidP="006F421D">
      <w:pPr>
        <w:pStyle w:val="2body-copy"/>
        <w:divId w:val="1614826056"/>
        <w:rPr>
          <w:rStyle w:val="charoverride-1"/>
          <w:rFonts w:cs="Times New Roman"/>
          <w:lang w:val="en-GB"/>
        </w:rPr>
      </w:pPr>
    </w:p>
    <w:p w14:paraId="55E4F7A9" w14:textId="77777777" w:rsidR="006F421D" w:rsidRDefault="006F421D" w:rsidP="006F421D">
      <w:pPr>
        <w:pStyle w:val="2body-copy"/>
        <w:divId w:val="1614826056"/>
        <w:rPr>
          <w:rStyle w:val="charoverride-1"/>
          <w:rFonts w:cs="Times New Roman"/>
          <w:lang w:val="en-GB"/>
        </w:rPr>
      </w:pPr>
    </w:p>
    <w:p w14:paraId="4BFE01DC" w14:textId="77777777" w:rsidR="006F421D" w:rsidRDefault="006F421D" w:rsidP="006F421D">
      <w:pPr>
        <w:pStyle w:val="2body-copy"/>
        <w:divId w:val="1614826056"/>
        <w:rPr>
          <w:rStyle w:val="charoverride-1"/>
          <w:rFonts w:cs="Times New Roman"/>
          <w:lang w:val="en-GB"/>
        </w:rPr>
      </w:pPr>
    </w:p>
    <w:p w14:paraId="6A9A2B3D" w14:textId="77777777" w:rsidR="006F421D" w:rsidRDefault="006F421D" w:rsidP="006F421D">
      <w:pPr>
        <w:pStyle w:val="2body-copy"/>
        <w:divId w:val="1614826056"/>
        <w:rPr>
          <w:rStyle w:val="charoverride-1"/>
          <w:rFonts w:cs="Times New Roman"/>
          <w:lang w:val="en-GB"/>
        </w:rPr>
      </w:pPr>
    </w:p>
    <w:p w14:paraId="3779A697" w14:textId="77777777" w:rsidR="006F421D" w:rsidRDefault="006F421D" w:rsidP="006F421D">
      <w:pPr>
        <w:pStyle w:val="2body-copy"/>
        <w:divId w:val="1614826056"/>
        <w:rPr>
          <w:rStyle w:val="charoverride-1"/>
          <w:rFonts w:cs="Times New Roman"/>
          <w:lang w:val="en-GB"/>
        </w:rPr>
      </w:pPr>
    </w:p>
    <w:p w14:paraId="7B5D668D" w14:textId="6671B6EE" w:rsidR="006F421D" w:rsidRDefault="006F421D" w:rsidP="006F421D">
      <w:pPr>
        <w:pStyle w:val="2body-copy"/>
        <w:divId w:val="1614826056"/>
        <w:rPr>
          <w:rStyle w:val="charoverride-1"/>
          <w:rFonts w:cs="Times New Roman"/>
          <w:lang w:val="en-GB"/>
        </w:rPr>
      </w:pPr>
    </w:p>
    <w:p w14:paraId="14FBC27A" w14:textId="77777777" w:rsidR="00B03550" w:rsidRDefault="00B03550" w:rsidP="006F421D">
      <w:pPr>
        <w:pStyle w:val="2body-copy"/>
        <w:divId w:val="1614826056"/>
        <w:rPr>
          <w:rStyle w:val="charoverride-1"/>
          <w:rFonts w:cs="Times New Roman"/>
          <w:lang w:val="en-GB"/>
        </w:rPr>
      </w:pPr>
    </w:p>
    <w:p w14:paraId="49342AEE" w14:textId="77777777" w:rsidR="006F421D" w:rsidRDefault="006F421D" w:rsidP="006F421D">
      <w:pPr>
        <w:pStyle w:val="2body-copy"/>
        <w:divId w:val="1614826056"/>
        <w:rPr>
          <w:rStyle w:val="charoverride-1"/>
          <w:rFonts w:cs="Times New Roman"/>
          <w:lang w:val="en-GB"/>
        </w:rPr>
      </w:pPr>
    </w:p>
    <w:p w14:paraId="715FC21A" w14:textId="77777777" w:rsidR="006F421D" w:rsidRDefault="006F421D" w:rsidP="006F421D">
      <w:pPr>
        <w:pStyle w:val="2body-copy"/>
        <w:divId w:val="1614826056"/>
        <w:rPr>
          <w:rStyle w:val="charoverride-1"/>
          <w:rFonts w:cs="Times New Roman"/>
          <w:lang w:val="en-GB"/>
        </w:rPr>
      </w:pPr>
    </w:p>
    <w:p w14:paraId="01A650E4" w14:textId="77777777" w:rsidR="006F421D" w:rsidRDefault="006F421D" w:rsidP="006F421D">
      <w:pPr>
        <w:pStyle w:val="2body-copy"/>
        <w:divId w:val="1614826056"/>
        <w:rPr>
          <w:rStyle w:val="charoverride-1"/>
          <w:rFonts w:cs="Times New Roman"/>
          <w:lang w:val="en-GB"/>
        </w:rPr>
      </w:pPr>
    </w:p>
    <w:p w14:paraId="6479EE9A" w14:textId="77777777" w:rsidR="006F421D" w:rsidRDefault="006F421D" w:rsidP="006F421D">
      <w:pPr>
        <w:pStyle w:val="2body-copy"/>
        <w:divId w:val="1614826056"/>
        <w:rPr>
          <w:rStyle w:val="charoverride-1"/>
          <w:rFonts w:cs="Times New Roman"/>
          <w:lang w:val="en-GB"/>
        </w:rPr>
      </w:pPr>
    </w:p>
    <w:p w14:paraId="34C3777E" w14:textId="77777777" w:rsidR="006F421D" w:rsidRDefault="006F421D" w:rsidP="006F421D">
      <w:pPr>
        <w:pStyle w:val="2body-copy"/>
        <w:divId w:val="1614826056"/>
        <w:rPr>
          <w:rStyle w:val="charoverride-1"/>
          <w:rFonts w:cs="Times New Roman"/>
          <w:lang w:val="en-GB"/>
        </w:rPr>
      </w:pPr>
    </w:p>
    <w:p w14:paraId="49CBF124" w14:textId="77777777" w:rsidR="006F421D" w:rsidRDefault="006F421D" w:rsidP="006F421D">
      <w:pPr>
        <w:pStyle w:val="2body-copy"/>
        <w:divId w:val="1614826056"/>
        <w:rPr>
          <w:rStyle w:val="charoverride-1"/>
          <w:rFonts w:cs="Times New Roman"/>
          <w:lang w:val="en-GB"/>
        </w:rPr>
      </w:pPr>
    </w:p>
    <w:p w14:paraId="2FEEE026" w14:textId="77777777" w:rsidR="006F421D" w:rsidRDefault="006F421D" w:rsidP="006F421D">
      <w:pPr>
        <w:pStyle w:val="2body-copy"/>
        <w:divId w:val="1614826056"/>
        <w:rPr>
          <w:rStyle w:val="charoverride-1"/>
          <w:rFonts w:cs="Times New Roman"/>
          <w:lang w:val="en-GB"/>
        </w:rPr>
      </w:pPr>
    </w:p>
    <w:p w14:paraId="7A19E51F" w14:textId="77777777" w:rsidR="006F421D" w:rsidRDefault="006F421D" w:rsidP="006F421D">
      <w:pPr>
        <w:pStyle w:val="2body-copy"/>
        <w:divId w:val="1614826056"/>
        <w:rPr>
          <w:rStyle w:val="charoverride-1"/>
          <w:rFonts w:cs="Times New Roman"/>
          <w:lang w:val="en-GB"/>
        </w:rPr>
      </w:pPr>
    </w:p>
    <w:p w14:paraId="4E77D5DD" w14:textId="77777777" w:rsidR="006F421D" w:rsidRDefault="006F421D" w:rsidP="006F421D">
      <w:pPr>
        <w:pStyle w:val="2body-copy"/>
        <w:divId w:val="1614826056"/>
        <w:rPr>
          <w:rStyle w:val="charoverride-1"/>
          <w:rFonts w:cs="Times New Roman"/>
          <w:lang w:val="en-GB"/>
        </w:rPr>
      </w:pPr>
    </w:p>
    <w:p w14:paraId="66546603" w14:textId="77777777" w:rsidR="006F421D" w:rsidRDefault="006F421D" w:rsidP="006F421D">
      <w:pPr>
        <w:pStyle w:val="2body-copy"/>
        <w:divId w:val="1614826056"/>
        <w:rPr>
          <w:rStyle w:val="charoverride-1"/>
          <w:rFonts w:cs="Times New Roman"/>
          <w:lang w:val="en-GB"/>
        </w:rPr>
      </w:pPr>
    </w:p>
    <w:p w14:paraId="4EDA5C0D" w14:textId="77777777" w:rsidR="006F421D" w:rsidRPr="00B03550" w:rsidRDefault="006F421D" w:rsidP="006F421D">
      <w:pPr>
        <w:pStyle w:val="2body-copy"/>
        <w:divId w:val="1614826056"/>
        <w:rPr>
          <w:color w:val="FFFFFF" w:themeColor="background1"/>
          <w:sz w:val="16"/>
          <w:szCs w:val="16"/>
          <w:lang w:val="en-US"/>
        </w:rPr>
      </w:pPr>
      <w:r w:rsidRPr="00B03550">
        <w:rPr>
          <w:rStyle w:val="charoverride-1"/>
          <w:rFonts w:cs="Times New Roman"/>
          <w:color w:val="FFFFFF" w:themeColor="background1"/>
          <w:sz w:val="16"/>
          <w:szCs w:val="16"/>
          <w:lang w:val="en-GB"/>
        </w:rPr>
        <w:t>ABN 97 250 687 371</w:t>
      </w:r>
    </w:p>
    <w:p w14:paraId="2A0A4C32" w14:textId="77777777" w:rsidR="006F421D" w:rsidRPr="0037134B" w:rsidRDefault="006F421D" w:rsidP="006F421D">
      <w:pPr>
        <w:pStyle w:val="2body-copy"/>
        <w:divId w:val="1614826056"/>
        <w:rPr>
          <w:color w:val="FFFFFF" w:themeColor="background1"/>
          <w:lang w:val="en-US"/>
        </w:rPr>
      </w:pPr>
      <w:r w:rsidRPr="0037134B">
        <w:rPr>
          <w:rStyle w:val="charoverride-2"/>
          <w:rFonts w:cs="Times New Roman"/>
          <w:color w:val="FFFFFF" w:themeColor="background1"/>
          <w:lang w:val="en-GB"/>
        </w:rPr>
        <w:t>Level 5, 255 Elizabeth Street</w:t>
      </w:r>
      <w:r w:rsidRPr="0037134B">
        <w:rPr>
          <w:color w:val="FFFFFF" w:themeColor="background1"/>
          <w:lang w:val="en-GB"/>
        </w:rPr>
        <w:br/>
      </w:r>
      <w:r w:rsidRPr="0037134B">
        <w:rPr>
          <w:rStyle w:val="charoverride-2"/>
          <w:rFonts w:cs="Times New Roman"/>
          <w:color w:val="FFFFFF" w:themeColor="background1"/>
          <w:lang w:val="en-GB"/>
        </w:rPr>
        <w:t xml:space="preserve">SYDNEY NSW 2000 </w:t>
      </w:r>
    </w:p>
    <w:p w14:paraId="6819DC19" w14:textId="77777777" w:rsidR="006F421D" w:rsidRPr="0037134B" w:rsidRDefault="006F421D" w:rsidP="006F421D">
      <w:pPr>
        <w:pStyle w:val="2body-copy"/>
        <w:divId w:val="1614826056"/>
        <w:rPr>
          <w:color w:val="FFFFFF" w:themeColor="background1"/>
          <w:lang w:val="en-US"/>
        </w:rPr>
      </w:pPr>
      <w:r w:rsidRPr="0037134B">
        <w:rPr>
          <w:rStyle w:val="charoverride-2"/>
          <w:rFonts w:cs="Times New Roman"/>
          <w:color w:val="FFFFFF" w:themeColor="background1"/>
          <w:lang w:val="en-GB"/>
        </w:rPr>
        <w:t xml:space="preserve">GPO Box 5480 </w:t>
      </w:r>
      <w:r w:rsidRPr="0037134B">
        <w:rPr>
          <w:color w:val="FFFFFF" w:themeColor="background1"/>
          <w:lang w:val="en-GB"/>
        </w:rPr>
        <w:br/>
      </w:r>
      <w:r w:rsidRPr="0037134B">
        <w:rPr>
          <w:rStyle w:val="charoverride-2"/>
          <w:rFonts w:cs="Times New Roman"/>
          <w:color w:val="FFFFFF" w:themeColor="background1"/>
          <w:lang w:val="en-GB"/>
        </w:rPr>
        <w:t>SYDNEY NSW 2001</w:t>
      </w:r>
    </w:p>
    <w:p w14:paraId="431DA54A" w14:textId="77777777" w:rsidR="006F421D" w:rsidRPr="0037134B" w:rsidRDefault="006F421D" w:rsidP="006F421D">
      <w:pPr>
        <w:pStyle w:val="2body-copy"/>
        <w:divId w:val="1614826056"/>
        <w:rPr>
          <w:color w:val="FFFFFF" w:themeColor="background1"/>
          <w:lang w:val="en-US"/>
        </w:rPr>
      </w:pPr>
      <w:r w:rsidRPr="0037134B">
        <w:rPr>
          <w:rStyle w:val="charoverride-2"/>
          <w:rFonts w:cs="Times New Roman"/>
          <w:color w:val="FFFFFF" w:themeColor="background1"/>
          <w:lang w:val="en-GB"/>
        </w:rPr>
        <w:t xml:space="preserve">Telephone: (02) 9126 3600 </w:t>
      </w:r>
      <w:r w:rsidRPr="0037134B">
        <w:rPr>
          <w:color w:val="FFFFFF" w:themeColor="background1"/>
          <w:lang w:val="en-GB"/>
        </w:rPr>
        <w:br/>
      </w:r>
      <w:r w:rsidRPr="0037134B">
        <w:rPr>
          <w:rStyle w:val="charoverride-2"/>
          <w:rFonts w:cs="Times New Roman"/>
          <w:color w:val="FFFFFF" w:themeColor="background1"/>
          <w:lang w:val="en-GB"/>
        </w:rPr>
        <w:t>Fax: (02) 9126 3613</w:t>
      </w:r>
    </w:p>
    <w:p w14:paraId="4F5E766C" w14:textId="28487A1B" w:rsidR="00C57C9F" w:rsidRPr="00B03550" w:rsidRDefault="006F421D" w:rsidP="00B03550">
      <w:pPr>
        <w:pStyle w:val="2body-copy"/>
        <w:divId w:val="1614826056"/>
        <w:rPr>
          <w:color w:val="FFFFFF" w:themeColor="background1"/>
          <w:lang w:val="en-US"/>
        </w:rPr>
      </w:pPr>
      <w:r w:rsidRPr="0037134B">
        <w:rPr>
          <w:rStyle w:val="charoverride-2"/>
          <w:rFonts w:cs="Times New Roman"/>
          <w:color w:val="FFFFFF" w:themeColor="background1"/>
          <w:lang w:val="en-GB"/>
        </w:rPr>
        <w:t xml:space="preserve">mail@safetyandquality.gov.au </w:t>
      </w:r>
      <w:r w:rsidRPr="0037134B">
        <w:rPr>
          <w:color w:val="FFFFFF" w:themeColor="background1"/>
          <w:lang w:val="en-GB"/>
        </w:rPr>
        <w:br/>
      </w:r>
      <w:r w:rsidRPr="0037134B">
        <w:rPr>
          <w:rStyle w:val="charoverride-2"/>
          <w:rFonts w:cs="Times New Roman"/>
          <w:color w:val="FFFFFF" w:themeColor="background1"/>
          <w:lang w:val="en-GB"/>
        </w:rPr>
        <w:t>www.safetyandquality.gov.au</w:t>
      </w:r>
    </w:p>
    <w:sectPr w:rsidR="00C57C9F" w:rsidRPr="00B03550" w:rsidSect="008A7534">
      <w:footerReference w:type="default" r:id="rId50"/>
      <w:headerReference w:type="first" r:id="rId51"/>
      <w:footerReference w:type="first" r:id="rId52"/>
      <w:pgSz w:w="11900" w:h="16840"/>
      <w:pgMar w:top="1701" w:right="680" w:bottom="816" w:left="102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2BD8A" w14:textId="77777777" w:rsidR="00F45B70" w:rsidRDefault="00F45B70" w:rsidP="00610900">
      <w:pPr>
        <w:spacing w:after="0"/>
      </w:pPr>
      <w:r>
        <w:separator/>
      </w:r>
    </w:p>
  </w:endnote>
  <w:endnote w:type="continuationSeparator" w:id="0">
    <w:p w14:paraId="0EC4B658" w14:textId="77777777" w:rsidR="00F45B70" w:rsidRDefault="00F45B70" w:rsidP="0061090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Gotham-Light">
    <w:altName w:val="Cambria"/>
    <w:panose1 w:val="00000000000000000000"/>
    <w:charset w:val="4D"/>
    <w:family w:val="auto"/>
    <w:notTrueType/>
    <w:pitch w:val="default"/>
    <w:sig w:usb0="00000003" w:usb1="00000000" w:usb2="00000000" w:usb3="00000000" w:csb0="00000001" w:csb1="00000000"/>
  </w:font>
  <w:font w:name="Gotham-Bold">
    <w:altName w:val="Cambria"/>
    <w:panose1 w:val="00000000000000000000"/>
    <w:charset w:val="4D"/>
    <w:family w:val="auto"/>
    <w:notTrueType/>
    <w:pitch w:val="default"/>
    <w:sig w:usb0="00000003" w:usb1="00000000" w:usb2="00000000" w:usb3="00000000" w:csb0="00000001" w:csb1="00000000"/>
  </w:font>
  <w:font w:name="HelveticaNeue-Light">
    <w:altName w:val="Helvetica Neue Light"/>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Wingdings2">
    <w:altName w:val="Wingdings 2"/>
    <w:panose1 w:val="00000000000000000000"/>
    <w:charset w:val="02"/>
    <w:family w:val="auto"/>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AF9B8" w14:textId="77777777" w:rsidR="00F45B70" w:rsidRPr="00165BDB" w:rsidRDefault="00F45B70" w:rsidP="00CD65BF">
    <w:pPr>
      <w:pStyle w:val="05Pagefooter"/>
      <w:tabs>
        <w:tab w:val="left" w:pos="9639"/>
      </w:tabs>
      <w:rPr>
        <w:rFonts w:ascii="Gotham-Bold" w:hAnsi="Gotham-Bold" w:cs="Gotham-Bold"/>
        <w:b/>
        <w:bCs/>
      </w:rPr>
    </w:pPr>
    <w:r>
      <w:br/>
      <w:t xml:space="preserve">Australian Commission on Safety and Quality in Health </w:t>
    </w:r>
    <w:r w:rsidRPr="00165BDB">
      <w:t>Care</w:t>
    </w:r>
    <w:r>
      <w:t xml:space="preserve"> | </w:t>
    </w:r>
    <w:r>
      <w:rPr>
        <w:rStyle w:val="02Gothamboldfigures"/>
      </w:rPr>
      <w:t>Annual Report 2013/14</w:t>
    </w:r>
    <w:r>
      <w:rPr>
        <w:rStyle w:val="02Gothamboldfigures"/>
        <w:rFonts w:ascii="Times New Roman" w:hAnsi="Times New Roman" w:cs="Times New Roman"/>
        <w:lang w:val="en-US"/>
      </w:rPr>
      <w:tab/>
    </w:r>
    <w:r w:rsidRPr="00CD65BF">
      <w:rPr>
        <w:rStyle w:val="02Gothamboldfigures"/>
        <w:rFonts w:cs="Times New Roman"/>
        <w:sz w:val="20"/>
        <w:szCs w:val="20"/>
        <w:lang w:val="en-US"/>
      </w:rPr>
      <w:fldChar w:fldCharType="begin"/>
    </w:r>
    <w:r w:rsidRPr="00CD65BF">
      <w:rPr>
        <w:rStyle w:val="02Gothamboldfigures"/>
        <w:rFonts w:cs="Times New Roman"/>
        <w:sz w:val="20"/>
        <w:szCs w:val="20"/>
        <w:lang w:val="en-US"/>
      </w:rPr>
      <w:instrText xml:space="preserve"> PAGE  \* MERGEFORMAT </w:instrText>
    </w:r>
    <w:r w:rsidRPr="00CD65BF">
      <w:rPr>
        <w:rStyle w:val="02Gothamboldfigures"/>
        <w:rFonts w:cs="Times New Roman"/>
        <w:sz w:val="20"/>
        <w:szCs w:val="20"/>
        <w:lang w:val="en-US"/>
      </w:rPr>
      <w:fldChar w:fldCharType="separate"/>
    </w:r>
    <w:r w:rsidR="00E375F6">
      <w:rPr>
        <w:rStyle w:val="02Gothamboldfigures"/>
        <w:rFonts w:cs="Times New Roman"/>
        <w:noProof/>
        <w:sz w:val="20"/>
        <w:szCs w:val="20"/>
        <w:lang w:val="en-US"/>
      </w:rPr>
      <w:t>2</w:t>
    </w:r>
    <w:r w:rsidRPr="00CD65BF">
      <w:rPr>
        <w:rStyle w:val="02Gothamboldfigures"/>
        <w:rFonts w:cs="Times New Roman"/>
        <w:sz w:val="20"/>
        <w:szCs w:val="20"/>
        <w:lang w:val="en-U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3421E" w14:textId="18268EC9" w:rsidR="00F45B70" w:rsidRPr="00165BDB" w:rsidRDefault="00F45B70" w:rsidP="008A7534">
    <w:pPr>
      <w:pStyle w:val="05Pagefooter"/>
      <w:framePr w:wrap="auto" w:vAnchor="text" w:hAnchor="page" w:x="11102" w:y="-381"/>
      <w:ind w:right="360"/>
      <w:rPr>
        <w:rFonts w:ascii="Gotham-Bold" w:hAnsi="Gotham-Bold" w:cs="Gotham-Bold"/>
        <w:b/>
        <w:b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199EED" w14:textId="77777777" w:rsidR="00F45B70" w:rsidRDefault="00F45B70" w:rsidP="00610900">
      <w:pPr>
        <w:spacing w:after="0"/>
      </w:pPr>
      <w:r>
        <w:separator/>
      </w:r>
    </w:p>
  </w:footnote>
  <w:footnote w:type="continuationSeparator" w:id="0">
    <w:p w14:paraId="48C61828" w14:textId="77777777" w:rsidR="00F45B70" w:rsidRDefault="00F45B70" w:rsidP="0061090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81E65C" w14:textId="0E6ED119" w:rsidR="00F45B70" w:rsidRDefault="00F45B70">
    <w:pPr>
      <w:pStyle w:val="Header"/>
    </w:pPr>
    <w:r>
      <w:rPr>
        <w:noProof/>
        <w:lang w:eastAsia="en-AU"/>
      </w:rPr>
      <w:drawing>
        <wp:anchor distT="0" distB="0" distL="114300" distR="114300" simplePos="0" relativeHeight="251662336" behindDoc="1" locked="0" layoutInCell="1" allowOverlap="1" wp14:anchorId="4C5875BC" wp14:editId="1FC6320D">
          <wp:simplePos x="0" y="0"/>
          <wp:positionH relativeFrom="column">
            <wp:posOffset>-685800</wp:posOffset>
          </wp:positionH>
          <wp:positionV relativeFrom="paragraph">
            <wp:posOffset>-855980</wp:posOffset>
          </wp:positionV>
          <wp:extent cx="7809812" cy="11092815"/>
          <wp:effectExtent l="0" t="0" r="1270" b="0"/>
          <wp:wrapNone/>
          <wp:docPr id="20" name="Picture 20" descr="Cover Image"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a:blip r:embed="rId1">
                    <a:extLst>
                      <a:ext uri="{28A0092B-C50C-407E-A947-70E740481C1C}">
                        <a14:useLocalDpi xmlns:a14="http://schemas.microsoft.com/office/drawing/2010/main" val="0"/>
                      </a:ext>
                    </a:extLst>
                  </a:blip>
                  <a:stretch>
                    <a:fillRect/>
                  </a:stretch>
                </pic:blipFill>
                <pic:spPr>
                  <a:xfrm>
                    <a:off x="0" y="0"/>
                    <a:ext cx="7809812" cy="1109281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922E2"/>
    <w:multiLevelType w:val="multilevel"/>
    <w:tmpl w:val="E152C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152694"/>
    <w:multiLevelType w:val="multilevel"/>
    <w:tmpl w:val="5792F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1A30DE"/>
    <w:multiLevelType w:val="multilevel"/>
    <w:tmpl w:val="CED8D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4B4F73"/>
    <w:multiLevelType w:val="hybridMultilevel"/>
    <w:tmpl w:val="60A65F80"/>
    <w:lvl w:ilvl="0" w:tplc="D332D542">
      <w:start w:val="1"/>
      <w:numFmt w:val="decimal"/>
      <w:lvlText w:val="%1."/>
      <w:lvlJc w:val="left"/>
      <w:pPr>
        <w:ind w:left="720" w:hanging="43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AD2BA5"/>
    <w:multiLevelType w:val="multilevel"/>
    <w:tmpl w:val="2EBE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806072"/>
    <w:multiLevelType w:val="multilevel"/>
    <w:tmpl w:val="7B0CD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552FAE"/>
    <w:multiLevelType w:val="multilevel"/>
    <w:tmpl w:val="AAA88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E442EE"/>
    <w:multiLevelType w:val="multilevel"/>
    <w:tmpl w:val="EF2894E0"/>
    <w:lvl w:ilvl="0">
      <w:start w:val="1"/>
      <w:numFmt w:val="bullet"/>
      <w:pStyle w:val="bullet"/>
      <w:lvlText w:val=""/>
      <w:lvlJc w:val="left"/>
      <w:pPr>
        <w:ind w:left="360" w:hanging="360"/>
      </w:pPr>
      <w:rPr>
        <w:rFonts w:ascii="Symbol" w:hAnsi="Symbol" w:hint="default"/>
        <w:color w:val="5F605F"/>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7B6E97"/>
    <w:multiLevelType w:val="multilevel"/>
    <w:tmpl w:val="CDF00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98C3D3B"/>
    <w:multiLevelType w:val="multilevel"/>
    <w:tmpl w:val="85627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987BF1"/>
    <w:multiLevelType w:val="multilevel"/>
    <w:tmpl w:val="5736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DEC1B74"/>
    <w:multiLevelType w:val="multilevel"/>
    <w:tmpl w:val="E75EC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140F00"/>
    <w:multiLevelType w:val="multilevel"/>
    <w:tmpl w:val="5FB06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4545BF8"/>
    <w:multiLevelType w:val="multilevel"/>
    <w:tmpl w:val="FE20A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8C67B60"/>
    <w:multiLevelType w:val="multilevel"/>
    <w:tmpl w:val="C0D8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A541E06"/>
    <w:multiLevelType w:val="multilevel"/>
    <w:tmpl w:val="564648E0"/>
    <w:lvl w:ilvl="0">
      <w:start w:val="1"/>
      <w:numFmt w:val="bullet"/>
      <w:lvlText w:val=""/>
      <w:lvlJc w:val="left"/>
      <w:pPr>
        <w:ind w:left="720" w:hanging="360"/>
      </w:pPr>
      <w:rPr>
        <w:rFonts w:ascii="Wingdings" w:hAnsi="Wingdings" w:hint="default"/>
        <w:color w:val="5F605F"/>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34531ECC"/>
    <w:multiLevelType w:val="multilevel"/>
    <w:tmpl w:val="61D83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B7C4E63"/>
    <w:multiLevelType w:val="multilevel"/>
    <w:tmpl w:val="0922B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D84444B"/>
    <w:multiLevelType w:val="multilevel"/>
    <w:tmpl w:val="8916A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EF63074"/>
    <w:multiLevelType w:val="multilevel"/>
    <w:tmpl w:val="25441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6160C7D"/>
    <w:multiLevelType w:val="multilevel"/>
    <w:tmpl w:val="8CBCA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62A7A1E"/>
    <w:multiLevelType w:val="multilevel"/>
    <w:tmpl w:val="6718A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A421214"/>
    <w:multiLevelType w:val="multilevel"/>
    <w:tmpl w:val="9A761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B500E6A"/>
    <w:multiLevelType w:val="multilevel"/>
    <w:tmpl w:val="478E6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D83661D"/>
    <w:multiLevelType w:val="multilevel"/>
    <w:tmpl w:val="75444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E822566"/>
    <w:multiLevelType w:val="multilevel"/>
    <w:tmpl w:val="C1B6DC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506A2A54"/>
    <w:multiLevelType w:val="multilevel"/>
    <w:tmpl w:val="4A46E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822D60"/>
    <w:multiLevelType w:val="multilevel"/>
    <w:tmpl w:val="FE68A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1F0366D"/>
    <w:multiLevelType w:val="multilevel"/>
    <w:tmpl w:val="6F4E6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2112853"/>
    <w:multiLevelType w:val="multilevel"/>
    <w:tmpl w:val="5F0E0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3D140D0"/>
    <w:multiLevelType w:val="multilevel"/>
    <w:tmpl w:val="40C2B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BF513C5"/>
    <w:multiLevelType w:val="multilevel"/>
    <w:tmpl w:val="59A80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DFE166D"/>
    <w:multiLevelType w:val="multilevel"/>
    <w:tmpl w:val="FE386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ECC14A2"/>
    <w:multiLevelType w:val="multilevel"/>
    <w:tmpl w:val="62B64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EDE44B0"/>
    <w:multiLevelType w:val="multilevel"/>
    <w:tmpl w:val="B38EC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1A25D6F"/>
    <w:multiLevelType w:val="multilevel"/>
    <w:tmpl w:val="6DC46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36C614C"/>
    <w:multiLevelType w:val="multilevel"/>
    <w:tmpl w:val="FA401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5995965"/>
    <w:multiLevelType w:val="multilevel"/>
    <w:tmpl w:val="8B3C0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5C8729C"/>
    <w:multiLevelType w:val="multilevel"/>
    <w:tmpl w:val="570E1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9EE19EC"/>
    <w:multiLevelType w:val="multilevel"/>
    <w:tmpl w:val="3C5CE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A1C0185"/>
    <w:multiLevelType w:val="multilevel"/>
    <w:tmpl w:val="F9782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AF91DAB"/>
    <w:multiLevelType w:val="multilevel"/>
    <w:tmpl w:val="D0C23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BE61BB9"/>
    <w:multiLevelType w:val="multilevel"/>
    <w:tmpl w:val="65CE24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1C8625A"/>
    <w:multiLevelType w:val="multilevel"/>
    <w:tmpl w:val="A9BAC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4EC62D2"/>
    <w:multiLevelType w:val="multilevel"/>
    <w:tmpl w:val="96F83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7084538"/>
    <w:multiLevelType w:val="multilevel"/>
    <w:tmpl w:val="4CC8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A670F5B"/>
    <w:multiLevelType w:val="multilevel"/>
    <w:tmpl w:val="B198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B1C2126"/>
    <w:multiLevelType w:val="multilevel"/>
    <w:tmpl w:val="BABEB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DD517D5"/>
    <w:multiLevelType w:val="multilevel"/>
    <w:tmpl w:val="65CE24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7"/>
  </w:num>
  <w:num w:numId="2">
    <w:abstractNumId w:val="35"/>
  </w:num>
  <w:num w:numId="3">
    <w:abstractNumId w:val="11"/>
  </w:num>
  <w:num w:numId="4">
    <w:abstractNumId w:val="23"/>
  </w:num>
  <w:num w:numId="5">
    <w:abstractNumId w:val="32"/>
  </w:num>
  <w:num w:numId="6">
    <w:abstractNumId w:val="5"/>
  </w:num>
  <w:num w:numId="7">
    <w:abstractNumId w:val="20"/>
  </w:num>
  <w:num w:numId="8">
    <w:abstractNumId w:val="21"/>
  </w:num>
  <w:num w:numId="9">
    <w:abstractNumId w:val="44"/>
  </w:num>
  <w:num w:numId="10">
    <w:abstractNumId w:val="14"/>
  </w:num>
  <w:num w:numId="11">
    <w:abstractNumId w:val="36"/>
  </w:num>
  <w:num w:numId="12">
    <w:abstractNumId w:val="1"/>
  </w:num>
  <w:num w:numId="13">
    <w:abstractNumId w:val="26"/>
  </w:num>
  <w:num w:numId="14">
    <w:abstractNumId w:val="6"/>
  </w:num>
  <w:num w:numId="15">
    <w:abstractNumId w:val="2"/>
  </w:num>
  <w:num w:numId="16">
    <w:abstractNumId w:val="42"/>
  </w:num>
  <w:num w:numId="17">
    <w:abstractNumId w:val="9"/>
  </w:num>
  <w:num w:numId="18">
    <w:abstractNumId w:val="13"/>
  </w:num>
  <w:num w:numId="19">
    <w:abstractNumId w:val="0"/>
  </w:num>
  <w:num w:numId="20">
    <w:abstractNumId w:val="33"/>
  </w:num>
  <w:num w:numId="21">
    <w:abstractNumId w:val="22"/>
  </w:num>
  <w:num w:numId="22">
    <w:abstractNumId w:val="19"/>
  </w:num>
  <w:num w:numId="23">
    <w:abstractNumId w:val="31"/>
  </w:num>
  <w:num w:numId="24">
    <w:abstractNumId w:val="41"/>
  </w:num>
  <w:num w:numId="25">
    <w:abstractNumId w:val="46"/>
  </w:num>
  <w:num w:numId="26">
    <w:abstractNumId w:val="8"/>
  </w:num>
  <w:num w:numId="27">
    <w:abstractNumId w:val="18"/>
  </w:num>
  <w:num w:numId="28">
    <w:abstractNumId w:val="40"/>
  </w:num>
  <w:num w:numId="29">
    <w:abstractNumId w:val="16"/>
  </w:num>
  <w:num w:numId="30">
    <w:abstractNumId w:val="39"/>
  </w:num>
  <w:num w:numId="31">
    <w:abstractNumId w:val="29"/>
  </w:num>
  <w:num w:numId="32">
    <w:abstractNumId w:val="37"/>
  </w:num>
  <w:num w:numId="33">
    <w:abstractNumId w:val="12"/>
  </w:num>
  <w:num w:numId="34">
    <w:abstractNumId w:val="43"/>
  </w:num>
  <w:num w:numId="35">
    <w:abstractNumId w:val="47"/>
  </w:num>
  <w:num w:numId="36">
    <w:abstractNumId w:val="34"/>
  </w:num>
  <w:num w:numId="37">
    <w:abstractNumId w:val="38"/>
  </w:num>
  <w:num w:numId="38">
    <w:abstractNumId w:val="45"/>
  </w:num>
  <w:num w:numId="39">
    <w:abstractNumId w:val="27"/>
  </w:num>
  <w:num w:numId="40">
    <w:abstractNumId w:val="17"/>
  </w:num>
  <w:num w:numId="41">
    <w:abstractNumId w:val="30"/>
  </w:num>
  <w:num w:numId="42">
    <w:abstractNumId w:val="28"/>
  </w:num>
  <w:num w:numId="43">
    <w:abstractNumId w:val="10"/>
  </w:num>
  <w:num w:numId="44">
    <w:abstractNumId w:val="4"/>
  </w:num>
  <w:num w:numId="45">
    <w:abstractNumId w:val="24"/>
  </w:num>
  <w:num w:numId="46">
    <w:abstractNumId w:val="25"/>
  </w:num>
  <w:num w:numId="47">
    <w:abstractNumId w:val="15"/>
  </w:num>
  <w:num w:numId="48">
    <w:abstractNumId w:val="48"/>
  </w:num>
  <w:num w:numId="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noPunctuationKerning/>
  <w:characterSpacingControl w:val="doNotCompress"/>
  <w:hdrShapeDefaults>
    <o:shapedefaults v:ext="edit" spidmax="12289"/>
  </w:hdrShapeDefaults>
  <w:footnotePr>
    <w:footnote w:id="-1"/>
    <w:footnote w:id="0"/>
  </w:footnotePr>
  <w:endnotePr>
    <w:endnote w:id="-1"/>
    <w:endnote w:id="0"/>
  </w:endnotePr>
  <w:compat>
    <w:doNotBreakWrappedTables/>
    <w:doNotSnapToGridInCell/>
    <w:doNotWrapTextWithPunct/>
    <w:doNotUseEastAsianBreakRules/>
    <w:growAutofit/>
    <w:compatSetting w:name="compatibilityMode" w:uri="http://schemas.microsoft.com/office/word" w:val="14"/>
  </w:compat>
  <w:rsids>
    <w:rsidRoot w:val="005A4417"/>
    <w:rsid w:val="000125A2"/>
    <w:rsid w:val="00093444"/>
    <w:rsid w:val="001456F6"/>
    <w:rsid w:val="00161EA4"/>
    <w:rsid w:val="00165BDB"/>
    <w:rsid w:val="001B56A2"/>
    <w:rsid w:val="001F06F5"/>
    <w:rsid w:val="002454F9"/>
    <w:rsid w:val="0036087B"/>
    <w:rsid w:val="003A337D"/>
    <w:rsid w:val="00416913"/>
    <w:rsid w:val="00450A12"/>
    <w:rsid w:val="00486CE3"/>
    <w:rsid w:val="004C6B2C"/>
    <w:rsid w:val="004F6AD4"/>
    <w:rsid w:val="0055179E"/>
    <w:rsid w:val="00580867"/>
    <w:rsid w:val="005A4417"/>
    <w:rsid w:val="005F09D2"/>
    <w:rsid w:val="00610900"/>
    <w:rsid w:val="00637066"/>
    <w:rsid w:val="00675FF5"/>
    <w:rsid w:val="006F35FE"/>
    <w:rsid w:val="006F421D"/>
    <w:rsid w:val="00706C92"/>
    <w:rsid w:val="00775541"/>
    <w:rsid w:val="00783948"/>
    <w:rsid w:val="00787CC2"/>
    <w:rsid w:val="007923D4"/>
    <w:rsid w:val="007B4948"/>
    <w:rsid w:val="007F4D2B"/>
    <w:rsid w:val="008317E1"/>
    <w:rsid w:val="00895CD2"/>
    <w:rsid w:val="008A4983"/>
    <w:rsid w:val="008A7534"/>
    <w:rsid w:val="00912C3D"/>
    <w:rsid w:val="0094433A"/>
    <w:rsid w:val="00961623"/>
    <w:rsid w:val="00966604"/>
    <w:rsid w:val="00A625BF"/>
    <w:rsid w:val="00AD26F3"/>
    <w:rsid w:val="00AF5B76"/>
    <w:rsid w:val="00B03550"/>
    <w:rsid w:val="00B06A49"/>
    <w:rsid w:val="00B164D1"/>
    <w:rsid w:val="00B8609F"/>
    <w:rsid w:val="00BB708A"/>
    <w:rsid w:val="00BE7189"/>
    <w:rsid w:val="00C11E05"/>
    <w:rsid w:val="00C57C9F"/>
    <w:rsid w:val="00C834FF"/>
    <w:rsid w:val="00C83FFA"/>
    <w:rsid w:val="00CB0187"/>
    <w:rsid w:val="00CC19BB"/>
    <w:rsid w:val="00CD65BF"/>
    <w:rsid w:val="00CD7015"/>
    <w:rsid w:val="00CF6235"/>
    <w:rsid w:val="00D17316"/>
    <w:rsid w:val="00E14D57"/>
    <w:rsid w:val="00E375F6"/>
    <w:rsid w:val="00E5354F"/>
    <w:rsid w:val="00E55AEE"/>
    <w:rsid w:val="00ED772D"/>
    <w:rsid w:val="00F410A7"/>
    <w:rsid w:val="00F42888"/>
    <w:rsid w:val="00F45B70"/>
    <w:rsid w:val="00FB2AA9"/>
    <w:rsid w:val="00FD071D"/>
    <w:rsid w:val="00FD17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3C4B17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6B2C"/>
    <w:pPr>
      <w:spacing w:after="120"/>
    </w:pPr>
    <w:rPr>
      <w:rFonts w:ascii="Arial" w:eastAsiaTheme="minorEastAsia" w:hAnsi="Arial" w:cstheme="minorBidi"/>
    </w:rPr>
  </w:style>
  <w:style w:type="paragraph" w:styleId="Heading1">
    <w:name w:val="heading 1"/>
    <w:aliases w:val="Heading 1 after intro"/>
    <w:basedOn w:val="Normal"/>
    <w:link w:val="Heading1Char"/>
    <w:uiPriority w:val="9"/>
    <w:qFormat/>
    <w:rsid w:val="00BE7189"/>
    <w:pPr>
      <w:pBdr>
        <w:bottom w:val="dotted" w:sz="8" w:space="1" w:color="BFBFBF" w:themeColor="background1" w:themeShade="BF"/>
      </w:pBdr>
      <w:spacing w:before="80" w:after="100"/>
      <w:contextualSpacing/>
      <w:outlineLvl w:val="0"/>
    </w:pPr>
    <w:rPr>
      <w:b/>
      <w:bCs/>
      <w:color w:val="5F605F"/>
      <w:kern w:val="36"/>
      <w:sz w:val="38"/>
      <w:szCs w:val="38"/>
    </w:rPr>
  </w:style>
  <w:style w:type="paragraph" w:styleId="Heading2">
    <w:name w:val="heading 2"/>
    <w:basedOn w:val="Normal"/>
    <w:next w:val="Normal"/>
    <w:link w:val="Heading2Char"/>
    <w:uiPriority w:val="9"/>
    <w:unhideWhenUsed/>
    <w:qFormat/>
    <w:rsid w:val="001456F6"/>
    <w:pPr>
      <w:keepNext/>
      <w:keepLines/>
      <w:pBdr>
        <w:bottom w:val="dotted" w:sz="4" w:space="1" w:color="auto"/>
      </w:pBdr>
      <w:spacing w:before="200" w:after="0"/>
      <w:outlineLvl w:val="1"/>
    </w:pPr>
    <w:rPr>
      <w:rFonts w:asciiTheme="majorHAnsi" w:eastAsiaTheme="majorEastAsia" w:hAnsiTheme="majorHAnsi" w:cstheme="majorBidi"/>
      <w:b/>
      <w:bCs/>
      <w:color w:val="4F81BD" w:themeColor="accent1"/>
      <w:sz w:val="40"/>
      <w:szCs w:val="26"/>
    </w:rPr>
  </w:style>
  <w:style w:type="paragraph" w:styleId="Heading3">
    <w:name w:val="heading 3"/>
    <w:basedOn w:val="Normal"/>
    <w:next w:val="Normal"/>
    <w:link w:val="Heading3Char"/>
    <w:uiPriority w:val="9"/>
    <w:unhideWhenUsed/>
    <w:qFormat/>
    <w:rsid w:val="00F4288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after intro Char"/>
    <w:basedOn w:val="DefaultParagraphFont"/>
    <w:link w:val="Heading1"/>
    <w:uiPriority w:val="9"/>
    <w:rsid w:val="00BE7189"/>
    <w:rPr>
      <w:rFonts w:ascii="Arial" w:eastAsiaTheme="minorEastAsia" w:hAnsi="Arial" w:cstheme="minorBidi"/>
      <w:b/>
      <w:bCs/>
      <w:color w:val="5F605F"/>
      <w:kern w:val="36"/>
      <w:sz w:val="38"/>
      <w:szCs w:val="38"/>
    </w:rPr>
  </w:style>
  <w:style w:type="paragraph" w:customStyle="1" w:styleId="2body-copy">
    <w:name w:val="_2_body-copy"/>
    <w:basedOn w:val="Normal"/>
    <w:rsid w:val="00165BDB"/>
    <w:pPr>
      <w:spacing w:before="120"/>
    </w:pPr>
  </w:style>
  <w:style w:type="character" w:customStyle="1" w:styleId="2body-medium">
    <w:name w:val="_2_body-medium"/>
    <w:basedOn w:val="DefaultParagraphFont"/>
    <w:rsid w:val="00165BDB"/>
    <w:rPr>
      <w:rFonts w:ascii="Arial" w:hAnsi="Arial"/>
      <w:b/>
    </w:rPr>
  </w:style>
  <w:style w:type="character" w:customStyle="1" w:styleId="2body-italic">
    <w:name w:val="_2_body-italic"/>
    <w:basedOn w:val="DefaultParagraphFont"/>
    <w:rsid w:val="00637066"/>
    <w:rPr>
      <w:rFonts w:ascii="Arial" w:hAnsi="Arial"/>
      <w:i/>
    </w:rPr>
  </w:style>
  <w:style w:type="character" w:customStyle="1" w:styleId="colourssaq-dark-blue">
    <w:name w:val="colours_saq-dark-blue"/>
    <w:basedOn w:val="DefaultParagraphFont"/>
    <w:rsid w:val="00165BDB"/>
    <w:rPr>
      <w:color w:val="005C7E"/>
    </w:rPr>
  </w:style>
  <w:style w:type="paragraph" w:customStyle="1" w:styleId="2intro">
    <w:name w:val="_2_intro"/>
    <w:basedOn w:val="Normal"/>
    <w:rsid w:val="00165BDB"/>
    <w:pPr>
      <w:spacing w:before="120"/>
    </w:pPr>
    <w:rPr>
      <w:sz w:val="24"/>
    </w:rPr>
  </w:style>
  <w:style w:type="paragraph" w:customStyle="1" w:styleId="0contents-level-1">
    <w:name w:val="_0_contents-level-1"/>
    <w:basedOn w:val="Normal"/>
    <w:rsid w:val="007B4948"/>
    <w:pPr>
      <w:pBdr>
        <w:bottom w:val="dotted" w:sz="8" w:space="1" w:color="54B6C5"/>
      </w:pBdr>
      <w:tabs>
        <w:tab w:val="right" w:pos="10206"/>
      </w:tabs>
      <w:spacing w:before="120"/>
    </w:pPr>
    <w:rPr>
      <w:b/>
    </w:rPr>
  </w:style>
  <w:style w:type="character" w:customStyle="1" w:styleId="colourss1">
    <w:name w:val="colours_s1"/>
    <w:basedOn w:val="DefaultParagraphFont"/>
    <w:rsid w:val="00637066"/>
    <w:rPr>
      <w:color w:val="0099C5"/>
    </w:rPr>
  </w:style>
  <w:style w:type="paragraph" w:customStyle="1" w:styleId="0contents-level-2">
    <w:name w:val="_0_contents-level-2"/>
    <w:basedOn w:val="Normal"/>
    <w:rsid w:val="007B4948"/>
    <w:pPr>
      <w:tabs>
        <w:tab w:val="right" w:pos="10206"/>
      </w:tabs>
      <w:spacing w:before="60"/>
    </w:pPr>
  </w:style>
  <w:style w:type="character" w:customStyle="1" w:styleId="colourss2">
    <w:name w:val="colours_s2"/>
    <w:basedOn w:val="DefaultParagraphFont"/>
    <w:rsid w:val="008A4983"/>
    <w:rPr>
      <w:color w:val="00837D"/>
    </w:rPr>
  </w:style>
  <w:style w:type="character" w:customStyle="1" w:styleId="colourss3">
    <w:name w:val="colours_s3"/>
    <w:basedOn w:val="DefaultParagraphFont"/>
    <w:rsid w:val="008A4983"/>
    <w:rPr>
      <w:color w:val="1B963C"/>
    </w:rPr>
  </w:style>
  <w:style w:type="character" w:customStyle="1" w:styleId="colourss4">
    <w:name w:val="colours_s4"/>
    <w:basedOn w:val="DefaultParagraphFont"/>
    <w:rsid w:val="008A4983"/>
    <w:rPr>
      <w:color w:val="96AD2A"/>
    </w:rPr>
  </w:style>
  <w:style w:type="character" w:customStyle="1" w:styleId="colourss5">
    <w:name w:val="colours_s5"/>
    <w:basedOn w:val="DefaultParagraphFont"/>
    <w:rsid w:val="00637066"/>
    <w:rPr>
      <w:color w:val="54B6C5"/>
    </w:rPr>
  </w:style>
  <w:style w:type="character" w:customStyle="1" w:styleId="colourss6">
    <w:name w:val="colours_s6"/>
    <w:basedOn w:val="DefaultParagraphFont"/>
    <w:rsid w:val="008A4983"/>
    <w:rPr>
      <w:color w:val="5EA03B"/>
    </w:rPr>
  </w:style>
  <w:style w:type="character" w:customStyle="1" w:styleId="colourss7">
    <w:name w:val="colours_s7"/>
    <w:basedOn w:val="DefaultParagraphFont"/>
    <w:rsid w:val="008A4983"/>
    <w:rPr>
      <w:color w:val="005C7E"/>
    </w:rPr>
  </w:style>
  <w:style w:type="character" w:customStyle="1" w:styleId="colourss8">
    <w:name w:val="colours_s8"/>
    <w:basedOn w:val="DefaultParagraphFont"/>
    <w:rsid w:val="005F09D2"/>
    <w:rPr>
      <w:color w:val="5F605F"/>
    </w:rPr>
  </w:style>
  <w:style w:type="paragraph" w:customStyle="1" w:styleId="0contents-level-2-section-start">
    <w:name w:val="_0_contents-level-2-section-start"/>
    <w:basedOn w:val="Normal"/>
    <w:rsid w:val="00450A12"/>
    <w:pPr>
      <w:tabs>
        <w:tab w:val="right" w:pos="9639"/>
      </w:tabs>
      <w:spacing w:before="120"/>
    </w:pPr>
    <w:rPr>
      <w:b/>
    </w:rPr>
  </w:style>
  <w:style w:type="paragraph" w:customStyle="1" w:styleId="1heading-level-1-span">
    <w:name w:val="_1_heading-level-1-span"/>
    <w:basedOn w:val="Normal"/>
    <w:rsid w:val="005F09D2"/>
    <w:pPr>
      <w:pBdr>
        <w:bottom w:val="dotted" w:sz="8" w:space="1" w:color="BFBFBF" w:themeColor="background1" w:themeShade="BF"/>
      </w:pBdr>
      <w:spacing w:before="240" w:after="240"/>
    </w:pPr>
    <w:rPr>
      <w:sz w:val="38"/>
    </w:rPr>
  </w:style>
  <w:style w:type="paragraph" w:customStyle="1" w:styleId="1heading-level-2">
    <w:name w:val="_1_heading-level-2"/>
    <w:basedOn w:val="Normal"/>
    <w:rsid w:val="005F09D2"/>
    <w:pPr>
      <w:spacing w:before="240"/>
    </w:pPr>
    <w:rPr>
      <w:color w:val="5F605F"/>
      <w:sz w:val="30"/>
      <w:szCs w:val="30"/>
    </w:rPr>
  </w:style>
  <w:style w:type="paragraph" w:customStyle="1" w:styleId="2body-copy-before-bullet">
    <w:name w:val="_2_body-copy-before-bullet"/>
    <w:basedOn w:val="Normal"/>
    <w:rsid w:val="004C6B2C"/>
    <w:pPr>
      <w:spacing w:after="0"/>
    </w:pPr>
  </w:style>
  <w:style w:type="character" w:customStyle="1" w:styleId="charoverride-2">
    <w:name w:val="charoverride-2"/>
    <w:basedOn w:val="DefaultParagraphFont"/>
  </w:style>
  <w:style w:type="character" w:customStyle="1" w:styleId="2body-roman-italic">
    <w:name w:val="_2_body-roman-italic"/>
    <w:basedOn w:val="DefaultParagraphFont"/>
    <w:rsid w:val="00637066"/>
    <w:rPr>
      <w:rFonts w:ascii="Arial" w:hAnsi="Arial"/>
      <w:i/>
    </w:rPr>
  </w:style>
  <w:style w:type="character" w:customStyle="1" w:styleId="charoverride-4">
    <w:name w:val="charoverride-4"/>
    <w:basedOn w:val="DefaultParagraphFont"/>
  </w:style>
  <w:style w:type="character" w:customStyle="1" w:styleId="charoverride-5">
    <w:name w:val="charoverride-5"/>
    <w:basedOn w:val="DefaultParagraphFont"/>
  </w:style>
  <w:style w:type="character" w:customStyle="1" w:styleId="charoverride-6">
    <w:name w:val="charoverride-6"/>
    <w:basedOn w:val="DefaultParagraphFont"/>
  </w:style>
  <w:style w:type="character" w:customStyle="1" w:styleId="charoverride-7">
    <w:name w:val="charoverride-7"/>
    <w:basedOn w:val="DefaultParagraphFont"/>
  </w:style>
  <w:style w:type="character" w:customStyle="1" w:styleId="charoverride-8">
    <w:name w:val="charoverride-8"/>
    <w:basedOn w:val="DefaultParagraphFont"/>
  </w:style>
  <w:style w:type="character" w:customStyle="1" w:styleId="charoverride-9">
    <w:name w:val="charoverride-9"/>
    <w:basedOn w:val="DefaultParagraphFont"/>
  </w:style>
  <w:style w:type="character" w:customStyle="1" w:styleId="charoverride-10">
    <w:name w:val="charoverride-10"/>
    <w:basedOn w:val="DefaultParagraphFont"/>
  </w:style>
  <w:style w:type="character" w:customStyle="1" w:styleId="charoverride-11">
    <w:name w:val="charoverride-11"/>
    <w:basedOn w:val="DefaultParagraphFont"/>
  </w:style>
  <w:style w:type="character" w:customStyle="1" w:styleId="charoverride-12">
    <w:name w:val="charoverride-12"/>
    <w:basedOn w:val="DefaultParagraphFont"/>
  </w:style>
  <w:style w:type="paragraph" w:customStyle="1" w:styleId="3table-header-l">
    <w:name w:val="_3_table-header-l"/>
    <w:basedOn w:val="Normal"/>
    <w:rsid w:val="001F06F5"/>
    <w:pPr>
      <w:spacing w:before="100" w:beforeAutospacing="1" w:after="100" w:afterAutospacing="1"/>
    </w:pPr>
    <w:rPr>
      <w:color w:val="FFFFFF" w:themeColor="background1"/>
    </w:rPr>
  </w:style>
  <w:style w:type="paragraph" w:customStyle="1" w:styleId="1h4">
    <w:name w:val="_1_h4"/>
    <w:basedOn w:val="Normal"/>
    <w:pPr>
      <w:spacing w:before="100" w:beforeAutospacing="1" w:after="100" w:afterAutospacing="1"/>
    </w:pPr>
  </w:style>
  <w:style w:type="character" w:customStyle="1" w:styleId="charoverride-13">
    <w:name w:val="charoverride-13"/>
    <w:basedOn w:val="DefaultParagraphFont"/>
  </w:style>
  <w:style w:type="paragraph" w:customStyle="1" w:styleId="0page-tops">
    <w:name w:val="_0_page-tops"/>
    <w:basedOn w:val="Normal"/>
    <w:pPr>
      <w:spacing w:before="100" w:beforeAutospacing="1" w:after="100" w:afterAutospacing="1"/>
    </w:pPr>
  </w:style>
  <w:style w:type="paragraph" w:customStyle="1" w:styleId="1heading-level-3">
    <w:name w:val="_1_heading-level-3"/>
    <w:basedOn w:val="Normal"/>
    <w:rsid w:val="00CB0187"/>
    <w:pPr>
      <w:spacing w:before="240"/>
    </w:pPr>
    <w:rPr>
      <w:b/>
      <w:bCs/>
      <w:color w:val="5F605F"/>
      <w:sz w:val="24"/>
      <w:szCs w:val="24"/>
    </w:rPr>
  </w:style>
  <w:style w:type="character" w:customStyle="1" w:styleId="s2-pull-out-numbers">
    <w:name w:val="s2-pull-out-numbers"/>
    <w:basedOn w:val="DefaultParagraphFont"/>
    <w:rsid w:val="007923D4"/>
    <w:rPr>
      <w:rFonts w:ascii="Arial" w:hAnsi="Arial"/>
      <w:color w:val="00837D"/>
      <w:sz w:val="48"/>
      <w:szCs w:val="48"/>
    </w:rPr>
  </w:style>
  <w:style w:type="paragraph" w:customStyle="1" w:styleId="2pull-out">
    <w:name w:val="_2_pull-out"/>
    <w:basedOn w:val="Normal"/>
    <w:rsid w:val="00966604"/>
    <w:pPr>
      <w:pBdr>
        <w:top w:val="dotted" w:sz="8" w:space="1" w:color="00837D"/>
        <w:bottom w:val="dotted" w:sz="8" w:space="1" w:color="00837D"/>
      </w:pBdr>
      <w:spacing w:before="240" w:after="240"/>
    </w:pPr>
    <w:rPr>
      <w:color w:val="00837D"/>
      <w:sz w:val="24"/>
      <w:szCs w:val="24"/>
    </w:rPr>
  </w:style>
  <w:style w:type="character" w:customStyle="1" w:styleId="2body-roman">
    <w:name w:val="_2_body-roman"/>
    <w:basedOn w:val="DefaultParagraphFont"/>
    <w:rsid w:val="00637066"/>
    <w:rPr>
      <w:rFonts w:ascii="Arial" w:hAnsi="Arial"/>
    </w:rPr>
  </w:style>
  <w:style w:type="paragraph" w:customStyle="1" w:styleId="2quoted-by">
    <w:name w:val="_2_quoted-by"/>
    <w:basedOn w:val="Normal"/>
    <w:pPr>
      <w:spacing w:before="100" w:beforeAutospacing="1" w:after="100" w:afterAutospacing="1"/>
    </w:pPr>
  </w:style>
  <w:style w:type="character" w:customStyle="1" w:styleId="charoverride-24">
    <w:name w:val="charoverride-24"/>
    <w:basedOn w:val="DefaultParagraphFont"/>
  </w:style>
  <w:style w:type="character" w:customStyle="1" w:styleId="superscript">
    <w:name w:val="superscript"/>
    <w:basedOn w:val="DefaultParagraphFont"/>
    <w:rsid w:val="008A4983"/>
    <w:rPr>
      <w:rFonts w:ascii="Arial" w:hAnsi="Arial"/>
      <w:caps w:val="0"/>
      <w:smallCaps w:val="0"/>
      <w:strike w:val="0"/>
      <w:dstrike w:val="0"/>
      <w:vanish w:val="0"/>
      <w:vertAlign w:val="superscript"/>
    </w:rPr>
  </w:style>
  <w:style w:type="character" w:customStyle="1" w:styleId="charoverride-1">
    <w:name w:val="charoverride-1"/>
    <w:basedOn w:val="DefaultParagraphFont"/>
  </w:style>
  <w:style w:type="character" w:customStyle="1" w:styleId="charoverride-25">
    <w:name w:val="charoverride-25"/>
    <w:basedOn w:val="DefaultParagraphFont"/>
  </w:style>
  <w:style w:type="paragraph" w:customStyle="1" w:styleId="4acknowledgements">
    <w:name w:val="_4_acknowledgements"/>
    <w:basedOn w:val="Normal"/>
    <w:rsid w:val="00787CC2"/>
    <w:pPr>
      <w:spacing w:before="100" w:beforeAutospacing="1" w:after="100" w:afterAutospacing="1"/>
    </w:pPr>
    <w:rPr>
      <w:sz w:val="17"/>
    </w:rPr>
  </w:style>
  <w:style w:type="paragraph" w:customStyle="1" w:styleId="paraoverride-10">
    <w:name w:val="paraoverride-10"/>
    <w:basedOn w:val="Normal"/>
    <w:pPr>
      <w:spacing w:before="100" w:beforeAutospacing="1" w:after="100" w:afterAutospacing="1"/>
    </w:pPr>
  </w:style>
  <w:style w:type="character" w:customStyle="1" w:styleId="charoverride-26">
    <w:name w:val="charoverride-26"/>
    <w:basedOn w:val="DefaultParagraphFont"/>
  </w:style>
  <w:style w:type="paragraph" w:customStyle="1" w:styleId="paraoverride-11">
    <w:name w:val="paraoverride-11"/>
    <w:basedOn w:val="Normal"/>
    <w:pPr>
      <w:spacing w:before="100" w:beforeAutospacing="1" w:after="100" w:afterAutospacing="1"/>
    </w:pPr>
  </w:style>
  <w:style w:type="character" w:customStyle="1" w:styleId="charoverride-27">
    <w:name w:val="charoverride-27"/>
    <w:basedOn w:val="DefaultParagraphFont"/>
  </w:style>
  <w:style w:type="character" w:customStyle="1" w:styleId="charoverride-28">
    <w:name w:val="charoverride-28"/>
    <w:basedOn w:val="DefaultParagraphFont"/>
  </w:style>
  <w:style w:type="paragraph" w:styleId="Header">
    <w:name w:val="header"/>
    <w:basedOn w:val="Normal"/>
    <w:link w:val="HeaderChar"/>
    <w:uiPriority w:val="99"/>
    <w:unhideWhenUsed/>
    <w:rsid w:val="00610900"/>
    <w:pPr>
      <w:tabs>
        <w:tab w:val="center" w:pos="4320"/>
        <w:tab w:val="right" w:pos="8640"/>
      </w:tabs>
    </w:pPr>
  </w:style>
  <w:style w:type="character" w:customStyle="1" w:styleId="HeaderChar">
    <w:name w:val="Header Char"/>
    <w:basedOn w:val="DefaultParagraphFont"/>
    <w:link w:val="Header"/>
    <w:uiPriority w:val="99"/>
    <w:rsid w:val="00610900"/>
    <w:rPr>
      <w:rFonts w:ascii="Times" w:eastAsiaTheme="minorEastAsia" w:hAnsi="Times" w:cstheme="minorBidi"/>
    </w:rPr>
  </w:style>
  <w:style w:type="paragraph" w:styleId="Footer">
    <w:name w:val="footer"/>
    <w:basedOn w:val="Normal"/>
    <w:link w:val="FooterChar"/>
    <w:uiPriority w:val="99"/>
    <w:unhideWhenUsed/>
    <w:rsid w:val="00610900"/>
    <w:pPr>
      <w:tabs>
        <w:tab w:val="center" w:pos="4320"/>
        <w:tab w:val="right" w:pos="8640"/>
      </w:tabs>
    </w:pPr>
  </w:style>
  <w:style w:type="character" w:customStyle="1" w:styleId="FooterChar">
    <w:name w:val="Footer Char"/>
    <w:basedOn w:val="DefaultParagraphFont"/>
    <w:link w:val="Footer"/>
    <w:uiPriority w:val="99"/>
    <w:rsid w:val="00610900"/>
    <w:rPr>
      <w:rFonts w:ascii="Times" w:eastAsiaTheme="minorEastAsia" w:hAnsi="Times" w:cstheme="minorBidi"/>
    </w:rPr>
  </w:style>
  <w:style w:type="paragraph" w:styleId="BalloonText">
    <w:name w:val="Balloon Text"/>
    <w:basedOn w:val="Normal"/>
    <w:link w:val="BalloonTextChar"/>
    <w:uiPriority w:val="99"/>
    <w:semiHidden/>
    <w:unhideWhenUsed/>
    <w:rsid w:val="005517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179E"/>
    <w:rPr>
      <w:rFonts w:ascii="Lucida Grande" w:eastAsiaTheme="minorEastAsia" w:hAnsi="Lucida Grande" w:cs="Lucida Grande"/>
      <w:sz w:val="18"/>
      <w:szCs w:val="18"/>
    </w:rPr>
  </w:style>
  <w:style w:type="paragraph" w:customStyle="1" w:styleId="05Pagefooter">
    <w:name w:val="05_Page footer"/>
    <w:basedOn w:val="Normal"/>
    <w:uiPriority w:val="99"/>
    <w:rsid w:val="00165BDB"/>
    <w:pPr>
      <w:widowControl w:val="0"/>
      <w:tabs>
        <w:tab w:val="left" w:pos="283"/>
        <w:tab w:val="left" w:pos="567"/>
        <w:tab w:val="left" w:pos="850"/>
        <w:tab w:val="left" w:pos="1134"/>
        <w:tab w:val="left" w:pos="1417"/>
        <w:tab w:val="left" w:pos="1701"/>
      </w:tabs>
      <w:suppressAutoHyphens/>
      <w:autoSpaceDE w:val="0"/>
      <w:autoSpaceDN w:val="0"/>
      <w:adjustRightInd w:val="0"/>
      <w:spacing w:after="113" w:line="240" w:lineRule="atLeast"/>
      <w:textAlignment w:val="center"/>
    </w:pPr>
    <w:rPr>
      <w:rFonts w:eastAsia="Times New Roman" w:cs="Gotham-Light"/>
      <w:color w:val="5F605F"/>
      <w:spacing w:val="2"/>
      <w:sz w:val="16"/>
      <w:szCs w:val="16"/>
      <w:lang w:val="en-GB"/>
    </w:rPr>
  </w:style>
  <w:style w:type="character" w:customStyle="1" w:styleId="02Gothamboldfigures">
    <w:name w:val="02_Gotham bold (figures)"/>
    <w:uiPriority w:val="99"/>
    <w:rsid w:val="00165BDB"/>
    <w:rPr>
      <w:rFonts w:ascii="Arial" w:hAnsi="Arial" w:cs="Gotham-Bold"/>
      <w:b/>
      <w:bCs/>
      <w:color w:val="5F605F"/>
    </w:rPr>
  </w:style>
  <w:style w:type="paragraph" w:customStyle="1" w:styleId="00sectiontitleH1">
    <w:name w:val="00_section title H1"/>
    <w:basedOn w:val="Normal"/>
    <w:uiPriority w:val="99"/>
    <w:rsid w:val="005F09D2"/>
    <w:pPr>
      <w:widowControl w:val="0"/>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227" w:line="520" w:lineRule="atLeast"/>
      <w:textAlignment w:val="center"/>
    </w:pPr>
    <w:rPr>
      <w:rFonts w:eastAsia="Times New Roman" w:cs="Gotham-Light"/>
      <w:color w:val="54B6C5"/>
      <w:sz w:val="52"/>
      <w:szCs w:val="52"/>
      <w:lang w:val="en-GB"/>
    </w:rPr>
  </w:style>
  <w:style w:type="character" w:customStyle="1" w:styleId="S8colours">
    <w:name w:val="S8 (colours)"/>
    <w:uiPriority w:val="99"/>
    <w:rsid w:val="00FB2AA9"/>
    <w:rPr>
      <w:rFonts w:ascii="Arial" w:hAnsi="Arial"/>
      <w:color w:val="606060"/>
    </w:rPr>
  </w:style>
  <w:style w:type="paragraph" w:customStyle="1" w:styleId="bullet">
    <w:name w:val="bullet"/>
    <w:basedOn w:val="Normal"/>
    <w:qFormat/>
    <w:rsid w:val="00675FF5"/>
    <w:pPr>
      <w:numPr>
        <w:numId w:val="1"/>
      </w:numPr>
      <w:spacing w:before="120"/>
    </w:pPr>
    <w:rPr>
      <w:rFonts w:eastAsia="Times New Roman" w:cs="Times New Roman"/>
      <w:lang w:val="en-GB"/>
    </w:rPr>
  </w:style>
  <w:style w:type="paragraph" w:customStyle="1" w:styleId="02Bodycopy">
    <w:name w:val="02_Body copy"/>
    <w:basedOn w:val="Normal"/>
    <w:uiPriority w:val="99"/>
    <w:rsid w:val="00787CC2"/>
    <w:pPr>
      <w:widowControl w:val="0"/>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170" w:line="260" w:lineRule="atLeast"/>
      <w:textAlignment w:val="center"/>
    </w:pPr>
    <w:rPr>
      <w:rFonts w:ascii="HelveticaNeue-Light" w:eastAsia="Times New Roman" w:hAnsi="HelveticaNeue-Light" w:cs="HelveticaNeue-Light"/>
      <w:color w:val="000000"/>
      <w:spacing w:val="4"/>
      <w:lang w:val="en-GB"/>
    </w:rPr>
  </w:style>
  <w:style w:type="table" w:styleId="TableGrid">
    <w:name w:val="Table Grid"/>
    <w:basedOn w:val="TableNormal"/>
    <w:uiPriority w:val="59"/>
    <w:rsid w:val="008A49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26F3"/>
    <w:rPr>
      <w:rFonts w:ascii="Arial" w:hAnsi="Arial"/>
      <w:b/>
      <w:bCs/>
      <w:color w:val="5F605F"/>
      <w:sz w:val="20"/>
      <w:szCs w:val="20"/>
    </w:rPr>
  </w:style>
  <w:style w:type="paragraph" w:styleId="TOC1">
    <w:name w:val="toc 1"/>
    <w:basedOn w:val="Normal"/>
    <w:next w:val="Normal"/>
    <w:autoRedefine/>
    <w:uiPriority w:val="39"/>
    <w:unhideWhenUsed/>
    <w:qFormat/>
    <w:rsid w:val="00AD26F3"/>
  </w:style>
  <w:style w:type="paragraph" w:styleId="TOC2">
    <w:name w:val="toc 2"/>
    <w:basedOn w:val="Normal"/>
    <w:next w:val="Normal"/>
    <w:autoRedefine/>
    <w:uiPriority w:val="39"/>
    <w:unhideWhenUsed/>
    <w:qFormat/>
    <w:rsid w:val="00AD26F3"/>
    <w:pPr>
      <w:ind w:left="200"/>
    </w:pPr>
  </w:style>
  <w:style w:type="paragraph" w:styleId="TOC3">
    <w:name w:val="toc 3"/>
    <w:basedOn w:val="Normal"/>
    <w:next w:val="Normal"/>
    <w:autoRedefine/>
    <w:uiPriority w:val="39"/>
    <w:unhideWhenUsed/>
    <w:qFormat/>
    <w:rsid w:val="00AD26F3"/>
    <w:pPr>
      <w:ind w:left="400"/>
    </w:pPr>
  </w:style>
  <w:style w:type="paragraph" w:styleId="TOC4">
    <w:name w:val="toc 4"/>
    <w:basedOn w:val="Normal"/>
    <w:next w:val="Normal"/>
    <w:autoRedefine/>
    <w:uiPriority w:val="39"/>
    <w:unhideWhenUsed/>
    <w:rsid w:val="00AD26F3"/>
    <w:pPr>
      <w:ind w:left="600"/>
    </w:pPr>
  </w:style>
  <w:style w:type="paragraph" w:styleId="TOC5">
    <w:name w:val="toc 5"/>
    <w:basedOn w:val="Normal"/>
    <w:next w:val="Normal"/>
    <w:autoRedefine/>
    <w:uiPriority w:val="39"/>
    <w:unhideWhenUsed/>
    <w:rsid w:val="00AD26F3"/>
    <w:pPr>
      <w:ind w:left="800"/>
    </w:pPr>
  </w:style>
  <w:style w:type="paragraph" w:styleId="TOC6">
    <w:name w:val="toc 6"/>
    <w:basedOn w:val="Normal"/>
    <w:next w:val="Normal"/>
    <w:autoRedefine/>
    <w:uiPriority w:val="39"/>
    <w:unhideWhenUsed/>
    <w:rsid w:val="00AD26F3"/>
    <w:pPr>
      <w:ind w:left="1000"/>
    </w:pPr>
  </w:style>
  <w:style w:type="paragraph" w:styleId="TOC7">
    <w:name w:val="toc 7"/>
    <w:basedOn w:val="Normal"/>
    <w:next w:val="Normal"/>
    <w:autoRedefine/>
    <w:uiPriority w:val="39"/>
    <w:unhideWhenUsed/>
    <w:rsid w:val="00AD26F3"/>
    <w:pPr>
      <w:ind w:left="1200"/>
    </w:pPr>
  </w:style>
  <w:style w:type="paragraph" w:styleId="TOC8">
    <w:name w:val="toc 8"/>
    <w:basedOn w:val="Normal"/>
    <w:next w:val="Normal"/>
    <w:autoRedefine/>
    <w:uiPriority w:val="39"/>
    <w:unhideWhenUsed/>
    <w:rsid w:val="00AD26F3"/>
    <w:pPr>
      <w:ind w:left="1400"/>
    </w:pPr>
  </w:style>
  <w:style w:type="paragraph" w:styleId="TOC9">
    <w:name w:val="toc 9"/>
    <w:basedOn w:val="Normal"/>
    <w:next w:val="Normal"/>
    <w:autoRedefine/>
    <w:uiPriority w:val="39"/>
    <w:unhideWhenUsed/>
    <w:rsid w:val="00AD26F3"/>
    <w:pPr>
      <w:ind w:left="1600"/>
    </w:pPr>
  </w:style>
  <w:style w:type="paragraph" w:customStyle="1" w:styleId="00coverH1">
    <w:name w:val="00 cover _H1"/>
    <w:basedOn w:val="Normal"/>
    <w:rsid w:val="008A7534"/>
    <w:pPr>
      <w:spacing w:before="120"/>
    </w:pPr>
    <w:rPr>
      <w:color w:val="005C7E"/>
      <w:sz w:val="86"/>
      <w:szCs w:val="86"/>
    </w:rPr>
  </w:style>
  <w:style w:type="paragraph" w:customStyle="1" w:styleId="0coverdate">
    <w:name w:val="_0_cover_date"/>
    <w:basedOn w:val="Normal"/>
    <w:rsid w:val="008A7534"/>
    <w:pPr>
      <w:spacing w:before="100" w:beforeAutospacing="1" w:after="100" w:afterAutospacing="1"/>
    </w:pPr>
    <w:rPr>
      <w:color w:val="54B6C5"/>
      <w:sz w:val="44"/>
      <w:szCs w:val="44"/>
    </w:rPr>
  </w:style>
  <w:style w:type="character" w:customStyle="1" w:styleId="DocumentMapChar">
    <w:name w:val="Document Map Char"/>
    <w:basedOn w:val="DefaultParagraphFont"/>
    <w:link w:val="DocumentMap"/>
    <w:uiPriority w:val="99"/>
    <w:semiHidden/>
    <w:rsid w:val="00C57C9F"/>
    <w:rPr>
      <w:rFonts w:ascii="Lucida Grande" w:eastAsiaTheme="minorEastAsia" w:hAnsi="Lucida Grande" w:cs="Lucida Grande"/>
      <w:sz w:val="24"/>
      <w:szCs w:val="24"/>
      <w:lang w:val="en-US"/>
    </w:rPr>
  </w:style>
  <w:style w:type="paragraph" w:styleId="DocumentMap">
    <w:name w:val="Document Map"/>
    <w:basedOn w:val="Normal"/>
    <w:link w:val="DocumentMapChar"/>
    <w:uiPriority w:val="99"/>
    <w:semiHidden/>
    <w:unhideWhenUsed/>
    <w:rsid w:val="00C57C9F"/>
    <w:pPr>
      <w:spacing w:after="0"/>
    </w:pPr>
    <w:rPr>
      <w:rFonts w:ascii="Lucida Grande" w:hAnsi="Lucida Grande" w:cs="Lucida Grande"/>
      <w:sz w:val="24"/>
      <w:szCs w:val="24"/>
      <w:lang w:val="en-US"/>
    </w:rPr>
  </w:style>
  <w:style w:type="paragraph" w:customStyle="1" w:styleId="financials01heading-level-1-index-only">
    <w:name w:val="financials_01_heading-level-1-index-only"/>
    <w:basedOn w:val="Normal"/>
    <w:rsid w:val="006F421D"/>
    <w:pPr>
      <w:pBdr>
        <w:bottom w:val="dotted" w:sz="8" w:space="1" w:color="5F605F"/>
      </w:pBdr>
      <w:spacing w:before="120" w:after="240"/>
    </w:pPr>
    <w:rPr>
      <w:b/>
      <w:bCs/>
      <w:color w:val="5F605F"/>
      <w:sz w:val="30"/>
      <w:szCs w:val="30"/>
    </w:rPr>
  </w:style>
  <w:style w:type="paragraph" w:customStyle="1" w:styleId="financials01heading-level-2">
    <w:name w:val="financials_01_heading-level-2"/>
    <w:basedOn w:val="Normal"/>
    <w:rsid w:val="006F421D"/>
    <w:pPr>
      <w:spacing w:before="120"/>
    </w:pPr>
    <w:rPr>
      <w:color w:val="5F605F"/>
      <w:sz w:val="28"/>
      <w:szCs w:val="28"/>
    </w:rPr>
  </w:style>
  <w:style w:type="paragraph" w:customStyle="1" w:styleId="3-figure">
    <w:name w:val="_3-figure"/>
    <w:basedOn w:val="Normal"/>
    <w:rsid w:val="006F421D"/>
    <w:pPr>
      <w:spacing w:before="120" w:after="60"/>
    </w:pPr>
  </w:style>
  <w:style w:type="paragraph" w:customStyle="1" w:styleId="financials03table-header-l">
    <w:name w:val="financials_03_table-header-l"/>
    <w:basedOn w:val="Normal"/>
    <w:rsid w:val="006F421D"/>
    <w:pPr>
      <w:spacing w:before="60" w:after="60"/>
    </w:pPr>
    <w:rPr>
      <w:b/>
      <w:bCs/>
      <w:color w:val="FFFFFF" w:themeColor="background1"/>
      <w:sz w:val="17"/>
      <w:szCs w:val="17"/>
    </w:rPr>
  </w:style>
  <w:style w:type="paragraph" w:customStyle="1" w:styleId="financials03table-body-l">
    <w:name w:val="financials_03_table-body-l"/>
    <w:basedOn w:val="Normal"/>
    <w:rsid w:val="006F421D"/>
    <w:pPr>
      <w:spacing w:before="60" w:after="60"/>
    </w:pPr>
    <w:rPr>
      <w:sz w:val="17"/>
    </w:rPr>
  </w:style>
  <w:style w:type="paragraph" w:customStyle="1" w:styleId="financials03table-body-r">
    <w:name w:val="financials_03_table-body-r"/>
    <w:basedOn w:val="Normal"/>
    <w:rsid w:val="006F421D"/>
    <w:pPr>
      <w:spacing w:before="100" w:beforeAutospacing="1" w:after="100" w:afterAutospacing="1"/>
    </w:pPr>
  </w:style>
  <w:style w:type="paragraph" w:customStyle="1" w:styleId="00sectiontitleH1MasterPagestylesheets">
    <w:name w:val="00_section title H1 (Master Page stylesheets)"/>
    <w:basedOn w:val="Normal"/>
    <w:uiPriority w:val="99"/>
    <w:rsid w:val="00C57C9F"/>
    <w:pPr>
      <w:widowControl w:val="0"/>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227" w:line="520" w:lineRule="atLeast"/>
      <w:textAlignment w:val="center"/>
    </w:pPr>
    <w:rPr>
      <w:rFonts w:eastAsia="Times New Roman" w:cs="Gotham-Light"/>
      <w:color w:val="FFFFFF"/>
      <w:sz w:val="52"/>
      <w:szCs w:val="52"/>
      <w:lang w:val="en-GB"/>
    </w:rPr>
  </w:style>
  <w:style w:type="paragraph" w:customStyle="1" w:styleId="master-page-stylesheets00contents-level-2-section-start">
    <w:name w:val="master-page-stylesheets_00_contents-level-2-section-start"/>
    <w:basedOn w:val="Normal"/>
    <w:rsid w:val="00C57C9F"/>
    <w:pPr>
      <w:spacing w:before="100" w:beforeAutospacing="1" w:after="100" w:afterAutospacing="1"/>
    </w:pPr>
    <w:rPr>
      <w:lang w:val="en-US"/>
    </w:rPr>
  </w:style>
  <w:style w:type="paragraph" w:customStyle="1" w:styleId="1heading-1">
    <w:name w:val="_1_heading-1"/>
    <w:basedOn w:val="Normal"/>
    <w:rsid w:val="00C57C9F"/>
    <w:pPr>
      <w:spacing w:before="120" w:after="0"/>
    </w:pPr>
    <w:rPr>
      <w:b/>
      <w:sz w:val="32"/>
      <w:lang w:val="en-US"/>
    </w:rPr>
  </w:style>
  <w:style w:type="paragraph" w:customStyle="1" w:styleId="1as-at---">
    <w:name w:val="_1_as-at---"/>
    <w:basedOn w:val="Normal"/>
    <w:rsid w:val="00C57C9F"/>
    <w:pPr>
      <w:spacing w:before="60"/>
    </w:pPr>
    <w:rPr>
      <w:sz w:val="22"/>
      <w:lang w:val="en-US"/>
    </w:rPr>
  </w:style>
  <w:style w:type="character" w:customStyle="1" w:styleId="fins-bold">
    <w:name w:val="fins-bold"/>
    <w:basedOn w:val="DefaultParagraphFont"/>
    <w:rsid w:val="00C57C9F"/>
    <w:rPr>
      <w:b/>
    </w:rPr>
  </w:style>
  <w:style w:type="paragraph" w:customStyle="1" w:styleId="3fins-table-figures">
    <w:name w:val="_3_fins-table-figures"/>
    <w:basedOn w:val="Normal"/>
    <w:rsid w:val="00C57C9F"/>
    <w:pPr>
      <w:spacing w:before="100" w:beforeAutospacing="1" w:after="100" w:afterAutospacing="1"/>
    </w:pPr>
    <w:rPr>
      <w:lang w:val="en-US"/>
    </w:rPr>
  </w:style>
  <w:style w:type="paragraph" w:customStyle="1" w:styleId="3fins-table-notes">
    <w:name w:val="_3_fins-table-notes"/>
    <w:basedOn w:val="Normal"/>
    <w:rsid w:val="00C57C9F"/>
    <w:pPr>
      <w:spacing w:before="100" w:beforeAutospacing="1" w:after="100" w:afterAutospacing="1"/>
    </w:pPr>
    <w:rPr>
      <w:lang w:val="en-US"/>
    </w:rPr>
  </w:style>
  <w:style w:type="paragraph" w:customStyle="1" w:styleId="3fins-table">
    <w:name w:val="_3_fins-table"/>
    <w:basedOn w:val="Normal"/>
    <w:rsid w:val="00C57C9F"/>
    <w:pPr>
      <w:spacing w:before="40" w:after="40"/>
    </w:pPr>
    <w:rPr>
      <w:sz w:val="18"/>
      <w:lang w:val="en-US"/>
    </w:rPr>
  </w:style>
  <w:style w:type="paragraph" w:customStyle="1" w:styleId="3fins-table-figures-c">
    <w:name w:val="_3_fins-table-figures-c"/>
    <w:basedOn w:val="Normal"/>
    <w:rsid w:val="00C57C9F"/>
    <w:pPr>
      <w:spacing w:before="100" w:beforeAutospacing="1" w:after="100" w:afterAutospacing="1"/>
    </w:pPr>
    <w:rPr>
      <w:lang w:val="en-US"/>
    </w:rPr>
  </w:style>
  <w:style w:type="paragraph" w:customStyle="1" w:styleId="2fins-body">
    <w:name w:val="_2_fins-body"/>
    <w:basedOn w:val="Normal"/>
    <w:rsid w:val="00C57C9F"/>
    <w:pPr>
      <w:spacing w:before="120"/>
    </w:pPr>
    <w:rPr>
      <w:lang w:val="en-US"/>
    </w:rPr>
  </w:style>
  <w:style w:type="paragraph" w:customStyle="1" w:styleId="1heading-2">
    <w:name w:val="_1_heading-2"/>
    <w:basedOn w:val="Normal"/>
    <w:rsid w:val="00C57C9F"/>
    <w:pPr>
      <w:spacing w:before="120" w:after="240"/>
    </w:pPr>
    <w:rPr>
      <w:b/>
      <w:sz w:val="28"/>
      <w:lang w:val="en-US"/>
    </w:rPr>
  </w:style>
  <w:style w:type="paragraph" w:customStyle="1" w:styleId="1heading-3">
    <w:name w:val="_1_heading-3"/>
    <w:basedOn w:val="Normal"/>
    <w:rsid w:val="00C57C9F"/>
    <w:pPr>
      <w:spacing w:before="240"/>
    </w:pPr>
    <w:rPr>
      <w:b/>
      <w:sz w:val="24"/>
      <w:lang w:val="en-US"/>
    </w:rPr>
  </w:style>
  <w:style w:type="character" w:customStyle="1" w:styleId="fins-italic">
    <w:name w:val="fins-italic"/>
    <w:basedOn w:val="DefaultParagraphFont"/>
    <w:rsid w:val="00C57C9F"/>
    <w:rPr>
      <w:i/>
    </w:rPr>
  </w:style>
  <w:style w:type="paragraph" w:customStyle="1" w:styleId="2fins-body-before-bullet">
    <w:name w:val="_2_fins-body-before-bullet"/>
    <w:basedOn w:val="Normal"/>
    <w:rsid w:val="00C57C9F"/>
    <w:pPr>
      <w:spacing w:before="60" w:after="60"/>
    </w:pPr>
    <w:rPr>
      <w:lang w:val="en-US"/>
    </w:rPr>
  </w:style>
  <w:style w:type="paragraph" w:customStyle="1" w:styleId="1heading-4">
    <w:name w:val="_1_heading-4"/>
    <w:basedOn w:val="Normal"/>
    <w:rsid w:val="00C57C9F"/>
    <w:pPr>
      <w:spacing w:before="60" w:after="60"/>
    </w:pPr>
    <w:rPr>
      <w:i/>
      <w:u w:val="single"/>
      <w:lang w:val="en-US"/>
    </w:rPr>
  </w:style>
  <w:style w:type="character" w:customStyle="1" w:styleId="bold-underlined">
    <w:name w:val="bold-underlined"/>
    <w:basedOn w:val="DefaultParagraphFont"/>
    <w:rsid w:val="00C57C9F"/>
    <w:rPr>
      <w:b/>
      <w:u w:val="single"/>
    </w:rPr>
  </w:style>
  <w:style w:type="character" w:customStyle="1" w:styleId="fins-bold-italics">
    <w:name w:val="fins-bold-italics"/>
    <w:basedOn w:val="DefaultParagraphFont"/>
    <w:rsid w:val="00C57C9F"/>
    <w:rPr>
      <w:b/>
      <w:i/>
    </w:rPr>
  </w:style>
  <w:style w:type="character" w:customStyle="1" w:styleId="charoverride-3">
    <w:name w:val="charoverride-3"/>
    <w:basedOn w:val="DefaultParagraphFont"/>
    <w:rsid w:val="00C57C9F"/>
  </w:style>
  <w:style w:type="paragraph" w:customStyle="1" w:styleId="fins-disclaimer">
    <w:name w:val="fins-disclaimer"/>
    <w:basedOn w:val="Normal"/>
    <w:rsid w:val="00C57C9F"/>
    <w:pPr>
      <w:spacing w:before="60" w:after="60"/>
      <w:ind w:firstLine="284"/>
    </w:pPr>
    <w:rPr>
      <w:lang w:val="en-US"/>
    </w:rPr>
  </w:style>
  <w:style w:type="character" w:customStyle="1" w:styleId="fins-underlined">
    <w:name w:val="fins-underlined"/>
    <w:basedOn w:val="DefaultParagraphFont"/>
    <w:rsid w:val="00C57C9F"/>
    <w:rPr>
      <w:u w:val="single"/>
    </w:rPr>
  </w:style>
  <w:style w:type="character" w:customStyle="1" w:styleId="colourss80">
    <w:name w:val="colourss8"/>
    <w:basedOn w:val="DefaultParagraphFont"/>
    <w:rsid w:val="006F421D"/>
    <w:rPr>
      <w:rFonts w:ascii="Arial" w:hAnsi="Arial"/>
      <w:color w:val="5F605F"/>
    </w:rPr>
  </w:style>
  <w:style w:type="character" w:customStyle="1" w:styleId="2body-italic0">
    <w:name w:val="2body-italic"/>
    <w:basedOn w:val="DefaultParagraphFont"/>
    <w:rsid w:val="006F421D"/>
    <w:rPr>
      <w:rFonts w:ascii="Arial" w:hAnsi="Arial"/>
      <w:i/>
    </w:rPr>
  </w:style>
  <w:style w:type="paragraph" w:customStyle="1" w:styleId="financials03table-header-r">
    <w:name w:val="financials_03_table-header-r"/>
    <w:basedOn w:val="Normal"/>
    <w:rsid w:val="006F421D"/>
    <w:pPr>
      <w:spacing w:before="100" w:beforeAutospacing="1" w:after="100" w:afterAutospacing="1"/>
    </w:pPr>
    <w:rPr>
      <w:b/>
      <w:bCs/>
      <w:color w:val="FFFFFF" w:themeColor="background1"/>
      <w:sz w:val="17"/>
      <w:szCs w:val="17"/>
    </w:rPr>
  </w:style>
  <w:style w:type="paragraph" w:customStyle="1" w:styleId="2bodyreferences-only">
    <w:name w:val="_2_body_references-only"/>
    <w:basedOn w:val="Normal"/>
    <w:rsid w:val="006F421D"/>
    <w:pPr>
      <w:spacing w:before="60" w:after="60"/>
    </w:pPr>
  </w:style>
  <w:style w:type="character" w:customStyle="1" w:styleId="Heading2Char">
    <w:name w:val="Heading 2 Char"/>
    <w:basedOn w:val="DefaultParagraphFont"/>
    <w:link w:val="Heading2"/>
    <w:uiPriority w:val="9"/>
    <w:rsid w:val="001456F6"/>
    <w:rPr>
      <w:rFonts w:asciiTheme="majorHAnsi" w:eastAsiaTheme="majorEastAsia" w:hAnsiTheme="majorHAnsi" w:cstheme="majorBidi"/>
      <w:b/>
      <w:bCs/>
      <w:color w:val="4F81BD" w:themeColor="accent1"/>
      <w:sz w:val="40"/>
      <w:szCs w:val="26"/>
    </w:rPr>
  </w:style>
  <w:style w:type="character" w:customStyle="1" w:styleId="Heading3Char">
    <w:name w:val="Heading 3 Char"/>
    <w:basedOn w:val="DefaultParagraphFont"/>
    <w:link w:val="Heading3"/>
    <w:uiPriority w:val="9"/>
    <w:rsid w:val="00F42888"/>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961623"/>
    <w:pPr>
      <w:keepNext/>
      <w:keepLines/>
      <w:pBdr>
        <w:bottom w:val="none" w:sz="0" w:space="0" w:color="auto"/>
      </w:pBdr>
      <w:spacing w:before="480" w:after="0" w:line="276" w:lineRule="auto"/>
      <w:contextualSpacing w:val="0"/>
      <w:outlineLvl w:val="9"/>
    </w:pPr>
    <w:rPr>
      <w:rFonts w:asciiTheme="majorHAnsi" w:eastAsiaTheme="majorEastAsia" w:hAnsiTheme="majorHAnsi" w:cstheme="majorBidi"/>
      <w:color w:val="365F91" w:themeColor="accent1" w:themeShade="BF"/>
      <w:kern w:val="0"/>
      <w:sz w:val="28"/>
      <w:szCs w:val="28"/>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6B2C"/>
    <w:pPr>
      <w:spacing w:after="120"/>
    </w:pPr>
    <w:rPr>
      <w:rFonts w:ascii="Arial" w:eastAsiaTheme="minorEastAsia" w:hAnsi="Arial" w:cstheme="minorBidi"/>
    </w:rPr>
  </w:style>
  <w:style w:type="paragraph" w:styleId="Heading1">
    <w:name w:val="heading 1"/>
    <w:aliases w:val="Heading 1 after intro"/>
    <w:basedOn w:val="Normal"/>
    <w:link w:val="Heading1Char"/>
    <w:uiPriority w:val="9"/>
    <w:qFormat/>
    <w:rsid w:val="00BE7189"/>
    <w:pPr>
      <w:pBdr>
        <w:bottom w:val="dotted" w:sz="8" w:space="1" w:color="BFBFBF" w:themeColor="background1" w:themeShade="BF"/>
      </w:pBdr>
      <w:spacing w:before="80" w:after="100"/>
      <w:contextualSpacing/>
      <w:outlineLvl w:val="0"/>
    </w:pPr>
    <w:rPr>
      <w:b/>
      <w:bCs/>
      <w:color w:val="5F605F"/>
      <w:kern w:val="36"/>
      <w:sz w:val="38"/>
      <w:szCs w:val="38"/>
    </w:rPr>
  </w:style>
  <w:style w:type="paragraph" w:styleId="Heading2">
    <w:name w:val="heading 2"/>
    <w:basedOn w:val="Normal"/>
    <w:next w:val="Normal"/>
    <w:link w:val="Heading2Char"/>
    <w:uiPriority w:val="9"/>
    <w:unhideWhenUsed/>
    <w:qFormat/>
    <w:rsid w:val="001456F6"/>
    <w:pPr>
      <w:keepNext/>
      <w:keepLines/>
      <w:pBdr>
        <w:bottom w:val="dotted" w:sz="4" w:space="1" w:color="auto"/>
      </w:pBdr>
      <w:spacing w:before="200" w:after="0"/>
      <w:outlineLvl w:val="1"/>
    </w:pPr>
    <w:rPr>
      <w:rFonts w:asciiTheme="majorHAnsi" w:eastAsiaTheme="majorEastAsia" w:hAnsiTheme="majorHAnsi" w:cstheme="majorBidi"/>
      <w:b/>
      <w:bCs/>
      <w:color w:val="4F81BD" w:themeColor="accent1"/>
      <w:sz w:val="40"/>
      <w:szCs w:val="26"/>
    </w:rPr>
  </w:style>
  <w:style w:type="paragraph" w:styleId="Heading3">
    <w:name w:val="heading 3"/>
    <w:basedOn w:val="Normal"/>
    <w:next w:val="Normal"/>
    <w:link w:val="Heading3Char"/>
    <w:uiPriority w:val="9"/>
    <w:unhideWhenUsed/>
    <w:qFormat/>
    <w:rsid w:val="00F4288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after intro Char"/>
    <w:basedOn w:val="DefaultParagraphFont"/>
    <w:link w:val="Heading1"/>
    <w:uiPriority w:val="9"/>
    <w:rsid w:val="00BE7189"/>
    <w:rPr>
      <w:rFonts w:ascii="Arial" w:eastAsiaTheme="minorEastAsia" w:hAnsi="Arial" w:cstheme="minorBidi"/>
      <w:b/>
      <w:bCs/>
      <w:color w:val="5F605F"/>
      <w:kern w:val="36"/>
      <w:sz w:val="38"/>
      <w:szCs w:val="38"/>
    </w:rPr>
  </w:style>
  <w:style w:type="paragraph" w:customStyle="1" w:styleId="2body-copy">
    <w:name w:val="_2_body-copy"/>
    <w:basedOn w:val="Normal"/>
    <w:rsid w:val="00165BDB"/>
    <w:pPr>
      <w:spacing w:before="120"/>
    </w:pPr>
  </w:style>
  <w:style w:type="character" w:customStyle="1" w:styleId="2body-medium">
    <w:name w:val="_2_body-medium"/>
    <w:basedOn w:val="DefaultParagraphFont"/>
    <w:rsid w:val="00165BDB"/>
    <w:rPr>
      <w:rFonts w:ascii="Arial" w:hAnsi="Arial"/>
      <w:b/>
    </w:rPr>
  </w:style>
  <w:style w:type="character" w:customStyle="1" w:styleId="2body-italic">
    <w:name w:val="_2_body-italic"/>
    <w:basedOn w:val="DefaultParagraphFont"/>
    <w:rsid w:val="00637066"/>
    <w:rPr>
      <w:rFonts w:ascii="Arial" w:hAnsi="Arial"/>
      <w:i/>
    </w:rPr>
  </w:style>
  <w:style w:type="character" w:customStyle="1" w:styleId="colourssaq-dark-blue">
    <w:name w:val="colours_saq-dark-blue"/>
    <w:basedOn w:val="DefaultParagraphFont"/>
    <w:rsid w:val="00165BDB"/>
    <w:rPr>
      <w:color w:val="005C7E"/>
    </w:rPr>
  </w:style>
  <w:style w:type="paragraph" w:customStyle="1" w:styleId="2intro">
    <w:name w:val="_2_intro"/>
    <w:basedOn w:val="Normal"/>
    <w:rsid w:val="00165BDB"/>
    <w:pPr>
      <w:spacing w:before="120"/>
    </w:pPr>
    <w:rPr>
      <w:sz w:val="24"/>
    </w:rPr>
  </w:style>
  <w:style w:type="paragraph" w:customStyle="1" w:styleId="0contents-level-1">
    <w:name w:val="_0_contents-level-1"/>
    <w:basedOn w:val="Normal"/>
    <w:rsid w:val="007B4948"/>
    <w:pPr>
      <w:pBdr>
        <w:bottom w:val="dotted" w:sz="8" w:space="1" w:color="54B6C5"/>
      </w:pBdr>
      <w:tabs>
        <w:tab w:val="right" w:pos="10206"/>
      </w:tabs>
      <w:spacing w:before="120"/>
    </w:pPr>
    <w:rPr>
      <w:b/>
    </w:rPr>
  </w:style>
  <w:style w:type="character" w:customStyle="1" w:styleId="colourss1">
    <w:name w:val="colours_s1"/>
    <w:basedOn w:val="DefaultParagraphFont"/>
    <w:rsid w:val="00637066"/>
    <w:rPr>
      <w:color w:val="0099C5"/>
    </w:rPr>
  </w:style>
  <w:style w:type="paragraph" w:customStyle="1" w:styleId="0contents-level-2">
    <w:name w:val="_0_contents-level-2"/>
    <w:basedOn w:val="Normal"/>
    <w:rsid w:val="007B4948"/>
    <w:pPr>
      <w:tabs>
        <w:tab w:val="right" w:pos="10206"/>
      </w:tabs>
      <w:spacing w:before="60"/>
    </w:pPr>
  </w:style>
  <w:style w:type="character" w:customStyle="1" w:styleId="colourss2">
    <w:name w:val="colours_s2"/>
    <w:basedOn w:val="DefaultParagraphFont"/>
    <w:rsid w:val="008A4983"/>
    <w:rPr>
      <w:color w:val="00837D"/>
    </w:rPr>
  </w:style>
  <w:style w:type="character" w:customStyle="1" w:styleId="colourss3">
    <w:name w:val="colours_s3"/>
    <w:basedOn w:val="DefaultParagraphFont"/>
    <w:rsid w:val="008A4983"/>
    <w:rPr>
      <w:color w:val="1B963C"/>
    </w:rPr>
  </w:style>
  <w:style w:type="character" w:customStyle="1" w:styleId="colourss4">
    <w:name w:val="colours_s4"/>
    <w:basedOn w:val="DefaultParagraphFont"/>
    <w:rsid w:val="008A4983"/>
    <w:rPr>
      <w:color w:val="96AD2A"/>
    </w:rPr>
  </w:style>
  <w:style w:type="character" w:customStyle="1" w:styleId="colourss5">
    <w:name w:val="colours_s5"/>
    <w:basedOn w:val="DefaultParagraphFont"/>
    <w:rsid w:val="00637066"/>
    <w:rPr>
      <w:color w:val="54B6C5"/>
    </w:rPr>
  </w:style>
  <w:style w:type="character" w:customStyle="1" w:styleId="colourss6">
    <w:name w:val="colours_s6"/>
    <w:basedOn w:val="DefaultParagraphFont"/>
    <w:rsid w:val="008A4983"/>
    <w:rPr>
      <w:color w:val="5EA03B"/>
    </w:rPr>
  </w:style>
  <w:style w:type="character" w:customStyle="1" w:styleId="colourss7">
    <w:name w:val="colours_s7"/>
    <w:basedOn w:val="DefaultParagraphFont"/>
    <w:rsid w:val="008A4983"/>
    <w:rPr>
      <w:color w:val="005C7E"/>
    </w:rPr>
  </w:style>
  <w:style w:type="character" w:customStyle="1" w:styleId="colourss8">
    <w:name w:val="colours_s8"/>
    <w:basedOn w:val="DefaultParagraphFont"/>
    <w:rsid w:val="005F09D2"/>
    <w:rPr>
      <w:color w:val="5F605F"/>
    </w:rPr>
  </w:style>
  <w:style w:type="paragraph" w:customStyle="1" w:styleId="0contents-level-2-section-start">
    <w:name w:val="_0_contents-level-2-section-start"/>
    <w:basedOn w:val="Normal"/>
    <w:rsid w:val="00450A12"/>
    <w:pPr>
      <w:tabs>
        <w:tab w:val="right" w:pos="9639"/>
      </w:tabs>
      <w:spacing w:before="120"/>
    </w:pPr>
    <w:rPr>
      <w:b/>
    </w:rPr>
  </w:style>
  <w:style w:type="paragraph" w:customStyle="1" w:styleId="1heading-level-1-span">
    <w:name w:val="_1_heading-level-1-span"/>
    <w:basedOn w:val="Normal"/>
    <w:rsid w:val="005F09D2"/>
    <w:pPr>
      <w:pBdr>
        <w:bottom w:val="dotted" w:sz="8" w:space="1" w:color="BFBFBF" w:themeColor="background1" w:themeShade="BF"/>
      </w:pBdr>
      <w:spacing w:before="240" w:after="240"/>
    </w:pPr>
    <w:rPr>
      <w:sz w:val="38"/>
    </w:rPr>
  </w:style>
  <w:style w:type="paragraph" w:customStyle="1" w:styleId="1heading-level-2">
    <w:name w:val="_1_heading-level-2"/>
    <w:basedOn w:val="Normal"/>
    <w:rsid w:val="005F09D2"/>
    <w:pPr>
      <w:spacing w:before="240"/>
    </w:pPr>
    <w:rPr>
      <w:color w:val="5F605F"/>
      <w:sz w:val="30"/>
      <w:szCs w:val="30"/>
    </w:rPr>
  </w:style>
  <w:style w:type="paragraph" w:customStyle="1" w:styleId="2body-copy-before-bullet">
    <w:name w:val="_2_body-copy-before-bullet"/>
    <w:basedOn w:val="Normal"/>
    <w:rsid w:val="004C6B2C"/>
    <w:pPr>
      <w:spacing w:after="0"/>
    </w:pPr>
  </w:style>
  <w:style w:type="character" w:customStyle="1" w:styleId="charoverride-2">
    <w:name w:val="charoverride-2"/>
    <w:basedOn w:val="DefaultParagraphFont"/>
  </w:style>
  <w:style w:type="character" w:customStyle="1" w:styleId="2body-roman-italic">
    <w:name w:val="_2_body-roman-italic"/>
    <w:basedOn w:val="DefaultParagraphFont"/>
    <w:rsid w:val="00637066"/>
    <w:rPr>
      <w:rFonts w:ascii="Arial" w:hAnsi="Arial"/>
      <w:i/>
    </w:rPr>
  </w:style>
  <w:style w:type="character" w:customStyle="1" w:styleId="charoverride-4">
    <w:name w:val="charoverride-4"/>
    <w:basedOn w:val="DefaultParagraphFont"/>
  </w:style>
  <w:style w:type="character" w:customStyle="1" w:styleId="charoverride-5">
    <w:name w:val="charoverride-5"/>
    <w:basedOn w:val="DefaultParagraphFont"/>
  </w:style>
  <w:style w:type="character" w:customStyle="1" w:styleId="charoverride-6">
    <w:name w:val="charoverride-6"/>
    <w:basedOn w:val="DefaultParagraphFont"/>
  </w:style>
  <w:style w:type="character" w:customStyle="1" w:styleId="charoverride-7">
    <w:name w:val="charoverride-7"/>
    <w:basedOn w:val="DefaultParagraphFont"/>
  </w:style>
  <w:style w:type="character" w:customStyle="1" w:styleId="charoverride-8">
    <w:name w:val="charoverride-8"/>
    <w:basedOn w:val="DefaultParagraphFont"/>
  </w:style>
  <w:style w:type="character" w:customStyle="1" w:styleId="charoverride-9">
    <w:name w:val="charoverride-9"/>
    <w:basedOn w:val="DefaultParagraphFont"/>
  </w:style>
  <w:style w:type="character" w:customStyle="1" w:styleId="charoverride-10">
    <w:name w:val="charoverride-10"/>
    <w:basedOn w:val="DefaultParagraphFont"/>
  </w:style>
  <w:style w:type="character" w:customStyle="1" w:styleId="charoverride-11">
    <w:name w:val="charoverride-11"/>
    <w:basedOn w:val="DefaultParagraphFont"/>
  </w:style>
  <w:style w:type="character" w:customStyle="1" w:styleId="charoverride-12">
    <w:name w:val="charoverride-12"/>
    <w:basedOn w:val="DefaultParagraphFont"/>
  </w:style>
  <w:style w:type="paragraph" w:customStyle="1" w:styleId="3table-header-l">
    <w:name w:val="_3_table-header-l"/>
    <w:basedOn w:val="Normal"/>
    <w:rsid w:val="001F06F5"/>
    <w:pPr>
      <w:spacing w:before="100" w:beforeAutospacing="1" w:after="100" w:afterAutospacing="1"/>
    </w:pPr>
    <w:rPr>
      <w:color w:val="FFFFFF" w:themeColor="background1"/>
    </w:rPr>
  </w:style>
  <w:style w:type="paragraph" w:customStyle="1" w:styleId="1h4">
    <w:name w:val="_1_h4"/>
    <w:basedOn w:val="Normal"/>
    <w:pPr>
      <w:spacing w:before="100" w:beforeAutospacing="1" w:after="100" w:afterAutospacing="1"/>
    </w:pPr>
  </w:style>
  <w:style w:type="character" w:customStyle="1" w:styleId="charoverride-13">
    <w:name w:val="charoverride-13"/>
    <w:basedOn w:val="DefaultParagraphFont"/>
  </w:style>
  <w:style w:type="paragraph" w:customStyle="1" w:styleId="0page-tops">
    <w:name w:val="_0_page-tops"/>
    <w:basedOn w:val="Normal"/>
    <w:pPr>
      <w:spacing w:before="100" w:beforeAutospacing="1" w:after="100" w:afterAutospacing="1"/>
    </w:pPr>
  </w:style>
  <w:style w:type="paragraph" w:customStyle="1" w:styleId="1heading-level-3">
    <w:name w:val="_1_heading-level-3"/>
    <w:basedOn w:val="Normal"/>
    <w:rsid w:val="00CB0187"/>
    <w:pPr>
      <w:spacing w:before="240"/>
    </w:pPr>
    <w:rPr>
      <w:b/>
      <w:bCs/>
      <w:color w:val="5F605F"/>
      <w:sz w:val="24"/>
      <w:szCs w:val="24"/>
    </w:rPr>
  </w:style>
  <w:style w:type="character" w:customStyle="1" w:styleId="s2-pull-out-numbers">
    <w:name w:val="s2-pull-out-numbers"/>
    <w:basedOn w:val="DefaultParagraphFont"/>
    <w:rsid w:val="007923D4"/>
    <w:rPr>
      <w:rFonts w:ascii="Arial" w:hAnsi="Arial"/>
      <w:color w:val="00837D"/>
      <w:sz w:val="48"/>
      <w:szCs w:val="48"/>
    </w:rPr>
  </w:style>
  <w:style w:type="paragraph" w:customStyle="1" w:styleId="2pull-out">
    <w:name w:val="_2_pull-out"/>
    <w:basedOn w:val="Normal"/>
    <w:rsid w:val="00966604"/>
    <w:pPr>
      <w:pBdr>
        <w:top w:val="dotted" w:sz="8" w:space="1" w:color="00837D"/>
        <w:bottom w:val="dotted" w:sz="8" w:space="1" w:color="00837D"/>
      </w:pBdr>
      <w:spacing w:before="240" w:after="240"/>
    </w:pPr>
    <w:rPr>
      <w:color w:val="00837D"/>
      <w:sz w:val="24"/>
      <w:szCs w:val="24"/>
    </w:rPr>
  </w:style>
  <w:style w:type="character" w:customStyle="1" w:styleId="2body-roman">
    <w:name w:val="_2_body-roman"/>
    <w:basedOn w:val="DefaultParagraphFont"/>
    <w:rsid w:val="00637066"/>
    <w:rPr>
      <w:rFonts w:ascii="Arial" w:hAnsi="Arial"/>
    </w:rPr>
  </w:style>
  <w:style w:type="paragraph" w:customStyle="1" w:styleId="2quoted-by">
    <w:name w:val="_2_quoted-by"/>
    <w:basedOn w:val="Normal"/>
    <w:pPr>
      <w:spacing w:before="100" w:beforeAutospacing="1" w:after="100" w:afterAutospacing="1"/>
    </w:pPr>
  </w:style>
  <w:style w:type="character" w:customStyle="1" w:styleId="charoverride-24">
    <w:name w:val="charoverride-24"/>
    <w:basedOn w:val="DefaultParagraphFont"/>
  </w:style>
  <w:style w:type="character" w:customStyle="1" w:styleId="superscript">
    <w:name w:val="superscript"/>
    <w:basedOn w:val="DefaultParagraphFont"/>
    <w:rsid w:val="008A4983"/>
    <w:rPr>
      <w:rFonts w:ascii="Arial" w:hAnsi="Arial"/>
      <w:caps w:val="0"/>
      <w:smallCaps w:val="0"/>
      <w:strike w:val="0"/>
      <w:dstrike w:val="0"/>
      <w:vanish w:val="0"/>
      <w:vertAlign w:val="superscript"/>
    </w:rPr>
  </w:style>
  <w:style w:type="character" w:customStyle="1" w:styleId="charoverride-1">
    <w:name w:val="charoverride-1"/>
    <w:basedOn w:val="DefaultParagraphFont"/>
  </w:style>
  <w:style w:type="character" w:customStyle="1" w:styleId="charoverride-25">
    <w:name w:val="charoverride-25"/>
    <w:basedOn w:val="DefaultParagraphFont"/>
  </w:style>
  <w:style w:type="paragraph" w:customStyle="1" w:styleId="4acknowledgements">
    <w:name w:val="_4_acknowledgements"/>
    <w:basedOn w:val="Normal"/>
    <w:rsid w:val="00787CC2"/>
    <w:pPr>
      <w:spacing w:before="100" w:beforeAutospacing="1" w:after="100" w:afterAutospacing="1"/>
    </w:pPr>
    <w:rPr>
      <w:sz w:val="17"/>
    </w:rPr>
  </w:style>
  <w:style w:type="paragraph" w:customStyle="1" w:styleId="paraoverride-10">
    <w:name w:val="paraoverride-10"/>
    <w:basedOn w:val="Normal"/>
    <w:pPr>
      <w:spacing w:before="100" w:beforeAutospacing="1" w:after="100" w:afterAutospacing="1"/>
    </w:pPr>
  </w:style>
  <w:style w:type="character" w:customStyle="1" w:styleId="charoverride-26">
    <w:name w:val="charoverride-26"/>
    <w:basedOn w:val="DefaultParagraphFont"/>
  </w:style>
  <w:style w:type="paragraph" w:customStyle="1" w:styleId="paraoverride-11">
    <w:name w:val="paraoverride-11"/>
    <w:basedOn w:val="Normal"/>
    <w:pPr>
      <w:spacing w:before="100" w:beforeAutospacing="1" w:after="100" w:afterAutospacing="1"/>
    </w:pPr>
  </w:style>
  <w:style w:type="character" w:customStyle="1" w:styleId="charoverride-27">
    <w:name w:val="charoverride-27"/>
    <w:basedOn w:val="DefaultParagraphFont"/>
  </w:style>
  <w:style w:type="character" w:customStyle="1" w:styleId="charoverride-28">
    <w:name w:val="charoverride-28"/>
    <w:basedOn w:val="DefaultParagraphFont"/>
  </w:style>
  <w:style w:type="paragraph" w:styleId="Header">
    <w:name w:val="header"/>
    <w:basedOn w:val="Normal"/>
    <w:link w:val="HeaderChar"/>
    <w:uiPriority w:val="99"/>
    <w:unhideWhenUsed/>
    <w:rsid w:val="00610900"/>
    <w:pPr>
      <w:tabs>
        <w:tab w:val="center" w:pos="4320"/>
        <w:tab w:val="right" w:pos="8640"/>
      </w:tabs>
    </w:pPr>
  </w:style>
  <w:style w:type="character" w:customStyle="1" w:styleId="HeaderChar">
    <w:name w:val="Header Char"/>
    <w:basedOn w:val="DefaultParagraphFont"/>
    <w:link w:val="Header"/>
    <w:uiPriority w:val="99"/>
    <w:rsid w:val="00610900"/>
    <w:rPr>
      <w:rFonts w:ascii="Times" w:eastAsiaTheme="minorEastAsia" w:hAnsi="Times" w:cstheme="minorBidi"/>
    </w:rPr>
  </w:style>
  <w:style w:type="paragraph" w:styleId="Footer">
    <w:name w:val="footer"/>
    <w:basedOn w:val="Normal"/>
    <w:link w:val="FooterChar"/>
    <w:uiPriority w:val="99"/>
    <w:unhideWhenUsed/>
    <w:rsid w:val="00610900"/>
    <w:pPr>
      <w:tabs>
        <w:tab w:val="center" w:pos="4320"/>
        <w:tab w:val="right" w:pos="8640"/>
      </w:tabs>
    </w:pPr>
  </w:style>
  <w:style w:type="character" w:customStyle="1" w:styleId="FooterChar">
    <w:name w:val="Footer Char"/>
    <w:basedOn w:val="DefaultParagraphFont"/>
    <w:link w:val="Footer"/>
    <w:uiPriority w:val="99"/>
    <w:rsid w:val="00610900"/>
    <w:rPr>
      <w:rFonts w:ascii="Times" w:eastAsiaTheme="minorEastAsia" w:hAnsi="Times" w:cstheme="minorBidi"/>
    </w:rPr>
  </w:style>
  <w:style w:type="paragraph" w:styleId="BalloonText">
    <w:name w:val="Balloon Text"/>
    <w:basedOn w:val="Normal"/>
    <w:link w:val="BalloonTextChar"/>
    <w:uiPriority w:val="99"/>
    <w:semiHidden/>
    <w:unhideWhenUsed/>
    <w:rsid w:val="005517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179E"/>
    <w:rPr>
      <w:rFonts w:ascii="Lucida Grande" w:eastAsiaTheme="minorEastAsia" w:hAnsi="Lucida Grande" w:cs="Lucida Grande"/>
      <w:sz w:val="18"/>
      <w:szCs w:val="18"/>
    </w:rPr>
  </w:style>
  <w:style w:type="paragraph" w:customStyle="1" w:styleId="05Pagefooter">
    <w:name w:val="05_Page footer"/>
    <w:basedOn w:val="Normal"/>
    <w:uiPriority w:val="99"/>
    <w:rsid w:val="00165BDB"/>
    <w:pPr>
      <w:widowControl w:val="0"/>
      <w:tabs>
        <w:tab w:val="left" w:pos="283"/>
        <w:tab w:val="left" w:pos="567"/>
        <w:tab w:val="left" w:pos="850"/>
        <w:tab w:val="left" w:pos="1134"/>
        <w:tab w:val="left" w:pos="1417"/>
        <w:tab w:val="left" w:pos="1701"/>
      </w:tabs>
      <w:suppressAutoHyphens/>
      <w:autoSpaceDE w:val="0"/>
      <w:autoSpaceDN w:val="0"/>
      <w:adjustRightInd w:val="0"/>
      <w:spacing w:after="113" w:line="240" w:lineRule="atLeast"/>
      <w:textAlignment w:val="center"/>
    </w:pPr>
    <w:rPr>
      <w:rFonts w:eastAsia="Times New Roman" w:cs="Gotham-Light"/>
      <w:color w:val="5F605F"/>
      <w:spacing w:val="2"/>
      <w:sz w:val="16"/>
      <w:szCs w:val="16"/>
      <w:lang w:val="en-GB"/>
    </w:rPr>
  </w:style>
  <w:style w:type="character" w:customStyle="1" w:styleId="02Gothamboldfigures">
    <w:name w:val="02_Gotham bold (figures)"/>
    <w:uiPriority w:val="99"/>
    <w:rsid w:val="00165BDB"/>
    <w:rPr>
      <w:rFonts w:ascii="Arial" w:hAnsi="Arial" w:cs="Gotham-Bold"/>
      <w:b/>
      <w:bCs/>
      <w:color w:val="5F605F"/>
    </w:rPr>
  </w:style>
  <w:style w:type="paragraph" w:customStyle="1" w:styleId="00sectiontitleH1">
    <w:name w:val="00_section title H1"/>
    <w:basedOn w:val="Normal"/>
    <w:uiPriority w:val="99"/>
    <w:rsid w:val="005F09D2"/>
    <w:pPr>
      <w:widowControl w:val="0"/>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227" w:line="520" w:lineRule="atLeast"/>
      <w:textAlignment w:val="center"/>
    </w:pPr>
    <w:rPr>
      <w:rFonts w:eastAsia="Times New Roman" w:cs="Gotham-Light"/>
      <w:color w:val="54B6C5"/>
      <w:sz w:val="52"/>
      <w:szCs w:val="52"/>
      <w:lang w:val="en-GB"/>
    </w:rPr>
  </w:style>
  <w:style w:type="character" w:customStyle="1" w:styleId="S8colours">
    <w:name w:val="S8 (colours)"/>
    <w:uiPriority w:val="99"/>
    <w:rsid w:val="00FB2AA9"/>
    <w:rPr>
      <w:rFonts w:ascii="Arial" w:hAnsi="Arial"/>
      <w:color w:val="606060"/>
    </w:rPr>
  </w:style>
  <w:style w:type="paragraph" w:customStyle="1" w:styleId="bullet">
    <w:name w:val="bullet"/>
    <w:basedOn w:val="Normal"/>
    <w:qFormat/>
    <w:rsid w:val="00675FF5"/>
    <w:pPr>
      <w:numPr>
        <w:numId w:val="1"/>
      </w:numPr>
      <w:spacing w:before="120"/>
    </w:pPr>
    <w:rPr>
      <w:rFonts w:eastAsia="Times New Roman" w:cs="Times New Roman"/>
      <w:lang w:val="en-GB"/>
    </w:rPr>
  </w:style>
  <w:style w:type="paragraph" w:customStyle="1" w:styleId="02Bodycopy">
    <w:name w:val="02_Body copy"/>
    <w:basedOn w:val="Normal"/>
    <w:uiPriority w:val="99"/>
    <w:rsid w:val="00787CC2"/>
    <w:pPr>
      <w:widowControl w:val="0"/>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170" w:line="260" w:lineRule="atLeast"/>
      <w:textAlignment w:val="center"/>
    </w:pPr>
    <w:rPr>
      <w:rFonts w:ascii="HelveticaNeue-Light" w:eastAsia="Times New Roman" w:hAnsi="HelveticaNeue-Light" w:cs="HelveticaNeue-Light"/>
      <w:color w:val="000000"/>
      <w:spacing w:val="4"/>
      <w:lang w:val="en-GB"/>
    </w:rPr>
  </w:style>
  <w:style w:type="table" w:styleId="TableGrid">
    <w:name w:val="Table Grid"/>
    <w:basedOn w:val="TableNormal"/>
    <w:uiPriority w:val="59"/>
    <w:rsid w:val="008A49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26F3"/>
    <w:rPr>
      <w:rFonts w:ascii="Arial" w:hAnsi="Arial"/>
      <w:b/>
      <w:bCs/>
      <w:color w:val="5F605F"/>
      <w:sz w:val="20"/>
      <w:szCs w:val="20"/>
    </w:rPr>
  </w:style>
  <w:style w:type="paragraph" w:styleId="TOC1">
    <w:name w:val="toc 1"/>
    <w:basedOn w:val="Normal"/>
    <w:next w:val="Normal"/>
    <w:autoRedefine/>
    <w:uiPriority w:val="39"/>
    <w:unhideWhenUsed/>
    <w:qFormat/>
    <w:rsid w:val="00AD26F3"/>
  </w:style>
  <w:style w:type="paragraph" w:styleId="TOC2">
    <w:name w:val="toc 2"/>
    <w:basedOn w:val="Normal"/>
    <w:next w:val="Normal"/>
    <w:autoRedefine/>
    <w:uiPriority w:val="39"/>
    <w:unhideWhenUsed/>
    <w:qFormat/>
    <w:rsid w:val="00AD26F3"/>
    <w:pPr>
      <w:ind w:left="200"/>
    </w:pPr>
  </w:style>
  <w:style w:type="paragraph" w:styleId="TOC3">
    <w:name w:val="toc 3"/>
    <w:basedOn w:val="Normal"/>
    <w:next w:val="Normal"/>
    <w:autoRedefine/>
    <w:uiPriority w:val="39"/>
    <w:unhideWhenUsed/>
    <w:qFormat/>
    <w:rsid w:val="00AD26F3"/>
    <w:pPr>
      <w:ind w:left="400"/>
    </w:pPr>
  </w:style>
  <w:style w:type="paragraph" w:styleId="TOC4">
    <w:name w:val="toc 4"/>
    <w:basedOn w:val="Normal"/>
    <w:next w:val="Normal"/>
    <w:autoRedefine/>
    <w:uiPriority w:val="39"/>
    <w:unhideWhenUsed/>
    <w:rsid w:val="00AD26F3"/>
    <w:pPr>
      <w:ind w:left="600"/>
    </w:pPr>
  </w:style>
  <w:style w:type="paragraph" w:styleId="TOC5">
    <w:name w:val="toc 5"/>
    <w:basedOn w:val="Normal"/>
    <w:next w:val="Normal"/>
    <w:autoRedefine/>
    <w:uiPriority w:val="39"/>
    <w:unhideWhenUsed/>
    <w:rsid w:val="00AD26F3"/>
    <w:pPr>
      <w:ind w:left="800"/>
    </w:pPr>
  </w:style>
  <w:style w:type="paragraph" w:styleId="TOC6">
    <w:name w:val="toc 6"/>
    <w:basedOn w:val="Normal"/>
    <w:next w:val="Normal"/>
    <w:autoRedefine/>
    <w:uiPriority w:val="39"/>
    <w:unhideWhenUsed/>
    <w:rsid w:val="00AD26F3"/>
    <w:pPr>
      <w:ind w:left="1000"/>
    </w:pPr>
  </w:style>
  <w:style w:type="paragraph" w:styleId="TOC7">
    <w:name w:val="toc 7"/>
    <w:basedOn w:val="Normal"/>
    <w:next w:val="Normal"/>
    <w:autoRedefine/>
    <w:uiPriority w:val="39"/>
    <w:unhideWhenUsed/>
    <w:rsid w:val="00AD26F3"/>
    <w:pPr>
      <w:ind w:left="1200"/>
    </w:pPr>
  </w:style>
  <w:style w:type="paragraph" w:styleId="TOC8">
    <w:name w:val="toc 8"/>
    <w:basedOn w:val="Normal"/>
    <w:next w:val="Normal"/>
    <w:autoRedefine/>
    <w:uiPriority w:val="39"/>
    <w:unhideWhenUsed/>
    <w:rsid w:val="00AD26F3"/>
    <w:pPr>
      <w:ind w:left="1400"/>
    </w:pPr>
  </w:style>
  <w:style w:type="paragraph" w:styleId="TOC9">
    <w:name w:val="toc 9"/>
    <w:basedOn w:val="Normal"/>
    <w:next w:val="Normal"/>
    <w:autoRedefine/>
    <w:uiPriority w:val="39"/>
    <w:unhideWhenUsed/>
    <w:rsid w:val="00AD26F3"/>
    <w:pPr>
      <w:ind w:left="1600"/>
    </w:pPr>
  </w:style>
  <w:style w:type="paragraph" w:customStyle="1" w:styleId="00coverH1">
    <w:name w:val="00 cover _H1"/>
    <w:basedOn w:val="Normal"/>
    <w:rsid w:val="008A7534"/>
    <w:pPr>
      <w:spacing w:before="120"/>
    </w:pPr>
    <w:rPr>
      <w:color w:val="005C7E"/>
      <w:sz w:val="86"/>
      <w:szCs w:val="86"/>
    </w:rPr>
  </w:style>
  <w:style w:type="paragraph" w:customStyle="1" w:styleId="0coverdate">
    <w:name w:val="_0_cover_date"/>
    <w:basedOn w:val="Normal"/>
    <w:rsid w:val="008A7534"/>
    <w:pPr>
      <w:spacing w:before="100" w:beforeAutospacing="1" w:after="100" w:afterAutospacing="1"/>
    </w:pPr>
    <w:rPr>
      <w:color w:val="54B6C5"/>
      <w:sz w:val="44"/>
      <w:szCs w:val="44"/>
    </w:rPr>
  </w:style>
  <w:style w:type="character" w:customStyle="1" w:styleId="DocumentMapChar">
    <w:name w:val="Document Map Char"/>
    <w:basedOn w:val="DefaultParagraphFont"/>
    <w:link w:val="DocumentMap"/>
    <w:uiPriority w:val="99"/>
    <w:semiHidden/>
    <w:rsid w:val="00C57C9F"/>
    <w:rPr>
      <w:rFonts w:ascii="Lucida Grande" w:eastAsiaTheme="minorEastAsia" w:hAnsi="Lucida Grande" w:cs="Lucida Grande"/>
      <w:sz w:val="24"/>
      <w:szCs w:val="24"/>
      <w:lang w:val="en-US"/>
    </w:rPr>
  </w:style>
  <w:style w:type="paragraph" w:styleId="DocumentMap">
    <w:name w:val="Document Map"/>
    <w:basedOn w:val="Normal"/>
    <w:link w:val="DocumentMapChar"/>
    <w:uiPriority w:val="99"/>
    <w:semiHidden/>
    <w:unhideWhenUsed/>
    <w:rsid w:val="00C57C9F"/>
    <w:pPr>
      <w:spacing w:after="0"/>
    </w:pPr>
    <w:rPr>
      <w:rFonts w:ascii="Lucida Grande" w:hAnsi="Lucida Grande" w:cs="Lucida Grande"/>
      <w:sz w:val="24"/>
      <w:szCs w:val="24"/>
      <w:lang w:val="en-US"/>
    </w:rPr>
  </w:style>
  <w:style w:type="paragraph" w:customStyle="1" w:styleId="financials01heading-level-1-index-only">
    <w:name w:val="financials_01_heading-level-1-index-only"/>
    <w:basedOn w:val="Normal"/>
    <w:rsid w:val="006F421D"/>
    <w:pPr>
      <w:pBdr>
        <w:bottom w:val="dotted" w:sz="8" w:space="1" w:color="5F605F"/>
      </w:pBdr>
      <w:spacing w:before="120" w:after="240"/>
    </w:pPr>
    <w:rPr>
      <w:b/>
      <w:bCs/>
      <w:color w:val="5F605F"/>
      <w:sz w:val="30"/>
      <w:szCs w:val="30"/>
    </w:rPr>
  </w:style>
  <w:style w:type="paragraph" w:customStyle="1" w:styleId="financials01heading-level-2">
    <w:name w:val="financials_01_heading-level-2"/>
    <w:basedOn w:val="Normal"/>
    <w:rsid w:val="006F421D"/>
    <w:pPr>
      <w:spacing w:before="120"/>
    </w:pPr>
    <w:rPr>
      <w:color w:val="5F605F"/>
      <w:sz w:val="28"/>
      <w:szCs w:val="28"/>
    </w:rPr>
  </w:style>
  <w:style w:type="paragraph" w:customStyle="1" w:styleId="3-figure">
    <w:name w:val="_3-figure"/>
    <w:basedOn w:val="Normal"/>
    <w:rsid w:val="006F421D"/>
    <w:pPr>
      <w:spacing w:before="120" w:after="60"/>
    </w:pPr>
  </w:style>
  <w:style w:type="paragraph" w:customStyle="1" w:styleId="financials03table-header-l">
    <w:name w:val="financials_03_table-header-l"/>
    <w:basedOn w:val="Normal"/>
    <w:rsid w:val="006F421D"/>
    <w:pPr>
      <w:spacing w:before="60" w:after="60"/>
    </w:pPr>
    <w:rPr>
      <w:b/>
      <w:bCs/>
      <w:color w:val="FFFFFF" w:themeColor="background1"/>
      <w:sz w:val="17"/>
      <w:szCs w:val="17"/>
    </w:rPr>
  </w:style>
  <w:style w:type="paragraph" w:customStyle="1" w:styleId="financials03table-body-l">
    <w:name w:val="financials_03_table-body-l"/>
    <w:basedOn w:val="Normal"/>
    <w:rsid w:val="006F421D"/>
    <w:pPr>
      <w:spacing w:before="60" w:after="60"/>
    </w:pPr>
    <w:rPr>
      <w:sz w:val="17"/>
    </w:rPr>
  </w:style>
  <w:style w:type="paragraph" w:customStyle="1" w:styleId="financials03table-body-r">
    <w:name w:val="financials_03_table-body-r"/>
    <w:basedOn w:val="Normal"/>
    <w:rsid w:val="006F421D"/>
    <w:pPr>
      <w:spacing w:before="100" w:beforeAutospacing="1" w:after="100" w:afterAutospacing="1"/>
    </w:pPr>
  </w:style>
  <w:style w:type="paragraph" w:customStyle="1" w:styleId="00sectiontitleH1MasterPagestylesheets">
    <w:name w:val="00_section title H1 (Master Page stylesheets)"/>
    <w:basedOn w:val="Normal"/>
    <w:uiPriority w:val="99"/>
    <w:rsid w:val="00C57C9F"/>
    <w:pPr>
      <w:widowControl w:val="0"/>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227" w:line="520" w:lineRule="atLeast"/>
      <w:textAlignment w:val="center"/>
    </w:pPr>
    <w:rPr>
      <w:rFonts w:eastAsia="Times New Roman" w:cs="Gotham-Light"/>
      <w:color w:val="FFFFFF"/>
      <w:sz w:val="52"/>
      <w:szCs w:val="52"/>
      <w:lang w:val="en-GB"/>
    </w:rPr>
  </w:style>
  <w:style w:type="paragraph" w:customStyle="1" w:styleId="master-page-stylesheets00contents-level-2-section-start">
    <w:name w:val="master-page-stylesheets_00_contents-level-2-section-start"/>
    <w:basedOn w:val="Normal"/>
    <w:rsid w:val="00C57C9F"/>
    <w:pPr>
      <w:spacing w:before="100" w:beforeAutospacing="1" w:after="100" w:afterAutospacing="1"/>
    </w:pPr>
    <w:rPr>
      <w:lang w:val="en-US"/>
    </w:rPr>
  </w:style>
  <w:style w:type="paragraph" w:customStyle="1" w:styleId="1heading-1">
    <w:name w:val="_1_heading-1"/>
    <w:basedOn w:val="Normal"/>
    <w:rsid w:val="00C57C9F"/>
    <w:pPr>
      <w:spacing w:before="120" w:after="0"/>
    </w:pPr>
    <w:rPr>
      <w:b/>
      <w:sz w:val="32"/>
      <w:lang w:val="en-US"/>
    </w:rPr>
  </w:style>
  <w:style w:type="paragraph" w:customStyle="1" w:styleId="1as-at---">
    <w:name w:val="_1_as-at---"/>
    <w:basedOn w:val="Normal"/>
    <w:rsid w:val="00C57C9F"/>
    <w:pPr>
      <w:spacing w:before="60"/>
    </w:pPr>
    <w:rPr>
      <w:sz w:val="22"/>
      <w:lang w:val="en-US"/>
    </w:rPr>
  </w:style>
  <w:style w:type="character" w:customStyle="1" w:styleId="fins-bold">
    <w:name w:val="fins-bold"/>
    <w:basedOn w:val="DefaultParagraphFont"/>
    <w:rsid w:val="00C57C9F"/>
    <w:rPr>
      <w:b/>
    </w:rPr>
  </w:style>
  <w:style w:type="paragraph" w:customStyle="1" w:styleId="3fins-table-figures">
    <w:name w:val="_3_fins-table-figures"/>
    <w:basedOn w:val="Normal"/>
    <w:rsid w:val="00C57C9F"/>
    <w:pPr>
      <w:spacing w:before="100" w:beforeAutospacing="1" w:after="100" w:afterAutospacing="1"/>
    </w:pPr>
    <w:rPr>
      <w:lang w:val="en-US"/>
    </w:rPr>
  </w:style>
  <w:style w:type="paragraph" w:customStyle="1" w:styleId="3fins-table-notes">
    <w:name w:val="_3_fins-table-notes"/>
    <w:basedOn w:val="Normal"/>
    <w:rsid w:val="00C57C9F"/>
    <w:pPr>
      <w:spacing w:before="100" w:beforeAutospacing="1" w:after="100" w:afterAutospacing="1"/>
    </w:pPr>
    <w:rPr>
      <w:lang w:val="en-US"/>
    </w:rPr>
  </w:style>
  <w:style w:type="paragraph" w:customStyle="1" w:styleId="3fins-table">
    <w:name w:val="_3_fins-table"/>
    <w:basedOn w:val="Normal"/>
    <w:rsid w:val="00C57C9F"/>
    <w:pPr>
      <w:spacing w:before="40" w:after="40"/>
    </w:pPr>
    <w:rPr>
      <w:sz w:val="18"/>
      <w:lang w:val="en-US"/>
    </w:rPr>
  </w:style>
  <w:style w:type="paragraph" w:customStyle="1" w:styleId="3fins-table-figures-c">
    <w:name w:val="_3_fins-table-figures-c"/>
    <w:basedOn w:val="Normal"/>
    <w:rsid w:val="00C57C9F"/>
    <w:pPr>
      <w:spacing w:before="100" w:beforeAutospacing="1" w:after="100" w:afterAutospacing="1"/>
    </w:pPr>
    <w:rPr>
      <w:lang w:val="en-US"/>
    </w:rPr>
  </w:style>
  <w:style w:type="paragraph" w:customStyle="1" w:styleId="2fins-body">
    <w:name w:val="_2_fins-body"/>
    <w:basedOn w:val="Normal"/>
    <w:rsid w:val="00C57C9F"/>
    <w:pPr>
      <w:spacing w:before="120"/>
    </w:pPr>
    <w:rPr>
      <w:lang w:val="en-US"/>
    </w:rPr>
  </w:style>
  <w:style w:type="paragraph" w:customStyle="1" w:styleId="1heading-2">
    <w:name w:val="_1_heading-2"/>
    <w:basedOn w:val="Normal"/>
    <w:rsid w:val="00C57C9F"/>
    <w:pPr>
      <w:spacing w:before="120" w:after="240"/>
    </w:pPr>
    <w:rPr>
      <w:b/>
      <w:sz w:val="28"/>
      <w:lang w:val="en-US"/>
    </w:rPr>
  </w:style>
  <w:style w:type="paragraph" w:customStyle="1" w:styleId="1heading-3">
    <w:name w:val="_1_heading-3"/>
    <w:basedOn w:val="Normal"/>
    <w:rsid w:val="00C57C9F"/>
    <w:pPr>
      <w:spacing w:before="240"/>
    </w:pPr>
    <w:rPr>
      <w:b/>
      <w:sz w:val="24"/>
      <w:lang w:val="en-US"/>
    </w:rPr>
  </w:style>
  <w:style w:type="character" w:customStyle="1" w:styleId="fins-italic">
    <w:name w:val="fins-italic"/>
    <w:basedOn w:val="DefaultParagraphFont"/>
    <w:rsid w:val="00C57C9F"/>
    <w:rPr>
      <w:i/>
    </w:rPr>
  </w:style>
  <w:style w:type="paragraph" w:customStyle="1" w:styleId="2fins-body-before-bullet">
    <w:name w:val="_2_fins-body-before-bullet"/>
    <w:basedOn w:val="Normal"/>
    <w:rsid w:val="00C57C9F"/>
    <w:pPr>
      <w:spacing w:before="60" w:after="60"/>
    </w:pPr>
    <w:rPr>
      <w:lang w:val="en-US"/>
    </w:rPr>
  </w:style>
  <w:style w:type="paragraph" w:customStyle="1" w:styleId="1heading-4">
    <w:name w:val="_1_heading-4"/>
    <w:basedOn w:val="Normal"/>
    <w:rsid w:val="00C57C9F"/>
    <w:pPr>
      <w:spacing w:before="60" w:after="60"/>
    </w:pPr>
    <w:rPr>
      <w:i/>
      <w:u w:val="single"/>
      <w:lang w:val="en-US"/>
    </w:rPr>
  </w:style>
  <w:style w:type="character" w:customStyle="1" w:styleId="bold-underlined">
    <w:name w:val="bold-underlined"/>
    <w:basedOn w:val="DefaultParagraphFont"/>
    <w:rsid w:val="00C57C9F"/>
    <w:rPr>
      <w:b/>
      <w:u w:val="single"/>
    </w:rPr>
  </w:style>
  <w:style w:type="character" w:customStyle="1" w:styleId="fins-bold-italics">
    <w:name w:val="fins-bold-italics"/>
    <w:basedOn w:val="DefaultParagraphFont"/>
    <w:rsid w:val="00C57C9F"/>
    <w:rPr>
      <w:b/>
      <w:i/>
    </w:rPr>
  </w:style>
  <w:style w:type="character" w:customStyle="1" w:styleId="charoverride-3">
    <w:name w:val="charoverride-3"/>
    <w:basedOn w:val="DefaultParagraphFont"/>
    <w:rsid w:val="00C57C9F"/>
  </w:style>
  <w:style w:type="paragraph" w:customStyle="1" w:styleId="fins-disclaimer">
    <w:name w:val="fins-disclaimer"/>
    <w:basedOn w:val="Normal"/>
    <w:rsid w:val="00C57C9F"/>
    <w:pPr>
      <w:spacing w:before="60" w:after="60"/>
      <w:ind w:firstLine="284"/>
    </w:pPr>
    <w:rPr>
      <w:lang w:val="en-US"/>
    </w:rPr>
  </w:style>
  <w:style w:type="character" w:customStyle="1" w:styleId="fins-underlined">
    <w:name w:val="fins-underlined"/>
    <w:basedOn w:val="DefaultParagraphFont"/>
    <w:rsid w:val="00C57C9F"/>
    <w:rPr>
      <w:u w:val="single"/>
    </w:rPr>
  </w:style>
  <w:style w:type="character" w:customStyle="1" w:styleId="colourss80">
    <w:name w:val="colourss8"/>
    <w:basedOn w:val="DefaultParagraphFont"/>
    <w:rsid w:val="006F421D"/>
    <w:rPr>
      <w:rFonts w:ascii="Arial" w:hAnsi="Arial"/>
      <w:color w:val="5F605F"/>
    </w:rPr>
  </w:style>
  <w:style w:type="character" w:customStyle="1" w:styleId="2body-italic0">
    <w:name w:val="2body-italic"/>
    <w:basedOn w:val="DefaultParagraphFont"/>
    <w:rsid w:val="006F421D"/>
    <w:rPr>
      <w:rFonts w:ascii="Arial" w:hAnsi="Arial"/>
      <w:i/>
    </w:rPr>
  </w:style>
  <w:style w:type="paragraph" w:customStyle="1" w:styleId="financials03table-header-r">
    <w:name w:val="financials_03_table-header-r"/>
    <w:basedOn w:val="Normal"/>
    <w:rsid w:val="006F421D"/>
    <w:pPr>
      <w:spacing w:before="100" w:beforeAutospacing="1" w:after="100" w:afterAutospacing="1"/>
    </w:pPr>
    <w:rPr>
      <w:b/>
      <w:bCs/>
      <w:color w:val="FFFFFF" w:themeColor="background1"/>
      <w:sz w:val="17"/>
      <w:szCs w:val="17"/>
    </w:rPr>
  </w:style>
  <w:style w:type="paragraph" w:customStyle="1" w:styleId="2bodyreferences-only">
    <w:name w:val="_2_body_references-only"/>
    <w:basedOn w:val="Normal"/>
    <w:rsid w:val="006F421D"/>
    <w:pPr>
      <w:spacing w:before="60" w:after="60"/>
    </w:pPr>
  </w:style>
  <w:style w:type="character" w:customStyle="1" w:styleId="Heading2Char">
    <w:name w:val="Heading 2 Char"/>
    <w:basedOn w:val="DefaultParagraphFont"/>
    <w:link w:val="Heading2"/>
    <w:uiPriority w:val="9"/>
    <w:rsid w:val="001456F6"/>
    <w:rPr>
      <w:rFonts w:asciiTheme="majorHAnsi" w:eastAsiaTheme="majorEastAsia" w:hAnsiTheme="majorHAnsi" w:cstheme="majorBidi"/>
      <w:b/>
      <w:bCs/>
      <w:color w:val="4F81BD" w:themeColor="accent1"/>
      <w:sz w:val="40"/>
      <w:szCs w:val="26"/>
    </w:rPr>
  </w:style>
  <w:style w:type="character" w:customStyle="1" w:styleId="Heading3Char">
    <w:name w:val="Heading 3 Char"/>
    <w:basedOn w:val="DefaultParagraphFont"/>
    <w:link w:val="Heading3"/>
    <w:uiPriority w:val="9"/>
    <w:rsid w:val="00F42888"/>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961623"/>
    <w:pPr>
      <w:keepNext/>
      <w:keepLines/>
      <w:pBdr>
        <w:bottom w:val="none" w:sz="0" w:space="0" w:color="auto"/>
      </w:pBdr>
      <w:spacing w:before="480" w:after="0" w:line="276" w:lineRule="auto"/>
      <w:contextualSpacing w:val="0"/>
      <w:outlineLvl w:val="9"/>
    </w:pPr>
    <w:rPr>
      <w:rFonts w:asciiTheme="majorHAnsi" w:eastAsiaTheme="majorEastAsia" w:hAnsiTheme="majorHAnsi" w:cstheme="majorBidi"/>
      <w:color w:val="365F91" w:themeColor="accent1" w:themeShade="BF"/>
      <w:kern w:val="0"/>
      <w:sz w:val="28"/>
      <w:szCs w:val="28"/>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558479">
      <w:marLeft w:val="0"/>
      <w:marRight w:val="0"/>
      <w:marTop w:val="0"/>
      <w:marBottom w:val="0"/>
      <w:divBdr>
        <w:top w:val="none" w:sz="0" w:space="0" w:color="auto"/>
        <w:left w:val="none" w:sz="0" w:space="0" w:color="auto"/>
        <w:bottom w:val="none" w:sz="0" w:space="0" w:color="auto"/>
        <w:right w:val="none" w:sz="0" w:space="0" w:color="auto"/>
      </w:divBdr>
    </w:div>
    <w:div w:id="153498564">
      <w:marLeft w:val="0"/>
      <w:marRight w:val="0"/>
      <w:marTop w:val="0"/>
      <w:marBottom w:val="0"/>
      <w:divBdr>
        <w:top w:val="none" w:sz="0" w:space="0" w:color="auto"/>
        <w:left w:val="none" w:sz="0" w:space="0" w:color="auto"/>
        <w:bottom w:val="none" w:sz="0" w:space="0" w:color="auto"/>
        <w:right w:val="none" w:sz="0" w:space="0" w:color="auto"/>
      </w:divBdr>
    </w:div>
    <w:div w:id="337776743">
      <w:marLeft w:val="0"/>
      <w:marRight w:val="0"/>
      <w:marTop w:val="0"/>
      <w:marBottom w:val="0"/>
      <w:divBdr>
        <w:top w:val="none" w:sz="0" w:space="0" w:color="auto"/>
        <w:left w:val="none" w:sz="0" w:space="0" w:color="auto"/>
        <w:bottom w:val="none" w:sz="0" w:space="0" w:color="auto"/>
        <w:right w:val="none" w:sz="0" w:space="0" w:color="auto"/>
      </w:divBdr>
      <w:divsChild>
        <w:div w:id="238952090">
          <w:marLeft w:val="0"/>
          <w:marRight w:val="0"/>
          <w:marTop w:val="0"/>
          <w:marBottom w:val="0"/>
          <w:divBdr>
            <w:top w:val="none" w:sz="0" w:space="0" w:color="auto"/>
            <w:left w:val="none" w:sz="0" w:space="0" w:color="auto"/>
            <w:bottom w:val="none" w:sz="0" w:space="0" w:color="auto"/>
            <w:right w:val="none" w:sz="0" w:space="0" w:color="auto"/>
          </w:divBdr>
        </w:div>
      </w:divsChild>
    </w:div>
    <w:div w:id="612711579">
      <w:marLeft w:val="0"/>
      <w:marRight w:val="0"/>
      <w:marTop w:val="0"/>
      <w:marBottom w:val="0"/>
      <w:divBdr>
        <w:top w:val="none" w:sz="0" w:space="0" w:color="auto"/>
        <w:left w:val="none" w:sz="0" w:space="0" w:color="auto"/>
        <w:bottom w:val="none" w:sz="0" w:space="0" w:color="auto"/>
        <w:right w:val="none" w:sz="0" w:space="0" w:color="auto"/>
      </w:divBdr>
    </w:div>
    <w:div w:id="748574957">
      <w:marLeft w:val="0"/>
      <w:marRight w:val="0"/>
      <w:marTop w:val="0"/>
      <w:marBottom w:val="0"/>
      <w:divBdr>
        <w:top w:val="none" w:sz="0" w:space="0" w:color="auto"/>
        <w:left w:val="none" w:sz="0" w:space="0" w:color="auto"/>
        <w:bottom w:val="none" w:sz="0" w:space="0" w:color="auto"/>
        <w:right w:val="none" w:sz="0" w:space="0" w:color="auto"/>
      </w:divBdr>
    </w:div>
    <w:div w:id="801848956">
      <w:marLeft w:val="0"/>
      <w:marRight w:val="0"/>
      <w:marTop w:val="0"/>
      <w:marBottom w:val="0"/>
      <w:divBdr>
        <w:top w:val="none" w:sz="0" w:space="0" w:color="auto"/>
        <w:left w:val="none" w:sz="0" w:space="0" w:color="auto"/>
        <w:bottom w:val="none" w:sz="0" w:space="0" w:color="auto"/>
        <w:right w:val="none" w:sz="0" w:space="0" w:color="auto"/>
      </w:divBdr>
    </w:div>
    <w:div w:id="841776838">
      <w:marLeft w:val="0"/>
      <w:marRight w:val="0"/>
      <w:marTop w:val="0"/>
      <w:marBottom w:val="0"/>
      <w:divBdr>
        <w:top w:val="none" w:sz="0" w:space="0" w:color="auto"/>
        <w:left w:val="none" w:sz="0" w:space="0" w:color="auto"/>
        <w:bottom w:val="none" w:sz="0" w:space="0" w:color="auto"/>
        <w:right w:val="none" w:sz="0" w:space="0" w:color="auto"/>
      </w:divBdr>
      <w:divsChild>
        <w:div w:id="912200059">
          <w:marLeft w:val="0"/>
          <w:marRight w:val="0"/>
          <w:marTop w:val="0"/>
          <w:marBottom w:val="0"/>
          <w:divBdr>
            <w:top w:val="none" w:sz="0" w:space="0" w:color="auto"/>
            <w:left w:val="none" w:sz="0" w:space="0" w:color="auto"/>
            <w:bottom w:val="none" w:sz="0" w:space="0" w:color="auto"/>
            <w:right w:val="none" w:sz="0" w:space="0" w:color="auto"/>
          </w:divBdr>
        </w:div>
      </w:divsChild>
    </w:div>
    <w:div w:id="983464770">
      <w:marLeft w:val="0"/>
      <w:marRight w:val="0"/>
      <w:marTop w:val="0"/>
      <w:marBottom w:val="0"/>
      <w:divBdr>
        <w:top w:val="none" w:sz="0" w:space="0" w:color="auto"/>
        <w:left w:val="none" w:sz="0" w:space="0" w:color="auto"/>
        <w:bottom w:val="none" w:sz="0" w:space="0" w:color="auto"/>
        <w:right w:val="none" w:sz="0" w:space="0" w:color="auto"/>
      </w:divBdr>
      <w:divsChild>
        <w:div w:id="1054694575">
          <w:marLeft w:val="0"/>
          <w:marRight w:val="0"/>
          <w:marTop w:val="0"/>
          <w:marBottom w:val="0"/>
          <w:divBdr>
            <w:top w:val="none" w:sz="0" w:space="0" w:color="auto"/>
            <w:left w:val="none" w:sz="0" w:space="0" w:color="auto"/>
            <w:bottom w:val="none" w:sz="0" w:space="0" w:color="auto"/>
            <w:right w:val="none" w:sz="0" w:space="0" w:color="auto"/>
          </w:divBdr>
        </w:div>
      </w:divsChild>
    </w:div>
    <w:div w:id="1049693308">
      <w:marLeft w:val="0"/>
      <w:marRight w:val="0"/>
      <w:marTop w:val="0"/>
      <w:marBottom w:val="0"/>
      <w:divBdr>
        <w:top w:val="none" w:sz="0" w:space="0" w:color="auto"/>
        <w:left w:val="none" w:sz="0" w:space="0" w:color="auto"/>
        <w:bottom w:val="none" w:sz="0" w:space="0" w:color="auto"/>
        <w:right w:val="none" w:sz="0" w:space="0" w:color="auto"/>
      </w:divBdr>
    </w:div>
    <w:div w:id="1126236401">
      <w:marLeft w:val="0"/>
      <w:marRight w:val="0"/>
      <w:marTop w:val="0"/>
      <w:marBottom w:val="0"/>
      <w:divBdr>
        <w:top w:val="none" w:sz="0" w:space="0" w:color="auto"/>
        <w:left w:val="none" w:sz="0" w:space="0" w:color="auto"/>
        <w:bottom w:val="none" w:sz="0" w:space="0" w:color="auto"/>
        <w:right w:val="none" w:sz="0" w:space="0" w:color="auto"/>
      </w:divBdr>
    </w:div>
    <w:div w:id="1139883726">
      <w:marLeft w:val="0"/>
      <w:marRight w:val="0"/>
      <w:marTop w:val="0"/>
      <w:marBottom w:val="0"/>
      <w:divBdr>
        <w:top w:val="none" w:sz="0" w:space="0" w:color="auto"/>
        <w:left w:val="none" w:sz="0" w:space="0" w:color="auto"/>
        <w:bottom w:val="none" w:sz="0" w:space="0" w:color="auto"/>
        <w:right w:val="none" w:sz="0" w:space="0" w:color="auto"/>
      </w:divBdr>
    </w:div>
    <w:div w:id="1204950834">
      <w:marLeft w:val="0"/>
      <w:marRight w:val="0"/>
      <w:marTop w:val="0"/>
      <w:marBottom w:val="0"/>
      <w:divBdr>
        <w:top w:val="none" w:sz="0" w:space="0" w:color="auto"/>
        <w:left w:val="none" w:sz="0" w:space="0" w:color="auto"/>
        <w:bottom w:val="none" w:sz="0" w:space="0" w:color="auto"/>
        <w:right w:val="none" w:sz="0" w:space="0" w:color="auto"/>
      </w:divBdr>
    </w:div>
    <w:div w:id="1233584718">
      <w:marLeft w:val="0"/>
      <w:marRight w:val="0"/>
      <w:marTop w:val="0"/>
      <w:marBottom w:val="0"/>
      <w:divBdr>
        <w:top w:val="none" w:sz="0" w:space="0" w:color="auto"/>
        <w:left w:val="none" w:sz="0" w:space="0" w:color="auto"/>
        <w:bottom w:val="none" w:sz="0" w:space="0" w:color="auto"/>
        <w:right w:val="none" w:sz="0" w:space="0" w:color="auto"/>
      </w:divBdr>
    </w:div>
    <w:div w:id="1262954456">
      <w:marLeft w:val="0"/>
      <w:marRight w:val="0"/>
      <w:marTop w:val="0"/>
      <w:marBottom w:val="0"/>
      <w:divBdr>
        <w:top w:val="none" w:sz="0" w:space="0" w:color="auto"/>
        <w:left w:val="none" w:sz="0" w:space="0" w:color="auto"/>
        <w:bottom w:val="none" w:sz="0" w:space="0" w:color="auto"/>
        <w:right w:val="none" w:sz="0" w:space="0" w:color="auto"/>
      </w:divBdr>
      <w:divsChild>
        <w:div w:id="64838044">
          <w:marLeft w:val="0"/>
          <w:marRight w:val="0"/>
          <w:marTop w:val="0"/>
          <w:marBottom w:val="0"/>
          <w:divBdr>
            <w:top w:val="none" w:sz="0" w:space="0" w:color="auto"/>
            <w:left w:val="none" w:sz="0" w:space="0" w:color="auto"/>
            <w:bottom w:val="dotted" w:sz="12" w:space="1" w:color="5F605F"/>
            <w:right w:val="none" w:sz="0" w:space="0" w:color="auto"/>
          </w:divBdr>
        </w:div>
      </w:divsChild>
    </w:div>
    <w:div w:id="1311597601">
      <w:marLeft w:val="0"/>
      <w:marRight w:val="0"/>
      <w:marTop w:val="0"/>
      <w:marBottom w:val="0"/>
      <w:divBdr>
        <w:top w:val="none" w:sz="0" w:space="0" w:color="auto"/>
        <w:left w:val="none" w:sz="0" w:space="0" w:color="auto"/>
        <w:bottom w:val="none" w:sz="0" w:space="0" w:color="auto"/>
        <w:right w:val="none" w:sz="0" w:space="0" w:color="auto"/>
      </w:divBdr>
    </w:div>
    <w:div w:id="1450737271">
      <w:marLeft w:val="0"/>
      <w:marRight w:val="0"/>
      <w:marTop w:val="0"/>
      <w:marBottom w:val="0"/>
      <w:divBdr>
        <w:top w:val="none" w:sz="0" w:space="0" w:color="auto"/>
        <w:left w:val="none" w:sz="0" w:space="0" w:color="auto"/>
        <w:bottom w:val="none" w:sz="0" w:space="0" w:color="auto"/>
        <w:right w:val="none" w:sz="0" w:space="0" w:color="auto"/>
      </w:divBdr>
    </w:div>
    <w:div w:id="1537153696">
      <w:marLeft w:val="0"/>
      <w:marRight w:val="0"/>
      <w:marTop w:val="0"/>
      <w:marBottom w:val="0"/>
      <w:divBdr>
        <w:top w:val="none" w:sz="0" w:space="0" w:color="auto"/>
        <w:left w:val="none" w:sz="0" w:space="0" w:color="auto"/>
        <w:bottom w:val="none" w:sz="0" w:space="0" w:color="auto"/>
        <w:right w:val="none" w:sz="0" w:space="0" w:color="auto"/>
      </w:divBdr>
    </w:div>
    <w:div w:id="1578898845">
      <w:marLeft w:val="0"/>
      <w:marRight w:val="0"/>
      <w:marTop w:val="0"/>
      <w:marBottom w:val="0"/>
      <w:divBdr>
        <w:top w:val="none" w:sz="0" w:space="0" w:color="auto"/>
        <w:left w:val="none" w:sz="0" w:space="0" w:color="auto"/>
        <w:bottom w:val="none" w:sz="0" w:space="0" w:color="auto"/>
        <w:right w:val="none" w:sz="0" w:space="0" w:color="auto"/>
      </w:divBdr>
      <w:divsChild>
        <w:div w:id="213275106">
          <w:marLeft w:val="0"/>
          <w:marRight w:val="0"/>
          <w:marTop w:val="0"/>
          <w:marBottom w:val="0"/>
          <w:divBdr>
            <w:top w:val="none" w:sz="0" w:space="0" w:color="auto"/>
            <w:left w:val="none" w:sz="0" w:space="0" w:color="auto"/>
            <w:bottom w:val="none" w:sz="0" w:space="0" w:color="auto"/>
            <w:right w:val="none" w:sz="0" w:space="0" w:color="auto"/>
          </w:divBdr>
        </w:div>
      </w:divsChild>
    </w:div>
    <w:div w:id="1614826056">
      <w:marLeft w:val="0"/>
      <w:marRight w:val="0"/>
      <w:marTop w:val="0"/>
      <w:marBottom w:val="0"/>
      <w:divBdr>
        <w:top w:val="none" w:sz="0" w:space="0" w:color="auto"/>
        <w:left w:val="none" w:sz="0" w:space="0" w:color="auto"/>
        <w:bottom w:val="none" w:sz="0" w:space="0" w:color="auto"/>
        <w:right w:val="none" w:sz="0" w:space="0" w:color="auto"/>
      </w:divBdr>
    </w:div>
    <w:div w:id="1675300298">
      <w:marLeft w:val="0"/>
      <w:marRight w:val="0"/>
      <w:marTop w:val="0"/>
      <w:marBottom w:val="0"/>
      <w:divBdr>
        <w:top w:val="none" w:sz="0" w:space="0" w:color="auto"/>
        <w:left w:val="none" w:sz="0" w:space="0" w:color="auto"/>
        <w:bottom w:val="none" w:sz="0" w:space="0" w:color="auto"/>
        <w:right w:val="none" w:sz="0" w:space="0" w:color="auto"/>
      </w:divBdr>
    </w:div>
    <w:div w:id="1983194682">
      <w:bodyDiv w:val="1"/>
      <w:marLeft w:val="0"/>
      <w:marRight w:val="0"/>
      <w:marTop w:val="0"/>
      <w:marBottom w:val="0"/>
      <w:divBdr>
        <w:top w:val="none" w:sz="0" w:space="0" w:color="auto"/>
        <w:left w:val="none" w:sz="0" w:space="0" w:color="auto"/>
        <w:bottom w:val="none" w:sz="0" w:space="0" w:color="auto"/>
        <w:right w:val="none" w:sz="0" w:space="0" w:color="auto"/>
      </w:divBdr>
      <w:divsChild>
        <w:div w:id="969093232">
          <w:marLeft w:val="0"/>
          <w:marRight w:val="0"/>
          <w:marTop w:val="0"/>
          <w:marBottom w:val="0"/>
          <w:divBdr>
            <w:top w:val="none" w:sz="0" w:space="0" w:color="auto"/>
            <w:left w:val="none" w:sz="0" w:space="0" w:color="auto"/>
            <w:bottom w:val="none" w:sz="0" w:space="0" w:color="auto"/>
            <w:right w:val="none" w:sz="0" w:space="0" w:color="auto"/>
          </w:divBdr>
        </w:div>
        <w:div w:id="1159344124">
          <w:marLeft w:val="0"/>
          <w:marRight w:val="0"/>
          <w:marTop w:val="0"/>
          <w:marBottom w:val="0"/>
          <w:divBdr>
            <w:top w:val="none" w:sz="0" w:space="0" w:color="auto"/>
            <w:left w:val="none" w:sz="0" w:space="0" w:color="auto"/>
            <w:bottom w:val="none" w:sz="0" w:space="0" w:color="auto"/>
            <w:right w:val="none" w:sz="0" w:space="0" w:color="auto"/>
          </w:divBdr>
        </w:div>
      </w:divsChild>
    </w:div>
    <w:div w:id="2075661312">
      <w:marLeft w:val="0"/>
      <w:marRight w:val="0"/>
      <w:marTop w:val="0"/>
      <w:marBottom w:val="0"/>
      <w:divBdr>
        <w:top w:val="none" w:sz="0" w:space="0" w:color="auto"/>
        <w:left w:val="none" w:sz="0" w:space="0" w:color="auto"/>
        <w:bottom w:val="none" w:sz="0" w:space="0" w:color="auto"/>
        <w:right w:val="none" w:sz="0" w:space="0" w:color="auto"/>
      </w:divBdr>
    </w:div>
    <w:div w:id="2142334130">
      <w:marLeft w:val="0"/>
      <w:marRight w:val="0"/>
      <w:marTop w:val="0"/>
      <w:marBottom w:val="0"/>
      <w:divBdr>
        <w:top w:val="none" w:sz="0" w:space="0" w:color="auto"/>
        <w:left w:val="none" w:sz="0" w:space="0" w:color="auto"/>
        <w:bottom w:val="none" w:sz="0" w:space="0" w:color="auto"/>
        <w:right w:val="none" w:sz="0" w:space="0" w:color="auto"/>
      </w:divBdr>
      <w:divsChild>
        <w:div w:id="1565414970">
          <w:marLeft w:val="0"/>
          <w:marRight w:val="0"/>
          <w:marTop w:val="0"/>
          <w:marBottom w:val="0"/>
          <w:divBdr>
            <w:top w:val="none" w:sz="0" w:space="0" w:color="auto"/>
            <w:left w:val="none" w:sz="0" w:space="0" w:color="auto"/>
            <w:bottom w:val="dotted" w:sz="12" w:space="1" w:color="5F605F"/>
            <w:right w:val="none" w:sz="0" w:space="0" w:color="auto"/>
          </w:divBdr>
        </w:div>
        <w:div w:id="27075341">
          <w:marLeft w:val="0"/>
          <w:marRight w:val="0"/>
          <w:marTop w:val="0"/>
          <w:marBottom w:val="0"/>
          <w:divBdr>
            <w:top w:val="none" w:sz="0" w:space="0" w:color="auto"/>
            <w:left w:val="none" w:sz="0" w:space="0" w:color="auto"/>
            <w:bottom w:val="dotted" w:sz="12" w:space="1" w:color="5F605F"/>
            <w:right w:val="none" w:sz="0" w:space="0" w:color="auto"/>
          </w:divBdr>
        </w:div>
        <w:div w:id="1174342577">
          <w:marLeft w:val="0"/>
          <w:marRight w:val="0"/>
          <w:marTop w:val="0"/>
          <w:marBottom w:val="0"/>
          <w:divBdr>
            <w:top w:val="none" w:sz="0" w:space="0" w:color="auto"/>
            <w:left w:val="none" w:sz="0" w:space="0" w:color="auto"/>
            <w:bottom w:val="dotted" w:sz="12" w:space="1" w:color="5F605F"/>
            <w:right w:val="none" w:sz="0" w:space="0" w:color="auto"/>
          </w:divBdr>
        </w:div>
        <w:div w:id="673190712">
          <w:marLeft w:val="0"/>
          <w:marRight w:val="0"/>
          <w:marTop w:val="0"/>
          <w:marBottom w:val="0"/>
          <w:divBdr>
            <w:top w:val="none" w:sz="0" w:space="0" w:color="auto"/>
            <w:left w:val="none" w:sz="0" w:space="0" w:color="auto"/>
            <w:bottom w:val="dotted" w:sz="12" w:space="1" w:color="5F605F"/>
            <w:right w:val="none" w:sz="0" w:space="0" w:color="auto"/>
          </w:divBdr>
        </w:div>
        <w:div w:id="740950536">
          <w:marLeft w:val="0"/>
          <w:marRight w:val="0"/>
          <w:marTop w:val="0"/>
          <w:marBottom w:val="0"/>
          <w:divBdr>
            <w:top w:val="none" w:sz="0" w:space="0" w:color="auto"/>
            <w:left w:val="none" w:sz="0" w:space="0" w:color="auto"/>
            <w:bottom w:val="dotted" w:sz="12" w:space="1" w:color="5F605F"/>
            <w:right w:val="none" w:sz="0" w:space="0" w:color="auto"/>
          </w:divBdr>
        </w:div>
      </w:divsChild>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903157-1276-4AE0-95F2-C2810BA4F1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141</Pages>
  <Words>39659</Words>
  <Characters>238809</Characters>
  <Application>Microsoft Office Word</Application>
  <DocSecurity>0</DocSecurity>
  <Lines>1990</Lines>
  <Paragraphs>555</Paragraphs>
  <ScaleCrop>false</ScaleCrop>
  <HeadingPairs>
    <vt:vector size="2" baseType="variant">
      <vt:variant>
        <vt:lpstr>Title</vt:lpstr>
      </vt:variant>
      <vt:variant>
        <vt:i4>1</vt:i4>
      </vt:variant>
    </vt:vector>
  </HeadingPairs>
  <TitlesOfParts>
    <vt:vector size="1" baseType="lpstr">
      <vt:lpstr>Untitled-1</vt:lpstr>
    </vt:vector>
  </TitlesOfParts>
  <Company>gd</Company>
  <LinksUpToDate>false</LinksUpToDate>
  <CharactersWithSpaces>277913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Untitled-1</dc:title>
  <dc:creator>goga dolic</dc:creator>
  <cp:lastModifiedBy>Keane Kym</cp:lastModifiedBy>
  <cp:revision>10</cp:revision>
  <dcterms:created xsi:type="dcterms:W3CDTF">2015-03-12T23:48:00Z</dcterms:created>
  <dcterms:modified xsi:type="dcterms:W3CDTF">2015-03-13T04:17:00Z</dcterms:modified>
</cp:coreProperties>
</file>