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15.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16.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17.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61.xml" ContentType="application/vnd.openxmlformats-officedocument.wordprocessingml.header+xml"/>
  <Override PartName="/word/footer22.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66.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529EA2" w14:textId="77777777" w:rsidR="00AD0CFF" w:rsidRDefault="00AD0CFF">
      <w:r>
        <w:br w:type="page"/>
      </w:r>
    </w:p>
    <w:p w14:paraId="1E9C6726" w14:textId="77777777" w:rsidR="00B744F1" w:rsidRDefault="00B744F1" w:rsidP="00B744F1">
      <w:pPr>
        <w:pStyle w:val="Disclaimer"/>
        <w:spacing w:before="1200"/>
        <w:ind w:right="1230"/>
      </w:pPr>
    </w:p>
    <w:p w14:paraId="712DDC6B" w14:textId="77777777" w:rsidR="001A2157" w:rsidRDefault="001A2157" w:rsidP="00547042">
      <w:pPr>
        <w:pStyle w:val="Disclaimer"/>
        <w:spacing w:before="3000"/>
        <w:ind w:right="1230"/>
      </w:pPr>
      <w:r>
        <w:t>Published by the Australian Commission on Safety and Quality in Health Care</w:t>
      </w:r>
      <w:r w:rsidR="00B744F1">
        <w:br/>
      </w:r>
      <w:r>
        <w:t>Level 5, 255 Elizabeth Street, Sydney NSW 2000</w:t>
      </w:r>
    </w:p>
    <w:p w14:paraId="076DD6E2" w14:textId="77777777" w:rsidR="001A2157" w:rsidRDefault="001A2157" w:rsidP="00B744F1">
      <w:pPr>
        <w:pStyle w:val="Disclaimer"/>
        <w:ind w:right="1229"/>
      </w:pPr>
      <w:r>
        <w:t>Phone: (02) 9126 3600</w:t>
      </w:r>
      <w:r w:rsidR="00B744F1">
        <w:br/>
      </w:r>
      <w:r>
        <w:t>Fax: (02) 9126 3613</w:t>
      </w:r>
    </w:p>
    <w:p w14:paraId="1BD93FB2" w14:textId="77777777" w:rsidR="001A2157" w:rsidRDefault="001A2157" w:rsidP="00B744F1">
      <w:pPr>
        <w:pStyle w:val="Disclaimer"/>
        <w:ind w:right="1229"/>
      </w:pPr>
      <w:r>
        <w:t xml:space="preserve">Email: mail@safetyandquality.gov.au </w:t>
      </w:r>
      <w:r w:rsidR="00B744F1">
        <w:br/>
      </w:r>
      <w:r>
        <w:t xml:space="preserve">Website: www.safetyandquality.gov.au </w:t>
      </w:r>
    </w:p>
    <w:p w14:paraId="786D4DDA" w14:textId="77777777" w:rsidR="001A2157" w:rsidRDefault="001A2157" w:rsidP="00B744F1">
      <w:pPr>
        <w:pStyle w:val="Disclaimer"/>
        <w:ind w:right="1229"/>
      </w:pPr>
      <w:r>
        <w:t>ISSN (print): 2200-3126</w:t>
      </w:r>
      <w:r w:rsidR="00B744F1">
        <w:br/>
      </w:r>
      <w:r>
        <w:t>ISSN (online): 2200-7777</w:t>
      </w:r>
    </w:p>
    <w:p w14:paraId="14509B42" w14:textId="77777777" w:rsidR="001A2157" w:rsidRDefault="001A2157" w:rsidP="00B744F1">
      <w:pPr>
        <w:pStyle w:val="Disclaimer"/>
        <w:ind w:right="1229"/>
      </w:pPr>
      <w:r>
        <w:t>© Australian Commission on Safety and Quality in Health Care 2017</w:t>
      </w:r>
    </w:p>
    <w:p w14:paraId="7360FE94" w14:textId="77777777" w:rsidR="001A2157" w:rsidRDefault="001A2157" w:rsidP="00B744F1">
      <w:pPr>
        <w:pStyle w:val="Disclaimer"/>
        <w:ind w:right="1229"/>
      </w:pPr>
      <w:r>
        <w:t xml:space="preserve">All material and work produced by the Australian Commission on Safety and Quality in Health Care is protected by copyright. The Commission reserves the right to set out the terms and conditions for the use of such material. </w:t>
      </w:r>
    </w:p>
    <w:p w14:paraId="6B13582B" w14:textId="77777777" w:rsidR="001A2157" w:rsidRDefault="001A2157" w:rsidP="00B744F1">
      <w:pPr>
        <w:pStyle w:val="Disclaimer"/>
        <w:ind w:right="1229"/>
      </w:pPr>
      <w:r>
        <w:t>As far as practicable, material for which the copyright is owned by a third party will be clearly labelled. The Australian Commission on Safety and Quality in Health Care has made all reasonable efforts to ensure that this material has been reproduced in this publication with the full consent of the copyright owners.</w:t>
      </w:r>
    </w:p>
    <w:p w14:paraId="602A52BE" w14:textId="77777777" w:rsidR="001A2157" w:rsidRDefault="001A2157" w:rsidP="00B744F1">
      <w:pPr>
        <w:pStyle w:val="Disclaimer"/>
        <w:ind w:right="1229"/>
      </w:pPr>
      <w:r>
        <w:t xml:space="preserve">With the exception of any material protected by a trademark, any content provided by third parties, and where otherwise noted, all material presented in this publication is licensed under a </w:t>
      </w:r>
      <w:r w:rsidRPr="00352008">
        <w:rPr>
          <w:b/>
        </w:rPr>
        <w:t>Creative Commons Attribution-NonCommercial-NoDerivatives 4.0 International Licence</w:t>
      </w:r>
      <w:r>
        <w:t>.</w:t>
      </w:r>
    </w:p>
    <w:p w14:paraId="52B53D3B" w14:textId="77777777" w:rsidR="001A2157" w:rsidRDefault="00B744F1" w:rsidP="00B744F1">
      <w:pPr>
        <w:pStyle w:val="Disclaimer"/>
        <w:ind w:right="1229"/>
      </w:pPr>
      <w:r>
        <w:rPr>
          <w:noProof/>
          <w:lang w:val="en-AU" w:eastAsia="en-AU"/>
        </w:rPr>
        <w:drawing>
          <wp:inline distT="0" distB="0" distL="0" distR="0" wp14:anchorId="0051DAA1" wp14:editId="5F3D08E2">
            <wp:extent cx="835152" cy="292608"/>
            <wp:effectExtent l="0" t="0" r="3175" b="0"/>
            <wp:docPr id="21" name="Picture 21" title="Copyrigh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pyright symbo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5152" cy="292608"/>
                    </a:xfrm>
                    <a:prstGeom prst="rect">
                      <a:avLst/>
                    </a:prstGeom>
                  </pic:spPr>
                </pic:pic>
              </a:graphicData>
            </a:graphic>
          </wp:inline>
        </w:drawing>
      </w:r>
    </w:p>
    <w:p w14:paraId="0DFAE417" w14:textId="77777777" w:rsidR="001A2157" w:rsidRDefault="001A2157" w:rsidP="00B744F1">
      <w:pPr>
        <w:pStyle w:val="Disclaimer"/>
        <w:ind w:right="1229"/>
      </w:pPr>
      <w:r>
        <w:t>Enquiries regarding the licence and any use of this publication are welcome and can be sent to communications@safetyandquality.gov.au.</w:t>
      </w:r>
    </w:p>
    <w:p w14:paraId="6D0D1028" w14:textId="77777777" w:rsidR="001A2157" w:rsidRDefault="001A2157" w:rsidP="00B744F1">
      <w:pPr>
        <w:pStyle w:val="Disclaimer"/>
        <w:ind w:right="1229"/>
      </w:pPr>
      <w:r>
        <w:t xml:space="preserve">The Commission’s preference is that you attribute this publication (and any material sourced from it) using the following citation: </w:t>
      </w:r>
    </w:p>
    <w:p w14:paraId="2931CB83" w14:textId="77777777" w:rsidR="001A2157" w:rsidRDefault="001A2157" w:rsidP="00B744F1">
      <w:pPr>
        <w:pStyle w:val="Disclaimer"/>
        <w:ind w:left="284" w:right="1230"/>
      </w:pPr>
      <w:r>
        <w:t>Australian Commission on Safety and Quality in Health Care. Annual Report 2016–17. Sydney: ACSQHC; 2017</w:t>
      </w:r>
    </w:p>
    <w:p w14:paraId="76593987" w14:textId="77777777" w:rsidR="001A2157" w:rsidRPr="00B744F1" w:rsidRDefault="001A2157" w:rsidP="00B744F1">
      <w:pPr>
        <w:pStyle w:val="Disclaimer"/>
        <w:spacing w:after="57"/>
        <w:ind w:right="1230"/>
        <w:rPr>
          <w:rStyle w:val="Strong"/>
        </w:rPr>
      </w:pPr>
      <w:r w:rsidRPr="00B744F1">
        <w:rPr>
          <w:rStyle w:val="Strong"/>
        </w:rPr>
        <w:t>Disclaimer</w:t>
      </w:r>
    </w:p>
    <w:p w14:paraId="5800E12F" w14:textId="77777777" w:rsidR="001A2157" w:rsidRDefault="001A2157" w:rsidP="00B744F1">
      <w:pPr>
        <w:pStyle w:val="Disclaimer"/>
        <w:ind w:right="1229"/>
      </w:pPr>
      <w:r>
        <w:t xml:space="preserve">The content of this document is published in good faith by the Australian Commission on Safety and Quality in Health Care for information purposes. The document is not intended to provide guidance on particular healthcare choices. You should contact your healthcare provider on particular healthcare choices. </w:t>
      </w:r>
    </w:p>
    <w:p w14:paraId="34CBACB4" w14:textId="77777777" w:rsidR="001A2157" w:rsidRDefault="001A2157" w:rsidP="00B744F1">
      <w:pPr>
        <w:pStyle w:val="Disclaimer"/>
        <w:ind w:right="1229"/>
      </w:pPr>
      <w:r>
        <w:t>The Commission does not accept any legal liability for any injury, loss or damage incurred by the use of, or reliance on, this document.</w:t>
      </w:r>
    </w:p>
    <w:p w14:paraId="04AD4D10" w14:textId="77777777" w:rsidR="00AA7EB3" w:rsidRDefault="00AD0CFF" w:rsidP="00A01217">
      <w:pPr>
        <w:pStyle w:val="Heading1"/>
      </w:pPr>
      <w:r w:rsidRPr="00AD0CFF">
        <w:lastRenderedPageBreak/>
        <w:t>Letter of transmittal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F0EE" w:themeFill="accent4"/>
        <w:tblCellMar>
          <w:top w:w="397" w:type="dxa"/>
          <w:left w:w="284" w:type="dxa"/>
          <w:bottom w:w="340" w:type="dxa"/>
          <w:right w:w="454" w:type="dxa"/>
        </w:tblCellMar>
        <w:tblLook w:val="04A0" w:firstRow="1" w:lastRow="0" w:firstColumn="1" w:lastColumn="0" w:noHBand="0" w:noVBand="1"/>
        <w:tblCaption w:val="Letter of transmittal"/>
      </w:tblPr>
      <w:tblGrid>
        <w:gridCol w:w="9016"/>
      </w:tblGrid>
      <w:tr w:rsidR="00A01217" w14:paraId="798F066B" w14:textId="77777777" w:rsidTr="00F22104">
        <w:trPr>
          <w:trHeight w:val="9638"/>
        </w:trPr>
        <w:tc>
          <w:tcPr>
            <w:tcW w:w="5000" w:type="pct"/>
            <w:shd w:val="clear" w:color="auto" w:fill="F1F0EE" w:themeFill="accent4"/>
          </w:tcPr>
          <w:p w14:paraId="0771FFDC" w14:textId="77777777" w:rsidR="00A01217" w:rsidRDefault="00A01217" w:rsidP="00F22104">
            <w:pPr>
              <w:spacing w:after="360"/>
            </w:pPr>
            <w:r>
              <w:rPr>
                <w:noProof/>
                <w:lang w:val="en-AU" w:eastAsia="en-AU"/>
              </w:rPr>
              <w:drawing>
                <wp:inline distT="0" distB="0" distL="0" distR="0" wp14:anchorId="438AC15C" wp14:editId="3D28C6EE">
                  <wp:extent cx="3041901" cy="341376"/>
                  <wp:effectExtent l="0" t="0" r="6350" b="1905"/>
                  <wp:docPr id="23" name="Picture 2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1901" cy="341376"/>
                          </a:xfrm>
                          <a:prstGeom prst="rect">
                            <a:avLst/>
                          </a:prstGeom>
                        </pic:spPr>
                      </pic:pic>
                    </a:graphicData>
                  </a:graphic>
                </wp:inline>
              </w:drawing>
            </w:r>
          </w:p>
          <w:p w14:paraId="3B71525F" w14:textId="77777777" w:rsidR="00A01217" w:rsidRDefault="00A01217" w:rsidP="00A01217">
            <w:pPr>
              <w:pStyle w:val="Lettertext"/>
            </w:pPr>
            <w:r w:rsidRPr="009B6DAF">
              <w:rPr>
                <w:rStyle w:val="Strong"/>
              </w:rPr>
              <w:t xml:space="preserve">The Honourable Greg Hunt </w:t>
            </w:r>
            <w:r w:rsidR="009B6DAF" w:rsidRPr="006024E9">
              <w:rPr>
                <w:rStyle w:val="Strong"/>
                <w:sz w:val="13"/>
              </w:rPr>
              <w:t>MP</w:t>
            </w:r>
            <w:r w:rsidRPr="006024E9">
              <w:rPr>
                <w:rStyle w:val="Strong"/>
                <w:sz w:val="13"/>
              </w:rPr>
              <w:t xml:space="preserve"> </w:t>
            </w:r>
            <w:r w:rsidR="009B6DAF" w:rsidRPr="009B6DAF">
              <w:rPr>
                <w:rStyle w:val="Strong"/>
              </w:rPr>
              <w:br/>
            </w:r>
            <w:r w:rsidRPr="009B6DAF">
              <w:rPr>
                <w:rStyle w:val="Strong"/>
              </w:rPr>
              <w:t>Minister for Health</w:t>
            </w:r>
            <w:r w:rsidR="009B6DAF">
              <w:br/>
            </w:r>
            <w:r>
              <w:t xml:space="preserve">Parliament House </w:t>
            </w:r>
            <w:r w:rsidR="009B6DAF">
              <w:br/>
            </w:r>
            <w:r>
              <w:t>Canberra ACT 2600</w:t>
            </w:r>
          </w:p>
          <w:p w14:paraId="0571C9E0" w14:textId="77777777" w:rsidR="00A01217" w:rsidRDefault="00A01217" w:rsidP="00A01217">
            <w:pPr>
              <w:pStyle w:val="Lettertext"/>
            </w:pPr>
            <w:r>
              <w:t>Dear Minister</w:t>
            </w:r>
          </w:p>
          <w:p w14:paraId="795A5529" w14:textId="77777777" w:rsidR="00A01217" w:rsidRDefault="00A01217" w:rsidP="009B6DAF">
            <w:pPr>
              <w:pStyle w:val="Lettertext"/>
              <w:ind w:right="483"/>
            </w:pPr>
            <w:r>
              <w:t>On behalf of the Board of the Australian Commission on Safety and Quality in Health Care (the Commission), I am pleased to submit our Annual Report f</w:t>
            </w:r>
            <w:r w:rsidR="009B6DAF">
              <w:t>or the financial year ending 30 </w:t>
            </w:r>
            <w:r>
              <w:t>June</w:t>
            </w:r>
            <w:proofErr w:type="gramStart"/>
            <w:r w:rsidR="009B6DAF">
              <w:t> </w:t>
            </w:r>
            <w:r>
              <w:t xml:space="preserve"> 2017</w:t>
            </w:r>
            <w:proofErr w:type="gramEnd"/>
            <w:r>
              <w:t>.</w:t>
            </w:r>
          </w:p>
          <w:p w14:paraId="19820E57" w14:textId="77777777" w:rsidR="00A01217" w:rsidRDefault="00A01217" w:rsidP="009B6DAF">
            <w:pPr>
              <w:pStyle w:val="Lettertext"/>
              <w:ind w:right="483"/>
            </w:pPr>
            <w:r>
              <w:t xml:space="preserve">This report was prepared in accordance with the requirements of the </w:t>
            </w:r>
            <w:r w:rsidRPr="009B6DAF">
              <w:rPr>
                <w:rStyle w:val="Emphasis"/>
              </w:rPr>
              <w:t>National Health Reform Act 2011</w:t>
            </w:r>
            <w:r>
              <w:t xml:space="preserve"> and section 46 of the </w:t>
            </w:r>
            <w:r w:rsidRPr="009B6DAF">
              <w:rPr>
                <w:rStyle w:val="Emphasis"/>
              </w:rPr>
              <w:t>Public Governance, Performance and Accountability Act 2013.</w:t>
            </w:r>
          </w:p>
          <w:p w14:paraId="2D6CF09B" w14:textId="77777777" w:rsidR="00A01217" w:rsidRDefault="00A01217" w:rsidP="009B6DAF">
            <w:pPr>
              <w:pStyle w:val="Lettertext"/>
              <w:ind w:right="483"/>
            </w:pPr>
            <w:r>
              <w:t xml:space="preserve">The report includes the Commission’s audited financial statements, as required by section 42 of the Public Governance, Performance </w:t>
            </w:r>
            <w:r w:rsidRPr="00C36598">
              <w:rPr>
                <w:sz w:val="18"/>
              </w:rPr>
              <w:t>and</w:t>
            </w:r>
            <w:r>
              <w:t xml:space="preserve"> Accountability Act.</w:t>
            </w:r>
          </w:p>
          <w:p w14:paraId="47572B59" w14:textId="77777777" w:rsidR="00A01217" w:rsidRDefault="00A01217" w:rsidP="009B6DAF">
            <w:pPr>
              <w:pStyle w:val="Lettertext"/>
              <w:ind w:right="483"/>
            </w:pPr>
            <w:r>
              <w:t>The Commission’s annual performance statements were prepared in accordance with the requirements of section 39 of the Public Governance, Performance Accountability Act and accurately present the Commission’s performance from 1 July 2016 to 30 June 2017.</w:t>
            </w:r>
          </w:p>
          <w:p w14:paraId="7626C248" w14:textId="77777777" w:rsidR="00A01217" w:rsidRDefault="00A01217" w:rsidP="009B6DAF">
            <w:pPr>
              <w:pStyle w:val="Lettertext"/>
              <w:spacing w:after="85"/>
              <w:ind w:right="482"/>
            </w:pPr>
            <w:r>
              <w:t>As required by section 10 of the Public Governance, Performance and Accountability Rule 2014, I certify on behalf of the Board that:</w:t>
            </w:r>
          </w:p>
          <w:p w14:paraId="47F832E6" w14:textId="77777777" w:rsidR="00A01217" w:rsidRPr="009B6DAF" w:rsidRDefault="00A01217" w:rsidP="009B6DAF">
            <w:pPr>
              <w:pStyle w:val="Lettertextbullets"/>
            </w:pPr>
            <w:r w:rsidRPr="009B6DAF">
              <w:t>The Commission has prepared fraud risk assessments and fraud control plans</w:t>
            </w:r>
          </w:p>
          <w:p w14:paraId="17C58D61" w14:textId="77777777" w:rsidR="00A01217" w:rsidRPr="009B6DAF" w:rsidRDefault="00A01217" w:rsidP="009B6DAF">
            <w:pPr>
              <w:pStyle w:val="Lettertextbullets"/>
            </w:pPr>
            <w:r w:rsidRPr="009B6DAF">
              <w:t>The Commission has in place appropriate fraud control mechanisms that meet its specific needs</w:t>
            </w:r>
          </w:p>
          <w:p w14:paraId="10CD8454" w14:textId="77777777" w:rsidR="00A01217" w:rsidRPr="009B6DAF" w:rsidRDefault="00A01217" w:rsidP="009B6DAF">
            <w:pPr>
              <w:pStyle w:val="Lettertextbullets"/>
              <w:spacing w:after="113"/>
            </w:pPr>
            <w:r w:rsidRPr="009B6DAF">
              <w:t>All reasonable measures have been taken to deal appropriately with fraud relating to the Commission.</w:t>
            </w:r>
          </w:p>
          <w:p w14:paraId="375A45EF" w14:textId="77777777" w:rsidR="00A01217" w:rsidRDefault="00A01217" w:rsidP="009B6DAF">
            <w:pPr>
              <w:pStyle w:val="Lettertext"/>
              <w:ind w:right="483"/>
            </w:pPr>
            <w:r>
              <w:t>This report was approved for presentation to you in accordance with a resolution of the Board on</w:t>
            </w:r>
            <w:r w:rsidR="009B6DAF">
              <w:t> </w:t>
            </w:r>
            <w:r>
              <w:t>13</w:t>
            </w:r>
            <w:r w:rsidR="009B6DAF">
              <w:t> </w:t>
            </w:r>
            <w:r>
              <w:t>September 2017.</w:t>
            </w:r>
          </w:p>
          <w:p w14:paraId="1D39BD3D" w14:textId="77777777" w:rsidR="00A01217" w:rsidRDefault="00A01217" w:rsidP="009B6DAF">
            <w:pPr>
              <w:pStyle w:val="Lettertext"/>
              <w:ind w:right="483"/>
            </w:pPr>
            <w:r>
              <w:t xml:space="preserve">I commend this report to you as a record of our achievements and compliance. </w:t>
            </w:r>
          </w:p>
          <w:p w14:paraId="4B1D97B7" w14:textId="77777777" w:rsidR="00A01217" w:rsidRDefault="00A01217" w:rsidP="00A01217">
            <w:pPr>
              <w:pStyle w:val="Lettertext"/>
            </w:pPr>
            <w:r>
              <w:t>Yours sincerely</w:t>
            </w:r>
          </w:p>
          <w:p w14:paraId="4952170E" w14:textId="77777777" w:rsidR="00A01217" w:rsidRDefault="00A01217" w:rsidP="009B6DAF">
            <w:pPr>
              <w:spacing w:after="120"/>
            </w:pPr>
            <w:r>
              <w:rPr>
                <w:noProof/>
                <w:lang w:val="en-AU" w:eastAsia="en-AU"/>
              </w:rPr>
              <w:drawing>
                <wp:inline distT="0" distB="0" distL="0" distR="0" wp14:anchorId="60647080" wp14:editId="3927956E">
                  <wp:extent cx="1358434" cy="51511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ignatu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8434" cy="515111"/>
                          </a:xfrm>
                          <a:prstGeom prst="rect">
                            <a:avLst/>
                          </a:prstGeom>
                        </pic:spPr>
                      </pic:pic>
                    </a:graphicData>
                  </a:graphic>
                </wp:inline>
              </w:drawing>
            </w:r>
          </w:p>
          <w:p w14:paraId="6D4B4A2D" w14:textId="77777777" w:rsidR="00A01217" w:rsidRPr="009B6DAF" w:rsidRDefault="00A01217" w:rsidP="009B6DAF">
            <w:pPr>
              <w:pStyle w:val="Lettertext"/>
              <w:spacing w:after="57"/>
            </w:pPr>
            <w:r w:rsidRPr="009B6DAF">
              <w:rPr>
                <w:rStyle w:val="Strong"/>
              </w:rPr>
              <w:t xml:space="preserve">Professor Villis Marshall </w:t>
            </w:r>
            <w:r w:rsidR="009B6DAF" w:rsidRPr="006024E9">
              <w:rPr>
                <w:rStyle w:val="Strong"/>
                <w:sz w:val="13"/>
              </w:rPr>
              <w:t>AC</w:t>
            </w:r>
            <w:r w:rsidR="009B6DAF" w:rsidRPr="009B6DAF">
              <w:br/>
            </w:r>
            <w:r w:rsidRPr="009B6DAF">
              <w:t>Chair</w:t>
            </w:r>
          </w:p>
          <w:p w14:paraId="7C69953C" w14:textId="77777777" w:rsidR="00A01217" w:rsidRDefault="00A01217" w:rsidP="009B6DAF">
            <w:pPr>
              <w:pStyle w:val="Lettertext"/>
              <w:spacing w:after="57"/>
            </w:pPr>
            <w:r>
              <w:t>Australian Commission on Safety and Quality in Health Care</w:t>
            </w:r>
            <w:r w:rsidR="009B6DAF">
              <w:br/>
            </w:r>
            <w:r>
              <w:t>13 September 2017</w:t>
            </w:r>
          </w:p>
        </w:tc>
      </w:tr>
    </w:tbl>
    <w:p w14:paraId="7EF63F2A" w14:textId="77777777" w:rsidR="00F22104" w:rsidRPr="00C9282C" w:rsidRDefault="00F22104"/>
    <w:p w14:paraId="47E217AF" w14:textId="77777777" w:rsidR="00F22104" w:rsidRPr="00C9282C" w:rsidRDefault="00F22104">
      <w:pPr>
        <w:sectPr w:rsidR="00F22104" w:rsidRPr="00C9282C" w:rsidSect="007F42F8">
          <w:headerReference w:type="even" r:id="rId12"/>
          <w:footerReference w:type="default" r:id="rId13"/>
          <w:headerReference w:type="first" r:id="rId14"/>
          <w:pgSz w:w="9979" w:h="14175" w:code="65"/>
          <w:pgMar w:top="1701" w:right="680" w:bottom="567" w:left="1021" w:header="709" w:footer="397" w:gutter="0"/>
          <w:cols w:space="708"/>
          <w:titlePg/>
          <w:docGrid w:linePitch="360"/>
        </w:sectPr>
      </w:pPr>
    </w:p>
    <w:p w14:paraId="47B35DEE" w14:textId="77777777" w:rsidR="00500986" w:rsidRPr="00500986" w:rsidRDefault="00500986" w:rsidP="0045757A">
      <w:pPr>
        <w:pStyle w:val="TOCHeading1"/>
      </w:pPr>
      <w:r w:rsidRPr="00500986">
        <w:lastRenderedPageBreak/>
        <w:t>Overview</w:t>
      </w:r>
      <w:r w:rsidRPr="00500986">
        <w:tab/>
        <w:t>5</w:t>
      </w:r>
    </w:p>
    <w:p w14:paraId="472746A2" w14:textId="77777777" w:rsidR="00500986" w:rsidRPr="00500986" w:rsidRDefault="00500986" w:rsidP="0045757A">
      <w:pPr>
        <w:pStyle w:val="TOCContent"/>
        <w:ind w:left="308"/>
      </w:pPr>
      <w:r w:rsidRPr="00500986">
        <w:t>About the Commission</w:t>
      </w:r>
      <w:r w:rsidRPr="00500986">
        <w:tab/>
        <w:t>6</w:t>
      </w:r>
    </w:p>
    <w:p w14:paraId="48CD8027" w14:textId="77777777" w:rsidR="00500986" w:rsidRPr="00500986" w:rsidRDefault="00500986" w:rsidP="0045757A">
      <w:pPr>
        <w:pStyle w:val="TOCContent"/>
        <w:ind w:left="308"/>
      </w:pPr>
      <w:r w:rsidRPr="00500986">
        <w:t>Report from the Chair</w:t>
      </w:r>
      <w:r w:rsidRPr="00500986">
        <w:tab/>
        <w:t>8</w:t>
      </w:r>
    </w:p>
    <w:p w14:paraId="0EBA4711" w14:textId="77777777" w:rsidR="00500986" w:rsidRPr="00500986" w:rsidRDefault="00500986" w:rsidP="0045757A">
      <w:pPr>
        <w:pStyle w:val="TOCContent"/>
        <w:ind w:left="308"/>
      </w:pPr>
      <w:r w:rsidRPr="00500986">
        <w:t>Report from the CEO</w:t>
      </w:r>
      <w:r w:rsidRPr="00500986">
        <w:tab/>
        <w:t>10</w:t>
      </w:r>
    </w:p>
    <w:p w14:paraId="1B45040F" w14:textId="77777777" w:rsidR="00500986" w:rsidRPr="00500986" w:rsidRDefault="00500986" w:rsidP="0045757A">
      <w:pPr>
        <w:pStyle w:val="TOCContent"/>
        <w:ind w:left="308"/>
      </w:pPr>
      <w:r w:rsidRPr="00500986">
        <w:t>Strategic Plan 2016–2019</w:t>
      </w:r>
      <w:r w:rsidRPr="00500986">
        <w:tab/>
        <w:t>12</w:t>
      </w:r>
    </w:p>
    <w:p w14:paraId="41B985B9" w14:textId="77777777" w:rsidR="00500986" w:rsidRDefault="00500986" w:rsidP="0045757A">
      <w:pPr>
        <w:pStyle w:val="TOCHeading1"/>
      </w:pPr>
      <w:r>
        <w:t xml:space="preserve">Report </w:t>
      </w:r>
      <w:r w:rsidRPr="00500986">
        <w:t>on</w:t>
      </w:r>
      <w:r>
        <w:t xml:space="preserve"> performance</w:t>
      </w:r>
      <w:r>
        <w:tab/>
        <w:t>15</w:t>
      </w:r>
    </w:p>
    <w:p w14:paraId="054BCE9F" w14:textId="77777777" w:rsidR="00500986" w:rsidRDefault="00500986" w:rsidP="0045757A">
      <w:pPr>
        <w:pStyle w:val="TOCContent"/>
      </w:pPr>
      <w:r>
        <w:t>Priority 1: Patient safety</w:t>
      </w:r>
      <w:r>
        <w:tab/>
        <w:t>16</w:t>
      </w:r>
    </w:p>
    <w:p w14:paraId="48425705" w14:textId="77777777" w:rsidR="00500986" w:rsidRDefault="00500986" w:rsidP="0045757A">
      <w:pPr>
        <w:pStyle w:val="TOCContent"/>
      </w:pPr>
      <w:r>
        <w:t>Priority 2: Partnering with patients, consumers</w:t>
      </w:r>
      <w:r>
        <w:rPr>
          <w:rFonts w:cs="Arial"/>
        </w:rPr>
        <w:t> </w:t>
      </w:r>
      <w:r>
        <w:t>and communities</w:t>
      </w:r>
      <w:r>
        <w:tab/>
        <w:t>33</w:t>
      </w:r>
    </w:p>
    <w:p w14:paraId="34112991" w14:textId="77777777" w:rsidR="00500986" w:rsidRDefault="00500986" w:rsidP="0045757A">
      <w:pPr>
        <w:pStyle w:val="TOCContent"/>
      </w:pPr>
      <w:r>
        <w:t>Priority 3: Quality, cost and value</w:t>
      </w:r>
      <w:r>
        <w:tab/>
        <w:t>37</w:t>
      </w:r>
    </w:p>
    <w:p w14:paraId="117475D9" w14:textId="77777777" w:rsidR="00500986" w:rsidRDefault="00500986" w:rsidP="0045757A">
      <w:pPr>
        <w:pStyle w:val="TOCContent"/>
      </w:pPr>
      <w:r>
        <w:t>Priority 4: Supporting health professionals to</w:t>
      </w:r>
      <w:r>
        <w:rPr>
          <w:rFonts w:cs="Arial"/>
        </w:rPr>
        <w:t> </w:t>
      </w:r>
      <w:r>
        <w:t>provide safe and high</w:t>
      </w:r>
      <w:r w:rsidR="00C36315">
        <w:t>-</w:t>
      </w:r>
      <w:r>
        <w:t>quality care</w:t>
      </w:r>
      <w:r>
        <w:tab/>
        <w:t>44</w:t>
      </w:r>
    </w:p>
    <w:p w14:paraId="3BD9B4F6" w14:textId="77777777" w:rsidR="00500986" w:rsidRDefault="00500986" w:rsidP="0045757A">
      <w:pPr>
        <w:pStyle w:val="TOCContent"/>
      </w:pPr>
      <w:r>
        <w:t>The state of safety and quality in Australian</w:t>
      </w:r>
      <w:r>
        <w:rPr>
          <w:rFonts w:cs="Arial"/>
        </w:rPr>
        <w:t> </w:t>
      </w:r>
      <w:r>
        <w:t>health care</w:t>
      </w:r>
      <w:r>
        <w:tab/>
        <w:t>47</w:t>
      </w:r>
    </w:p>
    <w:p w14:paraId="2A0024E0" w14:textId="77777777" w:rsidR="00500986" w:rsidRDefault="00500986" w:rsidP="0045757A">
      <w:pPr>
        <w:pStyle w:val="TOCContent"/>
      </w:pPr>
      <w:r>
        <w:t>Annual performance statements</w:t>
      </w:r>
      <w:r>
        <w:tab/>
        <w:t>49</w:t>
      </w:r>
    </w:p>
    <w:p w14:paraId="6293613E" w14:textId="77777777" w:rsidR="00500986" w:rsidRDefault="00500986" w:rsidP="0045757A">
      <w:pPr>
        <w:pStyle w:val="TOCContent"/>
      </w:pPr>
    </w:p>
    <w:p w14:paraId="4B066662" w14:textId="77777777" w:rsidR="00500986" w:rsidRDefault="00500986" w:rsidP="00FA117E">
      <w:pPr>
        <w:pStyle w:val="TOCHeading1"/>
      </w:pPr>
      <w:r>
        <w:br w:type="column"/>
      </w:r>
      <w:r>
        <w:lastRenderedPageBreak/>
        <w:t>Corporate governance and</w:t>
      </w:r>
      <w:r w:rsidR="0044323F">
        <w:t> </w:t>
      </w:r>
      <w:r>
        <w:t>accountability</w:t>
      </w:r>
      <w:r>
        <w:tab/>
        <w:t>59</w:t>
      </w:r>
    </w:p>
    <w:p w14:paraId="4F9295CB" w14:textId="77777777" w:rsidR="00500986" w:rsidRDefault="00500986" w:rsidP="0045757A">
      <w:pPr>
        <w:pStyle w:val="TOCContent"/>
      </w:pPr>
      <w:r>
        <w:t>Legislation and requirements</w:t>
      </w:r>
      <w:r>
        <w:tab/>
        <w:t>60</w:t>
      </w:r>
    </w:p>
    <w:p w14:paraId="45895E91" w14:textId="77777777" w:rsidR="00500986" w:rsidRDefault="00500986" w:rsidP="0045757A">
      <w:pPr>
        <w:pStyle w:val="TOCContent"/>
      </w:pPr>
      <w:r>
        <w:t>Compliance with legislation</w:t>
      </w:r>
      <w:r>
        <w:tab/>
        <w:t>60</w:t>
      </w:r>
    </w:p>
    <w:p w14:paraId="41FDC801" w14:textId="77777777" w:rsidR="00500986" w:rsidRDefault="00500986" w:rsidP="0045757A">
      <w:pPr>
        <w:pStyle w:val="TOCContent"/>
      </w:pPr>
      <w:r>
        <w:t>Strategic planning</w:t>
      </w:r>
      <w:r>
        <w:tab/>
        <w:t>60</w:t>
      </w:r>
    </w:p>
    <w:p w14:paraId="3FEE9459" w14:textId="77777777" w:rsidR="00500986" w:rsidRDefault="00500986" w:rsidP="0045757A">
      <w:pPr>
        <w:pStyle w:val="TOCContent"/>
      </w:pPr>
      <w:r>
        <w:t>Ministerial directions</w:t>
      </w:r>
      <w:r>
        <w:tab/>
        <w:t>60</w:t>
      </w:r>
    </w:p>
    <w:p w14:paraId="3EBDE6D6" w14:textId="77777777" w:rsidR="00500986" w:rsidRDefault="00500986" w:rsidP="0045757A">
      <w:pPr>
        <w:pStyle w:val="TOCContent"/>
      </w:pPr>
      <w:r>
        <w:t>Commission Board</w:t>
      </w:r>
      <w:r>
        <w:tab/>
        <w:t>61</w:t>
      </w:r>
    </w:p>
    <w:p w14:paraId="164D64AE" w14:textId="77777777" w:rsidR="00500986" w:rsidRDefault="00500986" w:rsidP="0045757A">
      <w:pPr>
        <w:pStyle w:val="TOCContent"/>
      </w:pPr>
      <w:r>
        <w:t>Committees</w:t>
      </w:r>
      <w:r>
        <w:tab/>
        <w:t>67</w:t>
      </w:r>
    </w:p>
    <w:p w14:paraId="321C1EE2" w14:textId="77777777" w:rsidR="00500986" w:rsidRDefault="00500986" w:rsidP="0045757A">
      <w:pPr>
        <w:pStyle w:val="TOCContent"/>
      </w:pPr>
      <w:r>
        <w:t>Internal governance arrangements</w:t>
      </w:r>
      <w:r>
        <w:tab/>
        <w:t>69</w:t>
      </w:r>
    </w:p>
    <w:p w14:paraId="7BD99C5D" w14:textId="77777777" w:rsidR="00500986" w:rsidRDefault="00500986" w:rsidP="0045757A">
      <w:pPr>
        <w:pStyle w:val="TOCContent"/>
      </w:pPr>
      <w:r>
        <w:t>External scrutiny</w:t>
      </w:r>
      <w:r>
        <w:tab/>
        <w:t>70</w:t>
      </w:r>
    </w:p>
    <w:p w14:paraId="66509AF0" w14:textId="77777777" w:rsidR="00500986" w:rsidRDefault="00500986" w:rsidP="0045757A">
      <w:pPr>
        <w:pStyle w:val="TOCContent"/>
      </w:pPr>
      <w:r>
        <w:t>Developments and significant events</w:t>
      </w:r>
      <w:r>
        <w:tab/>
        <w:t>71</w:t>
      </w:r>
    </w:p>
    <w:p w14:paraId="3D54CC78" w14:textId="77777777" w:rsidR="00500986" w:rsidRDefault="00500986" w:rsidP="0045757A">
      <w:pPr>
        <w:pStyle w:val="TOCContent"/>
      </w:pPr>
      <w:r>
        <w:t xml:space="preserve">Environmental performance and </w:t>
      </w:r>
      <w:r w:rsidR="0045757A">
        <w:br/>
      </w:r>
      <w:r>
        <w:t>ecologically sustainable development</w:t>
      </w:r>
      <w:r>
        <w:tab/>
        <w:t>71</w:t>
      </w:r>
    </w:p>
    <w:p w14:paraId="7934E4EB" w14:textId="77777777" w:rsidR="00500986" w:rsidRDefault="00500986" w:rsidP="0045757A">
      <w:pPr>
        <w:pStyle w:val="TOCContent"/>
      </w:pPr>
      <w:r>
        <w:t>Advertising and market research</w:t>
      </w:r>
      <w:r>
        <w:tab/>
        <w:t>71</w:t>
      </w:r>
    </w:p>
    <w:p w14:paraId="7D3EF697" w14:textId="77777777" w:rsidR="00500986" w:rsidRDefault="00500986" w:rsidP="0045757A">
      <w:pPr>
        <w:pStyle w:val="TOCContent"/>
      </w:pPr>
      <w:r>
        <w:t>National Health Reform Act amendments</w:t>
      </w:r>
      <w:r>
        <w:tab/>
        <w:t>71</w:t>
      </w:r>
    </w:p>
    <w:p w14:paraId="7386FC5C" w14:textId="77777777" w:rsidR="0045757A" w:rsidRDefault="00500986" w:rsidP="00FA117E">
      <w:pPr>
        <w:pStyle w:val="TOCContent"/>
      </w:pPr>
      <w:r>
        <w:t>Government policy orders</w:t>
      </w:r>
      <w:r>
        <w:tab/>
        <w:t>71</w:t>
      </w:r>
    </w:p>
    <w:p w14:paraId="1C8C38DB" w14:textId="77777777" w:rsidR="0045757A" w:rsidRDefault="0045757A" w:rsidP="0045757A">
      <w:pPr>
        <w:pStyle w:val="TOCContent"/>
      </w:pPr>
    </w:p>
    <w:p w14:paraId="4A6DDE88" w14:textId="77777777" w:rsidR="00874274" w:rsidRDefault="00874274" w:rsidP="00C36598">
      <w:pPr>
        <w:sectPr w:rsidR="00874274" w:rsidSect="00500986">
          <w:headerReference w:type="even" r:id="rId15"/>
          <w:headerReference w:type="default" r:id="rId16"/>
          <w:footerReference w:type="even" r:id="rId17"/>
          <w:headerReference w:type="first" r:id="rId18"/>
          <w:footerReference w:type="first" r:id="rId19"/>
          <w:pgSz w:w="9979" w:h="14175" w:code="9"/>
          <w:pgMar w:top="3969" w:right="680" w:bottom="851" w:left="1021" w:header="1758" w:footer="397" w:gutter="0"/>
          <w:cols w:num="2" w:space="708"/>
          <w:docGrid w:linePitch="360"/>
        </w:sectPr>
      </w:pPr>
    </w:p>
    <w:p w14:paraId="73FEF15A" w14:textId="77777777" w:rsidR="00C36598" w:rsidRDefault="00C36598" w:rsidP="0045757A">
      <w:pPr>
        <w:pStyle w:val="TOCHeading1"/>
      </w:pPr>
      <w:r>
        <w:lastRenderedPageBreak/>
        <w:t>Our organisation</w:t>
      </w:r>
      <w:r w:rsidR="0045757A">
        <w:tab/>
      </w:r>
      <w:r>
        <w:t>73</w:t>
      </w:r>
    </w:p>
    <w:p w14:paraId="167E03C2" w14:textId="77777777" w:rsidR="00C36598" w:rsidRDefault="00C36598" w:rsidP="0045757A">
      <w:pPr>
        <w:pStyle w:val="TOCContent"/>
      </w:pPr>
      <w:r>
        <w:t>Organisational structure</w:t>
      </w:r>
      <w:r w:rsidR="0045757A">
        <w:tab/>
      </w:r>
      <w:r>
        <w:t>74</w:t>
      </w:r>
    </w:p>
    <w:p w14:paraId="7B62D8E7" w14:textId="77777777" w:rsidR="00C36598" w:rsidRDefault="00C36598" w:rsidP="0045757A">
      <w:pPr>
        <w:pStyle w:val="TOCContent"/>
      </w:pPr>
      <w:r>
        <w:t>People management</w:t>
      </w:r>
      <w:r w:rsidR="0045757A">
        <w:tab/>
      </w:r>
      <w:r>
        <w:t>76</w:t>
      </w:r>
    </w:p>
    <w:p w14:paraId="1A28154C" w14:textId="77777777" w:rsidR="00C36598" w:rsidRDefault="00C36598" w:rsidP="0045757A">
      <w:pPr>
        <w:pStyle w:val="TOCContent"/>
      </w:pPr>
      <w:r>
        <w:t>Staff profile</w:t>
      </w:r>
      <w:r w:rsidR="0045757A">
        <w:tab/>
      </w:r>
      <w:r>
        <w:t>76</w:t>
      </w:r>
    </w:p>
    <w:p w14:paraId="0EC5D65C" w14:textId="77777777" w:rsidR="00C36598" w:rsidRDefault="00C36598" w:rsidP="0045757A">
      <w:pPr>
        <w:pStyle w:val="TOCContent"/>
      </w:pPr>
      <w:r>
        <w:t>Workplace health and safety</w:t>
      </w:r>
      <w:r w:rsidR="0045757A">
        <w:tab/>
      </w:r>
      <w:r>
        <w:t>77</w:t>
      </w:r>
    </w:p>
    <w:p w14:paraId="56BD416A" w14:textId="77777777" w:rsidR="00C36598" w:rsidRDefault="00C36598" w:rsidP="0045757A">
      <w:pPr>
        <w:pStyle w:val="TOCContent"/>
      </w:pPr>
      <w:r>
        <w:t>Learning and development</w:t>
      </w:r>
      <w:r w:rsidR="0045757A">
        <w:tab/>
      </w:r>
      <w:r>
        <w:t>77</w:t>
      </w:r>
    </w:p>
    <w:p w14:paraId="35836FFA" w14:textId="77777777" w:rsidR="00C36598" w:rsidRDefault="00C36598" w:rsidP="0045757A">
      <w:pPr>
        <w:pStyle w:val="TOCContent"/>
      </w:pPr>
      <w:r>
        <w:t>Disability strategy</w:t>
      </w:r>
      <w:r w:rsidR="0045757A">
        <w:tab/>
      </w:r>
      <w:r>
        <w:t>78</w:t>
      </w:r>
    </w:p>
    <w:p w14:paraId="0E6B95F3" w14:textId="77777777" w:rsidR="00C36598" w:rsidRDefault="00C36598" w:rsidP="0045757A">
      <w:pPr>
        <w:pStyle w:val="TOCContent"/>
      </w:pPr>
      <w:r>
        <w:t>Indigenous employment</w:t>
      </w:r>
      <w:r w:rsidR="0045757A">
        <w:tab/>
      </w:r>
      <w:r>
        <w:t>78</w:t>
      </w:r>
    </w:p>
    <w:p w14:paraId="506453BB" w14:textId="77777777" w:rsidR="00C36598" w:rsidRDefault="00C36598" w:rsidP="0045757A">
      <w:pPr>
        <w:pStyle w:val="TOCHeading1"/>
      </w:pPr>
      <w:r>
        <w:t>Financial statements</w:t>
      </w:r>
      <w:r w:rsidR="0045757A">
        <w:tab/>
      </w:r>
      <w:r>
        <w:t>81</w:t>
      </w:r>
    </w:p>
    <w:p w14:paraId="33ED1F93" w14:textId="77777777" w:rsidR="00C36598" w:rsidRDefault="00C36598" w:rsidP="0045757A">
      <w:pPr>
        <w:pStyle w:val="TOCContent"/>
      </w:pPr>
      <w:r>
        <w:t>Independent auditor’s report</w:t>
      </w:r>
      <w:r w:rsidR="0045757A">
        <w:tab/>
      </w:r>
      <w:r>
        <w:t>82</w:t>
      </w:r>
    </w:p>
    <w:p w14:paraId="2AE120CC" w14:textId="77777777" w:rsidR="00C36598" w:rsidRDefault="00C36598" w:rsidP="0045757A">
      <w:pPr>
        <w:pStyle w:val="TOCContent"/>
      </w:pPr>
      <w:r>
        <w:t>Financial Statements</w:t>
      </w:r>
      <w:r w:rsidR="0045757A">
        <w:tab/>
      </w:r>
      <w:r>
        <w:t>84</w:t>
      </w:r>
    </w:p>
    <w:p w14:paraId="19B3F626" w14:textId="77777777" w:rsidR="00C36598" w:rsidRDefault="00C36598" w:rsidP="0045757A">
      <w:pPr>
        <w:pStyle w:val="TOCContent"/>
      </w:pPr>
      <w:r>
        <w:t>Notes to and forming part of the financial statements</w:t>
      </w:r>
      <w:r w:rsidR="0045757A">
        <w:tab/>
      </w:r>
      <w:r>
        <w:t>89</w:t>
      </w:r>
    </w:p>
    <w:p w14:paraId="27F6C096" w14:textId="77777777" w:rsidR="00C36598" w:rsidRDefault="0045757A" w:rsidP="0045757A">
      <w:pPr>
        <w:pStyle w:val="TOCHeading1"/>
      </w:pPr>
      <w:r>
        <w:br w:type="column"/>
      </w:r>
      <w:r w:rsidR="00C36598">
        <w:lastRenderedPageBreak/>
        <w:t>Appendices</w:t>
      </w:r>
      <w:r>
        <w:tab/>
      </w:r>
      <w:r w:rsidR="00C36598">
        <w:t>107</w:t>
      </w:r>
    </w:p>
    <w:p w14:paraId="4046F77C" w14:textId="77777777" w:rsidR="00C36598" w:rsidRDefault="00C36598" w:rsidP="0045757A">
      <w:pPr>
        <w:pStyle w:val="TOCContent"/>
      </w:pPr>
      <w:r>
        <w:t xml:space="preserve">Appendix A: Freedom of </w:t>
      </w:r>
      <w:r w:rsidR="0045757A">
        <w:br/>
      </w:r>
      <w:r>
        <w:t>information summary</w:t>
      </w:r>
      <w:r w:rsidR="0045757A">
        <w:tab/>
      </w:r>
      <w:r>
        <w:t>108</w:t>
      </w:r>
    </w:p>
    <w:p w14:paraId="7D912456" w14:textId="77777777" w:rsidR="00C36598" w:rsidRDefault="00C36598" w:rsidP="0045757A">
      <w:pPr>
        <w:pStyle w:val="TOCContent"/>
      </w:pPr>
      <w:r>
        <w:t xml:space="preserve">Appendix B: Compliance with </w:t>
      </w:r>
      <w:r w:rsidR="0045757A">
        <w:br/>
      </w:r>
      <w:r>
        <w:t>ecologically sustainable development</w:t>
      </w:r>
      <w:r w:rsidR="0045757A">
        <w:tab/>
      </w:r>
      <w:r>
        <w:t>109</w:t>
      </w:r>
    </w:p>
    <w:p w14:paraId="442C04B5" w14:textId="77777777" w:rsidR="00C36598" w:rsidRDefault="00C36598" w:rsidP="00FA117E">
      <w:pPr>
        <w:pStyle w:val="TOCContent"/>
        <w:spacing w:after="240"/>
      </w:pPr>
      <w:r>
        <w:t>Appendix C: Related-entity transactions110</w:t>
      </w:r>
    </w:p>
    <w:p w14:paraId="67BD6B31" w14:textId="77777777" w:rsidR="00C36598" w:rsidRDefault="00C36598" w:rsidP="0045757A">
      <w:pPr>
        <w:pStyle w:val="TOCHeading1"/>
      </w:pPr>
      <w:r>
        <w:t>Indexes and references</w:t>
      </w:r>
      <w:r w:rsidR="0045757A">
        <w:tab/>
      </w:r>
      <w:r>
        <w:t>113</w:t>
      </w:r>
    </w:p>
    <w:p w14:paraId="68C63607" w14:textId="77777777" w:rsidR="00C36598" w:rsidRDefault="00C36598" w:rsidP="0045757A">
      <w:pPr>
        <w:pStyle w:val="TOCContent"/>
      </w:pPr>
      <w:r>
        <w:t>Acronyms and abbreviations</w:t>
      </w:r>
      <w:r w:rsidR="0045757A">
        <w:tab/>
      </w:r>
      <w:r>
        <w:t>114</w:t>
      </w:r>
    </w:p>
    <w:p w14:paraId="171394B8" w14:textId="77777777" w:rsidR="00C36598" w:rsidRDefault="00C36598" w:rsidP="0045757A">
      <w:pPr>
        <w:pStyle w:val="TOCContent"/>
      </w:pPr>
      <w:r>
        <w:t>Glossary</w:t>
      </w:r>
      <w:r w:rsidR="0045757A">
        <w:tab/>
      </w:r>
      <w:r>
        <w:t>116</w:t>
      </w:r>
    </w:p>
    <w:p w14:paraId="653D1914" w14:textId="77777777" w:rsidR="00C36598" w:rsidRDefault="00C36598" w:rsidP="0045757A">
      <w:pPr>
        <w:pStyle w:val="TOCContent"/>
      </w:pPr>
      <w:r>
        <w:t>Index of tables</w:t>
      </w:r>
      <w:r w:rsidR="0045757A">
        <w:tab/>
      </w:r>
      <w:r>
        <w:t>119</w:t>
      </w:r>
    </w:p>
    <w:p w14:paraId="73F803FB" w14:textId="77777777" w:rsidR="00C36598" w:rsidRDefault="00C36598" w:rsidP="0045757A">
      <w:pPr>
        <w:pStyle w:val="TOCContent"/>
      </w:pPr>
      <w:r>
        <w:t>Index of figures</w:t>
      </w:r>
      <w:r w:rsidR="0045757A">
        <w:tab/>
      </w:r>
      <w:r>
        <w:t>119</w:t>
      </w:r>
    </w:p>
    <w:p w14:paraId="0CBDADB9" w14:textId="77777777" w:rsidR="00C36598" w:rsidRDefault="00C36598" w:rsidP="0045757A">
      <w:pPr>
        <w:pStyle w:val="TOCContent"/>
      </w:pPr>
      <w:r>
        <w:t>Compliance index</w:t>
      </w:r>
      <w:r w:rsidR="0045757A">
        <w:tab/>
      </w:r>
      <w:r>
        <w:t>120</w:t>
      </w:r>
    </w:p>
    <w:p w14:paraId="63BE374B" w14:textId="77777777" w:rsidR="00C36598" w:rsidRDefault="00C36598" w:rsidP="0045757A">
      <w:pPr>
        <w:pStyle w:val="TOCContent"/>
      </w:pPr>
      <w:r>
        <w:t>Index</w:t>
      </w:r>
      <w:r w:rsidR="0045757A">
        <w:tab/>
      </w:r>
      <w:r>
        <w:t>123</w:t>
      </w:r>
    </w:p>
    <w:p w14:paraId="135C3514" w14:textId="77777777" w:rsidR="00FF0719" w:rsidRDefault="00C36598" w:rsidP="0045757A">
      <w:pPr>
        <w:pStyle w:val="TOCContent"/>
      </w:pPr>
      <w:r>
        <w:t>References</w:t>
      </w:r>
      <w:r w:rsidR="0045757A">
        <w:tab/>
        <w:t>128</w:t>
      </w:r>
    </w:p>
    <w:p w14:paraId="536D0B45" w14:textId="77777777" w:rsidR="00C36598" w:rsidRDefault="00C36598"/>
    <w:p w14:paraId="19562917" w14:textId="77777777" w:rsidR="00D756F7" w:rsidRDefault="00D756F7">
      <w:pPr>
        <w:sectPr w:rsidR="00D756F7" w:rsidSect="0045757A">
          <w:footerReference w:type="default" r:id="rId20"/>
          <w:pgSz w:w="9979" w:h="14175" w:code="9"/>
          <w:pgMar w:top="3969" w:right="680" w:bottom="851" w:left="1021" w:header="1758" w:footer="397" w:gutter="0"/>
          <w:pgNumType w:start="3"/>
          <w:cols w:num="2" w:space="340"/>
          <w:docGrid w:linePitch="360"/>
        </w:sectPr>
      </w:pPr>
    </w:p>
    <w:p w14:paraId="197314B9" w14:textId="77777777" w:rsidR="00D756F7" w:rsidRDefault="00D756F7"/>
    <w:p w14:paraId="6EEECDFA" w14:textId="77777777" w:rsidR="00D756F7" w:rsidRDefault="00D756F7">
      <w:r>
        <w:br w:type="page"/>
      </w:r>
    </w:p>
    <w:p w14:paraId="5A60E8AE" w14:textId="77777777" w:rsidR="00981093" w:rsidRDefault="00981093" w:rsidP="00981093">
      <w:pPr>
        <w:pStyle w:val="BodyText"/>
      </w:pPr>
    </w:p>
    <w:p w14:paraId="52CB3499" w14:textId="77777777" w:rsidR="00981093" w:rsidRPr="00981093" w:rsidRDefault="00981093" w:rsidP="00981093">
      <w:pPr>
        <w:pStyle w:val="SectionHeading"/>
        <w:spacing w:before="1200" w:after="680"/>
        <w:rPr>
          <w:color w:val="00748F"/>
        </w:rPr>
      </w:pPr>
      <w:r w:rsidRPr="00981093">
        <w:rPr>
          <w:color w:val="00748F"/>
        </w:rPr>
        <w:t>Overview</w:t>
      </w:r>
    </w:p>
    <w:p w14:paraId="58ADC62B" w14:textId="77777777" w:rsidR="00981093" w:rsidRPr="00981093" w:rsidRDefault="00981093" w:rsidP="00981093">
      <w:pPr>
        <w:pStyle w:val="SectionIntroCopy"/>
        <w:rPr>
          <w:color w:val="00748F"/>
        </w:rPr>
      </w:pPr>
      <w:r w:rsidRPr="00981093">
        <w:rPr>
          <w:color w:val="00748F"/>
        </w:rPr>
        <w:t>This section provides an overview of the Australian Commission on Safety and Quality in Health Care (the Commission) – including its mission, role, functions and accountability – and reports from the Commission’s Chair and Chief Executive Officer (CEO).</w:t>
      </w:r>
    </w:p>
    <w:tbl>
      <w:tblPr>
        <w:tblStyle w:val="TableGrid"/>
        <w:tblW w:w="0" w:type="auto"/>
        <w:tblBorders>
          <w:top w:val="none" w:sz="0" w:space="0" w:color="auto"/>
          <w:left w:val="none" w:sz="0" w:space="0" w:color="auto"/>
          <w:bottom w:val="single" w:sz="8" w:space="0" w:color="FFFFFF" w:themeColor="background2"/>
          <w:right w:val="none" w:sz="0" w:space="0" w:color="auto"/>
          <w:insideH w:val="single" w:sz="8" w:space="0" w:color="FFFFFF" w:themeColor="background2"/>
          <w:insideV w:val="none" w:sz="0" w:space="0" w:color="auto"/>
        </w:tblBorders>
        <w:tblCellMar>
          <w:left w:w="0" w:type="dxa"/>
          <w:right w:w="0" w:type="dxa"/>
        </w:tblCellMar>
        <w:tblLook w:val="04A0" w:firstRow="1" w:lastRow="0" w:firstColumn="1" w:lastColumn="0" w:noHBand="0" w:noVBand="1"/>
        <w:tblCaption w:val="Overview Table of Contents"/>
      </w:tblPr>
      <w:tblGrid>
        <w:gridCol w:w="4979"/>
        <w:gridCol w:w="825"/>
      </w:tblGrid>
      <w:tr w:rsidR="00981093" w14:paraId="32EDCD19" w14:textId="77777777" w:rsidTr="00FA117E">
        <w:tc>
          <w:tcPr>
            <w:tcW w:w="4979" w:type="dxa"/>
            <w:vAlign w:val="bottom"/>
          </w:tcPr>
          <w:p w14:paraId="1D9851BD" w14:textId="77777777" w:rsidR="00981093" w:rsidRPr="00D96672" w:rsidRDefault="00981093" w:rsidP="00FA117E">
            <w:pPr>
              <w:pStyle w:val="Reportcontent"/>
              <w:spacing w:after="120"/>
            </w:pPr>
            <w:r w:rsidRPr="00981093">
              <w:t>About the Commission</w:t>
            </w:r>
          </w:p>
        </w:tc>
        <w:tc>
          <w:tcPr>
            <w:tcW w:w="825" w:type="dxa"/>
            <w:vAlign w:val="bottom"/>
          </w:tcPr>
          <w:p w14:paraId="77848BA2" w14:textId="77777777" w:rsidR="00981093" w:rsidRPr="00D96672" w:rsidRDefault="00981093" w:rsidP="00FA117E">
            <w:pPr>
              <w:pStyle w:val="Reportcontent"/>
              <w:spacing w:after="120"/>
              <w:jc w:val="right"/>
            </w:pPr>
            <w:r w:rsidRPr="00D96672">
              <w:t>6</w:t>
            </w:r>
          </w:p>
        </w:tc>
      </w:tr>
      <w:tr w:rsidR="00981093" w14:paraId="2162E6D4" w14:textId="77777777" w:rsidTr="00FA117E">
        <w:tc>
          <w:tcPr>
            <w:tcW w:w="4979" w:type="dxa"/>
            <w:vAlign w:val="bottom"/>
          </w:tcPr>
          <w:p w14:paraId="67E20CAD" w14:textId="77777777" w:rsidR="00981093" w:rsidRPr="00D96672" w:rsidRDefault="00981093" w:rsidP="00FA117E">
            <w:pPr>
              <w:pStyle w:val="Reportcontent"/>
              <w:spacing w:after="120"/>
            </w:pPr>
            <w:r>
              <w:t>Report from the Chair</w:t>
            </w:r>
          </w:p>
        </w:tc>
        <w:tc>
          <w:tcPr>
            <w:tcW w:w="825" w:type="dxa"/>
            <w:vAlign w:val="bottom"/>
          </w:tcPr>
          <w:p w14:paraId="660D2575" w14:textId="77777777" w:rsidR="00981093" w:rsidRPr="00D96672" w:rsidRDefault="00981093" w:rsidP="00FA117E">
            <w:pPr>
              <w:pStyle w:val="Reportcontent"/>
              <w:spacing w:after="120"/>
              <w:jc w:val="right"/>
            </w:pPr>
            <w:r>
              <w:t>8</w:t>
            </w:r>
          </w:p>
        </w:tc>
      </w:tr>
      <w:tr w:rsidR="00981093" w14:paraId="5D419109" w14:textId="77777777" w:rsidTr="00FA117E">
        <w:tc>
          <w:tcPr>
            <w:tcW w:w="4979" w:type="dxa"/>
            <w:vAlign w:val="bottom"/>
          </w:tcPr>
          <w:p w14:paraId="6A3E0703" w14:textId="77777777" w:rsidR="00981093" w:rsidRPr="00D96672" w:rsidRDefault="00981093" w:rsidP="00FA117E">
            <w:pPr>
              <w:pStyle w:val="Reportcontent"/>
              <w:spacing w:after="120"/>
            </w:pPr>
            <w:r w:rsidRPr="00981093">
              <w:t>Report from the CEO</w:t>
            </w:r>
          </w:p>
        </w:tc>
        <w:tc>
          <w:tcPr>
            <w:tcW w:w="825" w:type="dxa"/>
            <w:vAlign w:val="bottom"/>
          </w:tcPr>
          <w:p w14:paraId="68A0008A" w14:textId="77777777" w:rsidR="00981093" w:rsidRPr="00D96672" w:rsidRDefault="00981093" w:rsidP="00FA117E">
            <w:pPr>
              <w:pStyle w:val="Reportcontent"/>
              <w:spacing w:after="120"/>
              <w:jc w:val="right"/>
            </w:pPr>
            <w:r>
              <w:t>10</w:t>
            </w:r>
          </w:p>
        </w:tc>
      </w:tr>
      <w:tr w:rsidR="00981093" w14:paraId="27FC5400" w14:textId="77777777" w:rsidTr="00FA117E">
        <w:tc>
          <w:tcPr>
            <w:tcW w:w="4979" w:type="dxa"/>
            <w:vAlign w:val="bottom"/>
          </w:tcPr>
          <w:p w14:paraId="3765FD7B" w14:textId="77777777" w:rsidR="00981093" w:rsidRPr="00D96672" w:rsidRDefault="00981093" w:rsidP="00FA117E">
            <w:pPr>
              <w:pStyle w:val="Reportcontent"/>
              <w:spacing w:after="120"/>
            </w:pPr>
            <w:r w:rsidRPr="00981093">
              <w:t>Strategic Plan 2016–2019</w:t>
            </w:r>
          </w:p>
        </w:tc>
        <w:tc>
          <w:tcPr>
            <w:tcW w:w="825" w:type="dxa"/>
            <w:vAlign w:val="bottom"/>
          </w:tcPr>
          <w:p w14:paraId="5EBA3125" w14:textId="77777777" w:rsidR="00981093" w:rsidRPr="00D96672" w:rsidRDefault="00981093" w:rsidP="00FA117E">
            <w:pPr>
              <w:pStyle w:val="Reportcontent"/>
              <w:spacing w:after="120"/>
              <w:jc w:val="right"/>
            </w:pPr>
            <w:r>
              <w:t>12</w:t>
            </w:r>
          </w:p>
        </w:tc>
      </w:tr>
    </w:tbl>
    <w:p w14:paraId="162F4BA2" w14:textId="77777777" w:rsidR="00C36598" w:rsidRDefault="00C36598"/>
    <w:p w14:paraId="2F755234" w14:textId="77777777" w:rsidR="009F1AAF" w:rsidRDefault="009F1AAF">
      <w:pPr>
        <w:sectPr w:rsidR="009F1AAF" w:rsidSect="00874274">
          <w:headerReference w:type="even" r:id="rId21"/>
          <w:headerReference w:type="default" r:id="rId22"/>
          <w:footerReference w:type="even" r:id="rId23"/>
          <w:footerReference w:type="default" r:id="rId24"/>
          <w:pgSz w:w="9979" w:h="14175" w:code="34"/>
          <w:pgMar w:top="1418" w:right="680" w:bottom="851" w:left="1021" w:header="709" w:footer="397" w:gutter="0"/>
          <w:cols w:space="708"/>
          <w:docGrid w:linePitch="360"/>
        </w:sectPr>
      </w:pPr>
    </w:p>
    <w:p w14:paraId="42DF7240" w14:textId="77777777" w:rsidR="009F1AAF" w:rsidRDefault="009858ED" w:rsidP="00776130">
      <w:pPr>
        <w:pStyle w:val="Heading1"/>
      </w:pPr>
      <w:r w:rsidRPr="009858ED">
        <w:lastRenderedPageBreak/>
        <w:t>About the Commission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F0EE" w:themeFill="accent4"/>
        <w:tblCellMar>
          <w:top w:w="284" w:type="dxa"/>
          <w:left w:w="284" w:type="dxa"/>
          <w:bottom w:w="284" w:type="dxa"/>
          <w:right w:w="284" w:type="dxa"/>
        </w:tblCellMar>
        <w:tblLook w:val="04A0" w:firstRow="1" w:lastRow="0" w:firstColumn="1" w:lastColumn="0" w:noHBand="0" w:noVBand="1"/>
        <w:tblCaption w:val="About the Commission"/>
        <w:tblDescription w:val="Introductory Statement"/>
      </w:tblPr>
      <w:tblGrid>
        <w:gridCol w:w="8268"/>
      </w:tblGrid>
      <w:tr w:rsidR="00776130" w14:paraId="4F74FD8F" w14:textId="77777777" w:rsidTr="007430AC">
        <w:tc>
          <w:tcPr>
            <w:tcW w:w="8268" w:type="dxa"/>
            <w:shd w:val="clear" w:color="auto" w:fill="F1F0EE" w:themeFill="accent4"/>
          </w:tcPr>
          <w:p w14:paraId="112EE788" w14:textId="77777777" w:rsidR="00776130" w:rsidRDefault="00776130" w:rsidP="007430AC">
            <w:pPr>
              <w:pStyle w:val="IntroCopy0"/>
            </w:pPr>
            <w:r w:rsidRPr="00776130">
              <w:t xml:space="preserve">In 2006, the Council of Australian Governments (COAG) established the Commission to lead and coordinate national improvements in the safety and quality of health care. The Commission’s permanent status was confirmed with the passage of the </w:t>
            </w:r>
            <w:r w:rsidRPr="009C4D0C">
              <w:rPr>
                <w:rStyle w:val="Emphasis"/>
              </w:rPr>
              <w:t>National Health and Hospitals Network Act 2011</w:t>
            </w:r>
            <w:r w:rsidRPr="00776130">
              <w:t xml:space="preserve">, while its role was codified in the </w:t>
            </w:r>
            <w:r w:rsidRPr="009C4D0C">
              <w:rPr>
                <w:rStyle w:val="Emphasis"/>
              </w:rPr>
              <w:t>National Health Reform Act 2011</w:t>
            </w:r>
            <w:r w:rsidRPr="00776130">
              <w:t>. The Commission commenced as an independent statutory authority on 1 July 2011, funded jointly by the Australian Government and state and territory governments.</w:t>
            </w:r>
          </w:p>
        </w:tc>
      </w:tr>
    </w:tbl>
    <w:p w14:paraId="563036C8" w14:textId="77777777" w:rsidR="00776130" w:rsidRDefault="00776130"/>
    <w:p w14:paraId="12B27CB6" w14:textId="77777777" w:rsidR="009858ED" w:rsidRDefault="009858ED">
      <w:pPr>
        <w:sectPr w:rsidR="009858ED" w:rsidSect="00874274">
          <w:headerReference w:type="even" r:id="rId25"/>
          <w:headerReference w:type="default" r:id="rId26"/>
          <w:footerReference w:type="even" r:id="rId27"/>
          <w:pgSz w:w="9979" w:h="14175" w:code="9"/>
          <w:pgMar w:top="1418" w:right="680" w:bottom="851" w:left="1021" w:header="567" w:footer="397" w:gutter="0"/>
          <w:cols w:space="708"/>
          <w:docGrid w:linePitch="360"/>
        </w:sectPr>
      </w:pPr>
    </w:p>
    <w:p w14:paraId="646714BA" w14:textId="77777777" w:rsidR="009858ED" w:rsidRDefault="009858ED" w:rsidP="00776130">
      <w:pPr>
        <w:pStyle w:val="Heading2"/>
      </w:pPr>
      <w:r>
        <w:lastRenderedPageBreak/>
        <w:t>Our mission</w:t>
      </w:r>
    </w:p>
    <w:p w14:paraId="61930FC4" w14:textId="77777777" w:rsidR="009858ED" w:rsidRDefault="009858ED" w:rsidP="00776130">
      <w:pPr>
        <w:pStyle w:val="BodyText"/>
      </w:pPr>
      <w:r>
        <w:t>The Commission’s mission is to lead and coordinate national improvements in the safety and quality of health care.</w:t>
      </w:r>
    </w:p>
    <w:p w14:paraId="61D0B721" w14:textId="77777777" w:rsidR="009858ED" w:rsidRDefault="009858ED" w:rsidP="00776130">
      <w:pPr>
        <w:pStyle w:val="Heading2"/>
      </w:pPr>
      <w:r>
        <w:t>Our role and functions</w:t>
      </w:r>
    </w:p>
    <w:p w14:paraId="1F0E6088" w14:textId="4D399965" w:rsidR="00C36598" w:rsidRDefault="009858ED" w:rsidP="00776130">
      <w:pPr>
        <w:pStyle w:val="BodyText"/>
      </w:pPr>
      <w:r>
        <w:t>The Commission provides health ministers with strategic advice on best practices to improve healthcare safety and quality, and makes recomm</w:t>
      </w:r>
      <w:r w:rsidR="0097478C">
        <w:t xml:space="preserve">endations about priority areas </w:t>
      </w:r>
      <w:r w:rsidR="000A1350">
        <w:t xml:space="preserve">for action. The Commission also develops </w:t>
      </w:r>
      <w:r>
        <w:t>national initiatives to better inform, support and organise the delivery of safe and high-quality health care in Australia, contributing to improved health outcomes for patients, consumers and communities.</w:t>
      </w:r>
    </w:p>
    <w:p w14:paraId="0599F855" w14:textId="77777777" w:rsidR="00776130" w:rsidRDefault="009858ED" w:rsidP="009858ED">
      <w:r>
        <w:br w:type="column"/>
      </w:r>
    </w:p>
    <w:tbl>
      <w:tblPr>
        <w:tblStyle w:val="TableGrid"/>
        <w:tblW w:w="0" w:type="auto"/>
        <w:tblBorders>
          <w:top w:val="single" w:sz="12" w:space="0" w:color="00AEEF" w:themeColor="accent2"/>
          <w:left w:val="none" w:sz="0" w:space="0" w:color="auto"/>
          <w:bottom w:val="single" w:sz="12" w:space="0" w:color="00AEEF" w:themeColor="accent2"/>
          <w:right w:val="none" w:sz="0" w:space="0" w:color="auto"/>
          <w:insideH w:val="none" w:sz="0" w:space="0" w:color="auto"/>
          <w:insideV w:val="none" w:sz="0" w:space="0" w:color="auto"/>
        </w:tblBorders>
        <w:tblCellMar>
          <w:top w:w="284" w:type="dxa"/>
          <w:bottom w:w="284" w:type="dxa"/>
        </w:tblCellMar>
        <w:tblLook w:val="04A0" w:firstRow="1" w:lastRow="0" w:firstColumn="1" w:lastColumn="0" w:noHBand="0" w:noVBand="1"/>
        <w:tblCaption w:val="4 primary areas"/>
        <w:tblDescription w:val="Pull out information"/>
      </w:tblPr>
      <w:tblGrid>
        <w:gridCol w:w="3775"/>
      </w:tblGrid>
      <w:tr w:rsidR="00776130" w14:paraId="414469A0" w14:textId="77777777" w:rsidTr="00776130">
        <w:tc>
          <w:tcPr>
            <w:tcW w:w="3775" w:type="dxa"/>
          </w:tcPr>
          <w:p w14:paraId="7ED88DD2" w14:textId="77777777" w:rsidR="00776130" w:rsidRDefault="00776130" w:rsidP="00A0796A">
            <w:pPr>
              <w:pStyle w:val="BodyText"/>
              <w:spacing w:after="85"/>
              <w:ind w:right="-162"/>
            </w:pPr>
            <w:r>
              <w:t>The Commission works in four priority areas:</w:t>
            </w:r>
          </w:p>
          <w:p w14:paraId="54C5B34A" w14:textId="77777777" w:rsidR="00776130" w:rsidRDefault="00776130" w:rsidP="00A0796A">
            <w:pPr>
              <w:spacing w:after="85"/>
              <w:ind w:left="284" w:hanging="284"/>
            </w:pPr>
            <w:r w:rsidRPr="00776130">
              <w:rPr>
                <w:b/>
              </w:rPr>
              <w:t>1.</w:t>
            </w:r>
            <w:r>
              <w:tab/>
              <w:t>Patient safety</w:t>
            </w:r>
          </w:p>
          <w:p w14:paraId="3F7BFD6B" w14:textId="77777777" w:rsidR="00776130" w:rsidRDefault="00776130" w:rsidP="00A0796A">
            <w:pPr>
              <w:spacing w:after="85"/>
              <w:ind w:left="284" w:hanging="284"/>
            </w:pPr>
            <w:r w:rsidRPr="00776130">
              <w:rPr>
                <w:b/>
              </w:rPr>
              <w:t>2.</w:t>
            </w:r>
            <w:r>
              <w:tab/>
              <w:t>Partnering with patients, consumers and communities</w:t>
            </w:r>
          </w:p>
          <w:p w14:paraId="12B5BC0E" w14:textId="77777777" w:rsidR="00776130" w:rsidRDefault="00776130" w:rsidP="00A0796A">
            <w:pPr>
              <w:spacing w:after="85"/>
              <w:ind w:left="284" w:hanging="284"/>
            </w:pPr>
            <w:r w:rsidRPr="00776130">
              <w:rPr>
                <w:b/>
              </w:rPr>
              <w:t>3.</w:t>
            </w:r>
            <w:r>
              <w:tab/>
              <w:t>Quality, cost and value</w:t>
            </w:r>
          </w:p>
          <w:p w14:paraId="60FC11D1" w14:textId="77777777" w:rsidR="00776130" w:rsidRDefault="00776130" w:rsidP="00776130">
            <w:pPr>
              <w:ind w:left="284" w:hanging="284"/>
            </w:pPr>
            <w:r w:rsidRPr="00776130">
              <w:rPr>
                <w:b/>
              </w:rPr>
              <w:t>4.</w:t>
            </w:r>
            <w:r>
              <w:tab/>
              <w:t>Supporting health professionals to provide safe and high-quality care.</w:t>
            </w:r>
          </w:p>
        </w:tc>
      </w:tr>
    </w:tbl>
    <w:p w14:paraId="7894EBC6" w14:textId="77777777" w:rsidR="009858ED" w:rsidRDefault="009858ED" w:rsidP="00A0796A">
      <w:pPr>
        <w:pStyle w:val="BodyText"/>
        <w:spacing w:before="283"/>
      </w:pPr>
      <w:r>
        <w:t xml:space="preserve">The National Health Reform Act specifies the Commission’s roles and responsibilities as a corporate Commonwealth entity under the </w:t>
      </w:r>
      <w:r w:rsidRPr="00A0796A">
        <w:rPr>
          <w:rStyle w:val="Emphasis"/>
        </w:rPr>
        <w:t>Public Governance, Performance and Accountability Act 2013</w:t>
      </w:r>
      <w:r>
        <w:t>.</w:t>
      </w:r>
    </w:p>
    <w:p w14:paraId="0426042B" w14:textId="77777777" w:rsidR="009858ED" w:rsidRDefault="009858ED" w:rsidP="00A0796A">
      <w:pPr>
        <w:pStyle w:val="Heading2"/>
        <w:spacing w:before="397"/>
      </w:pPr>
      <w:r>
        <w:t>Our accountability</w:t>
      </w:r>
    </w:p>
    <w:p w14:paraId="417A9533" w14:textId="77777777" w:rsidR="009858ED" w:rsidRDefault="009858ED" w:rsidP="00A0796A">
      <w:pPr>
        <w:pStyle w:val="BodyText"/>
      </w:pPr>
      <w:r>
        <w:t xml:space="preserve">The Commission is a corporate Commonwealth entity and part of the Health portfolio of the Australian Government. </w:t>
      </w:r>
      <w:r w:rsidR="00FA117E">
        <w:br/>
      </w:r>
      <w:r>
        <w:t xml:space="preserve">As such, it is accountable to the Australian Parliament and the Minister for Health, </w:t>
      </w:r>
      <w:r w:rsidR="00FA117E">
        <w:br/>
      </w:r>
      <w:r>
        <w:t>the Honourable Greg Hunt.</w:t>
      </w:r>
    </w:p>
    <w:p w14:paraId="16BAAC7B" w14:textId="77777777" w:rsidR="009858ED" w:rsidRDefault="009858ED" w:rsidP="00A0796A">
      <w:pPr>
        <w:pStyle w:val="BodyText"/>
      </w:pPr>
    </w:p>
    <w:p w14:paraId="1277B431" w14:textId="77777777" w:rsidR="009F1AAF" w:rsidRDefault="009F1AAF">
      <w:pPr>
        <w:sectPr w:rsidR="009F1AAF" w:rsidSect="00776130">
          <w:type w:val="continuous"/>
          <w:pgSz w:w="9979" w:h="14175" w:code="9"/>
          <w:pgMar w:top="1418" w:right="680" w:bottom="851" w:left="1021" w:header="709" w:footer="709" w:gutter="0"/>
          <w:cols w:num="2" w:space="708"/>
          <w:docGrid w:linePitch="360"/>
        </w:sectPr>
      </w:pPr>
    </w:p>
    <w:p w14:paraId="1548768C" w14:textId="77777777" w:rsidR="009F1AAF" w:rsidRDefault="009F1AAF"/>
    <w:p w14:paraId="17F89BEC" w14:textId="77777777" w:rsidR="00A50D2D" w:rsidRDefault="00A50D2D">
      <w:pPr>
        <w:sectPr w:rsidR="00A50D2D" w:rsidSect="005F1364">
          <w:headerReference w:type="even" r:id="rId28"/>
          <w:pgSz w:w="9979" w:h="14175" w:code="34"/>
          <w:pgMar w:top="1134" w:right="680" w:bottom="851" w:left="1021" w:header="567" w:footer="397" w:gutter="0"/>
          <w:cols w:space="708"/>
          <w:docGrid w:linePitch="360"/>
        </w:sectPr>
      </w:pPr>
    </w:p>
    <w:p w14:paraId="37827604" w14:textId="77777777" w:rsidR="008224F8" w:rsidRPr="00AE5F74" w:rsidRDefault="008224F8" w:rsidP="00445743">
      <w:pPr>
        <w:pStyle w:val="ReportHeadings"/>
      </w:pPr>
      <w:r w:rsidRPr="00AE5F74">
        <w:lastRenderedPageBreak/>
        <w:t>Report from the Chair</w:t>
      </w:r>
    </w:p>
    <w:p w14:paraId="22F643A8" w14:textId="107E923E" w:rsidR="008224F8" w:rsidRPr="00C62431" w:rsidRDefault="008224F8" w:rsidP="00445743">
      <w:pPr>
        <w:pStyle w:val="ReportSubheading"/>
        <w:rPr>
          <w:sz w:val="15"/>
        </w:rPr>
      </w:pPr>
      <w:r w:rsidRPr="008224F8">
        <w:t xml:space="preserve">Professor Villis Marshall </w:t>
      </w:r>
      <w:r w:rsidR="00C62431" w:rsidRPr="00C62431">
        <w:rPr>
          <w:sz w:val="15"/>
        </w:rPr>
        <w:t>AC</w:t>
      </w:r>
    </w:p>
    <w:p w14:paraId="5C8E5374" w14:textId="77777777" w:rsidR="008224F8" w:rsidRDefault="008224F8"/>
    <w:p w14:paraId="5B2477A9" w14:textId="77777777" w:rsidR="00445743" w:rsidRDefault="00445743">
      <w:pPr>
        <w:sectPr w:rsidR="00445743" w:rsidSect="005F1364">
          <w:headerReference w:type="even" r:id="rId29"/>
          <w:headerReference w:type="default" r:id="rId30"/>
          <w:pgSz w:w="9979" w:h="14175" w:code="34"/>
          <w:pgMar w:top="1418" w:right="680" w:bottom="851" w:left="1021" w:header="567" w:footer="397" w:gutter="0"/>
          <w:cols w:space="708"/>
          <w:docGrid w:linePitch="360"/>
        </w:sectPr>
      </w:pPr>
    </w:p>
    <w:p w14:paraId="210F652A" w14:textId="77777777" w:rsidR="008224F8" w:rsidRDefault="008224F8" w:rsidP="00AE5F74">
      <w:pPr>
        <w:pStyle w:val="BodyText"/>
      </w:pPr>
      <w:r>
        <w:lastRenderedPageBreak/>
        <w:t>Millions of patient encounters take place across Australia’s health system each year. Generally, patients receive an excellent standard of care during these interactions. Treatments and technologies have improved to the point where we have much better health outcomes than previous generations.</w:t>
      </w:r>
    </w:p>
    <w:p w14:paraId="66A8BCC5" w14:textId="77777777" w:rsidR="008224F8" w:rsidRDefault="008224F8" w:rsidP="00AE5F74">
      <w:pPr>
        <w:pStyle w:val="BodyText"/>
      </w:pPr>
      <w:r>
        <w:t>However, excellence in health care is relative, and is more akin to a process than a condition. Each success cannot be an end in itself, but rather a stepping stone to the next achievement. This is particularly apposite for the Commission’s work. Better medicines and surgical techniques explain some of the health gains of recent decades, but better checks and balances, better systems, better partnerships and better ways of working are also fundamental.</w:t>
      </w:r>
    </w:p>
    <w:p w14:paraId="725EBA77" w14:textId="77777777" w:rsidR="008224F8" w:rsidRDefault="008224F8" w:rsidP="00AE5F74">
      <w:pPr>
        <w:pStyle w:val="BodyText"/>
      </w:pPr>
      <w:r>
        <w:t>In 2016–17, the Commission made a further significant contribution to these advances, covering safety perspectives, quality and appropriateness of care, support for practitioners and better resources for patients and consumers.</w:t>
      </w:r>
    </w:p>
    <w:p w14:paraId="37244C76" w14:textId="77777777" w:rsidR="008224F8" w:rsidRDefault="00FA117E" w:rsidP="00AE5F74">
      <w:pPr>
        <w:pStyle w:val="BodyText"/>
      </w:pPr>
      <w:r>
        <w:br w:type="column"/>
      </w:r>
      <w:r w:rsidR="008224F8">
        <w:lastRenderedPageBreak/>
        <w:t>The Commission’s foundational piece of work is the National Safety and Quality Health Service (NSQHS) Standards, which were introduced in 2011. The NSQHS Standards have had a very positive effect on the Australian health system and are responsible for a number of tangible and significant improvements nationally and at the local level. The Commission has built on this success by incorporating the lessons learnt from the NSQHS Standards into the development of the second edition of the NSQHS Standards, which have been approved by Australian health ministers. The second edition of the NSQHS Standards is due to be launched later this year and will consolidate and extend the positive impacts already seen.</w:t>
      </w:r>
    </w:p>
    <w:p w14:paraId="06960DA2" w14:textId="77777777" w:rsidR="008224F8" w:rsidRDefault="008224F8" w:rsidP="00AE5F74">
      <w:pPr>
        <w:pStyle w:val="BodyText"/>
      </w:pPr>
      <w:r>
        <w:t xml:space="preserve">Similarly, the launch of the </w:t>
      </w:r>
      <w:r w:rsidRPr="00BA1347">
        <w:rPr>
          <w:rStyle w:val="Emphasis"/>
        </w:rPr>
        <w:t>Australian Atlas of Healthcare Variation</w:t>
      </w:r>
      <w:r>
        <w:t xml:space="preserve"> in November 2015 proved a catalyst for focusing on appropriateness of care. Recommendations in the first Atlas prompted the Commission to start work on a number of new clinical care standards – including one on osteoarthritis of the knee, which was launched in May 2017. These recommendations helped shape the design of the Second </w:t>
      </w:r>
      <w:r w:rsidRPr="00BA1347">
        <w:rPr>
          <w:rStyle w:val="Emphasis"/>
        </w:rPr>
        <w:t>Australian Atlas of Healthcare Variation</w:t>
      </w:r>
      <w:r>
        <w:t>, launched in June, so that key issues could be explored in greater detail.</w:t>
      </w:r>
    </w:p>
    <w:p w14:paraId="4595AD42" w14:textId="77777777" w:rsidR="00445743" w:rsidRDefault="00445743" w:rsidP="00AE5F74">
      <w:pPr>
        <w:pStyle w:val="BodyText"/>
        <w:sectPr w:rsidR="00445743" w:rsidSect="005F1364">
          <w:type w:val="continuous"/>
          <w:pgSz w:w="9979" w:h="14175" w:code="34"/>
          <w:pgMar w:top="1418" w:right="680" w:bottom="851" w:left="1021" w:header="567" w:footer="397" w:gutter="0"/>
          <w:cols w:num="2" w:space="708"/>
          <w:docGrid w:linePitch="360"/>
        </w:sectPr>
      </w:pPr>
    </w:p>
    <w:p w14:paraId="1A2499AA" w14:textId="77777777" w:rsidR="00445743" w:rsidRDefault="00445743" w:rsidP="00445743">
      <w:pPr>
        <w:spacing w:after="3000"/>
      </w:pPr>
    </w:p>
    <w:p w14:paraId="0927DCB0" w14:textId="77777777" w:rsidR="00445743" w:rsidRDefault="00445743" w:rsidP="00AE5F74">
      <w:pPr>
        <w:pStyle w:val="BodyText"/>
        <w:sectPr w:rsidR="00445743" w:rsidSect="005F1364">
          <w:pgSz w:w="9979" w:h="14175" w:code="34"/>
          <w:pgMar w:top="1418" w:right="680" w:bottom="851" w:left="1021" w:header="567" w:footer="397" w:gutter="0"/>
          <w:cols w:space="708"/>
          <w:docGrid w:linePitch="360"/>
        </w:sectPr>
      </w:pPr>
    </w:p>
    <w:p w14:paraId="5949FBD1" w14:textId="77777777" w:rsidR="008224F8" w:rsidRDefault="00AE5F74" w:rsidP="00AE5F74">
      <w:pPr>
        <w:pStyle w:val="BodyText"/>
      </w:pPr>
      <w:r>
        <w:lastRenderedPageBreak/>
        <w:t>Lik</w:t>
      </w:r>
      <w:r w:rsidR="008224F8">
        <w:t>ewise, the Commission has built on its previous work in supporting healthcare professionals, and also consumers, with a range of new products, documents and other resources. These include a suite of documents designed to help clinicians identify and prevent hospital-acquired complications, as well as many other valuable tools in the areas of antimicrobial resistance, medication safety and e-health, cognitive impairment and mental health care. The Commission is also seeking to engage consumers more than ever before: this year the Commission has released decision</w:t>
      </w:r>
      <w:r w:rsidR="00C505AD">
        <w:t>-</w:t>
      </w:r>
      <w:r w:rsidR="008224F8">
        <w:t xml:space="preserve">support aids for consumers, a revised list of healthcare </w:t>
      </w:r>
      <w:r w:rsidR="008224F8">
        <w:rPr>
          <w:rFonts w:cs="Arial"/>
        </w:rPr>
        <w:t>‘</w:t>
      </w:r>
      <w:r w:rsidR="008224F8">
        <w:t>top tips</w:t>
      </w:r>
      <w:r w:rsidR="008224F8">
        <w:rPr>
          <w:rFonts w:cs="Arial"/>
        </w:rPr>
        <w:t>’</w:t>
      </w:r>
      <w:r w:rsidR="008224F8">
        <w:t xml:space="preserve">, and an innovative online </w:t>
      </w:r>
      <w:r w:rsidR="008224F8">
        <w:rPr>
          <w:rFonts w:cs="Arial"/>
        </w:rPr>
        <w:t>‘</w:t>
      </w:r>
      <w:r w:rsidR="008224F8">
        <w:t>question builder</w:t>
      </w:r>
      <w:r w:rsidR="008224F8">
        <w:rPr>
          <w:rFonts w:cs="Arial"/>
        </w:rPr>
        <w:t>’</w:t>
      </w:r>
      <w:r w:rsidR="008224F8">
        <w:t xml:space="preserve"> designed to help members of the public navigate their healthcare journey more confidently.</w:t>
      </w:r>
      <w:r w:rsidR="00445743">
        <w:br w:type="column"/>
      </w:r>
      <w:r w:rsidR="008224F8">
        <w:lastRenderedPageBreak/>
        <w:t>Each of these examples shows the Commission becoming more sophisticated in delivering on its mission to lead national improvements in the safety and quality of health care. The huge improvements already seen in health care mean that the nature of the improvement challenge is changing: new and more complex approaches must be developed to ensure further improvements can be made. The Commission is ready for this challenge, and I look forward to its progress and its success in the coming year.</w:t>
      </w:r>
    </w:p>
    <w:p w14:paraId="064E5D64" w14:textId="77777777" w:rsidR="008224F8" w:rsidRDefault="008224F8" w:rsidP="00AE5F74">
      <w:pPr>
        <w:pStyle w:val="BodyText"/>
      </w:pPr>
      <w:r>
        <w:t>My thanks go to the members of the Commission’s Board for their advice throughout 2016–17. On behalf of Board members, I would also like to thank Minister Hunt, the Commission’s executive team and employees for their continued commitment to delivering our work priorities. Their significant achievements are described in detail throughout this report.</w:t>
      </w:r>
    </w:p>
    <w:p w14:paraId="07617E5A" w14:textId="77777777" w:rsidR="00A50D2D" w:rsidRDefault="00A50D2D">
      <w:pPr>
        <w:sectPr w:rsidR="00A50D2D" w:rsidSect="005F1364">
          <w:type w:val="continuous"/>
          <w:pgSz w:w="9979" w:h="14175" w:code="34"/>
          <w:pgMar w:top="1418" w:right="680" w:bottom="851" w:left="1021" w:header="567" w:footer="397" w:gutter="0"/>
          <w:cols w:num="2" w:space="708"/>
          <w:docGrid w:linePitch="360"/>
        </w:sectPr>
      </w:pPr>
    </w:p>
    <w:p w14:paraId="4238FEF0" w14:textId="77777777" w:rsidR="00A50D2D" w:rsidRDefault="008224F8" w:rsidP="00445743">
      <w:pPr>
        <w:pStyle w:val="ReportHeadings"/>
      </w:pPr>
      <w:r w:rsidRPr="008224F8">
        <w:lastRenderedPageBreak/>
        <w:t>Report from the CEO</w:t>
      </w:r>
    </w:p>
    <w:p w14:paraId="1F991887" w14:textId="08BD9B9E" w:rsidR="008224F8" w:rsidRDefault="008224F8" w:rsidP="00445743">
      <w:pPr>
        <w:pStyle w:val="ReportSubheading"/>
      </w:pPr>
      <w:r w:rsidRPr="008224F8">
        <w:t xml:space="preserve">Adjunct Professor Debora </w:t>
      </w:r>
      <w:proofErr w:type="spellStart"/>
      <w:r w:rsidRPr="008224F8">
        <w:t>Picone</w:t>
      </w:r>
      <w:proofErr w:type="spellEnd"/>
      <w:r w:rsidRPr="008224F8">
        <w:t xml:space="preserve"> </w:t>
      </w:r>
      <w:r w:rsidR="00C62431" w:rsidRPr="00C62431">
        <w:rPr>
          <w:sz w:val="15"/>
        </w:rPr>
        <w:t>AM</w:t>
      </w:r>
    </w:p>
    <w:p w14:paraId="4F4EB6A1" w14:textId="77777777" w:rsidR="008224F8" w:rsidRDefault="008224F8"/>
    <w:p w14:paraId="19C11230" w14:textId="77777777" w:rsidR="008224F8" w:rsidRDefault="008224F8">
      <w:pPr>
        <w:sectPr w:rsidR="008224F8" w:rsidSect="005F1364">
          <w:headerReference w:type="even" r:id="rId31"/>
          <w:headerReference w:type="default" r:id="rId32"/>
          <w:pgSz w:w="9979" w:h="14175" w:code="34"/>
          <w:pgMar w:top="1418" w:right="680" w:bottom="851" w:left="1021" w:header="567" w:footer="397" w:gutter="0"/>
          <w:cols w:space="708"/>
          <w:docGrid w:linePitch="360"/>
        </w:sectPr>
      </w:pPr>
    </w:p>
    <w:p w14:paraId="1EE36ACB" w14:textId="77777777" w:rsidR="008224F8" w:rsidRDefault="008224F8" w:rsidP="00AE5F74">
      <w:pPr>
        <w:pStyle w:val="BodyText"/>
      </w:pPr>
      <w:r>
        <w:lastRenderedPageBreak/>
        <w:t>This has been a year of outstanding achievement for the Commission and its partners. This annual report is a snapshot of the Commission’s work in collaboration with the Australian Government and state and territory governments, clinicians, consumer and patient groups, and the private sector in improving the safety and quality of the Australian healthcare system.</w:t>
      </w:r>
    </w:p>
    <w:p w14:paraId="1584BFCC" w14:textId="77777777" w:rsidR="008224F8" w:rsidRDefault="008224F8" w:rsidP="00AE5F74">
      <w:pPr>
        <w:pStyle w:val="BodyText"/>
      </w:pPr>
      <w:r>
        <w:t>I am pleased to report that the implementation of the National Safety and Quality Health Service (NSQHS) Standards continues to be a success, with 100% of health services assessed against the NSQHS Standards at least once, and a number having undergone a second assessment.</w:t>
      </w:r>
    </w:p>
    <w:p w14:paraId="20BEA49E" w14:textId="376CAF7E" w:rsidR="008224F8" w:rsidRDefault="008224F8" w:rsidP="00AE5F74">
      <w:pPr>
        <w:pStyle w:val="BodyText"/>
      </w:pPr>
      <w:r>
        <w:t>After extensive consultation, the second edition of the NSQHS Standards has been completed and approved by the COAG Health Council. The Commission has also undertaken significant consultation on supporting documentation including an NSQHS Standards user guide for Aboriginal and Torres Strait Islander services, resources for hospitals, multipurpose services and day procedure services, and fact sheets for consumer organisations. The Commission continues to provide implementation support and advice via the NSQHS Standards Advice Centre.</w:t>
      </w:r>
      <w:r w:rsidR="00445743">
        <w:br w:type="column"/>
      </w:r>
      <w:r>
        <w:lastRenderedPageBreak/>
        <w:t xml:space="preserve">In June, the Commission launched the </w:t>
      </w:r>
      <w:r w:rsidR="00FA117E">
        <w:br/>
      </w:r>
      <w:r w:rsidRPr="00FA117E">
        <w:rPr>
          <w:i/>
        </w:rPr>
        <w:t>Second</w:t>
      </w:r>
      <w:r>
        <w:t xml:space="preserve"> </w:t>
      </w:r>
      <w:r w:rsidRPr="00BA1347">
        <w:rPr>
          <w:rStyle w:val="Emphasis"/>
        </w:rPr>
        <w:t>Australian Atlas of Healthcare Variation</w:t>
      </w:r>
      <w:r>
        <w:t xml:space="preserve">. As with the first Atlas, the second Atlas demonstrates significant variations in treatment for the same conditions across Australia. The second Atlas has a focus on acute care, with indicators in the areas of surgical interventions, women’s and maternity health, chronic disease and infection, and cardiovascular conditions. One of the innovations in the second Atlas is being able to look at data in new ways, including whether treatment was publicly or privately funded, </w:t>
      </w:r>
      <w:r w:rsidR="0095432F">
        <w:br/>
      </w:r>
      <w:r>
        <w:t>and according to Aboriginal and Torres Strait Islander status.</w:t>
      </w:r>
    </w:p>
    <w:p w14:paraId="4CBDFB05" w14:textId="77777777" w:rsidR="008224F8" w:rsidRDefault="008224F8" w:rsidP="00445743">
      <w:pPr>
        <w:pStyle w:val="BodyText"/>
      </w:pPr>
      <w:r>
        <w:t>The Atlas project is a key part of the Commission’s priority to support the health system to reduce unwarranted clinical variation. This year we have released three clinical care standards – on hip fracture care, delirium, and most recently on appropriate treatment for osteoarthritis of the knee, one of the indicators featured in the first Atlas. We will be releasing more clinical care standards in the coming year, including one relating to treatment for heavy menstrual bleeding arising from data in both atlases on variation in rates of endometrial ablation and hysterectomy.</w:t>
      </w:r>
    </w:p>
    <w:p w14:paraId="2F53BC72" w14:textId="77777777" w:rsidR="00445743" w:rsidRDefault="00445743">
      <w:pPr>
        <w:sectPr w:rsidR="00445743" w:rsidSect="005F1364">
          <w:type w:val="continuous"/>
          <w:pgSz w:w="9979" w:h="14175" w:code="34"/>
          <w:pgMar w:top="1418" w:right="680" w:bottom="851" w:left="1021" w:header="567" w:footer="397" w:gutter="0"/>
          <w:cols w:num="2" w:space="708"/>
          <w:docGrid w:linePitch="360"/>
        </w:sectPr>
      </w:pPr>
    </w:p>
    <w:p w14:paraId="3A711BC9" w14:textId="77777777" w:rsidR="00445743" w:rsidRDefault="00445743" w:rsidP="00445743">
      <w:pPr>
        <w:spacing w:after="3000"/>
      </w:pPr>
    </w:p>
    <w:p w14:paraId="2043B49B" w14:textId="77777777" w:rsidR="00445743" w:rsidRDefault="00445743">
      <w:pPr>
        <w:sectPr w:rsidR="00445743" w:rsidSect="005F1364">
          <w:pgSz w:w="9979" w:h="14175" w:code="34"/>
          <w:pgMar w:top="1418" w:right="680" w:bottom="851" w:left="1021" w:header="567" w:footer="397" w:gutter="0"/>
          <w:cols w:space="708"/>
          <w:docGrid w:linePitch="360"/>
        </w:sectPr>
      </w:pPr>
    </w:p>
    <w:p w14:paraId="607455D4" w14:textId="77777777" w:rsidR="008224F8" w:rsidRDefault="008224F8" w:rsidP="00445743">
      <w:pPr>
        <w:pStyle w:val="BodyText"/>
      </w:pPr>
      <w:r>
        <w:lastRenderedPageBreak/>
        <w:t xml:space="preserve">The Commission is the lead agency responsible for coordinating Australia’s response to antimicrobial resistance, and our national Antimicrobial Use and Resistance in Australia (AURA) surveillance program continues to grow. There are now 159 hospitals across Australia participating in antibiotic usage monitoring and 281 are contributing information on appropriateness. </w:t>
      </w:r>
    </w:p>
    <w:p w14:paraId="6A0D96B5" w14:textId="3AF01BDC" w:rsidR="008224F8" w:rsidRDefault="008224F8" w:rsidP="00445743">
      <w:pPr>
        <w:pStyle w:val="BodyText"/>
      </w:pPr>
      <w:r>
        <w:t xml:space="preserve">Supporting consumers to be partners in their own health care is critical to improving safety and quality. This year we have released a revised and updated version of one of our important resources for consumers and primary care practitioners, </w:t>
      </w:r>
      <w:r w:rsidRPr="007D7BC6">
        <w:rPr>
          <w:i/>
        </w:rPr>
        <w:t>Top Tips for Safe Health Care</w:t>
      </w:r>
      <w:r>
        <w:t>. We also released the Question Builder, a web-based tool designed to help patients ask the questions that matter to them when visiting their doctor or specialist. The Commission is also working to support clinicians to work in partnership with their patients. In collaboration with four specialist clinical colleges, we have completed work on education modules to assist clinicians to better communicate risk to consumers. These were released in the second half of 2017.</w:t>
      </w:r>
      <w:r w:rsidR="00445743">
        <w:br w:type="column"/>
      </w:r>
      <w:r>
        <w:lastRenderedPageBreak/>
        <w:t xml:space="preserve">The Commission has worked with the Australian Government and state and territory partners to incorporate quality and safety into hospital pricing and funding to improve patient health outcomes. The Commission, with clinicians, consumers and technical experts, </w:t>
      </w:r>
      <w:r w:rsidR="007D7BC6">
        <w:br/>
      </w:r>
      <w:r>
        <w:t xml:space="preserve">is revising the national sentinel events list, developed a list of hospital-acquired complications and clinical conditions that could be considered as avoidable hospital readmissions. The COAG Health Council will oversee the continuing development, implementation and ongoing refinement of reforms to integrate safety and quality into the pricing and funding of public hospital services. </w:t>
      </w:r>
    </w:p>
    <w:p w14:paraId="265B7ECA" w14:textId="77777777" w:rsidR="008224F8" w:rsidRDefault="008224F8" w:rsidP="00445743">
      <w:pPr>
        <w:pStyle w:val="BodyText"/>
      </w:pPr>
      <w:r>
        <w:t xml:space="preserve">On 1 January 2017 the National General Practice Accreditation Scheme commenced. Developed by the Commission in conjunction with the Royal Australian College of General Practitioners (RACGP), the scheme offers greater choice to general practices seeking accreditation. </w:t>
      </w:r>
    </w:p>
    <w:p w14:paraId="1F1BC77A" w14:textId="77777777" w:rsidR="008224F8" w:rsidRDefault="008224F8" w:rsidP="00445743">
      <w:pPr>
        <w:pStyle w:val="BodyText"/>
      </w:pPr>
      <w:r>
        <w:t>Finally, my thanks go to the Commission Board, health ministers, and health chief executive officers for their leadership. Thanks also to our Australian Government and state and territory partners, private sector colleagues, clinical and consumer advisors, and the outstanding staff of the Commission for our achievements this year.</w:t>
      </w:r>
    </w:p>
    <w:p w14:paraId="07C060BA" w14:textId="77777777" w:rsidR="00A50D2D" w:rsidRDefault="00A50D2D">
      <w:pPr>
        <w:sectPr w:rsidR="00A50D2D" w:rsidSect="005F1364">
          <w:type w:val="continuous"/>
          <w:pgSz w:w="9979" w:h="14175" w:code="34"/>
          <w:pgMar w:top="1418" w:right="680" w:bottom="851" w:left="1021" w:header="567" w:footer="397" w:gutter="0"/>
          <w:cols w:num="2" w:space="708"/>
          <w:docGrid w:linePitch="360"/>
        </w:sectPr>
      </w:pPr>
    </w:p>
    <w:p w14:paraId="7A4B6508" w14:textId="77777777" w:rsidR="004D7AD7" w:rsidRDefault="004D7AD7" w:rsidP="002214DD">
      <w:pPr>
        <w:pStyle w:val="Heading1"/>
      </w:pPr>
      <w:r w:rsidRPr="004D7AD7">
        <w:lastRenderedPageBreak/>
        <w:t>Strategic Plan 2016–2019</w:t>
      </w:r>
    </w:p>
    <w:p w14:paraId="396FDD37" w14:textId="77777777" w:rsidR="00A50D2D" w:rsidRDefault="00A50D2D">
      <w:r>
        <w:br w:type="page"/>
      </w:r>
    </w:p>
    <w:p w14:paraId="138663D2" w14:textId="77777777" w:rsidR="00A50D2D" w:rsidRDefault="00A50D2D"/>
    <w:p w14:paraId="25B024CA" w14:textId="77777777" w:rsidR="00A50D2D" w:rsidRDefault="00A50D2D">
      <w:pPr>
        <w:sectPr w:rsidR="00A50D2D" w:rsidSect="005F1364">
          <w:headerReference w:type="even" r:id="rId33"/>
          <w:headerReference w:type="default" r:id="rId34"/>
          <w:pgSz w:w="9979" w:h="14175" w:code="34"/>
          <w:pgMar w:top="1304" w:right="680" w:bottom="851" w:left="1021" w:header="567" w:footer="397" w:gutter="0"/>
          <w:cols w:space="708"/>
          <w:docGrid w:linePitch="360"/>
        </w:sectPr>
      </w:pPr>
    </w:p>
    <w:p w14:paraId="71802761" w14:textId="77777777" w:rsidR="00A50D2D" w:rsidRDefault="00A50D2D">
      <w:r>
        <w:lastRenderedPageBreak/>
        <w:br w:type="page"/>
      </w:r>
    </w:p>
    <w:p w14:paraId="5C73B7D0" w14:textId="77777777" w:rsidR="00A50D2D" w:rsidRDefault="00A50D2D">
      <w:pPr>
        <w:sectPr w:rsidR="00A50D2D" w:rsidSect="005F1364">
          <w:headerReference w:type="even" r:id="rId35"/>
          <w:headerReference w:type="default" r:id="rId36"/>
          <w:footerReference w:type="even" r:id="rId37"/>
          <w:pgSz w:w="9979" w:h="14175" w:code="34"/>
          <w:pgMar w:top="1418" w:right="680" w:bottom="851" w:left="1021" w:header="567" w:footer="397" w:gutter="0"/>
          <w:cols w:space="708"/>
          <w:docGrid w:linePitch="360"/>
        </w:sectPr>
      </w:pPr>
    </w:p>
    <w:p w14:paraId="5E5F7EE7" w14:textId="77777777" w:rsidR="004D7AD7" w:rsidRDefault="004D7AD7" w:rsidP="002214DD">
      <w:pPr>
        <w:pStyle w:val="SectionHeading"/>
      </w:pPr>
      <w:r w:rsidRPr="002214DD">
        <w:lastRenderedPageBreak/>
        <w:t>Report</w:t>
      </w:r>
      <w:r w:rsidRPr="004D7AD7">
        <w:t xml:space="preserve"> on performance</w:t>
      </w:r>
    </w:p>
    <w:p w14:paraId="109443AE" w14:textId="77777777" w:rsidR="004D7AD7" w:rsidRDefault="004D7AD7"/>
    <w:p w14:paraId="22F522EF" w14:textId="77777777" w:rsidR="004D7AD7" w:rsidRDefault="004D7AD7" w:rsidP="002214DD">
      <w:pPr>
        <w:pStyle w:val="SectionIntroCopy"/>
      </w:pPr>
      <w:r w:rsidRPr="002214DD">
        <w:t>This</w:t>
      </w:r>
      <w:r>
        <w:t xml:space="preserve"> section details the Commission’s achievements against its four priority areas. It also includes an overview of the state of safety and quality in Australian health care.</w:t>
      </w:r>
    </w:p>
    <w:tbl>
      <w:tblPr>
        <w:tblStyle w:val="TableGrid"/>
        <w:tblW w:w="0" w:type="auto"/>
        <w:tblBorders>
          <w:top w:val="none" w:sz="0" w:space="0" w:color="auto"/>
          <w:left w:val="none" w:sz="0" w:space="0" w:color="auto"/>
          <w:bottom w:val="single" w:sz="8" w:space="0" w:color="FFFFFF" w:themeColor="background2"/>
          <w:right w:val="none" w:sz="0" w:space="0" w:color="auto"/>
          <w:insideH w:val="single" w:sz="8" w:space="0" w:color="FFFFFF" w:themeColor="background2"/>
          <w:insideV w:val="none" w:sz="0" w:space="0" w:color="auto"/>
        </w:tblBorders>
        <w:tblCellMar>
          <w:left w:w="0" w:type="dxa"/>
          <w:right w:w="0" w:type="dxa"/>
        </w:tblCellMar>
        <w:tblLook w:val="04A0" w:firstRow="1" w:lastRow="0" w:firstColumn="1" w:lastColumn="0" w:noHBand="0" w:noVBand="1"/>
        <w:tblCaption w:val="Report on Performance"/>
        <w:tblDescription w:val="Table of contents"/>
      </w:tblPr>
      <w:tblGrid>
        <w:gridCol w:w="4979"/>
        <w:gridCol w:w="974"/>
      </w:tblGrid>
      <w:tr w:rsidR="00D96672" w14:paraId="23163E3C" w14:textId="77777777" w:rsidTr="00C62431">
        <w:tc>
          <w:tcPr>
            <w:tcW w:w="4979" w:type="dxa"/>
          </w:tcPr>
          <w:p w14:paraId="3149F18F" w14:textId="77777777" w:rsidR="00D96672" w:rsidRPr="00D96672" w:rsidRDefault="00D96672" w:rsidP="007D7BC6">
            <w:pPr>
              <w:pStyle w:val="Reportcontent"/>
              <w:spacing w:after="120"/>
            </w:pPr>
            <w:r w:rsidRPr="00D96672">
              <w:t>Priority 1: Patient safety</w:t>
            </w:r>
          </w:p>
        </w:tc>
        <w:tc>
          <w:tcPr>
            <w:tcW w:w="974" w:type="dxa"/>
          </w:tcPr>
          <w:p w14:paraId="7CC4C068" w14:textId="77777777" w:rsidR="00D96672" w:rsidRPr="00D96672" w:rsidRDefault="00D96672" w:rsidP="007D7BC6">
            <w:pPr>
              <w:pStyle w:val="Reportcontent"/>
              <w:spacing w:after="120"/>
              <w:jc w:val="right"/>
            </w:pPr>
            <w:r w:rsidRPr="00D96672">
              <w:t>16</w:t>
            </w:r>
          </w:p>
        </w:tc>
      </w:tr>
      <w:tr w:rsidR="00D96672" w14:paraId="6E8B4D06" w14:textId="77777777" w:rsidTr="00C62431">
        <w:tc>
          <w:tcPr>
            <w:tcW w:w="4979" w:type="dxa"/>
          </w:tcPr>
          <w:p w14:paraId="275E3F5E" w14:textId="77777777" w:rsidR="00D96672" w:rsidRPr="00D96672" w:rsidRDefault="00D96672" w:rsidP="007D7BC6">
            <w:pPr>
              <w:pStyle w:val="Reportcontent"/>
              <w:spacing w:after="120"/>
            </w:pPr>
            <w:r w:rsidRPr="00D96672">
              <w:t>Priority 2: Partnering with patients, consumers</w:t>
            </w:r>
            <w:r w:rsidRPr="00D96672">
              <w:br/>
              <w:t>and communities</w:t>
            </w:r>
          </w:p>
        </w:tc>
        <w:tc>
          <w:tcPr>
            <w:tcW w:w="974" w:type="dxa"/>
          </w:tcPr>
          <w:p w14:paraId="65B1BC22" w14:textId="77777777" w:rsidR="00D96672" w:rsidRPr="00D96672" w:rsidRDefault="00D96672" w:rsidP="007D7BC6">
            <w:pPr>
              <w:pStyle w:val="Reportcontent"/>
              <w:spacing w:after="120"/>
              <w:jc w:val="right"/>
            </w:pPr>
            <w:r>
              <w:br/>
            </w:r>
            <w:r w:rsidRPr="00D96672">
              <w:t>33</w:t>
            </w:r>
          </w:p>
        </w:tc>
      </w:tr>
      <w:tr w:rsidR="00D96672" w14:paraId="62E4C2C7" w14:textId="77777777" w:rsidTr="00C62431">
        <w:tc>
          <w:tcPr>
            <w:tcW w:w="4979" w:type="dxa"/>
          </w:tcPr>
          <w:p w14:paraId="7116D5DD" w14:textId="77777777" w:rsidR="00D96672" w:rsidRPr="00D96672" w:rsidRDefault="00D96672" w:rsidP="007D7BC6">
            <w:pPr>
              <w:pStyle w:val="Reportcontent"/>
              <w:spacing w:after="120"/>
            </w:pPr>
            <w:r w:rsidRPr="00D96672">
              <w:t>Priority 3: Quality, cost and value</w:t>
            </w:r>
          </w:p>
        </w:tc>
        <w:tc>
          <w:tcPr>
            <w:tcW w:w="974" w:type="dxa"/>
          </w:tcPr>
          <w:p w14:paraId="141774B3" w14:textId="77777777" w:rsidR="00D96672" w:rsidRPr="00D96672" w:rsidRDefault="00D96672" w:rsidP="007D7BC6">
            <w:pPr>
              <w:pStyle w:val="Reportcontent"/>
              <w:spacing w:after="120"/>
              <w:jc w:val="right"/>
            </w:pPr>
            <w:r w:rsidRPr="00D96672">
              <w:t>37</w:t>
            </w:r>
          </w:p>
        </w:tc>
      </w:tr>
      <w:tr w:rsidR="00D96672" w14:paraId="2AC1D9E4" w14:textId="77777777" w:rsidTr="00C62431">
        <w:tc>
          <w:tcPr>
            <w:tcW w:w="4979" w:type="dxa"/>
          </w:tcPr>
          <w:p w14:paraId="7D113EA1" w14:textId="25F4113C" w:rsidR="00D96672" w:rsidRPr="00D96672" w:rsidRDefault="00D96672" w:rsidP="007D7BC6">
            <w:pPr>
              <w:pStyle w:val="Reportcontent"/>
              <w:spacing w:after="120"/>
            </w:pPr>
            <w:r w:rsidRPr="00D96672">
              <w:t>Priority 4: Supporting health professionals to provide safe and high</w:t>
            </w:r>
            <w:r w:rsidR="0044323F">
              <w:t>-</w:t>
            </w:r>
            <w:r w:rsidRPr="00D96672">
              <w:t>quality care</w:t>
            </w:r>
          </w:p>
        </w:tc>
        <w:tc>
          <w:tcPr>
            <w:tcW w:w="974" w:type="dxa"/>
          </w:tcPr>
          <w:p w14:paraId="199CADBD" w14:textId="77777777" w:rsidR="00D96672" w:rsidRPr="00D96672" w:rsidRDefault="00D96672" w:rsidP="007D7BC6">
            <w:pPr>
              <w:pStyle w:val="Reportcontent"/>
              <w:spacing w:after="120"/>
              <w:jc w:val="right"/>
            </w:pPr>
            <w:r>
              <w:br/>
            </w:r>
            <w:r w:rsidRPr="00D96672">
              <w:t>44</w:t>
            </w:r>
          </w:p>
        </w:tc>
      </w:tr>
      <w:tr w:rsidR="00D96672" w14:paraId="49450117" w14:textId="77777777" w:rsidTr="00C62431">
        <w:tc>
          <w:tcPr>
            <w:tcW w:w="4979" w:type="dxa"/>
          </w:tcPr>
          <w:p w14:paraId="69D0DC70" w14:textId="6A3B3737" w:rsidR="00D96672" w:rsidRPr="00C62431" w:rsidRDefault="00D96672" w:rsidP="00C62431">
            <w:pPr>
              <w:pStyle w:val="Reportcontent"/>
              <w:spacing w:after="120"/>
              <w:rPr>
                <w:spacing w:val="-6"/>
              </w:rPr>
            </w:pPr>
            <w:r w:rsidRPr="00C62431">
              <w:rPr>
                <w:spacing w:val="-6"/>
              </w:rPr>
              <w:t xml:space="preserve">The state of safety and quality in Australian </w:t>
            </w:r>
            <w:r w:rsidR="00C62431">
              <w:rPr>
                <w:spacing w:val="-6"/>
              </w:rPr>
              <w:br/>
            </w:r>
            <w:r w:rsidRPr="00C62431">
              <w:rPr>
                <w:spacing w:val="-6"/>
              </w:rPr>
              <w:t>health</w:t>
            </w:r>
            <w:r w:rsidR="00C62431" w:rsidRPr="00C62431">
              <w:rPr>
                <w:spacing w:val="-6"/>
              </w:rPr>
              <w:t xml:space="preserve"> </w:t>
            </w:r>
            <w:r w:rsidRPr="00C62431">
              <w:rPr>
                <w:spacing w:val="-6"/>
              </w:rPr>
              <w:t xml:space="preserve">care </w:t>
            </w:r>
          </w:p>
        </w:tc>
        <w:tc>
          <w:tcPr>
            <w:tcW w:w="974" w:type="dxa"/>
          </w:tcPr>
          <w:p w14:paraId="0CA5A203" w14:textId="5223854B" w:rsidR="00D96672" w:rsidRPr="00D96672" w:rsidRDefault="00C62431" w:rsidP="007D7BC6">
            <w:pPr>
              <w:pStyle w:val="Reportcontent"/>
              <w:spacing w:after="120"/>
              <w:jc w:val="right"/>
            </w:pPr>
            <w:r>
              <w:br/>
            </w:r>
            <w:r w:rsidR="00D96672" w:rsidRPr="00D96672">
              <w:t>47</w:t>
            </w:r>
          </w:p>
        </w:tc>
      </w:tr>
      <w:tr w:rsidR="00C62431" w14:paraId="70677E5C" w14:textId="77777777" w:rsidTr="00C62431">
        <w:tc>
          <w:tcPr>
            <w:tcW w:w="4979" w:type="dxa"/>
          </w:tcPr>
          <w:p w14:paraId="19FE00BA" w14:textId="359A2E6A" w:rsidR="00C62431" w:rsidRPr="00D96672" w:rsidRDefault="00C62431" w:rsidP="007D7BC6">
            <w:pPr>
              <w:pStyle w:val="Reportcontent"/>
              <w:spacing w:after="120"/>
            </w:pPr>
            <w:r w:rsidRPr="00D96672">
              <w:t>Annual performance statements</w:t>
            </w:r>
          </w:p>
        </w:tc>
        <w:tc>
          <w:tcPr>
            <w:tcW w:w="974" w:type="dxa"/>
          </w:tcPr>
          <w:p w14:paraId="406EA973" w14:textId="61EAA1C4" w:rsidR="00C62431" w:rsidRDefault="00C62431" w:rsidP="00C62431">
            <w:pPr>
              <w:pStyle w:val="Reportcontent"/>
              <w:spacing w:after="120"/>
              <w:jc w:val="right"/>
            </w:pPr>
            <w:r w:rsidRPr="00D96672">
              <w:t>4</w:t>
            </w:r>
            <w:r>
              <w:t>9</w:t>
            </w:r>
          </w:p>
        </w:tc>
      </w:tr>
    </w:tbl>
    <w:p w14:paraId="7747AB70" w14:textId="77777777" w:rsidR="00A50D2D" w:rsidRDefault="00A50D2D">
      <w:pPr>
        <w:sectPr w:rsidR="00A50D2D" w:rsidSect="005F1364">
          <w:pgSz w:w="9979" w:h="14175" w:code="34"/>
          <w:pgMar w:top="1418" w:right="680" w:bottom="851" w:left="1021" w:header="567" w:footer="397" w:gutter="0"/>
          <w:cols w:space="708"/>
          <w:docGrid w:linePitch="360"/>
        </w:sectPr>
      </w:pPr>
    </w:p>
    <w:p w14:paraId="1388F0F6" w14:textId="77777777" w:rsidR="00A50D2D" w:rsidRDefault="004D7AD7" w:rsidP="00890266">
      <w:pPr>
        <w:pStyle w:val="Heading1"/>
      </w:pPr>
      <w:r w:rsidRPr="004D7AD7">
        <w:lastRenderedPageBreak/>
        <w:t>Priority 1: Patient safety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F0EE" w:themeFill="accent4"/>
        <w:tblLayout w:type="fixed"/>
        <w:tblCellMar>
          <w:top w:w="284" w:type="dxa"/>
          <w:left w:w="284" w:type="dxa"/>
          <w:bottom w:w="284" w:type="dxa"/>
          <w:right w:w="284" w:type="dxa"/>
        </w:tblCellMar>
        <w:tblLook w:val="04A0" w:firstRow="1" w:lastRow="0" w:firstColumn="1" w:lastColumn="0" w:noHBand="0" w:noVBand="1"/>
        <w:tblCaption w:val="Introduction - Priority 1: Patient safety"/>
      </w:tblPr>
      <w:tblGrid>
        <w:gridCol w:w="8273"/>
      </w:tblGrid>
      <w:tr w:rsidR="004D7AD7" w14:paraId="55E9FFA9" w14:textId="77777777" w:rsidTr="00890266">
        <w:tc>
          <w:tcPr>
            <w:tcW w:w="8273" w:type="dxa"/>
            <w:shd w:val="clear" w:color="auto" w:fill="F1F0EE" w:themeFill="accent4"/>
          </w:tcPr>
          <w:p w14:paraId="0790B7DB" w14:textId="77777777" w:rsidR="004D7AD7" w:rsidRDefault="004D7AD7" w:rsidP="00890266">
            <w:pPr>
              <w:pStyle w:val="IntroCopy0"/>
            </w:pPr>
            <w:r w:rsidRPr="004D7AD7">
              <w:t>This priority area aims to ensure patients and consumers are kept safe from preventable harm.</w:t>
            </w:r>
          </w:p>
        </w:tc>
      </w:tr>
    </w:tbl>
    <w:p w14:paraId="0D01CB97" w14:textId="77777777" w:rsidR="004D7AD7" w:rsidRDefault="004D7AD7"/>
    <w:p w14:paraId="18EC277D" w14:textId="77777777" w:rsidR="004D7AD7" w:rsidRDefault="004D7AD7">
      <w:pPr>
        <w:sectPr w:rsidR="004D7AD7" w:rsidSect="005F1364">
          <w:headerReference w:type="even" r:id="rId38"/>
          <w:headerReference w:type="default" r:id="rId39"/>
          <w:footerReference w:type="even" r:id="rId40"/>
          <w:pgSz w:w="9979" w:h="14175" w:code="34"/>
          <w:pgMar w:top="1418" w:right="680" w:bottom="851" w:left="1021" w:header="567" w:footer="397" w:gutter="0"/>
          <w:cols w:space="708"/>
          <w:docGrid w:linePitch="360"/>
        </w:sectPr>
      </w:pPr>
    </w:p>
    <w:p w14:paraId="36B3B2C3" w14:textId="77777777" w:rsidR="004D7AD7" w:rsidRPr="00890266" w:rsidRDefault="004D7AD7" w:rsidP="00890266">
      <w:pPr>
        <w:pStyle w:val="Heading2"/>
      </w:pPr>
      <w:r w:rsidRPr="00890266">
        <w:lastRenderedPageBreak/>
        <w:t>Implementation of the National Safety and Quality Health Service Standards</w:t>
      </w:r>
    </w:p>
    <w:p w14:paraId="26DDC034" w14:textId="77777777" w:rsidR="004D7AD7" w:rsidRDefault="004D7AD7" w:rsidP="00890266">
      <w:pPr>
        <w:pStyle w:val="BodyText"/>
      </w:pPr>
      <w:r>
        <w:t xml:space="preserve">The primary aims of the National Safety and Quality Health Service (NSQHS) Standards are to protect the public from harm and to improve the quality of health service provision. </w:t>
      </w:r>
    </w:p>
    <w:p w14:paraId="24234ACE" w14:textId="3E7F1BBB" w:rsidR="004D7AD7" w:rsidRDefault="004D7AD7" w:rsidP="00890266">
      <w:pPr>
        <w:pStyle w:val="BodyText"/>
      </w:pPr>
      <w:r>
        <w:t>To meet the NSQHS Standards, health service organisations must implement organisation</w:t>
      </w:r>
      <w:r w:rsidR="00C505AD">
        <w:t>-</w:t>
      </w:r>
      <w:r>
        <w:t xml:space="preserve">wide safety and quality processes, along with a comprehensive clinical governance framework. This can reduce the risk of patient harm from hospital-acquired infections, medication errors, patient falls and errors at the transfer of care, and help prevent clinical deterioration and pressure injuries. </w:t>
      </w:r>
    </w:p>
    <w:p w14:paraId="78F99859" w14:textId="77777777" w:rsidR="004D7AD7" w:rsidRDefault="004D7AD7" w:rsidP="00890266">
      <w:pPr>
        <w:pStyle w:val="BodyText"/>
      </w:pPr>
      <w:r>
        <w:t>Health service organisations are currently assessed against the NSQHS Standards by any of nine approved accrediting agencies. Only health service organisations that demonstrate full compliance are awarded accreditation.</w:t>
      </w:r>
    </w:p>
    <w:p w14:paraId="1A569488" w14:textId="77777777" w:rsidR="004D7AD7" w:rsidRDefault="004D7AD7" w:rsidP="00890266">
      <w:pPr>
        <w:pStyle w:val="BodyText"/>
      </w:pPr>
      <w:r>
        <w:t xml:space="preserve">Assessment against the NSQHS Standards commenced in 2013. Since that time, 100% of Australian hospitals and day procedure services have implemented the NSQHS Standards and completed at least one accreditation cycle. As at 30 June 2017, 1,319 hospitals and day procedure services have been assessed to the NSQHS Standards. </w:t>
      </w:r>
    </w:p>
    <w:p w14:paraId="068CE52D" w14:textId="2D57AD20" w:rsidR="004D7AD7" w:rsidRDefault="007D7BC6" w:rsidP="00890266">
      <w:pPr>
        <w:pStyle w:val="BodyText"/>
      </w:pPr>
      <w:r>
        <w:br w:type="column"/>
      </w:r>
      <w:r w:rsidR="004D7AD7">
        <w:lastRenderedPageBreak/>
        <w:t xml:space="preserve">During 2016–17, the Commission completed its annual comprehensive review of accrediting agencies, which included performance review meetings with each of the nine approved accrediting agencies. </w:t>
      </w:r>
    </w:p>
    <w:p w14:paraId="66409290" w14:textId="77777777" w:rsidR="004D7AD7" w:rsidRDefault="004D7AD7" w:rsidP="00890266">
      <w:pPr>
        <w:pStyle w:val="BodyText"/>
      </w:pPr>
      <w:r>
        <w:t xml:space="preserve">The Commission’s Advice Centre provides health service organisations with support and guidance on the NSQHS Standards. In 2016–17, the Commission responded to 1,189 enquiries, including 986 email enquiries and 203 telephone enquiries. The Commission continued to meet its service delivery targets, responding to 95% of email enquiries within one business day and the remainder within five business days. </w:t>
      </w:r>
    </w:p>
    <w:p w14:paraId="56438663" w14:textId="77777777" w:rsidR="004D7AD7" w:rsidRDefault="004D7AD7" w:rsidP="00890266">
      <w:pPr>
        <w:pStyle w:val="BodyText"/>
      </w:pPr>
      <w:r>
        <w:t xml:space="preserve">The National General Practice Accreditation Scheme, developed by the Commission in collaboration with the Royal Australian College of General Practitioners (RACGP), commenced on 1 January 2017. Four accrediting agencies were appointed by an industry-based approval panel in 2016 to assess general practices using the RACGP Standards for general practices. </w:t>
      </w:r>
    </w:p>
    <w:p w14:paraId="77876944" w14:textId="77777777" w:rsidR="004D7AD7" w:rsidRDefault="004D7AD7" w:rsidP="00890266">
      <w:pPr>
        <w:pStyle w:val="BodyText"/>
      </w:pPr>
      <w:r>
        <w:t>The scheme offers general practices seeking accreditation greater choice of accrediting agency. It will also provide access to national de-identified data on the accreditation performance of general practices that are assessed.</w:t>
      </w:r>
    </w:p>
    <w:p w14:paraId="20DE45B9" w14:textId="77777777" w:rsidR="00DF68E5" w:rsidRDefault="00DF68E5"/>
    <w:p w14:paraId="0A2592F7" w14:textId="77777777" w:rsidR="003B626B" w:rsidRDefault="003B626B">
      <w:pPr>
        <w:sectPr w:rsidR="003B626B" w:rsidSect="005F1364">
          <w:type w:val="continuous"/>
          <w:pgSz w:w="9979" w:h="14175" w:code="34"/>
          <w:pgMar w:top="1418" w:right="680" w:bottom="851" w:left="1021" w:header="567" w:footer="397" w:gutter="0"/>
          <w:cols w:num="2" w:space="708"/>
          <w:docGrid w:linePitch="360"/>
        </w:sectPr>
      </w:pPr>
    </w:p>
    <w:p w14:paraId="5E83CF84" w14:textId="77777777" w:rsidR="00DF68E5" w:rsidRDefault="004D7AD7" w:rsidP="00454565">
      <w:pPr>
        <w:pStyle w:val="Figuretitle"/>
      </w:pPr>
      <w:r w:rsidRPr="004D7AD7">
        <w:lastRenderedPageBreak/>
        <w:t>Figure 1: Health service organisation accreditation 2016–17</w:t>
      </w:r>
    </w:p>
    <w:p w14:paraId="01BCE73B" w14:textId="77777777" w:rsidR="004D7AD7" w:rsidRDefault="004D7AD7"/>
    <w:p w14:paraId="46FF619B" w14:textId="77777777" w:rsidR="004D7AD7" w:rsidRDefault="004D7AD7" w:rsidP="004D7AD7">
      <w:pPr>
        <w:jc w:val="center"/>
      </w:pPr>
      <w:r>
        <w:rPr>
          <w:noProof/>
          <w:lang w:val="en-AU" w:eastAsia="en-AU"/>
        </w:rPr>
        <w:drawing>
          <wp:inline distT="0" distB="0" distL="0" distR="0" wp14:anchorId="1EEE36F5" wp14:editId="33BF1A3D">
            <wp:extent cx="5269992" cy="6598920"/>
            <wp:effectExtent l="0" t="0" r="6985" b="0"/>
            <wp:docPr id="27" name="Picture 27" descr="This diagram shows that a total of 673 hospitals and day procedure services were assessed to the NSQHS Standards in 2016-17. 325 of those services were assessed to all 10 NSQHS Standards. 78% (253) met all core actions at initial assessment, while 22% (72) had to undergo a 90 day period of remediation.&#10;&#10; &#10;&#10;348 services were assessed against Standards 1, 2 and 3 only for their mid-cycle assessment. 72% (249) met all core actions at initial assessment, while 28% (99) had to undergo remediation.&#10;&#10; &#10;&#10;For all 673 health service organisations, all the core actions were met by the final assessment." title="Figure 1: Health service organisation accreditation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 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69992" cy="6598920"/>
                    </a:xfrm>
                    <a:prstGeom prst="rect">
                      <a:avLst/>
                    </a:prstGeom>
                  </pic:spPr>
                </pic:pic>
              </a:graphicData>
            </a:graphic>
          </wp:inline>
        </w:drawing>
      </w:r>
    </w:p>
    <w:p w14:paraId="4E50405E" w14:textId="77777777" w:rsidR="004D7AD7" w:rsidRDefault="004D7AD7"/>
    <w:p w14:paraId="77C22472" w14:textId="77777777" w:rsidR="00965C3F" w:rsidRDefault="00965C3F">
      <w:pPr>
        <w:sectPr w:rsidR="00965C3F" w:rsidSect="005F1364">
          <w:pgSz w:w="9979" w:h="14175" w:code="34"/>
          <w:pgMar w:top="1418" w:right="680" w:bottom="851" w:left="1021" w:header="567" w:footer="397" w:gutter="0"/>
          <w:cols w:space="708"/>
          <w:docGrid w:linePitch="360"/>
        </w:sectPr>
      </w:pPr>
    </w:p>
    <w:p w14:paraId="6DFD227F" w14:textId="77777777" w:rsidR="00DF68E5" w:rsidRDefault="004D7AD7" w:rsidP="00454565">
      <w:pPr>
        <w:pStyle w:val="Figuretitle"/>
      </w:pPr>
      <w:r w:rsidRPr="004D7AD7">
        <w:lastRenderedPageBreak/>
        <w:t>Table 1: Top core NSQHS Standards actions not met or met with merit</w:t>
      </w:r>
    </w:p>
    <w:tbl>
      <w:tblPr>
        <w:tblW w:w="5000" w:type="pct"/>
        <w:tblCellMar>
          <w:left w:w="0" w:type="dxa"/>
          <w:right w:w="0" w:type="dxa"/>
        </w:tblCellMar>
        <w:tblLook w:val="0000" w:firstRow="0" w:lastRow="0" w:firstColumn="0" w:lastColumn="0" w:noHBand="0" w:noVBand="0"/>
        <w:tblCaption w:val="Table 1: Top core NSQHS Standards actions not met or met with merit"/>
      </w:tblPr>
      <w:tblGrid>
        <w:gridCol w:w="965"/>
        <w:gridCol w:w="7483"/>
      </w:tblGrid>
      <w:tr w:rsidR="004D7AD7" w:rsidRPr="004D7AD7" w14:paraId="50149464" w14:textId="77777777" w:rsidTr="007D7BC6">
        <w:trPr>
          <w:cantSplit/>
          <w:trHeight w:val="20"/>
        </w:trPr>
        <w:tc>
          <w:tcPr>
            <w:tcW w:w="5000" w:type="pct"/>
            <w:gridSpan w:val="2"/>
            <w:tcBorders>
              <w:top w:val="single" w:sz="16" w:space="0" w:color="10897C"/>
              <w:bottom w:val="single" w:sz="16" w:space="0" w:color="10897C"/>
            </w:tcBorders>
            <w:shd w:val="solid" w:color="1E5F54" w:fill="auto"/>
            <w:tcMar>
              <w:top w:w="85" w:type="dxa"/>
              <w:left w:w="85" w:type="dxa"/>
              <w:bottom w:w="85" w:type="dxa"/>
              <w:right w:w="85" w:type="dxa"/>
            </w:tcMar>
          </w:tcPr>
          <w:p w14:paraId="2321505C" w14:textId="77777777" w:rsidR="004D7AD7" w:rsidRPr="004D7AD7" w:rsidRDefault="004D7AD7" w:rsidP="00454565">
            <w:pPr>
              <w:pStyle w:val="Tableheading"/>
            </w:pPr>
            <w:r w:rsidRPr="004D7AD7">
              <w:t>Not met</w:t>
            </w:r>
          </w:p>
        </w:tc>
      </w:tr>
      <w:tr w:rsidR="004D7AD7" w:rsidRPr="004D7AD7" w14:paraId="2809005F" w14:textId="77777777" w:rsidTr="007D7BC6">
        <w:trPr>
          <w:cantSplit/>
          <w:trHeight w:val="20"/>
        </w:trPr>
        <w:tc>
          <w:tcPr>
            <w:tcW w:w="571" w:type="pct"/>
            <w:tcBorders>
              <w:top w:val="single" w:sz="4" w:space="0" w:color="auto"/>
              <w:bottom w:val="single" w:sz="16" w:space="0" w:color="10897C"/>
              <w:right w:val="dotted" w:sz="6" w:space="0" w:color="10897C"/>
            </w:tcBorders>
            <w:shd w:val="clear" w:color="auto" w:fill="F1F0EE" w:themeFill="accent4"/>
            <w:tcMar>
              <w:top w:w="85" w:type="dxa"/>
              <w:left w:w="85" w:type="dxa"/>
              <w:bottom w:w="85" w:type="dxa"/>
              <w:right w:w="85" w:type="dxa"/>
            </w:tcMar>
          </w:tcPr>
          <w:p w14:paraId="408D984B" w14:textId="77777777" w:rsidR="004D7AD7" w:rsidRPr="007D7BC6" w:rsidRDefault="004D7AD7" w:rsidP="00454565">
            <w:pPr>
              <w:pStyle w:val="Tabletext"/>
              <w:rPr>
                <w:b/>
              </w:rPr>
            </w:pPr>
            <w:r w:rsidRPr="007D7BC6">
              <w:rPr>
                <w:b/>
              </w:rPr>
              <w:t>3.10.2</w:t>
            </w:r>
          </w:p>
        </w:tc>
        <w:tc>
          <w:tcPr>
            <w:tcW w:w="4429" w:type="pct"/>
            <w:tcBorders>
              <w:top w:val="single" w:sz="16" w:space="0" w:color="10897C"/>
              <w:left w:val="dotted" w:sz="6" w:space="0" w:color="10897C"/>
              <w:bottom w:val="single" w:sz="16" w:space="0" w:color="10897C"/>
            </w:tcBorders>
            <w:shd w:val="clear" w:color="auto" w:fill="F1F0EE" w:themeFill="accent4"/>
            <w:tcMar>
              <w:top w:w="85" w:type="dxa"/>
              <w:left w:w="85" w:type="dxa"/>
              <w:bottom w:w="85" w:type="dxa"/>
              <w:right w:w="85" w:type="dxa"/>
            </w:tcMar>
          </w:tcPr>
          <w:p w14:paraId="13185887" w14:textId="77777777" w:rsidR="004D7AD7" w:rsidRPr="00C36315" w:rsidRDefault="004D7AD7" w:rsidP="00C36315">
            <w:pPr>
              <w:pStyle w:val="Tabletext"/>
            </w:pPr>
            <w:r w:rsidRPr="00C36315">
              <w:t>Compliance with aseptic technique is regularly audited</w:t>
            </w:r>
          </w:p>
        </w:tc>
      </w:tr>
      <w:tr w:rsidR="004D7AD7" w:rsidRPr="004D7AD7" w14:paraId="3FE8BA4D" w14:textId="77777777" w:rsidTr="007D7BC6">
        <w:trPr>
          <w:cantSplit/>
          <w:trHeight w:val="20"/>
        </w:trPr>
        <w:tc>
          <w:tcPr>
            <w:tcW w:w="571" w:type="pct"/>
            <w:tcBorders>
              <w:top w:val="single" w:sz="16" w:space="0" w:color="10897C"/>
              <w:bottom w:val="single" w:sz="16" w:space="0" w:color="10897C"/>
              <w:right w:val="dotted" w:sz="6" w:space="0" w:color="10897C"/>
            </w:tcBorders>
            <w:shd w:val="clear" w:color="auto" w:fill="F1F0EE" w:themeFill="accent4"/>
            <w:tcMar>
              <w:top w:w="85" w:type="dxa"/>
              <w:left w:w="85" w:type="dxa"/>
              <w:bottom w:w="85" w:type="dxa"/>
              <w:right w:w="85" w:type="dxa"/>
            </w:tcMar>
          </w:tcPr>
          <w:p w14:paraId="7C60015E" w14:textId="77777777" w:rsidR="004D7AD7" w:rsidRPr="007D7BC6" w:rsidRDefault="004D7AD7" w:rsidP="00454565">
            <w:pPr>
              <w:pStyle w:val="Tabletext"/>
              <w:rPr>
                <w:b/>
              </w:rPr>
            </w:pPr>
            <w:r w:rsidRPr="007D7BC6">
              <w:rPr>
                <w:b/>
              </w:rPr>
              <w:t>1.18.2</w:t>
            </w:r>
          </w:p>
        </w:tc>
        <w:tc>
          <w:tcPr>
            <w:tcW w:w="4429" w:type="pct"/>
            <w:tcBorders>
              <w:top w:val="single" w:sz="16" w:space="0" w:color="10897C"/>
              <w:left w:val="dotted" w:sz="6" w:space="0" w:color="10897C"/>
              <w:bottom w:val="single" w:sz="16" w:space="0" w:color="10897C"/>
            </w:tcBorders>
            <w:shd w:val="clear" w:color="auto" w:fill="F1F0EE" w:themeFill="accent4"/>
            <w:tcMar>
              <w:top w:w="85" w:type="dxa"/>
              <w:left w:w="85" w:type="dxa"/>
              <w:bottom w:w="85" w:type="dxa"/>
              <w:right w:w="85" w:type="dxa"/>
            </w:tcMar>
          </w:tcPr>
          <w:p w14:paraId="0A217095" w14:textId="77777777" w:rsidR="004D7AD7" w:rsidRPr="00C36315" w:rsidRDefault="004D7AD7" w:rsidP="00C36315">
            <w:pPr>
              <w:pStyle w:val="Tabletext"/>
            </w:pPr>
            <w:r w:rsidRPr="00C36315">
              <w:t>Mechanisms are in place to monitor and improve documentation of informed consent</w:t>
            </w:r>
          </w:p>
        </w:tc>
      </w:tr>
      <w:tr w:rsidR="004D7AD7" w:rsidRPr="004D7AD7" w14:paraId="74A630ED" w14:textId="77777777" w:rsidTr="007D7BC6">
        <w:trPr>
          <w:cantSplit/>
          <w:trHeight w:val="20"/>
        </w:trPr>
        <w:tc>
          <w:tcPr>
            <w:tcW w:w="571" w:type="pct"/>
            <w:tcBorders>
              <w:top w:val="single" w:sz="16" w:space="0" w:color="10897C"/>
              <w:bottom w:val="single" w:sz="16" w:space="0" w:color="10897C"/>
              <w:right w:val="dotted" w:sz="6" w:space="0" w:color="10897C"/>
            </w:tcBorders>
            <w:shd w:val="clear" w:color="auto" w:fill="F1F0EE" w:themeFill="accent4"/>
            <w:tcMar>
              <w:top w:w="85" w:type="dxa"/>
              <w:left w:w="85" w:type="dxa"/>
              <w:bottom w:w="85" w:type="dxa"/>
              <w:right w:w="85" w:type="dxa"/>
            </w:tcMar>
          </w:tcPr>
          <w:p w14:paraId="5E400253" w14:textId="77777777" w:rsidR="004D7AD7" w:rsidRPr="007D7BC6" w:rsidRDefault="004D7AD7" w:rsidP="00454565">
            <w:pPr>
              <w:pStyle w:val="Tabletext"/>
              <w:rPr>
                <w:b/>
              </w:rPr>
            </w:pPr>
            <w:r w:rsidRPr="007D7BC6">
              <w:rPr>
                <w:b/>
              </w:rPr>
              <w:t>2.4.2</w:t>
            </w:r>
          </w:p>
        </w:tc>
        <w:tc>
          <w:tcPr>
            <w:tcW w:w="4429" w:type="pct"/>
            <w:tcBorders>
              <w:top w:val="single" w:sz="16" w:space="0" w:color="10897C"/>
              <w:left w:val="dotted" w:sz="6" w:space="0" w:color="10897C"/>
              <w:bottom w:val="single" w:sz="16" w:space="0" w:color="10897C"/>
            </w:tcBorders>
            <w:shd w:val="clear" w:color="auto" w:fill="F1F0EE" w:themeFill="accent4"/>
            <w:tcMar>
              <w:top w:w="85" w:type="dxa"/>
              <w:left w:w="85" w:type="dxa"/>
              <w:bottom w:w="85" w:type="dxa"/>
              <w:right w:w="85" w:type="dxa"/>
            </w:tcMar>
          </w:tcPr>
          <w:p w14:paraId="58A608A3" w14:textId="77777777" w:rsidR="004D7AD7" w:rsidRPr="00C36315" w:rsidRDefault="004D7AD7" w:rsidP="00C36315">
            <w:pPr>
              <w:pStyle w:val="Tabletext"/>
            </w:pPr>
            <w:r w:rsidRPr="00C36315">
              <w:t>Action is taken to incorporate consumers’ and/or carers’ feedback into publications prepared by the health service organisation for distribution to patients</w:t>
            </w:r>
          </w:p>
        </w:tc>
      </w:tr>
      <w:tr w:rsidR="004D7AD7" w:rsidRPr="004D7AD7" w14:paraId="352FCBD0" w14:textId="77777777" w:rsidTr="007D7BC6">
        <w:trPr>
          <w:cantSplit/>
          <w:trHeight w:val="20"/>
        </w:trPr>
        <w:tc>
          <w:tcPr>
            <w:tcW w:w="571" w:type="pct"/>
            <w:tcBorders>
              <w:top w:val="single" w:sz="16" w:space="0" w:color="10897C"/>
              <w:bottom w:val="single" w:sz="16" w:space="0" w:color="10897C"/>
              <w:right w:val="dotted" w:sz="6" w:space="0" w:color="10897C"/>
            </w:tcBorders>
            <w:shd w:val="clear" w:color="auto" w:fill="F1F0EE" w:themeFill="accent4"/>
            <w:tcMar>
              <w:top w:w="85" w:type="dxa"/>
              <w:left w:w="85" w:type="dxa"/>
              <w:bottom w:w="85" w:type="dxa"/>
              <w:right w:w="85" w:type="dxa"/>
            </w:tcMar>
          </w:tcPr>
          <w:p w14:paraId="26AFDA87" w14:textId="77777777" w:rsidR="004D7AD7" w:rsidRPr="007D7BC6" w:rsidRDefault="004D7AD7" w:rsidP="00454565">
            <w:pPr>
              <w:pStyle w:val="Tabletext"/>
              <w:rPr>
                <w:b/>
              </w:rPr>
            </w:pPr>
            <w:r w:rsidRPr="007D7BC6">
              <w:rPr>
                <w:b/>
              </w:rPr>
              <w:t>1.8.2</w:t>
            </w:r>
          </w:p>
        </w:tc>
        <w:tc>
          <w:tcPr>
            <w:tcW w:w="4429" w:type="pct"/>
            <w:tcBorders>
              <w:top w:val="single" w:sz="16" w:space="0" w:color="10897C"/>
              <w:left w:val="dotted" w:sz="6" w:space="0" w:color="10897C"/>
              <w:bottom w:val="single" w:sz="16" w:space="0" w:color="10897C"/>
            </w:tcBorders>
            <w:shd w:val="clear" w:color="auto" w:fill="F1F0EE" w:themeFill="accent4"/>
            <w:tcMar>
              <w:top w:w="85" w:type="dxa"/>
              <w:left w:w="85" w:type="dxa"/>
              <w:bottom w:w="85" w:type="dxa"/>
              <w:right w:w="85" w:type="dxa"/>
            </w:tcMar>
          </w:tcPr>
          <w:p w14:paraId="435F2C35" w14:textId="77777777" w:rsidR="004D7AD7" w:rsidRPr="00C36315" w:rsidRDefault="004D7AD7" w:rsidP="00C36315">
            <w:pPr>
              <w:pStyle w:val="Tabletext"/>
            </w:pPr>
            <w:r w:rsidRPr="00C36315">
              <w:t>Early action is taken to reduce the risks for at-risk patients</w:t>
            </w:r>
          </w:p>
        </w:tc>
      </w:tr>
      <w:tr w:rsidR="004D7AD7" w:rsidRPr="004D7AD7" w14:paraId="3C369BD8" w14:textId="77777777" w:rsidTr="007D7BC6">
        <w:trPr>
          <w:cantSplit/>
          <w:trHeight w:val="20"/>
        </w:trPr>
        <w:tc>
          <w:tcPr>
            <w:tcW w:w="571" w:type="pct"/>
            <w:tcBorders>
              <w:top w:val="single" w:sz="16" w:space="0" w:color="10897C"/>
              <w:bottom w:val="single" w:sz="16" w:space="0" w:color="10897C"/>
              <w:right w:val="dotted" w:sz="6" w:space="0" w:color="10897C"/>
            </w:tcBorders>
            <w:shd w:val="clear" w:color="auto" w:fill="F1F0EE" w:themeFill="accent4"/>
            <w:tcMar>
              <w:top w:w="85" w:type="dxa"/>
              <w:left w:w="85" w:type="dxa"/>
              <w:bottom w:w="85" w:type="dxa"/>
              <w:right w:w="85" w:type="dxa"/>
            </w:tcMar>
          </w:tcPr>
          <w:p w14:paraId="05AACD3F" w14:textId="77777777" w:rsidR="004D7AD7" w:rsidRPr="007D7BC6" w:rsidRDefault="004D7AD7" w:rsidP="00454565">
            <w:pPr>
              <w:pStyle w:val="Tabletext"/>
              <w:rPr>
                <w:b/>
              </w:rPr>
            </w:pPr>
            <w:r w:rsidRPr="007D7BC6">
              <w:rPr>
                <w:b/>
              </w:rPr>
              <w:t>3.16.1</w:t>
            </w:r>
          </w:p>
        </w:tc>
        <w:tc>
          <w:tcPr>
            <w:tcW w:w="4429" w:type="pct"/>
            <w:tcBorders>
              <w:top w:val="single" w:sz="16" w:space="0" w:color="10897C"/>
              <w:left w:val="dotted" w:sz="6" w:space="0" w:color="10897C"/>
              <w:bottom w:val="single" w:sz="16" w:space="0" w:color="10897C"/>
            </w:tcBorders>
            <w:shd w:val="clear" w:color="auto" w:fill="F1F0EE" w:themeFill="accent4"/>
            <w:tcMar>
              <w:top w:w="85" w:type="dxa"/>
              <w:left w:w="85" w:type="dxa"/>
              <w:bottom w:w="85" w:type="dxa"/>
              <w:right w:w="85" w:type="dxa"/>
            </w:tcMar>
          </w:tcPr>
          <w:p w14:paraId="0490A5D5" w14:textId="77777777" w:rsidR="004D7AD7" w:rsidRPr="00C36315" w:rsidRDefault="004D7AD7" w:rsidP="00C36315">
            <w:pPr>
              <w:pStyle w:val="Tabletext"/>
            </w:pPr>
            <w:r w:rsidRPr="00C36315">
              <w:t>Compliance with relevant national or international standards and manufacturers’ instructions for cleaning, disinfection and sterilisation of reusable instruments and devices is regularly monitored</w:t>
            </w:r>
          </w:p>
        </w:tc>
      </w:tr>
      <w:tr w:rsidR="004D7AD7" w:rsidRPr="004D7AD7" w14:paraId="6C475D54" w14:textId="77777777" w:rsidTr="007D7BC6">
        <w:trPr>
          <w:cantSplit/>
          <w:trHeight w:val="20"/>
        </w:trPr>
        <w:tc>
          <w:tcPr>
            <w:tcW w:w="5000" w:type="pct"/>
            <w:gridSpan w:val="2"/>
            <w:tcBorders>
              <w:top w:val="single" w:sz="16" w:space="0" w:color="10897C"/>
              <w:bottom w:val="single" w:sz="16" w:space="0" w:color="10897C"/>
            </w:tcBorders>
            <w:shd w:val="solid" w:color="1E5F54" w:fill="auto"/>
            <w:tcMar>
              <w:top w:w="85" w:type="dxa"/>
              <w:left w:w="85" w:type="dxa"/>
              <w:bottom w:w="85" w:type="dxa"/>
              <w:right w:w="85" w:type="dxa"/>
            </w:tcMar>
          </w:tcPr>
          <w:p w14:paraId="1605818B" w14:textId="77777777" w:rsidR="004D7AD7" w:rsidRPr="004D7AD7" w:rsidRDefault="004D7AD7" w:rsidP="00454565">
            <w:pPr>
              <w:pStyle w:val="Tableheading"/>
            </w:pPr>
            <w:r w:rsidRPr="004D7AD7">
              <w:t>Met with merit</w:t>
            </w:r>
          </w:p>
        </w:tc>
      </w:tr>
      <w:tr w:rsidR="004D7AD7" w:rsidRPr="004D7AD7" w14:paraId="4F47C7C8" w14:textId="77777777" w:rsidTr="007D7BC6">
        <w:trPr>
          <w:cantSplit/>
          <w:trHeight w:val="20"/>
        </w:trPr>
        <w:tc>
          <w:tcPr>
            <w:tcW w:w="571" w:type="pct"/>
            <w:tcBorders>
              <w:top w:val="single" w:sz="16" w:space="0" w:color="10897C"/>
              <w:bottom w:val="single" w:sz="16" w:space="0" w:color="10897C"/>
              <w:right w:val="dotted" w:sz="6" w:space="0" w:color="10897C"/>
            </w:tcBorders>
            <w:shd w:val="clear" w:color="auto" w:fill="F1F0EE" w:themeFill="accent4"/>
            <w:tcMar>
              <w:top w:w="85" w:type="dxa"/>
              <w:left w:w="85" w:type="dxa"/>
              <w:bottom w:w="85" w:type="dxa"/>
              <w:right w:w="85" w:type="dxa"/>
            </w:tcMar>
          </w:tcPr>
          <w:p w14:paraId="08D44353" w14:textId="77777777" w:rsidR="004D7AD7" w:rsidRPr="007D7BC6" w:rsidRDefault="004D7AD7" w:rsidP="00454565">
            <w:pPr>
              <w:pStyle w:val="Tabletext"/>
              <w:rPr>
                <w:rFonts w:ascii="Helvetica 45 Light" w:hAnsi="Helvetica 45 Light" w:cs="Helvetica 45 Light"/>
                <w:b/>
              </w:rPr>
            </w:pPr>
            <w:r w:rsidRPr="007D7BC6">
              <w:rPr>
                <w:b/>
              </w:rPr>
              <w:t>1.2.1</w:t>
            </w:r>
          </w:p>
        </w:tc>
        <w:tc>
          <w:tcPr>
            <w:tcW w:w="4429" w:type="pct"/>
            <w:tcBorders>
              <w:top w:val="single" w:sz="16" w:space="0" w:color="10897C"/>
              <w:left w:val="dotted" w:sz="6" w:space="0" w:color="10897C"/>
              <w:bottom w:val="single" w:sz="16" w:space="0" w:color="10897C"/>
            </w:tcBorders>
            <w:shd w:val="clear" w:color="auto" w:fill="F1F0EE" w:themeFill="accent4"/>
            <w:tcMar>
              <w:top w:w="85" w:type="dxa"/>
              <w:left w:w="85" w:type="dxa"/>
              <w:bottom w:w="85" w:type="dxa"/>
              <w:right w:w="85" w:type="dxa"/>
            </w:tcMar>
          </w:tcPr>
          <w:p w14:paraId="52277888" w14:textId="77777777" w:rsidR="004D7AD7" w:rsidRPr="00C36315" w:rsidRDefault="004D7AD7" w:rsidP="00C36315">
            <w:pPr>
              <w:pStyle w:val="Tabletext"/>
            </w:pPr>
            <w:r w:rsidRPr="00C36315">
              <w:t>Regular reports on safety and quality indicators and other safety and quality performance data are monitored by the executive level of governance</w:t>
            </w:r>
          </w:p>
        </w:tc>
      </w:tr>
      <w:tr w:rsidR="004D7AD7" w:rsidRPr="004D7AD7" w14:paraId="17EEA4CF" w14:textId="77777777" w:rsidTr="007D7BC6">
        <w:trPr>
          <w:cantSplit/>
          <w:trHeight w:val="20"/>
        </w:trPr>
        <w:tc>
          <w:tcPr>
            <w:tcW w:w="571" w:type="pct"/>
            <w:tcBorders>
              <w:top w:val="single" w:sz="16" w:space="0" w:color="10897C"/>
              <w:bottom w:val="single" w:sz="16" w:space="0" w:color="10897C"/>
              <w:right w:val="dotted" w:sz="6" w:space="0" w:color="10897C"/>
            </w:tcBorders>
            <w:shd w:val="clear" w:color="auto" w:fill="F1F0EE" w:themeFill="accent4"/>
            <w:tcMar>
              <w:top w:w="85" w:type="dxa"/>
              <w:left w:w="85" w:type="dxa"/>
              <w:bottom w:w="85" w:type="dxa"/>
              <w:right w:w="85" w:type="dxa"/>
            </w:tcMar>
          </w:tcPr>
          <w:p w14:paraId="0FC81D59" w14:textId="77777777" w:rsidR="004D7AD7" w:rsidRPr="007D7BC6" w:rsidRDefault="004D7AD7" w:rsidP="00454565">
            <w:pPr>
              <w:pStyle w:val="Tabletext"/>
              <w:rPr>
                <w:rFonts w:ascii="Helvetica 45 Light" w:hAnsi="Helvetica 45 Light" w:cs="Helvetica 45 Light"/>
                <w:b/>
              </w:rPr>
            </w:pPr>
            <w:r w:rsidRPr="007D7BC6">
              <w:rPr>
                <w:b/>
              </w:rPr>
              <w:t>1.1.2</w:t>
            </w:r>
          </w:p>
        </w:tc>
        <w:tc>
          <w:tcPr>
            <w:tcW w:w="4429" w:type="pct"/>
            <w:tcBorders>
              <w:top w:val="single" w:sz="16" w:space="0" w:color="10897C"/>
              <w:left w:val="dotted" w:sz="6" w:space="0" w:color="10897C"/>
              <w:bottom w:val="single" w:sz="16" w:space="0" w:color="10897C"/>
            </w:tcBorders>
            <w:shd w:val="clear" w:color="auto" w:fill="F1F0EE" w:themeFill="accent4"/>
            <w:tcMar>
              <w:top w:w="85" w:type="dxa"/>
              <w:left w:w="85" w:type="dxa"/>
              <w:bottom w:w="85" w:type="dxa"/>
              <w:right w:w="85" w:type="dxa"/>
            </w:tcMar>
          </w:tcPr>
          <w:p w14:paraId="0B1AA312" w14:textId="77777777" w:rsidR="004D7AD7" w:rsidRPr="00C36315" w:rsidRDefault="004D7AD7" w:rsidP="00C36315">
            <w:pPr>
              <w:pStyle w:val="Tabletext"/>
            </w:pPr>
            <w:r w:rsidRPr="00C36315">
              <w:t xml:space="preserve">The impact on patient safety and quality of care is considered in business </w:t>
            </w:r>
            <w:r w:rsidR="00454565" w:rsidRPr="00C36315">
              <w:br/>
            </w:r>
            <w:r w:rsidRPr="00C36315">
              <w:t>decision-making</w:t>
            </w:r>
          </w:p>
        </w:tc>
      </w:tr>
      <w:tr w:rsidR="004D7AD7" w:rsidRPr="004D7AD7" w14:paraId="29CE01C5" w14:textId="77777777" w:rsidTr="007D7BC6">
        <w:trPr>
          <w:cantSplit/>
          <w:trHeight w:val="20"/>
        </w:trPr>
        <w:tc>
          <w:tcPr>
            <w:tcW w:w="571" w:type="pct"/>
            <w:tcBorders>
              <w:top w:val="single" w:sz="16" w:space="0" w:color="10897C"/>
              <w:bottom w:val="single" w:sz="16" w:space="0" w:color="10897C"/>
              <w:right w:val="dotted" w:sz="6" w:space="0" w:color="10897C"/>
            </w:tcBorders>
            <w:shd w:val="clear" w:color="auto" w:fill="F1F0EE" w:themeFill="accent4"/>
            <w:tcMar>
              <w:top w:w="85" w:type="dxa"/>
              <w:left w:w="85" w:type="dxa"/>
              <w:bottom w:w="85" w:type="dxa"/>
              <w:right w:w="85" w:type="dxa"/>
            </w:tcMar>
          </w:tcPr>
          <w:p w14:paraId="393566AD" w14:textId="77777777" w:rsidR="004D7AD7" w:rsidRPr="007D7BC6" w:rsidRDefault="004D7AD7" w:rsidP="00454565">
            <w:pPr>
              <w:pStyle w:val="Tabletext"/>
              <w:rPr>
                <w:rFonts w:ascii="Helvetica 45 Light" w:hAnsi="Helvetica 45 Light" w:cs="Helvetica 45 Light"/>
                <w:b/>
              </w:rPr>
            </w:pPr>
            <w:r w:rsidRPr="007D7BC6">
              <w:rPr>
                <w:b/>
              </w:rPr>
              <w:t>1.2.2</w:t>
            </w:r>
          </w:p>
        </w:tc>
        <w:tc>
          <w:tcPr>
            <w:tcW w:w="4429" w:type="pct"/>
            <w:tcBorders>
              <w:top w:val="single" w:sz="16" w:space="0" w:color="10897C"/>
              <w:left w:val="dotted" w:sz="6" w:space="0" w:color="10897C"/>
              <w:bottom w:val="single" w:sz="16" w:space="0" w:color="10897C"/>
            </w:tcBorders>
            <w:shd w:val="clear" w:color="auto" w:fill="F1F0EE" w:themeFill="accent4"/>
            <w:tcMar>
              <w:top w:w="85" w:type="dxa"/>
              <w:left w:w="85" w:type="dxa"/>
              <w:bottom w:w="85" w:type="dxa"/>
              <w:right w:w="85" w:type="dxa"/>
            </w:tcMar>
          </w:tcPr>
          <w:p w14:paraId="50B0CDA5" w14:textId="77777777" w:rsidR="004D7AD7" w:rsidRPr="00C36315" w:rsidRDefault="004D7AD7" w:rsidP="00C36315">
            <w:pPr>
              <w:pStyle w:val="Tabletext"/>
            </w:pPr>
            <w:r w:rsidRPr="00C36315">
              <w:t>Action is taken to improve the safety and quality of patient care</w:t>
            </w:r>
          </w:p>
        </w:tc>
      </w:tr>
      <w:tr w:rsidR="004D7AD7" w:rsidRPr="004D7AD7" w14:paraId="2535ADB4" w14:textId="77777777" w:rsidTr="007D7BC6">
        <w:trPr>
          <w:cantSplit/>
          <w:trHeight w:val="20"/>
        </w:trPr>
        <w:tc>
          <w:tcPr>
            <w:tcW w:w="571" w:type="pct"/>
            <w:tcBorders>
              <w:top w:val="single" w:sz="16" w:space="0" w:color="10897C"/>
              <w:bottom w:val="single" w:sz="16" w:space="0" w:color="10897C"/>
              <w:right w:val="dotted" w:sz="6" w:space="0" w:color="10897C"/>
            </w:tcBorders>
            <w:shd w:val="clear" w:color="auto" w:fill="F1F0EE" w:themeFill="accent4"/>
            <w:tcMar>
              <w:top w:w="85" w:type="dxa"/>
              <w:left w:w="85" w:type="dxa"/>
              <w:bottom w:w="85" w:type="dxa"/>
              <w:right w:w="85" w:type="dxa"/>
            </w:tcMar>
          </w:tcPr>
          <w:p w14:paraId="5F269956" w14:textId="77777777" w:rsidR="004D7AD7" w:rsidRPr="007D7BC6" w:rsidRDefault="004D7AD7" w:rsidP="00454565">
            <w:pPr>
              <w:pStyle w:val="Tabletext"/>
              <w:rPr>
                <w:rFonts w:ascii="Helvetica 45 Light" w:hAnsi="Helvetica 45 Light" w:cs="Helvetica 45 Light"/>
                <w:b/>
              </w:rPr>
            </w:pPr>
            <w:r w:rsidRPr="007D7BC6">
              <w:rPr>
                <w:b/>
              </w:rPr>
              <w:t>1.6.1</w:t>
            </w:r>
          </w:p>
        </w:tc>
        <w:tc>
          <w:tcPr>
            <w:tcW w:w="4429" w:type="pct"/>
            <w:tcBorders>
              <w:top w:val="single" w:sz="16" w:space="0" w:color="10897C"/>
              <w:left w:val="dotted" w:sz="6" w:space="0" w:color="10897C"/>
              <w:bottom w:val="single" w:sz="16" w:space="0" w:color="10897C"/>
            </w:tcBorders>
            <w:shd w:val="clear" w:color="auto" w:fill="F1F0EE" w:themeFill="accent4"/>
            <w:tcMar>
              <w:top w:w="85" w:type="dxa"/>
              <w:left w:w="85" w:type="dxa"/>
              <w:bottom w:w="85" w:type="dxa"/>
              <w:right w:w="85" w:type="dxa"/>
            </w:tcMar>
          </w:tcPr>
          <w:p w14:paraId="66D56FFA" w14:textId="77777777" w:rsidR="004D7AD7" w:rsidRPr="00C36315" w:rsidRDefault="004D7AD7" w:rsidP="00C36315">
            <w:pPr>
              <w:pStyle w:val="Tabletext"/>
            </w:pPr>
            <w:r w:rsidRPr="00C36315">
              <w:t>An organisation-wide quality management system is used and regularly monitored</w:t>
            </w:r>
          </w:p>
        </w:tc>
      </w:tr>
      <w:tr w:rsidR="004D7AD7" w:rsidRPr="004D7AD7" w14:paraId="02527113" w14:textId="77777777" w:rsidTr="007D7BC6">
        <w:trPr>
          <w:cantSplit/>
          <w:trHeight w:val="20"/>
        </w:trPr>
        <w:tc>
          <w:tcPr>
            <w:tcW w:w="571" w:type="pct"/>
            <w:tcBorders>
              <w:top w:val="single" w:sz="16" w:space="0" w:color="10897C"/>
              <w:bottom w:val="single" w:sz="16" w:space="0" w:color="10897C"/>
              <w:right w:val="dotted" w:sz="6" w:space="0" w:color="10897C"/>
            </w:tcBorders>
            <w:shd w:val="clear" w:color="auto" w:fill="F1F0EE" w:themeFill="accent4"/>
            <w:tcMar>
              <w:top w:w="85" w:type="dxa"/>
              <w:left w:w="85" w:type="dxa"/>
              <w:bottom w:w="85" w:type="dxa"/>
              <w:right w:w="85" w:type="dxa"/>
            </w:tcMar>
          </w:tcPr>
          <w:p w14:paraId="17558ABD" w14:textId="77777777" w:rsidR="004D7AD7" w:rsidRPr="007D7BC6" w:rsidRDefault="004D7AD7" w:rsidP="00454565">
            <w:pPr>
              <w:pStyle w:val="Tabletext"/>
              <w:rPr>
                <w:rFonts w:ascii="Helvetica 45 Light" w:hAnsi="Helvetica 45 Light" w:cs="Helvetica 45 Light"/>
                <w:b/>
              </w:rPr>
            </w:pPr>
            <w:r w:rsidRPr="007D7BC6">
              <w:rPr>
                <w:b/>
              </w:rPr>
              <w:t>1.6.2</w:t>
            </w:r>
          </w:p>
        </w:tc>
        <w:tc>
          <w:tcPr>
            <w:tcW w:w="4429" w:type="pct"/>
            <w:tcBorders>
              <w:top w:val="single" w:sz="16" w:space="0" w:color="10897C"/>
              <w:left w:val="dotted" w:sz="6" w:space="0" w:color="10897C"/>
              <w:bottom w:val="single" w:sz="16" w:space="0" w:color="10897C"/>
            </w:tcBorders>
            <w:shd w:val="clear" w:color="auto" w:fill="F1F0EE" w:themeFill="accent4"/>
            <w:tcMar>
              <w:top w:w="85" w:type="dxa"/>
              <w:left w:w="85" w:type="dxa"/>
              <w:bottom w:w="85" w:type="dxa"/>
              <w:right w:w="85" w:type="dxa"/>
            </w:tcMar>
          </w:tcPr>
          <w:p w14:paraId="47B83EEA" w14:textId="77777777" w:rsidR="004D7AD7" w:rsidRPr="00C36315" w:rsidRDefault="004D7AD7" w:rsidP="00C36315">
            <w:pPr>
              <w:pStyle w:val="Tabletext"/>
            </w:pPr>
            <w:r w:rsidRPr="00C36315">
              <w:t>Actions are taken to maximise patient quality of care</w:t>
            </w:r>
          </w:p>
        </w:tc>
      </w:tr>
    </w:tbl>
    <w:p w14:paraId="2FC8A61E" w14:textId="77777777" w:rsidR="004D7AD7" w:rsidRDefault="004D7AD7"/>
    <w:p w14:paraId="3F9999ED" w14:textId="77777777" w:rsidR="00965C3F" w:rsidRDefault="00965C3F">
      <w:r>
        <w:br w:type="page"/>
      </w:r>
    </w:p>
    <w:p w14:paraId="02B2FF74" w14:textId="77777777" w:rsidR="004D7AD7" w:rsidRDefault="004D7AD7" w:rsidP="00454565">
      <w:pPr>
        <w:pStyle w:val="Heading2"/>
        <w:sectPr w:rsidR="004D7AD7" w:rsidSect="005F1364">
          <w:headerReference w:type="even" r:id="rId42"/>
          <w:headerReference w:type="default" r:id="rId43"/>
          <w:pgSz w:w="9979" w:h="14175" w:code="34"/>
          <w:pgMar w:top="1418" w:right="680" w:bottom="567" w:left="1021" w:header="567" w:footer="397" w:gutter="0"/>
          <w:cols w:space="708"/>
          <w:docGrid w:linePitch="360"/>
        </w:sectPr>
      </w:pPr>
      <w:r w:rsidRPr="004D7AD7">
        <w:lastRenderedPageBreak/>
        <w:t>Development of the NSQHS Standards (second edition)</w:t>
      </w:r>
    </w:p>
    <w:p w14:paraId="27FEBD44" w14:textId="77777777" w:rsidR="004D7AD7" w:rsidRDefault="004D7AD7" w:rsidP="00454565">
      <w:pPr>
        <w:pStyle w:val="BodyText"/>
      </w:pPr>
      <w:r>
        <w:lastRenderedPageBreak/>
        <w:t>The Commission commenced a review of the NSQHS Standards (first edition) in 2015. The objectives of the review were to ensure the NSQHS Standards reflect contemporary best clinical practice, and that only those actions that have improved patient outcomes were retained.</w:t>
      </w:r>
    </w:p>
    <w:p w14:paraId="72AF8F0D" w14:textId="77777777" w:rsidR="004D7AD7" w:rsidRDefault="004D7AD7" w:rsidP="00454565">
      <w:pPr>
        <w:pStyle w:val="BodyText"/>
      </w:pPr>
      <w:r>
        <w:t>Following an initial national consultation process, the Commission developed a draft version of the second edition of the NSQHS Standards. This draft was refined following piloting and further sector-wide consultation, and was subject to a regulation impact statement.</w:t>
      </w:r>
    </w:p>
    <w:p w14:paraId="540FE327" w14:textId="77777777" w:rsidR="004D7AD7" w:rsidRDefault="004D7AD7" w:rsidP="00454565">
      <w:pPr>
        <w:pStyle w:val="BodyText"/>
      </w:pPr>
      <w:r>
        <w:t>In the second edition of the NSQHS Standards, the overall number of standards has been reduced from 10 to eight, and the number of actions has been reduced from 256 to 148.</w:t>
      </w:r>
    </w:p>
    <w:p w14:paraId="008A2BB5" w14:textId="77777777" w:rsidR="004D7AD7" w:rsidRDefault="004D7AD7" w:rsidP="00454565">
      <w:pPr>
        <w:pStyle w:val="Bodytextbeforebullets"/>
      </w:pPr>
      <w:r>
        <w:t>The NSQHS Standards (2nd ed.) have been improved by:</w:t>
      </w:r>
    </w:p>
    <w:p w14:paraId="4FBB7EBE" w14:textId="77777777" w:rsidR="004D7AD7" w:rsidRPr="00454565" w:rsidRDefault="004D7AD7" w:rsidP="00454565">
      <w:pPr>
        <w:pStyle w:val="Bullets"/>
      </w:pPr>
      <w:r w:rsidRPr="00454565">
        <w:t>Reducing the duplication in the first edition of the NSQHS Standards</w:t>
      </w:r>
    </w:p>
    <w:p w14:paraId="66FA1D82" w14:textId="77777777" w:rsidR="004D7AD7" w:rsidRPr="00454565" w:rsidRDefault="004D7AD7" w:rsidP="00454565">
      <w:pPr>
        <w:pStyle w:val="Bullets"/>
      </w:pPr>
      <w:r w:rsidRPr="00454565">
        <w:t>Addressing safety gaps in the care of Aboriginal and Torres Strait Islander people, end-of-life care and the care of people with lived experience of mental illness or cognitive impairment</w:t>
      </w:r>
    </w:p>
    <w:p w14:paraId="244AEB68" w14:textId="77777777" w:rsidR="004D7AD7" w:rsidRPr="00454565" w:rsidRDefault="004D7AD7" w:rsidP="00454565">
      <w:pPr>
        <w:pStyle w:val="Bullets"/>
      </w:pPr>
      <w:r w:rsidRPr="00454565">
        <w:t>Updating the evidence base</w:t>
      </w:r>
    </w:p>
    <w:p w14:paraId="6935ACD3" w14:textId="77777777" w:rsidR="004D7AD7" w:rsidRDefault="004D7AD7" w:rsidP="00454565">
      <w:pPr>
        <w:pStyle w:val="BulletLast"/>
      </w:pPr>
      <w:r>
        <w:t>Adapting and clarifying the language to improve the applicability of the NSQHS Standards to a broader range of health service organisations.</w:t>
      </w:r>
    </w:p>
    <w:p w14:paraId="4B3415C2" w14:textId="77777777" w:rsidR="004D7AD7" w:rsidRDefault="004D7AD7" w:rsidP="00454565">
      <w:pPr>
        <w:pStyle w:val="BodyText"/>
      </w:pPr>
      <w:r>
        <w:t>The NSQHS Standards (2nd ed.) were endorsed by the Australian Health Ministers’ Advisory Council (AHMAC) in December 2016, and approved for release by the COAG Health Council in June 2017.</w:t>
      </w:r>
    </w:p>
    <w:p w14:paraId="28339E07" w14:textId="77777777" w:rsidR="004D7AD7" w:rsidRDefault="00454565" w:rsidP="00454565">
      <w:pPr>
        <w:pStyle w:val="BodyText"/>
      </w:pPr>
      <w:r>
        <w:br w:type="column"/>
      </w:r>
      <w:r w:rsidR="004D7AD7">
        <w:lastRenderedPageBreak/>
        <w:t>The Commission began developing resources to support the NSQHS Standards (2nd ed.) in 2016. It consulted with clinicians, consumers and content experts on the draft resources to ensure they meet the needs of target audiences, which include consumers, hospitals, day procedure services, multi-purpose services, small rural hospitals and governing bodies such as boards.</w:t>
      </w:r>
    </w:p>
    <w:p w14:paraId="5F423142" w14:textId="77777777" w:rsidR="004D7AD7" w:rsidRDefault="004D7AD7" w:rsidP="00454565">
      <w:pPr>
        <w:pStyle w:val="BodyText"/>
      </w:pPr>
      <w:r>
        <w:t xml:space="preserve">The Commission is also developing an interactive online resource for the NSQHS Standards (2nd ed.) that is designed to provide frontline clinicians, managers, and safety and quality coordinators with direct access to relevant information. The Commission expects that this resource will be available </w:t>
      </w:r>
      <w:r w:rsidRPr="00C505AD">
        <w:rPr>
          <w:rFonts w:cs="Arial"/>
        </w:rPr>
        <w:t>from </w:t>
      </w:r>
      <w:r w:rsidR="00C505AD">
        <w:rPr>
          <w:rFonts w:cs="Arial"/>
        </w:rPr>
        <w:br/>
      </w:r>
      <w:r w:rsidRPr="00C505AD">
        <w:rPr>
          <w:rFonts w:cs="Arial"/>
        </w:rPr>
        <w:t>mid</w:t>
      </w:r>
      <w:r w:rsidR="00C505AD">
        <w:rPr>
          <w:rFonts w:cs="Arial"/>
        </w:rPr>
        <w:t>-</w:t>
      </w:r>
      <w:r w:rsidRPr="00C505AD">
        <w:rPr>
          <w:rFonts w:cs="Arial"/>
        </w:rPr>
        <w:t>2018</w:t>
      </w:r>
      <w:r>
        <w:t xml:space="preserve">, and that its content will be expanded as the need for additional resources arises and new resources become available. </w:t>
      </w:r>
    </w:p>
    <w:p w14:paraId="09688C18" w14:textId="0C19516C" w:rsidR="00965C3F" w:rsidRDefault="004D7AD7" w:rsidP="00454565">
      <w:pPr>
        <w:pStyle w:val="BodyText"/>
      </w:pPr>
      <w:r>
        <w:t xml:space="preserve">The Commission will launch the NSQHS Standards (2nd ed.) in November 2017, together with supporting resources and measures. Assessment to the NSQHS Standards (2nd ed.) will commence on </w:t>
      </w:r>
      <w:r w:rsidR="007D7BC6">
        <w:br/>
      </w:r>
      <w:r>
        <w:t>1 January 2019.</w:t>
      </w:r>
    </w:p>
    <w:p w14:paraId="0AD32367" w14:textId="77777777" w:rsidR="00965C3F" w:rsidRDefault="00965C3F"/>
    <w:tbl>
      <w:tblPr>
        <w:tblW w:w="0" w:type="auto"/>
        <w:tblInd w:w="-8" w:type="dxa"/>
        <w:tblLayout w:type="fixed"/>
        <w:tblCellMar>
          <w:top w:w="85" w:type="dxa"/>
          <w:left w:w="85" w:type="dxa"/>
          <w:bottom w:w="85" w:type="dxa"/>
          <w:right w:w="85" w:type="dxa"/>
        </w:tblCellMar>
        <w:tblLook w:val="0000" w:firstRow="0" w:lastRow="0" w:firstColumn="0" w:lastColumn="0" w:noHBand="0" w:noVBand="0"/>
        <w:tblCaption w:val="Highlights pullout box"/>
      </w:tblPr>
      <w:tblGrid>
        <w:gridCol w:w="3969"/>
      </w:tblGrid>
      <w:tr w:rsidR="004D7AD7" w:rsidRPr="004D7AD7" w14:paraId="1FFF8D22" w14:textId="77777777" w:rsidTr="00454565">
        <w:trPr>
          <w:trHeight w:val="60"/>
        </w:trPr>
        <w:tc>
          <w:tcPr>
            <w:tcW w:w="3969" w:type="dxa"/>
            <w:tcBorders>
              <w:top w:val="single" w:sz="36" w:space="0" w:color="10897C"/>
              <w:bottom w:val="single" w:sz="4" w:space="0" w:color="10897C"/>
            </w:tcBorders>
          </w:tcPr>
          <w:p w14:paraId="6101E01C" w14:textId="77777777" w:rsidR="004D7AD7" w:rsidRPr="004D7AD7" w:rsidRDefault="004D7AD7" w:rsidP="00454565">
            <w:pPr>
              <w:pStyle w:val="Tableheading2"/>
            </w:pPr>
            <w:r w:rsidRPr="004D7AD7">
              <w:t>Highlights</w:t>
            </w:r>
          </w:p>
        </w:tc>
      </w:tr>
      <w:tr w:rsidR="004D7AD7" w:rsidRPr="004D7AD7" w14:paraId="3DBEAC6E" w14:textId="77777777" w:rsidTr="007D7BC6">
        <w:trPr>
          <w:trHeight w:val="60"/>
        </w:trPr>
        <w:tc>
          <w:tcPr>
            <w:tcW w:w="3969" w:type="dxa"/>
            <w:tcBorders>
              <w:top w:val="single" w:sz="4" w:space="0" w:color="10897C"/>
              <w:bottom w:val="single" w:sz="16" w:space="0" w:color="10897C"/>
            </w:tcBorders>
            <w:shd w:val="clear" w:color="auto" w:fill="F1F0EE" w:themeFill="accent4"/>
          </w:tcPr>
          <w:p w14:paraId="29D6079A" w14:textId="77777777" w:rsidR="004D7AD7" w:rsidRPr="004D7AD7" w:rsidRDefault="004D7AD7" w:rsidP="00454565">
            <w:pPr>
              <w:pStyle w:val="Tablebullets"/>
            </w:pPr>
            <w:r w:rsidRPr="004D7AD7">
              <w:t>Developed the NSQHS Standards (2nd ed.)</w:t>
            </w:r>
          </w:p>
          <w:p w14:paraId="12EE65E8" w14:textId="77777777" w:rsidR="004D7AD7" w:rsidRPr="004D7AD7" w:rsidRDefault="004D7AD7" w:rsidP="00454565">
            <w:pPr>
              <w:pStyle w:val="Tablebullets"/>
            </w:pPr>
            <w:r w:rsidRPr="004D7AD7">
              <w:t>Attained the endorsement of the NSQHS Standards (2nd ed.) by COAG Health Council</w:t>
            </w:r>
          </w:p>
          <w:p w14:paraId="5EC82948" w14:textId="77777777" w:rsidR="004D7AD7" w:rsidRPr="004D7AD7" w:rsidRDefault="004D7AD7" w:rsidP="00454565">
            <w:pPr>
              <w:pStyle w:val="Tablebullets"/>
            </w:pPr>
            <w:r w:rsidRPr="004D7AD7">
              <w:t>Received 66 submissions in response to the consultation regulation impact statement, with 82% of respondents supporting the introduction of the NSQHS Standards (2nd ed.)</w:t>
            </w:r>
          </w:p>
          <w:p w14:paraId="3FE48B3E" w14:textId="77777777" w:rsidR="004D7AD7" w:rsidRPr="004D7AD7" w:rsidRDefault="004D7AD7" w:rsidP="00454565">
            <w:pPr>
              <w:pStyle w:val="Tablebullets"/>
            </w:pPr>
            <w:r w:rsidRPr="004D7AD7">
              <w:t>Completed consultation on draft resources to support the NSQHS Standards (2nd ed.), receiving 251 responses.</w:t>
            </w:r>
          </w:p>
        </w:tc>
      </w:tr>
    </w:tbl>
    <w:p w14:paraId="56E9C8CF" w14:textId="77777777" w:rsidR="004D7AD7" w:rsidRDefault="004D7AD7">
      <w:pPr>
        <w:sectPr w:rsidR="004D7AD7" w:rsidSect="005F1364">
          <w:type w:val="continuous"/>
          <w:pgSz w:w="9979" w:h="14175" w:code="34"/>
          <w:pgMar w:top="1418" w:right="680" w:bottom="851" w:left="1021" w:header="567" w:footer="397" w:gutter="0"/>
          <w:cols w:num="2" w:space="708"/>
          <w:docGrid w:linePitch="360"/>
        </w:sectPr>
      </w:pPr>
    </w:p>
    <w:p w14:paraId="61C986A9" w14:textId="77777777" w:rsidR="004D7AD7" w:rsidRDefault="004D7AD7" w:rsidP="002872D8">
      <w:pPr>
        <w:pStyle w:val="Heading2"/>
      </w:pPr>
      <w:r w:rsidRPr="004D7AD7">
        <w:lastRenderedPageBreak/>
        <w:t>Revision of the Australian Health Service Safety and Quality Accreditation (AHSSQA) Scheme to improve the reliability of health service organisation accreditation processes</w:t>
      </w:r>
    </w:p>
    <w:p w14:paraId="0B3FFCF4" w14:textId="77777777" w:rsidR="004D7AD7" w:rsidRDefault="004D7AD7">
      <w:pPr>
        <w:sectPr w:rsidR="004D7AD7" w:rsidSect="005F1364">
          <w:headerReference w:type="even" r:id="rId44"/>
          <w:headerReference w:type="default" r:id="rId45"/>
          <w:pgSz w:w="9979" w:h="14175" w:code="34"/>
          <w:pgMar w:top="1418" w:right="680" w:bottom="567" w:left="1021" w:header="567" w:footer="397" w:gutter="0"/>
          <w:cols w:space="708"/>
          <w:docGrid w:linePitch="360"/>
        </w:sectPr>
      </w:pPr>
    </w:p>
    <w:p w14:paraId="30D7E446" w14:textId="77777777" w:rsidR="004D7AD7" w:rsidRDefault="004D7AD7" w:rsidP="00CF377B">
      <w:pPr>
        <w:pStyle w:val="BodyText"/>
      </w:pPr>
      <w:r>
        <w:lastRenderedPageBreak/>
        <w:t>Health service organisations are assessed and accredited against the NSQHS Standards through the AHSSQA Scheme. The Commission is responsible for maintaining and coordinating this scheme.</w:t>
      </w:r>
    </w:p>
    <w:p w14:paraId="655D1DC8" w14:textId="77777777" w:rsidR="004D7AD7" w:rsidRDefault="004D7AD7" w:rsidP="00CF377B">
      <w:pPr>
        <w:pStyle w:val="BodyText"/>
        <w:ind w:right="-184"/>
      </w:pPr>
      <w:r>
        <w:t>To become accredited, health service organisations must pass assessments to show they have implemented the NSQHS Standards. The assessments are conducted by independent accrediting agencies, approved by the Commission, as part of the AHSSQA Scheme.</w:t>
      </w:r>
    </w:p>
    <w:p w14:paraId="404C5F04" w14:textId="77777777" w:rsidR="004D7AD7" w:rsidRDefault="004D7AD7" w:rsidP="00CF377B">
      <w:pPr>
        <w:pStyle w:val="BodyText"/>
      </w:pPr>
      <w:r>
        <w:t xml:space="preserve">The awarding of accreditation status is meant to provide assurance to the community that the health service organisation meets expected patient safety and quality standards. While the NSQHS Standards have transformed standards from a managerial activity to an assessment of patient safety and quality, accreditation processes have not changed in over 40 years. The accreditation process must be subject to innovation if it is to meet its objective. </w:t>
      </w:r>
    </w:p>
    <w:p w14:paraId="4CE602BB" w14:textId="77777777" w:rsidR="004D7AD7" w:rsidRDefault="004D7AD7" w:rsidP="00CF377B">
      <w:pPr>
        <w:pStyle w:val="BodyText"/>
      </w:pPr>
      <w:r>
        <w:t xml:space="preserve">State and territory regulators and chief executives of health service organisations have expressed concerns that the accreditation process does not reliably verify that an organisation’s safety and quality systems are operational and effective. Concerns have also been raised that the NSQHS Standards and AHSSQA Scheme are open to interpretation by assessors. The most significant concerns relate to a number of hospitals that were awarded accreditation status when they clearly did not meet the NSQHS Standards, particularly Standard 1: Governance for Safety and Quality in Health Service Organisations. </w:t>
      </w:r>
    </w:p>
    <w:p w14:paraId="2F039774" w14:textId="77777777" w:rsidR="004D7AD7" w:rsidRDefault="004D7AD7" w:rsidP="00CF377B">
      <w:pPr>
        <w:pStyle w:val="Bodytextbeforebullets"/>
      </w:pPr>
      <w:r>
        <w:t>To ensure the AHSSQA Scheme remains effective, significant revision of the accreditation process is required. Based on feedback received on the AHSSQA Scheme issues and possible solutions, the Commission will implement six strategies to improve the reliability of the accreditation process.</w:t>
      </w:r>
      <w:r w:rsidR="00CF377B">
        <w:br w:type="column"/>
      </w:r>
      <w:r>
        <w:lastRenderedPageBreak/>
        <w:t>The strategies include steps to:</w:t>
      </w:r>
    </w:p>
    <w:p w14:paraId="37D5F69D" w14:textId="77777777" w:rsidR="004D7AD7" w:rsidRDefault="004D7AD7" w:rsidP="00CF377B">
      <w:pPr>
        <w:pStyle w:val="Bullets"/>
      </w:pPr>
      <w:r>
        <w:t xml:space="preserve">Improve the veracity of health service organisation assessments </w:t>
      </w:r>
    </w:p>
    <w:p w14:paraId="2662A4BA" w14:textId="77777777" w:rsidR="004D7AD7" w:rsidRDefault="004D7AD7" w:rsidP="00CF377B">
      <w:pPr>
        <w:pStyle w:val="Bullets"/>
      </w:pPr>
      <w:r>
        <w:t>Improve the effectiveness and expertise of the assessment team</w:t>
      </w:r>
    </w:p>
    <w:p w14:paraId="3156362F" w14:textId="77777777" w:rsidR="004D7AD7" w:rsidRDefault="004D7AD7" w:rsidP="00CF377B">
      <w:pPr>
        <w:pStyle w:val="Bullets"/>
      </w:pPr>
      <w:r>
        <w:t>Assess the health service organisation’s safety and quality data to better inform the assessment process</w:t>
      </w:r>
    </w:p>
    <w:p w14:paraId="53696EE8" w14:textId="77777777" w:rsidR="004D7AD7" w:rsidRDefault="004D7AD7" w:rsidP="00CF377B">
      <w:pPr>
        <w:pStyle w:val="Bullets"/>
      </w:pPr>
      <w:r>
        <w:t>Improve regulatory oversight</w:t>
      </w:r>
    </w:p>
    <w:p w14:paraId="0ED09F37" w14:textId="77777777" w:rsidR="004D7AD7" w:rsidRDefault="004D7AD7" w:rsidP="00CF377B">
      <w:pPr>
        <w:pStyle w:val="Bullets"/>
      </w:pPr>
      <w:r>
        <w:t>Improve communications related to the assessments and their outcomes</w:t>
      </w:r>
    </w:p>
    <w:p w14:paraId="7478A7CA" w14:textId="77777777" w:rsidR="004D7AD7" w:rsidRDefault="004D7AD7" w:rsidP="00CF377B">
      <w:pPr>
        <w:pStyle w:val="BulletLast"/>
      </w:pPr>
      <w:r>
        <w:t>Improve resources and support for health service organisations.</w:t>
      </w:r>
    </w:p>
    <w:p w14:paraId="53C9F408" w14:textId="42554F1C" w:rsidR="00965C3F" w:rsidRDefault="004D7AD7" w:rsidP="00CF377B">
      <w:pPr>
        <w:pStyle w:val="BodyText"/>
      </w:pPr>
      <w:r>
        <w:t xml:space="preserve">The Commission has begun initial consultation </w:t>
      </w:r>
      <w:r w:rsidR="007D7BC6">
        <w:br/>
      </w:r>
      <w:r>
        <w:t>on revision of the AHSSQA Scheme, with most work to be completed in 2017–18. It will collaborate with health departments, health service organisations, approved accrediting agencies and consumers in developing and implementing these strategies.</w:t>
      </w:r>
    </w:p>
    <w:tbl>
      <w:tblPr>
        <w:tblW w:w="0" w:type="auto"/>
        <w:tblInd w:w="-8" w:type="dxa"/>
        <w:tblLayout w:type="fixed"/>
        <w:tblCellMar>
          <w:left w:w="0" w:type="dxa"/>
          <w:right w:w="0" w:type="dxa"/>
        </w:tblCellMar>
        <w:tblLook w:val="0000" w:firstRow="0" w:lastRow="0" w:firstColumn="0" w:lastColumn="0" w:noHBand="0" w:noVBand="0"/>
        <w:tblCaption w:val="Highlights pullout box"/>
      </w:tblPr>
      <w:tblGrid>
        <w:gridCol w:w="3949"/>
      </w:tblGrid>
      <w:tr w:rsidR="004D7AD7" w:rsidRPr="004D7AD7" w14:paraId="7495177C" w14:textId="77777777" w:rsidTr="00CF377B">
        <w:trPr>
          <w:trHeight w:val="60"/>
        </w:trPr>
        <w:tc>
          <w:tcPr>
            <w:tcW w:w="3949" w:type="dxa"/>
            <w:tcBorders>
              <w:top w:val="single" w:sz="36" w:space="0" w:color="10897C"/>
              <w:bottom w:val="single" w:sz="4" w:space="0" w:color="10897C"/>
            </w:tcBorders>
            <w:tcMar>
              <w:top w:w="142" w:type="dxa"/>
              <w:left w:w="142" w:type="dxa"/>
              <w:bottom w:w="142" w:type="dxa"/>
              <w:right w:w="142" w:type="dxa"/>
            </w:tcMar>
          </w:tcPr>
          <w:p w14:paraId="05A3B64B" w14:textId="77777777" w:rsidR="004D7AD7" w:rsidRPr="004D7AD7" w:rsidRDefault="004D7AD7" w:rsidP="00CF377B">
            <w:pPr>
              <w:pStyle w:val="Tableheading2"/>
            </w:pPr>
            <w:r w:rsidRPr="004D7AD7">
              <w:t>Highlights</w:t>
            </w:r>
          </w:p>
        </w:tc>
      </w:tr>
      <w:tr w:rsidR="004D7AD7" w:rsidRPr="004D7AD7" w14:paraId="485A9ACC" w14:textId="77777777" w:rsidTr="007D7BC6">
        <w:trPr>
          <w:trHeight w:val="60"/>
        </w:trPr>
        <w:tc>
          <w:tcPr>
            <w:tcW w:w="3949" w:type="dxa"/>
            <w:tcBorders>
              <w:top w:val="single" w:sz="4" w:space="0" w:color="10897C"/>
              <w:bottom w:val="single" w:sz="16" w:space="0" w:color="10897C"/>
            </w:tcBorders>
            <w:shd w:val="clear" w:color="auto" w:fill="F1F0EE" w:themeFill="accent4"/>
            <w:tcMar>
              <w:top w:w="142" w:type="dxa"/>
              <w:left w:w="142" w:type="dxa"/>
              <w:bottom w:w="142" w:type="dxa"/>
              <w:right w:w="142" w:type="dxa"/>
            </w:tcMar>
          </w:tcPr>
          <w:p w14:paraId="16B2F1C0" w14:textId="77777777" w:rsidR="004D7AD7" w:rsidRPr="004D7AD7" w:rsidRDefault="004D7AD7" w:rsidP="00CF377B">
            <w:pPr>
              <w:pStyle w:val="Tablebullets"/>
            </w:pPr>
            <w:r w:rsidRPr="004D7AD7">
              <w:t>Developed an implementation strategy to improve the reliability of health service organisation accreditation processes</w:t>
            </w:r>
          </w:p>
          <w:p w14:paraId="69F11668" w14:textId="77777777" w:rsidR="004D7AD7" w:rsidRPr="004D7AD7" w:rsidRDefault="004D7AD7" w:rsidP="00CF377B">
            <w:pPr>
              <w:pStyle w:val="Tablebullets"/>
            </w:pPr>
            <w:r w:rsidRPr="004D7AD7">
              <w:t>Completed an initial consultation on the revision of the AHSSQA Scheme involving the nine approved accrediting agencies and the health departments of the Australian Government and state and territory governments</w:t>
            </w:r>
          </w:p>
          <w:p w14:paraId="60F594CE" w14:textId="77777777" w:rsidR="004D7AD7" w:rsidRPr="004D7AD7" w:rsidRDefault="004D7AD7" w:rsidP="00CF377B">
            <w:pPr>
              <w:pStyle w:val="Tablebullets"/>
            </w:pPr>
            <w:r w:rsidRPr="004D7AD7">
              <w:t>Conducted four literature reviews, covering the use of short-notice surveys, attesting, the assessment of safety and quality culture, and the use of patient journey methodology in accreditation.</w:t>
            </w:r>
          </w:p>
        </w:tc>
      </w:tr>
    </w:tbl>
    <w:p w14:paraId="56F15688" w14:textId="77777777" w:rsidR="00D10CB4" w:rsidRDefault="00D10CB4">
      <w:pPr>
        <w:sectPr w:rsidR="00D10CB4" w:rsidSect="005F1364">
          <w:type w:val="continuous"/>
          <w:pgSz w:w="9979" w:h="14175" w:code="34"/>
          <w:pgMar w:top="1418" w:right="680" w:bottom="851" w:left="1021" w:header="567" w:footer="397" w:gutter="0"/>
          <w:cols w:num="2" w:space="340"/>
          <w:docGrid w:linePitch="360"/>
        </w:sectPr>
      </w:pPr>
    </w:p>
    <w:p w14:paraId="039171C2" w14:textId="77777777" w:rsidR="00D10CB4" w:rsidRDefault="00D10CB4"/>
    <w:p w14:paraId="7DC5C47D" w14:textId="77777777" w:rsidR="003B626B" w:rsidRDefault="00D10CB4" w:rsidP="00CF377B">
      <w:pPr>
        <w:pStyle w:val="Heading2"/>
        <w:sectPr w:rsidR="003B626B" w:rsidSect="005F1364">
          <w:type w:val="continuous"/>
          <w:pgSz w:w="9979" w:h="14175" w:code="34"/>
          <w:pgMar w:top="1418" w:right="680" w:bottom="851" w:left="1021" w:header="567" w:footer="397" w:gutter="0"/>
          <w:cols w:space="708"/>
          <w:docGrid w:linePitch="360"/>
        </w:sectPr>
      </w:pPr>
      <w:r w:rsidRPr="003B626B">
        <w:lastRenderedPageBreak/>
        <w:t>Antimicrobial resistance, antimicrobial use, surveillance and healthcare-associated infections</w:t>
      </w:r>
    </w:p>
    <w:p w14:paraId="270FE546" w14:textId="77777777" w:rsidR="003B626B" w:rsidRDefault="003B626B" w:rsidP="00CF377B">
      <w:pPr>
        <w:pStyle w:val="BodyText"/>
      </w:pPr>
      <w:r>
        <w:lastRenderedPageBreak/>
        <w:t xml:space="preserve">In 2016–17, the Australian Government provided additional funding for the Antimicrobial Use and Resistance in Australia (AURA) Surveillance System. The AURA program continues to analyse and report on antimicrobial resistance and antimicrobial use in hospitals, aged care homes and the community through a range of surveillance programs. </w:t>
      </w:r>
    </w:p>
    <w:p w14:paraId="27DB7DA1" w14:textId="77777777" w:rsidR="003B626B" w:rsidRDefault="003B626B" w:rsidP="00CF377B">
      <w:pPr>
        <w:pStyle w:val="BodyText"/>
      </w:pPr>
      <w:r w:rsidRPr="00F5152E">
        <w:rPr>
          <w:rStyle w:val="Emphasis"/>
        </w:rPr>
        <w:t>AURA 2016: First Australian report on antimicrobial use and resistance in human health</w:t>
      </w:r>
      <w:r>
        <w:t xml:space="preserve"> provides the most comprehensive picture of antimicrobial resistance (AMR), antimicrobial use, and appropriateness of prescribing in Australia to date. It sets a baseline that will allow trends to be monitored over time. AURA 2016 also highlights areas where future work will inform action to prevent the spread of AMR.</w:t>
      </w:r>
    </w:p>
    <w:p w14:paraId="2A6F631B" w14:textId="77777777" w:rsidR="003B626B" w:rsidRDefault="003B626B" w:rsidP="00CF377B">
      <w:pPr>
        <w:pStyle w:val="BodyText"/>
      </w:pPr>
      <w:r>
        <w:t>Comprehensive, coordinated and effective surveillance of AMR and antimicrobial use is a national priority. Surveillance is essential to understand the magnitude, distribution and impact of AMR and antimicrobial use, as well as to identify emerging issues and trends. It allows the early detection of critical antimicrobial resistances to ensure effective action can be taken, and provides information on the effectiveness of measures designed to promote appropriate use of antimicrobials and contain AMR. Surveillance is a critical component of Australia’s National Antimicrobial Resistance</w:t>
      </w:r>
      <w:r>
        <w:rPr>
          <w:rFonts w:cs="Arial"/>
        </w:rPr>
        <w:t> </w:t>
      </w:r>
      <w:r>
        <w:t>Strategy.</w:t>
      </w:r>
    </w:p>
    <w:p w14:paraId="0E39BF94" w14:textId="77777777" w:rsidR="003B626B" w:rsidRDefault="003B626B" w:rsidP="00CF377B">
      <w:pPr>
        <w:pStyle w:val="BodyText"/>
      </w:pPr>
      <w:r>
        <w:t xml:space="preserve">The AURA Surveillance System coordinates data from a range of sources and allows integrated analysis and reporting at a national level. The AURA Surveillance System brings together partner programs such as the Australian Group on Antimicrobial Resistance, the National Antimicrobial Prescribing Survey (NAPS), the National Antimicrobial Utilisation Surveillance Program (NAUSP) and Queensland Health’s </w:t>
      </w:r>
      <w:proofErr w:type="spellStart"/>
      <w:r>
        <w:t>OrgTRx</w:t>
      </w:r>
      <w:proofErr w:type="spellEnd"/>
      <w:r>
        <w:t xml:space="preserve"> system. Data is also sourced from the Pharmaceutical Benefits Scheme (PBS) and the Repatriation Pharmaceutical Benefits Scheme (RPBS), NPS MedicineWise, the National </w:t>
      </w:r>
      <w:r>
        <w:lastRenderedPageBreak/>
        <w:t xml:space="preserve">Neisseria Network, the National Notifiable Diseases Surveillance System, the </w:t>
      </w:r>
      <w:r w:rsidRPr="00F5152E">
        <w:rPr>
          <w:rStyle w:val="Emphasis"/>
        </w:rPr>
        <w:t>Report on Government Services 2015</w:t>
      </w:r>
      <w:r>
        <w:t xml:space="preserve"> and Sullivan </w:t>
      </w:r>
      <w:proofErr w:type="spellStart"/>
      <w:r>
        <w:t>Nicolaides</w:t>
      </w:r>
      <w:proofErr w:type="spellEnd"/>
      <w:r>
        <w:t xml:space="preserve"> Pathology.</w:t>
      </w:r>
    </w:p>
    <w:p w14:paraId="58775027" w14:textId="77777777" w:rsidR="003B626B" w:rsidRDefault="003B626B" w:rsidP="00CF377B">
      <w:pPr>
        <w:pStyle w:val="BodyText"/>
      </w:pPr>
      <w:r>
        <w:t>The AURA Surveillance System is providing critical information needed by clinicians, policymakers, researchers and health system managers to target efforts to inform antimicrobial stewardship and AMR policy and program development.</w:t>
      </w:r>
    </w:p>
    <w:p w14:paraId="744ADBA1" w14:textId="77777777" w:rsidR="003B626B" w:rsidRDefault="003B626B" w:rsidP="00CF377B">
      <w:pPr>
        <w:pStyle w:val="BodyText"/>
      </w:pPr>
      <w:r>
        <w:t>Following a six-monthly review in October 2016, the National Alert System for Critical Antimicrobial Resistances (CARAlert) was enhanced to enable state and territory health authorities to directly access CARAlert records for their jurisdiction, including the name of the public hospital where the isolate was collected. This information allows them to monitor the geographic distribution of critical antimicrobial resistances, and to liaise with hospitals to confirm infection control responses, as appropriate, in the event of an outbreak. Following the CARAlert upgrades, state and territory health departments can now generate local and national reports from the system. Direct access to CARAlert records is complemented by weekly national digest reports that include information on all critical antimicrobial resistances reported in the previous week, including the state or territory where the isolate was collected.</w:t>
      </w:r>
    </w:p>
    <w:p w14:paraId="76D8AC2A" w14:textId="77777777" w:rsidR="003B626B" w:rsidRDefault="003B626B" w:rsidP="003123F3">
      <w:pPr>
        <w:pStyle w:val="BodyText"/>
      </w:pPr>
      <w:r>
        <w:t>The Commission has a well-established national Healthcare-Associated Infection program that aims to prevent and contain antimicrobial</w:t>
      </w:r>
    </w:p>
    <w:p w14:paraId="7151D10C" w14:textId="77777777" w:rsidR="00F5152E" w:rsidRDefault="00F5152E">
      <w:pPr>
        <w:spacing w:after="160" w:line="259" w:lineRule="auto"/>
      </w:pPr>
      <w:r>
        <w:br w:type="page"/>
      </w:r>
    </w:p>
    <w:p w14:paraId="6ACDBB0F" w14:textId="77777777" w:rsidR="00D10CB4" w:rsidRDefault="00D10CB4" w:rsidP="00CF377B">
      <w:pPr>
        <w:pStyle w:val="BodyText"/>
      </w:pPr>
      <w:r>
        <w:lastRenderedPageBreak/>
        <w:t xml:space="preserve">resistance through evidence-based infection control practices. In 2016–17, the Commission provided funding for a national hand hygiene program, and specified national definitions that allow infection rate trends to be monitored more effectively. The Commission also offered advice to improve practice through policy and guideline development, and provided national guidance on managing and measuring some emerging infections, which is key to preventing and containing antimicrobial resistance and surgical site infections. </w:t>
      </w:r>
    </w:p>
    <w:tbl>
      <w:tblPr>
        <w:tblW w:w="0" w:type="auto"/>
        <w:tblInd w:w="-8" w:type="dxa"/>
        <w:tblLayout w:type="fixed"/>
        <w:tblCellMar>
          <w:left w:w="0" w:type="dxa"/>
          <w:right w:w="0" w:type="dxa"/>
        </w:tblCellMar>
        <w:tblLook w:val="0000" w:firstRow="0" w:lastRow="0" w:firstColumn="0" w:lastColumn="0" w:noHBand="0" w:noVBand="0"/>
        <w:tblCaption w:val="Highlights pullout box"/>
      </w:tblPr>
      <w:tblGrid>
        <w:gridCol w:w="3949"/>
      </w:tblGrid>
      <w:tr w:rsidR="00D10CB4" w:rsidRPr="00D10CB4" w14:paraId="734DB4B1" w14:textId="77777777" w:rsidTr="007D7BC6">
        <w:trPr>
          <w:trHeight w:val="60"/>
        </w:trPr>
        <w:tc>
          <w:tcPr>
            <w:tcW w:w="3949" w:type="dxa"/>
            <w:tcBorders>
              <w:top w:val="single" w:sz="36" w:space="0" w:color="10897C"/>
              <w:bottom w:val="single" w:sz="4" w:space="0" w:color="10897C"/>
            </w:tcBorders>
            <w:tcMar>
              <w:top w:w="142" w:type="dxa"/>
              <w:left w:w="142" w:type="dxa"/>
              <w:bottom w:w="142" w:type="dxa"/>
              <w:right w:w="142" w:type="dxa"/>
            </w:tcMar>
          </w:tcPr>
          <w:p w14:paraId="718E1878" w14:textId="77777777" w:rsidR="00D10CB4" w:rsidRPr="00D10CB4" w:rsidRDefault="00D10CB4" w:rsidP="00E3219B">
            <w:pPr>
              <w:pStyle w:val="Tableheading2"/>
            </w:pPr>
            <w:r w:rsidRPr="00D10CB4">
              <w:t>Highlights</w:t>
            </w:r>
          </w:p>
        </w:tc>
      </w:tr>
      <w:tr w:rsidR="00D10CB4" w:rsidRPr="00D10CB4" w14:paraId="1BB58351" w14:textId="77777777" w:rsidTr="007D7BC6">
        <w:trPr>
          <w:trHeight w:val="60"/>
        </w:trPr>
        <w:tc>
          <w:tcPr>
            <w:tcW w:w="3949" w:type="dxa"/>
            <w:tcBorders>
              <w:top w:val="single" w:sz="4" w:space="0" w:color="10897C"/>
              <w:bottom w:val="single" w:sz="16" w:space="0" w:color="10897C"/>
            </w:tcBorders>
            <w:shd w:val="clear" w:color="auto" w:fill="F1F0EE" w:themeFill="accent4"/>
            <w:tcMar>
              <w:top w:w="142" w:type="dxa"/>
              <w:left w:w="142" w:type="dxa"/>
              <w:bottom w:w="142" w:type="dxa"/>
              <w:right w:w="142" w:type="dxa"/>
            </w:tcMar>
          </w:tcPr>
          <w:p w14:paraId="0719E94F" w14:textId="77777777" w:rsidR="00D10CB4" w:rsidRPr="00D10CB4" w:rsidRDefault="00D10CB4" w:rsidP="00F5152E">
            <w:pPr>
              <w:pStyle w:val="Tablebullets"/>
            </w:pPr>
            <w:r w:rsidRPr="00D10CB4">
              <w:t xml:space="preserve">Released </w:t>
            </w:r>
            <w:r w:rsidRPr="00C9282C">
              <w:rPr>
                <w:rStyle w:val="Emphasis"/>
              </w:rPr>
              <w:t>AURA 2016: First Australian report on antimicrobial use and resistance in human health</w:t>
            </w:r>
          </w:p>
          <w:p w14:paraId="08182AAF" w14:textId="77777777" w:rsidR="00D10CB4" w:rsidRPr="00D10CB4" w:rsidRDefault="00D10CB4" w:rsidP="00F5152E">
            <w:pPr>
              <w:pStyle w:val="Tablebullets"/>
            </w:pPr>
            <w:r w:rsidRPr="00D10CB4">
              <w:t>Enhanced and expanded several components of the AURA program, including CARAlert, the National Passive Antimicrobial Resistance Surveillance System and the National Antimicrobial Utilisation Surveillance Program</w:t>
            </w:r>
          </w:p>
          <w:p w14:paraId="222A2AC8" w14:textId="77777777" w:rsidR="00D10CB4" w:rsidRPr="00D10CB4" w:rsidRDefault="00D10CB4" w:rsidP="00F5152E">
            <w:pPr>
              <w:pStyle w:val="Tablebullets"/>
            </w:pPr>
            <w:r w:rsidRPr="00D10CB4">
              <w:t>Continued to publish detailed reports on each of the AURA surveillance programs and associated surveys</w:t>
            </w:r>
          </w:p>
          <w:p w14:paraId="46B7FEC4" w14:textId="77777777" w:rsidR="00D10CB4" w:rsidRPr="00D10CB4" w:rsidRDefault="00D10CB4" w:rsidP="00F5152E">
            <w:pPr>
              <w:pStyle w:val="Tablebullets"/>
            </w:pPr>
            <w:r w:rsidRPr="00D10CB4">
              <w:t xml:space="preserve">Released national guidance on carbapenemase-producing Enterobacteriaceae, the diagnosis and management of </w:t>
            </w:r>
            <w:r w:rsidRPr="007D7BC6">
              <w:rPr>
                <w:i/>
              </w:rPr>
              <w:t>Clostridium difficile</w:t>
            </w:r>
            <w:r w:rsidRPr="00D10CB4">
              <w:t>, and approaches to surgical site infection.</w:t>
            </w:r>
          </w:p>
        </w:tc>
      </w:tr>
    </w:tbl>
    <w:p w14:paraId="1D7B734C" w14:textId="77777777" w:rsidR="00D10CB4" w:rsidRPr="00D10CB4" w:rsidRDefault="00D10CB4" w:rsidP="003123F3">
      <w:pPr>
        <w:pStyle w:val="Heading2"/>
      </w:pPr>
      <w:r>
        <w:br w:type="column"/>
      </w:r>
      <w:r w:rsidRPr="0044323F">
        <w:rPr>
          <w:rStyle w:val="Emphasis"/>
        </w:rPr>
        <w:lastRenderedPageBreak/>
        <w:t>Mycobacterium chimaera</w:t>
      </w:r>
      <w:r w:rsidRPr="00D10CB4">
        <w:t xml:space="preserve"> and heater-cooler devices used in cardiac surgery</w:t>
      </w:r>
    </w:p>
    <w:p w14:paraId="2402FF48" w14:textId="77777777" w:rsidR="00D10CB4" w:rsidRPr="00D10CB4" w:rsidRDefault="00D10CB4" w:rsidP="003123F3">
      <w:pPr>
        <w:pStyle w:val="BodyText"/>
      </w:pPr>
      <w:r w:rsidRPr="00D10CB4">
        <w:t xml:space="preserve">In 2015, the European Centre for Disease Prevention and Control issued an alert regarding seven cases of </w:t>
      </w:r>
      <w:r w:rsidRPr="00011CF0">
        <w:rPr>
          <w:rStyle w:val="Emphasis"/>
        </w:rPr>
        <w:t>Mycobacterium chimaera</w:t>
      </w:r>
      <w:r w:rsidRPr="00D10CB4">
        <w:t xml:space="preserve"> infection that were associated with the use of certain heater-cooler devices during cardiac surgery. In each case, contaminated water from inside the heater-cooler device had been aerosolised into the operating room and appeared to contaminate the surgical field during an open-chest surgical procedure. </w:t>
      </w:r>
      <w:r w:rsidRPr="00011CF0">
        <w:rPr>
          <w:rStyle w:val="Emphasis"/>
        </w:rPr>
        <w:t>Mycobacterium chimaera</w:t>
      </w:r>
      <w:r w:rsidRPr="00D10CB4">
        <w:t xml:space="preserve"> is a slow-growing bacterium that is rarely associated with human infection. The signs and symptoms of this infection can take up to five years to appear and are often difficult to differentiate from other illnesses. Treatment typically involves prolonged combination antibiotic therapy, while compromised valves and grafts may require surgical debridement or revision.</w:t>
      </w:r>
    </w:p>
    <w:p w14:paraId="22082A60" w14:textId="77777777" w:rsidR="00D10CB4" w:rsidRPr="00D10CB4" w:rsidRDefault="00D10CB4" w:rsidP="003123F3">
      <w:pPr>
        <w:pStyle w:val="BodyText"/>
      </w:pPr>
      <w:r w:rsidRPr="00D10CB4">
        <w:t>The likely contamination of these devices at the point of manufacture meant that Australian patients who were exposed to these devices were also at risk of infection. The Commission coordinated the national response to this infection risk. It also developed infection control guidance – most recently updated in February 2017 – to provide health service organisations with infection prevention and control strategies that minimise the risk of infection associated with these devices. This complemented other guidance produced by the Communicable Disease Network Australia and the Public Health Laboratory Network on case identification and laboratory testing methods.</w:t>
      </w:r>
    </w:p>
    <w:p w14:paraId="2E4E67B6" w14:textId="77777777" w:rsidR="00D10CB4" w:rsidRDefault="00D10CB4" w:rsidP="003123F3">
      <w:pPr>
        <w:pStyle w:val="BodyText"/>
      </w:pPr>
      <w:r w:rsidRPr="00D10CB4">
        <w:t>The Commission worked closely with state and territory health departments, the private hospital sector and the Therapeutic Goods Administration to enable rapid information</w:t>
      </w:r>
      <w:r w:rsidR="00C36315">
        <w:t>-</w:t>
      </w:r>
      <w:r w:rsidRPr="00D10CB4">
        <w:t>sharing on case management and risk mitigation, and to monitor further developments in post-market surveillance of heater-cooler</w:t>
      </w:r>
      <w:r w:rsidRPr="00D10CB4">
        <w:rPr>
          <w:rFonts w:cs="Arial"/>
        </w:rPr>
        <w:t> </w:t>
      </w:r>
      <w:r w:rsidRPr="00D10CB4">
        <w:t>devices.</w:t>
      </w:r>
      <w:r>
        <w:br w:type="page"/>
      </w:r>
    </w:p>
    <w:p w14:paraId="10ED8BDC" w14:textId="77777777" w:rsidR="00D10CB4" w:rsidRDefault="00D10CB4" w:rsidP="00CF377B">
      <w:pPr>
        <w:pStyle w:val="BodyText"/>
      </w:pPr>
      <w:r>
        <w:lastRenderedPageBreak/>
        <w:t>Despite additional cases being identified around the world after the initial outbreak in Europe, the</w:t>
      </w:r>
      <w:r>
        <w:rPr>
          <w:rFonts w:cs="Arial"/>
        </w:rPr>
        <w:t> </w:t>
      </w:r>
      <w:r>
        <w:t>risk of infection appears to be extremely low. Infections have been predominantly associated with cardiac surgery involving a prosthetic graft or the insertion of prosthetic material, such as a</w:t>
      </w:r>
      <w:r>
        <w:rPr>
          <w:rFonts w:cs="Arial"/>
        </w:rPr>
        <w:t> </w:t>
      </w:r>
      <w:r>
        <w:t>replacement valve. In</w:t>
      </w:r>
      <w:r>
        <w:rPr>
          <w:rFonts w:cs="Arial"/>
        </w:rPr>
        <w:t> </w:t>
      </w:r>
      <w:r>
        <w:t>Australia, as</w:t>
      </w:r>
      <w:r>
        <w:rPr>
          <w:rFonts w:cs="Arial"/>
        </w:rPr>
        <w:t> </w:t>
      </w:r>
      <w:r>
        <w:t>of June</w:t>
      </w:r>
      <w:r>
        <w:rPr>
          <w:rFonts w:cs="Arial"/>
        </w:rPr>
        <w:t> </w:t>
      </w:r>
      <w:r>
        <w:t>2017, five patient cases have been identified and no patient deaths have been</w:t>
      </w:r>
      <w:r>
        <w:rPr>
          <w:rFonts w:cs="Arial"/>
        </w:rPr>
        <w:t> </w:t>
      </w:r>
      <w:r>
        <w:t>reported.</w:t>
      </w:r>
    </w:p>
    <w:tbl>
      <w:tblPr>
        <w:tblW w:w="5000" w:type="pct"/>
        <w:tblCellMar>
          <w:left w:w="0" w:type="dxa"/>
          <w:right w:w="0" w:type="dxa"/>
        </w:tblCellMar>
        <w:tblLook w:val="0000" w:firstRow="0" w:lastRow="0" w:firstColumn="0" w:lastColumn="0" w:noHBand="0" w:noVBand="0"/>
        <w:tblCaption w:val="Highlights pullout box"/>
      </w:tblPr>
      <w:tblGrid>
        <w:gridCol w:w="4253"/>
      </w:tblGrid>
      <w:tr w:rsidR="00D10CB4" w:rsidRPr="00D10CB4" w14:paraId="21057EED" w14:textId="77777777" w:rsidTr="002839DD">
        <w:trPr>
          <w:trHeight w:val="20"/>
        </w:trPr>
        <w:tc>
          <w:tcPr>
            <w:tcW w:w="5000" w:type="pct"/>
            <w:tcBorders>
              <w:top w:val="single" w:sz="36" w:space="0" w:color="10897C"/>
              <w:bottom w:val="single" w:sz="4" w:space="0" w:color="10897C"/>
            </w:tcBorders>
            <w:tcMar>
              <w:top w:w="142" w:type="dxa"/>
              <w:left w:w="142" w:type="dxa"/>
              <w:bottom w:w="142" w:type="dxa"/>
              <w:right w:w="142" w:type="dxa"/>
            </w:tcMar>
          </w:tcPr>
          <w:p w14:paraId="041B2921" w14:textId="77777777" w:rsidR="00D10CB4" w:rsidRPr="00D10CB4" w:rsidRDefault="00D10CB4" w:rsidP="00E3219B">
            <w:pPr>
              <w:pStyle w:val="Tableheading2"/>
            </w:pPr>
            <w:r w:rsidRPr="00D10CB4">
              <w:t>Highlights</w:t>
            </w:r>
          </w:p>
        </w:tc>
      </w:tr>
      <w:tr w:rsidR="00D10CB4" w:rsidRPr="00D10CB4" w14:paraId="07A2A8C7" w14:textId="77777777" w:rsidTr="002839DD">
        <w:trPr>
          <w:trHeight w:val="60"/>
        </w:trPr>
        <w:tc>
          <w:tcPr>
            <w:tcW w:w="5000" w:type="pct"/>
            <w:tcBorders>
              <w:top w:val="single" w:sz="4" w:space="0" w:color="10897C"/>
              <w:bottom w:val="single" w:sz="16" w:space="0" w:color="10897C"/>
            </w:tcBorders>
            <w:shd w:val="clear" w:color="auto" w:fill="F1F0EE" w:themeFill="accent4"/>
            <w:tcMar>
              <w:top w:w="142" w:type="dxa"/>
              <w:left w:w="142" w:type="dxa"/>
              <w:bottom w:w="142" w:type="dxa"/>
              <w:right w:w="142" w:type="dxa"/>
            </w:tcMar>
          </w:tcPr>
          <w:p w14:paraId="6AE31CD1" w14:textId="77777777" w:rsidR="00D10CB4" w:rsidRPr="00D10CB4" w:rsidRDefault="00D10CB4" w:rsidP="00F5152E">
            <w:pPr>
              <w:pStyle w:val="Tablebullets"/>
            </w:pPr>
            <w:r w:rsidRPr="00D10CB4">
              <w:t>Worked with state and territory health departments and several national agencies to deliver a coordinated national risk mitigation response to the contamination of heater-cooler units</w:t>
            </w:r>
          </w:p>
          <w:p w14:paraId="25D56C26" w14:textId="77777777" w:rsidR="00D10CB4" w:rsidRPr="00D10CB4" w:rsidRDefault="00D10CB4" w:rsidP="00F5152E">
            <w:pPr>
              <w:pStyle w:val="Tablebullets"/>
            </w:pPr>
            <w:r w:rsidRPr="00D10CB4">
              <w:t xml:space="preserve">Published national guidance outlining infection prevention and control strategies to reduce the risk of infection for patients. </w:t>
            </w:r>
          </w:p>
        </w:tc>
      </w:tr>
    </w:tbl>
    <w:p w14:paraId="06318BE6" w14:textId="77777777" w:rsidR="00D10CB4" w:rsidRDefault="00D10CB4" w:rsidP="003123F3">
      <w:pPr>
        <w:pStyle w:val="BodyText"/>
      </w:pPr>
    </w:p>
    <w:p w14:paraId="35D0B379" w14:textId="77777777" w:rsidR="00D10CB4" w:rsidRPr="00D10CB4" w:rsidRDefault="00D10CB4" w:rsidP="003123F3">
      <w:pPr>
        <w:pStyle w:val="Heading2"/>
      </w:pPr>
      <w:r w:rsidRPr="00D10CB4">
        <w:t>Digital patient safety</w:t>
      </w:r>
    </w:p>
    <w:p w14:paraId="2281F649" w14:textId="77777777" w:rsidR="00D10CB4" w:rsidRPr="00D10CB4" w:rsidRDefault="00D10CB4" w:rsidP="003123F3">
      <w:pPr>
        <w:pStyle w:val="BodyText"/>
      </w:pPr>
      <w:r w:rsidRPr="00D10CB4">
        <w:t xml:space="preserve">The Commission has conducted a clinical safety program for the My Health Record system since it was implemented in 2012. </w:t>
      </w:r>
    </w:p>
    <w:p w14:paraId="6ED21360" w14:textId="77777777" w:rsidR="00D10CB4" w:rsidRPr="00D10CB4" w:rsidRDefault="00D10CB4" w:rsidP="003123F3">
      <w:pPr>
        <w:pStyle w:val="BodyText"/>
      </w:pPr>
      <w:r w:rsidRPr="00D10CB4">
        <w:t>In July 2016, the Australian Government established the Australian Digital Health Agency, giving it responsibility for the My Health Record system and national digital health infrastructure. The Agency appointed the Commission to operate a digital patient safety program. The</w:t>
      </w:r>
      <w:r w:rsidRPr="00D10CB4">
        <w:rPr>
          <w:rFonts w:cs="Arial"/>
        </w:rPr>
        <w:t> </w:t>
      </w:r>
      <w:r w:rsidRPr="00D10CB4">
        <w:t>Commission’s Digital Patient Safety Expert Advisory Group provided clinical guidance on identifying and prioritising areas for clinical safety reviews for the My Health Record system and national digital health infrastructure.</w:t>
      </w:r>
    </w:p>
    <w:p w14:paraId="0C3E474F" w14:textId="77777777" w:rsidR="00D10CB4" w:rsidRPr="00D10CB4" w:rsidRDefault="00D10CB4" w:rsidP="003123F3">
      <w:pPr>
        <w:pStyle w:val="BodyText"/>
      </w:pPr>
      <w:r w:rsidRPr="00D10CB4">
        <w:t>The program aims to provide My Health Record quality assurance and enhance the clinical safety of digital health services and systems. Program activities in 2016–17 included four clinical safety reviews of national digital health infrastructure and an analysis of consumer calls to the My Health Record helpline.</w:t>
      </w:r>
    </w:p>
    <w:p w14:paraId="4C4257DF" w14:textId="77777777" w:rsidR="00D10CB4" w:rsidRPr="00D10CB4" w:rsidRDefault="00D10CB4" w:rsidP="003123F3">
      <w:pPr>
        <w:pStyle w:val="BodyText"/>
      </w:pPr>
      <w:r w:rsidRPr="00D10CB4">
        <w:lastRenderedPageBreak/>
        <w:t>The Commission also initiated a ‘deep dive’ analysis of health identifier issues at the interface between the My Health Record system and the clinical systems that connect to it. This</w:t>
      </w:r>
      <w:r w:rsidRPr="00D10CB4">
        <w:rPr>
          <w:rFonts w:cs="Arial"/>
        </w:rPr>
        <w:t> </w:t>
      </w:r>
      <w:r w:rsidRPr="00D10CB4">
        <w:t>will be completed in August 2017.</w:t>
      </w:r>
    </w:p>
    <w:p w14:paraId="2831EC5E" w14:textId="77777777" w:rsidR="00D10CB4" w:rsidRPr="00C505AD" w:rsidRDefault="00D10CB4" w:rsidP="003123F3">
      <w:pPr>
        <w:pStyle w:val="BodyText"/>
      </w:pPr>
      <w:r w:rsidRPr="00C505AD">
        <w:t>Commission staff members co-chair the Agency’s medication safety, diagnostic imaging and pathology steering groups. The Commission also operated, on behalf of the Agency, a 24</w:t>
      </w:r>
      <w:r w:rsidR="00C36315" w:rsidRPr="00C505AD">
        <w:t>-</w:t>
      </w:r>
      <w:r w:rsidRPr="00C505AD">
        <w:t xml:space="preserve">hour My Health Record Clinical Incident Management Unit for the My Health Record system. In 2016–17, the unit responded to 24 incidents, providing rapid assessments of clinical safety risk and initiating interventions to address any clinical safety implications associated with the use of the My Health Record system. </w:t>
      </w:r>
    </w:p>
    <w:p w14:paraId="1E458A46" w14:textId="77777777" w:rsidR="00D10CB4" w:rsidRPr="00D10CB4" w:rsidRDefault="00D10CB4" w:rsidP="003123F3">
      <w:pPr>
        <w:pStyle w:val="Bodytextbeforebullets"/>
      </w:pPr>
      <w:r w:rsidRPr="00D10CB4">
        <w:t>The four clinical safety reviews undertaken during 2016–17 analysed:</w:t>
      </w:r>
    </w:p>
    <w:p w14:paraId="6CD654C7" w14:textId="77777777" w:rsidR="00D10CB4" w:rsidRPr="00D10CB4" w:rsidRDefault="00D10CB4" w:rsidP="003123F3">
      <w:pPr>
        <w:pStyle w:val="Bullets"/>
      </w:pPr>
      <w:r w:rsidRPr="00D10CB4">
        <w:t>The adoption of national standardised terminology for allergies and alerts to determine uptake barriers and enabling</w:t>
      </w:r>
      <w:r w:rsidRPr="00D10CB4">
        <w:rPr>
          <w:rFonts w:cs="Arial"/>
        </w:rPr>
        <w:t> </w:t>
      </w:r>
      <w:r w:rsidRPr="00D10CB4">
        <w:t>factors</w:t>
      </w:r>
    </w:p>
    <w:p w14:paraId="757F3CB8" w14:textId="77777777" w:rsidR="00D10CB4" w:rsidRPr="00D10CB4" w:rsidRDefault="00D10CB4" w:rsidP="003123F3">
      <w:pPr>
        <w:pStyle w:val="Bullets"/>
      </w:pPr>
      <w:r w:rsidRPr="00D10CB4">
        <w:t>The presentation of clinical documents in My Health Record to identify potential areas of improvement that could enhance both the user experience for clinicians and patient</w:t>
      </w:r>
      <w:r w:rsidRPr="00D10CB4">
        <w:rPr>
          <w:rFonts w:cs="Arial"/>
        </w:rPr>
        <w:t> </w:t>
      </w:r>
      <w:r w:rsidRPr="00D10CB4">
        <w:t>safety</w:t>
      </w:r>
    </w:p>
    <w:p w14:paraId="2D494460" w14:textId="77777777" w:rsidR="00D10CB4" w:rsidRPr="00D10CB4" w:rsidRDefault="00D10CB4" w:rsidP="003123F3">
      <w:pPr>
        <w:pStyle w:val="Bullets"/>
      </w:pPr>
      <w:r w:rsidRPr="00D10CB4">
        <w:t>My Health Record system resilience and business continuity processes to identify enhancements that could improve system</w:t>
      </w:r>
      <w:r w:rsidRPr="00D10CB4">
        <w:rPr>
          <w:rFonts w:cs="Arial"/>
        </w:rPr>
        <w:t> </w:t>
      </w:r>
      <w:r w:rsidRPr="00D10CB4">
        <w:t>reliability</w:t>
      </w:r>
    </w:p>
    <w:p w14:paraId="6ED0CF25" w14:textId="77777777" w:rsidR="00D10CB4" w:rsidRPr="00D10CB4" w:rsidRDefault="00D10CB4" w:rsidP="003123F3">
      <w:pPr>
        <w:pStyle w:val="Bullets"/>
      </w:pPr>
      <w:r w:rsidRPr="00D10CB4">
        <w:t xml:space="preserve">Clinical functional assurance processes for new system releases to ensure appropriate functionality, optimal </w:t>
      </w:r>
      <w:proofErr w:type="spellStart"/>
      <w:r w:rsidRPr="00D10CB4">
        <w:t>useability</w:t>
      </w:r>
      <w:proofErr w:type="spellEnd"/>
      <w:r w:rsidRPr="00D10CB4">
        <w:t xml:space="preserve"> and enhanced patient safety. </w:t>
      </w:r>
    </w:p>
    <w:p w14:paraId="5BA7A817" w14:textId="77777777" w:rsidR="00D10CB4" w:rsidRPr="00D10CB4" w:rsidRDefault="00D10CB4" w:rsidP="003123F3">
      <w:pPr>
        <w:pStyle w:val="Bullets"/>
      </w:pPr>
      <w:r w:rsidRPr="00D10CB4">
        <w:t>In addition to its work with the Agency, the</w:t>
      </w:r>
      <w:r w:rsidRPr="00D10CB4">
        <w:rPr>
          <w:rFonts w:cs="Arial"/>
        </w:rPr>
        <w:t> </w:t>
      </w:r>
      <w:r w:rsidRPr="00D10CB4">
        <w:t>Commission published two reports on health IT safety in 2016–17:</w:t>
      </w:r>
    </w:p>
    <w:p w14:paraId="49E858B1" w14:textId="77777777" w:rsidR="00D10CB4" w:rsidRPr="00011CF0" w:rsidRDefault="00D10CB4" w:rsidP="003123F3">
      <w:pPr>
        <w:pStyle w:val="Bullets"/>
        <w:rPr>
          <w:rStyle w:val="Emphasis"/>
        </w:rPr>
      </w:pPr>
      <w:r w:rsidRPr="00011CF0">
        <w:rPr>
          <w:rStyle w:val="Emphasis"/>
        </w:rPr>
        <w:t>Implementation of Electronic Medication Management Systems in Hospitals: A literature scan</w:t>
      </w:r>
    </w:p>
    <w:p w14:paraId="719F4C13" w14:textId="77777777" w:rsidR="00D10CB4" w:rsidRDefault="00D10CB4" w:rsidP="003123F3">
      <w:pPr>
        <w:pStyle w:val="Bullets"/>
      </w:pPr>
      <w:r w:rsidRPr="00011CF0">
        <w:rPr>
          <w:rStyle w:val="Emphasis"/>
        </w:rPr>
        <w:t>Literature Review and Environmental Scan on Approaches to the Review and Investigation of Health IT-Related Patient Safety Incidents.</w:t>
      </w:r>
      <w:r>
        <w:br w:type="page"/>
      </w:r>
    </w:p>
    <w:p w14:paraId="07366393" w14:textId="77777777" w:rsidR="00D10CB4" w:rsidRPr="00D10CB4" w:rsidRDefault="00D10CB4" w:rsidP="00C36315">
      <w:pPr>
        <w:pStyle w:val="BodyText"/>
      </w:pPr>
      <w:r w:rsidRPr="00D10CB4">
        <w:lastRenderedPageBreak/>
        <w:t xml:space="preserve">To further support the safe implementation of digital health technology in Australia, the Commission published a report titled </w:t>
      </w:r>
      <w:r w:rsidRPr="00011CF0">
        <w:rPr>
          <w:rStyle w:val="Emphasis"/>
        </w:rPr>
        <w:t>Barcoding and Other Scanning Technologies to Improve Medication Safety in Hospitals</w:t>
      </w:r>
      <w:r w:rsidRPr="00D10CB4">
        <w:t xml:space="preserve">. This report provides evidence on how barcoding and scanning medicines reduces misidentification and medicine administration errors in hospitals. The Commission also developed and published the </w:t>
      </w:r>
      <w:r w:rsidRPr="00C9282C">
        <w:rPr>
          <w:rStyle w:val="Emphasis"/>
        </w:rPr>
        <w:t>National Guidelines for On</w:t>
      </w:r>
      <w:r w:rsidR="00C36315" w:rsidRPr="00C9282C">
        <w:rPr>
          <w:rStyle w:val="Emphasis"/>
        </w:rPr>
        <w:t>-</w:t>
      </w:r>
      <w:r w:rsidRPr="00C9282C">
        <w:rPr>
          <w:rStyle w:val="Emphasis"/>
        </w:rPr>
        <w:t>Screen Presentation of Discharge Summaries</w:t>
      </w:r>
      <w:r w:rsidRPr="00D10CB4">
        <w:t xml:space="preserve">, with funding from the Australian Government Department of Health. In addition, the Commission finished preparing the third edition of its </w:t>
      </w:r>
      <w:r w:rsidRPr="00011CF0">
        <w:rPr>
          <w:rStyle w:val="Emphasis"/>
        </w:rPr>
        <w:t>Electronic Medication Management Systems: A guide to safe implementation and use</w:t>
      </w:r>
      <w:r w:rsidRPr="00D10CB4">
        <w:t>, which was issued to state and territory health departments in</w:t>
      </w:r>
      <w:r w:rsidRPr="00D10CB4">
        <w:rPr>
          <w:rFonts w:cs="Arial"/>
        </w:rPr>
        <w:t> </w:t>
      </w:r>
      <w:r w:rsidRPr="00D10CB4">
        <w:t>July 2017.</w:t>
      </w:r>
    </w:p>
    <w:tbl>
      <w:tblPr>
        <w:tblW w:w="0" w:type="auto"/>
        <w:tblInd w:w="-8" w:type="dxa"/>
        <w:tblLayout w:type="fixed"/>
        <w:tblCellMar>
          <w:left w:w="0" w:type="dxa"/>
          <w:right w:w="0" w:type="dxa"/>
        </w:tblCellMar>
        <w:tblLook w:val="0000" w:firstRow="0" w:lastRow="0" w:firstColumn="0" w:lastColumn="0" w:noHBand="0" w:noVBand="0"/>
        <w:tblCaption w:val="Highlights pullout box"/>
      </w:tblPr>
      <w:tblGrid>
        <w:gridCol w:w="3949"/>
      </w:tblGrid>
      <w:tr w:rsidR="00D10CB4" w:rsidRPr="00D10CB4" w14:paraId="4DD68387" w14:textId="77777777" w:rsidTr="002839DD">
        <w:trPr>
          <w:trHeight w:val="60"/>
        </w:trPr>
        <w:tc>
          <w:tcPr>
            <w:tcW w:w="3949" w:type="dxa"/>
            <w:tcBorders>
              <w:top w:val="single" w:sz="36" w:space="0" w:color="10897C"/>
              <w:bottom w:val="single" w:sz="4" w:space="0" w:color="10897C"/>
            </w:tcBorders>
            <w:tcMar>
              <w:top w:w="142" w:type="dxa"/>
              <w:left w:w="142" w:type="dxa"/>
              <w:bottom w:w="142" w:type="dxa"/>
              <w:right w:w="142" w:type="dxa"/>
            </w:tcMar>
          </w:tcPr>
          <w:p w14:paraId="4C96BCD1" w14:textId="77777777" w:rsidR="00D10CB4" w:rsidRPr="00D10CB4" w:rsidRDefault="00D10CB4" w:rsidP="00E3219B">
            <w:pPr>
              <w:pStyle w:val="Tableheading2"/>
            </w:pPr>
            <w:r w:rsidRPr="00D10CB4">
              <w:t>Highlights</w:t>
            </w:r>
          </w:p>
        </w:tc>
      </w:tr>
      <w:tr w:rsidR="00D10CB4" w:rsidRPr="00D10CB4" w14:paraId="7ECBCDC4" w14:textId="77777777" w:rsidTr="002839DD">
        <w:trPr>
          <w:trHeight w:val="60"/>
        </w:trPr>
        <w:tc>
          <w:tcPr>
            <w:tcW w:w="3949" w:type="dxa"/>
            <w:tcBorders>
              <w:top w:val="single" w:sz="4" w:space="0" w:color="10897C"/>
              <w:bottom w:val="single" w:sz="16" w:space="0" w:color="10897C"/>
            </w:tcBorders>
            <w:shd w:val="clear" w:color="auto" w:fill="F1F0EE" w:themeFill="accent4"/>
            <w:tcMar>
              <w:top w:w="142" w:type="dxa"/>
              <w:left w:w="142" w:type="dxa"/>
              <w:bottom w:w="142" w:type="dxa"/>
              <w:right w:w="142" w:type="dxa"/>
            </w:tcMar>
          </w:tcPr>
          <w:p w14:paraId="3980B792" w14:textId="77777777" w:rsidR="00D10CB4" w:rsidRPr="00D10CB4" w:rsidRDefault="00D10CB4" w:rsidP="00F5152E">
            <w:pPr>
              <w:pStyle w:val="Tablebullets"/>
            </w:pPr>
            <w:r w:rsidRPr="00D10CB4">
              <w:t xml:space="preserve">Conducted four clinical safety reviews of the My Health Record system and national digital health infrastructure </w:t>
            </w:r>
          </w:p>
          <w:p w14:paraId="1A0F3A9A" w14:textId="77777777" w:rsidR="00D10CB4" w:rsidRPr="00D10CB4" w:rsidRDefault="00D10CB4" w:rsidP="00F5152E">
            <w:pPr>
              <w:pStyle w:val="Tablebullets"/>
            </w:pPr>
            <w:r w:rsidRPr="00D10CB4">
              <w:t>Conducted an analysis of 50 helpline calls</w:t>
            </w:r>
          </w:p>
          <w:p w14:paraId="5547E243" w14:textId="77777777" w:rsidR="00D10CB4" w:rsidRPr="00D10CB4" w:rsidRDefault="00D10CB4" w:rsidP="00F5152E">
            <w:pPr>
              <w:pStyle w:val="Tablebullets"/>
            </w:pPr>
            <w:r w:rsidRPr="00D10CB4">
              <w:t>Operated a 24-hour My Health Record Clinical Incident Management Unit, managing 24 incidents</w:t>
            </w:r>
          </w:p>
          <w:p w14:paraId="41C006A5" w14:textId="77777777" w:rsidR="00D10CB4" w:rsidRPr="00D10CB4" w:rsidRDefault="00D10CB4" w:rsidP="00F5152E">
            <w:pPr>
              <w:pStyle w:val="Tablebullets"/>
            </w:pPr>
            <w:r w:rsidRPr="00D10CB4">
              <w:t>Published national guidance to support the safe implementation of digital health systems in hospitals.</w:t>
            </w:r>
          </w:p>
        </w:tc>
      </w:tr>
    </w:tbl>
    <w:p w14:paraId="6BA1D2A2" w14:textId="77777777" w:rsidR="00D10CB4" w:rsidRDefault="00D10CB4" w:rsidP="00D10CB4"/>
    <w:p w14:paraId="3A1A8990" w14:textId="77777777" w:rsidR="00D10CB4" w:rsidRDefault="00D10CB4" w:rsidP="003123F3">
      <w:pPr>
        <w:pStyle w:val="Heading2"/>
      </w:pPr>
      <w:r>
        <w:br w:type="column"/>
      </w:r>
      <w:r>
        <w:lastRenderedPageBreak/>
        <w:t>Patient safety in primary health</w:t>
      </w:r>
      <w:r w:rsidR="0044323F">
        <w:t> </w:t>
      </w:r>
      <w:r>
        <w:t>care</w:t>
      </w:r>
    </w:p>
    <w:p w14:paraId="271C24C4" w14:textId="77777777" w:rsidR="00D10CB4" w:rsidRPr="00C9282C" w:rsidRDefault="00D10CB4" w:rsidP="00CF377B">
      <w:pPr>
        <w:pStyle w:val="BodyText"/>
      </w:pPr>
      <w:r>
        <w:t>Primary care services provide the first point of contact with the health system for the majority of Australians with a health concern. The primary care sector provides a range of services that help to prevent and manage acute and chronic conditions.</w:t>
      </w:r>
      <w:r w:rsidRPr="00C9282C">
        <w:rPr>
          <w:vertAlign w:val="superscript"/>
        </w:rPr>
        <w:t xml:space="preserve">1 </w:t>
      </w:r>
      <w:r>
        <w:t>These services are an important part of the Australian healthcare system, and a well</w:t>
      </w:r>
      <w:r w:rsidR="00C36315">
        <w:t>-</w:t>
      </w:r>
      <w:r>
        <w:t>functioning primary care sector can improve the</w:t>
      </w:r>
      <w:r>
        <w:rPr>
          <w:rFonts w:cs="Arial"/>
        </w:rPr>
        <w:t> </w:t>
      </w:r>
      <w:r>
        <w:t>overall</w:t>
      </w:r>
      <w:r>
        <w:rPr>
          <w:rFonts w:cs="Arial"/>
        </w:rPr>
        <w:t> </w:t>
      </w:r>
      <w:r>
        <w:t>health of the population and</w:t>
      </w:r>
      <w:r>
        <w:rPr>
          <w:rFonts w:cs="Arial"/>
        </w:rPr>
        <w:t> </w:t>
      </w:r>
      <w:r>
        <w:t>reduce</w:t>
      </w:r>
      <w:r>
        <w:rPr>
          <w:rFonts w:cs="Arial"/>
        </w:rPr>
        <w:t> </w:t>
      </w:r>
      <w:r>
        <w:t>acute hospitalisations.</w:t>
      </w:r>
      <w:r w:rsidRPr="00C9282C">
        <w:rPr>
          <w:vertAlign w:val="superscript"/>
        </w:rPr>
        <w:t>2</w:t>
      </w:r>
      <w:r w:rsidRPr="00C9282C">
        <w:t xml:space="preserve"> </w:t>
      </w:r>
    </w:p>
    <w:p w14:paraId="7DBB49AB" w14:textId="77777777" w:rsidR="00D10CB4" w:rsidRDefault="00D10CB4" w:rsidP="00CF377B">
      <w:pPr>
        <w:pStyle w:val="BodyText"/>
      </w:pPr>
      <w:r>
        <w:t>Much of the evidence about patient safety comes from the acute sector. While some of the issues and risks raised in this evidence apply to primary care, there are also specific issues in this sector that need to be examined and</w:t>
      </w:r>
      <w:r>
        <w:rPr>
          <w:rFonts w:cs="Arial"/>
        </w:rPr>
        <w:t> </w:t>
      </w:r>
      <w:r>
        <w:t>addressed.</w:t>
      </w:r>
    </w:p>
    <w:p w14:paraId="1506167E" w14:textId="77777777" w:rsidR="00D10CB4" w:rsidRDefault="00D10CB4" w:rsidP="00CF377B">
      <w:pPr>
        <w:pStyle w:val="BodyText"/>
      </w:pPr>
      <w:r>
        <w:t xml:space="preserve">In November 2015, the Commission began a program of work to develop a nationally consistent and coordinated approach to improve patient safety and quality in primary care. The program will deliver a series of strategies, tools and resources on safety and quality that are specifically tailored for use in primary care. </w:t>
      </w:r>
    </w:p>
    <w:p w14:paraId="25998C82" w14:textId="0097269D" w:rsidR="00D10CB4" w:rsidRDefault="00D10CB4" w:rsidP="00CF377B">
      <w:pPr>
        <w:pStyle w:val="BodyText"/>
      </w:pPr>
      <w:r>
        <w:t xml:space="preserve">In May 2016, the Commission established the Primary Care Safety and Quality Framework Committee to oversee the program and provide expert advice. The committee is made up of </w:t>
      </w:r>
      <w:r w:rsidR="002839DD">
        <w:br/>
      </w:r>
      <w:r>
        <w:t xml:space="preserve">18 members from primary care stakeholder organisations and the Consumers Health </w:t>
      </w:r>
      <w:r w:rsidR="002839DD">
        <w:br/>
      </w:r>
      <w:r>
        <w:t xml:space="preserve">Forum of Australia (CHF). </w:t>
      </w:r>
    </w:p>
    <w:p w14:paraId="0EB01B91" w14:textId="77777777" w:rsidR="00D10CB4" w:rsidRDefault="00D10CB4" w:rsidP="003123F3">
      <w:pPr>
        <w:pStyle w:val="Bodytextbeforebullets"/>
      </w:pPr>
      <w:r>
        <w:t xml:space="preserve">The following strategies have been identified as initial priorities for the Commission: </w:t>
      </w:r>
    </w:p>
    <w:p w14:paraId="151E2FF8" w14:textId="77777777" w:rsidR="00D10CB4" w:rsidRDefault="00D10CB4" w:rsidP="003123F3">
      <w:pPr>
        <w:pStyle w:val="BulletLast"/>
      </w:pPr>
      <w:r>
        <w:t>Developing a set of safety and quality standards for primary care settings based on</w:t>
      </w:r>
      <w:r>
        <w:rPr>
          <w:rFonts w:cs="Arial"/>
        </w:rPr>
        <w:t> </w:t>
      </w:r>
      <w:r>
        <w:t>the NSQHS Standards (2nd ed.)</w:t>
      </w:r>
    </w:p>
    <w:p w14:paraId="4222E99A" w14:textId="77777777" w:rsidR="00D10CB4" w:rsidRDefault="00D10CB4" w:rsidP="003123F3">
      <w:pPr>
        <w:pStyle w:val="BulletLast"/>
      </w:pPr>
      <w:r>
        <w:t>Reviewing the Commission’s practice-level indicators for primary care as part of the development of an agreed data collection and reporting framework for the primary care</w:t>
      </w:r>
      <w:r>
        <w:rPr>
          <w:rFonts w:cs="Arial"/>
        </w:rPr>
        <w:t> </w:t>
      </w:r>
      <w:r>
        <w:t xml:space="preserve">sector. </w:t>
      </w:r>
      <w:r>
        <w:br w:type="page"/>
      </w:r>
    </w:p>
    <w:p w14:paraId="50688EBD" w14:textId="77777777" w:rsidR="00D10CB4" w:rsidRDefault="00D10CB4" w:rsidP="00365A86">
      <w:pPr>
        <w:pStyle w:val="BodyText"/>
        <w:spacing w:after="240"/>
      </w:pPr>
      <w:r>
        <w:lastRenderedPageBreak/>
        <w:t xml:space="preserve">The Commission is preparing a consultation paper to seek feedback from primary care stakeholders on other national improvement strategies that should be developed. The consultation paper is scheduled to be released by late 2017. </w:t>
      </w:r>
    </w:p>
    <w:tbl>
      <w:tblPr>
        <w:tblW w:w="0" w:type="auto"/>
        <w:tblInd w:w="-8" w:type="dxa"/>
        <w:tblLayout w:type="fixed"/>
        <w:tblCellMar>
          <w:left w:w="0" w:type="dxa"/>
          <w:right w:w="0" w:type="dxa"/>
        </w:tblCellMar>
        <w:tblLook w:val="0000" w:firstRow="0" w:lastRow="0" w:firstColumn="0" w:lastColumn="0" w:noHBand="0" w:noVBand="0"/>
        <w:tblCaption w:val="Highlights pullout box"/>
      </w:tblPr>
      <w:tblGrid>
        <w:gridCol w:w="3949"/>
      </w:tblGrid>
      <w:tr w:rsidR="00D10CB4" w:rsidRPr="00D10CB4" w14:paraId="5A6ADB98" w14:textId="77777777" w:rsidTr="002839DD">
        <w:trPr>
          <w:trHeight w:val="60"/>
        </w:trPr>
        <w:tc>
          <w:tcPr>
            <w:tcW w:w="3949" w:type="dxa"/>
            <w:tcBorders>
              <w:top w:val="single" w:sz="36" w:space="0" w:color="10897C"/>
              <w:bottom w:val="single" w:sz="4" w:space="0" w:color="10897C"/>
            </w:tcBorders>
            <w:tcMar>
              <w:top w:w="142" w:type="dxa"/>
              <w:left w:w="142" w:type="dxa"/>
              <w:bottom w:w="142" w:type="dxa"/>
              <w:right w:w="142" w:type="dxa"/>
            </w:tcMar>
          </w:tcPr>
          <w:p w14:paraId="5638C1AD" w14:textId="77777777" w:rsidR="00D10CB4" w:rsidRPr="00D10CB4" w:rsidRDefault="00D10CB4" w:rsidP="00E3219B">
            <w:pPr>
              <w:pStyle w:val="Tableheading2"/>
            </w:pPr>
            <w:r w:rsidRPr="00D10CB4">
              <w:t>Highlights</w:t>
            </w:r>
          </w:p>
        </w:tc>
      </w:tr>
      <w:tr w:rsidR="00D10CB4" w:rsidRPr="00D10CB4" w14:paraId="22035824" w14:textId="77777777" w:rsidTr="002839DD">
        <w:trPr>
          <w:trHeight w:val="60"/>
        </w:trPr>
        <w:tc>
          <w:tcPr>
            <w:tcW w:w="3949" w:type="dxa"/>
            <w:tcBorders>
              <w:top w:val="single" w:sz="4" w:space="0" w:color="10897C"/>
              <w:bottom w:val="single" w:sz="16" w:space="0" w:color="10897C"/>
            </w:tcBorders>
            <w:shd w:val="clear" w:color="auto" w:fill="F1F0EE" w:themeFill="accent4"/>
            <w:tcMar>
              <w:top w:w="142" w:type="dxa"/>
              <w:left w:w="142" w:type="dxa"/>
              <w:bottom w:w="142" w:type="dxa"/>
              <w:right w:w="142" w:type="dxa"/>
            </w:tcMar>
          </w:tcPr>
          <w:p w14:paraId="50773693" w14:textId="77777777" w:rsidR="00D10CB4" w:rsidRPr="00D10CB4" w:rsidRDefault="00D10CB4" w:rsidP="00F5152E">
            <w:pPr>
              <w:pStyle w:val="Tablebullets"/>
            </w:pPr>
            <w:r w:rsidRPr="00D10CB4">
              <w:t xml:space="preserve">Established the Primary Care Safety and Quality Framework Committee to oversee the patient safety in primary health care program and provide expert advice </w:t>
            </w:r>
          </w:p>
          <w:p w14:paraId="087595E0" w14:textId="77777777" w:rsidR="00D10CB4" w:rsidRPr="00D10CB4" w:rsidRDefault="00D10CB4" w:rsidP="00F5152E">
            <w:pPr>
              <w:pStyle w:val="Tablebullets"/>
            </w:pPr>
            <w:r w:rsidRPr="00D10CB4">
              <w:t>Began developing a set of NSQHS Standards for primary care settings and accreditation in primary care.</w:t>
            </w:r>
          </w:p>
        </w:tc>
      </w:tr>
    </w:tbl>
    <w:p w14:paraId="75592588" w14:textId="77777777" w:rsidR="00D10CB4" w:rsidRPr="00D10CB4" w:rsidRDefault="00D10CB4" w:rsidP="00365A86">
      <w:pPr>
        <w:pStyle w:val="Heading2"/>
        <w:spacing w:before="360"/>
      </w:pPr>
      <w:r w:rsidRPr="00D10CB4">
        <w:t>Medication safety</w:t>
      </w:r>
    </w:p>
    <w:p w14:paraId="7801C50B" w14:textId="77777777" w:rsidR="00D10CB4" w:rsidRPr="00D10CB4" w:rsidRDefault="00D10CB4" w:rsidP="003123F3">
      <w:pPr>
        <w:pStyle w:val="BodyText"/>
      </w:pPr>
      <w:r w:rsidRPr="00D10CB4">
        <w:t>The Commission has stewardship of the standard tools used in Australian hospitals each day to prescribe, administer and dispense medicine safely. The Commission has maintained a series of nationally standardised medication charts for hospitals since 2007. Medication safety experts from around the country analyse issues logged by clinicians and provide guidance for use. The charts standardise the presentation of information on the intended use of medicines for an individual patient, as well as the presentation of medicines information in all high-risk healthcare settings. This reduces the risk of errors associated with prescribing, dispensing and administering</w:t>
      </w:r>
      <w:r w:rsidRPr="00D10CB4">
        <w:rPr>
          <w:rFonts w:cs="Arial"/>
        </w:rPr>
        <w:t> </w:t>
      </w:r>
      <w:r w:rsidRPr="00D10CB4">
        <w:t>medicines.</w:t>
      </w:r>
    </w:p>
    <w:p w14:paraId="76F133E6" w14:textId="77777777" w:rsidR="003123F3" w:rsidRDefault="00D10CB4" w:rsidP="003123F3">
      <w:pPr>
        <w:pStyle w:val="BodyText"/>
      </w:pPr>
      <w:r w:rsidRPr="00D10CB4">
        <w:t xml:space="preserve">In July 2016, the Commission released the Pharmaceutical Benefits Scheme (PBS) Hospital Medication Chart, which enables prescribing and dispensing of medicines for patients on discharge. It also enables hospitals </w:t>
      </w:r>
    </w:p>
    <w:p w14:paraId="1E60F6F8" w14:textId="77777777" w:rsidR="00D10CB4" w:rsidRPr="00D10CB4" w:rsidRDefault="003123F3" w:rsidP="003123F3">
      <w:pPr>
        <w:pStyle w:val="BodyText"/>
      </w:pPr>
      <w:r>
        <w:br w:type="column"/>
      </w:r>
      <w:r w:rsidR="00D10CB4" w:rsidRPr="00D10CB4">
        <w:lastRenderedPageBreak/>
        <w:t>or pharmacies to claim payment for those medicines under the PBS. This new medication chart is being used in the private hospital sector, and will also be used in public hospitals in most states and territories.</w:t>
      </w:r>
    </w:p>
    <w:p w14:paraId="08EF37AD" w14:textId="77777777" w:rsidR="00D10CB4" w:rsidRPr="00D10CB4" w:rsidRDefault="00D10CB4" w:rsidP="003123F3">
      <w:pPr>
        <w:pStyle w:val="BodyText"/>
      </w:pPr>
      <w:r w:rsidRPr="00D10CB4">
        <w:t>Online training modules were launched in 2017 to support the PBS Hospital Medication Chart and the National Inpatient Medication Chart. The Commission appointed NPS MedicineWise to develop and host the modules.</w:t>
      </w:r>
    </w:p>
    <w:p w14:paraId="5C37A86F" w14:textId="77777777" w:rsidR="00D10CB4" w:rsidRPr="00D10CB4" w:rsidRDefault="00D10CB4" w:rsidP="003123F3">
      <w:pPr>
        <w:pStyle w:val="BodyText"/>
      </w:pPr>
      <w:r w:rsidRPr="00D10CB4">
        <w:t xml:space="preserve">In January 2017, the Commission revised and published </w:t>
      </w:r>
      <w:r w:rsidRPr="00011CF0">
        <w:rPr>
          <w:rStyle w:val="Emphasis"/>
        </w:rPr>
        <w:t>Recommendations for Terminology, Abbreviations and Symbols Used in Medicines Documentation</w:t>
      </w:r>
      <w:r w:rsidRPr="00D10CB4">
        <w:t xml:space="preserve">. </w:t>
      </w:r>
    </w:p>
    <w:p w14:paraId="5E459A31" w14:textId="77777777" w:rsidR="00D10CB4" w:rsidRPr="00D10CB4" w:rsidRDefault="00D10CB4" w:rsidP="003123F3">
      <w:pPr>
        <w:pStyle w:val="BodyText"/>
      </w:pPr>
      <w:r w:rsidRPr="00D10CB4">
        <w:t>Following scientific assessment by human factors experts, and piloting in six hospitals, a</w:t>
      </w:r>
      <w:r w:rsidRPr="00D10CB4">
        <w:rPr>
          <w:rFonts w:cs="Arial"/>
        </w:rPr>
        <w:t> </w:t>
      </w:r>
      <w:r w:rsidRPr="00D10CB4">
        <w:t>national subcutaneous insulin chart was issued for use in acute hospitals in May 2017. An insulin chart for sub-acute and mental health hospitals was issued to states and territories in</w:t>
      </w:r>
      <w:r w:rsidRPr="00D10CB4">
        <w:rPr>
          <w:rFonts w:cs="Arial"/>
        </w:rPr>
        <w:t> </w:t>
      </w:r>
      <w:r w:rsidRPr="00D10CB4">
        <w:t>July 2017.</w:t>
      </w:r>
    </w:p>
    <w:p w14:paraId="2F392AE9" w14:textId="77777777" w:rsidR="00D10CB4" w:rsidRPr="00D10CB4" w:rsidRDefault="00D10CB4" w:rsidP="003123F3">
      <w:pPr>
        <w:pStyle w:val="BodyText"/>
      </w:pPr>
      <w:r w:rsidRPr="00D10CB4">
        <w:t xml:space="preserve">In May 2017, the Commission published a report by the </w:t>
      </w:r>
      <w:proofErr w:type="spellStart"/>
      <w:r w:rsidRPr="00D10CB4">
        <w:t>Sansom</w:t>
      </w:r>
      <w:proofErr w:type="spellEnd"/>
      <w:r w:rsidRPr="00D10CB4">
        <w:t xml:space="preserve"> Institute for Health Research at the University of South Australia on mental health and medication safety. The</w:t>
      </w:r>
      <w:r w:rsidRPr="00D10CB4">
        <w:rPr>
          <w:rFonts w:cs="Arial"/>
        </w:rPr>
        <w:t> </w:t>
      </w:r>
      <w:r w:rsidRPr="00D10CB4">
        <w:t xml:space="preserve">report, </w:t>
      </w:r>
      <w:r w:rsidRPr="00011CF0">
        <w:rPr>
          <w:rStyle w:val="Emphasis"/>
        </w:rPr>
        <w:t>Medication Safety in Mental Health</w:t>
      </w:r>
      <w:r w:rsidRPr="00D10CB4">
        <w:t>, reviewed the literature, and identified areas and approaches for improving medicine management in mental health settings.</w:t>
      </w:r>
    </w:p>
    <w:p w14:paraId="3F2FEFB5" w14:textId="77777777" w:rsidR="00D10CB4" w:rsidRPr="00D10CB4" w:rsidRDefault="00D10CB4" w:rsidP="003123F3">
      <w:pPr>
        <w:pStyle w:val="BodyText"/>
      </w:pPr>
      <w:r w:rsidRPr="00D10CB4">
        <w:t>The Commission is committed to developing a national standard on dispense labelling for medicines in pharmacies. This standard is intended to improve the readability of medicine labels and the safety of patients in the community. An expert roundtable reviewed the draft standard in May 2017, and consumer testing of the prototype started in July 2017.</w:t>
      </w:r>
    </w:p>
    <w:p w14:paraId="2D0BBC09" w14:textId="77777777" w:rsidR="00D10CB4" w:rsidRDefault="00D10CB4">
      <w:pPr>
        <w:spacing w:after="160" w:line="259" w:lineRule="auto"/>
      </w:pPr>
      <w:r>
        <w:br w:type="page"/>
      </w:r>
    </w:p>
    <w:tbl>
      <w:tblPr>
        <w:tblW w:w="0" w:type="auto"/>
        <w:tblInd w:w="-8" w:type="dxa"/>
        <w:tblLayout w:type="fixed"/>
        <w:tblCellMar>
          <w:left w:w="0" w:type="dxa"/>
          <w:right w:w="0" w:type="dxa"/>
        </w:tblCellMar>
        <w:tblLook w:val="0000" w:firstRow="0" w:lastRow="0" w:firstColumn="0" w:lastColumn="0" w:noHBand="0" w:noVBand="0"/>
        <w:tblCaption w:val="Highlights pullout box"/>
      </w:tblPr>
      <w:tblGrid>
        <w:gridCol w:w="3949"/>
      </w:tblGrid>
      <w:tr w:rsidR="00D10CB4" w:rsidRPr="00D10CB4" w14:paraId="54C2FE61" w14:textId="77777777" w:rsidTr="002839DD">
        <w:trPr>
          <w:trHeight w:val="60"/>
        </w:trPr>
        <w:tc>
          <w:tcPr>
            <w:tcW w:w="3949" w:type="dxa"/>
            <w:tcBorders>
              <w:top w:val="single" w:sz="36" w:space="0" w:color="10897C"/>
              <w:bottom w:val="single" w:sz="4" w:space="0" w:color="10897C"/>
            </w:tcBorders>
            <w:tcMar>
              <w:top w:w="142" w:type="dxa"/>
              <w:left w:w="142" w:type="dxa"/>
              <w:bottom w:w="142" w:type="dxa"/>
              <w:right w:w="142" w:type="dxa"/>
            </w:tcMar>
          </w:tcPr>
          <w:p w14:paraId="36397179" w14:textId="77777777" w:rsidR="00D10CB4" w:rsidRPr="00D10CB4" w:rsidRDefault="00D10CB4" w:rsidP="00E3219B">
            <w:pPr>
              <w:pStyle w:val="Tableheading2"/>
            </w:pPr>
            <w:r w:rsidRPr="00D10CB4">
              <w:lastRenderedPageBreak/>
              <w:t>Highlights</w:t>
            </w:r>
          </w:p>
        </w:tc>
      </w:tr>
      <w:tr w:rsidR="00D10CB4" w:rsidRPr="00D10CB4" w14:paraId="37BC4EB3" w14:textId="77777777" w:rsidTr="002839DD">
        <w:trPr>
          <w:trHeight w:val="60"/>
        </w:trPr>
        <w:tc>
          <w:tcPr>
            <w:tcW w:w="3949" w:type="dxa"/>
            <w:tcBorders>
              <w:top w:val="single" w:sz="4" w:space="0" w:color="10897C"/>
              <w:bottom w:val="single" w:sz="16" w:space="0" w:color="10897C"/>
            </w:tcBorders>
            <w:shd w:val="clear" w:color="auto" w:fill="F1F0EE" w:themeFill="accent4"/>
            <w:tcMar>
              <w:top w:w="142" w:type="dxa"/>
              <w:left w:w="142" w:type="dxa"/>
              <w:bottom w:w="142" w:type="dxa"/>
              <w:right w:w="142" w:type="dxa"/>
            </w:tcMar>
          </w:tcPr>
          <w:p w14:paraId="57A5BDC2" w14:textId="77777777" w:rsidR="00D10CB4" w:rsidRPr="00D10CB4" w:rsidRDefault="00D10CB4" w:rsidP="00F5152E">
            <w:pPr>
              <w:pStyle w:val="Tablebullets"/>
            </w:pPr>
            <w:r w:rsidRPr="00D10CB4">
              <w:t>Released the PBS Hospital Medication Chart, along with training modules and materials</w:t>
            </w:r>
          </w:p>
          <w:p w14:paraId="0C6D923F" w14:textId="77777777" w:rsidR="00D10CB4" w:rsidRPr="00D10CB4" w:rsidRDefault="00D10CB4" w:rsidP="00F5152E">
            <w:pPr>
              <w:pStyle w:val="Tablebullets"/>
            </w:pPr>
            <w:r w:rsidRPr="00D10CB4">
              <w:t>Released a national subcutaneous insulin chart for hospitals and an insulin chart for sub-acute and mental health hospitals</w:t>
            </w:r>
          </w:p>
          <w:p w14:paraId="62903B66" w14:textId="77777777" w:rsidR="00D10CB4" w:rsidRPr="00D10CB4" w:rsidRDefault="00D10CB4" w:rsidP="00F5152E">
            <w:pPr>
              <w:pStyle w:val="Tablebullets"/>
            </w:pPr>
            <w:r w:rsidRPr="00D10CB4">
              <w:t xml:space="preserve">Revised </w:t>
            </w:r>
            <w:r w:rsidRPr="00D10CB4">
              <w:rPr>
                <w:i/>
                <w:iCs/>
              </w:rPr>
              <w:t>Recommendations for Terminology, Abbreviations and Symbols Used in Medicines Documentation</w:t>
            </w:r>
          </w:p>
          <w:p w14:paraId="5243A0F4" w14:textId="77777777" w:rsidR="00D10CB4" w:rsidRPr="00D10CB4" w:rsidRDefault="00D10CB4" w:rsidP="00F5152E">
            <w:pPr>
              <w:pStyle w:val="Tablebullets"/>
            </w:pPr>
            <w:r w:rsidRPr="00D10CB4">
              <w:t>Started developing a national standard on dispensing labels for medicines</w:t>
            </w:r>
          </w:p>
          <w:p w14:paraId="078295DF" w14:textId="77777777" w:rsidR="00D10CB4" w:rsidRPr="00D10CB4" w:rsidRDefault="00D10CB4" w:rsidP="00F5152E">
            <w:pPr>
              <w:pStyle w:val="Tablebullets"/>
            </w:pPr>
            <w:r w:rsidRPr="00D10CB4">
              <w:t>Released a scoping study on medication safety in mental health settings.</w:t>
            </w:r>
          </w:p>
        </w:tc>
      </w:tr>
    </w:tbl>
    <w:p w14:paraId="4E23F5D4" w14:textId="77777777" w:rsidR="00D10CB4" w:rsidRDefault="00D10CB4" w:rsidP="00365A86">
      <w:pPr>
        <w:pStyle w:val="Heading2"/>
        <w:spacing w:before="240"/>
      </w:pPr>
      <w:r>
        <w:t>National Patient Blood Management Collaborative</w:t>
      </w:r>
    </w:p>
    <w:p w14:paraId="549AA6D2" w14:textId="77777777" w:rsidR="00D10CB4" w:rsidRPr="003123F3" w:rsidRDefault="00D10CB4" w:rsidP="003123F3">
      <w:pPr>
        <w:pStyle w:val="BodyText"/>
      </w:pPr>
      <w:r w:rsidRPr="003123F3">
        <w:t xml:space="preserve">In 2015, the Commission led the National Patient Blood Management Collaborative, with funding from the Australian Government Department of Health. Twelve health service networks from across Australia participated in the Collaborative, which finished collecting data in March 2017. Its aim was to improve patient care and reduce the need for unnecessary transfusions by supporting improvements in the preoperative management of anaemia and iron deficiency for patients undergoing specific elective gastrointestinal, gynaecological and orthopaedic surgery procedures. </w:t>
      </w:r>
    </w:p>
    <w:p w14:paraId="4BFEBA34" w14:textId="77777777" w:rsidR="00D10CB4" w:rsidRDefault="00D10CB4" w:rsidP="003123F3">
      <w:pPr>
        <w:pStyle w:val="BodyText"/>
      </w:pPr>
      <w:r w:rsidRPr="003123F3">
        <w:t>The Collaborative focused on the entire patient journey – from the time the need for surgery was identified through to surgery being performed – and recorded 12,648 patient episodes.</w:t>
      </w:r>
      <w:r w:rsidR="003123F3">
        <w:br w:type="column"/>
      </w:r>
      <w:r w:rsidRPr="003123F3">
        <w:lastRenderedPageBreak/>
        <w:t xml:space="preserve">The Commission led a series of learning workshops that allowed the participating health service teams to analyse and share data and to discuss their experiences of local </w:t>
      </w:r>
      <w:r>
        <w:t>quality</w:t>
      </w:r>
      <w:r w:rsidR="00C36315">
        <w:t>-</w:t>
      </w:r>
      <w:r>
        <w:t>improvement processes. Workshop participants also consulted with experts in the field to gather new information and develop ideas for further clinical practice improvements. Interventions to manage iron deficiency included dietary therapy, oral iron supplements and administering intravenous iron in advance of</w:t>
      </w:r>
      <w:r>
        <w:rPr>
          <w:rFonts w:cs="Arial"/>
        </w:rPr>
        <w:t> </w:t>
      </w:r>
      <w:r>
        <w:t>surgery.</w:t>
      </w:r>
    </w:p>
    <w:p w14:paraId="063A36A9" w14:textId="77777777" w:rsidR="00D10CB4" w:rsidRDefault="00D10CB4" w:rsidP="003123F3">
      <w:pPr>
        <w:pStyle w:val="Bodytextbeforebullets"/>
      </w:pPr>
      <w:r>
        <w:t xml:space="preserve">The </w:t>
      </w:r>
      <w:proofErr w:type="spellStart"/>
      <w:r>
        <w:t>Collaborative’s</w:t>
      </w:r>
      <w:proofErr w:type="spellEnd"/>
      <w:r>
        <w:t xml:space="preserve"> achievements included:</w:t>
      </w:r>
    </w:p>
    <w:p w14:paraId="024F95BD" w14:textId="77777777" w:rsidR="00D10CB4" w:rsidRDefault="00D10CB4" w:rsidP="003123F3">
      <w:pPr>
        <w:pStyle w:val="Bullets"/>
      </w:pPr>
      <w:r>
        <w:t>Reducing red cell transfusions</w:t>
      </w:r>
    </w:p>
    <w:p w14:paraId="42302ACF" w14:textId="77777777" w:rsidR="00D10CB4" w:rsidRDefault="00D10CB4" w:rsidP="003123F3">
      <w:pPr>
        <w:pStyle w:val="Bullets"/>
      </w:pPr>
      <w:r>
        <w:t>Improving the assessment and management of anaemia and iron deficiency before surgery across participating sites</w:t>
      </w:r>
    </w:p>
    <w:p w14:paraId="4CE7150D" w14:textId="77777777" w:rsidR="00D10CB4" w:rsidRDefault="00D10CB4" w:rsidP="003123F3">
      <w:pPr>
        <w:pStyle w:val="Bullets"/>
      </w:pPr>
      <w:r>
        <w:t>Improving the integration of care between primary and acute service systems, which provided better opportunities for continuity of care for elective surgery patients</w:t>
      </w:r>
    </w:p>
    <w:p w14:paraId="581F7A00" w14:textId="77777777" w:rsidR="00D10CB4" w:rsidRDefault="00D10CB4" w:rsidP="00CC7B8B">
      <w:pPr>
        <w:pStyle w:val="Bullets"/>
        <w:spacing w:after="360"/>
      </w:pPr>
      <w:r>
        <w:t>Helping to change clinical practice and workflows at the participating sites, which improved the overall management of elective</w:t>
      </w:r>
      <w:r>
        <w:rPr>
          <w:rFonts w:cs="Arial"/>
        </w:rPr>
        <w:t> </w:t>
      </w:r>
      <w:r>
        <w:t xml:space="preserve">patients. </w:t>
      </w:r>
    </w:p>
    <w:tbl>
      <w:tblPr>
        <w:tblW w:w="0" w:type="auto"/>
        <w:tblInd w:w="-8" w:type="dxa"/>
        <w:tblLayout w:type="fixed"/>
        <w:tblCellMar>
          <w:left w:w="0" w:type="dxa"/>
          <w:right w:w="0" w:type="dxa"/>
        </w:tblCellMar>
        <w:tblLook w:val="0000" w:firstRow="0" w:lastRow="0" w:firstColumn="0" w:lastColumn="0" w:noHBand="0" w:noVBand="0"/>
        <w:tblCaption w:val="Highlights pullout box"/>
      </w:tblPr>
      <w:tblGrid>
        <w:gridCol w:w="3949"/>
      </w:tblGrid>
      <w:tr w:rsidR="00D10CB4" w:rsidRPr="00D10CB4" w14:paraId="4A7D8CC9" w14:textId="77777777" w:rsidTr="002839DD">
        <w:trPr>
          <w:trHeight w:val="60"/>
        </w:trPr>
        <w:tc>
          <w:tcPr>
            <w:tcW w:w="3949" w:type="dxa"/>
            <w:tcBorders>
              <w:top w:val="single" w:sz="36" w:space="0" w:color="10897C"/>
              <w:bottom w:val="single" w:sz="4" w:space="0" w:color="10897C"/>
            </w:tcBorders>
            <w:tcMar>
              <w:top w:w="142" w:type="dxa"/>
              <w:left w:w="142" w:type="dxa"/>
              <w:bottom w:w="142" w:type="dxa"/>
              <w:right w:w="142" w:type="dxa"/>
            </w:tcMar>
          </w:tcPr>
          <w:p w14:paraId="4A982984" w14:textId="77777777" w:rsidR="00D10CB4" w:rsidRPr="00D10CB4" w:rsidRDefault="00D10CB4" w:rsidP="00E3219B">
            <w:pPr>
              <w:pStyle w:val="Tableheading2"/>
            </w:pPr>
            <w:r w:rsidRPr="00D10CB4">
              <w:t>Highlight</w:t>
            </w:r>
          </w:p>
        </w:tc>
      </w:tr>
      <w:tr w:rsidR="00D10CB4" w:rsidRPr="00D10CB4" w14:paraId="7D5D5883" w14:textId="77777777" w:rsidTr="002839DD">
        <w:trPr>
          <w:trHeight w:val="60"/>
        </w:trPr>
        <w:tc>
          <w:tcPr>
            <w:tcW w:w="3949" w:type="dxa"/>
            <w:tcBorders>
              <w:top w:val="single" w:sz="4" w:space="0" w:color="10897C"/>
              <w:bottom w:val="single" w:sz="16" w:space="0" w:color="10897C"/>
            </w:tcBorders>
            <w:shd w:val="clear" w:color="auto" w:fill="F1F0EE" w:themeFill="accent4"/>
            <w:tcMar>
              <w:top w:w="142" w:type="dxa"/>
              <w:left w:w="142" w:type="dxa"/>
              <w:bottom w:w="142" w:type="dxa"/>
              <w:right w:w="142" w:type="dxa"/>
            </w:tcMar>
          </w:tcPr>
          <w:p w14:paraId="4D8EE112" w14:textId="77777777" w:rsidR="00D10CB4" w:rsidRPr="00D10CB4" w:rsidRDefault="00D10CB4" w:rsidP="00F5152E">
            <w:pPr>
              <w:pStyle w:val="Tablebullets"/>
            </w:pPr>
            <w:r w:rsidRPr="00D10CB4">
              <w:t>Led the National Patient Blood Management Collaborative, which produced better outcomes for patients, reduced the use of transfusions and improved the coordination of care.</w:t>
            </w:r>
          </w:p>
        </w:tc>
      </w:tr>
    </w:tbl>
    <w:p w14:paraId="011985CA" w14:textId="77777777" w:rsidR="00D10CB4" w:rsidRDefault="00D10CB4" w:rsidP="003123F3">
      <w:pPr>
        <w:pStyle w:val="BodyText"/>
      </w:pPr>
      <w:r>
        <w:br w:type="page"/>
      </w:r>
    </w:p>
    <w:p w14:paraId="4B2E54F3" w14:textId="77777777" w:rsidR="00D10CB4" w:rsidRPr="00D10CB4" w:rsidRDefault="00D10CB4" w:rsidP="003123F3">
      <w:pPr>
        <w:pStyle w:val="Heading2"/>
      </w:pPr>
      <w:r w:rsidRPr="00D10CB4">
        <w:lastRenderedPageBreak/>
        <w:t xml:space="preserve">Mental health </w:t>
      </w:r>
    </w:p>
    <w:p w14:paraId="4B7DBB74" w14:textId="77777777" w:rsidR="00D10CB4" w:rsidRPr="00C505AD" w:rsidRDefault="00D10CB4" w:rsidP="003123F3">
      <w:pPr>
        <w:pStyle w:val="BodyText"/>
      </w:pPr>
      <w:r w:rsidRPr="00D10CB4">
        <w:t>The Commission has a strong commitment to improving the safety and quality of health services delivered to people with lived experience of mental health issues. One in five Australians experience mental health issues each year, and people with serious mental illness live on average 20 years less than the general population, largely due to preventable physical illness.</w:t>
      </w:r>
    </w:p>
    <w:p w14:paraId="318D39E4" w14:textId="77777777" w:rsidR="00D10CB4" w:rsidRPr="00C505AD" w:rsidRDefault="00D10CB4" w:rsidP="003123F3">
      <w:pPr>
        <w:pStyle w:val="BodyText"/>
      </w:pPr>
      <w:r w:rsidRPr="00D10CB4">
        <w:t xml:space="preserve">This year, the Commission undertook national consultation on the draft </w:t>
      </w:r>
      <w:r w:rsidRPr="00F84D61">
        <w:rPr>
          <w:rStyle w:val="Emphasis"/>
        </w:rPr>
        <w:t>National Consensus Statement: Essential elements for recognising and responding to deterioration in a person’s mental state</w:t>
      </w:r>
      <w:r w:rsidRPr="00D10CB4">
        <w:t xml:space="preserve"> (the Consensus Statement). Stakeholders supported the approach taken in the Consensus Statement, which will be released in August 2017 following noting by</w:t>
      </w:r>
      <w:r w:rsidRPr="00D10CB4">
        <w:rPr>
          <w:rFonts w:cs="Arial"/>
        </w:rPr>
        <w:t> </w:t>
      </w:r>
      <w:r w:rsidRPr="00D10CB4">
        <w:t>AHMAC.</w:t>
      </w:r>
    </w:p>
    <w:p w14:paraId="11F2B71F" w14:textId="77777777" w:rsidR="00D10CB4" w:rsidRPr="00C505AD" w:rsidRDefault="00D10CB4" w:rsidP="003123F3">
      <w:pPr>
        <w:pStyle w:val="BodyText"/>
      </w:pPr>
      <w:r w:rsidRPr="00C505AD">
        <w:t>The consultation on the Consensus Statement highlighted the lack of any standardised mechanism for clinicians to monitor and track the signs of deterioration in a person’s mental state and integrate this with a person’s self</w:t>
      </w:r>
      <w:r w:rsidR="00C36315" w:rsidRPr="00C505AD">
        <w:t>-</w:t>
      </w:r>
      <w:r w:rsidRPr="00C505AD">
        <w:t>reported experience. The Commission has begun a project to develop consensus on how deterioration in a person’s mental state can be monitored and reported, which can then form the basis for health service organisations to develop their own local escalation protocols.</w:t>
      </w:r>
    </w:p>
    <w:p w14:paraId="2767EB31" w14:textId="77777777" w:rsidR="00D10CB4" w:rsidRPr="00C505AD" w:rsidRDefault="00D10CB4" w:rsidP="007430AC">
      <w:pPr>
        <w:pStyle w:val="BodyText"/>
      </w:pPr>
      <w:r w:rsidRPr="00C505AD">
        <w:t>The Commission continues to work in partnership with other agencies. In 2016–17, this included participating in the consultation process for the draft Fifth National Mental Health and Suicide Prevention Plan and the National Mental Health Commission’s Equally Well Consensus Statement.</w:t>
      </w:r>
    </w:p>
    <w:tbl>
      <w:tblPr>
        <w:tblW w:w="0" w:type="auto"/>
        <w:tblInd w:w="-8" w:type="dxa"/>
        <w:tblLayout w:type="fixed"/>
        <w:tblCellMar>
          <w:left w:w="0" w:type="dxa"/>
          <w:right w:w="0" w:type="dxa"/>
        </w:tblCellMar>
        <w:tblLook w:val="0000" w:firstRow="0" w:lastRow="0" w:firstColumn="0" w:lastColumn="0" w:noHBand="0" w:noVBand="0"/>
        <w:tblCaption w:val="Highlights pullout box"/>
      </w:tblPr>
      <w:tblGrid>
        <w:gridCol w:w="3949"/>
      </w:tblGrid>
      <w:tr w:rsidR="00D10CB4" w:rsidRPr="00D10CB4" w14:paraId="6CC6CD0B" w14:textId="77777777" w:rsidTr="002839DD">
        <w:trPr>
          <w:trHeight w:val="60"/>
        </w:trPr>
        <w:tc>
          <w:tcPr>
            <w:tcW w:w="3949" w:type="dxa"/>
            <w:tcBorders>
              <w:top w:val="single" w:sz="36" w:space="0" w:color="10897C"/>
              <w:bottom w:val="single" w:sz="4" w:space="0" w:color="10897C"/>
            </w:tcBorders>
            <w:tcMar>
              <w:top w:w="142" w:type="dxa"/>
              <w:left w:w="142" w:type="dxa"/>
              <w:bottom w:w="142" w:type="dxa"/>
              <w:right w:w="142" w:type="dxa"/>
            </w:tcMar>
          </w:tcPr>
          <w:p w14:paraId="58B682DA" w14:textId="77777777" w:rsidR="00D10CB4" w:rsidRPr="00D10CB4" w:rsidRDefault="00D10CB4" w:rsidP="00E3219B">
            <w:pPr>
              <w:pStyle w:val="Tableheading2"/>
            </w:pPr>
            <w:r w:rsidRPr="00D10CB4">
              <w:t>Highlights</w:t>
            </w:r>
          </w:p>
        </w:tc>
      </w:tr>
      <w:tr w:rsidR="00D10CB4" w:rsidRPr="00D10CB4" w14:paraId="047A7491" w14:textId="77777777" w:rsidTr="002839DD">
        <w:trPr>
          <w:trHeight w:val="60"/>
        </w:trPr>
        <w:tc>
          <w:tcPr>
            <w:tcW w:w="3949" w:type="dxa"/>
            <w:tcBorders>
              <w:top w:val="single" w:sz="4" w:space="0" w:color="10897C"/>
              <w:bottom w:val="single" w:sz="16" w:space="0" w:color="10897C"/>
            </w:tcBorders>
            <w:shd w:val="clear" w:color="auto" w:fill="F1F0EE" w:themeFill="accent4"/>
            <w:tcMar>
              <w:top w:w="142" w:type="dxa"/>
              <w:left w:w="142" w:type="dxa"/>
              <w:bottom w:w="142" w:type="dxa"/>
              <w:right w:w="142" w:type="dxa"/>
            </w:tcMar>
          </w:tcPr>
          <w:p w14:paraId="21B515C2" w14:textId="77777777" w:rsidR="00D10CB4" w:rsidRPr="00D10CB4" w:rsidRDefault="00D10CB4" w:rsidP="00F5152E">
            <w:pPr>
              <w:pStyle w:val="Tablebullets"/>
            </w:pPr>
            <w:r w:rsidRPr="00D10CB4">
              <w:t>Finalised the National Consensus Statement: Essential elements for recognising and responding to deterioration in a person’s mental state</w:t>
            </w:r>
          </w:p>
          <w:p w14:paraId="3B108992" w14:textId="77777777" w:rsidR="00D10CB4" w:rsidRPr="00D10CB4" w:rsidRDefault="00D10CB4" w:rsidP="00F5152E">
            <w:pPr>
              <w:pStyle w:val="Tablebullets"/>
            </w:pPr>
            <w:r w:rsidRPr="00D10CB4">
              <w:t>Contributed to the development of the Fifth National Mental Health and Suicide Prevention Plan.</w:t>
            </w:r>
          </w:p>
        </w:tc>
      </w:tr>
    </w:tbl>
    <w:p w14:paraId="68D69FF0" w14:textId="77777777" w:rsidR="00D10CB4" w:rsidRPr="0044323F" w:rsidRDefault="00D10CB4" w:rsidP="003123F3">
      <w:pPr>
        <w:pStyle w:val="Heading2"/>
      </w:pPr>
      <w:r w:rsidRPr="0044323F">
        <w:lastRenderedPageBreak/>
        <w:t>Cognitive impairment</w:t>
      </w:r>
    </w:p>
    <w:p w14:paraId="0CC29C0C" w14:textId="77777777" w:rsidR="00D10CB4" w:rsidRPr="007430AC" w:rsidRDefault="00D10CB4" w:rsidP="007430AC">
      <w:pPr>
        <w:pStyle w:val="BodyText"/>
      </w:pPr>
      <w:r w:rsidRPr="007430AC">
        <w:t>In 2016–17, the Commission continued to promote cognitive impairment as an important safety and quality issue through the Caring for Cognitive Impairment campaign. The campaign helps hospitals prepare for assessment to the NSQHS Standards (2nd ed.), which now includes specific items to improve care for people with cognitive impairment.</w:t>
      </w:r>
    </w:p>
    <w:p w14:paraId="20E93461" w14:textId="77777777" w:rsidR="00D10CB4" w:rsidRPr="007430AC" w:rsidRDefault="00D10CB4" w:rsidP="007430AC">
      <w:pPr>
        <w:pStyle w:val="BodyText"/>
      </w:pPr>
      <w:r w:rsidRPr="007430AC">
        <w:t>As of 30 June 2017, 1,564 individuals and 160</w:t>
      </w:r>
      <w:r w:rsidRPr="007430AC">
        <w:rPr>
          <w:rFonts w:cs="Arial"/>
        </w:rPr>
        <w:t> </w:t>
      </w:r>
      <w:r w:rsidRPr="007430AC">
        <w:t>hospitals from across Australia have joined the campaign. The campaign is also being promoted by 31 supporting organisations. The</w:t>
      </w:r>
      <w:r w:rsidRPr="007430AC">
        <w:rPr>
          <w:rFonts w:cs="Arial"/>
        </w:rPr>
        <w:t> </w:t>
      </w:r>
      <w:r w:rsidRPr="007430AC">
        <w:t xml:space="preserve">campaign website has had 11,698 visits over 12 months, and more than 500 people have participated in five campaign webinars. </w:t>
      </w:r>
    </w:p>
    <w:p w14:paraId="2D8B33AC" w14:textId="77777777" w:rsidR="00D10CB4" w:rsidRPr="00D10CB4" w:rsidRDefault="00D10CB4" w:rsidP="007430AC">
      <w:pPr>
        <w:pStyle w:val="BodyText"/>
      </w:pPr>
      <w:r w:rsidRPr="007430AC">
        <w:t xml:space="preserve">Within the broader Cognitive Impairment program, specific work related to antipsychotics is under way. The first </w:t>
      </w:r>
      <w:r w:rsidRPr="00F84D61">
        <w:rPr>
          <w:rStyle w:val="Emphasis"/>
        </w:rPr>
        <w:t>Australian Atlas of Healthcare Variation</w:t>
      </w:r>
      <w:r w:rsidRPr="007430AC">
        <w:t xml:space="preserve"> identified high and variable rates in the prescription of antipsychotics for people aged 65 and over. These medicines may be appropriate for a small number of people; however, concerns have been raised that antipsychotics may be</w:t>
      </w:r>
      <w:r w:rsidRPr="00D10CB4">
        <w:t xml:space="preserve"> overused for behavioural control and sedation given that they have limited benefit and can cause significant harm, such as stroke, pneumonia, falls and fractures, and an increased mortality risk. The first-line response for older people with behavioural and psychological symptoms of dementia should be a person-centred, non-pharmacological approach with informed consent, unless the person is severely distressed and at immediate risk of harming themselves or others. </w:t>
      </w:r>
    </w:p>
    <w:p w14:paraId="504A1D6F" w14:textId="77777777" w:rsidR="00D10CB4" w:rsidRDefault="00D10CB4">
      <w:pPr>
        <w:spacing w:after="160" w:line="259" w:lineRule="auto"/>
      </w:pPr>
      <w:r>
        <w:br w:type="page"/>
      </w:r>
    </w:p>
    <w:p w14:paraId="4657FDE5" w14:textId="77777777" w:rsidR="00D10CB4" w:rsidRDefault="00D10CB4" w:rsidP="00365A86">
      <w:pPr>
        <w:pStyle w:val="BodyText"/>
        <w:spacing w:after="240"/>
      </w:pPr>
      <w:r>
        <w:lastRenderedPageBreak/>
        <w:t>To identify key areas for action, the Commission held a national roundtable in October 2016. The</w:t>
      </w:r>
      <w:r>
        <w:rPr>
          <w:rFonts w:cs="Arial"/>
        </w:rPr>
        <w:t> </w:t>
      </w:r>
      <w:r>
        <w:t>purpose of the roundtable was to seek expert advice on ways to reduce the inappropriate use of antipsychotics in older people with behavioural and psychological symptoms of dementia, and to identify and prioritise strategies for action in the community, aged care homes and acute hospital settings. A</w:t>
      </w:r>
      <w:r>
        <w:rPr>
          <w:rFonts w:cs="Arial"/>
        </w:rPr>
        <w:t> </w:t>
      </w:r>
      <w:r>
        <w:t>second roundtable was held in May 2017 to consult specifically with primary care providers. The Commission is considering the outcomes of both roundtables and will release a summary report by August 2017 that includes an outline of the next steps to be taken.</w:t>
      </w:r>
    </w:p>
    <w:tbl>
      <w:tblPr>
        <w:tblW w:w="0" w:type="auto"/>
        <w:tblInd w:w="-8" w:type="dxa"/>
        <w:tblLayout w:type="fixed"/>
        <w:tblCellMar>
          <w:left w:w="0" w:type="dxa"/>
          <w:right w:w="0" w:type="dxa"/>
        </w:tblCellMar>
        <w:tblLook w:val="0000" w:firstRow="0" w:lastRow="0" w:firstColumn="0" w:lastColumn="0" w:noHBand="0" w:noVBand="0"/>
        <w:tblCaption w:val="Highlights pullout box"/>
      </w:tblPr>
      <w:tblGrid>
        <w:gridCol w:w="3949"/>
      </w:tblGrid>
      <w:tr w:rsidR="00D10CB4" w:rsidRPr="00D10CB4" w14:paraId="70687D74" w14:textId="77777777" w:rsidTr="002839DD">
        <w:trPr>
          <w:trHeight w:val="60"/>
        </w:trPr>
        <w:tc>
          <w:tcPr>
            <w:tcW w:w="3949" w:type="dxa"/>
            <w:tcBorders>
              <w:top w:val="single" w:sz="36" w:space="0" w:color="10897C"/>
              <w:bottom w:val="single" w:sz="4" w:space="0" w:color="10897C"/>
            </w:tcBorders>
            <w:tcMar>
              <w:top w:w="142" w:type="dxa"/>
              <w:left w:w="142" w:type="dxa"/>
              <w:bottom w:w="142" w:type="dxa"/>
              <w:right w:w="142" w:type="dxa"/>
            </w:tcMar>
          </w:tcPr>
          <w:p w14:paraId="38B41A7A" w14:textId="77777777" w:rsidR="00D10CB4" w:rsidRPr="00D10CB4" w:rsidRDefault="00D10CB4" w:rsidP="00E3219B">
            <w:pPr>
              <w:pStyle w:val="Tableheading2"/>
            </w:pPr>
            <w:r w:rsidRPr="00D10CB4">
              <w:t>Highlights</w:t>
            </w:r>
          </w:p>
        </w:tc>
      </w:tr>
      <w:tr w:rsidR="00D10CB4" w:rsidRPr="00D10CB4" w14:paraId="5E731AE8" w14:textId="77777777" w:rsidTr="003564F0">
        <w:trPr>
          <w:trHeight w:val="60"/>
        </w:trPr>
        <w:tc>
          <w:tcPr>
            <w:tcW w:w="3949" w:type="dxa"/>
            <w:tcBorders>
              <w:top w:val="single" w:sz="4" w:space="0" w:color="10897C"/>
              <w:bottom w:val="single" w:sz="16" w:space="0" w:color="10897C"/>
            </w:tcBorders>
            <w:shd w:val="clear" w:color="auto" w:fill="F1F0EE" w:themeFill="accent4"/>
            <w:tcMar>
              <w:top w:w="142" w:type="dxa"/>
              <w:left w:w="142" w:type="dxa"/>
              <w:bottom w:w="142" w:type="dxa"/>
              <w:right w:w="142" w:type="dxa"/>
            </w:tcMar>
          </w:tcPr>
          <w:p w14:paraId="73A1C1C0" w14:textId="77777777" w:rsidR="00D10CB4" w:rsidRPr="00D10CB4" w:rsidRDefault="00D10CB4" w:rsidP="00F5152E">
            <w:pPr>
              <w:pStyle w:val="Tablebullets"/>
            </w:pPr>
            <w:r w:rsidRPr="00D10CB4">
              <w:t>Promoted the Caring for Cognitive Impairment campaign, with 160 hospitals, 1,564 individuals and 31 supporting organisations participating in the campaign</w:t>
            </w:r>
          </w:p>
          <w:p w14:paraId="1F92D146" w14:textId="77777777" w:rsidR="00D10CB4" w:rsidRPr="00D10CB4" w:rsidRDefault="00D10CB4" w:rsidP="00F5152E">
            <w:pPr>
              <w:pStyle w:val="Tablebullets"/>
            </w:pPr>
            <w:r w:rsidRPr="00D10CB4">
              <w:t xml:space="preserve">Commenced work on reducing the inappropriate use of antipsychotics in older people with behavioural and psychological symptoms of dementia. </w:t>
            </w:r>
          </w:p>
        </w:tc>
      </w:tr>
    </w:tbl>
    <w:p w14:paraId="00DC2421" w14:textId="77777777" w:rsidR="00D10CB4" w:rsidRDefault="00D10CB4" w:rsidP="00365A86">
      <w:pPr>
        <w:pStyle w:val="Heading2"/>
        <w:spacing w:before="240"/>
      </w:pPr>
      <w:r>
        <w:t>Communicating for safety</w:t>
      </w:r>
    </w:p>
    <w:p w14:paraId="1862C468" w14:textId="77777777" w:rsidR="00D10CB4" w:rsidRPr="007430AC" w:rsidRDefault="00D10CB4" w:rsidP="007430AC">
      <w:pPr>
        <w:pStyle w:val="BodyText"/>
      </w:pPr>
      <w:r w:rsidRPr="007430AC">
        <w:t>Clinical communication is a key safety and quality issue. Communication failures, lack of team communication and inadequate documentation of clinical information are known to result in errors, misdiagnosis, inappropriate treatment and poor care outcomes.</w:t>
      </w:r>
    </w:p>
    <w:p w14:paraId="20158906" w14:textId="77777777" w:rsidR="00D10CB4" w:rsidRPr="007430AC" w:rsidRDefault="00D10CB4" w:rsidP="007430AC">
      <w:pPr>
        <w:pStyle w:val="BodyText"/>
      </w:pPr>
      <w:r w:rsidRPr="007430AC">
        <w:t xml:space="preserve">In 2016–17, the Commission included actions in the NSQHS Standards (2nd ed.) to address clinical communication gaps, dedicating an NSQHS Standard specifically to communicating for safety. To support the implementation of the Communicating for Safety Standard, the Commission has drafted guides that will be finalised at the end of 2017 in consultation with the health sector. </w:t>
      </w:r>
    </w:p>
    <w:p w14:paraId="753675D8" w14:textId="77777777" w:rsidR="00D10CB4" w:rsidRDefault="00D10CB4" w:rsidP="007430AC">
      <w:pPr>
        <w:pStyle w:val="BodyText"/>
      </w:pPr>
      <w:r>
        <w:t xml:space="preserve">The Commission has also published resources to support effective patient-clinician communication </w:t>
      </w:r>
      <w:r>
        <w:lastRenderedPageBreak/>
        <w:t>at transitions of care in hospitals. These include posters and information sheets for consumers, clinicians, senior executives and clinical leaders.</w:t>
      </w:r>
    </w:p>
    <w:p w14:paraId="4553CCAD" w14:textId="77777777" w:rsidR="00D10CB4" w:rsidRDefault="00D10CB4" w:rsidP="007430AC">
      <w:pPr>
        <w:pStyle w:val="BodyText"/>
      </w:pPr>
      <w:r>
        <w:t>Recognising that effective communication is vital across the patient journey, the Commission has started developing a framework on communicating for safety. The framework identifies key stages in the patient journey where communication is essential for safe patient care. As part of the framework, the Commission will provide information and links to resources to support effective communication between clinicians, multidisciplinary teams and patients, as well as families and carers.</w:t>
      </w:r>
    </w:p>
    <w:p w14:paraId="3ADFEBFA" w14:textId="77777777" w:rsidR="00D10CB4" w:rsidRDefault="00D10CB4" w:rsidP="00365A86">
      <w:pPr>
        <w:pStyle w:val="BodyText"/>
        <w:spacing w:after="360"/>
      </w:pPr>
      <w:r>
        <w:t>The Commission is also considering developing tools for junior clinicians that aim to translate current research on clinical communication into a useable and practical resource.</w:t>
      </w:r>
    </w:p>
    <w:tbl>
      <w:tblPr>
        <w:tblW w:w="0" w:type="auto"/>
        <w:tblInd w:w="-8" w:type="dxa"/>
        <w:tblLayout w:type="fixed"/>
        <w:tblCellMar>
          <w:left w:w="0" w:type="dxa"/>
          <w:right w:w="0" w:type="dxa"/>
        </w:tblCellMar>
        <w:tblLook w:val="0000" w:firstRow="0" w:lastRow="0" w:firstColumn="0" w:lastColumn="0" w:noHBand="0" w:noVBand="0"/>
        <w:tblCaption w:val="Highlights pullout box"/>
      </w:tblPr>
      <w:tblGrid>
        <w:gridCol w:w="3949"/>
      </w:tblGrid>
      <w:tr w:rsidR="00D10CB4" w:rsidRPr="00D10CB4" w14:paraId="5564C381" w14:textId="77777777" w:rsidTr="003564F0">
        <w:trPr>
          <w:trHeight w:val="60"/>
        </w:trPr>
        <w:tc>
          <w:tcPr>
            <w:tcW w:w="3949" w:type="dxa"/>
            <w:tcBorders>
              <w:top w:val="single" w:sz="36" w:space="0" w:color="10897C"/>
              <w:bottom w:val="single" w:sz="4" w:space="0" w:color="10897C"/>
            </w:tcBorders>
            <w:tcMar>
              <w:top w:w="142" w:type="dxa"/>
              <w:left w:w="142" w:type="dxa"/>
              <w:bottom w:w="142" w:type="dxa"/>
              <w:right w:w="142" w:type="dxa"/>
            </w:tcMar>
          </w:tcPr>
          <w:p w14:paraId="3B6CBB93" w14:textId="77777777" w:rsidR="00D10CB4" w:rsidRPr="00D10CB4" w:rsidRDefault="00D10CB4" w:rsidP="00E3219B">
            <w:pPr>
              <w:pStyle w:val="Tableheading2"/>
            </w:pPr>
            <w:r w:rsidRPr="00D10CB4">
              <w:t>Highlights</w:t>
            </w:r>
          </w:p>
        </w:tc>
      </w:tr>
      <w:tr w:rsidR="00D10CB4" w:rsidRPr="00D10CB4" w14:paraId="28D9D84F" w14:textId="77777777" w:rsidTr="003564F0">
        <w:trPr>
          <w:trHeight w:val="60"/>
        </w:trPr>
        <w:tc>
          <w:tcPr>
            <w:tcW w:w="3949" w:type="dxa"/>
            <w:tcBorders>
              <w:top w:val="single" w:sz="4" w:space="0" w:color="10897C"/>
              <w:bottom w:val="single" w:sz="16" w:space="0" w:color="10897C"/>
            </w:tcBorders>
            <w:shd w:val="clear" w:color="auto" w:fill="F1F0EE" w:themeFill="accent4"/>
            <w:tcMar>
              <w:top w:w="142" w:type="dxa"/>
              <w:left w:w="142" w:type="dxa"/>
              <w:bottom w:w="142" w:type="dxa"/>
              <w:right w:w="142" w:type="dxa"/>
            </w:tcMar>
          </w:tcPr>
          <w:p w14:paraId="15AD022F" w14:textId="77777777" w:rsidR="00D10CB4" w:rsidRPr="00D10CB4" w:rsidRDefault="00D10CB4" w:rsidP="00F5152E">
            <w:pPr>
              <w:pStyle w:val="Tablebullets"/>
            </w:pPr>
            <w:r w:rsidRPr="00D10CB4">
              <w:t>Included the Communicating for Safety Standard in the NSQHS Standards (2nd ed.)</w:t>
            </w:r>
          </w:p>
          <w:p w14:paraId="29398224" w14:textId="77777777" w:rsidR="00D10CB4" w:rsidRPr="00D10CB4" w:rsidRDefault="00D10CB4" w:rsidP="00F5152E">
            <w:pPr>
              <w:pStyle w:val="Tablebullets"/>
            </w:pPr>
            <w:r w:rsidRPr="00D10CB4">
              <w:t xml:space="preserve">Drafted guides to help large acute hospitals, small hospitals and day procedure services implement the Communicating for Safety Standard </w:t>
            </w:r>
          </w:p>
          <w:p w14:paraId="1E427A58" w14:textId="77777777" w:rsidR="00D10CB4" w:rsidRPr="00D10CB4" w:rsidRDefault="00D10CB4" w:rsidP="00F5152E">
            <w:pPr>
              <w:pStyle w:val="Tablebullets"/>
            </w:pPr>
            <w:r w:rsidRPr="00D10CB4">
              <w:t>Published resources on improving patient-clinician communication at transitions of care in hospitals</w:t>
            </w:r>
          </w:p>
          <w:p w14:paraId="775C3E95" w14:textId="77777777" w:rsidR="00D10CB4" w:rsidRPr="00D10CB4" w:rsidRDefault="00D10CB4" w:rsidP="00F5152E">
            <w:pPr>
              <w:pStyle w:val="Tablebullets"/>
            </w:pPr>
            <w:r w:rsidRPr="00D10CB4">
              <w:t>Started developing a framework on communicating for safety to support clinical communication across the patient journey.</w:t>
            </w:r>
          </w:p>
        </w:tc>
      </w:tr>
    </w:tbl>
    <w:p w14:paraId="484C240B" w14:textId="77777777" w:rsidR="005E0173" w:rsidRDefault="005E0173">
      <w:pPr>
        <w:spacing w:after="160" w:line="259" w:lineRule="auto"/>
      </w:pPr>
      <w:r>
        <w:br w:type="page"/>
      </w:r>
    </w:p>
    <w:p w14:paraId="2C0F8F91" w14:textId="77777777" w:rsidR="005E0173" w:rsidRDefault="005E0173" w:rsidP="007430AC">
      <w:pPr>
        <w:pStyle w:val="Heading2"/>
      </w:pPr>
      <w:r>
        <w:lastRenderedPageBreak/>
        <w:t xml:space="preserve">Clinical governance </w:t>
      </w:r>
      <w:r w:rsidRPr="007430AC">
        <w:t>framework</w:t>
      </w:r>
    </w:p>
    <w:p w14:paraId="6C0371C9" w14:textId="77777777" w:rsidR="005E0173" w:rsidRDefault="005E0173" w:rsidP="007430AC">
      <w:pPr>
        <w:pStyle w:val="Bodytextbeforebullets"/>
      </w:pPr>
      <w:r>
        <w:t>Since 2015, the Commission has completed reviews into identified patient safety problems for several state or territory health departments. These reviews have indicated that some health service organisations experience significant difficulties in implementing core clinical governance processes. These include issues</w:t>
      </w:r>
      <w:r>
        <w:rPr>
          <w:rFonts w:cs="Arial"/>
        </w:rPr>
        <w:t> </w:t>
      </w:r>
      <w:r>
        <w:t>with:</w:t>
      </w:r>
    </w:p>
    <w:p w14:paraId="5B310A21" w14:textId="77777777" w:rsidR="005E0173" w:rsidRDefault="005E0173" w:rsidP="007430AC">
      <w:pPr>
        <w:pStyle w:val="Bullets"/>
      </w:pPr>
      <w:r>
        <w:t>Implementing an open disclosure response consistent with national and local standards</w:t>
      </w:r>
    </w:p>
    <w:p w14:paraId="035E733A" w14:textId="77777777" w:rsidR="005E0173" w:rsidRDefault="005E0173" w:rsidP="007430AC">
      <w:pPr>
        <w:pStyle w:val="Bullets"/>
      </w:pPr>
      <w:r>
        <w:t>Ensuring incident management and investigation systems can provide adequate surveillance for the purpose of recognising significant patient safety risks or failures</w:t>
      </w:r>
    </w:p>
    <w:p w14:paraId="59772660" w14:textId="77777777" w:rsidR="005E0173" w:rsidRDefault="005E0173" w:rsidP="007430AC">
      <w:pPr>
        <w:pStyle w:val="Bullets"/>
      </w:pPr>
      <w:r>
        <w:t>Implementing corrective action in response to identified patient safety risks and failures</w:t>
      </w:r>
    </w:p>
    <w:p w14:paraId="4B081474" w14:textId="77777777" w:rsidR="005E0173" w:rsidRDefault="005E0173" w:rsidP="007430AC">
      <w:pPr>
        <w:pStyle w:val="Bullets"/>
      </w:pPr>
      <w:r>
        <w:t>Establishing complaint management systems that include a partnership with patients and</w:t>
      </w:r>
      <w:r>
        <w:rPr>
          <w:rFonts w:cs="Arial"/>
        </w:rPr>
        <w:t> </w:t>
      </w:r>
      <w:r>
        <w:t>carers</w:t>
      </w:r>
    </w:p>
    <w:p w14:paraId="10058F58" w14:textId="77777777" w:rsidR="005E0173" w:rsidRDefault="005E0173" w:rsidP="007430AC">
      <w:pPr>
        <w:pStyle w:val="Bullets"/>
      </w:pPr>
      <w:r>
        <w:t>Ensuring a robust and positive safety culture</w:t>
      </w:r>
    </w:p>
    <w:p w14:paraId="4058D758" w14:textId="77777777" w:rsidR="005E0173" w:rsidRDefault="005E0173" w:rsidP="007430AC">
      <w:pPr>
        <w:pStyle w:val="BulletLast"/>
      </w:pPr>
      <w:r>
        <w:t>Clearly understanding the roles and responsibilities of boards, executives, clinical teams and clinicians in clinical governance.</w:t>
      </w:r>
    </w:p>
    <w:p w14:paraId="2B4A2389" w14:textId="77777777" w:rsidR="005E0173" w:rsidRPr="007430AC" w:rsidRDefault="005E0173" w:rsidP="007430AC">
      <w:pPr>
        <w:pStyle w:val="BodyText"/>
      </w:pPr>
      <w:r>
        <w:t xml:space="preserve">To address these issues, and to support the </w:t>
      </w:r>
      <w:r w:rsidRPr="007430AC">
        <w:t xml:space="preserve">delivery of safe and high-quality health care and the best possible outcomes for patients, the Commission developed the National Model Clinical Governance Framework (the Clinical Governance Framework) for public and private healthcare organisations in the acute sector. </w:t>
      </w:r>
    </w:p>
    <w:p w14:paraId="56420D12" w14:textId="77777777" w:rsidR="005E0173" w:rsidRPr="005E0173" w:rsidRDefault="005E0173" w:rsidP="007430AC">
      <w:pPr>
        <w:pStyle w:val="BodyText"/>
      </w:pPr>
      <w:r w:rsidRPr="007430AC">
        <w:t>The Clinical Governance Framework is based on the NSQHS Standards (2nd ed.), particularly the Clinical Governance for Health Service Organisations and the Partnering with Consumers standards. As part of the NSQHS Standards as a whole, these standards, these standards constitute a complete and robust clinical governance framework.</w:t>
      </w:r>
      <w:r>
        <w:br w:type="column"/>
      </w:r>
      <w:r w:rsidRPr="005E0173">
        <w:lastRenderedPageBreak/>
        <w:t>The Clinical Governance Framework will be released in August 2017. It will be supported by additional resources that the Commission has developed for specific target audiences, including clinicians, consumers and members of</w:t>
      </w:r>
      <w:r w:rsidRPr="005E0173">
        <w:rPr>
          <w:rFonts w:cs="Arial"/>
        </w:rPr>
        <w:t> </w:t>
      </w:r>
      <w:r w:rsidRPr="005E0173">
        <w:t>governing bodies such as boards.</w:t>
      </w:r>
    </w:p>
    <w:tbl>
      <w:tblPr>
        <w:tblW w:w="0" w:type="auto"/>
        <w:tblInd w:w="-8" w:type="dxa"/>
        <w:tblLayout w:type="fixed"/>
        <w:tblCellMar>
          <w:left w:w="0" w:type="dxa"/>
          <w:right w:w="0" w:type="dxa"/>
        </w:tblCellMar>
        <w:tblLook w:val="0000" w:firstRow="0" w:lastRow="0" w:firstColumn="0" w:lastColumn="0" w:noHBand="0" w:noVBand="0"/>
        <w:tblCaption w:val="Highlights pullout box"/>
      </w:tblPr>
      <w:tblGrid>
        <w:gridCol w:w="3949"/>
      </w:tblGrid>
      <w:tr w:rsidR="005E0173" w:rsidRPr="005E0173" w14:paraId="6DED5832" w14:textId="77777777" w:rsidTr="003564F0">
        <w:trPr>
          <w:trHeight w:val="60"/>
        </w:trPr>
        <w:tc>
          <w:tcPr>
            <w:tcW w:w="3949" w:type="dxa"/>
            <w:tcBorders>
              <w:top w:val="single" w:sz="36" w:space="0" w:color="10897C"/>
              <w:bottom w:val="single" w:sz="4" w:space="0" w:color="10897C"/>
            </w:tcBorders>
            <w:tcMar>
              <w:top w:w="142" w:type="dxa"/>
              <w:left w:w="142" w:type="dxa"/>
              <w:bottom w:w="142" w:type="dxa"/>
              <w:right w:w="142" w:type="dxa"/>
            </w:tcMar>
          </w:tcPr>
          <w:p w14:paraId="3EFC3E43" w14:textId="77777777" w:rsidR="005E0173" w:rsidRPr="005E0173" w:rsidRDefault="005E0173" w:rsidP="00E3219B">
            <w:pPr>
              <w:pStyle w:val="Tableheading2"/>
            </w:pPr>
            <w:r w:rsidRPr="005E0173">
              <w:t>Highlight</w:t>
            </w:r>
          </w:p>
        </w:tc>
      </w:tr>
      <w:tr w:rsidR="005E0173" w:rsidRPr="005E0173" w14:paraId="28EF9B62" w14:textId="77777777" w:rsidTr="003564F0">
        <w:trPr>
          <w:trHeight w:val="60"/>
        </w:trPr>
        <w:tc>
          <w:tcPr>
            <w:tcW w:w="3949" w:type="dxa"/>
            <w:tcBorders>
              <w:top w:val="single" w:sz="4" w:space="0" w:color="10897C"/>
              <w:bottom w:val="single" w:sz="16" w:space="0" w:color="10897C"/>
            </w:tcBorders>
            <w:shd w:val="clear" w:color="auto" w:fill="F1F0EE" w:themeFill="accent4"/>
            <w:tcMar>
              <w:top w:w="142" w:type="dxa"/>
              <w:left w:w="142" w:type="dxa"/>
              <w:bottom w:w="142" w:type="dxa"/>
              <w:right w:w="142" w:type="dxa"/>
            </w:tcMar>
          </w:tcPr>
          <w:p w14:paraId="455D576C" w14:textId="77777777" w:rsidR="005E0173" w:rsidRPr="005E0173" w:rsidRDefault="005E0173" w:rsidP="00F5152E">
            <w:pPr>
              <w:pStyle w:val="Tablebullets"/>
            </w:pPr>
            <w:r w:rsidRPr="005E0173">
              <w:t>Developed the National Model Clinical Governance Framework</w:t>
            </w:r>
          </w:p>
        </w:tc>
      </w:tr>
    </w:tbl>
    <w:p w14:paraId="0B28CD94" w14:textId="77777777" w:rsidR="005E0173" w:rsidRPr="005E0173" w:rsidRDefault="005E0173" w:rsidP="00365A86">
      <w:pPr>
        <w:pStyle w:val="Heading2"/>
        <w:spacing w:before="240"/>
      </w:pPr>
      <w:r w:rsidRPr="005E0173">
        <w:t>Comprehensive Care</w:t>
      </w:r>
      <w:r w:rsidR="0044323F">
        <w:t> </w:t>
      </w:r>
      <w:r w:rsidRPr="005E0173">
        <w:t>Standard</w:t>
      </w:r>
    </w:p>
    <w:p w14:paraId="37636B7A" w14:textId="77777777" w:rsidR="005E0173" w:rsidRPr="005E0173" w:rsidRDefault="005E0173" w:rsidP="007430AC">
      <w:pPr>
        <w:pStyle w:val="BodyText"/>
      </w:pPr>
      <w:r w:rsidRPr="005E0173">
        <w:t xml:space="preserve">As part of the review of the NSQHS Standards, the Commission set about identifying some of the common underlying clinical and systems issues that may place a person at risk of harm. Safety and quality gaps are frequently reported as failures to provide adequate care in specific situations or settings, or for specific conditions, or as failures to achieve expected outcomes in particular populations. </w:t>
      </w:r>
    </w:p>
    <w:p w14:paraId="7C1EF072" w14:textId="77777777" w:rsidR="005E0173" w:rsidRDefault="005E0173" w:rsidP="007430AC">
      <w:pPr>
        <w:pStyle w:val="BodyText"/>
      </w:pPr>
      <w:r w:rsidRPr="005E0173">
        <w:t>In 2016–17, the Commission, with its partners, developed the Comprehensive Care Standard, which has been included in the NSQHS Standards (2nd ed.). Comprehensive care is the coordinated delivery of the total health care required or requested by a patient. This care is aligned with the patient’s expressed care goals and healthcare needs, considers the impact of the patient’s health issues on their life and wellbeing, and is clinically appropriate regardless of whether the care trajectory is focused on recovery or end of life.</w:t>
      </w:r>
      <w:r>
        <w:br w:type="page"/>
      </w:r>
    </w:p>
    <w:p w14:paraId="49FB5068" w14:textId="77777777" w:rsidR="005E0173" w:rsidRPr="005E0173" w:rsidRDefault="005E0173" w:rsidP="007430AC">
      <w:pPr>
        <w:pStyle w:val="BodyText"/>
      </w:pPr>
      <w:r w:rsidRPr="005E0173">
        <w:lastRenderedPageBreak/>
        <w:t>The purpose of the Comprehensive Care Standard is to address the cross-cutting issues that underlie many adverse events and to optimise health care while considering how risk and harm can be minimised along each patient journey. This requires a shift from focusing on specific errors and incidents to examining the origins of care failures within the cultural conditions and systems of a health service organisation. Inadequate risk assessment, goal setting and care planning can result in failures to deliver care that meets a person’s needs and is consistent with their preferences. The way that clinical teams operate and collaborate, and the way that work flow is coordinated and organised can have a significant impact on the delivery of safe and high-quality care.</w:t>
      </w:r>
    </w:p>
    <w:p w14:paraId="49487D86" w14:textId="77777777" w:rsidR="005E0173" w:rsidRPr="005E0173" w:rsidRDefault="005E0173" w:rsidP="007430AC">
      <w:pPr>
        <w:pStyle w:val="BodyText"/>
      </w:pPr>
      <w:r w:rsidRPr="005E0173">
        <w:t>In 2017, the Commission started developing a conceptual model for comprehensive care, and in 2017–18, the Commission will consult broadly on the model. This model supports the identification and development of tools and resources to help health service organisations deliver comprehensive care and meet the requirements of the NSQHS Standards (2nd</w:t>
      </w:r>
      <w:r w:rsidRPr="005E0173">
        <w:rPr>
          <w:rFonts w:cs="Arial"/>
        </w:rPr>
        <w:t> </w:t>
      </w:r>
      <w:r w:rsidRPr="005E0173">
        <w:t>ed.). This work includes scoping approaches for integrated screening and</w:t>
      </w:r>
      <w:r w:rsidRPr="005E0173">
        <w:rPr>
          <w:rFonts w:cs="Arial"/>
        </w:rPr>
        <w:t> </w:t>
      </w:r>
      <w:r w:rsidRPr="005E0173">
        <w:t>assessment.</w:t>
      </w:r>
    </w:p>
    <w:tbl>
      <w:tblPr>
        <w:tblW w:w="0" w:type="auto"/>
        <w:tblInd w:w="-8" w:type="dxa"/>
        <w:tblLayout w:type="fixed"/>
        <w:tblCellMar>
          <w:left w:w="0" w:type="dxa"/>
          <w:right w:w="0" w:type="dxa"/>
        </w:tblCellMar>
        <w:tblLook w:val="0000" w:firstRow="0" w:lastRow="0" w:firstColumn="0" w:lastColumn="0" w:noHBand="0" w:noVBand="0"/>
        <w:tblCaption w:val="Highlights pullout box"/>
      </w:tblPr>
      <w:tblGrid>
        <w:gridCol w:w="3949"/>
      </w:tblGrid>
      <w:tr w:rsidR="005E0173" w:rsidRPr="005E0173" w14:paraId="28E68EC7" w14:textId="77777777" w:rsidTr="00D87CD0">
        <w:trPr>
          <w:trHeight w:val="60"/>
        </w:trPr>
        <w:tc>
          <w:tcPr>
            <w:tcW w:w="3949" w:type="dxa"/>
            <w:tcBorders>
              <w:top w:val="single" w:sz="36" w:space="0" w:color="10897C"/>
              <w:bottom w:val="single" w:sz="4" w:space="0" w:color="10897C"/>
            </w:tcBorders>
            <w:tcMar>
              <w:top w:w="142" w:type="dxa"/>
              <w:left w:w="142" w:type="dxa"/>
              <w:bottom w:w="142" w:type="dxa"/>
              <w:right w:w="142" w:type="dxa"/>
            </w:tcMar>
          </w:tcPr>
          <w:p w14:paraId="7D044C0D" w14:textId="77777777" w:rsidR="005E0173" w:rsidRPr="005E0173" w:rsidRDefault="005E0173" w:rsidP="00E3219B">
            <w:pPr>
              <w:pStyle w:val="Tableheading2"/>
            </w:pPr>
            <w:r w:rsidRPr="005E0173">
              <w:t>Highlights</w:t>
            </w:r>
          </w:p>
        </w:tc>
      </w:tr>
      <w:tr w:rsidR="005E0173" w:rsidRPr="005E0173" w14:paraId="135BF7B8" w14:textId="77777777" w:rsidTr="00D87CD0">
        <w:trPr>
          <w:trHeight w:val="60"/>
        </w:trPr>
        <w:tc>
          <w:tcPr>
            <w:tcW w:w="3949" w:type="dxa"/>
            <w:tcBorders>
              <w:top w:val="single" w:sz="4" w:space="0" w:color="10897C"/>
              <w:bottom w:val="single" w:sz="16" w:space="0" w:color="10897C"/>
            </w:tcBorders>
            <w:shd w:val="clear" w:color="auto" w:fill="F1F0EE" w:themeFill="accent4"/>
            <w:tcMar>
              <w:top w:w="142" w:type="dxa"/>
              <w:left w:w="142" w:type="dxa"/>
              <w:bottom w:w="142" w:type="dxa"/>
              <w:right w:w="142" w:type="dxa"/>
            </w:tcMar>
          </w:tcPr>
          <w:p w14:paraId="30002C1B" w14:textId="77777777" w:rsidR="005E0173" w:rsidRPr="005E0173" w:rsidRDefault="005E0173" w:rsidP="00F5152E">
            <w:pPr>
              <w:pStyle w:val="Tablebullets"/>
            </w:pPr>
            <w:r w:rsidRPr="005E0173">
              <w:t>Developed the Comprehensive Care Standard</w:t>
            </w:r>
          </w:p>
          <w:p w14:paraId="11A8CA0C" w14:textId="77777777" w:rsidR="005E0173" w:rsidRPr="005E0173" w:rsidRDefault="005E0173" w:rsidP="00F5152E">
            <w:pPr>
              <w:pStyle w:val="Tablebullets"/>
            </w:pPr>
            <w:r w:rsidRPr="005E0173">
              <w:t>Developed a model for supporting the delivery of comprehensive care, and started consultation on the tools and resources needed to support the delivery of comprehensive care, including tools for screening and assessment.</w:t>
            </w:r>
          </w:p>
        </w:tc>
      </w:tr>
    </w:tbl>
    <w:p w14:paraId="4A3AFAA7" w14:textId="77777777" w:rsidR="005E0173" w:rsidRDefault="005E0173" w:rsidP="003123F3">
      <w:pPr>
        <w:pStyle w:val="Heading2"/>
      </w:pPr>
      <w:r>
        <w:br w:type="column"/>
      </w:r>
      <w:r>
        <w:lastRenderedPageBreak/>
        <w:t>National safety and quality model for colonoscopy</w:t>
      </w:r>
    </w:p>
    <w:p w14:paraId="53AEA3F8" w14:textId="77777777" w:rsidR="005E0173" w:rsidRDefault="005E0173" w:rsidP="007430AC">
      <w:pPr>
        <w:pStyle w:val="BodyText"/>
      </w:pPr>
      <w:r>
        <w:t>The Australian Government Department of Health appointed the Commission to conduct a national consultation and develop a safety and quality model for colonoscopy. The appointment was made in the context of the anticipated growth in colonoscopy numbers from the planned expansion of the National Bowel Cancer Screening Program (NBCSP).</w:t>
      </w:r>
    </w:p>
    <w:p w14:paraId="6DD54FFC" w14:textId="77777777" w:rsidR="005E0173" w:rsidRDefault="005E0173" w:rsidP="007430AC">
      <w:pPr>
        <w:pStyle w:val="BodyText"/>
      </w:pPr>
      <w:r>
        <w:t>The model is intended to optimise the safety and efficacy of screening, diagnostic and therapeutic colonoscopies. A colonoscopy involves the endoscopic examination of the entire large bowel (from the rectum to the caecum) with a flexible endoscope. The distal portion of the small bowel (terminal ileum) may also be examined. The procedure is performed on adult, and less commonly paediatric, patients. It is the gold standard for investigating and managing large bowel pathology.</w:t>
      </w:r>
    </w:p>
    <w:p w14:paraId="2B6A7028" w14:textId="77777777" w:rsidR="005E0173" w:rsidRDefault="005E0173" w:rsidP="007430AC">
      <w:pPr>
        <w:pStyle w:val="BodyText"/>
      </w:pPr>
      <w:r>
        <w:t>A screening colonoscopy is performed following a positive bowel cancer faecal occult blood test as part of surveillance for colorectal cancer. A</w:t>
      </w:r>
      <w:r>
        <w:rPr>
          <w:rFonts w:cs="Arial"/>
        </w:rPr>
        <w:t> </w:t>
      </w:r>
      <w:r>
        <w:t>diagnostic colonoscopy is used to investigate and diagnose other bowel conditions. A</w:t>
      </w:r>
      <w:r>
        <w:rPr>
          <w:rFonts w:cs="Arial"/>
        </w:rPr>
        <w:t> </w:t>
      </w:r>
      <w:r>
        <w:t>therapeutic colonoscopy is used to dilate strictures, place stents, decompress the colon, remove foreign bodies and polyps, and treat bleeding lesions.</w:t>
      </w:r>
    </w:p>
    <w:p w14:paraId="2D5D80E1" w14:textId="77777777" w:rsidR="005E0173" w:rsidRDefault="005E0173" w:rsidP="007430AC">
      <w:pPr>
        <w:pStyle w:val="BodyText"/>
      </w:pPr>
      <w:r>
        <w:t>Consultation on the safety and quality model for colonoscopy was completed in July 2016. The model that emerged from this process was reviewed by clinical colleges and societies, state and territory health departments, and the private hospital sector. It was then released for public consultation in August 2016.</w:t>
      </w:r>
    </w:p>
    <w:p w14:paraId="7726031D" w14:textId="77777777" w:rsidR="005E0173" w:rsidRDefault="005E0173" w:rsidP="007430AC">
      <w:pPr>
        <w:pStyle w:val="BodyText"/>
      </w:pPr>
      <w:r>
        <w:br w:type="page"/>
      </w:r>
    </w:p>
    <w:p w14:paraId="08526567" w14:textId="77777777" w:rsidR="005E0173" w:rsidRDefault="005E0173" w:rsidP="007430AC">
      <w:pPr>
        <w:pStyle w:val="BodyText"/>
      </w:pPr>
      <w:r>
        <w:lastRenderedPageBreak/>
        <w:t xml:space="preserve">The model requires health service organisations to demonstrate implementation of a clinical care standard for colonoscopy, certification and recertification of </w:t>
      </w:r>
      <w:proofErr w:type="spellStart"/>
      <w:r>
        <w:t>proceduralists</w:t>
      </w:r>
      <w:proofErr w:type="spellEnd"/>
      <w:r>
        <w:t xml:space="preserve">, and local monitoring of a succinct set of quality indicators. </w:t>
      </w:r>
    </w:p>
    <w:p w14:paraId="5C08C941" w14:textId="77777777" w:rsidR="005E0173" w:rsidRDefault="005E0173" w:rsidP="00365A86">
      <w:pPr>
        <w:pStyle w:val="BodyText"/>
        <w:spacing w:after="240"/>
      </w:pPr>
      <w:r>
        <w:t>In 2017–18, the Commission will develop a clinical care standard for colonoscopy.</w:t>
      </w:r>
    </w:p>
    <w:tbl>
      <w:tblPr>
        <w:tblW w:w="0" w:type="auto"/>
        <w:tblInd w:w="-8" w:type="dxa"/>
        <w:tblLayout w:type="fixed"/>
        <w:tblCellMar>
          <w:left w:w="0" w:type="dxa"/>
          <w:right w:w="0" w:type="dxa"/>
        </w:tblCellMar>
        <w:tblLook w:val="0000" w:firstRow="0" w:lastRow="0" w:firstColumn="0" w:lastColumn="0" w:noHBand="0" w:noVBand="0"/>
        <w:tblCaption w:val="Highlights pullout box"/>
      </w:tblPr>
      <w:tblGrid>
        <w:gridCol w:w="3969"/>
      </w:tblGrid>
      <w:tr w:rsidR="005E0173" w:rsidRPr="005E0173" w14:paraId="02FF4034" w14:textId="77777777" w:rsidTr="00D87CD0">
        <w:trPr>
          <w:trHeight w:val="60"/>
        </w:trPr>
        <w:tc>
          <w:tcPr>
            <w:tcW w:w="3969" w:type="dxa"/>
            <w:tcBorders>
              <w:top w:val="single" w:sz="36" w:space="0" w:color="10897C"/>
              <w:bottom w:val="single" w:sz="4" w:space="0" w:color="10897C"/>
            </w:tcBorders>
            <w:tcMar>
              <w:top w:w="142" w:type="dxa"/>
              <w:left w:w="142" w:type="dxa"/>
              <w:bottom w:w="142" w:type="dxa"/>
              <w:right w:w="142" w:type="dxa"/>
            </w:tcMar>
          </w:tcPr>
          <w:p w14:paraId="581D9C3A" w14:textId="77777777" w:rsidR="005E0173" w:rsidRPr="005E0173" w:rsidRDefault="005E0173" w:rsidP="00E3219B">
            <w:pPr>
              <w:pStyle w:val="Tableheading2"/>
            </w:pPr>
            <w:r w:rsidRPr="005E0173">
              <w:t>Highlight</w:t>
            </w:r>
          </w:p>
        </w:tc>
      </w:tr>
      <w:tr w:rsidR="005E0173" w:rsidRPr="005E0173" w14:paraId="0AB2F943" w14:textId="77777777" w:rsidTr="00D87CD0">
        <w:trPr>
          <w:trHeight w:val="60"/>
        </w:trPr>
        <w:tc>
          <w:tcPr>
            <w:tcW w:w="3969" w:type="dxa"/>
            <w:tcBorders>
              <w:top w:val="single" w:sz="4" w:space="0" w:color="10897C"/>
              <w:bottom w:val="single" w:sz="16" w:space="0" w:color="10897C"/>
            </w:tcBorders>
            <w:shd w:val="clear" w:color="auto" w:fill="F1F0EE" w:themeFill="accent4"/>
            <w:tcMar>
              <w:top w:w="142" w:type="dxa"/>
              <w:left w:w="142" w:type="dxa"/>
              <w:bottom w:w="142" w:type="dxa"/>
              <w:right w:w="142" w:type="dxa"/>
            </w:tcMar>
          </w:tcPr>
          <w:p w14:paraId="154ECA48" w14:textId="77777777" w:rsidR="005E0173" w:rsidRPr="005E0173" w:rsidRDefault="005E0173" w:rsidP="00F5152E">
            <w:pPr>
              <w:pStyle w:val="Tablebullets"/>
            </w:pPr>
            <w:r w:rsidRPr="005E0173">
              <w:t>Developed a national safety and quality model for colonoscopy, with the support and endorsement of all clinical colleges and societies whose members perform colonoscopy.</w:t>
            </w:r>
          </w:p>
        </w:tc>
      </w:tr>
    </w:tbl>
    <w:p w14:paraId="0F11464D" w14:textId="77777777" w:rsidR="005E0173" w:rsidRPr="005E0173" w:rsidRDefault="005E0173" w:rsidP="00C9282C">
      <w:pPr>
        <w:pStyle w:val="Heading2"/>
        <w:spacing w:before="240"/>
      </w:pPr>
      <w:r w:rsidRPr="005E0173">
        <w:t>Device safety</w:t>
      </w:r>
    </w:p>
    <w:p w14:paraId="24C2ABFA" w14:textId="77777777" w:rsidR="005E0173" w:rsidRPr="005E0173" w:rsidRDefault="005E0173" w:rsidP="007430AC">
      <w:pPr>
        <w:pStyle w:val="BodyText"/>
      </w:pPr>
      <w:r w:rsidRPr="005E0173">
        <w:t>In 2016–17, state and territory health departments asked the Commission to examine two issues related to the safety of medicines and medical devices.</w:t>
      </w:r>
    </w:p>
    <w:p w14:paraId="5B4C4B8B" w14:textId="77777777" w:rsidR="005E0173" w:rsidRPr="007430AC" w:rsidRDefault="005E0173" w:rsidP="007430AC">
      <w:pPr>
        <w:pStyle w:val="Heading3"/>
      </w:pPr>
      <w:r w:rsidRPr="007430AC">
        <w:t xml:space="preserve">Clearing house portal for medication alerts and medical device safety notifications </w:t>
      </w:r>
    </w:p>
    <w:p w14:paraId="18FAF667" w14:textId="77777777" w:rsidR="005E0173" w:rsidRPr="005E0173" w:rsidRDefault="005E0173" w:rsidP="007430AC">
      <w:pPr>
        <w:pStyle w:val="BodyText"/>
      </w:pPr>
      <w:r w:rsidRPr="005E0173">
        <w:t xml:space="preserve">Medication alerts relate to the erroneous use of medicines (prescribing, dispensing or administering), which is typically caused by one or more contributing factors. Several issues relating to medical device errors have been raised with the Commission. A number of organisations issue safety alerts and advisories about the use of medicines and medical devices; however, there is no formal, coordinated method of sharing this information. </w:t>
      </w:r>
    </w:p>
    <w:p w14:paraId="6ECB9E43" w14:textId="77777777" w:rsidR="005E0173" w:rsidRPr="005E0173" w:rsidRDefault="005E0173" w:rsidP="007430AC">
      <w:pPr>
        <w:pStyle w:val="BodyText"/>
      </w:pPr>
      <w:r w:rsidRPr="005E0173">
        <w:t>State and territory health departments asked the Commission to establish a web-based clearing house portal for medication alerts and medical device safety notifications, and to be responsible for its ongoing oversight and</w:t>
      </w:r>
      <w:r w:rsidRPr="005E0173">
        <w:rPr>
          <w:rFonts w:cs="Arial"/>
        </w:rPr>
        <w:t> </w:t>
      </w:r>
      <w:r w:rsidRPr="005E0173">
        <w:t xml:space="preserve">management. </w:t>
      </w:r>
    </w:p>
    <w:p w14:paraId="1483702C" w14:textId="77777777" w:rsidR="005E0173" w:rsidRPr="005E0173" w:rsidRDefault="00365A86" w:rsidP="007430AC">
      <w:pPr>
        <w:pStyle w:val="BodyText"/>
      </w:pPr>
      <w:r>
        <w:br w:type="column"/>
      </w:r>
      <w:r w:rsidR="005E0173" w:rsidRPr="005E0173">
        <w:lastRenderedPageBreak/>
        <w:t>The Commission established the clearing house portal in June 2017 to display medication and medical device alerts and advisories from each state and territory in one location. It complements existing national and international resources for medication and medical device alerts.</w:t>
      </w:r>
    </w:p>
    <w:p w14:paraId="1172F6F8" w14:textId="77777777" w:rsidR="005E0173" w:rsidRPr="005E0173" w:rsidRDefault="005E0173" w:rsidP="007430AC">
      <w:pPr>
        <w:pStyle w:val="BodyText"/>
      </w:pPr>
      <w:r w:rsidRPr="005E0173">
        <w:t>State and territory delegates access the clearing house portal via a secure, password-controlled section of the Commission’s website. Once they load an alert or advisory to the clearing house portal, all other delegates are informed via an automatically generated email. Each state and territory continues to issue alerts and advisories within their existing methods.</w:t>
      </w:r>
    </w:p>
    <w:p w14:paraId="0279374D" w14:textId="77777777" w:rsidR="005E0173" w:rsidRPr="005E0173" w:rsidRDefault="005E0173" w:rsidP="007430AC">
      <w:pPr>
        <w:pStyle w:val="BodyText"/>
      </w:pPr>
      <w:r w:rsidRPr="005E0173">
        <w:t>The Commission will generate routine and ad</w:t>
      </w:r>
      <w:r w:rsidR="00C36315">
        <w:t>-</w:t>
      </w:r>
      <w:r w:rsidRPr="005E0173">
        <w:t>hoc reports and summaries of the volume and nature of alerts and advisories.</w:t>
      </w:r>
    </w:p>
    <w:p w14:paraId="7F4B4914" w14:textId="77777777" w:rsidR="005E0173" w:rsidRPr="005E0173" w:rsidRDefault="005E0173" w:rsidP="007430AC">
      <w:pPr>
        <w:pStyle w:val="Heading3"/>
      </w:pPr>
      <w:r w:rsidRPr="005E0173">
        <w:t>Small-bore connectors for liquids and gases in healthcare</w:t>
      </w:r>
      <w:r w:rsidR="0044323F">
        <w:t> </w:t>
      </w:r>
      <w:r w:rsidRPr="005E0173">
        <w:t>applications</w:t>
      </w:r>
    </w:p>
    <w:p w14:paraId="063F88BF" w14:textId="77777777" w:rsidR="005E0173" w:rsidRPr="005E0173" w:rsidRDefault="005E0173" w:rsidP="007430AC">
      <w:pPr>
        <w:pStyle w:val="BodyText"/>
      </w:pPr>
      <w:r w:rsidRPr="005E0173">
        <w:t>In April 2016, the International Standard ISO</w:t>
      </w:r>
      <w:r w:rsidRPr="005E0173">
        <w:rPr>
          <w:rFonts w:cs="Arial"/>
        </w:rPr>
        <w:t> </w:t>
      </w:r>
      <w:r w:rsidRPr="005E0173">
        <w:t xml:space="preserve">80369-6:2016, </w:t>
      </w:r>
      <w:r w:rsidRPr="00011CF0">
        <w:rPr>
          <w:rStyle w:val="Emphasis"/>
        </w:rPr>
        <w:t xml:space="preserve">Small bore connectors for liquids and gases in healthcare applications – Part 6: Connectors for </w:t>
      </w:r>
      <w:proofErr w:type="spellStart"/>
      <w:r w:rsidRPr="00011CF0">
        <w:rPr>
          <w:rStyle w:val="Emphasis"/>
        </w:rPr>
        <w:t>neuraxial</w:t>
      </w:r>
      <w:proofErr w:type="spellEnd"/>
      <w:r w:rsidRPr="00011CF0">
        <w:rPr>
          <w:rStyle w:val="Emphasis"/>
        </w:rPr>
        <w:t xml:space="preserve"> applications</w:t>
      </w:r>
      <w:r w:rsidRPr="005E0173">
        <w:t>, was published, specifying the design and dimensions of small-bore connectors intended for all neural applications. The standard aims to reduce the injection of erroneous substances via intrathecal, epidural and other neural routes.</w:t>
      </w:r>
    </w:p>
    <w:p w14:paraId="4E6DB0F9" w14:textId="77777777" w:rsidR="005E0173" w:rsidRPr="005E0173" w:rsidRDefault="005E0173" w:rsidP="007430AC">
      <w:pPr>
        <w:pStyle w:val="BodyText"/>
      </w:pPr>
      <w:r w:rsidRPr="005E0173">
        <w:t>State and territory health departments recommended that the Commission work with clinical groups to assess the standard’s fitness for purpose in Australia, and provide advice on its uptake and use in Australian hospitals.</w:t>
      </w:r>
    </w:p>
    <w:p w14:paraId="612B1307" w14:textId="77777777" w:rsidR="005E0173" w:rsidRDefault="005E0173" w:rsidP="007430AC">
      <w:pPr>
        <w:pStyle w:val="BodyText"/>
      </w:pPr>
      <w:r w:rsidRPr="005E0173">
        <w:t>The Australian and New Zealand College of Anaesthetists (ANZCA) and the Commission convened a roundtable on ISO 80369-6:2016 in August 2016. It was attended by representatives from peak clinical groups in Australia and endorsed ISO 80369-6:2016 as fit for purpose in Australia.</w:t>
      </w:r>
    </w:p>
    <w:p w14:paraId="4C85D3D3" w14:textId="77777777" w:rsidR="005E0173" w:rsidRDefault="005E0173" w:rsidP="007430AC">
      <w:pPr>
        <w:pStyle w:val="BodyText"/>
      </w:pPr>
    </w:p>
    <w:p w14:paraId="451C2F27" w14:textId="77777777" w:rsidR="005E0173" w:rsidRDefault="005E0173" w:rsidP="005E0173">
      <w:pPr>
        <w:sectPr w:rsidR="005E0173" w:rsidSect="005F1364">
          <w:type w:val="continuous"/>
          <w:pgSz w:w="9979" w:h="14175" w:code="34"/>
          <w:pgMar w:top="1418" w:right="680" w:bottom="567" w:left="1021" w:header="567" w:footer="397" w:gutter="0"/>
          <w:cols w:num="2" w:space="340"/>
          <w:docGrid w:linePitch="360"/>
        </w:sectPr>
      </w:pPr>
    </w:p>
    <w:p w14:paraId="6549BB6A" w14:textId="77777777" w:rsidR="005E0173" w:rsidRDefault="005E0173" w:rsidP="007430AC">
      <w:pPr>
        <w:pStyle w:val="BodyText"/>
      </w:pPr>
      <w:r>
        <w:lastRenderedPageBreak/>
        <w:t>ANZCA and the Commission developed a joint position statement supporting ISO</w:t>
      </w:r>
      <w:r>
        <w:rPr>
          <w:rFonts w:cs="Arial"/>
        </w:rPr>
        <w:t> </w:t>
      </w:r>
      <w:r>
        <w:t xml:space="preserve">80369-6:2016 as part of a global initiative to improve patient safety through reducing erroneous epidural and intrathecal injections. The statement recommends that devices incorporating small-bore connectors be classified and regulated in accordance with ISO 80369-6:2016, and specifies the planning required to implement </w:t>
      </w:r>
      <w:proofErr w:type="spellStart"/>
      <w:r>
        <w:t>neuraxial</w:t>
      </w:r>
      <w:proofErr w:type="spellEnd"/>
      <w:r>
        <w:t xml:space="preserve"> connectors</w:t>
      </w:r>
      <w:r>
        <w:rPr>
          <w:rFonts w:cs="Arial"/>
        </w:rPr>
        <w:t> </w:t>
      </w:r>
      <w:r>
        <w:t>safely.</w:t>
      </w:r>
    </w:p>
    <w:p w14:paraId="58A7BFF3" w14:textId="77777777" w:rsidR="005E0173" w:rsidRDefault="005E0173" w:rsidP="007430AC">
      <w:pPr>
        <w:pStyle w:val="BodyText"/>
      </w:pPr>
      <w:r>
        <w:t>The statement was issued to public and private sector health facilities and relevant professional bodies in June 2017.</w:t>
      </w:r>
    </w:p>
    <w:tbl>
      <w:tblPr>
        <w:tblW w:w="3949" w:type="dxa"/>
        <w:tblInd w:w="-8" w:type="dxa"/>
        <w:tblLayout w:type="fixed"/>
        <w:tblCellMar>
          <w:left w:w="0" w:type="dxa"/>
          <w:right w:w="0" w:type="dxa"/>
        </w:tblCellMar>
        <w:tblLook w:val="0000" w:firstRow="0" w:lastRow="0" w:firstColumn="0" w:lastColumn="0" w:noHBand="0" w:noVBand="0"/>
        <w:tblCaption w:val="Highlights pullout box"/>
      </w:tblPr>
      <w:tblGrid>
        <w:gridCol w:w="3949"/>
      </w:tblGrid>
      <w:tr w:rsidR="005E0173" w:rsidRPr="005E0173" w14:paraId="45058AAF" w14:textId="77777777" w:rsidTr="00D87CD0">
        <w:trPr>
          <w:trHeight w:val="60"/>
        </w:trPr>
        <w:tc>
          <w:tcPr>
            <w:tcW w:w="3949" w:type="dxa"/>
            <w:tcBorders>
              <w:top w:val="single" w:sz="36" w:space="0" w:color="10897C"/>
              <w:bottom w:val="single" w:sz="4" w:space="0" w:color="10897C"/>
            </w:tcBorders>
            <w:tcMar>
              <w:top w:w="142" w:type="dxa"/>
              <w:left w:w="142" w:type="dxa"/>
              <w:bottom w:w="142" w:type="dxa"/>
              <w:right w:w="142" w:type="dxa"/>
            </w:tcMar>
          </w:tcPr>
          <w:p w14:paraId="367BC371" w14:textId="77777777" w:rsidR="005E0173" w:rsidRPr="005E0173" w:rsidRDefault="005E0173" w:rsidP="00E3219B">
            <w:pPr>
              <w:pStyle w:val="Tableheading2"/>
            </w:pPr>
            <w:r>
              <w:lastRenderedPageBreak/>
              <w:br w:type="column"/>
            </w:r>
            <w:r w:rsidRPr="005E0173">
              <w:t>Highlights</w:t>
            </w:r>
          </w:p>
        </w:tc>
      </w:tr>
      <w:tr w:rsidR="005E0173" w:rsidRPr="005E0173" w14:paraId="37F289E9" w14:textId="77777777" w:rsidTr="00D87CD0">
        <w:trPr>
          <w:trHeight w:val="60"/>
        </w:trPr>
        <w:tc>
          <w:tcPr>
            <w:tcW w:w="3949" w:type="dxa"/>
            <w:tcBorders>
              <w:top w:val="single" w:sz="4" w:space="0" w:color="10897C"/>
              <w:bottom w:val="single" w:sz="16" w:space="0" w:color="10897C"/>
            </w:tcBorders>
            <w:shd w:val="clear" w:color="auto" w:fill="F1F0EE" w:themeFill="accent4"/>
            <w:tcMar>
              <w:top w:w="142" w:type="dxa"/>
              <w:left w:w="142" w:type="dxa"/>
              <w:bottom w:w="142" w:type="dxa"/>
              <w:right w:w="142" w:type="dxa"/>
            </w:tcMar>
          </w:tcPr>
          <w:p w14:paraId="00A6441A" w14:textId="77777777" w:rsidR="005E0173" w:rsidRPr="005E0173" w:rsidRDefault="005E0173" w:rsidP="00F5152E">
            <w:pPr>
              <w:pStyle w:val="Tablebullets"/>
            </w:pPr>
            <w:r w:rsidRPr="005E0173">
              <w:t>Established a clearing house portal for medication alerts and medical device safety notifications</w:t>
            </w:r>
          </w:p>
          <w:p w14:paraId="058F5BD6" w14:textId="77777777" w:rsidR="005E0173" w:rsidRPr="005E0173" w:rsidRDefault="005E0173" w:rsidP="00F5152E">
            <w:pPr>
              <w:pStyle w:val="Tablebullets"/>
            </w:pPr>
            <w:r w:rsidRPr="005E0173">
              <w:t>Held a roundtable on small-bore connectors for liquids and gases with ANZCA</w:t>
            </w:r>
          </w:p>
          <w:p w14:paraId="67C2D1AB" w14:textId="77777777" w:rsidR="005E0173" w:rsidRPr="005E0173" w:rsidRDefault="005E0173" w:rsidP="00F5152E">
            <w:pPr>
              <w:pStyle w:val="Tablebullets"/>
            </w:pPr>
            <w:r w:rsidRPr="005E0173">
              <w:t xml:space="preserve">Released a joint position statement with ANZCA on safe use of </w:t>
            </w:r>
            <w:proofErr w:type="spellStart"/>
            <w:r w:rsidRPr="005E0173">
              <w:t>neuraxial</w:t>
            </w:r>
            <w:proofErr w:type="spellEnd"/>
            <w:r w:rsidRPr="005E0173">
              <w:t> connectors.</w:t>
            </w:r>
          </w:p>
        </w:tc>
      </w:tr>
    </w:tbl>
    <w:p w14:paraId="6EA182BD" w14:textId="77777777" w:rsidR="005E0173" w:rsidRDefault="005E0173" w:rsidP="005E0173">
      <w:pPr>
        <w:sectPr w:rsidR="005E0173" w:rsidSect="005F1364">
          <w:headerReference w:type="even" r:id="rId46"/>
          <w:pgSz w:w="9979" w:h="14175" w:code="34"/>
          <w:pgMar w:top="1418" w:right="680" w:bottom="851" w:left="1021" w:header="567" w:footer="397" w:gutter="0"/>
          <w:cols w:num="2" w:space="708"/>
          <w:docGrid w:linePitch="360"/>
        </w:sectPr>
      </w:pPr>
    </w:p>
    <w:p w14:paraId="4521775C" w14:textId="77777777" w:rsidR="005E0173" w:rsidRDefault="005E0173" w:rsidP="007430AC">
      <w:pPr>
        <w:pStyle w:val="BodyText"/>
      </w:pPr>
      <w:r>
        <w:lastRenderedPageBreak/>
        <w:br w:type="page"/>
      </w:r>
    </w:p>
    <w:p w14:paraId="2FECD113" w14:textId="77777777" w:rsidR="005E0173" w:rsidRDefault="005E0173" w:rsidP="003123F3">
      <w:pPr>
        <w:pStyle w:val="Heading1"/>
      </w:pPr>
      <w:r>
        <w:lastRenderedPageBreak/>
        <w:t>Priority 2: Partnering with patients, consumers</w:t>
      </w:r>
      <w:r w:rsidR="00011CF0">
        <w:t> </w:t>
      </w:r>
      <w:r>
        <w:t>and communities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F0EE" w:themeFill="accent4"/>
        <w:tblCellMar>
          <w:top w:w="284" w:type="dxa"/>
          <w:left w:w="284" w:type="dxa"/>
          <w:bottom w:w="284" w:type="dxa"/>
          <w:right w:w="284" w:type="dxa"/>
        </w:tblCellMar>
        <w:tblLook w:val="04A0" w:firstRow="1" w:lastRow="0" w:firstColumn="1" w:lastColumn="0" w:noHBand="0" w:noVBand="1"/>
        <w:tblCaption w:val="Priority 2: Partnering with patients, consumers and communities"/>
        <w:tblDescription w:val="Introductory text"/>
      </w:tblPr>
      <w:tblGrid>
        <w:gridCol w:w="8268"/>
      </w:tblGrid>
      <w:tr w:rsidR="007430AC" w14:paraId="297AB9B9" w14:textId="77777777" w:rsidTr="007430AC">
        <w:tc>
          <w:tcPr>
            <w:tcW w:w="8268" w:type="dxa"/>
            <w:shd w:val="clear" w:color="auto" w:fill="F1F0EE" w:themeFill="accent4"/>
          </w:tcPr>
          <w:p w14:paraId="2B1D98C6" w14:textId="77777777" w:rsidR="007430AC" w:rsidRDefault="007430AC" w:rsidP="007430AC">
            <w:pPr>
              <w:pStyle w:val="IntroCopy0"/>
            </w:pPr>
            <w:r w:rsidRPr="007430AC">
              <w:t>The aim of this priority area is to ensure the health system enables patients, consumers and members of the com-munity to participate as partners with their health professionals in all aspects of health care</w:t>
            </w:r>
          </w:p>
        </w:tc>
      </w:tr>
    </w:tbl>
    <w:p w14:paraId="6433C738" w14:textId="77777777" w:rsidR="005E0173" w:rsidRDefault="005E0173" w:rsidP="007430AC">
      <w:pPr>
        <w:pStyle w:val="BodyText"/>
      </w:pPr>
    </w:p>
    <w:p w14:paraId="316EA774" w14:textId="77777777" w:rsidR="005E0173" w:rsidRDefault="005E0173" w:rsidP="005E0173">
      <w:pPr>
        <w:sectPr w:rsidR="005E0173" w:rsidSect="005F1364">
          <w:type w:val="continuous"/>
          <w:pgSz w:w="9979" w:h="14175" w:code="34"/>
          <w:pgMar w:top="1418" w:right="680" w:bottom="851" w:left="1021" w:header="567" w:footer="397" w:gutter="0"/>
          <w:cols w:space="708"/>
          <w:docGrid w:linePitch="360"/>
        </w:sectPr>
      </w:pPr>
    </w:p>
    <w:p w14:paraId="7D1AED7F" w14:textId="77777777" w:rsidR="005E0173" w:rsidRPr="005E0173" w:rsidRDefault="005E0173" w:rsidP="007430AC">
      <w:pPr>
        <w:pStyle w:val="Heading2"/>
      </w:pPr>
      <w:r w:rsidRPr="005E0173">
        <w:lastRenderedPageBreak/>
        <w:t>Person-centred healthcare</w:t>
      </w:r>
      <w:r w:rsidR="001B2816">
        <w:t> </w:t>
      </w:r>
      <w:r w:rsidRPr="005E0173">
        <w:t>systems</w:t>
      </w:r>
    </w:p>
    <w:p w14:paraId="0D16119C" w14:textId="77777777" w:rsidR="005E0173" w:rsidRPr="005E0173" w:rsidRDefault="005E0173" w:rsidP="007430AC">
      <w:pPr>
        <w:pStyle w:val="BodyText"/>
      </w:pPr>
      <w:r w:rsidRPr="005E0173">
        <w:t>There is good evidence to show that using person-centred approaches to care can lead to better health outcomes, better patient experiences and greater efficiency. Delivering person-centred care allows consumers to have more control over treatment decisions, giving them a greater sense of ownership of their</w:t>
      </w:r>
      <w:r w:rsidRPr="005E0173">
        <w:rPr>
          <w:rFonts w:cs="Arial"/>
        </w:rPr>
        <w:t> </w:t>
      </w:r>
      <w:r w:rsidRPr="005E0173">
        <w:t xml:space="preserve">health. </w:t>
      </w:r>
    </w:p>
    <w:p w14:paraId="22AE3383" w14:textId="77777777" w:rsidR="005E0173" w:rsidRPr="005E0173" w:rsidRDefault="005E0173" w:rsidP="007430AC">
      <w:pPr>
        <w:pStyle w:val="BodyText"/>
      </w:pPr>
      <w:r w:rsidRPr="005E0173">
        <w:t xml:space="preserve">The Commission is committed to supporting a health system in which patients, consumers and members of the community are treated as partners in all aspects of healthcare planning, design, delivery and evaluation. The Commission has been examining different ways to support the shift towards a more consistently person-centred healthcare system. </w:t>
      </w:r>
    </w:p>
    <w:p w14:paraId="0FFAF804" w14:textId="77777777" w:rsidR="005E0173" w:rsidRPr="005E0173" w:rsidRDefault="005E0173" w:rsidP="007430AC">
      <w:pPr>
        <w:pStyle w:val="BodyText"/>
      </w:pPr>
      <w:r w:rsidRPr="005E0173">
        <w:t>In 2016–17, the Commission integrated new requirements into the NSQHS Standards (2nd</w:t>
      </w:r>
      <w:r w:rsidRPr="005E0173">
        <w:rPr>
          <w:rFonts w:cs="Arial"/>
        </w:rPr>
        <w:t> </w:t>
      </w:r>
      <w:r w:rsidRPr="005E0173">
        <w:t>ed.) on partnering with consumers, both in governance and in care delivery. This</w:t>
      </w:r>
      <w:r w:rsidRPr="005E0173">
        <w:rPr>
          <w:rFonts w:cs="Arial"/>
        </w:rPr>
        <w:t> </w:t>
      </w:r>
      <w:r w:rsidRPr="005E0173">
        <w:t>involved developing a range of new actions and integrating person-centred principles across the NSQHS Standards (2nd ed.), with a particular focus on the Partnering with Consumers, Clinical Governance and Comprehensive Care</w:t>
      </w:r>
      <w:r w:rsidRPr="005E0173">
        <w:rPr>
          <w:rFonts w:cs="Arial"/>
        </w:rPr>
        <w:t> </w:t>
      </w:r>
      <w:r w:rsidRPr="005E0173">
        <w:t xml:space="preserve">standards. </w:t>
      </w:r>
    </w:p>
    <w:p w14:paraId="2A09799C" w14:textId="77777777" w:rsidR="005E0173" w:rsidRPr="005E0173" w:rsidRDefault="007430AC" w:rsidP="00D87CD0">
      <w:pPr>
        <w:tabs>
          <w:tab w:val="left" w:pos="283"/>
          <w:tab w:val="left" w:pos="567"/>
          <w:tab w:val="left" w:pos="850"/>
          <w:tab w:val="left" w:pos="1134"/>
          <w:tab w:val="left" w:pos="1417"/>
          <w:tab w:val="left" w:pos="1701"/>
          <w:tab w:val="left" w:pos="1984"/>
          <w:tab w:val="left" w:pos="2268"/>
        </w:tabs>
        <w:suppressAutoHyphens/>
        <w:autoSpaceDE w:val="0"/>
        <w:autoSpaceDN w:val="0"/>
        <w:adjustRightInd w:val="0"/>
        <w:spacing w:after="240" w:line="240" w:lineRule="atLeast"/>
        <w:textAlignment w:val="center"/>
      </w:pPr>
      <w:r w:rsidRPr="00C505AD">
        <w:br w:type="column"/>
      </w:r>
      <w:r w:rsidR="005E0173" w:rsidRPr="00011CF0">
        <w:lastRenderedPageBreak/>
        <w:t xml:space="preserve">The Commission also started work on identifying </w:t>
      </w:r>
      <w:r w:rsidR="005E0173" w:rsidRPr="005E0173">
        <w:t>the common attributes or characteristics of high-performing person</w:t>
      </w:r>
      <w:r w:rsidR="00C36315">
        <w:t>-</w:t>
      </w:r>
      <w:r w:rsidR="005E0173" w:rsidRPr="005E0173">
        <w:t>centred healthcare organisations. In</w:t>
      </w:r>
      <w:r w:rsidR="005E0173" w:rsidRPr="005E0173">
        <w:rPr>
          <w:rFonts w:cs="Arial"/>
        </w:rPr>
        <w:t> </w:t>
      </w:r>
      <w:r w:rsidR="005E0173" w:rsidRPr="005E0173">
        <w:t>2017, it</w:t>
      </w:r>
      <w:r w:rsidR="005E0173" w:rsidRPr="005E0173">
        <w:rPr>
          <w:rFonts w:cs="Arial"/>
        </w:rPr>
        <w:t> </w:t>
      </w:r>
      <w:r w:rsidR="005E0173" w:rsidRPr="005E0173">
        <w:t>conducted a series of interviews and site visits with high-performing international and Australian health service organisations, together with a literature review, to help identify these attributes and the actions that can be taken to foster them. In 2017–18, the Commission will use this work to develop guidance for health service organisations on fostering person</w:t>
      </w:r>
      <w:r w:rsidR="00C36315">
        <w:t>-</w:t>
      </w:r>
      <w:r w:rsidR="005E0173" w:rsidRPr="005E0173">
        <w:t xml:space="preserve">centred care. </w:t>
      </w:r>
    </w:p>
    <w:tbl>
      <w:tblPr>
        <w:tblW w:w="0" w:type="auto"/>
        <w:tblInd w:w="-8" w:type="dxa"/>
        <w:tblLayout w:type="fixed"/>
        <w:tblCellMar>
          <w:left w:w="0" w:type="dxa"/>
          <w:right w:w="0" w:type="dxa"/>
        </w:tblCellMar>
        <w:tblLook w:val="0000" w:firstRow="0" w:lastRow="0" w:firstColumn="0" w:lastColumn="0" w:noHBand="0" w:noVBand="0"/>
        <w:tblCaption w:val="Highlights pullout box"/>
      </w:tblPr>
      <w:tblGrid>
        <w:gridCol w:w="3949"/>
      </w:tblGrid>
      <w:tr w:rsidR="005E0173" w:rsidRPr="005E0173" w14:paraId="1E34AB91" w14:textId="77777777" w:rsidTr="00D87CD0">
        <w:trPr>
          <w:trHeight w:val="60"/>
        </w:trPr>
        <w:tc>
          <w:tcPr>
            <w:tcW w:w="3949" w:type="dxa"/>
            <w:tcBorders>
              <w:top w:val="single" w:sz="36" w:space="0" w:color="10897C"/>
              <w:bottom w:val="single" w:sz="4" w:space="0" w:color="10897C"/>
            </w:tcBorders>
            <w:tcMar>
              <w:top w:w="142" w:type="dxa"/>
              <w:left w:w="142" w:type="dxa"/>
              <w:bottom w:w="142" w:type="dxa"/>
              <w:right w:w="142" w:type="dxa"/>
            </w:tcMar>
          </w:tcPr>
          <w:p w14:paraId="488B2C70" w14:textId="77777777" w:rsidR="005E0173" w:rsidRPr="005E0173" w:rsidRDefault="005E0173" w:rsidP="00E3219B">
            <w:pPr>
              <w:pStyle w:val="Tableheading2"/>
            </w:pPr>
            <w:r w:rsidRPr="005E0173">
              <w:t>Highlights</w:t>
            </w:r>
          </w:p>
        </w:tc>
      </w:tr>
      <w:tr w:rsidR="005E0173" w:rsidRPr="005E0173" w14:paraId="44314F85" w14:textId="77777777" w:rsidTr="00D87CD0">
        <w:trPr>
          <w:trHeight w:val="60"/>
        </w:trPr>
        <w:tc>
          <w:tcPr>
            <w:tcW w:w="3949" w:type="dxa"/>
            <w:tcBorders>
              <w:top w:val="single" w:sz="4" w:space="0" w:color="10897C"/>
              <w:bottom w:val="single" w:sz="16" w:space="0" w:color="10897C"/>
            </w:tcBorders>
            <w:shd w:val="clear" w:color="auto" w:fill="F1F0EE" w:themeFill="accent4"/>
            <w:tcMar>
              <w:top w:w="142" w:type="dxa"/>
              <w:left w:w="142" w:type="dxa"/>
              <w:bottom w:w="142" w:type="dxa"/>
              <w:right w:w="142" w:type="dxa"/>
            </w:tcMar>
          </w:tcPr>
          <w:p w14:paraId="65A69C36" w14:textId="77777777" w:rsidR="005E0173" w:rsidRPr="005E0173" w:rsidRDefault="005E0173" w:rsidP="00F5152E">
            <w:pPr>
              <w:pStyle w:val="Tablebullets"/>
            </w:pPr>
            <w:r w:rsidRPr="005E0173">
              <w:t>Integrated person-centred actions and principles into the NSQHS Standards (2nd ed.)</w:t>
            </w:r>
          </w:p>
          <w:p w14:paraId="43C3A8D8" w14:textId="77777777" w:rsidR="005E0173" w:rsidRPr="005E0173" w:rsidRDefault="005E0173" w:rsidP="00F5152E">
            <w:pPr>
              <w:pStyle w:val="Tablebullets"/>
            </w:pPr>
            <w:r w:rsidRPr="005E0173">
              <w:t>Undertook interviews with Australian and international health service organisations, together with a literature review, to identify the key attributes of high-performing person-centred healthcare organisations.</w:t>
            </w:r>
          </w:p>
        </w:tc>
      </w:tr>
    </w:tbl>
    <w:p w14:paraId="32C46E1E" w14:textId="77777777" w:rsidR="005E0173" w:rsidRDefault="005E0173" w:rsidP="005E0173"/>
    <w:p w14:paraId="34C155B5" w14:textId="77777777" w:rsidR="00B32099" w:rsidRDefault="00B32099" w:rsidP="005E0173">
      <w:pPr>
        <w:sectPr w:rsidR="00B32099" w:rsidSect="005F1364">
          <w:type w:val="continuous"/>
          <w:pgSz w:w="9979" w:h="14175" w:code="34"/>
          <w:pgMar w:top="1418" w:right="680" w:bottom="851" w:left="1021" w:header="567" w:footer="397" w:gutter="0"/>
          <w:cols w:num="2" w:space="708"/>
          <w:docGrid w:linePitch="360"/>
        </w:sectPr>
      </w:pPr>
    </w:p>
    <w:p w14:paraId="7801CE4D" w14:textId="77777777" w:rsidR="00897446" w:rsidRDefault="00897446" w:rsidP="007430AC">
      <w:pPr>
        <w:pStyle w:val="Heading2"/>
      </w:pPr>
      <w:r>
        <w:lastRenderedPageBreak/>
        <w:t>Supporting consumers to be partners in their own care</w:t>
      </w:r>
    </w:p>
    <w:p w14:paraId="78546019" w14:textId="77777777" w:rsidR="00897446" w:rsidRDefault="00897446" w:rsidP="007430AC">
      <w:pPr>
        <w:pStyle w:val="BodyText"/>
      </w:pPr>
      <w:r>
        <w:t>Consumers are increasingly interested in acting as, and are being relied upon to act as, partners in the decision-making and delivery of their health care. The shift in community expectations about the way health care is delivered, together with the increasing proportion of people experiencing complex and chronic health conditions that need to be managed in the community, has strengthened the argument to better involve, activate and empower consumers to be partners in their own care.</w:t>
      </w:r>
    </w:p>
    <w:p w14:paraId="57F7904C" w14:textId="77777777" w:rsidR="00897446" w:rsidRDefault="00897446" w:rsidP="007430AC">
      <w:pPr>
        <w:pStyle w:val="BodyText"/>
      </w:pPr>
      <w:r>
        <w:t xml:space="preserve">Supporting consumers to be partners in their own care involves providing them with </w:t>
      </w:r>
      <w:r w:rsidR="00C505AD">
        <w:br/>
      </w:r>
      <w:r>
        <w:t>high</w:t>
      </w:r>
      <w:r w:rsidR="00C505AD" w:rsidRPr="00C505AD">
        <w:rPr>
          <w:rFonts w:cs="Arial"/>
        </w:rPr>
        <w:t>-</w:t>
      </w:r>
      <w:r>
        <w:t>quality information about health and care, about the way the health system operates, and</w:t>
      </w:r>
      <w:r>
        <w:rPr>
          <w:rFonts w:cs="Arial"/>
        </w:rPr>
        <w:t> </w:t>
      </w:r>
      <w:r>
        <w:t xml:space="preserve">about safety and quality. </w:t>
      </w:r>
    </w:p>
    <w:p w14:paraId="4F679F21" w14:textId="77777777" w:rsidR="00897446" w:rsidRDefault="00897446" w:rsidP="007430AC">
      <w:pPr>
        <w:pStyle w:val="BodyText"/>
      </w:pPr>
      <w:r>
        <w:t>In 2016–17, the Commission published two reports exploring consumers’ needs and preferences for health information. The first report outlined the peer-reviewed literature in this area. The second report described the findings of a series of workshops and interviews with Aboriginal and Torres Strait Islander consumers, and separately with consumers from culturally and linguistically diverse backgrounds, on the types of health information that were important to them, and how they were best delivered. These reports will help the Commission develop guidance for health service organisations in 2017–18 on preparing health information for consumers.</w:t>
      </w:r>
    </w:p>
    <w:p w14:paraId="5550A7ED" w14:textId="77777777" w:rsidR="005E0173" w:rsidRDefault="00897446" w:rsidP="007430AC">
      <w:pPr>
        <w:pStyle w:val="BodyText"/>
      </w:pPr>
      <w:r>
        <w:t xml:space="preserve">The Commission also conducted extensive consultation and user testing for a consumer resource titled </w:t>
      </w:r>
      <w:r w:rsidRPr="00C62431">
        <w:rPr>
          <w:i/>
        </w:rPr>
        <w:t>Top tips for safe health care</w:t>
      </w:r>
      <w:r>
        <w:t xml:space="preserve">. Released in April 2017, </w:t>
      </w:r>
      <w:r w:rsidRPr="00C62431">
        <w:rPr>
          <w:i/>
        </w:rPr>
        <w:t>Top Tips for Safe Health Care</w:t>
      </w:r>
      <w:r>
        <w:t xml:space="preserve"> provides information about some of the key things people should consider when thinking about their health care or interacting with the healthcare system. It provides tips, links to trusted health information sources and information about important safety issues.</w:t>
      </w:r>
    </w:p>
    <w:p w14:paraId="1247215E" w14:textId="77777777" w:rsidR="00897446" w:rsidRDefault="00897446" w:rsidP="007430AC">
      <w:pPr>
        <w:pStyle w:val="BodyText"/>
      </w:pPr>
    </w:p>
    <w:tbl>
      <w:tblPr>
        <w:tblW w:w="3949" w:type="dxa"/>
        <w:tblInd w:w="-8" w:type="dxa"/>
        <w:tblLayout w:type="fixed"/>
        <w:tblCellMar>
          <w:left w:w="0" w:type="dxa"/>
          <w:right w:w="0" w:type="dxa"/>
        </w:tblCellMar>
        <w:tblLook w:val="0000" w:firstRow="0" w:lastRow="0" w:firstColumn="0" w:lastColumn="0" w:noHBand="0" w:noVBand="0"/>
        <w:tblCaption w:val="Highlights pullout box"/>
      </w:tblPr>
      <w:tblGrid>
        <w:gridCol w:w="3949"/>
      </w:tblGrid>
      <w:tr w:rsidR="00897446" w:rsidRPr="00897446" w14:paraId="69EE99AA" w14:textId="77777777" w:rsidTr="00D87CD0">
        <w:trPr>
          <w:trHeight w:val="60"/>
        </w:trPr>
        <w:tc>
          <w:tcPr>
            <w:tcW w:w="3949" w:type="dxa"/>
            <w:tcBorders>
              <w:top w:val="single" w:sz="36" w:space="0" w:color="10897C"/>
              <w:bottom w:val="single" w:sz="4" w:space="0" w:color="10897C"/>
            </w:tcBorders>
            <w:tcMar>
              <w:top w:w="142" w:type="dxa"/>
              <w:left w:w="142" w:type="dxa"/>
              <w:bottom w:w="142" w:type="dxa"/>
              <w:right w:w="142" w:type="dxa"/>
            </w:tcMar>
          </w:tcPr>
          <w:p w14:paraId="4DD7C6B3" w14:textId="77777777" w:rsidR="00897446" w:rsidRPr="00897446" w:rsidRDefault="00897446" w:rsidP="00E3219B">
            <w:pPr>
              <w:pStyle w:val="Tableheading2"/>
            </w:pPr>
            <w:r>
              <w:lastRenderedPageBreak/>
              <w:br w:type="column"/>
            </w:r>
            <w:r w:rsidRPr="00897446">
              <w:t>Highlights</w:t>
            </w:r>
          </w:p>
        </w:tc>
      </w:tr>
      <w:tr w:rsidR="00897446" w:rsidRPr="00897446" w14:paraId="4D22A589" w14:textId="77777777" w:rsidTr="00D87CD0">
        <w:trPr>
          <w:trHeight w:val="60"/>
        </w:trPr>
        <w:tc>
          <w:tcPr>
            <w:tcW w:w="3949" w:type="dxa"/>
            <w:tcBorders>
              <w:top w:val="single" w:sz="4" w:space="0" w:color="10897C"/>
              <w:bottom w:val="single" w:sz="16" w:space="0" w:color="10897C"/>
            </w:tcBorders>
            <w:shd w:val="clear" w:color="auto" w:fill="F1F0EE" w:themeFill="accent4"/>
            <w:tcMar>
              <w:top w:w="142" w:type="dxa"/>
              <w:left w:w="142" w:type="dxa"/>
              <w:bottom w:w="142" w:type="dxa"/>
              <w:right w:w="142" w:type="dxa"/>
            </w:tcMar>
          </w:tcPr>
          <w:p w14:paraId="018A0A65" w14:textId="77777777" w:rsidR="00897446" w:rsidRPr="00897446" w:rsidRDefault="00897446" w:rsidP="00F5152E">
            <w:pPr>
              <w:pStyle w:val="Tablebullets"/>
            </w:pPr>
            <w:r w:rsidRPr="00897446">
              <w:t>Published a literature review on consumers’ needs and preferences in relation to health information</w:t>
            </w:r>
          </w:p>
          <w:p w14:paraId="27BD6CEE" w14:textId="77777777" w:rsidR="00897446" w:rsidRPr="00897446" w:rsidRDefault="00897446" w:rsidP="00F5152E">
            <w:pPr>
              <w:pStyle w:val="Tablebullets"/>
            </w:pPr>
            <w:r w:rsidRPr="00897446">
              <w:t>Published a report on the findings of research about the health information needs and preferences of Aboriginal and Torres Strait Islander consumers as well as consumers from culturally and linguistic diverse backgrounds</w:t>
            </w:r>
          </w:p>
          <w:p w14:paraId="2908AEB2" w14:textId="77777777" w:rsidR="00897446" w:rsidRPr="00897446" w:rsidRDefault="00897446" w:rsidP="00F5152E">
            <w:pPr>
              <w:pStyle w:val="Tablebullets"/>
            </w:pPr>
            <w:r w:rsidRPr="00897446">
              <w:t xml:space="preserve">Released the </w:t>
            </w:r>
            <w:r w:rsidRPr="00897446">
              <w:rPr>
                <w:i/>
                <w:iCs/>
              </w:rPr>
              <w:t>Top Tips for Safe Health Care</w:t>
            </w:r>
            <w:r w:rsidRPr="00897446">
              <w:t xml:space="preserve"> resource for consumers.</w:t>
            </w:r>
          </w:p>
        </w:tc>
      </w:tr>
    </w:tbl>
    <w:p w14:paraId="45356A2C" w14:textId="77777777" w:rsidR="00897446" w:rsidRDefault="00897446" w:rsidP="0015139A">
      <w:pPr>
        <w:pStyle w:val="Heading2"/>
        <w:spacing w:before="240"/>
      </w:pPr>
      <w:r>
        <w:t>Shared decision making and health information</w:t>
      </w:r>
    </w:p>
    <w:p w14:paraId="2D3703A2" w14:textId="77777777" w:rsidR="00897446" w:rsidRPr="007430AC" w:rsidRDefault="00897446" w:rsidP="007430AC">
      <w:pPr>
        <w:pStyle w:val="BodyText"/>
      </w:pPr>
      <w:r w:rsidRPr="007430AC">
        <w:t>Shared decision making is a core part of enabling meaningful partnerships with consumers in their own care. It is a way of discussing and planning care that brings the consumer’s values, goals and concerns together with the best available evidence about treatment options, including benefits, risks and uncertainties. Shared decision making involves clinicians and consumers putting all considerations on the table, and making decisions about healthcare management together.</w:t>
      </w:r>
    </w:p>
    <w:p w14:paraId="32933C0A" w14:textId="77777777" w:rsidR="00897446" w:rsidRPr="007430AC" w:rsidRDefault="00897446" w:rsidP="007430AC">
      <w:pPr>
        <w:pStyle w:val="BodyText"/>
      </w:pPr>
      <w:r w:rsidRPr="007430AC">
        <w:t>In late 2016, the Commission finalised and released three patient decision aids on the use of antibiotics for sore throats, middle ear infections and acute bronchitis. Clinicians and consumers can use these aids during a consultation to weigh up the risks and benefits of using antibiotics and make a decision together about what is best for them. In addition to these tools, the Commission has started work on developing decision support tools for osteoarthritis of the knee and heavy menstrual bleeding that will support implementation of the clinical care standards on these topics.</w:t>
      </w:r>
      <w:r w:rsidRPr="007430AC">
        <w:br w:type="page"/>
      </w:r>
    </w:p>
    <w:p w14:paraId="55730B79" w14:textId="77777777" w:rsidR="00897446" w:rsidRDefault="00897446" w:rsidP="007430AC">
      <w:pPr>
        <w:pStyle w:val="BodyText"/>
      </w:pPr>
      <w:r>
        <w:lastRenderedPageBreak/>
        <w:t>The Commission has, in partnership with the RACGP, completed an online education module on risk communication and shared decision making for general practitioners. The</w:t>
      </w:r>
      <w:r>
        <w:rPr>
          <w:rFonts w:cs="Arial"/>
        </w:rPr>
        <w:t> </w:t>
      </w:r>
      <w:r>
        <w:t>model has also been adapted for use by four additional</w:t>
      </w:r>
      <w:r>
        <w:rPr>
          <w:rFonts w:cs="Arial"/>
        </w:rPr>
        <w:t> </w:t>
      </w:r>
      <w:r>
        <w:t>colleges.</w:t>
      </w:r>
    </w:p>
    <w:p w14:paraId="398BF181" w14:textId="77777777" w:rsidR="00897446" w:rsidRDefault="00897446" w:rsidP="0015139A">
      <w:pPr>
        <w:pStyle w:val="BodyText"/>
        <w:spacing w:after="240"/>
      </w:pPr>
      <w:r>
        <w:t>The Commission also developed and released, in partnership with Healthdirect Australia, an online tool for consumers called the Question Builder. This tool, which is freely available on the Healthdirect website, helps consumers prepare for a doctor’s appointment by building a list of questions they could ask their doctor, and considering the questions their doctor might ask them.</w:t>
      </w:r>
    </w:p>
    <w:tbl>
      <w:tblPr>
        <w:tblW w:w="3949" w:type="dxa"/>
        <w:tblInd w:w="-8" w:type="dxa"/>
        <w:tblLayout w:type="fixed"/>
        <w:tblCellMar>
          <w:left w:w="0" w:type="dxa"/>
          <w:right w:w="0" w:type="dxa"/>
        </w:tblCellMar>
        <w:tblLook w:val="0000" w:firstRow="0" w:lastRow="0" w:firstColumn="0" w:lastColumn="0" w:noHBand="0" w:noVBand="0"/>
        <w:tblCaption w:val="Highlights pullout box"/>
      </w:tblPr>
      <w:tblGrid>
        <w:gridCol w:w="3949"/>
      </w:tblGrid>
      <w:tr w:rsidR="00897446" w:rsidRPr="00897446" w14:paraId="0CFDC89B" w14:textId="77777777" w:rsidTr="00D87CD0">
        <w:trPr>
          <w:trHeight w:val="60"/>
        </w:trPr>
        <w:tc>
          <w:tcPr>
            <w:tcW w:w="3949" w:type="dxa"/>
            <w:tcBorders>
              <w:top w:val="single" w:sz="36" w:space="0" w:color="10897C"/>
              <w:bottom w:val="single" w:sz="4" w:space="0" w:color="10897C"/>
            </w:tcBorders>
            <w:tcMar>
              <w:top w:w="142" w:type="dxa"/>
              <w:left w:w="142" w:type="dxa"/>
              <w:bottom w:w="142" w:type="dxa"/>
              <w:right w:w="142" w:type="dxa"/>
            </w:tcMar>
          </w:tcPr>
          <w:p w14:paraId="48BCC5D1" w14:textId="77777777" w:rsidR="00897446" w:rsidRPr="00897446" w:rsidRDefault="00897446" w:rsidP="00E3219B">
            <w:pPr>
              <w:pStyle w:val="Tableheading2"/>
            </w:pPr>
            <w:r w:rsidRPr="00897446">
              <w:t>Highlights</w:t>
            </w:r>
          </w:p>
        </w:tc>
      </w:tr>
      <w:tr w:rsidR="00897446" w:rsidRPr="00897446" w14:paraId="443612E3" w14:textId="77777777" w:rsidTr="00D87CD0">
        <w:trPr>
          <w:trHeight w:val="60"/>
        </w:trPr>
        <w:tc>
          <w:tcPr>
            <w:tcW w:w="3949" w:type="dxa"/>
            <w:tcBorders>
              <w:top w:val="single" w:sz="4" w:space="0" w:color="10897C"/>
              <w:bottom w:val="single" w:sz="16" w:space="0" w:color="10897C"/>
            </w:tcBorders>
            <w:shd w:val="clear" w:color="auto" w:fill="F1F0EE" w:themeFill="accent4"/>
            <w:tcMar>
              <w:top w:w="142" w:type="dxa"/>
              <w:left w:w="142" w:type="dxa"/>
              <w:bottom w:w="142" w:type="dxa"/>
              <w:right w:w="142" w:type="dxa"/>
            </w:tcMar>
          </w:tcPr>
          <w:p w14:paraId="7F05A870" w14:textId="77777777" w:rsidR="00897446" w:rsidRPr="00897446" w:rsidRDefault="00897446" w:rsidP="00F5152E">
            <w:pPr>
              <w:pStyle w:val="Tablebullets"/>
            </w:pPr>
            <w:r w:rsidRPr="00897446">
              <w:t>Tested and published three patient decision aids on the use of antibiotics for sore throats, middle ear infections and acute bronchitis</w:t>
            </w:r>
          </w:p>
          <w:p w14:paraId="171BD17E" w14:textId="77777777" w:rsidR="00897446" w:rsidRPr="00897446" w:rsidRDefault="00897446" w:rsidP="00F5152E">
            <w:pPr>
              <w:pStyle w:val="Tablebullets"/>
            </w:pPr>
            <w:r w:rsidRPr="00897446">
              <w:t>Developed and released an online education module on risk communication and shared decision making for general practitioners</w:t>
            </w:r>
          </w:p>
          <w:p w14:paraId="21408B8B" w14:textId="77777777" w:rsidR="00897446" w:rsidRPr="00897446" w:rsidRDefault="00897446" w:rsidP="00F5152E">
            <w:pPr>
              <w:pStyle w:val="Tablebullets"/>
            </w:pPr>
            <w:r w:rsidRPr="00897446">
              <w:t>Developed and released, in partnership with Healthdirect Australia, the online Question Builder to help consumers prepare a list of questions for medical appointments.</w:t>
            </w:r>
          </w:p>
        </w:tc>
      </w:tr>
    </w:tbl>
    <w:p w14:paraId="697F5B90" w14:textId="77777777" w:rsidR="00897446" w:rsidRPr="00897446" w:rsidRDefault="00897446" w:rsidP="0015139A">
      <w:pPr>
        <w:pStyle w:val="Heading2"/>
        <w:spacing w:before="240"/>
      </w:pPr>
      <w:r w:rsidRPr="00897446">
        <w:t>End-of-life care</w:t>
      </w:r>
    </w:p>
    <w:p w14:paraId="55E89FFE" w14:textId="77777777" w:rsidR="00897446" w:rsidRPr="00897446" w:rsidRDefault="00897446" w:rsidP="007430AC">
      <w:pPr>
        <w:pStyle w:val="BodyText"/>
      </w:pPr>
      <w:r w:rsidRPr="00897446">
        <w:t>Delivering high-quality end-of-life care is about ensuring that the consumer’s needs and preferences are understood and met. This requires a goal-directed and</w:t>
      </w:r>
      <w:r w:rsidRPr="00897446">
        <w:rPr>
          <w:rFonts w:cs="Arial"/>
        </w:rPr>
        <w:t> </w:t>
      </w:r>
      <w:r w:rsidRPr="00897446">
        <w:t>person</w:t>
      </w:r>
      <w:r w:rsidR="00C36315">
        <w:t>-</w:t>
      </w:r>
      <w:r w:rsidRPr="00897446">
        <w:t>centred</w:t>
      </w:r>
      <w:r w:rsidRPr="00897446">
        <w:rPr>
          <w:rFonts w:cs="Arial"/>
        </w:rPr>
        <w:t> </w:t>
      </w:r>
      <w:r w:rsidRPr="00897446">
        <w:t>approach.</w:t>
      </w:r>
    </w:p>
    <w:p w14:paraId="584EB6B4" w14:textId="77777777" w:rsidR="00897446" w:rsidRDefault="00897446" w:rsidP="007430AC">
      <w:pPr>
        <w:pStyle w:val="BodyText"/>
      </w:pPr>
      <w:r w:rsidRPr="00897446">
        <w:t xml:space="preserve">In 2016–17, the Commission consulted on, finalised and released the </w:t>
      </w:r>
      <w:r w:rsidRPr="00011CF0">
        <w:rPr>
          <w:rStyle w:val="Emphasis"/>
        </w:rPr>
        <w:t>National Consensus Statement: Essential elements for safe and high-quality paediatric end-of-life care</w:t>
      </w:r>
      <w:r w:rsidRPr="00897446">
        <w:t>, which describes the core requirements for delivering safe and high-quality end-of-life care to</w:t>
      </w:r>
    </w:p>
    <w:p w14:paraId="5EC3F2A7" w14:textId="77777777" w:rsidR="00897446" w:rsidRPr="00897446" w:rsidRDefault="00897446" w:rsidP="007430AC">
      <w:pPr>
        <w:pStyle w:val="BodyText"/>
      </w:pPr>
      <w:r>
        <w:br w:type="column"/>
      </w:r>
      <w:r w:rsidRPr="00897446">
        <w:lastRenderedPageBreak/>
        <w:t xml:space="preserve">children in Australia. It is based on the </w:t>
      </w:r>
      <w:r w:rsidRPr="00011CF0">
        <w:rPr>
          <w:rStyle w:val="Emphasis"/>
        </w:rPr>
        <w:t>National Consensus Statement: Essential elements for safe and high-quality end-of-life care</w:t>
      </w:r>
      <w:r w:rsidRPr="00897446">
        <w:t xml:space="preserve">, which was endorsed by health ministers in 2015. </w:t>
      </w:r>
    </w:p>
    <w:p w14:paraId="1E40D3A7" w14:textId="77777777" w:rsidR="00897446" w:rsidRPr="00C36315" w:rsidRDefault="00897446" w:rsidP="00C36315">
      <w:pPr>
        <w:pStyle w:val="BodyText"/>
      </w:pPr>
      <w:r w:rsidRPr="00C36315">
        <w:t xml:space="preserve">The Commission also released a report on a pilot study, undertaken in partnership with Canberra Hospital, of an end-of-life care audit tool and staff survey. The audit and survey tools are aimed at providing data on the delivery of end-of-life care in hospitals and on staff perceptions of how it is delivered. </w:t>
      </w:r>
    </w:p>
    <w:p w14:paraId="38045F1F" w14:textId="77777777" w:rsidR="00897446" w:rsidRPr="00C36315" w:rsidRDefault="00897446" w:rsidP="00C36315">
      <w:pPr>
        <w:pStyle w:val="BodyText"/>
      </w:pPr>
      <w:r w:rsidRPr="00C36315">
        <w:t xml:space="preserve">In 2016, following this pilot, the Commission commenced a validation study of the audit tool and survey, which are currently being tested in nine hospitals across Australia. The findings of this study will be published in 2017–18. The Commission is also developing an </w:t>
      </w:r>
      <w:r w:rsidR="00C36315">
        <w:br/>
      </w:r>
      <w:r w:rsidRPr="00C36315">
        <w:t>end</w:t>
      </w:r>
      <w:r w:rsidR="00C36315" w:rsidRPr="00C36315">
        <w:t>-</w:t>
      </w:r>
      <w:r w:rsidRPr="00C36315">
        <w:t>of</w:t>
      </w:r>
      <w:r w:rsidR="00C36315">
        <w:t>-</w:t>
      </w:r>
      <w:r w:rsidRPr="00C36315">
        <w:t xml:space="preserve">life care audit toolkit that will be made available to all health service organisations by early 2018. </w:t>
      </w:r>
    </w:p>
    <w:p w14:paraId="1AC1FD9C" w14:textId="77777777" w:rsidR="00897446" w:rsidRPr="00C36315" w:rsidRDefault="00897446" w:rsidP="00D87CD0">
      <w:pPr>
        <w:pStyle w:val="BodyText"/>
        <w:spacing w:after="240"/>
      </w:pPr>
      <w:r w:rsidRPr="00C36315">
        <w:t>In 2016–17, the Commission also published a literature review scoping existing indicators for end-of-life care in acute settings.</w:t>
      </w:r>
    </w:p>
    <w:tbl>
      <w:tblPr>
        <w:tblW w:w="3949" w:type="dxa"/>
        <w:tblInd w:w="-8" w:type="dxa"/>
        <w:tblLayout w:type="fixed"/>
        <w:tblCellMar>
          <w:left w:w="0" w:type="dxa"/>
          <w:right w:w="0" w:type="dxa"/>
        </w:tblCellMar>
        <w:tblLook w:val="0000" w:firstRow="0" w:lastRow="0" w:firstColumn="0" w:lastColumn="0" w:noHBand="0" w:noVBand="0"/>
        <w:tblCaption w:val="Highlights pullout box"/>
      </w:tblPr>
      <w:tblGrid>
        <w:gridCol w:w="3949"/>
      </w:tblGrid>
      <w:tr w:rsidR="00897446" w:rsidRPr="00897446" w14:paraId="4E9A93D9" w14:textId="77777777" w:rsidTr="00D87CD0">
        <w:trPr>
          <w:trHeight w:val="60"/>
        </w:trPr>
        <w:tc>
          <w:tcPr>
            <w:tcW w:w="3949" w:type="dxa"/>
            <w:tcBorders>
              <w:top w:val="single" w:sz="36" w:space="0" w:color="10897C"/>
              <w:bottom w:val="single" w:sz="4" w:space="0" w:color="10897C"/>
            </w:tcBorders>
            <w:tcMar>
              <w:top w:w="142" w:type="dxa"/>
              <w:left w:w="142" w:type="dxa"/>
              <w:bottom w:w="142" w:type="dxa"/>
              <w:right w:w="142" w:type="dxa"/>
            </w:tcMar>
          </w:tcPr>
          <w:p w14:paraId="1F2AF8E1" w14:textId="77777777" w:rsidR="00897446" w:rsidRPr="00897446" w:rsidRDefault="00897446" w:rsidP="00E3219B">
            <w:pPr>
              <w:pStyle w:val="Tableheading2"/>
            </w:pPr>
            <w:r w:rsidRPr="00897446">
              <w:t>Highlights</w:t>
            </w:r>
          </w:p>
        </w:tc>
      </w:tr>
      <w:tr w:rsidR="00897446" w:rsidRPr="00897446" w14:paraId="09D3D828" w14:textId="77777777" w:rsidTr="00D87CD0">
        <w:trPr>
          <w:trHeight w:val="60"/>
        </w:trPr>
        <w:tc>
          <w:tcPr>
            <w:tcW w:w="3949" w:type="dxa"/>
            <w:tcBorders>
              <w:top w:val="single" w:sz="4" w:space="0" w:color="10897C"/>
              <w:bottom w:val="single" w:sz="16" w:space="0" w:color="10897C"/>
            </w:tcBorders>
            <w:shd w:val="clear" w:color="auto" w:fill="F1F0EE" w:themeFill="accent4"/>
            <w:tcMar>
              <w:top w:w="142" w:type="dxa"/>
              <w:left w:w="142" w:type="dxa"/>
              <w:bottom w:w="142" w:type="dxa"/>
              <w:right w:w="142" w:type="dxa"/>
            </w:tcMar>
          </w:tcPr>
          <w:p w14:paraId="1B26C9F2" w14:textId="77777777" w:rsidR="00897446" w:rsidRPr="00897446" w:rsidRDefault="00897446" w:rsidP="00F5152E">
            <w:pPr>
              <w:pStyle w:val="Tablebullets"/>
            </w:pPr>
            <w:r w:rsidRPr="00897446">
              <w:t>Released the National Consensus Statement: Essential elements for safe and high</w:t>
            </w:r>
            <w:r w:rsidRPr="00897446">
              <w:noBreakHyphen/>
              <w:t>quality paediatric end</w:t>
            </w:r>
            <w:r w:rsidRPr="00897446">
              <w:noBreakHyphen/>
              <w:t>of</w:t>
            </w:r>
            <w:r w:rsidRPr="00897446">
              <w:noBreakHyphen/>
              <w:t>life care</w:t>
            </w:r>
          </w:p>
          <w:p w14:paraId="3A1E01C9" w14:textId="77777777" w:rsidR="00897446" w:rsidRPr="00897446" w:rsidRDefault="00897446" w:rsidP="00F5152E">
            <w:pPr>
              <w:pStyle w:val="Tablebullets"/>
            </w:pPr>
            <w:r w:rsidRPr="00897446">
              <w:t>Published the findings from a pilot study of an end-of-life care audit tool and survey in Canberra Hospital</w:t>
            </w:r>
          </w:p>
          <w:p w14:paraId="2C3750B1" w14:textId="77777777" w:rsidR="00897446" w:rsidRPr="00897446" w:rsidRDefault="00897446" w:rsidP="00F5152E">
            <w:pPr>
              <w:pStyle w:val="Tablebullets"/>
            </w:pPr>
            <w:r w:rsidRPr="00897446">
              <w:t>Commenced a validation study of the audit tool and survey in nine hospitals across Australia</w:t>
            </w:r>
          </w:p>
          <w:p w14:paraId="611F5384" w14:textId="77777777" w:rsidR="00897446" w:rsidRPr="00897446" w:rsidRDefault="00897446" w:rsidP="00F5152E">
            <w:pPr>
              <w:pStyle w:val="Tablebullets"/>
            </w:pPr>
            <w:r w:rsidRPr="00897446">
              <w:t>Scoped existing indicators for end-of-life care in acute settings.</w:t>
            </w:r>
          </w:p>
        </w:tc>
      </w:tr>
    </w:tbl>
    <w:p w14:paraId="1F182AE9" w14:textId="77777777" w:rsidR="00897446" w:rsidRDefault="00897446" w:rsidP="007430AC">
      <w:pPr>
        <w:pStyle w:val="BodyText"/>
        <w:sectPr w:rsidR="00897446" w:rsidSect="005F1364">
          <w:headerReference w:type="even" r:id="rId47"/>
          <w:pgSz w:w="9979" w:h="14175" w:code="34"/>
          <w:pgMar w:top="1418" w:right="680" w:bottom="567" w:left="1021" w:header="567" w:footer="397" w:gutter="0"/>
          <w:cols w:num="2" w:space="708"/>
          <w:docGrid w:linePitch="360"/>
        </w:sectPr>
      </w:pPr>
    </w:p>
    <w:p w14:paraId="7D32DED8" w14:textId="77777777" w:rsidR="00897446" w:rsidRPr="00897446" w:rsidRDefault="00897446" w:rsidP="007430AC">
      <w:pPr>
        <w:pStyle w:val="Heading2"/>
      </w:pPr>
      <w:r w:rsidRPr="00897446">
        <w:lastRenderedPageBreak/>
        <w:t>National guidelines for on-screen presentation of medicines information for</w:t>
      </w:r>
      <w:r w:rsidR="0044323F">
        <w:t> </w:t>
      </w:r>
      <w:r w:rsidRPr="00897446">
        <w:t xml:space="preserve">consumers </w:t>
      </w:r>
    </w:p>
    <w:p w14:paraId="239BF922" w14:textId="77777777" w:rsidR="00897446" w:rsidRPr="00897446" w:rsidRDefault="00897446" w:rsidP="007430AC">
      <w:pPr>
        <w:pStyle w:val="BodyText"/>
      </w:pPr>
      <w:r w:rsidRPr="00897446">
        <w:t xml:space="preserve">In October 2016, the Commission published the National Guidelines for </w:t>
      </w:r>
      <w:r w:rsidRPr="00AB2AE6">
        <w:rPr>
          <w:i/>
        </w:rPr>
        <w:t>On-Screen Display of Consumer Medicines Information</w:t>
      </w:r>
      <w:r w:rsidRPr="00897446">
        <w:t xml:space="preserve"> (the Consumer Guidelines). This followed the release of the </w:t>
      </w:r>
      <w:r w:rsidRPr="00AB2AE6">
        <w:rPr>
          <w:i/>
        </w:rPr>
        <w:t>National Guidelines for On-Screen Display of Clinical Medicines Information</w:t>
      </w:r>
      <w:r w:rsidRPr="00897446">
        <w:t xml:space="preserve"> (the Clinical Guidelines) in January 2016. </w:t>
      </w:r>
    </w:p>
    <w:p w14:paraId="31B16026" w14:textId="77777777" w:rsidR="00897446" w:rsidRPr="00897446" w:rsidRDefault="00897446" w:rsidP="007430AC">
      <w:pPr>
        <w:pStyle w:val="BodyText"/>
      </w:pPr>
      <w:r w:rsidRPr="00897446">
        <w:t>The Consumer Guidelines specify consistent and unambiguous terms for the display of medicines information in online information systems that are accessible to consumers. The Consumer Guidelines draw on the recommendations and rationales in the Clinical Guidelines. However, they also contain important exceptions and additions to reflect the needs of consumers when accessing electronic information about their medicines.</w:t>
      </w:r>
      <w:r>
        <w:br w:type="column"/>
      </w:r>
      <w:r w:rsidRPr="00897446">
        <w:lastRenderedPageBreak/>
        <w:t>As part of the development process, examples of on-screen medicines information were tested in a consumer focus group. The guidelines reflect the information needs and preferences broadly agreed upon.</w:t>
      </w:r>
    </w:p>
    <w:p w14:paraId="7CC260A0" w14:textId="77777777" w:rsidR="00897446" w:rsidRPr="00C36315" w:rsidRDefault="00897446" w:rsidP="00C36315">
      <w:pPr>
        <w:pStyle w:val="BodyText"/>
      </w:pPr>
      <w:r w:rsidRPr="00C36315">
        <w:t>The Commission is grateful to the Consumers Health Forum, the Australian Digital Health Agency and consumers in the focus group for their contributions to this work, and to the Australian Government Department of Health for its financial support.</w:t>
      </w:r>
    </w:p>
    <w:tbl>
      <w:tblPr>
        <w:tblW w:w="0" w:type="auto"/>
        <w:tblInd w:w="-8" w:type="dxa"/>
        <w:tblLayout w:type="fixed"/>
        <w:tblCellMar>
          <w:left w:w="0" w:type="dxa"/>
          <w:right w:w="0" w:type="dxa"/>
        </w:tblCellMar>
        <w:tblLook w:val="0000" w:firstRow="0" w:lastRow="0" w:firstColumn="0" w:lastColumn="0" w:noHBand="0" w:noVBand="0"/>
        <w:tblCaption w:val="Highlights pullout box"/>
      </w:tblPr>
      <w:tblGrid>
        <w:gridCol w:w="3949"/>
      </w:tblGrid>
      <w:tr w:rsidR="00897446" w:rsidRPr="00897446" w14:paraId="0AA01493" w14:textId="77777777" w:rsidTr="00E3219B">
        <w:trPr>
          <w:trHeight w:val="60"/>
        </w:trPr>
        <w:tc>
          <w:tcPr>
            <w:tcW w:w="3949" w:type="dxa"/>
            <w:tcBorders>
              <w:top w:val="single" w:sz="36" w:space="0" w:color="10897C"/>
              <w:bottom w:val="single" w:sz="4" w:space="0" w:color="10897C"/>
            </w:tcBorders>
            <w:tcMar>
              <w:top w:w="142" w:type="dxa"/>
              <w:left w:w="142" w:type="dxa"/>
              <w:bottom w:w="142" w:type="dxa"/>
              <w:right w:w="142" w:type="dxa"/>
            </w:tcMar>
          </w:tcPr>
          <w:p w14:paraId="4801DDA0" w14:textId="77777777" w:rsidR="00897446" w:rsidRPr="00897446" w:rsidRDefault="00897446" w:rsidP="00E3219B">
            <w:pPr>
              <w:pStyle w:val="Tableheading2"/>
            </w:pPr>
            <w:r w:rsidRPr="00897446">
              <w:t>Highlight</w:t>
            </w:r>
          </w:p>
        </w:tc>
      </w:tr>
      <w:tr w:rsidR="00897446" w:rsidRPr="00897446" w14:paraId="1368520E" w14:textId="77777777" w:rsidTr="00AB2AE6">
        <w:trPr>
          <w:trHeight w:val="60"/>
        </w:trPr>
        <w:tc>
          <w:tcPr>
            <w:tcW w:w="3949" w:type="dxa"/>
            <w:tcBorders>
              <w:top w:val="single" w:sz="4" w:space="0" w:color="10897C"/>
              <w:bottom w:val="single" w:sz="16" w:space="0" w:color="10897C"/>
            </w:tcBorders>
            <w:shd w:val="clear" w:color="auto" w:fill="F1F0EE" w:themeFill="accent4"/>
            <w:tcMar>
              <w:top w:w="142" w:type="dxa"/>
              <w:left w:w="142" w:type="dxa"/>
              <w:bottom w:w="142" w:type="dxa"/>
              <w:right w:w="142" w:type="dxa"/>
            </w:tcMar>
          </w:tcPr>
          <w:p w14:paraId="3A420FE3" w14:textId="77777777" w:rsidR="00897446" w:rsidRPr="00897446" w:rsidRDefault="00897446" w:rsidP="00F5152E">
            <w:pPr>
              <w:pStyle w:val="Tablebullets"/>
            </w:pPr>
            <w:r w:rsidRPr="00897446">
              <w:t>Published national guidelines for the on-screen display of consumer medicines information.</w:t>
            </w:r>
          </w:p>
        </w:tc>
      </w:tr>
    </w:tbl>
    <w:p w14:paraId="2420ADB7" w14:textId="77777777" w:rsidR="00897446" w:rsidRDefault="00897446" w:rsidP="00897446">
      <w:pPr>
        <w:tabs>
          <w:tab w:val="left" w:pos="283"/>
          <w:tab w:val="left" w:pos="567"/>
          <w:tab w:val="left" w:pos="850"/>
          <w:tab w:val="left" w:pos="1134"/>
          <w:tab w:val="left" w:pos="1417"/>
          <w:tab w:val="left" w:pos="1701"/>
          <w:tab w:val="left" w:pos="1984"/>
          <w:tab w:val="left" w:pos="2268"/>
        </w:tabs>
        <w:suppressAutoHyphens/>
        <w:autoSpaceDE w:val="0"/>
        <w:autoSpaceDN w:val="0"/>
        <w:adjustRightInd w:val="0"/>
        <w:spacing w:after="170" w:line="240" w:lineRule="atLeast"/>
        <w:textAlignment w:val="center"/>
        <w:rPr>
          <w:rFonts w:ascii="Helvetica 45 Light" w:hAnsi="Helvetica 45 Light" w:cs="Helvetica 45 Light"/>
          <w:color w:val="000000"/>
          <w:spacing w:val="4"/>
          <w:szCs w:val="18"/>
        </w:rPr>
        <w:sectPr w:rsidR="00897446" w:rsidSect="005F1364">
          <w:headerReference w:type="even" r:id="rId48"/>
          <w:pgSz w:w="9979" w:h="14175" w:code="34"/>
          <w:pgMar w:top="1418" w:right="680" w:bottom="851" w:left="1021" w:header="567" w:footer="397" w:gutter="0"/>
          <w:cols w:num="2" w:space="708"/>
          <w:docGrid w:linePitch="360"/>
        </w:sectPr>
      </w:pPr>
    </w:p>
    <w:p w14:paraId="14B51C07" w14:textId="77777777" w:rsidR="00897446" w:rsidRPr="00897446" w:rsidRDefault="00897446" w:rsidP="007430AC">
      <w:pPr>
        <w:pStyle w:val="BodyText"/>
      </w:pPr>
    </w:p>
    <w:p w14:paraId="0300E428" w14:textId="77777777" w:rsidR="00897446" w:rsidRDefault="00897446" w:rsidP="007430AC">
      <w:pPr>
        <w:pStyle w:val="BodyText"/>
      </w:pPr>
      <w:r>
        <w:br w:type="page"/>
      </w:r>
    </w:p>
    <w:p w14:paraId="543D7B11" w14:textId="77777777" w:rsidR="00897446" w:rsidRPr="007430AC" w:rsidRDefault="00897446" w:rsidP="007430AC">
      <w:pPr>
        <w:pStyle w:val="Heading1"/>
      </w:pPr>
      <w:r w:rsidRPr="007430AC">
        <w:lastRenderedPageBreak/>
        <w:t>Priority 3: Quality, cost and value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F0EE" w:themeFill="accent4"/>
        <w:tblCellMar>
          <w:top w:w="284" w:type="dxa"/>
          <w:left w:w="284" w:type="dxa"/>
          <w:bottom w:w="284" w:type="dxa"/>
          <w:right w:w="284" w:type="dxa"/>
        </w:tblCellMar>
        <w:tblLook w:val="04A0" w:firstRow="1" w:lastRow="0" w:firstColumn="1" w:lastColumn="0" w:noHBand="0" w:noVBand="1"/>
        <w:tblCaption w:val="Priority 3: Quality, cost and value "/>
        <w:tblDescription w:val="Introduction"/>
      </w:tblPr>
      <w:tblGrid>
        <w:gridCol w:w="8268"/>
      </w:tblGrid>
      <w:tr w:rsidR="007430AC" w14:paraId="0767F16A" w14:textId="77777777" w:rsidTr="007430AC">
        <w:tc>
          <w:tcPr>
            <w:tcW w:w="8268" w:type="dxa"/>
            <w:shd w:val="clear" w:color="auto" w:fill="F1F0EE" w:themeFill="accent4"/>
          </w:tcPr>
          <w:p w14:paraId="55A71F48" w14:textId="77777777" w:rsidR="007430AC" w:rsidRDefault="007430AC" w:rsidP="007430AC">
            <w:pPr>
              <w:pStyle w:val="IntroCopy0"/>
            </w:pPr>
            <w:r w:rsidRPr="007430AC">
              <w:t>The aim of this priority area is to have a health system that provides the right care, minimises waste, and optimises value and productivity.</w:t>
            </w:r>
          </w:p>
        </w:tc>
      </w:tr>
    </w:tbl>
    <w:p w14:paraId="39A52455" w14:textId="77777777" w:rsidR="00897446" w:rsidRDefault="00897446" w:rsidP="007430AC">
      <w:pPr>
        <w:pStyle w:val="BodyText"/>
      </w:pPr>
    </w:p>
    <w:p w14:paraId="0F6FACE5" w14:textId="77777777" w:rsidR="00897446" w:rsidRDefault="00897446" w:rsidP="00897446">
      <w:pPr>
        <w:sectPr w:rsidR="00897446" w:rsidSect="005F1364">
          <w:type w:val="continuous"/>
          <w:pgSz w:w="9979" w:h="14175" w:code="34"/>
          <w:pgMar w:top="1418" w:right="680" w:bottom="851" w:left="1021" w:header="567" w:footer="397" w:gutter="0"/>
          <w:cols w:space="708"/>
          <w:docGrid w:linePitch="360"/>
        </w:sectPr>
      </w:pPr>
    </w:p>
    <w:p w14:paraId="4A4882C4" w14:textId="77777777" w:rsidR="00897446" w:rsidRPr="00897446" w:rsidRDefault="00897446" w:rsidP="007430AC">
      <w:pPr>
        <w:pStyle w:val="Heading2"/>
      </w:pPr>
      <w:r w:rsidRPr="00897446">
        <w:lastRenderedPageBreak/>
        <w:t>Identifying healthcare variation</w:t>
      </w:r>
    </w:p>
    <w:p w14:paraId="5ACD6E2C" w14:textId="77777777" w:rsidR="00897446" w:rsidRPr="00897446" w:rsidRDefault="00897446" w:rsidP="007430AC">
      <w:pPr>
        <w:pStyle w:val="BodyText"/>
      </w:pPr>
      <w:r w:rsidRPr="00897446">
        <w:t>Mapping variation is an invaluable tool for understanding how our healthcare system is providing care. Sometimes variation is expected, and even a good thing – for instance, when it reflects a response to differences in patient needs or patients’ choice of treatment options. However, differences in the use of health services that do not reflect these factors indicate what is known as ‘unwarranted variation’. Where unwarranted variation is thought to exist, it can be seen as an opportunity for the health system to improve. This improvement may involve increasing access to treatments that produce better outcomes for patients, or reducing access to treatments with little or uncertain benefit.</w:t>
      </w:r>
    </w:p>
    <w:p w14:paraId="16086714" w14:textId="77777777" w:rsidR="00897446" w:rsidRPr="00897446" w:rsidRDefault="00897446" w:rsidP="007430AC">
      <w:pPr>
        <w:pStyle w:val="BodyText"/>
      </w:pPr>
      <w:r w:rsidRPr="00897446">
        <w:t xml:space="preserve">The </w:t>
      </w:r>
      <w:r w:rsidRPr="00011CF0">
        <w:rPr>
          <w:rStyle w:val="Emphasis"/>
        </w:rPr>
        <w:t>Australian Atlas of Healthcare Variation</w:t>
      </w:r>
      <w:r w:rsidRPr="00897446">
        <w:t>, released in 2015, brought discussions about variation in health care into the mainstream in Australia. In response to the data and findings presented in the first Atlas, state and territory governments have been working to understand unwarranted variation by further analysing the data, and by working with clinicians to change models of care and the thresholds for interventions. Clinical colleges and societies are also investigating clinical variation within their specialties. The Commission has produced clinical care standards for several of the healthcare interventions that vary substantially in</w:t>
      </w:r>
      <w:r w:rsidRPr="00897446">
        <w:rPr>
          <w:rFonts w:cs="Arial"/>
        </w:rPr>
        <w:t> </w:t>
      </w:r>
      <w:r w:rsidRPr="00897446">
        <w:t>their use around the country.</w:t>
      </w:r>
    </w:p>
    <w:p w14:paraId="5B671C9E" w14:textId="77777777" w:rsidR="00897446" w:rsidRPr="00897446" w:rsidRDefault="007430AC" w:rsidP="007430AC">
      <w:pPr>
        <w:pStyle w:val="BodyText"/>
      </w:pPr>
      <w:r>
        <w:br w:type="column"/>
      </w:r>
      <w:r w:rsidR="00897446" w:rsidRPr="00897446">
        <w:lastRenderedPageBreak/>
        <w:t xml:space="preserve">The Commission launched the </w:t>
      </w:r>
      <w:r w:rsidR="00897446" w:rsidRPr="00011CF0">
        <w:rPr>
          <w:rStyle w:val="Emphasis"/>
        </w:rPr>
        <w:t>Second Australian Atlas of Healthcare Variatio</w:t>
      </w:r>
      <w:r w:rsidR="00897446" w:rsidRPr="00897446">
        <w:t>n in June</w:t>
      </w:r>
      <w:r w:rsidR="00897446" w:rsidRPr="00897446">
        <w:rPr>
          <w:rFonts w:cs="Arial"/>
        </w:rPr>
        <w:t> </w:t>
      </w:r>
      <w:r w:rsidR="00897446" w:rsidRPr="00897446">
        <w:t>2017. The second Atlas presents a clear picture of substantial variation in health care across Australia in areas such as chronic diseases, women’s health and surgical</w:t>
      </w:r>
      <w:r w:rsidR="00897446" w:rsidRPr="00897446">
        <w:rPr>
          <w:rFonts w:cs="Arial"/>
        </w:rPr>
        <w:t> </w:t>
      </w:r>
      <w:r w:rsidR="00897446" w:rsidRPr="00897446">
        <w:t xml:space="preserve">interventions. </w:t>
      </w:r>
    </w:p>
    <w:p w14:paraId="1DC1B5A3" w14:textId="77777777" w:rsidR="00897446" w:rsidRPr="00897446" w:rsidRDefault="00897446" w:rsidP="007430AC">
      <w:pPr>
        <w:pStyle w:val="BodyText"/>
      </w:pPr>
      <w:r w:rsidRPr="00897446">
        <w:t>Hysterectomy rates in Australia are seven times as high in the area with the highest rate compared to the area with the lowest rate. Overall, hysterectomies remain more common in Australia than in other developed countries. Endometrial ablation, a less invasive and often preferred alternative to hysterectomy for abnormal uterine bleeding, has very high rates of variation – 21 times as high in the area with the highest rate compared to the area with the lowest rate. These results suggest that not all women with abnormal uterine bleeding are aware of the treatment options available to</w:t>
      </w:r>
      <w:r w:rsidRPr="00897446">
        <w:rPr>
          <w:rFonts w:cs="Arial"/>
        </w:rPr>
        <w:t> </w:t>
      </w:r>
      <w:r w:rsidRPr="00897446">
        <w:t>them.</w:t>
      </w:r>
    </w:p>
    <w:p w14:paraId="2B61F8B2" w14:textId="77777777" w:rsidR="00897446" w:rsidRDefault="00897446" w:rsidP="007430AC">
      <w:pPr>
        <w:pStyle w:val="BodyText"/>
      </w:pPr>
      <w:r w:rsidRPr="00897446">
        <w:t>The second Atlas found hospitalisation rates for some common chronic conditions were up to 16 times as high in some local areas compared to others. These conditions included chronic obstructive pulmonary disease, diabetes complications, heart failure, cellulitis, and kidney and urinary tract infections. The</w:t>
      </w:r>
      <w:r w:rsidRPr="00897446">
        <w:rPr>
          <w:rFonts w:cs="Arial"/>
        </w:rPr>
        <w:t> </w:t>
      </w:r>
      <w:r w:rsidRPr="00897446">
        <w:t>high</w:t>
      </w:r>
      <w:r w:rsidRPr="00897446">
        <w:rPr>
          <w:rFonts w:cs="Arial"/>
        </w:rPr>
        <w:t> </w:t>
      </w:r>
      <w:r w:rsidRPr="00897446">
        <w:t>hospitalisation rates and substantial variations found for these conditions show that recommended care is not always provided for people with these conditions. They also indicate opportunities for improvement in the health</w:t>
      </w:r>
      <w:r w:rsidRPr="00897446">
        <w:rPr>
          <w:rFonts w:cs="Arial"/>
        </w:rPr>
        <w:t> </w:t>
      </w:r>
      <w:r w:rsidRPr="00897446">
        <w:t>system.</w:t>
      </w:r>
    </w:p>
    <w:p w14:paraId="688E8D44" w14:textId="77777777" w:rsidR="00897446" w:rsidRDefault="00897446" w:rsidP="007430AC">
      <w:pPr>
        <w:pStyle w:val="BodyText"/>
      </w:pPr>
      <w:r>
        <w:br w:type="page"/>
      </w:r>
    </w:p>
    <w:p w14:paraId="3FCE6A48" w14:textId="77777777" w:rsidR="00897446" w:rsidRDefault="00897446" w:rsidP="007545C1">
      <w:pPr>
        <w:pStyle w:val="BodyText"/>
      </w:pPr>
      <w:r>
        <w:lastRenderedPageBreak/>
        <w:t xml:space="preserve">The second Atlas provides information on hospitalisation rates for Aboriginal and Torres Strait Islander people, as well as information on the percentage of services that are funded publicly and privately. It also includes analysis by socioeconomic status. </w:t>
      </w:r>
    </w:p>
    <w:p w14:paraId="6CD01A4E" w14:textId="77777777" w:rsidR="007545C1" w:rsidRDefault="00897446" w:rsidP="007545C1">
      <w:pPr>
        <w:pStyle w:val="BodyText"/>
      </w:pPr>
      <w:r>
        <w:t>The Commission consulted widely to interpret the data in the second Atlas. Clinicians, policymakers, epidemiologists, researchers and consumers have helped to identify the likely drivers of variation for each type of hospitalisation examined, and most importantly, what needs to be done to improve care. The second Atlas contains a number of clear recommendations based on the best available evidence.</w:t>
      </w:r>
    </w:p>
    <w:p w14:paraId="068E0D7D" w14:textId="77777777" w:rsidR="00C505AD" w:rsidRDefault="00C505AD" w:rsidP="007545C1">
      <w:pPr>
        <w:pStyle w:val="BodyText"/>
      </w:pPr>
    </w:p>
    <w:p w14:paraId="12A81E4C" w14:textId="77777777" w:rsidR="007545C1" w:rsidRPr="00C505AD" w:rsidRDefault="007545C1" w:rsidP="007545C1">
      <w:pPr>
        <w:pStyle w:val="BodyText"/>
        <w:spacing w:after="0" w:line="240" w:lineRule="auto"/>
      </w:pPr>
      <w:r>
        <w:br w:type="column"/>
      </w:r>
    </w:p>
    <w:tbl>
      <w:tblPr>
        <w:tblW w:w="3949" w:type="dxa"/>
        <w:tblInd w:w="-8" w:type="dxa"/>
        <w:tblLayout w:type="fixed"/>
        <w:tblCellMar>
          <w:left w:w="0" w:type="dxa"/>
          <w:right w:w="0" w:type="dxa"/>
        </w:tblCellMar>
        <w:tblLook w:val="0000" w:firstRow="0" w:lastRow="0" w:firstColumn="0" w:lastColumn="0" w:noHBand="0" w:noVBand="0"/>
        <w:tblCaption w:val="Highlights pullout box"/>
      </w:tblPr>
      <w:tblGrid>
        <w:gridCol w:w="3949"/>
      </w:tblGrid>
      <w:tr w:rsidR="00897446" w:rsidRPr="00897446" w14:paraId="2F76831A" w14:textId="77777777" w:rsidTr="007545C1">
        <w:trPr>
          <w:trHeight w:val="60"/>
        </w:trPr>
        <w:tc>
          <w:tcPr>
            <w:tcW w:w="3949" w:type="dxa"/>
            <w:tcBorders>
              <w:top w:val="single" w:sz="36" w:space="0" w:color="10897C"/>
              <w:bottom w:val="single" w:sz="4" w:space="0" w:color="10897C"/>
            </w:tcBorders>
            <w:tcMar>
              <w:top w:w="142" w:type="dxa"/>
              <w:left w:w="142" w:type="dxa"/>
              <w:bottom w:w="142" w:type="dxa"/>
              <w:right w:w="142" w:type="dxa"/>
            </w:tcMar>
          </w:tcPr>
          <w:p w14:paraId="569F11B0" w14:textId="77777777" w:rsidR="00897446" w:rsidRPr="00897446" w:rsidRDefault="00897446" w:rsidP="00E3219B">
            <w:pPr>
              <w:pStyle w:val="Tableheading2"/>
            </w:pPr>
            <w:r>
              <w:br w:type="column"/>
            </w:r>
            <w:r w:rsidRPr="00897446">
              <w:t>Highlights</w:t>
            </w:r>
          </w:p>
        </w:tc>
      </w:tr>
      <w:tr w:rsidR="00897446" w:rsidRPr="00897446" w14:paraId="2C7C2236" w14:textId="77777777" w:rsidTr="00AB2AE6">
        <w:trPr>
          <w:trHeight w:val="60"/>
        </w:trPr>
        <w:tc>
          <w:tcPr>
            <w:tcW w:w="3949" w:type="dxa"/>
            <w:tcBorders>
              <w:top w:val="single" w:sz="4" w:space="0" w:color="10897C"/>
              <w:bottom w:val="single" w:sz="16" w:space="0" w:color="10897C"/>
            </w:tcBorders>
            <w:shd w:val="clear" w:color="auto" w:fill="F1F0EE" w:themeFill="accent4"/>
            <w:tcMar>
              <w:top w:w="142" w:type="dxa"/>
              <w:left w:w="142" w:type="dxa"/>
              <w:bottom w:w="142" w:type="dxa"/>
              <w:right w:w="142" w:type="dxa"/>
            </w:tcMar>
          </w:tcPr>
          <w:p w14:paraId="70904114" w14:textId="77777777" w:rsidR="00897446" w:rsidRPr="00897446" w:rsidRDefault="00897446" w:rsidP="00F5152E">
            <w:pPr>
              <w:pStyle w:val="Tablebullets"/>
            </w:pPr>
            <w:r w:rsidRPr="00897446">
              <w:t>Acted on the recommendations of the first Atlas</w:t>
            </w:r>
          </w:p>
          <w:p w14:paraId="691D84CA" w14:textId="77777777" w:rsidR="00897446" w:rsidRPr="00897446" w:rsidRDefault="00897446" w:rsidP="00F5152E">
            <w:pPr>
              <w:pStyle w:val="Tablebullets"/>
            </w:pPr>
            <w:r w:rsidRPr="00897446">
              <w:t xml:space="preserve">Released the </w:t>
            </w:r>
            <w:r w:rsidRPr="00897446">
              <w:rPr>
                <w:i/>
                <w:iCs/>
              </w:rPr>
              <w:t>Second Australian Atlas of Healthcare Variation</w:t>
            </w:r>
            <w:r w:rsidRPr="00897446">
              <w:t>.</w:t>
            </w:r>
          </w:p>
        </w:tc>
      </w:tr>
    </w:tbl>
    <w:p w14:paraId="31392984" w14:textId="77777777" w:rsidR="00897446" w:rsidRDefault="00897446" w:rsidP="00897446">
      <w:pPr>
        <w:sectPr w:rsidR="00897446" w:rsidSect="005F1364">
          <w:headerReference w:type="even" r:id="rId49"/>
          <w:type w:val="continuous"/>
          <w:pgSz w:w="9979" w:h="14175" w:code="34"/>
          <w:pgMar w:top="1418" w:right="680" w:bottom="567" w:left="1021" w:header="567" w:footer="397" w:gutter="0"/>
          <w:cols w:num="2" w:space="708"/>
          <w:docGrid w:linePitch="360"/>
        </w:sectPr>
      </w:pPr>
    </w:p>
    <w:p w14:paraId="78FA73C2" w14:textId="77777777" w:rsidR="00897446" w:rsidRDefault="00897446" w:rsidP="007545C1">
      <w:pPr>
        <w:pStyle w:val="Figuretitle"/>
      </w:pPr>
      <w:r>
        <w:lastRenderedPageBreak/>
        <w:t xml:space="preserve">Table 2: </w:t>
      </w:r>
      <w:r w:rsidRPr="007545C1">
        <w:rPr>
          <w:rStyle w:val="Emphasis"/>
        </w:rPr>
        <w:t>Second Australian Atlas of Healthcare Variation</w:t>
      </w:r>
      <w:r>
        <w:t xml:space="preserve"> key findings and</w:t>
      </w:r>
      <w:r w:rsidR="00011CF0">
        <w:t xml:space="preserve"> </w:t>
      </w:r>
      <w:r>
        <w:t>recommendations</w:t>
      </w:r>
    </w:p>
    <w:tbl>
      <w:tblPr>
        <w:tblW w:w="8277" w:type="dxa"/>
        <w:tblInd w:w="-8" w:type="dxa"/>
        <w:tblLayout w:type="fixed"/>
        <w:tblCellMar>
          <w:left w:w="0" w:type="dxa"/>
          <w:right w:w="0" w:type="dxa"/>
        </w:tblCellMar>
        <w:tblLook w:val="0000" w:firstRow="0" w:lastRow="0" w:firstColumn="0" w:lastColumn="0" w:noHBand="0" w:noVBand="0"/>
        <w:tblCaption w:val="Table 2: Second Australian Atlas of Healthcare Variation key findings and recommendations"/>
      </w:tblPr>
      <w:tblGrid>
        <w:gridCol w:w="1274"/>
        <w:gridCol w:w="1386"/>
        <w:gridCol w:w="1988"/>
        <w:gridCol w:w="3629"/>
      </w:tblGrid>
      <w:tr w:rsidR="00897446" w:rsidRPr="00897446" w14:paraId="43F9E210" w14:textId="77777777" w:rsidTr="00D62B78">
        <w:trPr>
          <w:trHeight w:val="20"/>
          <w:tblHeader/>
        </w:trPr>
        <w:tc>
          <w:tcPr>
            <w:tcW w:w="4648" w:type="dxa"/>
            <w:gridSpan w:val="3"/>
            <w:tcBorders>
              <w:top w:val="single" w:sz="18" w:space="0" w:color="10897C"/>
              <w:bottom w:val="single" w:sz="16" w:space="0" w:color="10897C"/>
            </w:tcBorders>
            <w:shd w:val="solid" w:color="1E5F54" w:fill="auto"/>
            <w:tcMar>
              <w:top w:w="142" w:type="dxa"/>
              <w:left w:w="142" w:type="dxa"/>
              <w:bottom w:w="142" w:type="dxa"/>
              <w:right w:w="142" w:type="dxa"/>
            </w:tcMar>
          </w:tcPr>
          <w:p w14:paraId="3B37CC44" w14:textId="77777777" w:rsidR="00897446" w:rsidRPr="00897446" w:rsidRDefault="00897446" w:rsidP="007545C1">
            <w:pPr>
              <w:pStyle w:val="Tableheading"/>
              <w:rPr>
                <w:color w:val="000000"/>
              </w:rPr>
            </w:pPr>
            <w:r w:rsidRPr="00897446">
              <w:t>Area of variation</w:t>
            </w:r>
          </w:p>
        </w:tc>
        <w:tc>
          <w:tcPr>
            <w:tcW w:w="3629" w:type="dxa"/>
            <w:tcBorders>
              <w:top w:val="single" w:sz="18" w:space="0" w:color="10897C"/>
              <w:left w:val="nil"/>
              <w:bottom w:val="single" w:sz="4" w:space="0" w:color="10897C"/>
            </w:tcBorders>
            <w:shd w:val="solid" w:color="1E5F54" w:fill="auto"/>
            <w:tcMar>
              <w:top w:w="142" w:type="dxa"/>
              <w:left w:w="142" w:type="dxa"/>
              <w:bottom w:w="142" w:type="dxa"/>
              <w:right w:w="142" w:type="dxa"/>
            </w:tcMar>
          </w:tcPr>
          <w:p w14:paraId="66A43108" w14:textId="77777777" w:rsidR="00897446" w:rsidRPr="00897446" w:rsidRDefault="00897446" w:rsidP="007545C1">
            <w:pPr>
              <w:pStyle w:val="Tableheading"/>
              <w:rPr>
                <w:color w:val="000000"/>
              </w:rPr>
            </w:pPr>
            <w:r w:rsidRPr="00897446">
              <w:t>Recommendations</w:t>
            </w:r>
          </w:p>
        </w:tc>
      </w:tr>
      <w:tr w:rsidR="00897446" w:rsidRPr="00897446" w14:paraId="2ABBD172" w14:textId="77777777" w:rsidTr="006E6209">
        <w:trPr>
          <w:trHeight w:val="20"/>
        </w:trPr>
        <w:tc>
          <w:tcPr>
            <w:tcW w:w="4648" w:type="dxa"/>
            <w:gridSpan w:val="3"/>
            <w:tcBorders>
              <w:top w:val="single" w:sz="4" w:space="0" w:color="10897C"/>
              <w:bottom w:val="single" w:sz="4" w:space="0" w:color="10897C"/>
              <w:right w:val="single" w:sz="4" w:space="0" w:color="10897C"/>
            </w:tcBorders>
            <w:shd w:val="clear" w:color="auto" w:fill="CEDCD9"/>
            <w:tcMar>
              <w:top w:w="113" w:type="dxa"/>
              <w:left w:w="113" w:type="dxa"/>
              <w:bottom w:w="113" w:type="dxa"/>
              <w:right w:w="113" w:type="dxa"/>
            </w:tcMar>
          </w:tcPr>
          <w:p w14:paraId="646257B4" w14:textId="77777777" w:rsidR="00897446" w:rsidRPr="00897446" w:rsidRDefault="00897446" w:rsidP="006E6209">
            <w:pPr>
              <w:pStyle w:val="Tablesubheading"/>
              <w:rPr>
                <w:rFonts w:ascii="Helvetica 45 Light" w:hAnsi="Helvetica 45 Light" w:cs="Helvetica 45 Light"/>
                <w:spacing w:val="3"/>
              </w:rPr>
            </w:pPr>
            <w:r w:rsidRPr="00897446">
              <w:t>Hysterectomy (number of hospitalisations per 100,000 women aged 15 years and over, 2014–15)</w:t>
            </w:r>
          </w:p>
        </w:tc>
        <w:tc>
          <w:tcPr>
            <w:tcW w:w="3629" w:type="dxa"/>
            <w:vMerge w:val="restart"/>
            <w:tcBorders>
              <w:top w:val="single" w:sz="4" w:space="0" w:color="10897C"/>
              <w:left w:val="single" w:sz="4" w:space="0" w:color="10897C"/>
              <w:bottom w:val="single" w:sz="4" w:space="0" w:color="10897C"/>
            </w:tcBorders>
            <w:tcMar>
              <w:top w:w="113" w:type="dxa"/>
              <w:left w:w="113" w:type="dxa"/>
              <w:bottom w:w="113" w:type="dxa"/>
              <w:right w:w="113" w:type="dxa"/>
            </w:tcMar>
          </w:tcPr>
          <w:p w14:paraId="2BCB70B4" w14:textId="77777777" w:rsidR="00897446" w:rsidRPr="006E6209" w:rsidRDefault="00897446" w:rsidP="006E6209">
            <w:pPr>
              <w:pStyle w:val="Tabletextindent"/>
            </w:pPr>
            <w:r w:rsidRPr="006E6209">
              <w:t>3a.</w:t>
            </w:r>
            <w:r w:rsidRPr="006E6209">
              <w:tab/>
              <w:t xml:space="preserve">The Medicare Benefits Schedule (MBS) Review Taskforce to ensure that MBS item descriptors relating to treatments for heavy menstrual bleeding are aligned with the care described in the Heavy Menstrual Bleeding Clinical Care Standard. </w:t>
            </w:r>
          </w:p>
          <w:p w14:paraId="36AF7AD7" w14:textId="77777777" w:rsidR="00897446" w:rsidRPr="006E6209" w:rsidRDefault="00897446" w:rsidP="006E6209">
            <w:pPr>
              <w:pStyle w:val="Tabletextindent"/>
            </w:pPr>
            <w:r w:rsidRPr="006E6209">
              <w:t>3b.</w:t>
            </w:r>
            <w:r w:rsidRPr="006E6209">
              <w:tab/>
              <w:t xml:space="preserve">State and territory health departments to ensure that women who have heavy menstrual bleeding have been offered clinically appropriate treatment options, as described in the Heavy Menstrual Bleeding Clinical Care Standard, before they are placed on a waiting list for hysterectomy. </w:t>
            </w:r>
          </w:p>
          <w:p w14:paraId="05084E98" w14:textId="77777777" w:rsidR="00897446" w:rsidRPr="00897446" w:rsidRDefault="00897446" w:rsidP="006E6209">
            <w:pPr>
              <w:pStyle w:val="Tabletextindent"/>
            </w:pPr>
            <w:r w:rsidRPr="006E6209">
              <w:t>3c.</w:t>
            </w:r>
            <w:r w:rsidRPr="006E6209">
              <w:tab/>
              <w:t xml:space="preserve">Relevant professional colleges to include intrauterine device insertion within their advanced training programs. They should also review incentives for clinicians to participate in continuing professional development training programs on intrauterine device insertion, and access to such programs, to increase the number of clinicians skilled in insertion of the </w:t>
            </w:r>
            <w:proofErr w:type="spellStart"/>
            <w:r w:rsidRPr="006E6209">
              <w:t>levonorgestrel</w:t>
            </w:r>
            <w:proofErr w:type="spellEnd"/>
            <w:r w:rsidRPr="006E6209">
              <w:t xml:space="preserve"> intrauterine system</w:t>
            </w:r>
            <w:r w:rsidRPr="00897446">
              <w:t>.</w:t>
            </w:r>
          </w:p>
        </w:tc>
      </w:tr>
      <w:tr w:rsidR="00897446" w:rsidRPr="00897446" w14:paraId="3CEB9B25" w14:textId="77777777" w:rsidTr="00993939">
        <w:trPr>
          <w:trHeight w:val="20"/>
        </w:trPr>
        <w:tc>
          <w:tcPr>
            <w:tcW w:w="1274" w:type="dxa"/>
            <w:tcBorders>
              <w:top w:val="single" w:sz="4" w:space="0" w:color="10897C"/>
              <w:bottom w:val="single" w:sz="4" w:space="0" w:color="10897C"/>
              <w:right w:val="single" w:sz="4" w:space="0" w:color="10897C"/>
            </w:tcBorders>
            <w:shd w:val="clear" w:color="auto" w:fill="F1F0EE" w:themeFill="accent4"/>
            <w:tcMar>
              <w:top w:w="113" w:type="dxa"/>
              <w:left w:w="113" w:type="dxa"/>
              <w:bottom w:w="113" w:type="dxa"/>
              <w:right w:w="113" w:type="dxa"/>
            </w:tcMar>
            <w:vAlign w:val="bottom"/>
          </w:tcPr>
          <w:p w14:paraId="025ECD0C" w14:textId="77777777" w:rsidR="00897446" w:rsidRPr="006E6209" w:rsidRDefault="00897446" w:rsidP="006E6209">
            <w:pPr>
              <w:pStyle w:val="Tabletextsmall"/>
            </w:pPr>
          </w:p>
        </w:tc>
        <w:tc>
          <w:tcPr>
            <w:tcW w:w="1386" w:type="dxa"/>
            <w:tcBorders>
              <w:top w:val="single" w:sz="4" w:space="0" w:color="10897C"/>
              <w:left w:val="single" w:sz="4" w:space="0" w:color="10897C"/>
              <w:bottom w:val="single" w:sz="4" w:space="0" w:color="10897C"/>
              <w:right w:val="single" w:sz="4" w:space="0" w:color="10897C"/>
            </w:tcBorders>
            <w:shd w:val="clear" w:color="auto" w:fill="F1F0EE" w:themeFill="accent4"/>
            <w:tcMar>
              <w:top w:w="113" w:type="dxa"/>
              <w:left w:w="113" w:type="dxa"/>
              <w:bottom w:w="113" w:type="dxa"/>
              <w:right w:w="113" w:type="dxa"/>
            </w:tcMar>
            <w:vAlign w:val="bottom"/>
          </w:tcPr>
          <w:p w14:paraId="09ECF58B" w14:textId="77777777" w:rsidR="00897446" w:rsidRPr="006E6209" w:rsidRDefault="00897446" w:rsidP="006E6209">
            <w:pPr>
              <w:pStyle w:val="Tabletextsmall"/>
              <w:jc w:val="center"/>
            </w:pPr>
            <w:r w:rsidRPr="006E6209">
              <w:t>Rate (number per 100,000)</w:t>
            </w:r>
          </w:p>
        </w:tc>
        <w:tc>
          <w:tcPr>
            <w:tcW w:w="1988" w:type="dxa"/>
            <w:tcBorders>
              <w:top w:val="single" w:sz="4" w:space="0" w:color="10897C"/>
              <w:left w:val="single" w:sz="4" w:space="0" w:color="10897C"/>
              <w:bottom w:val="single" w:sz="4" w:space="0" w:color="10897C"/>
              <w:right w:val="single" w:sz="4" w:space="0" w:color="10897C"/>
            </w:tcBorders>
            <w:shd w:val="clear" w:color="auto" w:fill="F1F0EE" w:themeFill="accent4"/>
            <w:tcMar>
              <w:top w:w="113" w:type="dxa"/>
              <w:left w:w="113" w:type="dxa"/>
              <w:bottom w:w="113" w:type="dxa"/>
              <w:right w:w="113" w:type="dxa"/>
            </w:tcMar>
            <w:vAlign w:val="bottom"/>
          </w:tcPr>
          <w:p w14:paraId="6294811B" w14:textId="51BDBBB3" w:rsidR="00897446" w:rsidRPr="006E6209" w:rsidRDefault="00897446" w:rsidP="006E6209">
            <w:pPr>
              <w:pStyle w:val="Tabletextsmall"/>
              <w:jc w:val="center"/>
            </w:pPr>
            <w:r w:rsidRPr="006E6209">
              <w:t xml:space="preserve">For people </w:t>
            </w:r>
            <w:r w:rsidR="00AB2AE6">
              <w:br/>
            </w:r>
            <w:r w:rsidRPr="006E6209">
              <w:t>living in...</w:t>
            </w:r>
          </w:p>
        </w:tc>
        <w:tc>
          <w:tcPr>
            <w:tcW w:w="3629" w:type="dxa"/>
            <w:vMerge/>
            <w:tcBorders>
              <w:top w:val="single" w:sz="4" w:space="0" w:color="10897C"/>
              <w:left w:val="single" w:sz="4" w:space="0" w:color="10897C"/>
              <w:bottom w:val="single" w:sz="4" w:space="0" w:color="10897C"/>
            </w:tcBorders>
          </w:tcPr>
          <w:p w14:paraId="7629CEB3" w14:textId="77777777" w:rsidR="00897446" w:rsidRPr="00897446" w:rsidRDefault="00897446" w:rsidP="007545C1">
            <w:pPr>
              <w:pStyle w:val="Tabletext"/>
              <w:rPr>
                <w:rFonts w:ascii="Gotham Bold" w:hAnsi="Gotham Bold"/>
                <w:sz w:val="24"/>
                <w:szCs w:val="24"/>
              </w:rPr>
            </w:pPr>
          </w:p>
        </w:tc>
      </w:tr>
      <w:tr w:rsidR="00897446" w:rsidRPr="00897446" w14:paraId="3070A996" w14:textId="77777777" w:rsidTr="00993939">
        <w:trPr>
          <w:trHeight w:val="20"/>
        </w:trPr>
        <w:tc>
          <w:tcPr>
            <w:tcW w:w="1274" w:type="dxa"/>
            <w:tcBorders>
              <w:top w:val="single" w:sz="4" w:space="0" w:color="10897C"/>
              <w:bottom w:val="single" w:sz="4" w:space="0" w:color="10897C"/>
              <w:right w:val="single" w:sz="4" w:space="0" w:color="10897C"/>
            </w:tcBorders>
            <w:shd w:val="clear" w:color="auto" w:fill="F1F0EE" w:themeFill="accent4"/>
            <w:tcMar>
              <w:top w:w="113" w:type="dxa"/>
              <w:left w:w="113" w:type="dxa"/>
              <w:bottom w:w="113" w:type="dxa"/>
              <w:right w:w="113" w:type="dxa"/>
            </w:tcMar>
            <w:vAlign w:val="bottom"/>
          </w:tcPr>
          <w:p w14:paraId="35ABA67F" w14:textId="77777777" w:rsidR="00897446" w:rsidRPr="006E6209" w:rsidRDefault="00897446" w:rsidP="006E6209">
            <w:pPr>
              <w:pStyle w:val="Tabletextsmall"/>
            </w:pPr>
            <w:r w:rsidRPr="006E6209">
              <w:t>Local area highest rate</w:t>
            </w:r>
          </w:p>
        </w:tc>
        <w:tc>
          <w:tcPr>
            <w:tcW w:w="1386" w:type="dxa"/>
            <w:tcBorders>
              <w:top w:val="single" w:sz="4" w:space="0" w:color="10897C"/>
              <w:left w:val="single" w:sz="4" w:space="0" w:color="10897C"/>
              <w:bottom w:val="single" w:sz="4" w:space="0" w:color="10897C"/>
              <w:right w:val="single" w:sz="4" w:space="0" w:color="10897C"/>
            </w:tcBorders>
            <w:shd w:val="clear" w:color="auto" w:fill="F1F0EE" w:themeFill="accent4"/>
            <w:tcMar>
              <w:top w:w="113" w:type="dxa"/>
              <w:left w:w="113" w:type="dxa"/>
              <w:bottom w:w="113" w:type="dxa"/>
              <w:right w:w="113" w:type="dxa"/>
            </w:tcMar>
            <w:vAlign w:val="bottom"/>
          </w:tcPr>
          <w:p w14:paraId="151F17A1" w14:textId="77777777" w:rsidR="00897446" w:rsidRPr="006E6209" w:rsidRDefault="00897446" w:rsidP="006E6209">
            <w:pPr>
              <w:pStyle w:val="Tabletextsmall"/>
              <w:jc w:val="center"/>
            </w:pPr>
            <w:r w:rsidRPr="006E6209">
              <w:t>763</w:t>
            </w:r>
          </w:p>
        </w:tc>
        <w:tc>
          <w:tcPr>
            <w:tcW w:w="1988" w:type="dxa"/>
            <w:tcBorders>
              <w:top w:val="single" w:sz="4" w:space="0" w:color="10897C"/>
              <w:left w:val="single" w:sz="4" w:space="0" w:color="10897C"/>
              <w:bottom w:val="single" w:sz="4" w:space="0" w:color="10897C"/>
              <w:right w:val="single" w:sz="4" w:space="0" w:color="10897C"/>
            </w:tcBorders>
            <w:shd w:val="clear" w:color="auto" w:fill="F1F0EE" w:themeFill="accent4"/>
            <w:tcMar>
              <w:top w:w="113" w:type="dxa"/>
              <w:left w:w="113" w:type="dxa"/>
              <w:bottom w:w="113" w:type="dxa"/>
              <w:right w:w="113" w:type="dxa"/>
            </w:tcMar>
            <w:vAlign w:val="bottom"/>
          </w:tcPr>
          <w:p w14:paraId="64DA2585" w14:textId="77777777" w:rsidR="00897446" w:rsidRPr="006E6209" w:rsidRDefault="00897446" w:rsidP="006E6209">
            <w:pPr>
              <w:pStyle w:val="Tabletextsmall"/>
              <w:jc w:val="center"/>
            </w:pPr>
            <w:proofErr w:type="spellStart"/>
            <w:r w:rsidRPr="006E6209">
              <w:t>Maryborough</w:t>
            </w:r>
            <w:proofErr w:type="spellEnd"/>
            <w:r w:rsidRPr="006E6209">
              <w:t>-Pyrenees (Vic)</w:t>
            </w:r>
          </w:p>
        </w:tc>
        <w:tc>
          <w:tcPr>
            <w:tcW w:w="3629" w:type="dxa"/>
            <w:vMerge/>
            <w:tcBorders>
              <w:top w:val="single" w:sz="4" w:space="0" w:color="10897C"/>
              <w:left w:val="single" w:sz="4" w:space="0" w:color="10897C"/>
              <w:bottom w:val="single" w:sz="4" w:space="0" w:color="10897C"/>
            </w:tcBorders>
          </w:tcPr>
          <w:p w14:paraId="1FDE5BB3" w14:textId="77777777" w:rsidR="00897446" w:rsidRPr="00897446" w:rsidRDefault="00897446" w:rsidP="007545C1">
            <w:pPr>
              <w:pStyle w:val="Tabletext"/>
              <w:rPr>
                <w:rFonts w:ascii="Gotham Bold" w:hAnsi="Gotham Bold"/>
                <w:sz w:val="24"/>
                <w:szCs w:val="24"/>
              </w:rPr>
            </w:pPr>
          </w:p>
        </w:tc>
      </w:tr>
      <w:tr w:rsidR="00897446" w:rsidRPr="00897446" w14:paraId="7B666E31" w14:textId="77777777" w:rsidTr="00993939">
        <w:trPr>
          <w:trHeight w:val="567"/>
        </w:trPr>
        <w:tc>
          <w:tcPr>
            <w:tcW w:w="1274" w:type="dxa"/>
            <w:tcBorders>
              <w:top w:val="single" w:sz="4" w:space="0" w:color="10897C"/>
              <w:bottom w:val="single" w:sz="4" w:space="0" w:color="10897C"/>
              <w:right w:val="single" w:sz="4" w:space="0" w:color="10897C"/>
            </w:tcBorders>
            <w:shd w:val="clear" w:color="auto" w:fill="F1F0EE" w:themeFill="accent4"/>
            <w:tcMar>
              <w:top w:w="0" w:type="dxa"/>
              <w:left w:w="113" w:type="dxa"/>
              <w:bottom w:w="0" w:type="dxa"/>
              <w:right w:w="113" w:type="dxa"/>
            </w:tcMar>
            <w:vAlign w:val="center"/>
          </w:tcPr>
          <w:p w14:paraId="6D26A4E0" w14:textId="77777777" w:rsidR="00897446" w:rsidRPr="006E6209" w:rsidRDefault="00897446" w:rsidP="006E6209">
            <w:pPr>
              <w:pStyle w:val="Tabletextsmall"/>
            </w:pPr>
            <w:r w:rsidRPr="006E6209">
              <w:t>Local area lowest rate</w:t>
            </w:r>
          </w:p>
        </w:tc>
        <w:tc>
          <w:tcPr>
            <w:tcW w:w="1386" w:type="dxa"/>
            <w:tcBorders>
              <w:top w:val="single" w:sz="4" w:space="0" w:color="10897C"/>
              <w:left w:val="single" w:sz="4" w:space="0" w:color="10897C"/>
              <w:bottom w:val="single" w:sz="4" w:space="0" w:color="10897C"/>
              <w:right w:val="single" w:sz="4" w:space="0" w:color="10897C"/>
            </w:tcBorders>
            <w:shd w:val="clear" w:color="auto" w:fill="F1F0EE" w:themeFill="accent4"/>
            <w:tcMar>
              <w:top w:w="0" w:type="dxa"/>
              <w:left w:w="113" w:type="dxa"/>
              <w:bottom w:w="0" w:type="dxa"/>
              <w:right w:w="113" w:type="dxa"/>
            </w:tcMar>
            <w:vAlign w:val="center"/>
          </w:tcPr>
          <w:p w14:paraId="7E9006DA" w14:textId="77777777" w:rsidR="00897446" w:rsidRPr="006E6209" w:rsidRDefault="00897446" w:rsidP="006E6209">
            <w:pPr>
              <w:pStyle w:val="Tabletextsmall"/>
              <w:jc w:val="center"/>
            </w:pPr>
            <w:r w:rsidRPr="006E6209">
              <w:t>115</w:t>
            </w:r>
          </w:p>
        </w:tc>
        <w:tc>
          <w:tcPr>
            <w:tcW w:w="1988" w:type="dxa"/>
            <w:tcBorders>
              <w:top w:val="single" w:sz="4" w:space="0" w:color="10897C"/>
              <w:left w:val="single" w:sz="4" w:space="0" w:color="10897C"/>
              <w:bottom w:val="single" w:sz="4" w:space="0" w:color="10897C"/>
              <w:right w:val="single" w:sz="4" w:space="0" w:color="10897C"/>
            </w:tcBorders>
            <w:shd w:val="clear" w:color="auto" w:fill="F1F0EE" w:themeFill="accent4"/>
            <w:tcMar>
              <w:top w:w="0" w:type="dxa"/>
              <w:left w:w="113" w:type="dxa"/>
              <w:bottom w:w="0" w:type="dxa"/>
              <w:right w:w="113" w:type="dxa"/>
            </w:tcMar>
            <w:vAlign w:val="center"/>
          </w:tcPr>
          <w:p w14:paraId="7663E588" w14:textId="77777777" w:rsidR="00897446" w:rsidRPr="006E6209" w:rsidRDefault="00897446" w:rsidP="006E6209">
            <w:pPr>
              <w:pStyle w:val="Tabletextsmall"/>
              <w:jc w:val="center"/>
            </w:pPr>
            <w:proofErr w:type="spellStart"/>
            <w:r w:rsidRPr="006E6209">
              <w:t>Gungahlin</w:t>
            </w:r>
            <w:proofErr w:type="spellEnd"/>
            <w:r w:rsidRPr="006E6209">
              <w:t xml:space="preserve"> (ACT)</w:t>
            </w:r>
          </w:p>
        </w:tc>
        <w:tc>
          <w:tcPr>
            <w:tcW w:w="3629" w:type="dxa"/>
            <w:vMerge/>
            <w:tcBorders>
              <w:top w:val="single" w:sz="4" w:space="0" w:color="10897C"/>
              <w:left w:val="single" w:sz="4" w:space="0" w:color="10897C"/>
              <w:bottom w:val="single" w:sz="4" w:space="0" w:color="10897C"/>
            </w:tcBorders>
          </w:tcPr>
          <w:p w14:paraId="71699AD9" w14:textId="77777777" w:rsidR="00897446" w:rsidRPr="00897446" w:rsidRDefault="00897446" w:rsidP="007545C1">
            <w:pPr>
              <w:pStyle w:val="Tabletext"/>
              <w:rPr>
                <w:rFonts w:ascii="Gotham Bold" w:hAnsi="Gotham Bold"/>
                <w:sz w:val="24"/>
                <w:szCs w:val="24"/>
              </w:rPr>
            </w:pPr>
          </w:p>
        </w:tc>
      </w:tr>
      <w:tr w:rsidR="00897446" w:rsidRPr="00897446" w14:paraId="3DB3E89C" w14:textId="77777777" w:rsidTr="006E6209">
        <w:trPr>
          <w:trHeight w:val="20"/>
        </w:trPr>
        <w:tc>
          <w:tcPr>
            <w:tcW w:w="4648" w:type="dxa"/>
            <w:gridSpan w:val="3"/>
            <w:tcBorders>
              <w:top w:val="single" w:sz="4" w:space="0" w:color="10897C"/>
              <w:bottom w:val="single" w:sz="4" w:space="0" w:color="10897C"/>
              <w:right w:val="single" w:sz="4" w:space="0" w:color="10897C"/>
            </w:tcBorders>
            <w:tcMar>
              <w:top w:w="113" w:type="dxa"/>
              <w:left w:w="113" w:type="dxa"/>
              <w:bottom w:w="113" w:type="dxa"/>
              <w:right w:w="113" w:type="dxa"/>
            </w:tcMar>
          </w:tcPr>
          <w:p w14:paraId="239E3547" w14:textId="77777777" w:rsidR="00897446" w:rsidRPr="00897446" w:rsidRDefault="00897446" w:rsidP="006E6209">
            <w:pPr>
              <w:pStyle w:val="Tablesubheading"/>
              <w:jc w:val="center"/>
              <w:rPr>
                <w:rFonts w:ascii="Helvetica 45 Light" w:hAnsi="Helvetica 45 Light" w:cs="Helvetica 45 Light"/>
                <w:spacing w:val="3"/>
              </w:rPr>
            </w:pPr>
            <w:r w:rsidRPr="00897446">
              <w:t>6.6-fold difference</w:t>
            </w:r>
          </w:p>
        </w:tc>
        <w:tc>
          <w:tcPr>
            <w:tcW w:w="3629" w:type="dxa"/>
            <w:vMerge/>
            <w:tcBorders>
              <w:top w:val="single" w:sz="4" w:space="0" w:color="10897C"/>
              <w:left w:val="single" w:sz="4" w:space="0" w:color="10897C"/>
              <w:bottom w:val="single" w:sz="4" w:space="0" w:color="10897C"/>
            </w:tcBorders>
          </w:tcPr>
          <w:p w14:paraId="076EB8CB" w14:textId="77777777" w:rsidR="00897446" w:rsidRPr="00897446" w:rsidRDefault="00897446" w:rsidP="007545C1">
            <w:pPr>
              <w:pStyle w:val="Tabletext"/>
              <w:rPr>
                <w:rFonts w:ascii="Gotham Bold" w:hAnsi="Gotham Bold"/>
                <w:sz w:val="24"/>
                <w:szCs w:val="24"/>
              </w:rPr>
            </w:pPr>
          </w:p>
        </w:tc>
      </w:tr>
      <w:tr w:rsidR="00897446" w:rsidRPr="00897446" w14:paraId="10AF802D" w14:textId="77777777" w:rsidTr="006E6209">
        <w:trPr>
          <w:trHeight w:val="20"/>
        </w:trPr>
        <w:tc>
          <w:tcPr>
            <w:tcW w:w="4648" w:type="dxa"/>
            <w:gridSpan w:val="3"/>
            <w:tcBorders>
              <w:top w:val="single" w:sz="4" w:space="0" w:color="10897C"/>
              <w:bottom w:val="single" w:sz="4" w:space="0" w:color="10897C"/>
              <w:right w:val="single" w:sz="4" w:space="0" w:color="10897C"/>
            </w:tcBorders>
            <w:shd w:val="clear" w:color="auto" w:fill="CEDCD9"/>
            <w:tcMar>
              <w:top w:w="113" w:type="dxa"/>
              <w:left w:w="113" w:type="dxa"/>
              <w:bottom w:w="113" w:type="dxa"/>
              <w:right w:w="113" w:type="dxa"/>
            </w:tcMar>
          </w:tcPr>
          <w:p w14:paraId="39EF9099" w14:textId="77C57BD5" w:rsidR="00897446" w:rsidRPr="00897446" w:rsidRDefault="00897446" w:rsidP="006E6209">
            <w:pPr>
              <w:pStyle w:val="Tablesubheading"/>
              <w:rPr>
                <w:rFonts w:ascii="Helvetica 45 Light" w:hAnsi="Helvetica 45 Light" w:cs="Helvetica 45 Light"/>
                <w:spacing w:val="3"/>
              </w:rPr>
            </w:pPr>
            <w:r w:rsidRPr="00897446">
              <w:t xml:space="preserve">Endometrial ablation (number of hospitalisations per 100,000 women aged 15 years and over, </w:t>
            </w:r>
            <w:r w:rsidR="00AB2AE6">
              <w:br/>
            </w:r>
            <w:r w:rsidRPr="00897446">
              <w:t>2012–13 to 2014–15)</w:t>
            </w:r>
          </w:p>
        </w:tc>
        <w:tc>
          <w:tcPr>
            <w:tcW w:w="3629" w:type="dxa"/>
            <w:vMerge/>
            <w:tcBorders>
              <w:top w:val="single" w:sz="4" w:space="0" w:color="10897C"/>
              <w:left w:val="single" w:sz="4" w:space="0" w:color="10897C"/>
              <w:bottom w:val="single" w:sz="4" w:space="0" w:color="10897C"/>
            </w:tcBorders>
          </w:tcPr>
          <w:p w14:paraId="368B14F3" w14:textId="77777777" w:rsidR="00897446" w:rsidRPr="00897446" w:rsidRDefault="00897446" w:rsidP="007545C1">
            <w:pPr>
              <w:pStyle w:val="Tabletext"/>
              <w:rPr>
                <w:rFonts w:ascii="Gotham Bold" w:hAnsi="Gotham Bold"/>
                <w:sz w:val="24"/>
                <w:szCs w:val="24"/>
              </w:rPr>
            </w:pPr>
          </w:p>
        </w:tc>
      </w:tr>
      <w:tr w:rsidR="00897446" w:rsidRPr="00897446" w14:paraId="5FDF63B0" w14:textId="77777777" w:rsidTr="00993939">
        <w:trPr>
          <w:trHeight w:val="20"/>
        </w:trPr>
        <w:tc>
          <w:tcPr>
            <w:tcW w:w="1274" w:type="dxa"/>
            <w:tcBorders>
              <w:top w:val="single" w:sz="4" w:space="0" w:color="10897C"/>
              <w:bottom w:val="single" w:sz="4" w:space="0" w:color="10897C"/>
              <w:right w:val="single" w:sz="4" w:space="0" w:color="10897C"/>
            </w:tcBorders>
            <w:shd w:val="clear" w:color="auto" w:fill="F1F0EE" w:themeFill="accent4"/>
            <w:tcMar>
              <w:top w:w="113" w:type="dxa"/>
              <w:left w:w="113" w:type="dxa"/>
              <w:bottom w:w="113" w:type="dxa"/>
              <w:right w:w="113" w:type="dxa"/>
            </w:tcMar>
            <w:vAlign w:val="bottom"/>
          </w:tcPr>
          <w:p w14:paraId="37D50648" w14:textId="77777777" w:rsidR="00897446" w:rsidRPr="00C36315" w:rsidRDefault="00897446" w:rsidP="00C36315">
            <w:pPr>
              <w:pStyle w:val="Tabletextsmall"/>
            </w:pPr>
          </w:p>
        </w:tc>
        <w:tc>
          <w:tcPr>
            <w:tcW w:w="1386" w:type="dxa"/>
            <w:tcBorders>
              <w:top w:val="single" w:sz="4" w:space="0" w:color="10897C"/>
              <w:left w:val="single" w:sz="4" w:space="0" w:color="10897C"/>
              <w:bottom w:val="single" w:sz="4" w:space="0" w:color="10897C"/>
              <w:right w:val="single" w:sz="4" w:space="0" w:color="10897C"/>
            </w:tcBorders>
            <w:shd w:val="clear" w:color="auto" w:fill="F1F0EE" w:themeFill="accent4"/>
            <w:tcMar>
              <w:top w:w="113" w:type="dxa"/>
              <w:left w:w="113" w:type="dxa"/>
              <w:bottom w:w="113" w:type="dxa"/>
              <w:right w:w="113" w:type="dxa"/>
            </w:tcMar>
            <w:vAlign w:val="bottom"/>
          </w:tcPr>
          <w:p w14:paraId="025EBA06" w14:textId="77777777" w:rsidR="00897446" w:rsidRPr="00C36315" w:rsidRDefault="00897446" w:rsidP="00C36315">
            <w:pPr>
              <w:pStyle w:val="Tabletextsmall"/>
              <w:jc w:val="center"/>
            </w:pPr>
            <w:r w:rsidRPr="00C36315">
              <w:t>Rate (number per 100,000)</w:t>
            </w:r>
          </w:p>
        </w:tc>
        <w:tc>
          <w:tcPr>
            <w:tcW w:w="1988" w:type="dxa"/>
            <w:tcBorders>
              <w:top w:val="single" w:sz="4" w:space="0" w:color="10897C"/>
              <w:left w:val="single" w:sz="4" w:space="0" w:color="10897C"/>
              <w:bottom w:val="single" w:sz="4" w:space="0" w:color="10897C"/>
              <w:right w:val="single" w:sz="4" w:space="0" w:color="10897C"/>
            </w:tcBorders>
            <w:shd w:val="clear" w:color="auto" w:fill="F1F0EE" w:themeFill="accent4"/>
            <w:tcMar>
              <w:top w:w="113" w:type="dxa"/>
              <w:left w:w="113" w:type="dxa"/>
              <w:bottom w:w="113" w:type="dxa"/>
              <w:right w:w="113" w:type="dxa"/>
            </w:tcMar>
            <w:vAlign w:val="bottom"/>
          </w:tcPr>
          <w:p w14:paraId="07131EB2" w14:textId="65097E9E" w:rsidR="00897446" w:rsidRPr="00C36315" w:rsidRDefault="00897446" w:rsidP="00C36315">
            <w:pPr>
              <w:pStyle w:val="Tabletextsmall"/>
              <w:jc w:val="center"/>
            </w:pPr>
            <w:r w:rsidRPr="00C36315">
              <w:t xml:space="preserve">For people </w:t>
            </w:r>
            <w:r w:rsidR="00AB2AE6">
              <w:br/>
            </w:r>
            <w:r w:rsidRPr="00C36315">
              <w:t>living in...</w:t>
            </w:r>
          </w:p>
        </w:tc>
        <w:tc>
          <w:tcPr>
            <w:tcW w:w="3629" w:type="dxa"/>
            <w:vMerge/>
            <w:tcBorders>
              <w:top w:val="single" w:sz="4" w:space="0" w:color="10897C"/>
              <w:left w:val="single" w:sz="4" w:space="0" w:color="10897C"/>
              <w:bottom w:val="single" w:sz="4" w:space="0" w:color="10897C"/>
            </w:tcBorders>
          </w:tcPr>
          <w:p w14:paraId="038D5415" w14:textId="77777777" w:rsidR="00897446" w:rsidRPr="00897446" w:rsidRDefault="00897446" w:rsidP="007545C1">
            <w:pPr>
              <w:pStyle w:val="Tabletext"/>
              <w:rPr>
                <w:rFonts w:ascii="Gotham Bold" w:hAnsi="Gotham Bold"/>
                <w:sz w:val="24"/>
                <w:szCs w:val="24"/>
              </w:rPr>
            </w:pPr>
          </w:p>
        </w:tc>
      </w:tr>
      <w:tr w:rsidR="00897446" w:rsidRPr="00897446" w14:paraId="5562BC6E" w14:textId="77777777" w:rsidTr="00993939">
        <w:trPr>
          <w:trHeight w:val="20"/>
        </w:trPr>
        <w:tc>
          <w:tcPr>
            <w:tcW w:w="1274" w:type="dxa"/>
            <w:tcBorders>
              <w:top w:val="single" w:sz="4" w:space="0" w:color="10897C"/>
              <w:bottom w:val="single" w:sz="4" w:space="0" w:color="10897C"/>
              <w:right w:val="single" w:sz="4" w:space="0" w:color="10897C"/>
            </w:tcBorders>
            <w:shd w:val="clear" w:color="auto" w:fill="F1F0EE" w:themeFill="accent4"/>
            <w:tcMar>
              <w:top w:w="113" w:type="dxa"/>
              <w:left w:w="113" w:type="dxa"/>
              <w:bottom w:w="113" w:type="dxa"/>
              <w:right w:w="113" w:type="dxa"/>
            </w:tcMar>
            <w:vAlign w:val="bottom"/>
          </w:tcPr>
          <w:p w14:paraId="18003F1E" w14:textId="77777777" w:rsidR="00897446" w:rsidRPr="00C36315" w:rsidRDefault="00897446" w:rsidP="00C36315">
            <w:pPr>
              <w:pStyle w:val="Tabletextsmall"/>
            </w:pPr>
            <w:r w:rsidRPr="00C36315">
              <w:t>Local area highest rate</w:t>
            </w:r>
          </w:p>
        </w:tc>
        <w:tc>
          <w:tcPr>
            <w:tcW w:w="1386" w:type="dxa"/>
            <w:tcBorders>
              <w:top w:val="single" w:sz="4" w:space="0" w:color="10897C"/>
              <w:left w:val="single" w:sz="4" w:space="0" w:color="10897C"/>
              <w:bottom w:val="single" w:sz="4" w:space="0" w:color="10897C"/>
              <w:right w:val="single" w:sz="4" w:space="0" w:color="10897C"/>
            </w:tcBorders>
            <w:shd w:val="clear" w:color="auto" w:fill="F1F0EE" w:themeFill="accent4"/>
            <w:tcMar>
              <w:top w:w="113" w:type="dxa"/>
              <w:left w:w="113" w:type="dxa"/>
              <w:bottom w:w="113" w:type="dxa"/>
              <w:right w:w="113" w:type="dxa"/>
            </w:tcMar>
            <w:vAlign w:val="bottom"/>
          </w:tcPr>
          <w:p w14:paraId="5C822F39" w14:textId="77777777" w:rsidR="00897446" w:rsidRPr="00C36315" w:rsidRDefault="00897446" w:rsidP="00C36315">
            <w:pPr>
              <w:pStyle w:val="Tabletextsmall"/>
              <w:jc w:val="center"/>
            </w:pPr>
            <w:r w:rsidRPr="00C36315">
              <w:t>390</w:t>
            </w:r>
          </w:p>
        </w:tc>
        <w:tc>
          <w:tcPr>
            <w:tcW w:w="1988" w:type="dxa"/>
            <w:tcBorders>
              <w:top w:val="single" w:sz="4" w:space="0" w:color="10897C"/>
              <w:left w:val="single" w:sz="4" w:space="0" w:color="10897C"/>
              <w:bottom w:val="single" w:sz="4" w:space="0" w:color="10897C"/>
              <w:right w:val="single" w:sz="4" w:space="0" w:color="10897C"/>
            </w:tcBorders>
            <w:shd w:val="clear" w:color="auto" w:fill="F1F0EE" w:themeFill="accent4"/>
            <w:tcMar>
              <w:top w:w="113" w:type="dxa"/>
              <w:left w:w="113" w:type="dxa"/>
              <w:bottom w:w="113" w:type="dxa"/>
              <w:right w:w="113" w:type="dxa"/>
            </w:tcMar>
            <w:vAlign w:val="bottom"/>
          </w:tcPr>
          <w:p w14:paraId="095A88EF" w14:textId="77777777" w:rsidR="00897446" w:rsidRPr="00C36315" w:rsidRDefault="00897446" w:rsidP="00C36315">
            <w:pPr>
              <w:pStyle w:val="Tabletextsmall"/>
              <w:jc w:val="center"/>
            </w:pPr>
            <w:r w:rsidRPr="00C36315">
              <w:t>Burnie-</w:t>
            </w:r>
            <w:proofErr w:type="spellStart"/>
            <w:r w:rsidRPr="00C36315">
              <w:t>Ulverstone</w:t>
            </w:r>
            <w:proofErr w:type="spellEnd"/>
            <w:r w:rsidRPr="00C36315">
              <w:t xml:space="preserve"> (</w:t>
            </w:r>
            <w:proofErr w:type="spellStart"/>
            <w:r w:rsidRPr="00C36315">
              <w:t>Tas</w:t>
            </w:r>
            <w:proofErr w:type="spellEnd"/>
            <w:r w:rsidRPr="00C36315">
              <w:t>)</w:t>
            </w:r>
          </w:p>
        </w:tc>
        <w:tc>
          <w:tcPr>
            <w:tcW w:w="3629" w:type="dxa"/>
            <w:vMerge/>
            <w:tcBorders>
              <w:top w:val="single" w:sz="4" w:space="0" w:color="10897C"/>
              <w:left w:val="single" w:sz="4" w:space="0" w:color="10897C"/>
              <w:bottom w:val="single" w:sz="4" w:space="0" w:color="10897C"/>
            </w:tcBorders>
          </w:tcPr>
          <w:p w14:paraId="7143E986" w14:textId="77777777" w:rsidR="00897446" w:rsidRPr="00897446" w:rsidRDefault="00897446" w:rsidP="007545C1">
            <w:pPr>
              <w:pStyle w:val="Tabletext"/>
              <w:rPr>
                <w:rFonts w:ascii="Gotham Bold" w:hAnsi="Gotham Bold"/>
                <w:sz w:val="24"/>
                <w:szCs w:val="24"/>
              </w:rPr>
            </w:pPr>
          </w:p>
        </w:tc>
      </w:tr>
      <w:tr w:rsidR="00897446" w:rsidRPr="00897446" w14:paraId="4815D46C" w14:textId="77777777" w:rsidTr="00993939">
        <w:trPr>
          <w:trHeight w:val="20"/>
        </w:trPr>
        <w:tc>
          <w:tcPr>
            <w:tcW w:w="1274" w:type="dxa"/>
            <w:tcBorders>
              <w:top w:val="single" w:sz="4" w:space="0" w:color="10897C"/>
              <w:bottom w:val="single" w:sz="4" w:space="0" w:color="10897C"/>
              <w:right w:val="single" w:sz="4" w:space="0" w:color="10897C"/>
            </w:tcBorders>
            <w:shd w:val="clear" w:color="auto" w:fill="F1F0EE" w:themeFill="accent4"/>
            <w:tcMar>
              <w:top w:w="113" w:type="dxa"/>
              <w:left w:w="113" w:type="dxa"/>
              <w:bottom w:w="113" w:type="dxa"/>
              <w:right w:w="113" w:type="dxa"/>
            </w:tcMar>
            <w:vAlign w:val="bottom"/>
          </w:tcPr>
          <w:p w14:paraId="47E3A073" w14:textId="77777777" w:rsidR="00897446" w:rsidRPr="00C36315" w:rsidRDefault="00897446" w:rsidP="00C36315">
            <w:pPr>
              <w:pStyle w:val="Tabletextsmall"/>
            </w:pPr>
            <w:r w:rsidRPr="00C36315">
              <w:t>Local area lowest rate</w:t>
            </w:r>
          </w:p>
        </w:tc>
        <w:tc>
          <w:tcPr>
            <w:tcW w:w="1386" w:type="dxa"/>
            <w:tcBorders>
              <w:top w:val="single" w:sz="4" w:space="0" w:color="10897C"/>
              <w:left w:val="single" w:sz="4" w:space="0" w:color="10897C"/>
              <w:bottom w:val="single" w:sz="4" w:space="0" w:color="10897C"/>
              <w:right w:val="single" w:sz="4" w:space="0" w:color="10897C"/>
            </w:tcBorders>
            <w:shd w:val="clear" w:color="auto" w:fill="F1F0EE" w:themeFill="accent4"/>
            <w:tcMar>
              <w:top w:w="113" w:type="dxa"/>
              <w:left w:w="113" w:type="dxa"/>
              <w:bottom w:w="113" w:type="dxa"/>
              <w:right w:w="113" w:type="dxa"/>
            </w:tcMar>
            <w:vAlign w:val="bottom"/>
          </w:tcPr>
          <w:p w14:paraId="028F497A" w14:textId="77777777" w:rsidR="00897446" w:rsidRPr="00C36315" w:rsidRDefault="00897446" w:rsidP="00C36315">
            <w:pPr>
              <w:pStyle w:val="Tabletextsmall"/>
              <w:jc w:val="center"/>
            </w:pPr>
            <w:r w:rsidRPr="00C36315">
              <w:t>19</w:t>
            </w:r>
          </w:p>
        </w:tc>
        <w:tc>
          <w:tcPr>
            <w:tcW w:w="1988" w:type="dxa"/>
            <w:tcBorders>
              <w:top w:val="single" w:sz="4" w:space="0" w:color="10897C"/>
              <w:left w:val="single" w:sz="4" w:space="0" w:color="10897C"/>
              <w:bottom w:val="single" w:sz="4" w:space="0" w:color="10897C"/>
              <w:right w:val="single" w:sz="4" w:space="0" w:color="10897C"/>
            </w:tcBorders>
            <w:shd w:val="clear" w:color="auto" w:fill="F1F0EE" w:themeFill="accent4"/>
            <w:tcMar>
              <w:top w:w="113" w:type="dxa"/>
              <w:left w:w="113" w:type="dxa"/>
              <w:bottom w:w="113" w:type="dxa"/>
              <w:right w:w="113" w:type="dxa"/>
            </w:tcMar>
            <w:vAlign w:val="bottom"/>
          </w:tcPr>
          <w:p w14:paraId="4E027DCC" w14:textId="77777777" w:rsidR="00897446" w:rsidRPr="00C36315" w:rsidRDefault="00897446" w:rsidP="00C36315">
            <w:pPr>
              <w:pStyle w:val="Tabletextsmall"/>
              <w:jc w:val="center"/>
            </w:pPr>
            <w:r w:rsidRPr="00C36315">
              <w:t>Fairfield (NSW)</w:t>
            </w:r>
          </w:p>
        </w:tc>
        <w:tc>
          <w:tcPr>
            <w:tcW w:w="3629" w:type="dxa"/>
            <w:vMerge/>
            <w:tcBorders>
              <w:top w:val="single" w:sz="4" w:space="0" w:color="10897C"/>
              <w:left w:val="single" w:sz="4" w:space="0" w:color="10897C"/>
              <w:bottom w:val="single" w:sz="4" w:space="0" w:color="10897C"/>
            </w:tcBorders>
          </w:tcPr>
          <w:p w14:paraId="50A0E8F5" w14:textId="77777777" w:rsidR="00897446" w:rsidRPr="00897446" w:rsidRDefault="00897446" w:rsidP="007545C1">
            <w:pPr>
              <w:pStyle w:val="Tabletext"/>
              <w:rPr>
                <w:rFonts w:ascii="Gotham Bold" w:hAnsi="Gotham Bold"/>
                <w:sz w:val="24"/>
                <w:szCs w:val="24"/>
              </w:rPr>
            </w:pPr>
          </w:p>
        </w:tc>
      </w:tr>
      <w:tr w:rsidR="00897446" w:rsidRPr="00897446" w14:paraId="6774BBDB" w14:textId="77777777" w:rsidTr="006E6209">
        <w:trPr>
          <w:trHeight w:val="20"/>
        </w:trPr>
        <w:tc>
          <w:tcPr>
            <w:tcW w:w="4648" w:type="dxa"/>
            <w:gridSpan w:val="3"/>
            <w:tcBorders>
              <w:top w:val="single" w:sz="4" w:space="0" w:color="10897C"/>
              <w:bottom w:val="single" w:sz="4" w:space="0" w:color="10897C"/>
              <w:right w:val="single" w:sz="4" w:space="0" w:color="10897C"/>
            </w:tcBorders>
            <w:tcMar>
              <w:top w:w="113" w:type="dxa"/>
              <w:left w:w="113" w:type="dxa"/>
              <w:bottom w:w="113" w:type="dxa"/>
              <w:right w:w="113" w:type="dxa"/>
            </w:tcMar>
          </w:tcPr>
          <w:p w14:paraId="08830FC6" w14:textId="77777777" w:rsidR="00897446" w:rsidRPr="00897446" w:rsidRDefault="00897446" w:rsidP="006E6209">
            <w:pPr>
              <w:pStyle w:val="Tablesubheading"/>
              <w:jc w:val="center"/>
              <w:rPr>
                <w:rFonts w:ascii="Helvetica 45 Light" w:hAnsi="Helvetica 45 Light" w:cs="Helvetica 45 Light"/>
                <w:spacing w:val="3"/>
              </w:rPr>
            </w:pPr>
            <w:r w:rsidRPr="00897446">
              <w:t>20.5-fold difference</w:t>
            </w:r>
          </w:p>
        </w:tc>
        <w:tc>
          <w:tcPr>
            <w:tcW w:w="3629" w:type="dxa"/>
            <w:vMerge/>
            <w:tcBorders>
              <w:top w:val="single" w:sz="4" w:space="0" w:color="10897C"/>
              <w:left w:val="single" w:sz="4" w:space="0" w:color="10897C"/>
              <w:bottom w:val="single" w:sz="4" w:space="0" w:color="10897C"/>
            </w:tcBorders>
          </w:tcPr>
          <w:p w14:paraId="2700DEEC" w14:textId="77777777" w:rsidR="00897446" w:rsidRPr="00897446" w:rsidRDefault="00897446" w:rsidP="007545C1">
            <w:pPr>
              <w:pStyle w:val="Tabletext"/>
              <w:rPr>
                <w:rFonts w:ascii="Gotham Bold" w:hAnsi="Gotham Bold"/>
                <w:sz w:val="24"/>
                <w:szCs w:val="24"/>
              </w:rPr>
            </w:pPr>
          </w:p>
        </w:tc>
      </w:tr>
      <w:tr w:rsidR="00897446" w:rsidRPr="00897446" w14:paraId="3908C4AA" w14:textId="77777777" w:rsidTr="006E6209">
        <w:trPr>
          <w:trHeight w:val="20"/>
        </w:trPr>
        <w:tc>
          <w:tcPr>
            <w:tcW w:w="4648" w:type="dxa"/>
            <w:gridSpan w:val="3"/>
            <w:tcBorders>
              <w:top w:val="single" w:sz="4" w:space="0" w:color="10897C"/>
              <w:bottom w:val="single" w:sz="4" w:space="0" w:color="10897C"/>
              <w:right w:val="single" w:sz="4" w:space="0" w:color="10897C"/>
            </w:tcBorders>
            <w:shd w:val="clear" w:color="auto" w:fill="CEDCD9"/>
            <w:tcMar>
              <w:top w:w="113" w:type="dxa"/>
              <w:left w:w="113" w:type="dxa"/>
              <w:bottom w:w="113" w:type="dxa"/>
              <w:right w:w="113" w:type="dxa"/>
            </w:tcMar>
          </w:tcPr>
          <w:p w14:paraId="04579C46" w14:textId="77777777" w:rsidR="00897446" w:rsidRPr="00897446" w:rsidRDefault="00897446" w:rsidP="006E6209">
            <w:pPr>
              <w:pStyle w:val="Tablesubheading"/>
              <w:rPr>
                <w:rFonts w:ascii="Helvetica 45 Light" w:hAnsi="Helvetica 45 Light" w:cs="Helvetica 45 Light"/>
                <w:spacing w:val="3"/>
              </w:rPr>
            </w:pPr>
            <w:r w:rsidRPr="00897446">
              <w:t>Chronic obstructive pulmonary disease (number of potentially preventable hospitalisations per 100,000 people, 2014–15)</w:t>
            </w:r>
          </w:p>
        </w:tc>
        <w:tc>
          <w:tcPr>
            <w:tcW w:w="3629" w:type="dxa"/>
            <w:vMerge w:val="restart"/>
            <w:tcBorders>
              <w:top w:val="single" w:sz="4" w:space="0" w:color="10897C"/>
              <w:left w:val="single" w:sz="4" w:space="0" w:color="10897C"/>
              <w:bottom w:val="single" w:sz="4" w:space="0" w:color="10897C"/>
            </w:tcBorders>
            <w:tcMar>
              <w:top w:w="113" w:type="dxa"/>
              <w:left w:w="113" w:type="dxa"/>
              <w:bottom w:w="113" w:type="dxa"/>
              <w:right w:w="113" w:type="dxa"/>
            </w:tcMar>
          </w:tcPr>
          <w:p w14:paraId="3012E97F" w14:textId="77777777" w:rsidR="00897446" w:rsidRPr="00897446" w:rsidRDefault="00897446" w:rsidP="006E6209">
            <w:pPr>
              <w:pStyle w:val="Tabletextindent"/>
            </w:pPr>
            <w:r w:rsidRPr="00897446">
              <w:t>1b.</w:t>
            </w:r>
            <w:r w:rsidRPr="00897446">
              <w:tab/>
            </w:r>
            <w:r w:rsidR="003B626B">
              <w:t>L</w:t>
            </w:r>
            <w:r w:rsidRPr="00897446">
              <w:t xml:space="preserve">ocal Hospital Networks, Primary Health Networks and the Aboriginal Community Controlled Health Service sector to promote appropriate care for the management of people with chronic obstructive pulmonary disease (COPD) using: </w:t>
            </w:r>
          </w:p>
          <w:p w14:paraId="60946C3A" w14:textId="77777777" w:rsidR="00897446" w:rsidRPr="00897446" w:rsidRDefault="00897446" w:rsidP="006E6209">
            <w:pPr>
              <w:pStyle w:val="TAbletextindent2"/>
            </w:pPr>
            <w:proofErr w:type="spellStart"/>
            <w:r w:rsidRPr="00897446">
              <w:t>i</w:t>
            </w:r>
            <w:proofErr w:type="spellEnd"/>
            <w:r w:rsidRPr="00897446">
              <w:t>.</w:t>
            </w:r>
            <w:r w:rsidRPr="00897446">
              <w:tab/>
              <w:t xml:space="preserve">The COPD-X Plan: Australian and New Zealand Guidelines for the Management of Chronic Obstructive Pulmonary Disease 2016 as the routine model of care </w:t>
            </w:r>
          </w:p>
        </w:tc>
      </w:tr>
      <w:tr w:rsidR="00897446" w:rsidRPr="00897446" w14:paraId="7BF15F84" w14:textId="77777777" w:rsidTr="00993939">
        <w:trPr>
          <w:trHeight w:val="20"/>
        </w:trPr>
        <w:tc>
          <w:tcPr>
            <w:tcW w:w="1274" w:type="dxa"/>
            <w:tcBorders>
              <w:top w:val="single" w:sz="4" w:space="0" w:color="10897C"/>
              <w:bottom w:val="single" w:sz="4" w:space="0" w:color="10897C"/>
              <w:right w:val="single" w:sz="4" w:space="0" w:color="10897C"/>
            </w:tcBorders>
            <w:shd w:val="clear" w:color="auto" w:fill="F1F0EE" w:themeFill="accent4"/>
            <w:tcMar>
              <w:top w:w="113" w:type="dxa"/>
              <w:left w:w="113" w:type="dxa"/>
              <w:bottom w:w="113" w:type="dxa"/>
              <w:right w:w="113" w:type="dxa"/>
            </w:tcMar>
            <w:vAlign w:val="bottom"/>
          </w:tcPr>
          <w:p w14:paraId="206D6E33" w14:textId="77777777" w:rsidR="00897446" w:rsidRPr="003B626B" w:rsidRDefault="00897446" w:rsidP="00C36315">
            <w:pPr>
              <w:pStyle w:val="Tabletextsmall"/>
            </w:pPr>
          </w:p>
        </w:tc>
        <w:tc>
          <w:tcPr>
            <w:tcW w:w="1386" w:type="dxa"/>
            <w:tcBorders>
              <w:top w:val="single" w:sz="4" w:space="0" w:color="10897C"/>
              <w:left w:val="single" w:sz="4" w:space="0" w:color="10897C"/>
              <w:bottom w:val="single" w:sz="4" w:space="0" w:color="10897C"/>
              <w:right w:val="single" w:sz="4" w:space="0" w:color="10897C"/>
            </w:tcBorders>
            <w:shd w:val="clear" w:color="auto" w:fill="F1F0EE" w:themeFill="accent4"/>
            <w:tcMar>
              <w:top w:w="113" w:type="dxa"/>
              <w:left w:w="113" w:type="dxa"/>
              <w:bottom w:w="113" w:type="dxa"/>
              <w:right w:w="113" w:type="dxa"/>
            </w:tcMar>
            <w:vAlign w:val="bottom"/>
          </w:tcPr>
          <w:p w14:paraId="21295619" w14:textId="77777777" w:rsidR="00897446" w:rsidRPr="00C36315" w:rsidRDefault="00897446" w:rsidP="00C36315">
            <w:pPr>
              <w:pStyle w:val="Tabletextsmall"/>
              <w:jc w:val="center"/>
            </w:pPr>
            <w:r w:rsidRPr="00C36315">
              <w:t>Rate (number per 100,000)</w:t>
            </w:r>
          </w:p>
        </w:tc>
        <w:tc>
          <w:tcPr>
            <w:tcW w:w="1988" w:type="dxa"/>
            <w:tcBorders>
              <w:top w:val="single" w:sz="4" w:space="0" w:color="10897C"/>
              <w:left w:val="single" w:sz="4" w:space="0" w:color="10897C"/>
              <w:bottom w:val="single" w:sz="4" w:space="0" w:color="10897C"/>
              <w:right w:val="single" w:sz="4" w:space="0" w:color="10897C"/>
            </w:tcBorders>
            <w:shd w:val="clear" w:color="auto" w:fill="F1F0EE" w:themeFill="accent4"/>
            <w:tcMar>
              <w:top w:w="113" w:type="dxa"/>
              <w:left w:w="113" w:type="dxa"/>
              <w:bottom w:w="113" w:type="dxa"/>
              <w:right w:w="113" w:type="dxa"/>
            </w:tcMar>
            <w:vAlign w:val="bottom"/>
          </w:tcPr>
          <w:p w14:paraId="49D8C011" w14:textId="508CCC10" w:rsidR="00897446" w:rsidRPr="00C36315" w:rsidRDefault="00897446" w:rsidP="00C36315">
            <w:pPr>
              <w:pStyle w:val="Tabletextsmall"/>
              <w:jc w:val="center"/>
            </w:pPr>
            <w:r w:rsidRPr="00C36315">
              <w:t xml:space="preserve">For people </w:t>
            </w:r>
            <w:r w:rsidR="00D62B78">
              <w:br/>
            </w:r>
            <w:r w:rsidRPr="00C36315">
              <w:t>living in...</w:t>
            </w:r>
          </w:p>
        </w:tc>
        <w:tc>
          <w:tcPr>
            <w:tcW w:w="3629" w:type="dxa"/>
            <w:vMerge/>
            <w:tcBorders>
              <w:top w:val="single" w:sz="4" w:space="0" w:color="10897C"/>
              <w:left w:val="single" w:sz="4" w:space="0" w:color="10897C"/>
              <w:bottom w:val="single" w:sz="4" w:space="0" w:color="10897C"/>
            </w:tcBorders>
          </w:tcPr>
          <w:p w14:paraId="1B4D34DA" w14:textId="77777777" w:rsidR="00897446" w:rsidRPr="00897446" w:rsidRDefault="00897446" w:rsidP="003B626B">
            <w:pPr>
              <w:autoSpaceDE w:val="0"/>
              <w:autoSpaceDN w:val="0"/>
              <w:adjustRightInd w:val="0"/>
              <w:rPr>
                <w:rFonts w:ascii="Gotham Bold" w:hAnsi="Gotham Bold"/>
                <w:sz w:val="24"/>
                <w:szCs w:val="24"/>
              </w:rPr>
            </w:pPr>
          </w:p>
        </w:tc>
      </w:tr>
      <w:tr w:rsidR="00897446" w:rsidRPr="00897446" w14:paraId="18F25751" w14:textId="77777777" w:rsidTr="00993939">
        <w:trPr>
          <w:trHeight w:val="20"/>
        </w:trPr>
        <w:tc>
          <w:tcPr>
            <w:tcW w:w="1274" w:type="dxa"/>
            <w:tcBorders>
              <w:top w:val="single" w:sz="4" w:space="0" w:color="10897C"/>
              <w:bottom w:val="single" w:sz="4" w:space="0" w:color="10897C"/>
              <w:right w:val="single" w:sz="4" w:space="0" w:color="10897C"/>
            </w:tcBorders>
            <w:shd w:val="clear" w:color="auto" w:fill="F1F0EE" w:themeFill="accent4"/>
            <w:tcMar>
              <w:top w:w="113" w:type="dxa"/>
              <w:left w:w="113" w:type="dxa"/>
              <w:bottom w:w="113" w:type="dxa"/>
              <w:right w:w="113" w:type="dxa"/>
            </w:tcMar>
            <w:vAlign w:val="bottom"/>
          </w:tcPr>
          <w:p w14:paraId="75EA405D" w14:textId="77777777" w:rsidR="00897446" w:rsidRPr="00C36315" w:rsidRDefault="00897446" w:rsidP="00C36315">
            <w:pPr>
              <w:pStyle w:val="Tabletextsmall"/>
            </w:pPr>
            <w:r w:rsidRPr="00C36315">
              <w:t>Local area highest rate</w:t>
            </w:r>
          </w:p>
        </w:tc>
        <w:tc>
          <w:tcPr>
            <w:tcW w:w="1386" w:type="dxa"/>
            <w:tcBorders>
              <w:top w:val="single" w:sz="4" w:space="0" w:color="10897C"/>
              <w:left w:val="single" w:sz="4" w:space="0" w:color="10897C"/>
              <w:bottom w:val="single" w:sz="4" w:space="0" w:color="10897C"/>
              <w:right w:val="single" w:sz="4" w:space="0" w:color="10897C"/>
            </w:tcBorders>
            <w:shd w:val="clear" w:color="auto" w:fill="F1F0EE" w:themeFill="accent4"/>
            <w:tcMar>
              <w:top w:w="113" w:type="dxa"/>
              <w:left w:w="113" w:type="dxa"/>
              <w:bottom w:w="113" w:type="dxa"/>
              <w:right w:w="113" w:type="dxa"/>
            </w:tcMar>
            <w:vAlign w:val="bottom"/>
          </w:tcPr>
          <w:p w14:paraId="36B421E7" w14:textId="77777777" w:rsidR="00897446" w:rsidRPr="00C36315" w:rsidRDefault="00897446" w:rsidP="00C36315">
            <w:pPr>
              <w:pStyle w:val="Tabletextsmall"/>
              <w:jc w:val="center"/>
            </w:pPr>
            <w:r w:rsidRPr="00C36315">
              <w:t>990</w:t>
            </w:r>
          </w:p>
        </w:tc>
        <w:tc>
          <w:tcPr>
            <w:tcW w:w="1988" w:type="dxa"/>
            <w:tcBorders>
              <w:top w:val="single" w:sz="4" w:space="0" w:color="10897C"/>
              <w:left w:val="single" w:sz="4" w:space="0" w:color="10897C"/>
              <w:bottom w:val="single" w:sz="4" w:space="0" w:color="10897C"/>
              <w:right w:val="single" w:sz="4" w:space="0" w:color="10897C"/>
            </w:tcBorders>
            <w:shd w:val="clear" w:color="auto" w:fill="F1F0EE" w:themeFill="accent4"/>
            <w:tcMar>
              <w:top w:w="113" w:type="dxa"/>
              <w:left w:w="113" w:type="dxa"/>
              <w:bottom w:w="113" w:type="dxa"/>
              <w:right w:w="113" w:type="dxa"/>
            </w:tcMar>
            <w:vAlign w:val="bottom"/>
          </w:tcPr>
          <w:p w14:paraId="378566F9" w14:textId="77777777" w:rsidR="00897446" w:rsidRPr="00C36315" w:rsidRDefault="00897446" w:rsidP="00C36315">
            <w:pPr>
              <w:pStyle w:val="Tabletextsmall"/>
              <w:jc w:val="center"/>
            </w:pPr>
            <w:r w:rsidRPr="00C36315">
              <w:t>Alice Springs (NT)*</w:t>
            </w:r>
          </w:p>
        </w:tc>
        <w:tc>
          <w:tcPr>
            <w:tcW w:w="3629" w:type="dxa"/>
            <w:vMerge/>
            <w:tcBorders>
              <w:top w:val="single" w:sz="4" w:space="0" w:color="10897C"/>
              <w:left w:val="single" w:sz="4" w:space="0" w:color="10897C"/>
              <w:bottom w:val="single" w:sz="4" w:space="0" w:color="10897C"/>
            </w:tcBorders>
          </w:tcPr>
          <w:p w14:paraId="13CC1FF3" w14:textId="77777777" w:rsidR="00897446" w:rsidRPr="00897446" w:rsidRDefault="00897446" w:rsidP="003B626B">
            <w:pPr>
              <w:autoSpaceDE w:val="0"/>
              <w:autoSpaceDN w:val="0"/>
              <w:adjustRightInd w:val="0"/>
              <w:rPr>
                <w:rFonts w:ascii="Gotham Bold" w:hAnsi="Gotham Bold"/>
                <w:sz w:val="24"/>
                <w:szCs w:val="24"/>
              </w:rPr>
            </w:pPr>
          </w:p>
        </w:tc>
      </w:tr>
      <w:tr w:rsidR="00897446" w:rsidRPr="00897446" w14:paraId="16A65579" w14:textId="77777777" w:rsidTr="00993939">
        <w:trPr>
          <w:trHeight w:val="20"/>
        </w:trPr>
        <w:tc>
          <w:tcPr>
            <w:tcW w:w="1274" w:type="dxa"/>
            <w:tcBorders>
              <w:top w:val="single" w:sz="4" w:space="0" w:color="10897C"/>
              <w:bottom w:val="single" w:sz="4" w:space="0" w:color="10897C"/>
              <w:right w:val="single" w:sz="4" w:space="0" w:color="10897C"/>
            </w:tcBorders>
            <w:shd w:val="clear" w:color="auto" w:fill="F1F0EE" w:themeFill="accent4"/>
            <w:tcMar>
              <w:top w:w="113" w:type="dxa"/>
              <w:left w:w="113" w:type="dxa"/>
              <w:bottom w:w="113" w:type="dxa"/>
              <w:right w:w="113" w:type="dxa"/>
            </w:tcMar>
            <w:vAlign w:val="bottom"/>
          </w:tcPr>
          <w:p w14:paraId="240C6E15" w14:textId="77777777" w:rsidR="00897446" w:rsidRPr="00C36315" w:rsidRDefault="00897446" w:rsidP="00C36315">
            <w:pPr>
              <w:pStyle w:val="Tabletextsmall"/>
            </w:pPr>
            <w:r w:rsidRPr="00C36315">
              <w:t>Local area lowest rate</w:t>
            </w:r>
          </w:p>
        </w:tc>
        <w:tc>
          <w:tcPr>
            <w:tcW w:w="1386" w:type="dxa"/>
            <w:tcBorders>
              <w:top w:val="single" w:sz="4" w:space="0" w:color="10897C"/>
              <w:left w:val="single" w:sz="4" w:space="0" w:color="10897C"/>
              <w:bottom w:val="single" w:sz="4" w:space="0" w:color="10897C"/>
              <w:right w:val="single" w:sz="4" w:space="0" w:color="10897C"/>
            </w:tcBorders>
            <w:shd w:val="clear" w:color="auto" w:fill="F1F0EE" w:themeFill="accent4"/>
            <w:tcMar>
              <w:top w:w="113" w:type="dxa"/>
              <w:left w:w="113" w:type="dxa"/>
              <w:bottom w:w="113" w:type="dxa"/>
              <w:right w:w="113" w:type="dxa"/>
            </w:tcMar>
            <w:vAlign w:val="bottom"/>
          </w:tcPr>
          <w:p w14:paraId="0BE7E330" w14:textId="77777777" w:rsidR="00897446" w:rsidRPr="00C36315" w:rsidRDefault="00897446" w:rsidP="00C36315">
            <w:pPr>
              <w:pStyle w:val="Tabletextsmall"/>
              <w:jc w:val="center"/>
            </w:pPr>
            <w:r w:rsidRPr="00C36315">
              <w:t>63</w:t>
            </w:r>
          </w:p>
        </w:tc>
        <w:tc>
          <w:tcPr>
            <w:tcW w:w="1988" w:type="dxa"/>
            <w:tcBorders>
              <w:top w:val="single" w:sz="4" w:space="0" w:color="10897C"/>
              <w:left w:val="single" w:sz="4" w:space="0" w:color="10897C"/>
              <w:bottom w:val="single" w:sz="4" w:space="0" w:color="10897C"/>
              <w:right w:val="single" w:sz="4" w:space="0" w:color="10897C"/>
            </w:tcBorders>
            <w:shd w:val="clear" w:color="auto" w:fill="F1F0EE" w:themeFill="accent4"/>
            <w:tcMar>
              <w:top w:w="113" w:type="dxa"/>
              <w:left w:w="113" w:type="dxa"/>
              <w:bottom w:w="113" w:type="dxa"/>
              <w:right w:w="113" w:type="dxa"/>
            </w:tcMar>
            <w:vAlign w:val="bottom"/>
          </w:tcPr>
          <w:p w14:paraId="5A036DD2" w14:textId="77777777" w:rsidR="00897446" w:rsidRPr="00C36315" w:rsidRDefault="00897446" w:rsidP="00C36315">
            <w:pPr>
              <w:pStyle w:val="Tabletextsmall"/>
              <w:jc w:val="center"/>
            </w:pPr>
            <w:r w:rsidRPr="00C36315">
              <w:t>Sherwood-</w:t>
            </w:r>
            <w:proofErr w:type="spellStart"/>
            <w:r w:rsidRPr="00C36315">
              <w:t>Indooroopilly</w:t>
            </w:r>
            <w:proofErr w:type="spellEnd"/>
            <w:r w:rsidRPr="00C36315">
              <w:t xml:space="preserve"> (</w:t>
            </w:r>
            <w:proofErr w:type="spellStart"/>
            <w:r w:rsidRPr="00C36315">
              <w:t>Qld</w:t>
            </w:r>
            <w:proofErr w:type="spellEnd"/>
            <w:r w:rsidRPr="00C36315">
              <w:t>)</w:t>
            </w:r>
          </w:p>
        </w:tc>
        <w:tc>
          <w:tcPr>
            <w:tcW w:w="3629" w:type="dxa"/>
            <w:vMerge/>
            <w:tcBorders>
              <w:top w:val="single" w:sz="4" w:space="0" w:color="10897C"/>
              <w:left w:val="single" w:sz="4" w:space="0" w:color="10897C"/>
              <w:bottom w:val="single" w:sz="4" w:space="0" w:color="10897C"/>
            </w:tcBorders>
          </w:tcPr>
          <w:p w14:paraId="5098F2C5" w14:textId="77777777" w:rsidR="00897446" w:rsidRPr="00897446" w:rsidRDefault="00897446" w:rsidP="003B626B">
            <w:pPr>
              <w:autoSpaceDE w:val="0"/>
              <w:autoSpaceDN w:val="0"/>
              <w:adjustRightInd w:val="0"/>
              <w:rPr>
                <w:rFonts w:ascii="Gotham Bold" w:hAnsi="Gotham Bold"/>
                <w:sz w:val="24"/>
                <w:szCs w:val="24"/>
              </w:rPr>
            </w:pPr>
          </w:p>
        </w:tc>
      </w:tr>
      <w:tr w:rsidR="00897446" w:rsidRPr="00897446" w14:paraId="247C5B47" w14:textId="77777777" w:rsidTr="006E6209">
        <w:trPr>
          <w:trHeight w:val="20"/>
        </w:trPr>
        <w:tc>
          <w:tcPr>
            <w:tcW w:w="4648" w:type="dxa"/>
            <w:gridSpan w:val="3"/>
            <w:tcBorders>
              <w:top w:val="single" w:sz="4" w:space="0" w:color="10897C"/>
              <w:bottom w:val="single" w:sz="4" w:space="0" w:color="10897C"/>
              <w:right w:val="single" w:sz="4" w:space="0" w:color="10897C"/>
            </w:tcBorders>
            <w:tcMar>
              <w:top w:w="113" w:type="dxa"/>
              <w:left w:w="113" w:type="dxa"/>
              <w:bottom w:w="113" w:type="dxa"/>
              <w:right w:w="113" w:type="dxa"/>
            </w:tcMar>
          </w:tcPr>
          <w:p w14:paraId="0629B7A3" w14:textId="77777777" w:rsidR="00897446" w:rsidRPr="00897446" w:rsidRDefault="00897446" w:rsidP="006E6209">
            <w:pPr>
              <w:pStyle w:val="Tablesubheading"/>
              <w:jc w:val="center"/>
              <w:rPr>
                <w:rFonts w:ascii="Helvetica 45 Light" w:hAnsi="Helvetica 45 Light" w:cs="Helvetica 45 Light"/>
                <w:spacing w:val="3"/>
              </w:rPr>
            </w:pPr>
            <w:r w:rsidRPr="00897446">
              <w:t>15.7-fold difference</w:t>
            </w:r>
          </w:p>
        </w:tc>
        <w:tc>
          <w:tcPr>
            <w:tcW w:w="3629" w:type="dxa"/>
            <w:vMerge/>
            <w:tcBorders>
              <w:top w:val="single" w:sz="4" w:space="0" w:color="10897C"/>
              <w:left w:val="single" w:sz="4" w:space="0" w:color="10897C"/>
              <w:bottom w:val="single" w:sz="4" w:space="0" w:color="10897C"/>
            </w:tcBorders>
          </w:tcPr>
          <w:p w14:paraId="09768FEE" w14:textId="77777777" w:rsidR="00897446" w:rsidRPr="00897446" w:rsidRDefault="00897446" w:rsidP="003B626B">
            <w:pPr>
              <w:autoSpaceDE w:val="0"/>
              <w:autoSpaceDN w:val="0"/>
              <w:adjustRightInd w:val="0"/>
              <w:rPr>
                <w:rFonts w:ascii="Gotham Bold" w:hAnsi="Gotham Bold"/>
                <w:sz w:val="24"/>
                <w:szCs w:val="24"/>
              </w:rPr>
            </w:pPr>
          </w:p>
        </w:tc>
      </w:tr>
    </w:tbl>
    <w:p w14:paraId="1C3985C3" w14:textId="7CCC445E" w:rsidR="00CD22D0" w:rsidRPr="00CD22D0" w:rsidRDefault="00CD22D0" w:rsidP="00CD22D0">
      <w:pPr>
        <w:pStyle w:val="Footnote"/>
        <w:ind w:left="284" w:hanging="284"/>
      </w:pPr>
      <w:r>
        <w:t>*</w:t>
      </w:r>
      <w:r>
        <w:tab/>
      </w:r>
      <w:r w:rsidRPr="00CD22D0">
        <w:t>Two local areas recorded higher rates but these are excluded from the fold difference as they need to be treated with caution.</w:t>
      </w:r>
    </w:p>
    <w:tbl>
      <w:tblPr>
        <w:tblW w:w="0" w:type="auto"/>
        <w:tblInd w:w="-8" w:type="dxa"/>
        <w:tblLayout w:type="fixed"/>
        <w:tblCellMar>
          <w:left w:w="0" w:type="dxa"/>
          <w:right w:w="0" w:type="dxa"/>
        </w:tblCellMar>
        <w:tblLook w:val="0000" w:firstRow="0" w:lastRow="0" w:firstColumn="0" w:lastColumn="0" w:noHBand="0" w:noVBand="0"/>
        <w:tblCaption w:val="Table 2: Second Australian Atlas of Healthcare Variation key findings and recommendations"/>
      </w:tblPr>
      <w:tblGrid>
        <w:gridCol w:w="1247"/>
        <w:gridCol w:w="1701"/>
        <w:gridCol w:w="1701"/>
        <w:gridCol w:w="3628"/>
      </w:tblGrid>
      <w:tr w:rsidR="00897446" w:rsidRPr="00897446" w14:paraId="17170B8F" w14:textId="77777777" w:rsidTr="00604089">
        <w:trPr>
          <w:trHeight w:val="60"/>
        </w:trPr>
        <w:tc>
          <w:tcPr>
            <w:tcW w:w="4649" w:type="dxa"/>
            <w:gridSpan w:val="3"/>
            <w:tcBorders>
              <w:top w:val="single" w:sz="4" w:space="0" w:color="10897C"/>
              <w:bottom w:val="single" w:sz="4" w:space="0" w:color="10897C"/>
            </w:tcBorders>
            <w:shd w:val="solid" w:color="1E5F54" w:fill="auto"/>
            <w:tcMar>
              <w:top w:w="113" w:type="dxa"/>
              <w:left w:w="113" w:type="dxa"/>
              <w:bottom w:w="113" w:type="dxa"/>
              <w:right w:w="113" w:type="dxa"/>
            </w:tcMar>
          </w:tcPr>
          <w:p w14:paraId="48365E39" w14:textId="77777777" w:rsidR="00897446" w:rsidRPr="006E6209" w:rsidRDefault="00897446" w:rsidP="006E6209">
            <w:pPr>
              <w:pStyle w:val="Tableheading"/>
            </w:pPr>
            <w:r w:rsidRPr="006E6209">
              <w:lastRenderedPageBreak/>
              <w:t>Area of variation</w:t>
            </w:r>
          </w:p>
        </w:tc>
        <w:tc>
          <w:tcPr>
            <w:tcW w:w="3628" w:type="dxa"/>
            <w:tcBorders>
              <w:top w:val="single" w:sz="4" w:space="0" w:color="10897C"/>
              <w:left w:val="nil"/>
              <w:bottom w:val="single" w:sz="4" w:space="0" w:color="10897C"/>
            </w:tcBorders>
            <w:shd w:val="solid" w:color="1E5F54" w:fill="auto"/>
            <w:tcMar>
              <w:top w:w="113" w:type="dxa"/>
              <w:left w:w="113" w:type="dxa"/>
              <w:bottom w:w="113" w:type="dxa"/>
              <w:right w:w="113" w:type="dxa"/>
            </w:tcMar>
          </w:tcPr>
          <w:p w14:paraId="68C98C44" w14:textId="77777777" w:rsidR="00897446" w:rsidRPr="006E6209" w:rsidRDefault="00897446" w:rsidP="006E6209">
            <w:pPr>
              <w:pStyle w:val="Tableheading"/>
            </w:pPr>
            <w:r w:rsidRPr="006E6209">
              <w:t>Recommendations</w:t>
            </w:r>
          </w:p>
        </w:tc>
      </w:tr>
      <w:tr w:rsidR="00897446" w:rsidRPr="00897446" w14:paraId="1A080B77" w14:textId="77777777" w:rsidTr="00993939">
        <w:trPr>
          <w:trHeight w:val="60"/>
        </w:trPr>
        <w:tc>
          <w:tcPr>
            <w:tcW w:w="4649" w:type="dxa"/>
            <w:gridSpan w:val="3"/>
            <w:tcBorders>
              <w:top w:val="single" w:sz="4" w:space="0" w:color="10897C"/>
              <w:bottom w:val="single" w:sz="4" w:space="0" w:color="10897C"/>
              <w:right w:val="single" w:sz="4" w:space="0" w:color="10897C"/>
            </w:tcBorders>
            <w:tcMar>
              <w:top w:w="113" w:type="dxa"/>
              <w:left w:w="113" w:type="dxa"/>
              <w:bottom w:w="113" w:type="dxa"/>
              <w:right w:w="113" w:type="dxa"/>
            </w:tcMar>
          </w:tcPr>
          <w:p w14:paraId="6A233447" w14:textId="77777777" w:rsidR="00897446" w:rsidRPr="00897446" w:rsidRDefault="00897446" w:rsidP="00B72246">
            <w:pPr>
              <w:pStyle w:val="Tabletextsmall"/>
            </w:pPr>
          </w:p>
        </w:tc>
        <w:tc>
          <w:tcPr>
            <w:tcW w:w="3628" w:type="dxa"/>
            <w:tcBorders>
              <w:top w:val="single" w:sz="4" w:space="0" w:color="10897C"/>
              <w:left w:val="single" w:sz="4" w:space="0" w:color="10897C"/>
              <w:bottom w:val="single" w:sz="4" w:space="0" w:color="10897C"/>
            </w:tcBorders>
            <w:tcMar>
              <w:top w:w="113" w:type="dxa"/>
              <w:left w:w="113" w:type="dxa"/>
              <w:bottom w:w="113" w:type="dxa"/>
              <w:right w:w="113" w:type="dxa"/>
            </w:tcMar>
          </w:tcPr>
          <w:p w14:paraId="639984FF" w14:textId="77777777" w:rsidR="00897446" w:rsidRPr="00897446" w:rsidRDefault="00897446" w:rsidP="00B72246">
            <w:pPr>
              <w:pStyle w:val="TAbletextindent2"/>
            </w:pPr>
            <w:r w:rsidRPr="00897446">
              <w:t>ii.</w:t>
            </w:r>
            <w:r w:rsidRPr="00897446">
              <w:tab/>
              <w:t xml:space="preserve">Targeted anti-smoking programs in populations with high smoking rates, including areas with a high proportion of the population who are Aboriginal and Torres Strait Islander Australians, rural and remote areas, and areas of socioeconomic disadvantage. </w:t>
            </w:r>
          </w:p>
          <w:p w14:paraId="1390187C" w14:textId="77777777" w:rsidR="00897446" w:rsidRPr="00897446" w:rsidRDefault="00897446" w:rsidP="00B72246">
            <w:pPr>
              <w:pStyle w:val="Tabletextindent"/>
            </w:pPr>
            <w:r w:rsidRPr="00897446">
              <w:t>1c.</w:t>
            </w:r>
            <w:r w:rsidRPr="00897446">
              <w:tab/>
              <w:t>State and territory health departments to develop culturally appropriate pulmonary rehabilitation programs for Aboriginal and Torres Strait Islander Australians with COPD.</w:t>
            </w:r>
          </w:p>
        </w:tc>
      </w:tr>
      <w:tr w:rsidR="00897446" w:rsidRPr="00897446" w14:paraId="767B8BE1" w14:textId="77777777" w:rsidTr="00993939">
        <w:trPr>
          <w:trHeight w:val="60"/>
        </w:trPr>
        <w:tc>
          <w:tcPr>
            <w:tcW w:w="4649" w:type="dxa"/>
            <w:gridSpan w:val="3"/>
            <w:tcBorders>
              <w:top w:val="single" w:sz="4" w:space="0" w:color="10897C"/>
              <w:bottom w:val="single" w:sz="4" w:space="0" w:color="10897C"/>
              <w:right w:val="single" w:sz="4" w:space="0" w:color="10897C"/>
            </w:tcBorders>
            <w:shd w:val="clear" w:color="auto" w:fill="CEDCD9"/>
            <w:tcMar>
              <w:top w:w="113" w:type="dxa"/>
              <w:left w:w="113" w:type="dxa"/>
              <w:bottom w:w="113" w:type="dxa"/>
              <w:right w:w="113" w:type="dxa"/>
            </w:tcMar>
          </w:tcPr>
          <w:p w14:paraId="41AC9378" w14:textId="77777777" w:rsidR="00897446" w:rsidRPr="00897446" w:rsidRDefault="00897446" w:rsidP="00B72246">
            <w:pPr>
              <w:pStyle w:val="Tablesubheading"/>
              <w:rPr>
                <w:rFonts w:ascii="Helvetica 45 Light" w:hAnsi="Helvetica 45 Light" w:cs="Helvetica 45 Light"/>
                <w:spacing w:val="3"/>
              </w:rPr>
            </w:pPr>
            <w:r w:rsidRPr="00897446">
              <w:t>Diabetes complications (number of potentially preventable hospitalisations per 100,000 people, 2014–15)</w:t>
            </w:r>
          </w:p>
        </w:tc>
        <w:tc>
          <w:tcPr>
            <w:tcW w:w="3628" w:type="dxa"/>
            <w:vMerge w:val="restart"/>
            <w:tcBorders>
              <w:top w:val="single" w:sz="4" w:space="0" w:color="10897C"/>
              <w:left w:val="single" w:sz="4" w:space="0" w:color="10897C"/>
              <w:bottom w:val="single" w:sz="4" w:space="0" w:color="10897C"/>
            </w:tcBorders>
            <w:tcMar>
              <w:top w:w="113" w:type="dxa"/>
              <w:left w:w="113" w:type="dxa"/>
              <w:bottom w:w="113" w:type="dxa"/>
              <w:right w:w="113" w:type="dxa"/>
            </w:tcMar>
          </w:tcPr>
          <w:p w14:paraId="14A24820" w14:textId="77777777" w:rsidR="00897446" w:rsidRPr="00897446" w:rsidRDefault="00897446" w:rsidP="00B72246">
            <w:pPr>
              <w:pStyle w:val="Tabletextindent"/>
            </w:pPr>
            <w:r w:rsidRPr="00897446">
              <w:t>1e.</w:t>
            </w:r>
            <w:r w:rsidRPr="00897446">
              <w:tab/>
              <w:t xml:space="preserve">Local Hospital Networks, Primary Health Networks and the Aboriginal Community Controlled Health Service sector to promote appropriate care for the management of people with diabetes using: </w:t>
            </w:r>
          </w:p>
          <w:p w14:paraId="30B5ABD3" w14:textId="77777777" w:rsidR="00897446" w:rsidRPr="00B72246" w:rsidRDefault="00897446" w:rsidP="00B72246">
            <w:pPr>
              <w:pStyle w:val="TAbletextindent2"/>
            </w:pPr>
            <w:proofErr w:type="spellStart"/>
            <w:r w:rsidRPr="00897446">
              <w:t>i</w:t>
            </w:r>
            <w:proofErr w:type="spellEnd"/>
            <w:r w:rsidRPr="00897446">
              <w:t>.</w:t>
            </w:r>
            <w:r w:rsidRPr="00897446">
              <w:tab/>
            </w:r>
            <w:r w:rsidRPr="00B72246">
              <w:t xml:space="preserve">The guidelines General Practice Management of Type 2 Diabetes 2016–18 as the routine model of care </w:t>
            </w:r>
          </w:p>
          <w:p w14:paraId="448D79F8" w14:textId="77777777" w:rsidR="00897446" w:rsidRPr="00B72246" w:rsidRDefault="00897446" w:rsidP="00B72246">
            <w:pPr>
              <w:pStyle w:val="TAbletextindent2"/>
            </w:pPr>
            <w:r w:rsidRPr="00B72246">
              <w:t>ii.</w:t>
            </w:r>
            <w:r w:rsidRPr="00B72246">
              <w:tab/>
              <w:t xml:space="preserve">The Australian National Diabetes Strategy 2016–2020 to ensure the provision of integrated models of care </w:t>
            </w:r>
          </w:p>
          <w:p w14:paraId="028D0167" w14:textId="77777777" w:rsidR="00897446" w:rsidRPr="00897446" w:rsidRDefault="00897446" w:rsidP="00B72246">
            <w:pPr>
              <w:pStyle w:val="TAbletextindent2"/>
            </w:pPr>
            <w:r w:rsidRPr="00B72246">
              <w:t>iii.</w:t>
            </w:r>
            <w:r w:rsidRPr="00B72246">
              <w:tab/>
              <w:t>Performance management frameworks to assess compliance of care with relevant diabetes treatment guidelines.</w:t>
            </w:r>
          </w:p>
        </w:tc>
      </w:tr>
      <w:tr w:rsidR="00897446" w:rsidRPr="00897446" w14:paraId="78444161" w14:textId="77777777" w:rsidTr="00993939">
        <w:trPr>
          <w:trHeight w:val="60"/>
        </w:trPr>
        <w:tc>
          <w:tcPr>
            <w:tcW w:w="1247" w:type="dxa"/>
            <w:tcBorders>
              <w:top w:val="single" w:sz="4" w:space="0" w:color="10897C"/>
              <w:bottom w:val="single" w:sz="4" w:space="0" w:color="10897C"/>
              <w:right w:val="single" w:sz="4" w:space="0" w:color="10897C"/>
            </w:tcBorders>
            <w:shd w:val="clear" w:color="auto" w:fill="F1F0EE" w:themeFill="accent4"/>
            <w:tcMar>
              <w:top w:w="113" w:type="dxa"/>
              <w:left w:w="113" w:type="dxa"/>
              <w:bottom w:w="113" w:type="dxa"/>
              <w:right w:w="113" w:type="dxa"/>
            </w:tcMar>
            <w:vAlign w:val="bottom"/>
          </w:tcPr>
          <w:p w14:paraId="7CB2312C" w14:textId="77777777" w:rsidR="00897446" w:rsidRPr="00C36315" w:rsidRDefault="00897446" w:rsidP="00B72246">
            <w:pPr>
              <w:pStyle w:val="Tabletextsmall"/>
            </w:pPr>
          </w:p>
        </w:tc>
        <w:tc>
          <w:tcPr>
            <w:tcW w:w="1701" w:type="dxa"/>
            <w:tcBorders>
              <w:top w:val="single" w:sz="4" w:space="0" w:color="10897C"/>
              <w:left w:val="single" w:sz="4" w:space="0" w:color="10897C"/>
              <w:bottom w:val="single" w:sz="4" w:space="0" w:color="10897C"/>
              <w:right w:val="single" w:sz="4" w:space="0" w:color="10897C"/>
            </w:tcBorders>
            <w:shd w:val="clear" w:color="auto" w:fill="F1F0EE" w:themeFill="accent4"/>
            <w:tcMar>
              <w:top w:w="113" w:type="dxa"/>
              <w:left w:w="113" w:type="dxa"/>
              <w:bottom w:w="113" w:type="dxa"/>
              <w:right w:w="113" w:type="dxa"/>
            </w:tcMar>
            <w:vAlign w:val="bottom"/>
          </w:tcPr>
          <w:p w14:paraId="5B154E42" w14:textId="77777777" w:rsidR="00897446" w:rsidRPr="00C36315" w:rsidRDefault="00897446" w:rsidP="00C36315">
            <w:pPr>
              <w:pStyle w:val="Tabletextsmall"/>
              <w:jc w:val="center"/>
            </w:pPr>
            <w:r w:rsidRPr="00C36315">
              <w:t>Rate (number per 100,000)</w:t>
            </w:r>
          </w:p>
        </w:tc>
        <w:tc>
          <w:tcPr>
            <w:tcW w:w="1701" w:type="dxa"/>
            <w:tcBorders>
              <w:top w:val="single" w:sz="4" w:space="0" w:color="10897C"/>
              <w:left w:val="single" w:sz="4" w:space="0" w:color="10897C"/>
              <w:bottom w:val="single" w:sz="4" w:space="0" w:color="10897C"/>
              <w:right w:val="single" w:sz="4" w:space="0" w:color="10897C"/>
            </w:tcBorders>
            <w:shd w:val="clear" w:color="auto" w:fill="F1F0EE" w:themeFill="accent4"/>
            <w:tcMar>
              <w:top w:w="113" w:type="dxa"/>
              <w:left w:w="113" w:type="dxa"/>
              <w:bottom w:w="113" w:type="dxa"/>
              <w:right w:w="113" w:type="dxa"/>
            </w:tcMar>
            <w:vAlign w:val="bottom"/>
          </w:tcPr>
          <w:p w14:paraId="5B681BC2" w14:textId="77777777" w:rsidR="00897446" w:rsidRPr="00C36315" w:rsidRDefault="00897446" w:rsidP="00C36315">
            <w:pPr>
              <w:pStyle w:val="Tabletextsmall"/>
              <w:jc w:val="center"/>
            </w:pPr>
            <w:r w:rsidRPr="00C36315">
              <w:t>For people living in...</w:t>
            </w:r>
          </w:p>
        </w:tc>
        <w:tc>
          <w:tcPr>
            <w:tcW w:w="3628" w:type="dxa"/>
            <w:vMerge/>
            <w:tcBorders>
              <w:top w:val="single" w:sz="4" w:space="0" w:color="10897C"/>
              <w:left w:val="single" w:sz="4" w:space="0" w:color="10897C"/>
              <w:bottom w:val="single" w:sz="4" w:space="0" w:color="10897C"/>
            </w:tcBorders>
          </w:tcPr>
          <w:p w14:paraId="43FDBCE4" w14:textId="77777777" w:rsidR="00897446" w:rsidRPr="00897446" w:rsidRDefault="00897446" w:rsidP="00C36315">
            <w:pPr>
              <w:rPr>
                <w:rFonts w:ascii="Gotham Bold" w:hAnsi="Gotham Bold"/>
                <w:sz w:val="24"/>
                <w:szCs w:val="24"/>
              </w:rPr>
            </w:pPr>
          </w:p>
        </w:tc>
      </w:tr>
      <w:tr w:rsidR="00897446" w:rsidRPr="00897446" w14:paraId="6273F0D8" w14:textId="77777777" w:rsidTr="00993939">
        <w:trPr>
          <w:trHeight w:val="60"/>
        </w:trPr>
        <w:tc>
          <w:tcPr>
            <w:tcW w:w="1247" w:type="dxa"/>
            <w:tcBorders>
              <w:top w:val="single" w:sz="4" w:space="0" w:color="10897C"/>
              <w:bottom w:val="single" w:sz="4" w:space="0" w:color="10897C"/>
              <w:right w:val="single" w:sz="4" w:space="0" w:color="10897C"/>
            </w:tcBorders>
            <w:shd w:val="clear" w:color="auto" w:fill="F1F0EE" w:themeFill="accent4"/>
            <w:tcMar>
              <w:top w:w="113" w:type="dxa"/>
              <w:left w:w="113" w:type="dxa"/>
              <w:bottom w:w="113" w:type="dxa"/>
              <w:right w:w="113" w:type="dxa"/>
            </w:tcMar>
            <w:vAlign w:val="bottom"/>
          </w:tcPr>
          <w:p w14:paraId="6D8D1C2C" w14:textId="77777777" w:rsidR="00897446" w:rsidRPr="00C36315" w:rsidRDefault="00897446" w:rsidP="00B72246">
            <w:pPr>
              <w:pStyle w:val="Tabletextsmall"/>
            </w:pPr>
            <w:r w:rsidRPr="00C36315">
              <w:t>Local area highest rate</w:t>
            </w:r>
          </w:p>
        </w:tc>
        <w:tc>
          <w:tcPr>
            <w:tcW w:w="1701" w:type="dxa"/>
            <w:tcBorders>
              <w:top w:val="single" w:sz="4" w:space="0" w:color="10897C"/>
              <w:left w:val="single" w:sz="4" w:space="0" w:color="10897C"/>
              <w:bottom w:val="single" w:sz="4" w:space="0" w:color="10897C"/>
              <w:right w:val="single" w:sz="4" w:space="0" w:color="10897C"/>
            </w:tcBorders>
            <w:shd w:val="clear" w:color="auto" w:fill="F1F0EE" w:themeFill="accent4"/>
            <w:tcMar>
              <w:top w:w="113" w:type="dxa"/>
              <w:left w:w="113" w:type="dxa"/>
              <w:bottom w:w="113" w:type="dxa"/>
              <w:right w:w="113" w:type="dxa"/>
            </w:tcMar>
            <w:vAlign w:val="bottom"/>
          </w:tcPr>
          <w:p w14:paraId="597EC097" w14:textId="77777777" w:rsidR="00897446" w:rsidRPr="00C36315" w:rsidRDefault="00897446" w:rsidP="00C36315">
            <w:pPr>
              <w:pStyle w:val="Tabletextsmall"/>
              <w:jc w:val="center"/>
            </w:pPr>
            <w:r w:rsidRPr="00C36315">
              <w:t>601</w:t>
            </w:r>
          </w:p>
        </w:tc>
        <w:tc>
          <w:tcPr>
            <w:tcW w:w="1701" w:type="dxa"/>
            <w:tcBorders>
              <w:top w:val="single" w:sz="4" w:space="0" w:color="10897C"/>
              <w:left w:val="single" w:sz="4" w:space="0" w:color="10897C"/>
              <w:bottom w:val="single" w:sz="4" w:space="0" w:color="10897C"/>
              <w:right w:val="single" w:sz="4" w:space="0" w:color="10897C"/>
            </w:tcBorders>
            <w:shd w:val="clear" w:color="auto" w:fill="F1F0EE" w:themeFill="accent4"/>
            <w:tcMar>
              <w:top w:w="113" w:type="dxa"/>
              <w:left w:w="113" w:type="dxa"/>
              <w:bottom w:w="113" w:type="dxa"/>
              <w:right w:w="113" w:type="dxa"/>
            </w:tcMar>
            <w:vAlign w:val="bottom"/>
          </w:tcPr>
          <w:p w14:paraId="6EAF3D64" w14:textId="77777777" w:rsidR="00897446" w:rsidRPr="00C36315" w:rsidRDefault="00897446" w:rsidP="00C36315">
            <w:pPr>
              <w:pStyle w:val="Tabletextsmall"/>
              <w:jc w:val="center"/>
            </w:pPr>
            <w:r w:rsidRPr="00C36315">
              <w:t>Outback-North (</w:t>
            </w:r>
            <w:proofErr w:type="spellStart"/>
            <w:r w:rsidRPr="00C36315">
              <w:t>Qld</w:t>
            </w:r>
            <w:proofErr w:type="spellEnd"/>
            <w:r w:rsidRPr="00C36315">
              <w:t>)†</w:t>
            </w:r>
          </w:p>
        </w:tc>
        <w:tc>
          <w:tcPr>
            <w:tcW w:w="3628" w:type="dxa"/>
            <w:vMerge/>
            <w:tcBorders>
              <w:top w:val="single" w:sz="4" w:space="0" w:color="10897C"/>
              <w:left w:val="single" w:sz="4" w:space="0" w:color="10897C"/>
              <w:bottom w:val="single" w:sz="4" w:space="0" w:color="10897C"/>
            </w:tcBorders>
          </w:tcPr>
          <w:p w14:paraId="53D30BAE" w14:textId="77777777" w:rsidR="00897446" w:rsidRPr="00897446" w:rsidRDefault="00897446" w:rsidP="00C36315">
            <w:pPr>
              <w:rPr>
                <w:rFonts w:ascii="Gotham Bold" w:hAnsi="Gotham Bold"/>
                <w:sz w:val="24"/>
                <w:szCs w:val="24"/>
              </w:rPr>
            </w:pPr>
          </w:p>
        </w:tc>
      </w:tr>
      <w:tr w:rsidR="00897446" w:rsidRPr="00897446" w14:paraId="7B6DC30C" w14:textId="77777777" w:rsidTr="00993939">
        <w:trPr>
          <w:trHeight w:val="60"/>
        </w:trPr>
        <w:tc>
          <w:tcPr>
            <w:tcW w:w="1247" w:type="dxa"/>
            <w:tcBorders>
              <w:top w:val="single" w:sz="4" w:space="0" w:color="10897C"/>
              <w:bottom w:val="single" w:sz="4" w:space="0" w:color="10897C"/>
              <w:right w:val="single" w:sz="4" w:space="0" w:color="10897C"/>
            </w:tcBorders>
            <w:shd w:val="clear" w:color="auto" w:fill="F1F0EE" w:themeFill="accent4"/>
            <w:tcMar>
              <w:top w:w="113" w:type="dxa"/>
              <w:left w:w="113" w:type="dxa"/>
              <w:bottom w:w="113" w:type="dxa"/>
              <w:right w:w="113" w:type="dxa"/>
            </w:tcMar>
            <w:vAlign w:val="bottom"/>
          </w:tcPr>
          <w:p w14:paraId="14EB781F" w14:textId="77777777" w:rsidR="00897446" w:rsidRPr="00C36315" w:rsidRDefault="00897446" w:rsidP="00B72246">
            <w:pPr>
              <w:pStyle w:val="Tabletextsmall"/>
            </w:pPr>
            <w:r w:rsidRPr="00C36315">
              <w:t>Local area lowest rate</w:t>
            </w:r>
          </w:p>
        </w:tc>
        <w:tc>
          <w:tcPr>
            <w:tcW w:w="1701" w:type="dxa"/>
            <w:tcBorders>
              <w:top w:val="single" w:sz="4" w:space="0" w:color="10897C"/>
              <w:left w:val="single" w:sz="4" w:space="0" w:color="10897C"/>
              <w:bottom w:val="single" w:sz="4" w:space="0" w:color="10897C"/>
              <w:right w:val="single" w:sz="4" w:space="0" w:color="10897C"/>
            </w:tcBorders>
            <w:shd w:val="clear" w:color="auto" w:fill="F1F0EE" w:themeFill="accent4"/>
            <w:tcMar>
              <w:top w:w="113" w:type="dxa"/>
              <w:left w:w="113" w:type="dxa"/>
              <w:bottom w:w="113" w:type="dxa"/>
              <w:right w:w="113" w:type="dxa"/>
            </w:tcMar>
            <w:vAlign w:val="bottom"/>
          </w:tcPr>
          <w:p w14:paraId="286BF516" w14:textId="77777777" w:rsidR="00897446" w:rsidRPr="00C36315" w:rsidRDefault="00897446" w:rsidP="00C36315">
            <w:pPr>
              <w:pStyle w:val="Tabletextsmall"/>
              <w:jc w:val="center"/>
            </w:pPr>
            <w:r w:rsidRPr="00C36315">
              <w:t>52</w:t>
            </w:r>
          </w:p>
        </w:tc>
        <w:tc>
          <w:tcPr>
            <w:tcW w:w="1701" w:type="dxa"/>
            <w:tcBorders>
              <w:top w:val="single" w:sz="4" w:space="0" w:color="10897C"/>
              <w:left w:val="single" w:sz="4" w:space="0" w:color="10897C"/>
              <w:bottom w:val="single" w:sz="4" w:space="0" w:color="10897C"/>
              <w:right w:val="single" w:sz="4" w:space="0" w:color="10897C"/>
            </w:tcBorders>
            <w:shd w:val="clear" w:color="auto" w:fill="F1F0EE" w:themeFill="accent4"/>
            <w:tcMar>
              <w:top w:w="113" w:type="dxa"/>
              <w:left w:w="113" w:type="dxa"/>
              <w:bottom w:w="113" w:type="dxa"/>
              <w:right w:w="113" w:type="dxa"/>
            </w:tcMar>
            <w:vAlign w:val="bottom"/>
          </w:tcPr>
          <w:p w14:paraId="50A60CD5" w14:textId="77777777" w:rsidR="00897446" w:rsidRPr="00C36315" w:rsidRDefault="00897446" w:rsidP="00C36315">
            <w:pPr>
              <w:pStyle w:val="Tabletextsmall"/>
              <w:jc w:val="center"/>
            </w:pPr>
            <w:r w:rsidRPr="00C36315">
              <w:t>Manly (NSW) and Brisbane Inner</w:t>
            </w:r>
            <w:r w:rsidRPr="00C36315">
              <w:noBreakHyphen/>
              <w:t>West (</w:t>
            </w:r>
            <w:proofErr w:type="spellStart"/>
            <w:r w:rsidRPr="00C36315">
              <w:t>Qld</w:t>
            </w:r>
            <w:proofErr w:type="spellEnd"/>
            <w:r w:rsidRPr="00C36315">
              <w:t>)</w:t>
            </w:r>
          </w:p>
        </w:tc>
        <w:tc>
          <w:tcPr>
            <w:tcW w:w="3628" w:type="dxa"/>
            <w:vMerge/>
            <w:tcBorders>
              <w:top w:val="single" w:sz="4" w:space="0" w:color="10897C"/>
              <w:left w:val="single" w:sz="4" w:space="0" w:color="10897C"/>
              <w:bottom w:val="single" w:sz="4" w:space="0" w:color="10897C"/>
            </w:tcBorders>
          </w:tcPr>
          <w:p w14:paraId="0D4717EE" w14:textId="77777777" w:rsidR="00897446" w:rsidRPr="00897446" w:rsidRDefault="00897446" w:rsidP="00C36315">
            <w:pPr>
              <w:rPr>
                <w:rFonts w:ascii="Gotham Bold" w:hAnsi="Gotham Bold"/>
                <w:sz w:val="24"/>
                <w:szCs w:val="24"/>
              </w:rPr>
            </w:pPr>
          </w:p>
        </w:tc>
      </w:tr>
      <w:tr w:rsidR="00897446" w:rsidRPr="00897446" w14:paraId="62DE8388" w14:textId="77777777" w:rsidTr="00993939">
        <w:trPr>
          <w:trHeight w:val="60"/>
        </w:trPr>
        <w:tc>
          <w:tcPr>
            <w:tcW w:w="4649" w:type="dxa"/>
            <w:gridSpan w:val="3"/>
            <w:tcBorders>
              <w:top w:val="single" w:sz="4" w:space="0" w:color="10897C"/>
              <w:bottom w:val="single" w:sz="4" w:space="0" w:color="10897C"/>
              <w:right w:val="single" w:sz="4" w:space="0" w:color="10897C"/>
            </w:tcBorders>
            <w:tcMar>
              <w:top w:w="113" w:type="dxa"/>
              <w:left w:w="113" w:type="dxa"/>
              <w:bottom w:w="113" w:type="dxa"/>
              <w:right w:w="113" w:type="dxa"/>
            </w:tcMar>
          </w:tcPr>
          <w:p w14:paraId="3CE0AF67" w14:textId="77777777" w:rsidR="00897446" w:rsidRPr="00897446" w:rsidRDefault="00897446" w:rsidP="00B72246">
            <w:pPr>
              <w:pStyle w:val="Tablesubheading"/>
              <w:jc w:val="center"/>
              <w:rPr>
                <w:rFonts w:ascii="Helvetica 45 Light" w:hAnsi="Helvetica 45 Light" w:cs="Helvetica 45 Light"/>
                <w:spacing w:val="3"/>
              </w:rPr>
            </w:pPr>
            <w:r w:rsidRPr="00897446">
              <w:t>11.6-fold difference</w:t>
            </w:r>
          </w:p>
        </w:tc>
        <w:tc>
          <w:tcPr>
            <w:tcW w:w="3628" w:type="dxa"/>
            <w:vMerge/>
            <w:tcBorders>
              <w:top w:val="single" w:sz="4" w:space="0" w:color="10897C"/>
              <w:left w:val="single" w:sz="4" w:space="0" w:color="10897C"/>
              <w:bottom w:val="single" w:sz="4" w:space="0" w:color="10897C"/>
            </w:tcBorders>
          </w:tcPr>
          <w:p w14:paraId="12B5C8A1" w14:textId="77777777" w:rsidR="00897446" w:rsidRPr="00897446" w:rsidRDefault="00897446" w:rsidP="00897446">
            <w:pPr>
              <w:autoSpaceDE w:val="0"/>
              <w:autoSpaceDN w:val="0"/>
              <w:adjustRightInd w:val="0"/>
              <w:rPr>
                <w:rFonts w:ascii="Gotham Bold" w:hAnsi="Gotham Bold"/>
                <w:sz w:val="24"/>
                <w:szCs w:val="24"/>
              </w:rPr>
            </w:pPr>
          </w:p>
        </w:tc>
      </w:tr>
    </w:tbl>
    <w:p w14:paraId="0D68D758" w14:textId="77777777" w:rsidR="00897446" w:rsidRDefault="00897446" w:rsidP="00CD22D0">
      <w:pPr>
        <w:pStyle w:val="Footnote"/>
        <w:spacing w:before="2640"/>
        <w:ind w:left="284" w:hanging="284"/>
      </w:pPr>
      <w:r>
        <w:t>†</w:t>
      </w:r>
      <w:r w:rsidR="00B72246">
        <w:tab/>
      </w:r>
      <w:r>
        <w:t>One local area recorded a higher rate but this is excluded from the fold difference as it needs to be treated with</w:t>
      </w:r>
      <w:r>
        <w:rPr>
          <w:rFonts w:cs="Arial"/>
        </w:rPr>
        <w:t> </w:t>
      </w:r>
      <w:r>
        <w:t>caution.</w:t>
      </w:r>
      <w:r>
        <w:br w:type="page"/>
      </w:r>
    </w:p>
    <w:p w14:paraId="0A1A03C5" w14:textId="77777777" w:rsidR="00897446" w:rsidRDefault="00897446"/>
    <w:tbl>
      <w:tblPr>
        <w:tblW w:w="0" w:type="auto"/>
        <w:tblInd w:w="-8" w:type="dxa"/>
        <w:tblBorders>
          <w:top w:val="single" w:sz="4" w:space="0" w:color="10897C"/>
          <w:bottom w:val="single" w:sz="4" w:space="0" w:color="10897C"/>
          <w:insideH w:val="single" w:sz="4" w:space="0" w:color="10897C"/>
          <w:insideV w:val="single" w:sz="4" w:space="0" w:color="10897C"/>
        </w:tblBorders>
        <w:tblLayout w:type="fixed"/>
        <w:tblCellMar>
          <w:left w:w="0" w:type="dxa"/>
          <w:right w:w="0" w:type="dxa"/>
        </w:tblCellMar>
        <w:tblLook w:val="0000" w:firstRow="0" w:lastRow="0" w:firstColumn="0" w:lastColumn="0" w:noHBand="0" w:noVBand="0"/>
        <w:tblCaption w:val="Table 2: Second Australian Atlas of Healthcare Variation key findings and recommendations"/>
      </w:tblPr>
      <w:tblGrid>
        <w:gridCol w:w="1247"/>
        <w:gridCol w:w="1701"/>
        <w:gridCol w:w="1701"/>
        <w:gridCol w:w="3628"/>
      </w:tblGrid>
      <w:tr w:rsidR="00897446" w:rsidRPr="00897446" w14:paraId="51988239" w14:textId="77777777" w:rsidTr="00604089">
        <w:trPr>
          <w:trHeight w:val="60"/>
        </w:trPr>
        <w:tc>
          <w:tcPr>
            <w:tcW w:w="4649" w:type="dxa"/>
            <w:gridSpan w:val="3"/>
            <w:tcBorders>
              <w:right w:val="nil"/>
            </w:tcBorders>
            <w:shd w:val="solid" w:color="1E5F54" w:fill="auto"/>
            <w:tcMar>
              <w:top w:w="113" w:type="dxa"/>
              <w:left w:w="113" w:type="dxa"/>
              <w:bottom w:w="113" w:type="dxa"/>
              <w:right w:w="113" w:type="dxa"/>
            </w:tcMar>
          </w:tcPr>
          <w:p w14:paraId="230F43E8" w14:textId="77777777" w:rsidR="00897446" w:rsidRPr="00B72246" w:rsidRDefault="00897446" w:rsidP="00B72246">
            <w:pPr>
              <w:pStyle w:val="Tableheading"/>
            </w:pPr>
            <w:r w:rsidRPr="00B72246">
              <w:t>Area of variation</w:t>
            </w:r>
          </w:p>
        </w:tc>
        <w:tc>
          <w:tcPr>
            <w:tcW w:w="3628" w:type="dxa"/>
            <w:tcBorders>
              <w:left w:val="nil"/>
            </w:tcBorders>
            <w:shd w:val="solid" w:color="1E5F54" w:fill="auto"/>
            <w:tcMar>
              <w:top w:w="113" w:type="dxa"/>
              <w:left w:w="113" w:type="dxa"/>
              <w:bottom w:w="113" w:type="dxa"/>
              <w:right w:w="113" w:type="dxa"/>
            </w:tcMar>
          </w:tcPr>
          <w:p w14:paraId="1BACDC9F" w14:textId="77777777" w:rsidR="00897446" w:rsidRPr="00B72246" w:rsidRDefault="00897446" w:rsidP="00B72246">
            <w:pPr>
              <w:pStyle w:val="Tableheading"/>
            </w:pPr>
            <w:r w:rsidRPr="00B72246">
              <w:t>Recommendations</w:t>
            </w:r>
          </w:p>
        </w:tc>
      </w:tr>
      <w:tr w:rsidR="00897446" w:rsidRPr="00897446" w14:paraId="3C79B5D7" w14:textId="77777777" w:rsidTr="00B72246">
        <w:trPr>
          <w:trHeight w:val="60"/>
        </w:trPr>
        <w:tc>
          <w:tcPr>
            <w:tcW w:w="4649" w:type="dxa"/>
            <w:gridSpan w:val="3"/>
            <w:shd w:val="clear" w:color="auto" w:fill="CEDCD9"/>
            <w:tcMar>
              <w:top w:w="113" w:type="dxa"/>
              <w:left w:w="113" w:type="dxa"/>
              <w:bottom w:w="113" w:type="dxa"/>
              <w:right w:w="113" w:type="dxa"/>
            </w:tcMar>
          </w:tcPr>
          <w:p w14:paraId="62C8A2F7" w14:textId="77777777" w:rsidR="00897446" w:rsidRPr="00897446" w:rsidRDefault="00897446" w:rsidP="00B72246">
            <w:pPr>
              <w:pStyle w:val="Tablesubheading"/>
              <w:rPr>
                <w:rFonts w:ascii="Helvetica 45 Light" w:hAnsi="Helvetica 45 Light" w:cs="Helvetica 45 Light"/>
                <w:spacing w:val="3"/>
              </w:rPr>
            </w:pPr>
            <w:r w:rsidRPr="00897446">
              <w:t>Knee replacement (number of hospitalisations per 100,000 people aged 18 years and over, 2014–15)</w:t>
            </w:r>
          </w:p>
        </w:tc>
        <w:tc>
          <w:tcPr>
            <w:tcW w:w="3628" w:type="dxa"/>
            <w:vMerge w:val="restart"/>
            <w:tcMar>
              <w:top w:w="113" w:type="dxa"/>
              <w:left w:w="113" w:type="dxa"/>
              <w:bottom w:w="113" w:type="dxa"/>
              <w:right w:w="113" w:type="dxa"/>
            </w:tcMar>
          </w:tcPr>
          <w:p w14:paraId="4620CAE7" w14:textId="77777777" w:rsidR="00897446" w:rsidRPr="00897446" w:rsidRDefault="00897446" w:rsidP="00B72246">
            <w:pPr>
              <w:pStyle w:val="Tabletextindent"/>
            </w:pPr>
            <w:r w:rsidRPr="00897446">
              <w:t>4a.</w:t>
            </w:r>
            <w:r w:rsidRPr="00897446">
              <w:tab/>
              <w:t xml:space="preserve">The Medicare Benefits Schedule (MBS) Review Taskforce to ensure that MBS descriptors reflect the care described in the Osteoarthritis of the Knee Clinical Care Standard. </w:t>
            </w:r>
          </w:p>
          <w:p w14:paraId="7314CC58" w14:textId="77777777" w:rsidR="00897446" w:rsidRPr="00897446" w:rsidRDefault="00897446" w:rsidP="00B72246">
            <w:pPr>
              <w:pStyle w:val="Tabletextindent"/>
            </w:pPr>
            <w:r w:rsidRPr="00897446">
              <w:t>4b.</w:t>
            </w:r>
            <w:r w:rsidRPr="00897446">
              <w:tab/>
              <w:t xml:space="preserve">State and territory health departments to use the Osteoarthritis of the Knee Clinical Care Standard to promote appropriate care for the management of people with knee pain, including conservative non-surgical management using a combination of non-pharmacological and pharmacological treatments. </w:t>
            </w:r>
          </w:p>
          <w:p w14:paraId="7FF0304B" w14:textId="77777777" w:rsidR="00897446" w:rsidRPr="00897446" w:rsidRDefault="00897446" w:rsidP="00B72246">
            <w:pPr>
              <w:pStyle w:val="Tabletextindent"/>
            </w:pPr>
            <w:r w:rsidRPr="00897446">
              <w:t>4c.</w:t>
            </w:r>
            <w:r w:rsidRPr="00897446">
              <w:tab/>
              <w:t>State and territory health departments to promote timely access to joint replacement or joint-conserving surgery when conservative management no longer provides adequate pain relief or maintenance of function.</w:t>
            </w:r>
          </w:p>
        </w:tc>
      </w:tr>
      <w:tr w:rsidR="00897446" w:rsidRPr="00897446" w14:paraId="7FEA195B" w14:textId="77777777" w:rsidTr="00993939">
        <w:trPr>
          <w:trHeight w:val="60"/>
        </w:trPr>
        <w:tc>
          <w:tcPr>
            <w:tcW w:w="1247" w:type="dxa"/>
            <w:shd w:val="clear" w:color="auto" w:fill="F1F0EE" w:themeFill="accent4"/>
            <w:tcMar>
              <w:top w:w="113" w:type="dxa"/>
              <w:left w:w="113" w:type="dxa"/>
              <w:bottom w:w="113" w:type="dxa"/>
              <w:right w:w="113" w:type="dxa"/>
            </w:tcMar>
            <w:vAlign w:val="bottom"/>
          </w:tcPr>
          <w:p w14:paraId="2441D80B" w14:textId="77777777" w:rsidR="00897446" w:rsidRPr="00C36315" w:rsidRDefault="00897446" w:rsidP="00B72246">
            <w:pPr>
              <w:pStyle w:val="Tabletextsmall"/>
            </w:pPr>
          </w:p>
        </w:tc>
        <w:tc>
          <w:tcPr>
            <w:tcW w:w="1701" w:type="dxa"/>
            <w:shd w:val="clear" w:color="auto" w:fill="F1F0EE" w:themeFill="accent4"/>
            <w:tcMar>
              <w:top w:w="113" w:type="dxa"/>
              <w:left w:w="113" w:type="dxa"/>
              <w:bottom w:w="113" w:type="dxa"/>
              <w:right w:w="113" w:type="dxa"/>
            </w:tcMar>
            <w:vAlign w:val="bottom"/>
          </w:tcPr>
          <w:p w14:paraId="0D09D6CC" w14:textId="77777777" w:rsidR="00897446" w:rsidRPr="00C36315" w:rsidRDefault="00897446" w:rsidP="00C36315">
            <w:pPr>
              <w:pStyle w:val="Tabletextsmall"/>
              <w:jc w:val="center"/>
            </w:pPr>
            <w:r w:rsidRPr="00C36315">
              <w:t>Rate (number per 100,000)</w:t>
            </w:r>
          </w:p>
        </w:tc>
        <w:tc>
          <w:tcPr>
            <w:tcW w:w="1701" w:type="dxa"/>
            <w:shd w:val="clear" w:color="auto" w:fill="F1F0EE" w:themeFill="accent4"/>
            <w:tcMar>
              <w:top w:w="113" w:type="dxa"/>
              <w:left w:w="113" w:type="dxa"/>
              <w:bottom w:w="113" w:type="dxa"/>
              <w:right w:w="113" w:type="dxa"/>
            </w:tcMar>
            <w:vAlign w:val="bottom"/>
          </w:tcPr>
          <w:p w14:paraId="4D81F772" w14:textId="77777777" w:rsidR="00897446" w:rsidRPr="00C36315" w:rsidRDefault="00897446" w:rsidP="00C36315">
            <w:pPr>
              <w:pStyle w:val="Tabletextsmall"/>
              <w:jc w:val="center"/>
            </w:pPr>
            <w:r w:rsidRPr="00C36315">
              <w:t>For people living in...</w:t>
            </w:r>
          </w:p>
        </w:tc>
        <w:tc>
          <w:tcPr>
            <w:tcW w:w="3628" w:type="dxa"/>
            <w:vMerge/>
          </w:tcPr>
          <w:p w14:paraId="0DFEB81E" w14:textId="77777777" w:rsidR="00897446" w:rsidRPr="00897446" w:rsidRDefault="00897446" w:rsidP="00C36315">
            <w:pPr>
              <w:rPr>
                <w:rFonts w:ascii="Gotham Bold" w:hAnsi="Gotham Bold"/>
                <w:sz w:val="24"/>
                <w:szCs w:val="24"/>
              </w:rPr>
            </w:pPr>
          </w:p>
        </w:tc>
      </w:tr>
      <w:tr w:rsidR="00897446" w:rsidRPr="00897446" w14:paraId="2C62F593" w14:textId="77777777" w:rsidTr="00993939">
        <w:trPr>
          <w:trHeight w:val="60"/>
        </w:trPr>
        <w:tc>
          <w:tcPr>
            <w:tcW w:w="1247" w:type="dxa"/>
            <w:shd w:val="clear" w:color="auto" w:fill="F1F0EE" w:themeFill="accent4"/>
            <w:tcMar>
              <w:top w:w="113" w:type="dxa"/>
              <w:left w:w="113" w:type="dxa"/>
              <w:bottom w:w="113" w:type="dxa"/>
              <w:right w:w="113" w:type="dxa"/>
            </w:tcMar>
            <w:vAlign w:val="bottom"/>
          </w:tcPr>
          <w:p w14:paraId="52DBBCAE" w14:textId="77777777" w:rsidR="00897446" w:rsidRPr="00C36315" w:rsidRDefault="00897446" w:rsidP="00B72246">
            <w:pPr>
              <w:pStyle w:val="Tabletextsmall"/>
            </w:pPr>
            <w:r w:rsidRPr="00C36315">
              <w:t>Local area highest rate</w:t>
            </w:r>
          </w:p>
        </w:tc>
        <w:tc>
          <w:tcPr>
            <w:tcW w:w="1701" w:type="dxa"/>
            <w:shd w:val="clear" w:color="auto" w:fill="F1F0EE" w:themeFill="accent4"/>
            <w:tcMar>
              <w:top w:w="113" w:type="dxa"/>
              <w:left w:w="113" w:type="dxa"/>
              <w:bottom w:w="113" w:type="dxa"/>
              <w:right w:w="113" w:type="dxa"/>
            </w:tcMar>
            <w:vAlign w:val="bottom"/>
          </w:tcPr>
          <w:p w14:paraId="52E24C88" w14:textId="77777777" w:rsidR="00897446" w:rsidRPr="00C36315" w:rsidRDefault="00897446" w:rsidP="00C36315">
            <w:pPr>
              <w:pStyle w:val="Tabletextsmall"/>
              <w:jc w:val="center"/>
            </w:pPr>
            <w:r w:rsidRPr="00C36315">
              <w:t>507</w:t>
            </w:r>
          </w:p>
        </w:tc>
        <w:tc>
          <w:tcPr>
            <w:tcW w:w="1701" w:type="dxa"/>
            <w:shd w:val="clear" w:color="auto" w:fill="F1F0EE" w:themeFill="accent4"/>
            <w:tcMar>
              <w:top w:w="113" w:type="dxa"/>
              <w:left w:w="113" w:type="dxa"/>
              <w:bottom w:w="113" w:type="dxa"/>
              <w:right w:w="113" w:type="dxa"/>
            </w:tcMar>
            <w:vAlign w:val="bottom"/>
          </w:tcPr>
          <w:p w14:paraId="4E9ED7C5" w14:textId="77777777" w:rsidR="00897446" w:rsidRPr="00C36315" w:rsidRDefault="00897446" w:rsidP="00C36315">
            <w:pPr>
              <w:pStyle w:val="Tabletextsmall"/>
              <w:jc w:val="center"/>
            </w:pPr>
            <w:r w:rsidRPr="00C36315">
              <w:t>Mid West (WA)</w:t>
            </w:r>
          </w:p>
        </w:tc>
        <w:tc>
          <w:tcPr>
            <w:tcW w:w="3628" w:type="dxa"/>
            <w:vMerge/>
          </w:tcPr>
          <w:p w14:paraId="3EC87CA7" w14:textId="77777777" w:rsidR="00897446" w:rsidRPr="00897446" w:rsidRDefault="00897446" w:rsidP="00C36315">
            <w:pPr>
              <w:rPr>
                <w:rFonts w:ascii="Gotham Bold" w:hAnsi="Gotham Bold"/>
                <w:sz w:val="24"/>
                <w:szCs w:val="24"/>
              </w:rPr>
            </w:pPr>
          </w:p>
        </w:tc>
      </w:tr>
      <w:tr w:rsidR="00897446" w:rsidRPr="00897446" w14:paraId="71DED4D0" w14:textId="77777777" w:rsidTr="00993939">
        <w:trPr>
          <w:trHeight w:val="60"/>
        </w:trPr>
        <w:tc>
          <w:tcPr>
            <w:tcW w:w="1247" w:type="dxa"/>
            <w:shd w:val="clear" w:color="auto" w:fill="F1F0EE" w:themeFill="accent4"/>
            <w:tcMar>
              <w:top w:w="113" w:type="dxa"/>
              <w:left w:w="113" w:type="dxa"/>
              <w:bottom w:w="113" w:type="dxa"/>
              <w:right w:w="113" w:type="dxa"/>
            </w:tcMar>
            <w:vAlign w:val="bottom"/>
          </w:tcPr>
          <w:p w14:paraId="6B73D93F" w14:textId="77777777" w:rsidR="00897446" w:rsidRPr="00C36315" w:rsidRDefault="00897446" w:rsidP="00B72246">
            <w:pPr>
              <w:pStyle w:val="Tabletextsmall"/>
            </w:pPr>
            <w:r w:rsidRPr="00C36315">
              <w:t>Local area lowest rate</w:t>
            </w:r>
          </w:p>
        </w:tc>
        <w:tc>
          <w:tcPr>
            <w:tcW w:w="1701" w:type="dxa"/>
            <w:shd w:val="clear" w:color="auto" w:fill="F1F0EE" w:themeFill="accent4"/>
            <w:tcMar>
              <w:top w:w="113" w:type="dxa"/>
              <w:left w:w="113" w:type="dxa"/>
              <w:bottom w:w="113" w:type="dxa"/>
              <w:right w:w="113" w:type="dxa"/>
            </w:tcMar>
            <w:vAlign w:val="bottom"/>
          </w:tcPr>
          <w:p w14:paraId="566245B7" w14:textId="77777777" w:rsidR="00897446" w:rsidRPr="00C36315" w:rsidRDefault="00897446" w:rsidP="00C36315">
            <w:pPr>
              <w:pStyle w:val="Tabletextsmall"/>
              <w:jc w:val="center"/>
            </w:pPr>
            <w:r w:rsidRPr="00C36315">
              <w:t>128</w:t>
            </w:r>
          </w:p>
        </w:tc>
        <w:tc>
          <w:tcPr>
            <w:tcW w:w="1701" w:type="dxa"/>
            <w:shd w:val="clear" w:color="auto" w:fill="F1F0EE" w:themeFill="accent4"/>
            <w:tcMar>
              <w:top w:w="113" w:type="dxa"/>
              <w:left w:w="113" w:type="dxa"/>
              <w:bottom w:w="113" w:type="dxa"/>
              <w:right w:w="113" w:type="dxa"/>
            </w:tcMar>
            <w:vAlign w:val="bottom"/>
          </w:tcPr>
          <w:p w14:paraId="131952D4" w14:textId="77777777" w:rsidR="00897446" w:rsidRPr="00C36315" w:rsidRDefault="00897446" w:rsidP="00C36315">
            <w:pPr>
              <w:pStyle w:val="Tabletextsmall"/>
              <w:jc w:val="center"/>
            </w:pPr>
            <w:proofErr w:type="spellStart"/>
            <w:r w:rsidRPr="00C36315">
              <w:t>Maribyrnong</w:t>
            </w:r>
            <w:proofErr w:type="spellEnd"/>
            <w:r w:rsidRPr="00C36315">
              <w:t xml:space="preserve"> (Vic) and Darwin City (NT)</w:t>
            </w:r>
          </w:p>
        </w:tc>
        <w:tc>
          <w:tcPr>
            <w:tcW w:w="3628" w:type="dxa"/>
            <w:vMerge/>
          </w:tcPr>
          <w:p w14:paraId="4D8B3E38" w14:textId="77777777" w:rsidR="00897446" w:rsidRPr="00897446" w:rsidRDefault="00897446" w:rsidP="00C36315">
            <w:pPr>
              <w:rPr>
                <w:rFonts w:ascii="Gotham Bold" w:hAnsi="Gotham Bold"/>
                <w:sz w:val="24"/>
                <w:szCs w:val="24"/>
              </w:rPr>
            </w:pPr>
          </w:p>
        </w:tc>
      </w:tr>
      <w:tr w:rsidR="00897446" w:rsidRPr="00897446" w14:paraId="5BB65588" w14:textId="77777777" w:rsidTr="00B72246">
        <w:trPr>
          <w:trHeight w:val="60"/>
        </w:trPr>
        <w:tc>
          <w:tcPr>
            <w:tcW w:w="4649" w:type="dxa"/>
            <w:gridSpan w:val="3"/>
            <w:tcMar>
              <w:top w:w="113" w:type="dxa"/>
              <w:left w:w="113" w:type="dxa"/>
              <w:bottom w:w="113" w:type="dxa"/>
              <w:right w:w="113" w:type="dxa"/>
            </w:tcMar>
          </w:tcPr>
          <w:p w14:paraId="0C97340A" w14:textId="77777777" w:rsidR="00897446" w:rsidRPr="00897446" w:rsidRDefault="00897446" w:rsidP="00B72246">
            <w:pPr>
              <w:pStyle w:val="Tablesubheading"/>
              <w:jc w:val="center"/>
              <w:rPr>
                <w:rFonts w:ascii="Helvetica 45 Light" w:hAnsi="Helvetica 45 Light" w:cs="Helvetica 45 Light"/>
                <w:spacing w:val="3"/>
              </w:rPr>
            </w:pPr>
            <w:r w:rsidRPr="00897446">
              <w:t>4.0-fold difference</w:t>
            </w:r>
          </w:p>
        </w:tc>
        <w:tc>
          <w:tcPr>
            <w:tcW w:w="3628" w:type="dxa"/>
            <w:vMerge/>
          </w:tcPr>
          <w:p w14:paraId="1FB41C81" w14:textId="77777777" w:rsidR="00897446" w:rsidRPr="00897446" w:rsidRDefault="00897446" w:rsidP="00897446">
            <w:pPr>
              <w:autoSpaceDE w:val="0"/>
              <w:autoSpaceDN w:val="0"/>
              <w:adjustRightInd w:val="0"/>
              <w:rPr>
                <w:rFonts w:ascii="Gotham Bold" w:hAnsi="Gotham Bold"/>
                <w:sz w:val="24"/>
                <w:szCs w:val="24"/>
              </w:rPr>
            </w:pPr>
          </w:p>
        </w:tc>
      </w:tr>
    </w:tbl>
    <w:p w14:paraId="7CFC25FC" w14:textId="77777777" w:rsidR="00897446" w:rsidRDefault="00897446" w:rsidP="00897446"/>
    <w:p w14:paraId="704A1DBE" w14:textId="77777777" w:rsidR="0011663A" w:rsidRDefault="0011663A">
      <w:pPr>
        <w:spacing w:after="160" w:line="259" w:lineRule="auto"/>
        <w:sectPr w:rsidR="0011663A" w:rsidSect="005F1364">
          <w:headerReference w:type="even" r:id="rId50"/>
          <w:pgSz w:w="9979" w:h="14175" w:code="34"/>
          <w:pgMar w:top="1418" w:right="680" w:bottom="851" w:left="1021" w:header="567" w:footer="397" w:gutter="0"/>
          <w:cols w:space="708"/>
          <w:docGrid w:linePitch="360"/>
        </w:sectPr>
      </w:pPr>
    </w:p>
    <w:p w14:paraId="6664031F" w14:textId="77777777" w:rsidR="0011663A" w:rsidRDefault="0011663A" w:rsidP="00993939">
      <w:pPr>
        <w:pStyle w:val="Heading2"/>
      </w:pPr>
      <w:r>
        <w:lastRenderedPageBreak/>
        <w:t>Improving appropriateness of care</w:t>
      </w:r>
    </w:p>
    <w:p w14:paraId="25D8BB44" w14:textId="77777777" w:rsidR="0011663A" w:rsidRDefault="0011663A" w:rsidP="00993939">
      <w:pPr>
        <w:pStyle w:val="BodyText"/>
      </w:pPr>
      <w:r>
        <w:t>Clinical care standards aim to support the delivery of appropriate care, reduce unwarranted variation in care and promote shared decision making between patients, carers and clinicians. Clinical care standards target key areas where opportunities exist to better align clinical practice with the best available evidence. They identify and define the care people should expect to be offered or receive, regardless of where they are treated in Australia.</w:t>
      </w:r>
    </w:p>
    <w:p w14:paraId="0694F4FA" w14:textId="77777777" w:rsidR="0011663A" w:rsidRDefault="0011663A" w:rsidP="00993939">
      <w:pPr>
        <w:pStyle w:val="BodyText"/>
      </w:pPr>
      <w:r>
        <w:t>During 2016–17, the Commission launched and broadly disseminated the Delirium, Hip Fracture Care and Osteoarthritis of the Knee clinical care standards.</w:t>
      </w:r>
    </w:p>
    <w:p w14:paraId="1B86C30F" w14:textId="77777777" w:rsidR="0011663A" w:rsidRDefault="0011663A" w:rsidP="00993939">
      <w:pPr>
        <w:pStyle w:val="BodyText"/>
      </w:pPr>
      <w:r>
        <w:t xml:space="preserve">In response to findings from the first Atlas and feedback from state and territory health departments, the Commission began developing the Heavy Menstrual Bleeding and Venous Thromboembolism Prevention clinical care standards in 2016–17. This included establishing expert topic working groups – made up of consumers, clinicians, researchers and nominated representatives from key health organisations or relevant technical experts – to inform the development of these new standards, which will be released in 2017–18. </w:t>
      </w:r>
    </w:p>
    <w:p w14:paraId="1BF5DEAF" w14:textId="77777777" w:rsidR="0011663A" w:rsidRPr="0011663A" w:rsidRDefault="0011663A" w:rsidP="00993939">
      <w:pPr>
        <w:pStyle w:val="BodyText"/>
      </w:pPr>
      <w:r>
        <w:t xml:space="preserve">In 2016, the Australian and New Zealand Hip Fracture Registry released its first annual report, which detailed patient and facility data. The release also coincided with the launch of the Hip Fracture Care Clinical Care Standard. Most of the indicators in the Hip Fracture Care Clinical Care Standard can be collected through this registry, which will assist in monitoring care in line with the standard. The Commission also released a document called </w:t>
      </w:r>
      <w:r w:rsidRPr="00993939">
        <w:rPr>
          <w:rStyle w:val="Emphasis"/>
        </w:rPr>
        <w:t>Hip Fracture Care – The case for improvement</w:t>
      </w:r>
      <w:r>
        <w:t>.</w:t>
      </w:r>
      <w:r>
        <w:br w:type="column"/>
      </w:r>
      <w:r w:rsidRPr="0011663A">
        <w:lastRenderedPageBreak/>
        <w:t>This</w:t>
      </w:r>
      <w:r w:rsidRPr="0011663A">
        <w:rPr>
          <w:rFonts w:cs="Arial"/>
        </w:rPr>
        <w:t> </w:t>
      </w:r>
      <w:r w:rsidRPr="0011663A">
        <w:t>is</w:t>
      </w:r>
      <w:r w:rsidRPr="0011663A">
        <w:rPr>
          <w:rFonts w:cs="Arial"/>
        </w:rPr>
        <w:t> </w:t>
      </w:r>
      <w:r w:rsidRPr="0011663A">
        <w:t>an</w:t>
      </w:r>
      <w:r w:rsidRPr="0011663A">
        <w:rPr>
          <w:rFonts w:cs="Arial"/>
        </w:rPr>
        <w:t> </w:t>
      </w:r>
      <w:r w:rsidRPr="0011663A">
        <w:t>educational resource designed to help clinicians and health service organisations implement the Hip Fracture Care Clinical Care Standard. Similarly, the Stroke Foundation conducts biennial audits into acute stroke care in line with the Acute Stroke Clinical Care Standard</w:t>
      </w:r>
      <w:r w:rsidRPr="0011663A">
        <w:rPr>
          <w:rFonts w:cs="Arial"/>
        </w:rPr>
        <w:t> </w:t>
      </w:r>
      <w:r w:rsidRPr="0011663A">
        <w:t xml:space="preserve">indicators. </w:t>
      </w:r>
    </w:p>
    <w:p w14:paraId="426C96F2" w14:textId="77777777" w:rsidR="0011663A" w:rsidRPr="00C36315" w:rsidRDefault="0011663A" w:rsidP="00993939">
      <w:pPr>
        <w:pStyle w:val="BodyText"/>
      </w:pPr>
      <w:r w:rsidRPr="00C36315">
        <w:t xml:space="preserve">A process has been developed to guide the review of clinical care standards. It will be piloted in 2017–18 using the initial clinical care standards released in 2014–15. </w:t>
      </w:r>
    </w:p>
    <w:p w14:paraId="5AE7A4AB" w14:textId="77777777" w:rsidR="0011663A" w:rsidRPr="00C36315" w:rsidRDefault="0011663A" w:rsidP="00993939">
      <w:pPr>
        <w:pStyle w:val="BodyText"/>
      </w:pPr>
      <w:r w:rsidRPr="00C36315">
        <w:t>The Commission also finalised a framework to guide evaluation activities that measure the effectiveness of clinical care standards. Initial activities have commenced and will continue in the coming years.</w:t>
      </w:r>
    </w:p>
    <w:tbl>
      <w:tblPr>
        <w:tblW w:w="0" w:type="auto"/>
        <w:tblInd w:w="-8" w:type="dxa"/>
        <w:tblLayout w:type="fixed"/>
        <w:tblCellMar>
          <w:left w:w="0" w:type="dxa"/>
          <w:right w:w="0" w:type="dxa"/>
        </w:tblCellMar>
        <w:tblLook w:val="0000" w:firstRow="0" w:lastRow="0" w:firstColumn="0" w:lastColumn="0" w:noHBand="0" w:noVBand="0"/>
        <w:tblCaption w:val="Highlights pullout box"/>
      </w:tblPr>
      <w:tblGrid>
        <w:gridCol w:w="3949"/>
      </w:tblGrid>
      <w:tr w:rsidR="0011663A" w:rsidRPr="0011663A" w14:paraId="70658D65" w14:textId="77777777" w:rsidTr="00604089">
        <w:trPr>
          <w:trHeight w:val="60"/>
        </w:trPr>
        <w:tc>
          <w:tcPr>
            <w:tcW w:w="3949" w:type="dxa"/>
            <w:tcBorders>
              <w:top w:val="single" w:sz="32" w:space="0" w:color="10897C"/>
              <w:bottom w:val="single" w:sz="4" w:space="0" w:color="10897C"/>
            </w:tcBorders>
            <w:tcMar>
              <w:top w:w="142" w:type="dxa"/>
              <w:left w:w="142" w:type="dxa"/>
              <w:bottom w:w="142" w:type="dxa"/>
              <w:right w:w="142" w:type="dxa"/>
            </w:tcMar>
          </w:tcPr>
          <w:p w14:paraId="03A51D66" w14:textId="77777777" w:rsidR="0011663A" w:rsidRPr="0011663A" w:rsidRDefault="0011663A" w:rsidP="00993939">
            <w:pPr>
              <w:pStyle w:val="Tableheading2"/>
            </w:pPr>
            <w:r w:rsidRPr="0011663A">
              <w:t>Highlights</w:t>
            </w:r>
          </w:p>
        </w:tc>
      </w:tr>
      <w:tr w:rsidR="0011663A" w:rsidRPr="0011663A" w14:paraId="7C88519C" w14:textId="77777777" w:rsidTr="00604089">
        <w:trPr>
          <w:trHeight w:val="60"/>
        </w:trPr>
        <w:tc>
          <w:tcPr>
            <w:tcW w:w="3949" w:type="dxa"/>
            <w:tcBorders>
              <w:top w:val="single" w:sz="4" w:space="0" w:color="10897C"/>
              <w:bottom w:val="single" w:sz="16" w:space="0" w:color="10897C"/>
            </w:tcBorders>
            <w:shd w:val="clear" w:color="auto" w:fill="F1F0EE" w:themeFill="accent4"/>
            <w:tcMar>
              <w:top w:w="142" w:type="dxa"/>
              <w:left w:w="142" w:type="dxa"/>
              <w:bottom w:w="142" w:type="dxa"/>
              <w:right w:w="142" w:type="dxa"/>
            </w:tcMar>
          </w:tcPr>
          <w:p w14:paraId="02EE5681" w14:textId="77777777" w:rsidR="0011663A" w:rsidRPr="0011663A" w:rsidRDefault="0011663A" w:rsidP="00F5152E">
            <w:pPr>
              <w:pStyle w:val="Tablebullets"/>
            </w:pPr>
            <w:r w:rsidRPr="0011663A">
              <w:t xml:space="preserve">Launched clinical care standards on delirium, hip fracture care and osteoarthritis of the knee </w:t>
            </w:r>
          </w:p>
          <w:p w14:paraId="0C793B41" w14:textId="77777777" w:rsidR="0011663A" w:rsidRPr="0011663A" w:rsidRDefault="0011663A" w:rsidP="00F5152E">
            <w:pPr>
              <w:pStyle w:val="Tablebullets"/>
            </w:pPr>
            <w:r w:rsidRPr="0011663A">
              <w:rPr>
                <w:spacing w:val="2"/>
              </w:rPr>
              <w:t>Started developing clinical care standards on heavy menstrual bleeding and venous thromboembolism prevention</w:t>
            </w:r>
          </w:p>
          <w:p w14:paraId="21E2DC6C" w14:textId="77777777" w:rsidR="0011663A" w:rsidRPr="0011663A" w:rsidRDefault="0011663A" w:rsidP="00F5152E">
            <w:pPr>
              <w:pStyle w:val="Tablebullets"/>
            </w:pPr>
            <w:r w:rsidRPr="0011663A">
              <w:t xml:space="preserve">Published </w:t>
            </w:r>
            <w:r w:rsidRPr="0011663A">
              <w:rPr>
                <w:i/>
                <w:iCs/>
              </w:rPr>
              <w:t>Hip Fracture Care – The case for improvement</w:t>
            </w:r>
            <w:r w:rsidRPr="0011663A">
              <w:t xml:space="preserve">, an educational resource designed to help clinicians and health service organisations implement the Hip Fracture Care Clinical Care Standard </w:t>
            </w:r>
          </w:p>
          <w:p w14:paraId="172EE15C" w14:textId="77777777" w:rsidR="0011663A" w:rsidRPr="0011663A" w:rsidRDefault="0011663A" w:rsidP="00F5152E">
            <w:pPr>
              <w:pStyle w:val="Tablebullets"/>
            </w:pPr>
            <w:r w:rsidRPr="0011663A">
              <w:t>Finalised a clinical care standards evaluation framework that will guide future activities.</w:t>
            </w:r>
          </w:p>
        </w:tc>
      </w:tr>
    </w:tbl>
    <w:p w14:paraId="14AFC54C" w14:textId="77777777" w:rsidR="0011663A" w:rsidRDefault="0011663A">
      <w:pPr>
        <w:spacing w:after="160" w:line="259" w:lineRule="auto"/>
      </w:pPr>
      <w:r>
        <w:br w:type="page"/>
      </w:r>
    </w:p>
    <w:p w14:paraId="3630BAF8" w14:textId="77777777" w:rsidR="00993939" w:rsidRDefault="00993939" w:rsidP="00993939">
      <w:pPr>
        <w:pStyle w:val="Heading2"/>
      </w:pPr>
      <w:r>
        <w:lastRenderedPageBreak/>
        <w:t>Pricing for safety and quality</w:t>
      </w:r>
    </w:p>
    <w:p w14:paraId="06818514" w14:textId="77777777" w:rsidR="00993939" w:rsidRDefault="00993939" w:rsidP="00993939">
      <w:pPr>
        <w:pStyle w:val="BodyText"/>
      </w:pPr>
      <w:r>
        <w:t>In April 2016, COAG signed a Heads of Agreement intended to form the basis of an addendum to amend elements of the National Health Reform Agreement for three years, until 30 June 2020. As part of this agreement, COAG resolved to develop, and begin to implement, reforms to improve health outcomes for Australians, and decrease avoidable demand for</w:t>
      </w:r>
      <w:r>
        <w:rPr>
          <w:rFonts w:cs="Arial"/>
        </w:rPr>
        <w:t> </w:t>
      </w:r>
      <w:r>
        <w:t>public hospital services.</w:t>
      </w:r>
    </w:p>
    <w:p w14:paraId="31DB0098" w14:textId="77777777" w:rsidR="00993939" w:rsidRDefault="00993939" w:rsidP="00993939">
      <w:pPr>
        <w:pStyle w:val="BodyText"/>
      </w:pPr>
      <w:r>
        <w:t>Under the Heads of Agreement, states, territories and the Australian Government Department of Health agreed to work with the Independent Hospital Pricing Authority (IHPA) and the Commission to develop a comprehensive, risk-adjusted model that integrates quality and safety into hospital pricing and funding, and reduces avoidable hospital readmissions. This work has focused on pricing and funding for sentinel events, hospital-acquired complications and avoidable hospital</w:t>
      </w:r>
      <w:r>
        <w:rPr>
          <w:rFonts w:cs="Arial"/>
        </w:rPr>
        <w:t> </w:t>
      </w:r>
      <w:r>
        <w:t xml:space="preserve">readmissions. </w:t>
      </w:r>
    </w:p>
    <w:p w14:paraId="39B2A721" w14:textId="77777777" w:rsidR="00993939" w:rsidRDefault="00993939" w:rsidP="00993939">
      <w:pPr>
        <w:pStyle w:val="Bodytextbeforebullets"/>
      </w:pPr>
      <w:r>
        <w:t>The Commission’s involvement in this work has</w:t>
      </w:r>
      <w:r>
        <w:rPr>
          <w:rFonts w:cs="Arial"/>
        </w:rPr>
        <w:t> </w:t>
      </w:r>
      <w:r>
        <w:t xml:space="preserve">included: </w:t>
      </w:r>
    </w:p>
    <w:p w14:paraId="15C263A6" w14:textId="77777777" w:rsidR="00993939" w:rsidRDefault="00993939" w:rsidP="00993939">
      <w:pPr>
        <w:pStyle w:val="Bullets"/>
      </w:pPr>
      <w:r>
        <w:t>Reviewing the sentinel events list</w:t>
      </w:r>
    </w:p>
    <w:p w14:paraId="5D7595CB" w14:textId="77777777" w:rsidR="00993939" w:rsidRDefault="00993939" w:rsidP="00993939">
      <w:pPr>
        <w:pStyle w:val="Bullets"/>
      </w:pPr>
      <w:r>
        <w:t>Curating the hospital-acquired complications</w:t>
      </w:r>
      <w:r>
        <w:rPr>
          <w:rFonts w:cs="Arial"/>
        </w:rPr>
        <w:t> </w:t>
      </w:r>
      <w:r>
        <w:t>list</w:t>
      </w:r>
    </w:p>
    <w:p w14:paraId="03007952" w14:textId="77777777" w:rsidR="0011663A" w:rsidRPr="0011663A" w:rsidRDefault="00993939" w:rsidP="00993939">
      <w:pPr>
        <w:pStyle w:val="Bullets"/>
      </w:pPr>
      <w:r>
        <w:br w:type="column"/>
      </w:r>
      <w:r w:rsidR="0011663A" w:rsidRPr="0011663A">
        <w:lastRenderedPageBreak/>
        <w:t>Providing clinical advice on risk adjustment for the hospital-acquired complications list</w:t>
      </w:r>
    </w:p>
    <w:p w14:paraId="443AF9D5" w14:textId="77777777" w:rsidR="0011663A" w:rsidRPr="00C36315" w:rsidRDefault="0011663A" w:rsidP="00993939">
      <w:pPr>
        <w:pStyle w:val="Bullets"/>
      </w:pPr>
      <w:r w:rsidRPr="00C36315">
        <w:t>Developing advice, in consultation with the states and territories, on a list of clinical conditions that can be considered avoidable hospital readmissions</w:t>
      </w:r>
    </w:p>
    <w:p w14:paraId="258F3F51" w14:textId="77777777" w:rsidR="0011663A" w:rsidRPr="0011663A" w:rsidRDefault="0011663A" w:rsidP="00993939">
      <w:pPr>
        <w:pStyle w:val="BulletLast"/>
      </w:pPr>
      <w:r w:rsidRPr="0011663A">
        <w:t>Continuing to collaborate with IHPA.</w:t>
      </w:r>
    </w:p>
    <w:p w14:paraId="037CD63A" w14:textId="77777777" w:rsidR="0011663A" w:rsidRPr="00C36315" w:rsidRDefault="0011663A" w:rsidP="00F64A4C">
      <w:pPr>
        <w:spacing w:after="240" w:line="240" w:lineRule="atLeast"/>
      </w:pPr>
      <w:r w:rsidRPr="00C36315">
        <w:t>For details on the Commission’s review of the sentinel events list and curation of the hospital</w:t>
      </w:r>
      <w:r w:rsidRPr="00C36315">
        <w:noBreakHyphen/>
        <w:t xml:space="preserve">acquired complications list, see ‘Minimising healthcare-related harm’ on page 45. </w:t>
      </w:r>
    </w:p>
    <w:tbl>
      <w:tblPr>
        <w:tblW w:w="0" w:type="auto"/>
        <w:tblInd w:w="-8" w:type="dxa"/>
        <w:tblLayout w:type="fixed"/>
        <w:tblCellMar>
          <w:left w:w="0" w:type="dxa"/>
          <w:right w:w="0" w:type="dxa"/>
        </w:tblCellMar>
        <w:tblLook w:val="0000" w:firstRow="0" w:lastRow="0" w:firstColumn="0" w:lastColumn="0" w:noHBand="0" w:noVBand="0"/>
        <w:tblCaption w:val="Highlights pullout box"/>
      </w:tblPr>
      <w:tblGrid>
        <w:gridCol w:w="3949"/>
      </w:tblGrid>
      <w:tr w:rsidR="0011663A" w:rsidRPr="0011663A" w14:paraId="325368EB" w14:textId="77777777" w:rsidTr="00604089">
        <w:trPr>
          <w:trHeight w:val="60"/>
        </w:trPr>
        <w:tc>
          <w:tcPr>
            <w:tcW w:w="3949" w:type="dxa"/>
            <w:tcBorders>
              <w:top w:val="single" w:sz="32" w:space="0" w:color="10897C"/>
              <w:bottom w:val="single" w:sz="4" w:space="0" w:color="10897C"/>
            </w:tcBorders>
            <w:tcMar>
              <w:top w:w="142" w:type="dxa"/>
              <w:left w:w="142" w:type="dxa"/>
              <w:bottom w:w="142" w:type="dxa"/>
              <w:right w:w="142" w:type="dxa"/>
            </w:tcMar>
          </w:tcPr>
          <w:p w14:paraId="673333B4" w14:textId="77777777" w:rsidR="0011663A" w:rsidRPr="0011663A" w:rsidRDefault="0011663A" w:rsidP="00993939">
            <w:pPr>
              <w:pStyle w:val="Tableheading2"/>
            </w:pPr>
            <w:r w:rsidRPr="0011663A">
              <w:t>Highlights</w:t>
            </w:r>
          </w:p>
        </w:tc>
      </w:tr>
      <w:tr w:rsidR="0011663A" w:rsidRPr="0011663A" w14:paraId="195A7E7F" w14:textId="77777777" w:rsidTr="00604089">
        <w:trPr>
          <w:trHeight w:val="60"/>
        </w:trPr>
        <w:tc>
          <w:tcPr>
            <w:tcW w:w="3949" w:type="dxa"/>
            <w:tcBorders>
              <w:top w:val="single" w:sz="4" w:space="0" w:color="10897C"/>
              <w:bottom w:val="single" w:sz="16" w:space="0" w:color="10897C"/>
            </w:tcBorders>
            <w:shd w:val="clear" w:color="auto" w:fill="F1F0EE" w:themeFill="accent4"/>
            <w:tcMar>
              <w:top w:w="142" w:type="dxa"/>
              <w:left w:w="142" w:type="dxa"/>
              <w:bottom w:w="142" w:type="dxa"/>
              <w:right w:w="142" w:type="dxa"/>
            </w:tcMar>
          </w:tcPr>
          <w:p w14:paraId="44ECC1C2" w14:textId="77777777" w:rsidR="0011663A" w:rsidRPr="0011663A" w:rsidRDefault="0011663A" w:rsidP="00F5152E">
            <w:pPr>
              <w:pStyle w:val="Tablebullets"/>
            </w:pPr>
            <w:r w:rsidRPr="0011663A">
              <w:t>Provided advice to the Australian Health Ministers’ Advisory Council on a list of clinical conditions that can be considered avoidable hospital readmissions</w:t>
            </w:r>
          </w:p>
          <w:p w14:paraId="49D206C5" w14:textId="77777777" w:rsidR="0011663A" w:rsidRPr="0011663A" w:rsidRDefault="0011663A" w:rsidP="00F5152E">
            <w:pPr>
              <w:pStyle w:val="Tablebullets"/>
            </w:pPr>
            <w:r w:rsidRPr="0011663A">
              <w:t>Provided clinical advice on risk adjustment for the hospital-acquired complications list.</w:t>
            </w:r>
          </w:p>
        </w:tc>
      </w:tr>
    </w:tbl>
    <w:p w14:paraId="3FB39A30" w14:textId="77777777" w:rsidR="0011663A" w:rsidRDefault="0011663A" w:rsidP="0011663A"/>
    <w:p w14:paraId="682F0B49" w14:textId="77777777" w:rsidR="0011663A" w:rsidRDefault="0011663A" w:rsidP="0011663A">
      <w:pPr>
        <w:sectPr w:rsidR="0011663A" w:rsidSect="005F1364">
          <w:headerReference w:type="default" r:id="rId51"/>
          <w:pgSz w:w="9979" w:h="14175" w:code="34"/>
          <w:pgMar w:top="1418" w:right="680" w:bottom="851" w:left="1021" w:header="567" w:footer="397" w:gutter="0"/>
          <w:cols w:num="2" w:space="708"/>
          <w:docGrid w:linePitch="360"/>
        </w:sectPr>
      </w:pPr>
    </w:p>
    <w:p w14:paraId="6FD0E647" w14:textId="77777777" w:rsidR="0011663A" w:rsidRDefault="0011663A" w:rsidP="003123F3">
      <w:pPr>
        <w:pStyle w:val="Heading1"/>
      </w:pPr>
      <w:r>
        <w:lastRenderedPageBreak/>
        <w:t>Priority 4: Supporting health professionals to</w:t>
      </w:r>
      <w:r w:rsidR="00011CF0">
        <w:t> </w:t>
      </w:r>
      <w:r>
        <w:t>provide safe and high</w:t>
      </w:r>
      <w:r>
        <w:noBreakHyphen/>
        <w:t>quality care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F0EE" w:themeFill="accent4"/>
        <w:tblCellMar>
          <w:top w:w="284" w:type="dxa"/>
          <w:left w:w="284" w:type="dxa"/>
          <w:bottom w:w="284" w:type="dxa"/>
          <w:right w:w="284" w:type="dxa"/>
        </w:tblCellMar>
        <w:tblLook w:val="04A0" w:firstRow="1" w:lastRow="0" w:firstColumn="1" w:lastColumn="0" w:noHBand="0" w:noVBand="1"/>
        <w:tblCaption w:val="Priority 4: Supporting health professionals to provide safe and high quality care"/>
        <w:tblDescription w:val="Introduction"/>
      </w:tblPr>
      <w:tblGrid>
        <w:gridCol w:w="8268"/>
      </w:tblGrid>
      <w:tr w:rsidR="00993939" w14:paraId="133B3BE8" w14:textId="77777777" w:rsidTr="007430AC">
        <w:tc>
          <w:tcPr>
            <w:tcW w:w="8268" w:type="dxa"/>
            <w:shd w:val="clear" w:color="auto" w:fill="F1F0EE" w:themeFill="accent4"/>
          </w:tcPr>
          <w:p w14:paraId="3C1F2E2D" w14:textId="77777777" w:rsidR="00993939" w:rsidRDefault="00993939" w:rsidP="007430AC">
            <w:pPr>
              <w:pStyle w:val="IntroCopy0"/>
            </w:pPr>
            <w:r w:rsidRPr="00993939">
              <w:t>The aim of this priority area is to have a health system that supports safe clinical practice by implementing robust and sustainable improvement systems.</w:t>
            </w:r>
          </w:p>
        </w:tc>
      </w:tr>
    </w:tbl>
    <w:p w14:paraId="6275F8AA" w14:textId="77777777" w:rsidR="00993939" w:rsidRPr="00993939" w:rsidRDefault="00993939" w:rsidP="00993939"/>
    <w:p w14:paraId="62D1733D" w14:textId="77777777" w:rsidR="0011663A" w:rsidRDefault="0011663A" w:rsidP="00993939">
      <w:pPr>
        <w:pStyle w:val="BodyText"/>
        <w:sectPr w:rsidR="0011663A" w:rsidSect="005F1364">
          <w:pgSz w:w="9979" w:h="14175" w:code="34"/>
          <w:pgMar w:top="1418" w:right="680" w:bottom="851" w:left="1021" w:header="567" w:footer="397" w:gutter="0"/>
          <w:cols w:space="708"/>
          <w:docGrid w:linePitch="360"/>
        </w:sectPr>
      </w:pPr>
    </w:p>
    <w:p w14:paraId="183ED111" w14:textId="77777777" w:rsidR="0011663A" w:rsidRPr="0011663A" w:rsidRDefault="0011663A" w:rsidP="00993939">
      <w:pPr>
        <w:pStyle w:val="Heading2"/>
      </w:pPr>
      <w:r w:rsidRPr="0011663A">
        <w:lastRenderedPageBreak/>
        <w:t>Indicators and dataset specifications</w:t>
      </w:r>
    </w:p>
    <w:p w14:paraId="3CE72DDA" w14:textId="77777777" w:rsidR="0011663A" w:rsidRPr="0011663A" w:rsidRDefault="0011663A" w:rsidP="00993939">
      <w:pPr>
        <w:pStyle w:val="BodyText"/>
      </w:pPr>
      <w:r w:rsidRPr="0011663A">
        <w:t xml:space="preserve">In 2016–17, the Commission continued working on resources that outline best practice for developing and reviewing safety and quality indicators. This included completing the </w:t>
      </w:r>
      <w:r w:rsidRPr="00011CF0">
        <w:rPr>
          <w:rStyle w:val="Emphasis"/>
        </w:rPr>
        <w:t>Toolkit for Developing Safety and Quality Indicators</w:t>
      </w:r>
      <w:r w:rsidRPr="0011663A">
        <w:t xml:space="preserve">, which aims to provide best practice guidance on indicator and dataset development and review processes. The Commission’s </w:t>
      </w:r>
      <w:r w:rsidRPr="00011CF0">
        <w:rPr>
          <w:rStyle w:val="Emphasis"/>
        </w:rPr>
        <w:t xml:space="preserve">Data Governance Framework </w:t>
      </w:r>
      <w:r w:rsidRPr="0011663A">
        <w:t>and</w:t>
      </w:r>
      <w:r w:rsidRPr="00011CF0">
        <w:rPr>
          <w:rStyle w:val="Emphasis"/>
        </w:rPr>
        <w:t xml:space="preserve"> Data Plan 2016–2019</w:t>
      </w:r>
      <w:r w:rsidRPr="0011663A">
        <w:t xml:space="preserve"> were also</w:t>
      </w:r>
      <w:r w:rsidRPr="0011663A">
        <w:rPr>
          <w:rFonts w:cs="Arial"/>
        </w:rPr>
        <w:t> </w:t>
      </w:r>
      <w:r w:rsidRPr="0011663A">
        <w:t>completed.</w:t>
      </w:r>
    </w:p>
    <w:p w14:paraId="0BD6D246" w14:textId="77777777" w:rsidR="0011663A" w:rsidRPr="0011663A" w:rsidRDefault="0011663A" w:rsidP="00993939">
      <w:pPr>
        <w:pStyle w:val="BodyText"/>
      </w:pPr>
      <w:r w:rsidRPr="0011663A">
        <w:t>In 2016–17, the Commission continued developing and maintaining indicators and dataset specifications that helped improve safety and quality in health care. It developed and specified indicator sets to support the implementation of clinical care standards on osteoarthritis of the knee, delirium and heavy menstrual bleeding. The Commission is also researching and developing indicator sets for the clinical care standard on preventing venous</w:t>
      </w:r>
      <w:r w:rsidRPr="0011663A">
        <w:rPr>
          <w:rFonts w:cs="Arial"/>
        </w:rPr>
        <w:t> </w:t>
      </w:r>
      <w:r w:rsidRPr="0011663A">
        <w:t>thromboembolism.</w:t>
      </w:r>
    </w:p>
    <w:p w14:paraId="4B4D853F" w14:textId="77777777" w:rsidR="0011663A" w:rsidRPr="0011663A" w:rsidRDefault="0011663A" w:rsidP="00993939">
      <w:pPr>
        <w:pStyle w:val="BodyText"/>
      </w:pPr>
      <w:r w:rsidRPr="0011663A">
        <w:t>The Commission completed specifications for defining and coding severe acute maternal morbidity during 2016–17, and continued to support data collection and reporting in relation to hand hygiene compliance. It has begun defining data models, tool specifications and indicator sets to increase the transparency of accreditation processes and outcomes. Work is underway to integrate post-partum haemorrhage indicators into national datasets.</w:t>
      </w:r>
    </w:p>
    <w:p w14:paraId="77FD961A" w14:textId="77777777" w:rsidR="0011663A" w:rsidRPr="0011663A" w:rsidRDefault="0011663A" w:rsidP="00C36315">
      <w:pPr>
        <w:pStyle w:val="BodyText"/>
      </w:pPr>
    </w:p>
    <w:p w14:paraId="567469F1" w14:textId="77777777" w:rsidR="0011663A" w:rsidRPr="0011663A" w:rsidRDefault="0011663A" w:rsidP="00993939">
      <w:pPr>
        <w:pStyle w:val="BodyText"/>
      </w:pPr>
      <w:r w:rsidRPr="0011663A">
        <w:lastRenderedPageBreak/>
        <w:t>Hospitals, states and territories, and private hospital ownership groups use the Core Hospital-Based Outcome Indicators (CHBOI) for routine local-level safety and quality reviews. To ensure the CHBOI are consistent with international methodological best practice, the Commission has progressed the development of the Australian Composite Model Hospital Standardised Mortality Ratio (ACM HSMR). This is a new model for measuring in</w:t>
      </w:r>
      <w:r w:rsidRPr="0011663A">
        <w:noBreakHyphen/>
        <w:t>hospital</w:t>
      </w:r>
      <w:r w:rsidRPr="0011663A">
        <w:rPr>
          <w:rFonts w:cs="Arial"/>
        </w:rPr>
        <w:t> </w:t>
      </w:r>
      <w:r w:rsidRPr="0011663A">
        <w:t xml:space="preserve">mortality. </w:t>
      </w:r>
    </w:p>
    <w:p w14:paraId="4B111E30" w14:textId="77777777" w:rsidR="0011663A" w:rsidRPr="0011663A" w:rsidRDefault="0011663A" w:rsidP="00993939">
      <w:pPr>
        <w:pStyle w:val="BodyText"/>
        <w:ind w:right="-184"/>
      </w:pPr>
      <w:r w:rsidRPr="0011663A">
        <w:t>In 2016–17, two jurisdictions piloted the ACM HSMR to assess its utility and functionality for monitoring safety and quality at the local level. Feedback was largely positive; however, issues requiring additional work still remain, including variation between the states and territories in data elements used in cohort specification and risk adjustment. This work will continue in 2017–18, with a view to incorporating the ACM HSMR into the CHBOI toolkit.</w:t>
      </w:r>
    </w:p>
    <w:tbl>
      <w:tblPr>
        <w:tblW w:w="0" w:type="auto"/>
        <w:tblInd w:w="-8" w:type="dxa"/>
        <w:tblBorders>
          <w:top w:val="single" w:sz="36" w:space="0" w:color="10897C"/>
          <w:bottom w:val="single" w:sz="18" w:space="0" w:color="10897C"/>
          <w:insideH w:val="single" w:sz="4" w:space="0" w:color="10897C"/>
          <w:insideV w:val="single" w:sz="4" w:space="0" w:color="10897C"/>
        </w:tblBorders>
        <w:tblLayout w:type="fixed"/>
        <w:tblCellMar>
          <w:left w:w="0" w:type="dxa"/>
          <w:right w:w="0" w:type="dxa"/>
        </w:tblCellMar>
        <w:tblLook w:val="0000" w:firstRow="0" w:lastRow="0" w:firstColumn="0" w:lastColumn="0" w:noHBand="0" w:noVBand="0"/>
        <w:tblCaption w:val="Highlights pullout box"/>
      </w:tblPr>
      <w:tblGrid>
        <w:gridCol w:w="3949"/>
      </w:tblGrid>
      <w:tr w:rsidR="0011663A" w:rsidRPr="0011663A" w14:paraId="616F98C3" w14:textId="77777777" w:rsidTr="00993939">
        <w:trPr>
          <w:trHeight w:val="60"/>
        </w:trPr>
        <w:tc>
          <w:tcPr>
            <w:tcW w:w="3949" w:type="dxa"/>
            <w:tcMar>
              <w:top w:w="142" w:type="dxa"/>
              <w:left w:w="142" w:type="dxa"/>
              <w:bottom w:w="142" w:type="dxa"/>
              <w:right w:w="142" w:type="dxa"/>
            </w:tcMar>
          </w:tcPr>
          <w:p w14:paraId="6ABFF6E5" w14:textId="77777777" w:rsidR="0011663A" w:rsidRPr="0011663A" w:rsidRDefault="0011663A" w:rsidP="00993939">
            <w:pPr>
              <w:pStyle w:val="Tableheading2"/>
            </w:pPr>
            <w:r w:rsidRPr="0011663A">
              <w:t>Highlights</w:t>
            </w:r>
          </w:p>
        </w:tc>
      </w:tr>
      <w:tr w:rsidR="0011663A" w:rsidRPr="0011663A" w14:paraId="617611B7" w14:textId="77777777" w:rsidTr="00993939">
        <w:trPr>
          <w:trHeight w:val="60"/>
        </w:trPr>
        <w:tc>
          <w:tcPr>
            <w:tcW w:w="3949" w:type="dxa"/>
            <w:shd w:val="clear" w:color="auto" w:fill="F1F0EE" w:themeFill="accent4"/>
            <w:tcMar>
              <w:top w:w="142" w:type="dxa"/>
              <w:left w:w="142" w:type="dxa"/>
              <w:bottom w:w="142" w:type="dxa"/>
              <w:right w:w="142" w:type="dxa"/>
            </w:tcMar>
          </w:tcPr>
          <w:p w14:paraId="11446E6C" w14:textId="77777777" w:rsidR="0011663A" w:rsidRPr="0011663A" w:rsidRDefault="0011663A" w:rsidP="00F5152E">
            <w:pPr>
              <w:pStyle w:val="Tablebullets"/>
            </w:pPr>
            <w:r w:rsidRPr="0011663A">
              <w:t>Created a toolkit for developing and reviewing safety and quality indicators</w:t>
            </w:r>
          </w:p>
          <w:p w14:paraId="094CE933" w14:textId="77777777" w:rsidR="0011663A" w:rsidRPr="0011663A" w:rsidRDefault="0011663A" w:rsidP="00F5152E">
            <w:pPr>
              <w:pStyle w:val="Tablebullets"/>
            </w:pPr>
            <w:r w:rsidRPr="0011663A">
              <w:t>Continued developing and maintaining indicator sets for the clinical care standards, maternal morbidity, hand hygiene and accreditation</w:t>
            </w:r>
          </w:p>
          <w:p w14:paraId="669AF356" w14:textId="77777777" w:rsidR="0011663A" w:rsidRPr="0011663A" w:rsidRDefault="0011663A" w:rsidP="00F5152E">
            <w:pPr>
              <w:pStyle w:val="Tablebullets"/>
            </w:pPr>
            <w:r w:rsidRPr="0011663A">
              <w:t>Continued developing and piloting the ACM HSMR.</w:t>
            </w:r>
          </w:p>
        </w:tc>
      </w:tr>
    </w:tbl>
    <w:p w14:paraId="099293C4" w14:textId="77777777" w:rsidR="0011663A" w:rsidRDefault="0011663A" w:rsidP="0011663A"/>
    <w:p w14:paraId="573B8A76" w14:textId="77777777" w:rsidR="0011663A" w:rsidRDefault="0011663A">
      <w:pPr>
        <w:spacing w:after="160" w:line="259" w:lineRule="auto"/>
      </w:pPr>
      <w:r>
        <w:br w:type="page"/>
      </w:r>
    </w:p>
    <w:p w14:paraId="223BBCEA" w14:textId="77777777" w:rsidR="0011663A" w:rsidRPr="0011663A" w:rsidRDefault="0011663A" w:rsidP="00993939">
      <w:pPr>
        <w:pStyle w:val="Heading2"/>
      </w:pPr>
      <w:r w:rsidRPr="0011663A">
        <w:lastRenderedPageBreak/>
        <w:t>Patient-reported experience</w:t>
      </w:r>
      <w:r w:rsidR="0044323F">
        <w:t> </w:t>
      </w:r>
      <w:r w:rsidRPr="0011663A">
        <w:t xml:space="preserve">measures </w:t>
      </w:r>
    </w:p>
    <w:p w14:paraId="68CB33FF" w14:textId="77777777" w:rsidR="0011663A" w:rsidRPr="0011663A" w:rsidRDefault="0011663A" w:rsidP="00993939">
      <w:pPr>
        <w:pStyle w:val="BodyText"/>
      </w:pPr>
      <w:r w:rsidRPr="0011663A">
        <w:t>During 2016–17, the Commission developed and piloted a non-proprietary set of questions to facilitate national consistency in the way patients’ experiences are measured. These questions form a short measurement instrument known as the Australian Core Patient Experience Question Set (</w:t>
      </w:r>
      <w:proofErr w:type="spellStart"/>
      <w:r w:rsidRPr="0011663A">
        <w:t>CorePEQS</w:t>
      </w:r>
      <w:proofErr w:type="spellEnd"/>
      <w:r w:rsidRPr="0011663A">
        <w:t>).</w:t>
      </w:r>
    </w:p>
    <w:p w14:paraId="5696B96B" w14:textId="77777777" w:rsidR="0011663A" w:rsidRPr="0011663A" w:rsidRDefault="0011663A" w:rsidP="00993939">
      <w:pPr>
        <w:pStyle w:val="BodyText"/>
      </w:pPr>
      <w:r w:rsidRPr="0011663A">
        <w:t xml:space="preserve">The consultative approach for the </w:t>
      </w:r>
      <w:proofErr w:type="spellStart"/>
      <w:r w:rsidRPr="0011663A">
        <w:t>CorePEQS</w:t>
      </w:r>
      <w:proofErr w:type="spellEnd"/>
      <w:r w:rsidRPr="0011663A">
        <w:t xml:space="preserve"> included conducting initial qualitative research with a group of 86 consumers drawn from each state or territory to define the factors that influence healthcare experiences. Seven</w:t>
      </w:r>
      <w:r w:rsidRPr="0011663A">
        <w:rPr>
          <w:rFonts w:cs="Arial"/>
        </w:rPr>
        <w:t> </w:t>
      </w:r>
      <w:r w:rsidRPr="0011663A">
        <w:t>more phases of qualitative and quantitative research followed. To establish the reliability and validity of the instrument, the Commission also conducted pilot testing in four states. Around 1,500 consumers participated in the pilot testing, which covered day and overnight settings in private and public hospitals.</w:t>
      </w:r>
    </w:p>
    <w:p w14:paraId="6F541A68" w14:textId="77777777" w:rsidR="0011663A" w:rsidRPr="0011663A" w:rsidRDefault="0011663A" w:rsidP="00604089">
      <w:pPr>
        <w:pStyle w:val="BodyText"/>
        <w:spacing w:after="240"/>
      </w:pPr>
      <w:r w:rsidRPr="0011663A">
        <w:t xml:space="preserve">The </w:t>
      </w:r>
      <w:proofErr w:type="spellStart"/>
      <w:r w:rsidRPr="0011663A">
        <w:t>CorePEQS</w:t>
      </w:r>
      <w:proofErr w:type="spellEnd"/>
      <w:r w:rsidRPr="0011663A">
        <w:t xml:space="preserve"> is due for release in September 2017, and will be available for use with day stay and overnight hospital patients free of charge.</w:t>
      </w:r>
    </w:p>
    <w:tbl>
      <w:tblPr>
        <w:tblW w:w="0" w:type="auto"/>
        <w:tblInd w:w="-8" w:type="dxa"/>
        <w:tblBorders>
          <w:top w:val="single" w:sz="36" w:space="0" w:color="10897C"/>
          <w:bottom w:val="single" w:sz="18" w:space="0" w:color="10897C"/>
          <w:insideH w:val="single" w:sz="4" w:space="0" w:color="10897C"/>
          <w:insideV w:val="single" w:sz="4" w:space="0" w:color="10897C"/>
        </w:tblBorders>
        <w:tblLayout w:type="fixed"/>
        <w:tblCellMar>
          <w:left w:w="0" w:type="dxa"/>
          <w:right w:w="0" w:type="dxa"/>
        </w:tblCellMar>
        <w:tblLook w:val="0000" w:firstRow="0" w:lastRow="0" w:firstColumn="0" w:lastColumn="0" w:noHBand="0" w:noVBand="0"/>
        <w:tblCaption w:val="Highlights pullout box"/>
      </w:tblPr>
      <w:tblGrid>
        <w:gridCol w:w="3949"/>
      </w:tblGrid>
      <w:tr w:rsidR="0011663A" w:rsidRPr="0011663A" w14:paraId="150D6CFD" w14:textId="77777777" w:rsidTr="00993939">
        <w:trPr>
          <w:trHeight w:val="60"/>
        </w:trPr>
        <w:tc>
          <w:tcPr>
            <w:tcW w:w="3949" w:type="dxa"/>
            <w:tcMar>
              <w:top w:w="142" w:type="dxa"/>
              <w:left w:w="142" w:type="dxa"/>
              <w:bottom w:w="142" w:type="dxa"/>
              <w:right w:w="142" w:type="dxa"/>
            </w:tcMar>
          </w:tcPr>
          <w:p w14:paraId="0885EE23" w14:textId="77777777" w:rsidR="0011663A" w:rsidRPr="0011663A" w:rsidRDefault="0011663A" w:rsidP="00993939">
            <w:pPr>
              <w:pStyle w:val="Tableheading2"/>
            </w:pPr>
            <w:r w:rsidRPr="0011663A">
              <w:t>Highlight</w:t>
            </w:r>
          </w:p>
        </w:tc>
      </w:tr>
      <w:tr w:rsidR="0011663A" w:rsidRPr="0011663A" w14:paraId="0671015A" w14:textId="77777777" w:rsidTr="00993939">
        <w:trPr>
          <w:trHeight w:val="60"/>
        </w:trPr>
        <w:tc>
          <w:tcPr>
            <w:tcW w:w="3949" w:type="dxa"/>
            <w:shd w:val="clear" w:color="auto" w:fill="F1F0EE" w:themeFill="accent4"/>
            <w:tcMar>
              <w:top w:w="142" w:type="dxa"/>
              <w:left w:w="142" w:type="dxa"/>
              <w:bottom w:w="142" w:type="dxa"/>
              <w:right w:w="142" w:type="dxa"/>
            </w:tcMar>
          </w:tcPr>
          <w:p w14:paraId="3F1AE932" w14:textId="77777777" w:rsidR="0011663A" w:rsidRPr="0011663A" w:rsidRDefault="0011663A" w:rsidP="00F5152E">
            <w:pPr>
              <w:pStyle w:val="Tablebullets"/>
            </w:pPr>
            <w:r w:rsidRPr="0011663A">
              <w:t>Developed a non-proprietary instrument to measure patients’ experiences of health care in a consistent way nationally.</w:t>
            </w:r>
          </w:p>
        </w:tc>
      </w:tr>
    </w:tbl>
    <w:p w14:paraId="384D9989" w14:textId="77777777" w:rsidR="0011663A" w:rsidRPr="0011663A" w:rsidRDefault="00993939" w:rsidP="00993939">
      <w:pPr>
        <w:pStyle w:val="Heading2"/>
      </w:pPr>
      <w:r w:rsidRPr="0044323F">
        <w:rPr>
          <w:rStyle w:val="BodyTextChar"/>
        </w:rPr>
        <w:br w:type="column"/>
      </w:r>
      <w:r w:rsidR="0011663A" w:rsidRPr="0011663A">
        <w:lastRenderedPageBreak/>
        <w:t>Minimising healthcare-related</w:t>
      </w:r>
      <w:r w:rsidR="0044323F">
        <w:t> </w:t>
      </w:r>
      <w:r w:rsidR="0011663A" w:rsidRPr="0011663A">
        <w:t>harm</w:t>
      </w:r>
    </w:p>
    <w:p w14:paraId="1407ED52" w14:textId="77777777" w:rsidR="0011663A" w:rsidRPr="0011663A" w:rsidRDefault="0011663A" w:rsidP="00993939">
      <w:pPr>
        <w:pStyle w:val="BodyText"/>
      </w:pPr>
      <w:r w:rsidRPr="0011663A">
        <w:t>Although most health care in Australia is associated with good clinical outcomes, preventable adverse events and complications continue to occur across the Australian healthcare system. To assist in identifying harm, the Commission’s work includes developing indicators for local monitoring of safety and</w:t>
      </w:r>
      <w:r w:rsidRPr="0011663A">
        <w:rPr>
          <w:rFonts w:cs="Arial"/>
        </w:rPr>
        <w:t> </w:t>
      </w:r>
      <w:r w:rsidRPr="0011663A">
        <w:t>quality.</w:t>
      </w:r>
    </w:p>
    <w:p w14:paraId="0F282062" w14:textId="77777777" w:rsidR="0011663A" w:rsidRPr="0011663A" w:rsidRDefault="0011663A" w:rsidP="00993939">
      <w:pPr>
        <w:pStyle w:val="Heading3"/>
      </w:pPr>
      <w:r w:rsidRPr="0011663A">
        <w:t>Hospital-acquired complications</w:t>
      </w:r>
      <w:r w:rsidR="0044323F">
        <w:t> </w:t>
      </w:r>
      <w:r w:rsidRPr="0011663A">
        <w:t>list</w:t>
      </w:r>
    </w:p>
    <w:p w14:paraId="116F0EEB" w14:textId="77777777" w:rsidR="0011663A" w:rsidRPr="0011663A" w:rsidRDefault="0011663A" w:rsidP="00993939">
      <w:pPr>
        <w:pStyle w:val="BodyText"/>
      </w:pPr>
      <w:r w:rsidRPr="0011663A">
        <w:t xml:space="preserve">A hospital-acquired complication refers to a complication for which clinical risk-mitigation strategies may reduce (but not necessarily eliminate) the risk of that complication occurring. The hospital-acquired complications list was released in 2015. After the birth trauma and perineal laceration complications were included, the list was refined further and final specifications were released in October 2016. </w:t>
      </w:r>
    </w:p>
    <w:p w14:paraId="6C9C1380" w14:textId="3EA2B6A7" w:rsidR="0011663A" w:rsidRPr="0011663A" w:rsidRDefault="0011663A" w:rsidP="00993939">
      <w:pPr>
        <w:pStyle w:val="BodyText"/>
      </w:pPr>
      <w:r w:rsidRPr="0011663A">
        <w:t>In 2016–17, the Commission started developing supporting resources for the hospital</w:t>
      </w:r>
      <w:r w:rsidRPr="0011663A">
        <w:noBreakHyphen/>
        <w:t xml:space="preserve">acquired complications list with the aim of improving clinical documentation, </w:t>
      </w:r>
      <w:r w:rsidR="00604089">
        <w:br/>
      </w:r>
      <w:r w:rsidRPr="0011663A">
        <w:t xml:space="preserve">and supporting local monitoring and quality improvement. This work will continue in </w:t>
      </w:r>
      <w:r w:rsidR="00604089">
        <w:br/>
      </w:r>
      <w:r w:rsidRPr="0011663A">
        <w:t>2017–18. The Hospital-Acquired Complications Curation Clinical Advisory Group was convened to support this work and future refinements to</w:t>
      </w:r>
      <w:r w:rsidRPr="0011663A">
        <w:rPr>
          <w:rFonts w:cs="Arial"/>
        </w:rPr>
        <w:t> </w:t>
      </w:r>
      <w:r w:rsidRPr="0011663A">
        <w:t xml:space="preserve">the list. </w:t>
      </w:r>
    </w:p>
    <w:p w14:paraId="3AA5164D" w14:textId="77777777" w:rsidR="0011663A" w:rsidRPr="0011663A" w:rsidRDefault="0011663A" w:rsidP="00993939">
      <w:pPr>
        <w:pStyle w:val="Heading3"/>
      </w:pPr>
      <w:r w:rsidRPr="0011663A">
        <w:t>National sentinel events list</w:t>
      </w:r>
    </w:p>
    <w:p w14:paraId="6A556B1A" w14:textId="77777777" w:rsidR="0011663A" w:rsidRDefault="0011663A" w:rsidP="0015139A">
      <w:pPr>
        <w:pStyle w:val="BodyText"/>
      </w:pPr>
      <w:r w:rsidRPr="0011663A">
        <w:t>In 2016–17, the Commission continued its review of the national sentinel events list. The</w:t>
      </w:r>
      <w:r w:rsidRPr="0011663A">
        <w:rPr>
          <w:rFonts w:cs="Arial"/>
        </w:rPr>
        <w:t> </w:t>
      </w:r>
      <w:r w:rsidRPr="0011663A">
        <w:t>list comprises eight sentinel events – that</w:t>
      </w:r>
      <w:r w:rsidRPr="0011663A">
        <w:rPr>
          <w:rFonts w:cs="Arial"/>
        </w:rPr>
        <w:t> </w:t>
      </w:r>
      <w:r w:rsidRPr="0011663A">
        <w:t>is,</w:t>
      </w:r>
      <w:r w:rsidRPr="0011663A">
        <w:rPr>
          <w:rFonts w:cs="Arial"/>
        </w:rPr>
        <w:t> </w:t>
      </w:r>
      <w:r w:rsidRPr="0011663A">
        <w:t xml:space="preserve">adverse events that result in death or very serious harm to the patient. The Productivity Commission’s </w:t>
      </w:r>
      <w:r w:rsidRPr="00011CF0">
        <w:rPr>
          <w:rStyle w:val="Emphasis"/>
        </w:rPr>
        <w:t>Report on Government Services</w:t>
      </w:r>
      <w:r w:rsidRPr="0011663A">
        <w:t xml:space="preserve"> details the number of sentinel events that occur each year. This is the first review of the list since 2004, when Australian health ministers introduced mandatory reporting on sentinel</w:t>
      </w:r>
      <w:r w:rsidRPr="0011663A">
        <w:rPr>
          <w:rFonts w:cs="Arial"/>
        </w:rPr>
        <w:t> </w:t>
      </w:r>
      <w:r w:rsidRPr="0011663A">
        <w:t xml:space="preserve">events. </w:t>
      </w:r>
      <w:r>
        <w:br w:type="page"/>
      </w:r>
    </w:p>
    <w:p w14:paraId="69FAAA32" w14:textId="0345FC7D" w:rsidR="0011663A" w:rsidRPr="0011663A" w:rsidRDefault="0011663A" w:rsidP="00415AA7">
      <w:pPr>
        <w:pStyle w:val="BodyText"/>
      </w:pPr>
      <w:r w:rsidRPr="0011663A">
        <w:lastRenderedPageBreak/>
        <w:t xml:space="preserve">The Commission also established the Sentinel Events Review Steering Committee to guide the revision of the list. The committee is made up of safety and quality experts from each state or territory, and a consumer representative. The Commission undertook significant clinical consultation in 2016–17 as part of the list redevelopment process. Open public consultation will take place in mid-2017, </w:t>
      </w:r>
      <w:r w:rsidR="00604089">
        <w:br/>
      </w:r>
      <w:r w:rsidRPr="0011663A">
        <w:t xml:space="preserve">with a report to AHMAC scheduled for December 2017. </w:t>
      </w:r>
    </w:p>
    <w:tbl>
      <w:tblPr>
        <w:tblW w:w="0" w:type="auto"/>
        <w:tblInd w:w="-8" w:type="dxa"/>
        <w:tblBorders>
          <w:top w:val="single" w:sz="36" w:space="0" w:color="10897C"/>
          <w:bottom w:val="single" w:sz="18" w:space="0" w:color="10897C"/>
          <w:insideH w:val="single" w:sz="4" w:space="0" w:color="10897C"/>
          <w:insideV w:val="single" w:sz="4" w:space="0" w:color="10897C"/>
        </w:tblBorders>
        <w:tblLayout w:type="fixed"/>
        <w:tblCellMar>
          <w:left w:w="0" w:type="dxa"/>
          <w:right w:w="0" w:type="dxa"/>
        </w:tblCellMar>
        <w:tblLook w:val="0000" w:firstRow="0" w:lastRow="0" w:firstColumn="0" w:lastColumn="0" w:noHBand="0" w:noVBand="0"/>
        <w:tblCaption w:val="Highlights pullout box"/>
      </w:tblPr>
      <w:tblGrid>
        <w:gridCol w:w="3949"/>
      </w:tblGrid>
      <w:tr w:rsidR="0011663A" w:rsidRPr="0011663A" w14:paraId="15A97DCF" w14:textId="77777777" w:rsidTr="00993939">
        <w:trPr>
          <w:trHeight w:val="60"/>
        </w:trPr>
        <w:tc>
          <w:tcPr>
            <w:tcW w:w="3949" w:type="dxa"/>
            <w:tcMar>
              <w:top w:w="142" w:type="dxa"/>
              <w:left w:w="142" w:type="dxa"/>
              <w:bottom w:w="142" w:type="dxa"/>
              <w:right w:w="142" w:type="dxa"/>
            </w:tcMar>
          </w:tcPr>
          <w:p w14:paraId="506033A1" w14:textId="77777777" w:rsidR="0011663A" w:rsidRPr="0011663A" w:rsidRDefault="0011663A" w:rsidP="00993939">
            <w:pPr>
              <w:pStyle w:val="Tableheading2"/>
            </w:pPr>
            <w:r w:rsidRPr="0011663A">
              <w:t>Highlights</w:t>
            </w:r>
          </w:p>
        </w:tc>
      </w:tr>
      <w:tr w:rsidR="0011663A" w:rsidRPr="0011663A" w14:paraId="7FB825EE" w14:textId="77777777" w:rsidTr="00993939">
        <w:trPr>
          <w:trHeight w:val="60"/>
        </w:trPr>
        <w:tc>
          <w:tcPr>
            <w:tcW w:w="3949" w:type="dxa"/>
            <w:shd w:val="clear" w:color="auto" w:fill="F1F0EE" w:themeFill="accent4"/>
            <w:tcMar>
              <w:top w:w="142" w:type="dxa"/>
              <w:left w:w="142" w:type="dxa"/>
              <w:bottom w:w="142" w:type="dxa"/>
              <w:right w:w="142" w:type="dxa"/>
            </w:tcMar>
          </w:tcPr>
          <w:p w14:paraId="224C2B45" w14:textId="77777777" w:rsidR="0011663A" w:rsidRPr="0011663A" w:rsidRDefault="0011663A" w:rsidP="00F5152E">
            <w:pPr>
              <w:pStyle w:val="Tablebullets"/>
            </w:pPr>
            <w:r w:rsidRPr="0011663A">
              <w:t>Released specifications for the national hospital-acquired complications list</w:t>
            </w:r>
          </w:p>
          <w:p w14:paraId="5F24AAF7" w14:textId="77777777" w:rsidR="0011663A" w:rsidRPr="0011663A" w:rsidRDefault="0011663A" w:rsidP="00F5152E">
            <w:pPr>
              <w:pStyle w:val="Tablebullets"/>
            </w:pPr>
            <w:r w:rsidRPr="0011663A">
              <w:t>Curated the hospital-acquired complications list</w:t>
            </w:r>
          </w:p>
          <w:p w14:paraId="1CBFA8B7" w14:textId="77777777" w:rsidR="0011663A" w:rsidRPr="0011663A" w:rsidRDefault="0011663A" w:rsidP="00F5152E">
            <w:pPr>
              <w:pStyle w:val="Tablebullets"/>
            </w:pPr>
            <w:r w:rsidRPr="0011663A">
              <w:t>Established the Sentinel Events Review Steering Committee.</w:t>
            </w:r>
          </w:p>
        </w:tc>
      </w:tr>
    </w:tbl>
    <w:p w14:paraId="5694172B" w14:textId="77777777" w:rsidR="0011663A" w:rsidRPr="0011663A" w:rsidRDefault="0011663A" w:rsidP="0015139A">
      <w:pPr>
        <w:pStyle w:val="Heading2"/>
        <w:spacing w:before="240"/>
      </w:pPr>
      <w:r w:rsidRPr="0011663A">
        <w:t>National clinical quality</w:t>
      </w:r>
      <w:r w:rsidR="001B2816">
        <w:t> </w:t>
      </w:r>
      <w:r w:rsidRPr="0011663A">
        <w:t>registries</w:t>
      </w:r>
    </w:p>
    <w:p w14:paraId="0A49A245" w14:textId="77777777" w:rsidR="0011663A" w:rsidRPr="0011663A" w:rsidRDefault="0011663A" w:rsidP="00415AA7">
      <w:pPr>
        <w:pStyle w:val="BodyText"/>
      </w:pPr>
      <w:r w:rsidRPr="0011663A">
        <w:t xml:space="preserve">Clinical quality registries collect, analyse and report on patient-related information to help improve the safety and quality of health care. </w:t>
      </w:r>
    </w:p>
    <w:p w14:paraId="45E2D5C8" w14:textId="77777777" w:rsidR="0011663A" w:rsidRPr="0011663A" w:rsidRDefault="0011663A" w:rsidP="006B355C">
      <w:pPr>
        <w:pStyle w:val="Bodytextbeforebullets"/>
      </w:pPr>
      <w:r w:rsidRPr="0011663A">
        <w:t xml:space="preserve">In 2016–17, the Commission continued working to implement the </w:t>
      </w:r>
      <w:r w:rsidRPr="00011CF0">
        <w:rPr>
          <w:rStyle w:val="Emphasis"/>
        </w:rPr>
        <w:t>Framework for Australian Clinical Quality Registries</w:t>
      </w:r>
      <w:r w:rsidRPr="0011663A">
        <w:t xml:space="preserve">. The framework, which was endorsed by AHMAC in 2014, specifies national arrangements under which peak clinical groups and health service organisations can work with governments to monitor and report on the quality (or appropriateness and effectiveness) of health care. </w:t>
      </w:r>
      <w:r w:rsidR="00415AA7">
        <w:br w:type="column"/>
      </w:r>
      <w:r w:rsidRPr="0011663A">
        <w:lastRenderedPageBreak/>
        <w:t>In 2016–17, the Commission released two key reports on clinical quality registries:</w:t>
      </w:r>
    </w:p>
    <w:p w14:paraId="2A3033A6" w14:textId="77777777" w:rsidR="0011663A" w:rsidRPr="0011663A" w:rsidRDefault="0011663A" w:rsidP="006B355C">
      <w:pPr>
        <w:pStyle w:val="Bullets"/>
      </w:pPr>
      <w:r w:rsidRPr="00011CF0">
        <w:rPr>
          <w:rStyle w:val="Emphasis"/>
        </w:rPr>
        <w:t>Economic Evaluation of Clinical Quality Registries</w:t>
      </w:r>
      <w:r w:rsidRPr="0011663A">
        <w:t>. This evaluation of five clinical quality registries in Australia found that high</w:t>
      </w:r>
      <w:r w:rsidRPr="0011663A">
        <w:noBreakHyphen/>
        <w:t>quality clinical quality registries can improve clinical practice at a relatively low cost, leading to a significant net positive return on</w:t>
      </w:r>
      <w:r w:rsidRPr="0011663A">
        <w:rPr>
          <w:rFonts w:cs="Arial"/>
        </w:rPr>
        <w:t> </w:t>
      </w:r>
      <w:r w:rsidRPr="0011663A">
        <w:t>investment.</w:t>
      </w:r>
    </w:p>
    <w:p w14:paraId="163A208E" w14:textId="77777777" w:rsidR="0011663A" w:rsidRDefault="0011663A" w:rsidP="0015139A">
      <w:pPr>
        <w:pStyle w:val="Bullets"/>
        <w:spacing w:after="240"/>
      </w:pPr>
      <w:r w:rsidRPr="00011CF0">
        <w:rPr>
          <w:rStyle w:val="Emphasis"/>
        </w:rPr>
        <w:t>Prioritised List of Clinical Domains for Clinical Quality Registry Development</w:t>
      </w:r>
      <w:r w:rsidRPr="0011663A">
        <w:t>. This report documents the process of applying the AHMAC-endorsed prioritisation criteria to create a prioritised list of clinical domains that could potentially be developed into national clinical quality registries. The development of this list included analysing the available data and consulting with</w:t>
      </w:r>
      <w:r w:rsidRPr="0011663A">
        <w:rPr>
          <w:rFonts w:cs="Arial"/>
        </w:rPr>
        <w:t> </w:t>
      </w:r>
      <w:r w:rsidRPr="0011663A">
        <w:t xml:space="preserve">stakeholders. </w:t>
      </w:r>
    </w:p>
    <w:tbl>
      <w:tblPr>
        <w:tblW w:w="3949" w:type="dxa"/>
        <w:tblInd w:w="-8" w:type="dxa"/>
        <w:tblBorders>
          <w:top w:val="single" w:sz="36" w:space="0" w:color="10897C"/>
          <w:bottom w:val="single" w:sz="18" w:space="0" w:color="10897C"/>
          <w:insideH w:val="single" w:sz="4" w:space="0" w:color="10897C"/>
          <w:insideV w:val="single" w:sz="4" w:space="0" w:color="10897C"/>
        </w:tblBorders>
        <w:tblLayout w:type="fixed"/>
        <w:tblCellMar>
          <w:left w:w="0" w:type="dxa"/>
          <w:right w:w="0" w:type="dxa"/>
        </w:tblCellMar>
        <w:tblLook w:val="0000" w:firstRow="0" w:lastRow="0" w:firstColumn="0" w:lastColumn="0" w:noHBand="0" w:noVBand="0"/>
        <w:tblCaption w:val="Highlights pullout box"/>
      </w:tblPr>
      <w:tblGrid>
        <w:gridCol w:w="3949"/>
      </w:tblGrid>
      <w:tr w:rsidR="0011663A" w:rsidRPr="0011663A" w14:paraId="3D9F157D" w14:textId="77777777" w:rsidTr="0015139A">
        <w:trPr>
          <w:trHeight w:val="60"/>
        </w:trPr>
        <w:tc>
          <w:tcPr>
            <w:tcW w:w="3949" w:type="dxa"/>
            <w:tcMar>
              <w:top w:w="142" w:type="dxa"/>
              <w:left w:w="142" w:type="dxa"/>
              <w:bottom w:w="142" w:type="dxa"/>
              <w:right w:w="142" w:type="dxa"/>
            </w:tcMar>
          </w:tcPr>
          <w:p w14:paraId="4EFF925F" w14:textId="77777777" w:rsidR="0011663A" w:rsidRPr="0011663A" w:rsidRDefault="0011663A" w:rsidP="00993939">
            <w:pPr>
              <w:pStyle w:val="Tableheading2"/>
            </w:pPr>
            <w:r w:rsidRPr="0011663A">
              <w:t>Highlights</w:t>
            </w:r>
          </w:p>
        </w:tc>
      </w:tr>
      <w:tr w:rsidR="0011663A" w:rsidRPr="0011663A" w14:paraId="5F83BFF5" w14:textId="77777777" w:rsidTr="0015139A">
        <w:trPr>
          <w:trHeight w:val="1586"/>
        </w:trPr>
        <w:tc>
          <w:tcPr>
            <w:tcW w:w="3949" w:type="dxa"/>
            <w:shd w:val="clear" w:color="auto" w:fill="F1F0EE" w:themeFill="accent4"/>
            <w:tcMar>
              <w:top w:w="142" w:type="dxa"/>
              <w:left w:w="142" w:type="dxa"/>
              <w:bottom w:w="142" w:type="dxa"/>
              <w:right w:w="142" w:type="dxa"/>
            </w:tcMar>
          </w:tcPr>
          <w:p w14:paraId="1B08211F" w14:textId="77777777" w:rsidR="0011663A" w:rsidRPr="0011663A" w:rsidRDefault="0011663A" w:rsidP="00F5152E">
            <w:pPr>
              <w:pStyle w:val="Tablebullets"/>
            </w:pPr>
            <w:r w:rsidRPr="0011663A">
              <w:t>Completed economic evaluations of clinical quality registries</w:t>
            </w:r>
          </w:p>
          <w:p w14:paraId="21EB6B65" w14:textId="77777777" w:rsidR="0011663A" w:rsidRPr="0011663A" w:rsidRDefault="0011663A" w:rsidP="00F5152E">
            <w:pPr>
              <w:pStyle w:val="Tablebullets"/>
            </w:pPr>
            <w:r w:rsidRPr="0011663A">
              <w:t>Consulted on, and released a list of, high-priority clinical domains for the development of national clinical quality registries.</w:t>
            </w:r>
          </w:p>
        </w:tc>
      </w:tr>
    </w:tbl>
    <w:p w14:paraId="5C67F1AB" w14:textId="77777777" w:rsidR="003B626B" w:rsidRPr="00464333" w:rsidRDefault="003B626B" w:rsidP="0011663A">
      <w:pPr>
        <w:tabs>
          <w:tab w:val="left" w:pos="283"/>
          <w:tab w:val="left" w:pos="567"/>
          <w:tab w:val="left" w:pos="850"/>
          <w:tab w:val="left" w:pos="1134"/>
          <w:tab w:val="left" w:pos="1417"/>
          <w:tab w:val="left" w:pos="1701"/>
          <w:tab w:val="left" w:pos="1984"/>
          <w:tab w:val="left" w:pos="2268"/>
        </w:tabs>
        <w:suppressAutoHyphens/>
        <w:autoSpaceDE w:val="0"/>
        <w:autoSpaceDN w:val="0"/>
        <w:adjustRightInd w:val="0"/>
        <w:spacing w:after="170" w:line="240" w:lineRule="atLeast"/>
        <w:textAlignment w:val="center"/>
        <w:rPr>
          <w:rFonts w:cs="Helvetica 45 Light"/>
          <w:color w:val="000000"/>
          <w:spacing w:val="4"/>
          <w:szCs w:val="18"/>
        </w:rPr>
        <w:sectPr w:rsidR="003B626B" w:rsidRPr="00464333" w:rsidSect="005F1364">
          <w:headerReference w:type="default" r:id="rId52"/>
          <w:type w:val="continuous"/>
          <w:pgSz w:w="9979" w:h="14175" w:code="34"/>
          <w:pgMar w:top="1418" w:right="680" w:bottom="851" w:left="1021" w:header="567" w:footer="397" w:gutter="0"/>
          <w:cols w:num="2" w:space="708"/>
          <w:docGrid w:linePitch="360"/>
        </w:sectPr>
      </w:pPr>
    </w:p>
    <w:p w14:paraId="1AAF1AE5" w14:textId="77777777" w:rsidR="0011663A" w:rsidRDefault="0011663A" w:rsidP="003123F3">
      <w:pPr>
        <w:pStyle w:val="Heading1"/>
      </w:pPr>
      <w:r>
        <w:lastRenderedPageBreak/>
        <w:t>The state of safety and quality in Australian</w:t>
      </w:r>
      <w:r w:rsidR="00011CF0">
        <w:t> </w:t>
      </w:r>
      <w:r>
        <w:t>health care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F0EE" w:themeFill="accent4"/>
        <w:tblCellMar>
          <w:top w:w="284" w:type="dxa"/>
          <w:left w:w="284" w:type="dxa"/>
          <w:bottom w:w="284" w:type="dxa"/>
          <w:right w:w="284" w:type="dxa"/>
        </w:tblCellMar>
        <w:tblLook w:val="04A0" w:firstRow="1" w:lastRow="0" w:firstColumn="1" w:lastColumn="0" w:noHBand="0" w:noVBand="1"/>
        <w:tblCaption w:val="The state of safety and quality in Australian health care"/>
        <w:tblDescription w:val="Introduction"/>
      </w:tblPr>
      <w:tblGrid>
        <w:gridCol w:w="8268"/>
      </w:tblGrid>
      <w:tr w:rsidR="004B6C41" w14:paraId="1618A8F1" w14:textId="77777777" w:rsidTr="007430AC">
        <w:tc>
          <w:tcPr>
            <w:tcW w:w="8268" w:type="dxa"/>
            <w:shd w:val="clear" w:color="auto" w:fill="F1F0EE" w:themeFill="accent4"/>
          </w:tcPr>
          <w:p w14:paraId="4AA77AA3" w14:textId="1CB1BA43" w:rsidR="004B6C41" w:rsidRDefault="004B6C41" w:rsidP="007E21F6">
            <w:pPr>
              <w:pStyle w:val="IntroCopy0"/>
            </w:pPr>
            <w:r w:rsidRPr="004B6C41">
              <w:t>As part of its legislative function, the Commission is required to report on the state of safety and quality in the Australian health system.</w:t>
            </w:r>
          </w:p>
        </w:tc>
      </w:tr>
    </w:tbl>
    <w:p w14:paraId="4B15E457" w14:textId="77777777" w:rsidR="006B355C" w:rsidRPr="006B355C" w:rsidRDefault="006B355C" w:rsidP="006B355C"/>
    <w:p w14:paraId="21E5BFB0" w14:textId="77777777" w:rsidR="0011663A" w:rsidRDefault="0011663A" w:rsidP="0011663A">
      <w:pPr>
        <w:sectPr w:rsidR="0011663A" w:rsidSect="005F1364">
          <w:pgSz w:w="9979" w:h="14175" w:code="34"/>
          <w:pgMar w:top="1418" w:right="680" w:bottom="851" w:left="1021" w:header="567" w:footer="397" w:gutter="0"/>
          <w:cols w:space="708"/>
          <w:docGrid w:linePitch="360"/>
        </w:sectPr>
      </w:pPr>
    </w:p>
    <w:p w14:paraId="05F793DD" w14:textId="77777777" w:rsidR="0011663A" w:rsidRPr="0011663A" w:rsidRDefault="0011663A" w:rsidP="004B6C41">
      <w:pPr>
        <w:pStyle w:val="BodyText"/>
      </w:pPr>
      <w:r w:rsidRPr="0011663A">
        <w:lastRenderedPageBreak/>
        <w:t>Safety and quality is a complex field that is integrated into all aspects of health care. There are many people and organisations involved in ensuring that people receiving care in Australia are safe, and that they receive high-quality care. This means there is no single source of data that can provide comprehensive information about the safety and quality of the Australian healthcare system.</w:t>
      </w:r>
    </w:p>
    <w:p w14:paraId="05F03F5C" w14:textId="77777777" w:rsidR="0011663A" w:rsidRPr="0011663A" w:rsidRDefault="0011663A" w:rsidP="004B6C41">
      <w:pPr>
        <w:pStyle w:val="BodyText"/>
      </w:pPr>
      <w:r w:rsidRPr="0011663A">
        <w:t>The Commission leads and coordinates national improvements in safety and quality, and part of its work relates to supporting better measurement to understand the state of safety and quality nationally, and also to enable local improvement. This section highlights some of the work the Commission is doing to support better understanding of the state of safety and quality in Australia.</w:t>
      </w:r>
    </w:p>
    <w:p w14:paraId="6CBB5721" w14:textId="77777777" w:rsidR="0011663A" w:rsidRPr="0011663A" w:rsidRDefault="0011663A" w:rsidP="004B6C41">
      <w:pPr>
        <w:pStyle w:val="BodyText"/>
      </w:pPr>
      <w:r w:rsidRPr="0011663A">
        <w:t>The introduction of the NSQHS Standards gave a nationally consistent approach to safety and quality in Australia’s hospitals for the first time. The first edition of the NSQHS Standards included requirements for establishing an organisation</w:t>
      </w:r>
      <w:r w:rsidRPr="0011663A">
        <w:noBreakHyphen/>
        <w:t xml:space="preserve">wide quality management system that monitors and reports on safety and quality and informs improvements to patient care. These requirements have been strengthened in the second edition of the NSQHS Standards, with clear responsibilities for health service organisations to monitor </w:t>
      </w:r>
      <w:r w:rsidR="004B6C41">
        <w:br w:type="column"/>
      </w:r>
      <w:r w:rsidRPr="0011663A">
        <w:lastRenderedPageBreak/>
        <w:t>performance, identify areas for improvement, implement improvement strategies, and provide reports on safety and quality performance. The</w:t>
      </w:r>
      <w:r w:rsidRPr="0011663A">
        <w:rPr>
          <w:rFonts w:cs="Arial"/>
        </w:rPr>
        <w:t> </w:t>
      </w:r>
      <w:r w:rsidRPr="0011663A">
        <w:t>governing body also has a clear responsibility to review reports, and monitor the organisation’s progress on safety and quality performance. These requirements will support the use of local data about safety and quality for improvement.</w:t>
      </w:r>
    </w:p>
    <w:p w14:paraId="6A0A7B5B" w14:textId="77777777" w:rsidR="0011663A" w:rsidRPr="0011663A" w:rsidRDefault="0011663A" w:rsidP="004B6C41">
      <w:pPr>
        <w:pStyle w:val="BodyText"/>
      </w:pPr>
      <w:r w:rsidRPr="0011663A">
        <w:t>Another new action in the second edition of the NSQHS Standards is the requirement for health service organisations to monitor variation in practice against expected health outcomes, to provide feedback to clinicians on their variation, and to use information on unwarranted clinical variation to inform improvements in safety and quality. These new requirements were based on knowledge about the extent of variation in practice in Australia.</w:t>
      </w:r>
    </w:p>
    <w:p w14:paraId="2F2B4154" w14:textId="77777777" w:rsidR="0011663A" w:rsidRDefault="0011663A" w:rsidP="0067547E">
      <w:pPr>
        <w:pStyle w:val="BodyText"/>
      </w:pPr>
      <w:r w:rsidRPr="0011663A">
        <w:t xml:space="preserve">The first </w:t>
      </w:r>
      <w:r w:rsidRPr="00011CF0">
        <w:rPr>
          <w:rStyle w:val="Emphasis"/>
        </w:rPr>
        <w:t>Australian Atlas of Healthcare Variation</w:t>
      </w:r>
      <w:r w:rsidRPr="0011663A">
        <w:t xml:space="preserve"> published in 2015 and the </w:t>
      </w:r>
      <w:r w:rsidRPr="00011CF0">
        <w:rPr>
          <w:rStyle w:val="Emphasis"/>
        </w:rPr>
        <w:t>Second Australian Atlas of Healthcare Variation</w:t>
      </w:r>
      <w:r w:rsidRPr="0011663A">
        <w:t xml:space="preserve"> published in June 2017 indicate that there is substantial variation in clinical practice in many areas, including chronic disease, women’s health, some surgical and diagnostic interventions, and prescribing for a range of conditions. These findings have driven action by the Commission, state and territory governments, and clinical groups to reduce variation and improve appropriateness of care.</w:t>
      </w:r>
      <w:r>
        <w:br w:type="page"/>
      </w:r>
    </w:p>
    <w:p w14:paraId="2976033E" w14:textId="77777777" w:rsidR="005F6613" w:rsidRDefault="005F6613" w:rsidP="004B6C41">
      <w:pPr>
        <w:pStyle w:val="BodyText"/>
      </w:pPr>
      <w:r>
        <w:lastRenderedPageBreak/>
        <w:t>In April 2016 the Commission was asked by the COAG Health Council to work with the IHPA to examine ways to improve safety and quality by reducing avoidable hospital readmissions and integrating safety and quality into hospital funding and pricing. To do this, the Commission worked with clinicians, consumers, health service managers and policymakers to develop a set of hospital-acquired complications that can be used to report on the incidence, and in time, prevalence of patient safety events that may be prevented.</w:t>
      </w:r>
      <w:r w:rsidR="004B6C41">
        <w:br w:type="column"/>
      </w:r>
      <w:r>
        <w:lastRenderedPageBreak/>
        <w:t>These, and other sources of information such as the AURA Surveillance System, provide information about safety and quality that can inform local improvements, clinical responses, allocation of resources, and national policy. The Commission will continue to work collaboratively with its partners and stakeholders in providing a comprehensive picture of safety and quality in Australian health care.</w:t>
      </w:r>
    </w:p>
    <w:p w14:paraId="2F671F31" w14:textId="77777777" w:rsidR="005F6613" w:rsidRDefault="005F6613" w:rsidP="004B6C41">
      <w:pPr>
        <w:pStyle w:val="BodyText"/>
      </w:pPr>
      <w:r>
        <w:t xml:space="preserve">A full report on key safety and quality themes can be found in the Commission’s publication </w:t>
      </w:r>
      <w:r w:rsidRPr="00604089">
        <w:rPr>
          <w:i/>
        </w:rPr>
        <w:t>Vital Signs 2017: The state of safety and quality in Australian health care</w:t>
      </w:r>
      <w:r>
        <w:t>.</w:t>
      </w:r>
    </w:p>
    <w:p w14:paraId="22246116" w14:textId="77777777" w:rsidR="003B626B" w:rsidRDefault="003B626B">
      <w:pPr>
        <w:spacing w:after="160" w:line="259" w:lineRule="auto"/>
        <w:sectPr w:rsidR="003B626B" w:rsidSect="005F1364">
          <w:headerReference w:type="even" r:id="rId53"/>
          <w:type w:val="continuous"/>
          <w:pgSz w:w="9979" w:h="14175" w:code="34"/>
          <w:pgMar w:top="1418" w:right="680" w:bottom="851" w:left="1021" w:header="567" w:footer="397" w:gutter="0"/>
          <w:cols w:num="2" w:space="720"/>
          <w:noEndnote/>
        </w:sectPr>
      </w:pPr>
    </w:p>
    <w:p w14:paraId="68AD4B00" w14:textId="77777777" w:rsidR="005F6613" w:rsidRDefault="003B626B" w:rsidP="004B6C41">
      <w:pPr>
        <w:pStyle w:val="Heading1"/>
      </w:pPr>
      <w:r w:rsidRPr="003B626B">
        <w:lastRenderedPageBreak/>
        <w:t>Annual performance statements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F0EE" w:themeFill="accent4"/>
        <w:tblCellMar>
          <w:top w:w="284" w:type="dxa"/>
          <w:left w:w="284" w:type="dxa"/>
          <w:bottom w:w="284" w:type="dxa"/>
          <w:right w:w="284" w:type="dxa"/>
        </w:tblCellMar>
        <w:tblLook w:val="04A0" w:firstRow="1" w:lastRow="0" w:firstColumn="1" w:lastColumn="0" w:noHBand="0" w:noVBand="1"/>
        <w:tblCaption w:val="Annual performance statements"/>
      </w:tblPr>
      <w:tblGrid>
        <w:gridCol w:w="8268"/>
      </w:tblGrid>
      <w:tr w:rsidR="004B6C41" w14:paraId="59FA2A66" w14:textId="77777777" w:rsidTr="007430AC">
        <w:tc>
          <w:tcPr>
            <w:tcW w:w="8268" w:type="dxa"/>
            <w:shd w:val="clear" w:color="auto" w:fill="F1F0EE" w:themeFill="accent4"/>
          </w:tcPr>
          <w:p w14:paraId="5B23402D" w14:textId="77777777" w:rsidR="004B6C41" w:rsidRDefault="004B6C41" w:rsidP="007430AC">
            <w:pPr>
              <w:pStyle w:val="IntroCopy0"/>
            </w:pPr>
            <w:r w:rsidRPr="004B6C41">
              <w:t xml:space="preserve">As the accountable authority of the Australian Commission on Safety and Quality in Health Care (the Commission), the Board presents the 2016–17 annual performance statements of the Commission, as required under paragraph 39(1)(a) of the </w:t>
            </w:r>
            <w:r w:rsidRPr="007E21F6">
              <w:rPr>
                <w:i/>
              </w:rPr>
              <w:t>Public Governance, Performance and Accountability Act 2013</w:t>
            </w:r>
            <w:r w:rsidRPr="004B6C41">
              <w:t>. In the opinion of the Board, based on advice from Commission management and the Audit and Risk Committee, these annual performance statements accurately reflect the performance of the Commission and comply with subsection 39(2) of the Public Governance, Performance and Accountability Act.</w:t>
            </w:r>
          </w:p>
          <w:p w14:paraId="7261DDE1" w14:textId="77777777" w:rsidR="004B6C41" w:rsidRDefault="004B6C41" w:rsidP="007430AC">
            <w:pPr>
              <w:pStyle w:val="IntroCopy0"/>
            </w:pPr>
            <w:r>
              <w:rPr>
                <w:noProof/>
                <w:lang w:val="en-AU" w:eastAsia="en-AU"/>
              </w:rPr>
              <w:drawing>
                <wp:inline distT="0" distB="0" distL="0" distR="0" wp14:anchorId="455E69B5" wp14:editId="131EECCE">
                  <wp:extent cx="1358439" cy="515113"/>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ignatu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8439" cy="515113"/>
                          </a:xfrm>
                          <a:prstGeom prst="rect">
                            <a:avLst/>
                          </a:prstGeom>
                        </pic:spPr>
                      </pic:pic>
                    </a:graphicData>
                  </a:graphic>
                </wp:inline>
              </w:drawing>
            </w:r>
          </w:p>
          <w:p w14:paraId="2F89F148" w14:textId="77777777" w:rsidR="004B6C41" w:rsidRPr="004B6C41" w:rsidRDefault="004B6C41" w:rsidP="004B6C41">
            <w:pPr>
              <w:pStyle w:val="BodyText"/>
              <w:spacing w:line="300" w:lineRule="atLeast"/>
              <w:rPr>
                <w:b/>
                <w:bCs/>
                <w:sz w:val="24"/>
                <w:szCs w:val="24"/>
              </w:rPr>
            </w:pPr>
            <w:r w:rsidRPr="004B6C41">
              <w:rPr>
                <w:rStyle w:val="Strong"/>
                <w:sz w:val="24"/>
                <w:szCs w:val="24"/>
              </w:rPr>
              <w:t xml:space="preserve">Professor Villis Marshall </w:t>
            </w:r>
            <w:r w:rsidRPr="00C116BD">
              <w:rPr>
                <w:rStyle w:val="Strong"/>
                <w:szCs w:val="24"/>
              </w:rPr>
              <w:t>AC</w:t>
            </w:r>
            <w:r>
              <w:rPr>
                <w:rStyle w:val="Strong"/>
                <w:sz w:val="24"/>
                <w:szCs w:val="24"/>
              </w:rPr>
              <w:br/>
            </w:r>
            <w:r w:rsidRPr="004B6C41">
              <w:rPr>
                <w:sz w:val="24"/>
                <w:szCs w:val="24"/>
              </w:rPr>
              <w:t>Board Chair</w:t>
            </w:r>
          </w:p>
        </w:tc>
      </w:tr>
    </w:tbl>
    <w:p w14:paraId="6D3983B0" w14:textId="77777777" w:rsidR="004B6C41" w:rsidRPr="004B6C41" w:rsidRDefault="004B6C41" w:rsidP="004B6C41"/>
    <w:p w14:paraId="527DE1B6" w14:textId="77777777" w:rsidR="003B626B" w:rsidRDefault="003B626B" w:rsidP="005F6613">
      <w:pPr>
        <w:sectPr w:rsidR="003B626B" w:rsidSect="005F1364">
          <w:headerReference w:type="even" r:id="rId54"/>
          <w:pgSz w:w="9979" w:h="14175" w:code="34"/>
          <w:pgMar w:top="1418" w:right="680" w:bottom="851" w:left="1021" w:header="567" w:footer="397" w:gutter="0"/>
          <w:cols w:space="720"/>
          <w:noEndnote/>
        </w:sectPr>
      </w:pPr>
    </w:p>
    <w:p w14:paraId="4248D6D0" w14:textId="77777777" w:rsidR="003B626B" w:rsidRDefault="003B626B" w:rsidP="004B6C41">
      <w:pPr>
        <w:pStyle w:val="Heading2"/>
      </w:pPr>
      <w:r>
        <w:lastRenderedPageBreak/>
        <w:t>Entity purpose</w:t>
      </w:r>
    </w:p>
    <w:p w14:paraId="7F65BF47" w14:textId="77777777" w:rsidR="003B626B" w:rsidRDefault="003B626B" w:rsidP="004B6C41">
      <w:pPr>
        <w:pStyle w:val="BodyText"/>
      </w:pPr>
      <w:r>
        <w:t xml:space="preserve">The Commission was established in 2006 to lead and coordinate safety and quality improvements in health care nationally. The Commission contributes to better outcomes and experiences for patients, consumers and their </w:t>
      </w:r>
      <w:proofErr w:type="spellStart"/>
      <w:r>
        <w:t>carers</w:t>
      </w:r>
      <w:proofErr w:type="spellEnd"/>
      <w:r>
        <w:t>, and improves productivity and sustainability of the Australian health system. The Commission has legislative responsibility for the National Safety and Quality Health Service (NSQHS) Standards, which are a major driver of safety and quality improvements within the health system.</w:t>
      </w:r>
    </w:p>
    <w:p w14:paraId="7D67FF33" w14:textId="77777777" w:rsidR="003B626B" w:rsidRDefault="003B626B" w:rsidP="004B6C41">
      <w:pPr>
        <w:pStyle w:val="Bodytextbeforebullets"/>
      </w:pPr>
      <w:r>
        <w:t xml:space="preserve">The functions of the Commission are specified in the </w:t>
      </w:r>
      <w:r w:rsidRPr="009C4D0C">
        <w:rPr>
          <w:rStyle w:val="Emphasis"/>
        </w:rPr>
        <w:t>National Health Reform Act 2011</w:t>
      </w:r>
      <w:r>
        <w:t xml:space="preserve"> and are summarised as follows:</w:t>
      </w:r>
    </w:p>
    <w:p w14:paraId="19B643D6" w14:textId="77777777" w:rsidR="003B626B" w:rsidRDefault="003B626B" w:rsidP="004B6C41">
      <w:pPr>
        <w:pStyle w:val="Bullets"/>
      </w:pPr>
      <w:r>
        <w:t>Formulating standards, guidelines and indicators relating to healthcare safety and quality matters</w:t>
      </w:r>
    </w:p>
    <w:p w14:paraId="00552969" w14:textId="77777777" w:rsidR="004B6C41" w:rsidRDefault="003B626B" w:rsidP="004B6C41">
      <w:pPr>
        <w:pStyle w:val="Bullets"/>
      </w:pPr>
      <w:r>
        <w:t>Advising health ministers on national clinical standards</w:t>
      </w:r>
    </w:p>
    <w:p w14:paraId="5E224B41" w14:textId="77777777" w:rsidR="003B626B" w:rsidRDefault="004B6C41" w:rsidP="004B6C41">
      <w:pPr>
        <w:pStyle w:val="Bullets"/>
      </w:pPr>
      <w:r>
        <w:br w:type="column"/>
      </w:r>
      <w:r w:rsidR="003B626B">
        <w:lastRenderedPageBreak/>
        <w:t>Promoting, supporting and encouraging the implementation of these standards and related guidelines and indicators monitoring the implementation and impact of these standards</w:t>
      </w:r>
    </w:p>
    <w:p w14:paraId="64ADD999" w14:textId="77777777" w:rsidR="003B626B" w:rsidRDefault="003B626B" w:rsidP="004B6C41">
      <w:pPr>
        <w:pStyle w:val="Bullets"/>
      </w:pPr>
      <w:r>
        <w:t>Promoting, supporting and encouraging the implementation of programs and initiatives relating to healthcare safety and quality matters</w:t>
      </w:r>
    </w:p>
    <w:p w14:paraId="7C81BAC3" w14:textId="77777777" w:rsidR="003B626B" w:rsidRDefault="003B626B" w:rsidP="004B6C41">
      <w:pPr>
        <w:pStyle w:val="Bullets"/>
      </w:pPr>
      <w:r>
        <w:t>Formulating model national schemes that provide for the accreditation of organisations that provide healthcare services and relate to healthcare safety and quality matters</w:t>
      </w:r>
    </w:p>
    <w:p w14:paraId="17E6D888" w14:textId="77777777" w:rsidR="003B626B" w:rsidRDefault="003B626B" w:rsidP="004B6C41">
      <w:pPr>
        <w:pStyle w:val="Bullets"/>
      </w:pPr>
      <w:r>
        <w:t>Collecting, analysing, interpreting and disseminating information relating to healthcare safety and quality matters</w:t>
      </w:r>
    </w:p>
    <w:p w14:paraId="0E0D9F78" w14:textId="77777777" w:rsidR="003B626B" w:rsidRDefault="003B626B" w:rsidP="004B6C41">
      <w:pPr>
        <w:pStyle w:val="Bullets"/>
      </w:pPr>
      <w:r>
        <w:t>Publishing reports and papers relating to healthcare safety and quality matters.</w:t>
      </w:r>
    </w:p>
    <w:p w14:paraId="3BAB6BB4" w14:textId="77777777" w:rsidR="003B626B" w:rsidRDefault="003B626B" w:rsidP="004B6C41">
      <w:pPr>
        <w:pStyle w:val="BodyText"/>
      </w:pPr>
      <w:r>
        <w:br w:type="page"/>
      </w:r>
    </w:p>
    <w:p w14:paraId="3A4F9934" w14:textId="77777777" w:rsidR="003B626B" w:rsidRDefault="003B626B" w:rsidP="003F393F">
      <w:pPr>
        <w:pStyle w:val="Heading2"/>
      </w:pPr>
      <w:r>
        <w:lastRenderedPageBreak/>
        <w:t xml:space="preserve">Our performance </w:t>
      </w:r>
    </w:p>
    <w:p w14:paraId="1AB53E4E" w14:textId="77777777" w:rsidR="003B626B" w:rsidRPr="003F393F" w:rsidRDefault="003B626B" w:rsidP="003F393F">
      <w:pPr>
        <w:pStyle w:val="BodyText"/>
      </w:pPr>
      <w:r w:rsidRPr="003F393F">
        <w:t xml:space="preserve">This year has been one of significant achievements for the Commission with the successful delivery of its </w:t>
      </w:r>
      <w:r w:rsidRPr="00941CB1">
        <w:rPr>
          <w:i/>
        </w:rPr>
        <w:t>Health Portfolio Budget Statements 2016–17</w:t>
      </w:r>
      <w:r w:rsidRPr="003F393F">
        <w:t xml:space="preserve"> targets and activities and the achievement of almost all key performance indicators (KPIs) for this period. The Commission fell just short of the required number of clinicians completing the </w:t>
      </w:r>
      <w:r w:rsidR="00C505AD">
        <w:br/>
      </w:r>
      <w:r w:rsidRPr="003F393F">
        <w:t>healthcare</w:t>
      </w:r>
      <w:r w:rsidR="00C505AD">
        <w:t>-</w:t>
      </w:r>
      <w:r w:rsidRPr="003F393F">
        <w:t>associated infection online education module. The Commission will develop strategies to ensure it meets this target in 2017–18.</w:t>
      </w:r>
    </w:p>
    <w:p w14:paraId="3623E4B8" w14:textId="5DD4A134" w:rsidR="003B626B" w:rsidRDefault="003B626B" w:rsidP="003F393F">
      <w:pPr>
        <w:pStyle w:val="Bodytextbeforebullets"/>
      </w:pPr>
      <w:r>
        <w:t xml:space="preserve">The Commission continues to focus its work on areas that can best be improved through national action. Improvements to healthcare safety and quality are best achieved through national partnerships that are supported by local activities and implementation. The Commission achieves this through the maintenance of strong, positive relationships with its partners, including patients and consumers, consumer groups, healthcare providers, public and private healthcare organisations, governments and other healthcare organisations and agencies. </w:t>
      </w:r>
      <w:r w:rsidR="00941CB1">
        <w:br/>
      </w:r>
      <w:r>
        <w:t>The Commission works in partnership with its stakeholders to support the implementation of safety and quality initiatives through the development of guidance, resources, tools and educational material. The Commission supports the evaluation of its activities and measurement of the impact on the health system of safety and quality improvement initiatives. The Commission continually scans the horizon to identify new and emerging issues regarding safety and quality, while being responsive to the evolving needs of its stakeholders.</w:t>
      </w:r>
      <w:r w:rsidR="003F393F">
        <w:br w:type="column"/>
      </w:r>
      <w:r>
        <w:lastRenderedPageBreak/>
        <w:t>There was no change to the framework in which the Commission operated in the 2016–17 reporting period, and no change to the Commission’s purposes, activities or organisational capability. The following examples highlight the key achievements of the Commission’s work for 2016–17 and demonstrate the benefits of this national approach:</w:t>
      </w:r>
    </w:p>
    <w:p w14:paraId="1A0A2B08" w14:textId="77777777" w:rsidR="003B626B" w:rsidRDefault="003B626B" w:rsidP="003F393F">
      <w:pPr>
        <w:pStyle w:val="Bullets"/>
      </w:pPr>
      <w:r>
        <w:t xml:space="preserve">The implementation of the National Safety and Quality Health Service (NSQHS) Standards and the Australian Health Service Safety and Quality Accreditation (AHSSQA) Scheme continues to be a success. By 30 June 2017, all operating health service organisations in Australia to be assessed to the NSQHS Standards have now been assessed at least once, and an increasing number have received a second organisation-wide assessment. </w:t>
      </w:r>
    </w:p>
    <w:p w14:paraId="132190A0" w14:textId="77777777" w:rsidR="003B626B" w:rsidRDefault="003B626B" w:rsidP="003F393F">
      <w:pPr>
        <w:pStyle w:val="Bullets"/>
      </w:pPr>
      <w:r>
        <w:t xml:space="preserve">The second edition of the NSQHS Standards was finalised following extensive consultation. Following endorsement by Health Ministers, it will be released in November 2017 and assessment to the second edition will be required from January 2019. </w:t>
      </w:r>
    </w:p>
    <w:p w14:paraId="09B5FEE1" w14:textId="77777777" w:rsidR="00E6472D" w:rsidRDefault="003B626B" w:rsidP="003F393F">
      <w:pPr>
        <w:pStyle w:val="Bullets"/>
      </w:pPr>
      <w:r>
        <w:t>In 2016–17 the Commission started to examine the application of the NSQHS Standards in primary care, and a draft set of standards designed to support safety and quality in primary care will be released for consultation in mid-2017.</w:t>
      </w:r>
    </w:p>
    <w:p w14:paraId="25FFAC6C" w14:textId="77777777" w:rsidR="00E6472D" w:rsidRDefault="00E6472D" w:rsidP="003F393F">
      <w:pPr>
        <w:pStyle w:val="BodyText"/>
      </w:pPr>
      <w:r>
        <w:br w:type="page"/>
      </w:r>
    </w:p>
    <w:p w14:paraId="5C8664EE" w14:textId="77777777" w:rsidR="00E6472D" w:rsidRPr="00E6472D" w:rsidRDefault="00E6472D" w:rsidP="003F393F">
      <w:pPr>
        <w:pStyle w:val="Bullets"/>
      </w:pPr>
      <w:r w:rsidRPr="00E6472D">
        <w:lastRenderedPageBreak/>
        <w:t xml:space="preserve">The </w:t>
      </w:r>
      <w:r w:rsidRPr="00011CF0">
        <w:rPr>
          <w:rStyle w:val="Emphasis"/>
        </w:rPr>
        <w:t>Second Australian Atlas of Healthcare Variation</w:t>
      </w:r>
      <w:r w:rsidRPr="00E6472D">
        <w:t xml:space="preserve"> was launched in June 2017. The</w:t>
      </w:r>
      <w:r w:rsidRPr="00E6472D">
        <w:rPr>
          <w:rFonts w:cs="Arial"/>
        </w:rPr>
        <w:t> </w:t>
      </w:r>
      <w:r w:rsidRPr="00E6472D">
        <w:t>Atlas highlighted significant differences in treatment for the same conditions across the country in the areas of surgery, chronic disease and infection, women’s health, maternity and cardiovascular care. There has been significant progress in implementation of the recommendations from the first Atlas by the Commission, state and territory governments, local health services and clinical bodies. A report describing the impact of the first Atlas will be released in December 2017.</w:t>
      </w:r>
    </w:p>
    <w:p w14:paraId="2ADAD30E" w14:textId="77777777" w:rsidR="00E6472D" w:rsidRPr="00E6472D" w:rsidRDefault="00E6472D" w:rsidP="003F393F">
      <w:pPr>
        <w:pStyle w:val="Bullets"/>
      </w:pPr>
      <w:r w:rsidRPr="00E6472D">
        <w:t>The Commission released three clinical care standards in 2016–17 in the areas of hip fracture, delirium, and osteoarthritis of the knee. The clinical care standards identify and define the care people should expect to receive or be offered and can play an important role in delivering appropriate care and reducing unwarranted variation.</w:t>
      </w:r>
    </w:p>
    <w:p w14:paraId="27DF9CB3" w14:textId="77777777" w:rsidR="003F393F" w:rsidRDefault="00E6472D" w:rsidP="003F393F">
      <w:pPr>
        <w:pStyle w:val="Bullets"/>
      </w:pPr>
      <w:r w:rsidRPr="00E6472D">
        <w:t>Following establishment of the national surveillance system for antimicrobial resistance and antibiotic usage (AURA) in 2016, there has been a significant increase in participation across all elements of the system, with 159 hospitals now contributing information on antibiotic usage and 281 contributing information on appropriateness.</w:t>
      </w:r>
    </w:p>
    <w:p w14:paraId="488B45FC" w14:textId="77777777" w:rsidR="00E6472D" w:rsidRPr="00E6472D" w:rsidRDefault="003F393F" w:rsidP="003F393F">
      <w:pPr>
        <w:pStyle w:val="Bullets"/>
      </w:pPr>
      <w:r>
        <w:br w:type="column"/>
      </w:r>
      <w:r w:rsidR="00E6472D" w:rsidRPr="00E6472D">
        <w:lastRenderedPageBreak/>
        <w:t xml:space="preserve">The Commission continues to focus on improving safety and quality by developing tools and resources to support patients and consumers to be involved in their own care. In 2017, </w:t>
      </w:r>
      <w:r w:rsidR="00E6472D" w:rsidRPr="00011CF0">
        <w:rPr>
          <w:rStyle w:val="Emphasis"/>
        </w:rPr>
        <w:t>Top Tips for Safer Care</w:t>
      </w:r>
      <w:r w:rsidR="00E6472D" w:rsidRPr="00E6472D">
        <w:t xml:space="preserve"> and the Question Builder were released.</w:t>
      </w:r>
    </w:p>
    <w:p w14:paraId="2208AEEA" w14:textId="77777777" w:rsidR="00E6472D" w:rsidRPr="00E6472D" w:rsidRDefault="00E6472D" w:rsidP="003F393F">
      <w:pPr>
        <w:pStyle w:val="Bullets"/>
      </w:pPr>
      <w:r w:rsidRPr="00E6472D">
        <w:t>In response to issues identified by the Commission in safety and quality reviews that have been carried out for the states and territories, the Commission has developed a national model clinical governance framework. The purpose of the framework is to ensure that patients and consumers receive safe and high-quality care by describing the elements that are essential for acute health service organisations to implement to achieve integrated corporate and clinical governance systems. It is based on the NSQHS Standards.</w:t>
      </w:r>
    </w:p>
    <w:p w14:paraId="422AFCBB" w14:textId="77777777" w:rsidR="00E6472D" w:rsidRDefault="00E6472D">
      <w:pPr>
        <w:spacing w:after="160" w:line="259" w:lineRule="auto"/>
        <w:sectPr w:rsidR="00E6472D" w:rsidSect="005F1364">
          <w:type w:val="continuous"/>
          <w:pgSz w:w="9979" w:h="14175" w:code="34"/>
          <w:pgMar w:top="1418" w:right="680" w:bottom="851" w:left="1021" w:header="567" w:footer="397" w:gutter="0"/>
          <w:cols w:num="2" w:space="720"/>
          <w:noEndnote/>
        </w:sectPr>
      </w:pPr>
    </w:p>
    <w:p w14:paraId="062E74D8" w14:textId="77777777" w:rsidR="00E6472D" w:rsidRDefault="00E6472D" w:rsidP="001640CE">
      <w:pPr>
        <w:pStyle w:val="Heading2"/>
        <w:sectPr w:rsidR="00E6472D" w:rsidSect="005F1364">
          <w:pgSz w:w="9979" w:h="14175" w:code="34"/>
          <w:pgMar w:top="1418" w:right="680" w:bottom="851" w:left="1021" w:header="567" w:footer="397" w:gutter="0"/>
          <w:cols w:space="720"/>
          <w:noEndnote/>
        </w:sectPr>
      </w:pPr>
      <w:r>
        <w:lastRenderedPageBreak/>
        <w:t>Performance against the Health Portfolio Budget Statements and</w:t>
      </w:r>
      <w:r w:rsidR="001B2816">
        <w:t> </w:t>
      </w:r>
      <w:r>
        <w:t>Corporate plan 2016–17</w:t>
      </w:r>
    </w:p>
    <w:p w14:paraId="3F452CF4" w14:textId="77777777" w:rsidR="00E6472D" w:rsidRPr="00E6472D" w:rsidRDefault="00E6472D" w:rsidP="003F393F">
      <w:pPr>
        <w:pStyle w:val="BodyText"/>
      </w:pPr>
      <w:r w:rsidRPr="00E6472D">
        <w:lastRenderedPageBreak/>
        <w:t xml:space="preserve">The Commission’s </w:t>
      </w:r>
      <w:r w:rsidRPr="00011CF0">
        <w:rPr>
          <w:rStyle w:val="Emphasis"/>
        </w:rPr>
        <w:t>Corporate Plan 2016–17</w:t>
      </w:r>
      <w:r w:rsidRPr="00E6472D">
        <w:t xml:space="preserve"> was prepared under section 35(1) (a) of the Public Governance, Performance Accountability Act, and published in accordance with section 16E (3) of the Public Governance, Performance and Accountability Rule 2014. The </w:t>
      </w:r>
      <w:r w:rsidRPr="00011CF0">
        <w:rPr>
          <w:rStyle w:val="Emphasis"/>
        </w:rPr>
        <w:t>Corporate Plan 2016–17</w:t>
      </w:r>
      <w:r w:rsidRPr="00E6472D">
        <w:t xml:space="preserve"> describes the planned program of work for the four-year period and specifies how the Commission will measure its performance during that period. The </w:t>
      </w:r>
      <w:r w:rsidRPr="00011CF0">
        <w:rPr>
          <w:rStyle w:val="Emphasis"/>
        </w:rPr>
        <w:t>Corporate Plan 2016–17</w:t>
      </w:r>
      <w:r w:rsidRPr="00E6472D">
        <w:t xml:space="preserve"> can be accessed on the Commission’s website, at </w:t>
      </w:r>
      <w:r w:rsidRPr="003F393F">
        <w:rPr>
          <w:rStyle w:val="Strong"/>
        </w:rPr>
        <w:t>www.safetyandquality.gov.au/about-us/corporate-plan/</w:t>
      </w:r>
    </w:p>
    <w:p w14:paraId="5BDA661B" w14:textId="77777777" w:rsidR="00E6472D" w:rsidRPr="00E6472D" w:rsidRDefault="00E6472D" w:rsidP="003F393F">
      <w:pPr>
        <w:pStyle w:val="BodyText"/>
      </w:pPr>
      <w:r w:rsidRPr="00E6472D">
        <w:t xml:space="preserve">The Commission’s KPIs for the 2016–17 </w:t>
      </w:r>
      <w:proofErr w:type="gramStart"/>
      <w:r w:rsidRPr="00E6472D">
        <w:t>period</w:t>
      </w:r>
      <w:proofErr w:type="gramEnd"/>
      <w:r w:rsidRPr="00E6472D">
        <w:t xml:space="preserve"> were published in the </w:t>
      </w:r>
      <w:r w:rsidRPr="00011CF0">
        <w:rPr>
          <w:rStyle w:val="Emphasis"/>
        </w:rPr>
        <w:t>Health Portfolio Budget Statements 2016–2017</w:t>
      </w:r>
      <w:r w:rsidRPr="00E6472D">
        <w:t xml:space="preserve"> and the </w:t>
      </w:r>
      <w:r w:rsidRPr="00011CF0">
        <w:rPr>
          <w:rStyle w:val="Emphasis"/>
        </w:rPr>
        <w:t>Corporate Plan 2016–17</w:t>
      </w:r>
      <w:r w:rsidRPr="00E6472D">
        <w:t>. The following is a report of the Commission’s performance against these KPIs.</w:t>
      </w:r>
    </w:p>
    <w:p w14:paraId="648BEF00" w14:textId="77777777" w:rsidR="00E6472D" w:rsidRDefault="00E6472D" w:rsidP="003F393F">
      <w:pPr>
        <w:pStyle w:val="Heading3"/>
      </w:pPr>
      <w:r w:rsidRPr="00E6472D">
        <w:t>Strategic Priority 1: Patient Safety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E5F55" w:themeFill="accent3"/>
        <w:tblLook w:val="04A0" w:firstRow="1" w:lastRow="0" w:firstColumn="1" w:lastColumn="0" w:noHBand="0" w:noVBand="1"/>
        <w:tblCaption w:val="Heading row"/>
      </w:tblPr>
      <w:tblGrid>
        <w:gridCol w:w="3959"/>
      </w:tblGrid>
      <w:tr w:rsidR="003F393F" w14:paraId="6C64C2FC" w14:textId="77777777" w:rsidTr="003F393F">
        <w:tc>
          <w:tcPr>
            <w:tcW w:w="3959" w:type="dxa"/>
            <w:shd w:val="clear" w:color="auto" w:fill="1E5F55" w:themeFill="accent3"/>
          </w:tcPr>
          <w:p w14:paraId="675CC0FE" w14:textId="77777777" w:rsidR="003F393F" w:rsidRDefault="003F393F" w:rsidP="003F393F">
            <w:pPr>
              <w:pStyle w:val="Heading3-white"/>
            </w:pPr>
            <w:r w:rsidRPr="003F393F">
              <w:t>Qualitative performance criteria</w:t>
            </w:r>
          </w:p>
        </w:tc>
      </w:tr>
    </w:tbl>
    <w:p w14:paraId="70994145" w14:textId="77777777" w:rsidR="00E6472D" w:rsidRDefault="00E6472D" w:rsidP="003F393F">
      <w:pPr>
        <w:pStyle w:val="BodyText-spacebefore"/>
      </w:pPr>
      <w:r w:rsidRPr="00E6472D">
        <w:t>Successful implementation of the National Safety and Quality Health Service (NSQHS) Standards and ongoing monitoring of safety and quality performance of hospitals and day procedure services.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DCD9"/>
        <w:tblLook w:val="04A0" w:firstRow="1" w:lastRow="0" w:firstColumn="1" w:lastColumn="0" w:noHBand="0" w:noVBand="1"/>
        <w:tblCaption w:val="Heading row"/>
      </w:tblPr>
      <w:tblGrid>
        <w:gridCol w:w="3959"/>
      </w:tblGrid>
      <w:tr w:rsidR="003F393F" w14:paraId="71EFF94C" w14:textId="77777777" w:rsidTr="003F393F">
        <w:tc>
          <w:tcPr>
            <w:tcW w:w="3959" w:type="dxa"/>
            <w:shd w:val="clear" w:color="auto" w:fill="CEDCD9"/>
          </w:tcPr>
          <w:p w14:paraId="4269DA7E" w14:textId="77777777" w:rsidR="003F393F" w:rsidRDefault="003F393F" w:rsidP="003F393F">
            <w:pPr>
              <w:pStyle w:val="Heading3-white"/>
            </w:pPr>
            <w:r w:rsidRPr="003F393F">
              <w:rPr>
                <w:color w:val="1E5F55" w:themeColor="accent3"/>
              </w:rPr>
              <w:t>Criteria source</w:t>
            </w:r>
          </w:p>
        </w:tc>
      </w:tr>
    </w:tbl>
    <w:p w14:paraId="1E3BDD89" w14:textId="77777777" w:rsidR="00E6472D" w:rsidRDefault="00E6472D" w:rsidP="003F393F">
      <w:pPr>
        <w:pStyle w:val="BodyText-spacebefore"/>
        <w:ind w:right="-142"/>
        <w:rPr>
          <w:rStyle w:val="Emphasis"/>
        </w:rPr>
      </w:pPr>
      <w:r w:rsidRPr="00C505AD">
        <w:t xml:space="preserve">Program 1.1, </w:t>
      </w:r>
      <w:r w:rsidRPr="00AD48C3">
        <w:rPr>
          <w:rStyle w:val="Emphasis"/>
          <w:u w:val="single"/>
        </w:rPr>
        <w:t>2016–17 Health Portfolio Budget Statements</w:t>
      </w:r>
      <w:r w:rsidRPr="00C505AD">
        <w:t>,</w:t>
      </w:r>
      <w:r w:rsidRPr="00E6472D">
        <w:t xml:space="preserve"> p.188; </w:t>
      </w:r>
      <w:r w:rsidRPr="003F393F">
        <w:rPr>
          <w:rStyle w:val="Emphasis"/>
          <w:u w:val="single"/>
        </w:rPr>
        <w:t>Corporate plan 2016–17</w:t>
      </w:r>
      <w:r w:rsidRPr="003F393F">
        <w:rPr>
          <w:rStyle w:val="Emphasis"/>
        </w:rPr>
        <w:t>, p.15.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DCD9"/>
        <w:tblLook w:val="04A0" w:firstRow="1" w:lastRow="0" w:firstColumn="1" w:lastColumn="0" w:noHBand="0" w:noVBand="1"/>
        <w:tblCaption w:val="Heading row"/>
      </w:tblPr>
      <w:tblGrid>
        <w:gridCol w:w="3959"/>
      </w:tblGrid>
      <w:tr w:rsidR="00B91479" w14:paraId="386D270A" w14:textId="77777777" w:rsidTr="003F393F">
        <w:tc>
          <w:tcPr>
            <w:tcW w:w="3959" w:type="dxa"/>
            <w:shd w:val="clear" w:color="auto" w:fill="CEDCD9"/>
          </w:tcPr>
          <w:p w14:paraId="79AE8D3C" w14:textId="77777777" w:rsidR="00B91479" w:rsidRDefault="00B91479" w:rsidP="003F393F">
            <w:pPr>
              <w:pStyle w:val="Heading3-white"/>
            </w:pPr>
            <w:r w:rsidRPr="00B91479">
              <w:rPr>
                <w:color w:val="1E5F55" w:themeColor="accent3"/>
              </w:rPr>
              <w:t>2016–17 performance target</w:t>
            </w:r>
          </w:p>
        </w:tc>
      </w:tr>
    </w:tbl>
    <w:p w14:paraId="4E7F885E" w14:textId="77777777" w:rsidR="00E6472D" w:rsidRPr="00E6472D" w:rsidRDefault="00E6472D" w:rsidP="00B91479">
      <w:pPr>
        <w:pStyle w:val="BodyText-spacebefore"/>
      </w:pPr>
      <w:r w:rsidRPr="00B91479">
        <w:rPr>
          <w:rStyle w:val="Emphasis"/>
          <w:u w:val="single"/>
        </w:rPr>
        <w:t>2016–17 Health Portfolio Budget Statement:</w:t>
      </w:r>
      <w:r w:rsidRPr="00E6472D">
        <w:t xml:space="preserve"> 100% of hospitals and day procedure services assessed to the NSQHS Standards.</w:t>
      </w:r>
    </w:p>
    <w:p w14:paraId="0D9F60E8" w14:textId="77777777" w:rsidR="00E6472D" w:rsidRDefault="00E6472D" w:rsidP="00B91479">
      <w:pPr>
        <w:pStyle w:val="BodyText"/>
      </w:pPr>
      <w:r w:rsidRPr="00B91479">
        <w:rPr>
          <w:rStyle w:val="Emphasis"/>
          <w:u w:val="single"/>
        </w:rPr>
        <w:t>Corporate Plan 2016–17:</w:t>
      </w:r>
      <w:r w:rsidRPr="00E6472D">
        <w:t xml:space="preserve"> Final draft version 2 of the NSQHS Standards (renamed the second edition of the NSQHS Standards).</w:t>
      </w:r>
    </w:p>
    <w:p w14:paraId="36556731" w14:textId="77777777" w:rsidR="00B91479" w:rsidRDefault="00B91479" w:rsidP="00B91479">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DCD9"/>
        <w:tblLook w:val="04A0" w:firstRow="1" w:lastRow="0" w:firstColumn="1" w:lastColumn="0" w:noHBand="0" w:noVBand="1"/>
        <w:tblCaption w:val="Heading row"/>
      </w:tblPr>
      <w:tblGrid>
        <w:gridCol w:w="3959"/>
      </w:tblGrid>
      <w:tr w:rsidR="00B91479" w14:paraId="0107E3AD" w14:textId="77777777" w:rsidTr="003F393F">
        <w:tc>
          <w:tcPr>
            <w:tcW w:w="3959" w:type="dxa"/>
            <w:shd w:val="clear" w:color="auto" w:fill="CEDCD9"/>
          </w:tcPr>
          <w:p w14:paraId="0564A483" w14:textId="77777777" w:rsidR="00B91479" w:rsidRDefault="00B91479" w:rsidP="003F393F">
            <w:pPr>
              <w:pStyle w:val="Heading3-white"/>
            </w:pPr>
            <w:r>
              <w:lastRenderedPageBreak/>
              <w:br w:type="column"/>
            </w:r>
            <w:r w:rsidRPr="00B91479">
              <w:rPr>
                <w:color w:val="1E5F55" w:themeColor="accent3"/>
              </w:rPr>
              <w:t>Result against performance criteria</w:t>
            </w:r>
          </w:p>
        </w:tc>
      </w:tr>
    </w:tbl>
    <w:p w14:paraId="26B60C29" w14:textId="77777777" w:rsidR="00E6472D" w:rsidRDefault="00E6472D" w:rsidP="00B91479">
      <w:pPr>
        <w:pStyle w:val="BodyText-spacebefore"/>
      </w:pPr>
      <w:r w:rsidRPr="00E6472D">
        <w:t>The Commission continues to negotiate with states and territories on ongoing arrangements to support implementation of the NSQHS Standards in hospitals and day procedure services, community and other health services. The Commission uses performance data to identify safety and quality lapses by health services and negotiates with states and territories to implement remedial actions. The</w:t>
      </w:r>
      <w:r w:rsidRPr="00E6472D">
        <w:rPr>
          <w:rFonts w:cs="Arial"/>
        </w:rPr>
        <w:t> </w:t>
      </w:r>
      <w:r w:rsidRPr="00E6472D">
        <w:t>Commission will continue to provide national coordination and reforms of assessment processes with health system regulators, accrediting agencies and health services and amending the Australian Health Service Safety and Quality Accreditation (AHSSQA) Scheme. In 2016–17 the AHSSQA Scheme was reviewed and reformed to improve the performance of accrediting agencies and to address the performance issues identified by the health service organisations. The Commission also supports health services to meet the requirements of the NSQHS Standards and embed partnerships to support the next edition of the NSQHS Standards.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DCD9"/>
        <w:tblLook w:val="04A0" w:firstRow="1" w:lastRow="0" w:firstColumn="1" w:lastColumn="0" w:noHBand="0" w:noVBand="1"/>
        <w:tblCaption w:val="Heading row"/>
      </w:tblPr>
      <w:tblGrid>
        <w:gridCol w:w="3959"/>
      </w:tblGrid>
      <w:tr w:rsidR="00B91479" w14:paraId="00F68DD7" w14:textId="77777777" w:rsidTr="00552D01">
        <w:tc>
          <w:tcPr>
            <w:tcW w:w="3959" w:type="dxa"/>
            <w:shd w:val="clear" w:color="auto" w:fill="CEDCD9"/>
          </w:tcPr>
          <w:p w14:paraId="30FD5019" w14:textId="77777777" w:rsidR="00B91479" w:rsidRDefault="00B91479" w:rsidP="00552D01">
            <w:pPr>
              <w:pStyle w:val="Heading3-white"/>
            </w:pPr>
            <w:r>
              <w:br w:type="column"/>
            </w:r>
            <w:r w:rsidRPr="00B91479">
              <w:rPr>
                <w:color w:val="1E5F55" w:themeColor="accent3"/>
              </w:rPr>
              <w:t>Result against performance </w:t>
            </w:r>
            <w:r>
              <w:rPr>
                <w:color w:val="1E5F55" w:themeColor="accent3"/>
              </w:rPr>
              <w:t>target</w:t>
            </w:r>
          </w:p>
        </w:tc>
      </w:tr>
    </w:tbl>
    <w:p w14:paraId="0DAC1629" w14:textId="77777777" w:rsidR="00E6472D" w:rsidRPr="00E6472D" w:rsidRDefault="00E6472D" w:rsidP="00B91479">
      <w:pPr>
        <w:pStyle w:val="BodyText-spacebefore"/>
      </w:pPr>
      <w:r w:rsidRPr="00B91479">
        <w:rPr>
          <w:rStyle w:val="Emphasis"/>
          <w:u w:val="single"/>
        </w:rPr>
        <w:t>2016–17 Health Portfolio Budget Statements</w:t>
      </w:r>
      <w:r w:rsidRPr="00E6472D">
        <w:t>: 100% of all hospitals and day procedure services in Australia have been assessed to the</w:t>
      </w:r>
      <w:r w:rsidRPr="00E6472D">
        <w:rPr>
          <w:rFonts w:cs="Arial"/>
        </w:rPr>
        <w:t> </w:t>
      </w:r>
      <w:r w:rsidRPr="00E6472D">
        <w:t xml:space="preserve">NSQHS Standards. </w:t>
      </w:r>
    </w:p>
    <w:p w14:paraId="1DDAE2B3" w14:textId="77777777" w:rsidR="00B91479" w:rsidRDefault="00E6472D" w:rsidP="00B91479">
      <w:pPr>
        <w:pStyle w:val="BodyText"/>
      </w:pPr>
      <w:r w:rsidRPr="00B91479">
        <w:rPr>
          <w:rStyle w:val="Emphasis"/>
          <w:u w:val="single"/>
        </w:rPr>
        <w:t>Corporate Plan 2016–17:</w:t>
      </w:r>
      <w:r w:rsidRPr="00E6472D">
        <w:t xml:space="preserve"> The Commission successfully submitted the final draft version of the NSQHS Standards to Australian Health Ministers’ Advisory Council and received unanimous approval from the Commonwealth, states and territories. The Commission is moving forward in 2017 to launch the second edition with associated documents, this is scheduled for November 2017.</w:t>
      </w:r>
    </w:p>
    <w:p w14:paraId="7137B269" w14:textId="77777777" w:rsidR="00B91479" w:rsidRDefault="00B91479">
      <w:pPr>
        <w:spacing w:after="160" w:line="259"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E5F55" w:themeFill="accent3"/>
        <w:tblLook w:val="04A0" w:firstRow="1" w:lastRow="0" w:firstColumn="1" w:lastColumn="0" w:noHBand="0" w:noVBand="1"/>
        <w:tblCaption w:val="Heading row"/>
      </w:tblPr>
      <w:tblGrid>
        <w:gridCol w:w="3959"/>
      </w:tblGrid>
      <w:tr w:rsidR="000E2719" w14:paraId="04FCAB1B" w14:textId="77777777" w:rsidTr="003F393F">
        <w:tc>
          <w:tcPr>
            <w:tcW w:w="3959" w:type="dxa"/>
            <w:shd w:val="clear" w:color="auto" w:fill="1E5F55" w:themeFill="accent3"/>
          </w:tcPr>
          <w:p w14:paraId="00C447A1" w14:textId="77777777" w:rsidR="000E2719" w:rsidRDefault="000E2719" w:rsidP="003F393F">
            <w:pPr>
              <w:pStyle w:val="Heading3-white"/>
            </w:pPr>
            <w:r w:rsidRPr="003F393F">
              <w:lastRenderedPageBreak/>
              <w:t>Qualitative performance criteria</w:t>
            </w:r>
          </w:p>
        </w:tc>
      </w:tr>
    </w:tbl>
    <w:p w14:paraId="6C3CE673" w14:textId="77777777" w:rsidR="000E2719" w:rsidRPr="00E6472D" w:rsidRDefault="000E2719" w:rsidP="000E2719">
      <w:pPr>
        <w:pStyle w:val="BodyText-spacebefore"/>
      </w:pPr>
      <w:r w:rsidRPr="00E6472D">
        <w:t>Percentage of public hospitals meeting the benchmark for hand hygiene compliance.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DCD9"/>
        <w:tblLook w:val="04A0" w:firstRow="1" w:lastRow="0" w:firstColumn="1" w:lastColumn="0" w:noHBand="0" w:noVBand="1"/>
        <w:tblCaption w:val="Heading row"/>
      </w:tblPr>
      <w:tblGrid>
        <w:gridCol w:w="3959"/>
      </w:tblGrid>
      <w:tr w:rsidR="000E2719" w14:paraId="7CE61D86" w14:textId="77777777" w:rsidTr="00552D01">
        <w:tc>
          <w:tcPr>
            <w:tcW w:w="3959" w:type="dxa"/>
            <w:shd w:val="clear" w:color="auto" w:fill="CEDCD9"/>
          </w:tcPr>
          <w:p w14:paraId="7761C597" w14:textId="77777777" w:rsidR="000E2719" w:rsidRDefault="000E2719" w:rsidP="00552D01">
            <w:pPr>
              <w:pStyle w:val="Heading3-white"/>
            </w:pPr>
            <w:r w:rsidRPr="003F393F">
              <w:rPr>
                <w:color w:val="1E5F55" w:themeColor="accent3"/>
              </w:rPr>
              <w:t>Criteria source</w:t>
            </w:r>
          </w:p>
        </w:tc>
      </w:tr>
    </w:tbl>
    <w:p w14:paraId="23079EA2" w14:textId="77777777" w:rsidR="000E2719" w:rsidRDefault="000E2719" w:rsidP="000E2719">
      <w:pPr>
        <w:pStyle w:val="BodyText-spacebefore"/>
      </w:pPr>
      <w:r w:rsidRPr="00E6472D">
        <w:t xml:space="preserve">Program 1.1, </w:t>
      </w:r>
      <w:r w:rsidRPr="000E2719">
        <w:rPr>
          <w:rStyle w:val="Emphasis"/>
          <w:u w:val="single"/>
        </w:rPr>
        <w:t>2016–17 Health Portfolio Budget Statements</w:t>
      </w:r>
      <w:r w:rsidRPr="00E6472D">
        <w:t>, p.188.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DCD9"/>
        <w:tblLook w:val="04A0" w:firstRow="1" w:lastRow="0" w:firstColumn="1" w:lastColumn="0" w:noHBand="0" w:noVBand="1"/>
        <w:tblCaption w:val="Heading row"/>
      </w:tblPr>
      <w:tblGrid>
        <w:gridCol w:w="3959"/>
      </w:tblGrid>
      <w:tr w:rsidR="000E2719" w14:paraId="7AC06018" w14:textId="77777777" w:rsidTr="00552D01">
        <w:tc>
          <w:tcPr>
            <w:tcW w:w="3959" w:type="dxa"/>
            <w:shd w:val="clear" w:color="auto" w:fill="CEDCD9"/>
          </w:tcPr>
          <w:p w14:paraId="765D778D" w14:textId="77777777" w:rsidR="000E2719" w:rsidRDefault="000E2719" w:rsidP="00552D01">
            <w:pPr>
              <w:pStyle w:val="Heading3-white"/>
            </w:pPr>
            <w:r w:rsidRPr="000E2719">
              <w:rPr>
                <w:color w:val="1E5F55" w:themeColor="accent3"/>
              </w:rPr>
              <w:t>2016–17 target</w:t>
            </w:r>
          </w:p>
        </w:tc>
      </w:tr>
    </w:tbl>
    <w:p w14:paraId="41336CEF" w14:textId="77777777" w:rsidR="000E2719" w:rsidRDefault="000E2719" w:rsidP="000E2719">
      <w:pPr>
        <w:pStyle w:val="BodyText-spacebefore"/>
      </w:pPr>
      <w:r w:rsidRPr="00E6472D">
        <w:t xml:space="preserve">Public hospitals meeting the benchmark of </w:t>
      </w:r>
      <w:r w:rsidRPr="00E6472D">
        <w:rPr>
          <w:rFonts w:cs="Arial"/>
        </w:rPr>
        <w:t>≥</w:t>
      </w:r>
      <w:r w:rsidRPr="00E6472D">
        <w:t>75% for hand hygiene compliance.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DCD9"/>
        <w:tblLook w:val="04A0" w:firstRow="1" w:lastRow="0" w:firstColumn="1" w:lastColumn="0" w:noHBand="0" w:noVBand="1"/>
        <w:tblCaption w:val="Heading row"/>
      </w:tblPr>
      <w:tblGrid>
        <w:gridCol w:w="3959"/>
      </w:tblGrid>
      <w:tr w:rsidR="000E2719" w14:paraId="6F996B88" w14:textId="77777777" w:rsidTr="00552D01">
        <w:tc>
          <w:tcPr>
            <w:tcW w:w="3959" w:type="dxa"/>
            <w:shd w:val="clear" w:color="auto" w:fill="CEDCD9"/>
          </w:tcPr>
          <w:p w14:paraId="6CE6DC2C" w14:textId="77777777" w:rsidR="000E2719" w:rsidRDefault="000E2719" w:rsidP="00552D01">
            <w:pPr>
              <w:pStyle w:val="Heading3-white"/>
            </w:pPr>
            <w:r w:rsidRPr="000E2719">
              <w:rPr>
                <w:color w:val="1E5F55" w:themeColor="accent3"/>
              </w:rPr>
              <w:t>Result against performance criteria</w:t>
            </w:r>
          </w:p>
        </w:tc>
      </w:tr>
    </w:tbl>
    <w:p w14:paraId="6BBF41CE" w14:textId="77777777" w:rsidR="000E2719" w:rsidRPr="00E6472D" w:rsidRDefault="000E2719" w:rsidP="000E2719">
      <w:pPr>
        <w:pStyle w:val="BodyText-spacebefore"/>
      </w:pPr>
      <w:r w:rsidRPr="00E6472D">
        <w:t>Data reported by Hand Hygiene Australia confirms that public hospitals have met the benchmark hand hygiene compliance rates for the 2016–17 reporting period.</w:t>
      </w:r>
    </w:p>
    <w:p w14:paraId="234C705A" w14:textId="77777777" w:rsidR="000E2719" w:rsidRPr="00E6472D" w:rsidRDefault="000E2719" w:rsidP="000E2719">
      <w:pPr>
        <w:pStyle w:val="Bodytextbeforebullets"/>
      </w:pPr>
      <w:r w:rsidRPr="00E6472D">
        <w:t>The overall compliance rates for each audit were above the listed target and are as follows:</w:t>
      </w:r>
    </w:p>
    <w:p w14:paraId="467EF18E" w14:textId="77777777" w:rsidR="000E2719" w:rsidRPr="00E6472D" w:rsidRDefault="000E2719" w:rsidP="000E2719">
      <w:pPr>
        <w:pStyle w:val="BodyText"/>
        <w:spacing w:after="85"/>
      </w:pPr>
      <w:r w:rsidRPr="00E6472D">
        <w:t>Audit Period 1 — 2016:</w:t>
      </w:r>
      <w:r w:rsidRPr="00E6472D">
        <w:tab/>
        <w:t>84.1%</w:t>
      </w:r>
    </w:p>
    <w:p w14:paraId="0F05ABA8" w14:textId="77777777" w:rsidR="000E2719" w:rsidRPr="00E6472D" w:rsidRDefault="000E2719" w:rsidP="000E2719">
      <w:pPr>
        <w:pStyle w:val="BodyText"/>
        <w:spacing w:after="85"/>
      </w:pPr>
      <w:r w:rsidRPr="00E6472D">
        <w:t>Audit Period 2 — 2017:</w:t>
      </w:r>
      <w:r w:rsidRPr="00E6472D">
        <w:tab/>
        <w:t>84.6%</w:t>
      </w:r>
    </w:p>
    <w:p w14:paraId="6797020D" w14:textId="77777777" w:rsidR="000E2719" w:rsidRPr="00E6472D" w:rsidRDefault="000E2719" w:rsidP="000E2719">
      <w:pPr>
        <w:pStyle w:val="BodyText"/>
        <w:spacing w:after="85"/>
      </w:pPr>
      <w:r w:rsidRPr="00E6472D">
        <w:t>Audit Period 3 — 2017:</w:t>
      </w:r>
      <w:r w:rsidRPr="00E6472D">
        <w:tab/>
        <w:t>84.3%</w:t>
      </w:r>
    </w:p>
    <w:p w14:paraId="2736AB81" w14:textId="77777777" w:rsidR="000E2719" w:rsidRPr="00E6472D" w:rsidRDefault="000E2719" w:rsidP="000E2719">
      <w:pPr>
        <w:pStyle w:val="BodyText"/>
      </w:pPr>
      <w:r w:rsidRPr="00E6472D">
        <w:t xml:space="preserve">Further information can be found at </w:t>
      </w:r>
      <w:r w:rsidRPr="00E6472D">
        <w:br/>
      </w:r>
      <w:r w:rsidRPr="000E2719">
        <w:rPr>
          <w:rStyle w:val="Strong"/>
        </w:rPr>
        <w:t>www.hha.org.au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E5F55" w:themeFill="accent3"/>
        <w:tblLook w:val="04A0" w:firstRow="1" w:lastRow="0" w:firstColumn="1" w:lastColumn="0" w:noHBand="0" w:noVBand="1"/>
      </w:tblPr>
      <w:tblGrid>
        <w:gridCol w:w="3959"/>
      </w:tblGrid>
      <w:tr w:rsidR="000E2719" w14:paraId="74067008" w14:textId="77777777" w:rsidTr="00552D01">
        <w:tc>
          <w:tcPr>
            <w:tcW w:w="3959" w:type="dxa"/>
            <w:shd w:val="clear" w:color="auto" w:fill="1E5F55" w:themeFill="accent3"/>
          </w:tcPr>
          <w:p w14:paraId="775E3439" w14:textId="77777777" w:rsidR="000E2719" w:rsidRDefault="000E2719" w:rsidP="00552D01">
            <w:pPr>
              <w:pStyle w:val="Heading3-white"/>
            </w:pPr>
            <w:r w:rsidRPr="000E2719">
              <w:t>Quantitative performance criteria</w:t>
            </w:r>
          </w:p>
        </w:tc>
      </w:tr>
    </w:tbl>
    <w:p w14:paraId="3604D087" w14:textId="77777777" w:rsidR="00E6472D" w:rsidRDefault="000E2719" w:rsidP="00E6472D">
      <w:pPr>
        <w:tabs>
          <w:tab w:val="left" w:pos="283"/>
          <w:tab w:val="left" w:pos="567"/>
          <w:tab w:val="left" w:pos="850"/>
          <w:tab w:val="left" w:pos="1134"/>
          <w:tab w:val="left" w:pos="1417"/>
          <w:tab w:val="left" w:pos="1701"/>
          <w:tab w:val="left" w:pos="1984"/>
          <w:tab w:val="left" w:pos="2268"/>
        </w:tabs>
        <w:suppressAutoHyphens/>
        <w:autoSpaceDE w:val="0"/>
        <w:autoSpaceDN w:val="0"/>
        <w:adjustRightInd w:val="0"/>
        <w:spacing w:after="170" w:line="240" w:lineRule="atLeast"/>
        <w:textAlignment w:val="center"/>
      </w:pPr>
      <w:r w:rsidRPr="000E2719">
        <w:t>Number of clinicians completing the health care associated infection online education modules.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DCD9"/>
        <w:tblLook w:val="04A0" w:firstRow="1" w:lastRow="0" w:firstColumn="1" w:lastColumn="0" w:noHBand="0" w:noVBand="1"/>
      </w:tblPr>
      <w:tblGrid>
        <w:gridCol w:w="3959"/>
      </w:tblGrid>
      <w:tr w:rsidR="000E2719" w14:paraId="0506D4D9" w14:textId="77777777" w:rsidTr="00552D01">
        <w:tc>
          <w:tcPr>
            <w:tcW w:w="3959" w:type="dxa"/>
            <w:shd w:val="clear" w:color="auto" w:fill="CEDCD9"/>
          </w:tcPr>
          <w:p w14:paraId="71C09AFD" w14:textId="77777777" w:rsidR="000E2719" w:rsidRDefault="000E2719" w:rsidP="00552D01">
            <w:pPr>
              <w:pStyle w:val="Heading3-white"/>
            </w:pPr>
            <w:r w:rsidRPr="003F393F">
              <w:rPr>
                <w:color w:val="1E5F55" w:themeColor="accent3"/>
              </w:rPr>
              <w:t>Criteria source</w:t>
            </w:r>
          </w:p>
        </w:tc>
      </w:tr>
    </w:tbl>
    <w:p w14:paraId="722042E6" w14:textId="77777777" w:rsidR="000E2719" w:rsidRDefault="000E2719" w:rsidP="000E2719">
      <w:pPr>
        <w:pStyle w:val="BodyText-spacebefore"/>
      </w:pPr>
      <w:r w:rsidRPr="00E6472D">
        <w:t xml:space="preserve">Program 1.1, </w:t>
      </w:r>
      <w:r w:rsidRPr="000E2719">
        <w:rPr>
          <w:rStyle w:val="Emphasis"/>
          <w:u w:val="single"/>
        </w:rPr>
        <w:t>2016–17 Health Portfolio Budget Statements</w:t>
      </w:r>
      <w:r w:rsidRPr="00E6472D">
        <w:t>, p.188.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DCD9"/>
        <w:tblLook w:val="04A0" w:firstRow="1" w:lastRow="0" w:firstColumn="1" w:lastColumn="0" w:noHBand="0" w:noVBand="1"/>
      </w:tblPr>
      <w:tblGrid>
        <w:gridCol w:w="3959"/>
      </w:tblGrid>
      <w:tr w:rsidR="000E2719" w14:paraId="2FCFA06E" w14:textId="77777777" w:rsidTr="00552D01">
        <w:tc>
          <w:tcPr>
            <w:tcW w:w="3959" w:type="dxa"/>
            <w:shd w:val="clear" w:color="auto" w:fill="CEDCD9"/>
          </w:tcPr>
          <w:p w14:paraId="5AB368FD" w14:textId="77777777" w:rsidR="000E2719" w:rsidRDefault="000E2719" w:rsidP="00552D01">
            <w:pPr>
              <w:pStyle w:val="Heading3-white"/>
            </w:pPr>
            <w:r w:rsidRPr="000E2719">
              <w:rPr>
                <w:color w:val="1E5F55" w:themeColor="accent3"/>
              </w:rPr>
              <w:t>2016–17 target</w:t>
            </w:r>
          </w:p>
        </w:tc>
      </w:tr>
    </w:tbl>
    <w:p w14:paraId="4B4A72BA" w14:textId="77777777" w:rsidR="000E2719" w:rsidRPr="00C505AD" w:rsidRDefault="000E2719" w:rsidP="000E2719">
      <w:pPr>
        <w:pStyle w:val="BodyText-spacebefore"/>
      </w:pPr>
      <w:r w:rsidRPr="00C505AD">
        <w:t xml:space="preserve">≥13 000 clinicians completing the </w:t>
      </w:r>
      <w:r w:rsidR="00C505AD">
        <w:br/>
      </w:r>
      <w:r w:rsidRPr="00C505AD">
        <w:t>healthcare</w:t>
      </w:r>
      <w:r w:rsidR="00C505AD" w:rsidRPr="00C505AD">
        <w:t>-</w:t>
      </w:r>
      <w:r w:rsidRPr="00C505AD">
        <w:t>associated infection online education modules.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DCD9"/>
        <w:tblLook w:val="04A0" w:firstRow="1" w:lastRow="0" w:firstColumn="1" w:lastColumn="0" w:noHBand="0" w:noVBand="1"/>
        <w:tblCaption w:val="Heading row"/>
      </w:tblPr>
      <w:tblGrid>
        <w:gridCol w:w="3959"/>
      </w:tblGrid>
      <w:tr w:rsidR="000E2719" w14:paraId="27EF6E51" w14:textId="77777777" w:rsidTr="00552D01">
        <w:tc>
          <w:tcPr>
            <w:tcW w:w="3959" w:type="dxa"/>
            <w:shd w:val="clear" w:color="auto" w:fill="CEDCD9"/>
          </w:tcPr>
          <w:p w14:paraId="02203073" w14:textId="77777777" w:rsidR="000E2719" w:rsidRDefault="000E2719" w:rsidP="000E2719">
            <w:pPr>
              <w:pStyle w:val="Heading3-white"/>
            </w:pPr>
            <w:r w:rsidRPr="000E2719">
              <w:rPr>
                <w:color w:val="1E5F55" w:themeColor="accent3"/>
              </w:rPr>
              <w:lastRenderedPageBreak/>
              <w:t>Result against performance criteria</w:t>
            </w:r>
          </w:p>
        </w:tc>
      </w:tr>
    </w:tbl>
    <w:p w14:paraId="2767D84B" w14:textId="77777777" w:rsidR="000E2719" w:rsidRPr="00C505AD" w:rsidRDefault="000E2719" w:rsidP="000E2719">
      <w:pPr>
        <w:pStyle w:val="BodyText-spacebefore"/>
        <w:keepNext/>
        <w:keepLines/>
      </w:pPr>
      <w:r w:rsidRPr="00C505AD">
        <w:t xml:space="preserve">E3learning hosts the Commission’s </w:t>
      </w:r>
      <w:r w:rsidR="00C505AD">
        <w:br/>
      </w:r>
      <w:r w:rsidRPr="00C505AD">
        <w:t>healthcare</w:t>
      </w:r>
      <w:r w:rsidR="00C505AD">
        <w:t>-</w:t>
      </w:r>
      <w:r w:rsidRPr="00C505AD">
        <w:t>associated infection online education modules. Clinicians register for the online modules using an email address, which identifies them within the system.</w:t>
      </w:r>
    </w:p>
    <w:p w14:paraId="55E18EEF" w14:textId="77777777" w:rsidR="000E2719" w:rsidRPr="00C505AD" w:rsidRDefault="000E2719" w:rsidP="000E2719">
      <w:pPr>
        <w:pStyle w:val="BodyText-spacebefore"/>
      </w:pPr>
      <w:r w:rsidRPr="00C505AD">
        <w:t>In the 2016–17 financial year, 12,680 clinicians and students have registered and completed at least one of the modules. The figure falls just short of the target and the Commission will develop strategies to ensure the 2017–18 target is achieved.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E5F55" w:themeFill="accent3"/>
        <w:tblLook w:val="04A0" w:firstRow="1" w:lastRow="0" w:firstColumn="1" w:lastColumn="0" w:noHBand="0" w:noVBand="1"/>
        <w:tblCaption w:val="Heading row"/>
      </w:tblPr>
      <w:tblGrid>
        <w:gridCol w:w="3959"/>
      </w:tblGrid>
      <w:tr w:rsidR="000E2719" w14:paraId="1D6E4F5E" w14:textId="77777777" w:rsidTr="003F393F">
        <w:tc>
          <w:tcPr>
            <w:tcW w:w="3959" w:type="dxa"/>
            <w:shd w:val="clear" w:color="auto" w:fill="1E5F55" w:themeFill="accent3"/>
          </w:tcPr>
          <w:p w14:paraId="493550EC" w14:textId="77777777" w:rsidR="000E2719" w:rsidRDefault="000E2719" w:rsidP="003F393F">
            <w:pPr>
              <w:pStyle w:val="Heading3-white"/>
            </w:pPr>
            <w:r w:rsidRPr="000E2719">
              <w:t>Key performance indicator</w:t>
            </w:r>
          </w:p>
        </w:tc>
      </w:tr>
    </w:tbl>
    <w:p w14:paraId="2BE796A0" w14:textId="77777777" w:rsidR="000E2719" w:rsidRDefault="000E2719" w:rsidP="00C36315">
      <w:pPr>
        <w:pStyle w:val="BodyText-spacebefore"/>
      </w:pPr>
      <w:r w:rsidRPr="000E2719">
        <w:t>Develop and consult on a national model clinical governance framework.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DCD9"/>
        <w:tblLook w:val="04A0" w:firstRow="1" w:lastRow="0" w:firstColumn="1" w:lastColumn="0" w:noHBand="0" w:noVBand="1"/>
        <w:tblCaption w:val="Heading row"/>
      </w:tblPr>
      <w:tblGrid>
        <w:gridCol w:w="3959"/>
      </w:tblGrid>
      <w:tr w:rsidR="000E2719" w14:paraId="4A690E8F" w14:textId="77777777" w:rsidTr="00552D01">
        <w:tc>
          <w:tcPr>
            <w:tcW w:w="3959" w:type="dxa"/>
            <w:shd w:val="clear" w:color="auto" w:fill="CEDCD9"/>
          </w:tcPr>
          <w:p w14:paraId="6E8A4AEB" w14:textId="77777777" w:rsidR="000E2719" w:rsidRDefault="000E2719" w:rsidP="00552D01">
            <w:pPr>
              <w:pStyle w:val="Heading3-white"/>
            </w:pPr>
            <w:r>
              <w:rPr>
                <w:color w:val="1E5F55" w:themeColor="accent3"/>
              </w:rPr>
              <w:t>Source</w:t>
            </w:r>
          </w:p>
        </w:tc>
      </w:tr>
    </w:tbl>
    <w:p w14:paraId="3B606116" w14:textId="77777777" w:rsidR="000E2719" w:rsidRDefault="000E2719" w:rsidP="000E2719">
      <w:pPr>
        <w:pStyle w:val="BodyText-spacebefore"/>
      </w:pPr>
      <w:r w:rsidRPr="000E2719">
        <w:rPr>
          <w:rStyle w:val="Emphasis"/>
          <w:u w:val="single"/>
        </w:rPr>
        <w:t>Corporate Plan 2016–17</w:t>
      </w:r>
      <w:r w:rsidRPr="000E2719">
        <w:t>, p. 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DCD9"/>
        <w:tblLook w:val="04A0" w:firstRow="1" w:lastRow="0" w:firstColumn="1" w:lastColumn="0" w:noHBand="0" w:noVBand="1"/>
        <w:tblCaption w:val="Heading row"/>
      </w:tblPr>
      <w:tblGrid>
        <w:gridCol w:w="3959"/>
      </w:tblGrid>
      <w:tr w:rsidR="000E2719" w14:paraId="798C85A9" w14:textId="77777777" w:rsidTr="003F393F">
        <w:tc>
          <w:tcPr>
            <w:tcW w:w="3959" w:type="dxa"/>
            <w:shd w:val="clear" w:color="auto" w:fill="CEDCD9"/>
          </w:tcPr>
          <w:p w14:paraId="7B795A5C" w14:textId="77777777" w:rsidR="000E2719" w:rsidRDefault="000E2719" w:rsidP="003F393F">
            <w:pPr>
              <w:pStyle w:val="Heading3-white"/>
            </w:pPr>
            <w:r w:rsidRPr="000E2719">
              <w:rPr>
                <w:color w:val="1E5F55" w:themeColor="accent3"/>
              </w:rPr>
              <w:t>Result against the key performance indicator</w:t>
            </w:r>
          </w:p>
        </w:tc>
      </w:tr>
    </w:tbl>
    <w:p w14:paraId="1EF0A98B" w14:textId="77777777" w:rsidR="00E6472D" w:rsidRDefault="00E6472D" w:rsidP="000E2719">
      <w:pPr>
        <w:pStyle w:val="BodyText-spacebefore"/>
      </w:pPr>
      <w:r w:rsidRPr="00E6472D">
        <w:t>The Commission developed a draft national clinical governance framework and established an advisory committee to provide feedback and drive improvements of the document. The Commission has sought advice from jurisdictions, the private health sector, primary care committee and the Board. This advice has been used to revise the document and independent consultants have been hired to consult both internationally and domestically with key industry leaders.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E5F55" w:themeFill="accent3"/>
        <w:tblLook w:val="04A0" w:firstRow="1" w:lastRow="0" w:firstColumn="1" w:lastColumn="0" w:noHBand="0" w:noVBand="1"/>
        <w:tblCaption w:val="Heading row"/>
      </w:tblPr>
      <w:tblGrid>
        <w:gridCol w:w="3959"/>
      </w:tblGrid>
      <w:tr w:rsidR="000E2719" w14:paraId="039BEAA9" w14:textId="77777777" w:rsidTr="00552D01">
        <w:tc>
          <w:tcPr>
            <w:tcW w:w="3959" w:type="dxa"/>
            <w:shd w:val="clear" w:color="auto" w:fill="1E5F55" w:themeFill="accent3"/>
          </w:tcPr>
          <w:p w14:paraId="11A50ACC" w14:textId="77777777" w:rsidR="000E2719" w:rsidRDefault="000E2719" w:rsidP="00552D01">
            <w:pPr>
              <w:pStyle w:val="Heading3-white"/>
            </w:pPr>
            <w:r w:rsidRPr="000E2719">
              <w:t>Key performance indicator</w:t>
            </w:r>
          </w:p>
        </w:tc>
      </w:tr>
    </w:tbl>
    <w:p w14:paraId="0F8611DD" w14:textId="77777777" w:rsidR="000E2719" w:rsidRDefault="000E2719" w:rsidP="00C36315">
      <w:pPr>
        <w:pStyle w:val="BodyText-spacebefore"/>
      </w:pPr>
      <w:r w:rsidRPr="000E2719">
        <w:t>Review and revise reporting of antimicrobial resistance (AMR) and antimicrobial use (AU) to provide information and data to support jurisdictions and the private sector to implement strategies in infection control and AMR prevention and containment.</w:t>
      </w:r>
    </w:p>
    <w:p w14:paraId="2568152B" w14:textId="77777777" w:rsidR="000E2719" w:rsidRDefault="000E2719" w:rsidP="00C36315">
      <w:pPr>
        <w:pStyle w:val="BodyText"/>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DCD9"/>
        <w:tblLook w:val="04A0" w:firstRow="1" w:lastRow="0" w:firstColumn="1" w:lastColumn="0" w:noHBand="0" w:noVBand="1"/>
        <w:tblCaption w:val="Heading row"/>
      </w:tblPr>
      <w:tblGrid>
        <w:gridCol w:w="3959"/>
      </w:tblGrid>
      <w:tr w:rsidR="00552D01" w14:paraId="2A4C384A" w14:textId="77777777" w:rsidTr="00552D01">
        <w:tc>
          <w:tcPr>
            <w:tcW w:w="3959" w:type="dxa"/>
            <w:shd w:val="clear" w:color="auto" w:fill="CEDCD9"/>
          </w:tcPr>
          <w:p w14:paraId="2500C9D8" w14:textId="77777777" w:rsidR="00552D01" w:rsidRDefault="00552D01" w:rsidP="00552D01">
            <w:pPr>
              <w:pStyle w:val="Heading3-white"/>
            </w:pPr>
            <w:r>
              <w:rPr>
                <w:color w:val="1E5F55" w:themeColor="accent3"/>
              </w:rPr>
              <w:lastRenderedPageBreak/>
              <w:t>Source</w:t>
            </w:r>
          </w:p>
        </w:tc>
      </w:tr>
    </w:tbl>
    <w:p w14:paraId="49183A09" w14:textId="77777777" w:rsidR="00552D01" w:rsidRDefault="00552D01" w:rsidP="00552D01">
      <w:pPr>
        <w:pStyle w:val="BodyText-spacebefore"/>
      </w:pPr>
      <w:r w:rsidRPr="000E2719">
        <w:rPr>
          <w:rStyle w:val="Emphasis"/>
          <w:u w:val="single"/>
        </w:rPr>
        <w:t>Corporate Plan 2016–17</w:t>
      </w:r>
      <w:r w:rsidRPr="000E2719">
        <w:t>, p. 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DCD9"/>
        <w:tblLook w:val="04A0" w:firstRow="1" w:lastRow="0" w:firstColumn="1" w:lastColumn="0" w:noHBand="0" w:noVBand="1"/>
        <w:tblCaption w:val="Heading row"/>
      </w:tblPr>
      <w:tblGrid>
        <w:gridCol w:w="3959"/>
      </w:tblGrid>
      <w:tr w:rsidR="00552D01" w14:paraId="18B4288F" w14:textId="77777777" w:rsidTr="00552D01">
        <w:tc>
          <w:tcPr>
            <w:tcW w:w="3959" w:type="dxa"/>
            <w:shd w:val="clear" w:color="auto" w:fill="CEDCD9"/>
          </w:tcPr>
          <w:p w14:paraId="41774C3A" w14:textId="77777777" w:rsidR="00552D01" w:rsidRDefault="00552D01" w:rsidP="00552D01">
            <w:pPr>
              <w:pStyle w:val="Heading3-white"/>
            </w:pPr>
            <w:r w:rsidRPr="000E2719">
              <w:rPr>
                <w:color w:val="1E5F55" w:themeColor="accent3"/>
              </w:rPr>
              <w:t>Result against the key performance indicator</w:t>
            </w:r>
          </w:p>
        </w:tc>
      </w:tr>
    </w:tbl>
    <w:p w14:paraId="5284C778" w14:textId="77777777" w:rsidR="00552D01" w:rsidRDefault="00552D01" w:rsidP="00552D01">
      <w:pPr>
        <w:pStyle w:val="BodyText-spacebefore"/>
      </w:pPr>
      <w:r>
        <w:t>The Commission has undertaken a broad range of activities to ensure a comprehensive approach to the availability of data and reports resulting from the antimicrobial use and resistance in Australia (AURA) Surveillance System. The AURA Coordination Unit has continued to work with its program partners to improve the breadth and utility of antimicrobial use (AU) and antimicrobial resistance (AMR) surveillance data for state and territory health departments, for the private sector and for the community more generally. These data provide the platform for better understanding of patterns of AU and AMR to inform strategies to improve prescribing, and to prevent and contain resistant organisms.</w:t>
      </w:r>
    </w:p>
    <w:p w14:paraId="4AE53869" w14:textId="48DB4483" w:rsidR="00552D01" w:rsidRDefault="00552D01" w:rsidP="00552D01">
      <w:pPr>
        <w:pStyle w:val="BodyText"/>
      </w:pPr>
      <w:r>
        <w:t xml:space="preserve">One of the newly established components of AURA, the operation of the national alert system for critical antimicrobial resistances (CARs), CARAlert has provided state and territory health departments with almost real-time access to surveillance data on CARs. The system offers </w:t>
      </w:r>
      <w:r w:rsidRPr="00552D01">
        <w:t xml:space="preserve">significant opportunities for timely planning for response to potential outbreaks, where this action is required. The state and territory contact points also have direct access to CARAlert records for their state or territory, and details of public hospitals in their jurisdictions where the isolate in which a CAR was confirmed was collected. In the first year of operation 1,064 results from 73 originating laboratories across Australia were </w:t>
      </w:r>
      <w:r w:rsidR="00AD48C3">
        <w:br/>
      </w:r>
      <w:r w:rsidR="006C23A0">
        <w:t>en</w:t>
      </w:r>
      <w:r w:rsidRPr="00552D01">
        <w:t>tered into the database</w:t>
      </w:r>
      <w:r w:rsidR="006C23A0">
        <w:t>.</w:t>
      </w:r>
    </w:p>
    <w:p w14:paraId="56B1EA9C" w14:textId="77777777" w:rsidR="00E6472D" w:rsidRPr="00E6472D" w:rsidRDefault="00E6472D" w:rsidP="00552D01">
      <w:pPr>
        <w:pStyle w:val="BodyText"/>
      </w:pPr>
      <w:r w:rsidRPr="00E6472D">
        <w:t>This information allows states and territories to monitor the geographic distribution of CARs, to distribute the information to clinicians and health service managers and to liaise with hospitals to confirm an infection control response has been initiated. State and territory health authorities can also generate local and national reports from the system. Departments will be consulted shortly on local use of the system and further support that the AURA Coordination Unit could</w:t>
      </w:r>
      <w:r w:rsidRPr="00E6472D">
        <w:rPr>
          <w:rFonts w:cs="Arial"/>
        </w:rPr>
        <w:t> </w:t>
      </w:r>
      <w:r w:rsidRPr="00E6472D">
        <w:t>provide.</w:t>
      </w:r>
    </w:p>
    <w:p w14:paraId="0282540B" w14:textId="77777777" w:rsidR="00E6472D" w:rsidRPr="00E6472D" w:rsidRDefault="00E6472D" w:rsidP="00552D01">
      <w:pPr>
        <w:pStyle w:val="BodyText"/>
      </w:pPr>
      <w:r w:rsidRPr="00E6472D">
        <w:lastRenderedPageBreak/>
        <w:t>Work continues to focus on increasing the volume and representativeness of data for each of the components of the surveillance system, with increasing numbers of public and private hospitals participating in programs which provide valuable data on AMR and AU and the appropriateness of AU. The Commission will look in more detail at factors that drive variation in antimicrobial prescribing and use.</w:t>
      </w:r>
    </w:p>
    <w:p w14:paraId="5CDED6A7" w14:textId="77777777" w:rsidR="00E6472D" w:rsidRDefault="00E6472D" w:rsidP="00552D01">
      <w:pPr>
        <w:pStyle w:val="Heading3"/>
      </w:pPr>
      <w:r w:rsidRPr="00E6472D">
        <w:t>Strategic Priority 2: Partnering with patients, consumers and communities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E5F55" w:themeFill="accent3"/>
        <w:tblLook w:val="04A0" w:firstRow="1" w:lastRow="0" w:firstColumn="1" w:lastColumn="0" w:noHBand="0" w:noVBand="1"/>
        <w:tblCaption w:val="Heading row"/>
      </w:tblPr>
      <w:tblGrid>
        <w:gridCol w:w="3959"/>
      </w:tblGrid>
      <w:tr w:rsidR="00552D01" w14:paraId="319238D5" w14:textId="77777777" w:rsidTr="00552D01">
        <w:tc>
          <w:tcPr>
            <w:tcW w:w="3959" w:type="dxa"/>
            <w:shd w:val="clear" w:color="auto" w:fill="1E5F55" w:themeFill="accent3"/>
          </w:tcPr>
          <w:p w14:paraId="6BDDA866" w14:textId="77777777" w:rsidR="00552D01" w:rsidRDefault="00552D01" w:rsidP="00552D01">
            <w:pPr>
              <w:pStyle w:val="Heading3-white"/>
            </w:pPr>
            <w:r w:rsidRPr="003F393F">
              <w:t>Qualitative performance criteria</w:t>
            </w:r>
          </w:p>
        </w:tc>
      </w:tr>
    </w:tbl>
    <w:p w14:paraId="519B0CE2" w14:textId="77777777" w:rsidR="00552D01" w:rsidRPr="00E6472D" w:rsidRDefault="00552D01" w:rsidP="00552D01">
      <w:pPr>
        <w:pStyle w:val="BodyText-spacebefore"/>
      </w:pPr>
      <w:r w:rsidRPr="00552D01">
        <w:t>Provide safety and quality information to the general public.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DCD9"/>
        <w:tblLook w:val="04A0" w:firstRow="1" w:lastRow="0" w:firstColumn="1" w:lastColumn="0" w:noHBand="0" w:noVBand="1"/>
        <w:tblCaption w:val="Heading row"/>
      </w:tblPr>
      <w:tblGrid>
        <w:gridCol w:w="3959"/>
      </w:tblGrid>
      <w:tr w:rsidR="00552D01" w14:paraId="6A02A9AD" w14:textId="77777777" w:rsidTr="00552D01">
        <w:tc>
          <w:tcPr>
            <w:tcW w:w="3959" w:type="dxa"/>
            <w:shd w:val="clear" w:color="auto" w:fill="CEDCD9"/>
          </w:tcPr>
          <w:p w14:paraId="444A1B35" w14:textId="77777777" w:rsidR="00552D01" w:rsidRDefault="00552D01" w:rsidP="00552D01">
            <w:pPr>
              <w:pStyle w:val="Heading3-white"/>
            </w:pPr>
            <w:r w:rsidRPr="003F393F">
              <w:rPr>
                <w:color w:val="1E5F55" w:themeColor="accent3"/>
              </w:rPr>
              <w:t>Criteria source</w:t>
            </w:r>
          </w:p>
        </w:tc>
      </w:tr>
    </w:tbl>
    <w:p w14:paraId="0334417F" w14:textId="77777777" w:rsidR="00552D01" w:rsidRDefault="00552D01" w:rsidP="00552D01">
      <w:pPr>
        <w:pStyle w:val="BodyText-spacebefore"/>
      </w:pPr>
      <w:r w:rsidRPr="00552D01">
        <w:t xml:space="preserve">Program 1.1, </w:t>
      </w:r>
      <w:r w:rsidRPr="00552D01">
        <w:rPr>
          <w:rStyle w:val="Emphasis"/>
          <w:u w:val="single"/>
        </w:rPr>
        <w:t>2016–17 Health Portfolio Budget Statements</w:t>
      </w:r>
      <w:r w:rsidRPr="00552D01">
        <w:t>, p.188.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DCD9"/>
        <w:tblLook w:val="04A0" w:firstRow="1" w:lastRow="0" w:firstColumn="1" w:lastColumn="0" w:noHBand="0" w:noVBand="1"/>
        <w:tblCaption w:val="Heading row"/>
      </w:tblPr>
      <w:tblGrid>
        <w:gridCol w:w="3959"/>
      </w:tblGrid>
      <w:tr w:rsidR="00552D01" w14:paraId="4066283F" w14:textId="77777777" w:rsidTr="00552D01">
        <w:tc>
          <w:tcPr>
            <w:tcW w:w="3959" w:type="dxa"/>
            <w:shd w:val="clear" w:color="auto" w:fill="CEDCD9"/>
          </w:tcPr>
          <w:p w14:paraId="06C14AFB" w14:textId="77777777" w:rsidR="00552D01" w:rsidRPr="00552D01" w:rsidRDefault="00552D01" w:rsidP="00552D01">
            <w:pPr>
              <w:pStyle w:val="Heading3-white"/>
              <w:rPr>
                <w:color w:val="1E5F55" w:themeColor="accent3"/>
              </w:rPr>
            </w:pPr>
            <w:r w:rsidRPr="00552D01">
              <w:rPr>
                <w:color w:val="1E5F55" w:themeColor="accent3"/>
              </w:rPr>
              <w:t>2016–17 performance target</w:t>
            </w:r>
          </w:p>
        </w:tc>
      </w:tr>
    </w:tbl>
    <w:p w14:paraId="2A22D80A" w14:textId="77777777" w:rsidR="00552D01" w:rsidRDefault="00552D01" w:rsidP="00552D01">
      <w:pPr>
        <w:pStyle w:val="BodyText-spacebefore"/>
      </w:pPr>
      <w:r>
        <w:t xml:space="preserve">Reporting in the Annual Report on the state of safety and quality in health care, and in the report for the general public, </w:t>
      </w:r>
      <w:r w:rsidRPr="006C23A0">
        <w:rPr>
          <w:i/>
        </w:rPr>
        <w:t>Vital Signs 2016</w:t>
      </w:r>
      <w:r>
        <w:t>.</w:t>
      </w:r>
    </w:p>
    <w:p w14:paraId="15C6B60D" w14:textId="77777777" w:rsidR="00552D01" w:rsidRDefault="00552D01" w:rsidP="00552D01">
      <w:pPr>
        <w:pStyle w:val="BodyText-spacebefore"/>
      </w:pPr>
      <w:r>
        <w:t>Reporting to the general public through regular ACSQHC newsletters and website publications.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DCD9"/>
        <w:tblLook w:val="04A0" w:firstRow="1" w:lastRow="0" w:firstColumn="1" w:lastColumn="0" w:noHBand="0" w:noVBand="1"/>
        <w:tblCaption w:val="Heading row"/>
      </w:tblPr>
      <w:tblGrid>
        <w:gridCol w:w="3959"/>
      </w:tblGrid>
      <w:tr w:rsidR="00552D01" w14:paraId="3530F5E5" w14:textId="77777777" w:rsidTr="00552D01">
        <w:tc>
          <w:tcPr>
            <w:tcW w:w="3959" w:type="dxa"/>
            <w:shd w:val="clear" w:color="auto" w:fill="CEDCD9"/>
          </w:tcPr>
          <w:p w14:paraId="0342CFF7" w14:textId="353C06D7" w:rsidR="00552D01" w:rsidRDefault="00552D01" w:rsidP="006C23A0">
            <w:pPr>
              <w:pStyle w:val="Heading3-white"/>
            </w:pPr>
            <w:r w:rsidRPr="000E2719">
              <w:rPr>
                <w:color w:val="1E5F55" w:themeColor="accent3"/>
              </w:rPr>
              <w:t>Result against performance </w:t>
            </w:r>
            <w:r w:rsidR="006C23A0">
              <w:rPr>
                <w:color w:val="1E5F55" w:themeColor="accent3"/>
              </w:rPr>
              <w:t>target</w:t>
            </w:r>
          </w:p>
        </w:tc>
      </w:tr>
    </w:tbl>
    <w:p w14:paraId="325630C1" w14:textId="77777777" w:rsidR="00552D01" w:rsidRDefault="00552D01" w:rsidP="00552D01">
      <w:pPr>
        <w:pStyle w:val="BodyText-spacebefore"/>
      </w:pPr>
      <w:r w:rsidRPr="00C505AD">
        <w:rPr>
          <w:rStyle w:val="Emphasis"/>
        </w:rPr>
        <w:t>Vital Signs 2016</w:t>
      </w:r>
      <w:r w:rsidRPr="00E6472D">
        <w:t xml:space="preserve"> was published in October 2016. This Annual Report reports on safety and quality in health </w:t>
      </w:r>
      <w:r w:rsidRPr="00552D01">
        <w:t>care</w:t>
      </w:r>
      <w:r w:rsidRPr="00E6472D">
        <w:t xml:space="preserve"> at Chapter 2, Reporting on</w:t>
      </w:r>
      <w:r w:rsidRPr="00E6472D">
        <w:rPr>
          <w:rFonts w:cs="Arial"/>
        </w:rPr>
        <w:t> </w:t>
      </w:r>
      <w:r w:rsidRPr="00E6472D">
        <w:t>Performance.</w:t>
      </w:r>
    </w:p>
    <w:p w14:paraId="2F992F6F" w14:textId="77777777" w:rsidR="00E6472D" w:rsidRPr="00C36315" w:rsidRDefault="00E6472D" w:rsidP="00552D01">
      <w:pPr>
        <w:pStyle w:val="BodyText"/>
      </w:pPr>
      <w:r w:rsidRPr="00E6472D">
        <w:t>The Commission regularly provides publications</w:t>
      </w:r>
      <w:r w:rsidRPr="00E6472D">
        <w:rPr>
          <w:rFonts w:cs="Arial"/>
        </w:rPr>
        <w:t> </w:t>
      </w:r>
      <w:r w:rsidRPr="00E6472D">
        <w:t xml:space="preserve">and updates via its website </w:t>
      </w:r>
      <w:r w:rsidRPr="00E6472D">
        <w:br/>
      </w:r>
      <w:r w:rsidRPr="00552D01">
        <w:rPr>
          <w:rStyle w:val="Strong"/>
        </w:rPr>
        <w:t>www.safetyandquality.gov.au/</w:t>
      </w:r>
      <w:r w:rsidRPr="00E6472D">
        <w:t xml:space="preserve"> and via social media, such as twitter </w:t>
      </w:r>
      <w:r w:rsidRPr="00552D01">
        <w:rPr>
          <w:rStyle w:val="Strong"/>
        </w:rPr>
        <w:t>(@ACSQHC</w:t>
      </w:r>
      <w:r w:rsidRPr="00E6472D">
        <w:t>).</w:t>
      </w:r>
      <w:r w:rsidRPr="00C36315">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E5F55" w:themeFill="accent3"/>
        <w:tblLook w:val="04A0" w:firstRow="1" w:lastRow="0" w:firstColumn="1" w:lastColumn="0" w:noHBand="0" w:noVBand="1"/>
        <w:tblCaption w:val="Heading row"/>
      </w:tblPr>
      <w:tblGrid>
        <w:gridCol w:w="3959"/>
      </w:tblGrid>
      <w:tr w:rsidR="00552D01" w14:paraId="5D1310F6" w14:textId="77777777" w:rsidTr="00552D01">
        <w:tc>
          <w:tcPr>
            <w:tcW w:w="3959" w:type="dxa"/>
            <w:shd w:val="clear" w:color="auto" w:fill="1E5F55" w:themeFill="accent3"/>
          </w:tcPr>
          <w:p w14:paraId="22BD8E91" w14:textId="77777777" w:rsidR="00552D01" w:rsidRDefault="00552D01" w:rsidP="00552D01">
            <w:pPr>
              <w:pStyle w:val="Heading3-white"/>
            </w:pPr>
            <w:r w:rsidRPr="000E2719">
              <w:lastRenderedPageBreak/>
              <w:t>Key performance indicator</w:t>
            </w:r>
          </w:p>
        </w:tc>
      </w:tr>
    </w:tbl>
    <w:p w14:paraId="3F7EA7BA" w14:textId="77777777" w:rsidR="00552D01" w:rsidRPr="00C36315" w:rsidRDefault="00552D01" w:rsidP="00C36315">
      <w:pPr>
        <w:pStyle w:val="BodyText-spacebefore"/>
      </w:pPr>
      <w:r w:rsidRPr="00C36315">
        <w:t>Develop draft national statement, policy or framework on essential elements for a person centred healthcare system.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DCD9"/>
        <w:tblLook w:val="04A0" w:firstRow="1" w:lastRow="0" w:firstColumn="1" w:lastColumn="0" w:noHBand="0" w:noVBand="1"/>
        <w:tblCaption w:val="Heading row"/>
      </w:tblPr>
      <w:tblGrid>
        <w:gridCol w:w="3959"/>
      </w:tblGrid>
      <w:tr w:rsidR="00552D01" w14:paraId="76E95B08" w14:textId="77777777" w:rsidTr="00552D01">
        <w:tc>
          <w:tcPr>
            <w:tcW w:w="3959" w:type="dxa"/>
            <w:shd w:val="clear" w:color="auto" w:fill="CEDCD9"/>
          </w:tcPr>
          <w:p w14:paraId="78F555CC" w14:textId="77777777" w:rsidR="00552D01" w:rsidRDefault="00552D01" w:rsidP="00552D01">
            <w:pPr>
              <w:pStyle w:val="Heading3-white"/>
            </w:pPr>
            <w:r>
              <w:rPr>
                <w:color w:val="1E5F55" w:themeColor="accent3"/>
              </w:rPr>
              <w:t>Source</w:t>
            </w:r>
          </w:p>
        </w:tc>
      </w:tr>
    </w:tbl>
    <w:p w14:paraId="71563FB5" w14:textId="77777777" w:rsidR="00552D01" w:rsidRDefault="00552D01" w:rsidP="00552D01">
      <w:pPr>
        <w:pStyle w:val="BodyText-spacebefore"/>
      </w:pPr>
      <w:r w:rsidRPr="000E2719">
        <w:rPr>
          <w:rStyle w:val="Emphasis"/>
          <w:u w:val="single"/>
        </w:rPr>
        <w:t>Corporate Plan 2016–17</w:t>
      </w:r>
      <w:r w:rsidRPr="000E2719">
        <w:t>, p. 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DCD9"/>
        <w:tblLook w:val="04A0" w:firstRow="1" w:lastRow="0" w:firstColumn="1" w:lastColumn="0" w:noHBand="0" w:noVBand="1"/>
        <w:tblCaption w:val="Heading row"/>
      </w:tblPr>
      <w:tblGrid>
        <w:gridCol w:w="3959"/>
      </w:tblGrid>
      <w:tr w:rsidR="00552D01" w14:paraId="1776C44E" w14:textId="77777777" w:rsidTr="00552D01">
        <w:tc>
          <w:tcPr>
            <w:tcW w:w="3959" w:type="dxa"/>
            <w:shd w:val="clear" w:color="auto" w:fill="CEDCD9"/>
          </w:tcPr>
          <w:p w14:paraId="14D7020F" w14:textId="77777777" w:rsidR="00552D01" w:rsidRDefault="00552D01" w:rsidP="00552D01">
            <w:pPr>
              <w:pStyle w:val="Heading3-white"/>
            </w:pPr>
            <w:r w:rsidRPr="000E2719">
              <w:rPr>
                <w:color w:val="1E5F55" w:themeColor="accent3"/>
              </w:rPr>
              <w:t>Result against the key performance indicator</w:t>
            </w:r>
          </w:p>
        </w:tc>
      </w:tr>
    </w:tbl>
    <w:p w14:paraId="4255A96C" w14:textId="77777777" w:rsidR="00E6472D" w:rsidRPr="00C36315" w:rsidRDefault="00552D01" w:rsidP="00552D01">
      <w:pPr>
        <w:pStyle w:val="BodyText-spacebefore"/>
      </w:pPr>
      <w:r w:rsidRPr="00552D01">
        <w:t>Two reviews have been completed: an expert commentary on person-centred care and a review of person-centred care in the context of complex adaptive systems. Scoping has been undertaken and a draft report prepared identify-</w:t>
      </w:r>
      <w:proofErr w:type="spellStart"/>
      <w:r w:rsidRPr="00552D01">
        <w:t>ing</w:t>
      </w:r>
      <w:proofErr w:type="spellEnd"/>
      <w:r w:rsidRPr="00552D01">
        <w:t xml:space="preserve"> attributes of high-performing person-centred healthcare organisations. Interviews with high-performing person-centred Australian and international healthcare organisations have been conducted. This material will form the basis of a national approach to a person-centred healthcare system, and provide advice to health services about becoming high-performing person-centred services.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E5F55" w:themeFill="accent3"/>
        <w:tblLook w:val="04A0" w:firstRow="1" w:lastRow="0" w:firstColumn="1" w:lastColumn="0" w:noHBand="0" w:noVBand="1"/>
        <w:tblCaption w:val="Heading row"/>
      </w:tblPr>
      <w:tblGrid>
        <w:gridCol w:w="3959"/>
      </w:tblGrid>
      <w:tr w:rsidR="00552D01" w14:paraId="2AF0837E" w14:textId="77777777" w:rsidTr="00552D01">
        <w:tc>
          <w:tcPr>
            <w:tcW w:w="3959" w:type="dxa"/>
            <w:shd w:val="clear" w:color="auto" w:fill="1E5F55" w:themeFill="accent3"/>
          </w:tcPr>
          <w:p w14:paraId="6B5159D7" w14:textId="77777777" w:rsidR="00552D01" w:rsidRDefault="00552D01" w:rsidP="00552D01">
            <w:pPr>
              <w:pStyle w:val="Heading3-white"/>
            </w:pPr>
            <w:r w:rsidRPr="000E2719">
              <w:t>Key performance indicator</w:t>
            </w:r>
          </w:p>
        </w:tc>
      </w:tr>
    </w:tbl>
    <w:p w14:paraId="67F15250" w14:textId="77777777" w:rsidR="00552D01" w:rsidRPr="00C36315" w:rsidRDefault="00552D01" w:rsidP="00C36315">
      <w:pPr>
        <w:pStyle w:val="BodyText-spacebefore"/>
      </w:pPr>
      <w:r w:rsidRPr="00C36315">
        <w:t>Review of national and international literature and undertake environmental scan on patient safety models.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DCD9"/>
        <w:tblLook w:val="04A0" w:firstRow="1" w:lastRow="0" w:firstColumn="1" w:lastColumn="0" w:noHBand="0" w:noVBand="1"/>
        <w:tblCaption w:val="Heading row"/>
      </w:tblPr>
      <w:tblGrid>
        <w:gridCol w:w="3959"/>
      </w:tblGrid>
      <w:tr w:rsidR="00552D01" w14:paraId="1755AB95" w14:textId="77777777" w:rsidTr="00552D01">
        <w:tc>
          <w:tcPr>
            <w:tcW w:w="3959" w:type="dxa"/>
            <w:shd w:val="clear" w:color="auto" w:fill="CEDCD9"/>
          </w:tcPr>
          <w:p w14:paraId="2FEFA33A" w14:textId="77777777" w:rsidR="00552D01" w:rsidRDefault="00552D01" w:rsidP="00552D01">
            <w:pPr>
              <w:pStyle w:val="Heading3-white"/>
            </w:pPr>
            <w:r>
              <w:rPr>
                <w:color w:val="1E5F55" w:themeColor="accent3"/>
              </w:rPr>
              <w:t>Source</w:t>
            </w:r>
          </w:p>
        </w:tc>
      </w:tr>
    </w:tbl>
    <w:p w14:paraId="4CA43FDB" w14:textId="77777777" w:rsidR="00552D01" w:rsidRDefault="00552D01" w:rsidP="00552D01">
      <w:pPr>
        <w:pStyle w:val="BodyText-spacebefore"/>
      </w:pPr>
      <w:r w:rsidRPr="000E2719">
        <w:rPr>
          <w:rStyle w:val="Emphasis"/>
          <w:u w:val="single"/>
        </w:rPr>
        <w:t>Corporate Plan 2016–17</w:t>
      </w:r>
      <w:r w:rsidRPr="000E2719">
        <w:t>, p. 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DCD9"/>
        <w:tblLook w:val="04A0" w:firstRow="1" w:lastRow="0" w:firstColumn="1" w:lastColumn="0" w:noHBand="0" w:noVBand="1"/>
        <w:tblCaption w:val="Heading row"/>
      </w:tblPr>
      <w:tblGrid>
        <w:gridCol w:w="3959"/>
      </w:tblGrid>
      <w:tr w:rsidR="00552D01" w14:paraId="328DB0BA" w14:textId="77777777" w:rsidTr="00552D01">
        <w:tc>
          <w:tcPr>
            <w:tcW w:w="3959" w:type="dxa"/>
            <w:shd w:val="clear" w:color="auto" w:fill="CEDCD9"/>
          </w:tcPr>
          <w:p w14:paraId="54328E66" w14:textId="77777777" w:rsidR="00552D01" w:rsidRDefault="00552D01" w:rsidP="00552D01">
            <w:pPr>
              <w:pStyle w:val="Heading3-white"/>
            </w:pPr>
            <w:r w:rsidRPr="000E2719">
              <w:rPr>
                <w:color w:val="1E5F55" w:themeColor="accent3"/>
              </w:rPr>
              <w:t>Result against the key performance indicator</w:t>
            </w:r>
          </w:p>
        </w:tc>
      </w:tr>
    </w:tbl>
    <w:p w14:paraId="00C1A8F7" w14:textId="77777777" w:rsidR="00E6472D" w:rsidRPr="00C505AD" w:rsidRDefault="00E6472D" w:rsidP="00552D01">
      <w:pPr>
        <w:pStyle w:val="BodyText-spacebefore"/>
        <w:ind w:right="-142"/>
      </w:pPr>
      <w:r w:rsidRPr="00E6472D">
        <w:t xml:space="preserve">In March 2017, the Commission completed a desktop review of national and international </w:t>
      </w:r>
      <w:r w:rsidRPr="00C505AD">
        <w:t xml:space="preserve">literature on patient safety models and an initial environment scan of international contemporary practice. This work will inform the development of a patient safety learning model in 2017–18, supported by further consultation to determine current state and territory practices, stakeholder perspectives on key elements and areas for future development. </w:t>
      </w:r>
    </w:p>
    <w:p w14:paraId="207BB398" w14:textId="77777777" w:rsidR="00E6472D" w:rsidRDefault="00E6472D" w:rsidP="00552D01">
      <w:pPr>
        <w:pStyle w:val="Heading3"/>
      </w:pPr>
      <w:r w:rsidRPr="00E6472D">
        <w:lastRenderedPageBreak/>
        <w:t>Strategic Priority 3: Quality, cost and</w:t>
      </w:r>
      <w:r w:rsidR="0044323F">
        <w:t> </w:t>
      </w:r>
      <w:r w:rsidRPr="00E6472D">
        <w:t xml:space="preserve">value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E5F55" w:themeFill="accent3"/>
        <w:tblLook w:val="04A0" w:firstRow="1" w:lastRow="0" w:firstColumn="1" w:lastColumn="0" w:noHBand="0" w:noVBand="1"/>
        <w:tblCaption w:val="Heading row"/>
      </w:tblPr>
      <w:tblGrid>
        <w:gridCol w:w="3959"/>
      </w:tblGrid>
      <w:tr w:rsidR="00552D01" w14:paraId="2010BCF0" w14:textId="77777777" w:rsidTr="00552D01">
        <w:tc>
          <w:tcPr>
            <w:tcW w:w="3959" w:type="dxa"/>
            <w:shd w:val="clear" w:color="auto" w:fill="1E5F55" w:themeFill="accent3"/>
          </w:tcPr>
          <w:p w14:paraId="44A599F9" w14:textId="77777777" w:rsidR="00552D01" w:rsidRDefault="00552D01" w:rsidP="00552D01">
            <w:pPr>
              <w:pStyle w:val="Heading3-white"/>
            </w:pPr>
            <w:r w:rsidRPr="003F393F">
              <w:t>Qualitative performance criteria</w:t>
            </w:r>
          </w:p>
        </w:tc>
      </w:tr>
    </w:tbl>
    <w:p w14:paraId="3D2D0C51" w14:textId="77777777" w:rsidR="00552D01" w:rsidRPr="00E6472D" w:rsidRDefault="00552D01" w:rsidP="00552D01">
      <w:pPr>
        <w:pStyle w:val="BodyText-spacebefore"/>
      </w:pPr>
      <w:r w:rsidRPr="00C36315">
        <w:t xml:space="preserve">Production of a Second </w:t>
      </w:r>
      <w:r w:rsidRPr="00BA1347">
        <w:rPr>
          <w:rStyle w:val="Emphasis"/>
        </w:rPr>
        <w:t>Australian Atlas of Healthcare Variation</w:t>
      </w:r>
      <w:r w:rsidRPr="00C36315">
        <w:t xml:space="preserve"> covering topic areas agreed by Commonwealth, States and Territories.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DCD9"/>
        <w:tblLook w:val="04A0" w:firstRow="1" w:lastRow="0" w:firstColumn="1" w:lastColumn="0" w:noHBand="0" w:noVBand="1"/>
        <w:tblCaption w:val="Heading row"/>
      </w:tblPr>
      <w:tblGrid>
        <w:gridCol w:w="3959"/>
      </w:tblGrid>
      <w:tr w:rsidR="00552D01" w14:paraId="689144C0" w14:textId="77777777" w:rsidTr="00552D01">
        <w:tc>
          <w:tcPr>
            <w:tcW w:w="3959" w:type="dxa"/>
            <w:shd w:val="clear" w:color="auto" w:fill="CEDCD9"/>
          </w:tcPr>
          <w:p w14:paraId="043E640F" w14:textId="77777777" w:rsidR="00552D01" w:rsidRDefault="00552D01" w:rsidP="00552D01">
            <w:pPr>
              <w:pStyle w:val="Heading3-white"/>
            </w:pPr>
            <w:r w:rsidRPr="003F393F">
              <w:rPr>
                <w:color w:val="1E5F55" w:themeColor="accent3"/>
              </w:rPr>
              <w:t>Criteria source</w:t>
            </w:r>
          </w:p>
        </w:tc>
      </w:tr>
    </w:tbl>
    <w:p w14:paraId="28076786" w14:textId="77777777" w:rsidR="00552D01" w:rsidRPr="00552D01" w:rsidRDefault="00552D01" w:rsidP="00552D01">
      <w:pPr>
        <w:pStyle w:val="BodyText-spacebefore"/>
        <w:ind w:right="-142"/>
      </w:pPr>
      <w:r w:rsidRPr="00552D01">
        <w:t xml:space="preserve">Program 1.1, </w:t>
      </w:r>
      <w:r w:rsidRPr="00552D01">
        <w:rPr>
          <w:rStyle w:val="Emphasis"/>
          <w:u w:val="single"/>
        </w:rPr>
        <w:t>2016–17 Health Portfolio Budget Statements</w:t>
      </w:r>
      <w:r w:rsidRPr="00552D01">
        <w:t xml:space="preserve">, p.189; </w:t>
      </w:r>
      <w:r w:rsidRPr="00552D01">
        <w:rPr>
          <w:rStyle w:val="Emphasis"/>
          <w:u w:val="single"/>
        </w:rPr>
        <w:t>Corporate Plan 2016–17</w:t>
      </w:r>
      <w:r w:rsidRPr="00552D01">
        <w:t>, p. 17.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DCD9"/>
        <w:tblLook w:val="04A0" w:firstRow="1" w:lastRow="0" w:firstColumn="1" w:lastColumn="0" w:noHBand="0" w:noVBand="1"/>
        <w:tblCaption w:val="Heading row"/>
      </w:tblPr>
      <w:tblGrid>
        <w:gridCol w:w="3959"/>
      </w:tblGrid>
      <w:tr w:rsidR="00552D01" w14:paraId="121EB05A" w14:textId="77777777" w:rsidTr="00552D01">
        <w:tc>
          <w:tcPr>
            <w:tcW w:w="3959" w:type="dxa"/>
            <w:shd w:val="clear" w:color="auto" w:fill="CEDCD9"/>
          </w:tcPr>
          <w:p w14:paraId="3F1B3721" w14:textId="422932A3" w:rsidR="00552D01" w:rsidRPr="00552D01" w:rsidRDefault="00552D01" w:rsidP="006C23A0">
            <w:pPr>
              <w:pStyle w:val="Heading3-white"/>
              <w:rPr>
                <w:color w:val="1E5F55" w:themeColor="accent3"/>
              </w:rPr>
            </w:pPr>
            <w:r w:rsidRPr="00552D01">
              <w:rPr>
                <w:color w:val="1E5F55" w:themeColor="accent3"/>
              </w:rPr>
              <w:t xml:space="preserve">2016–17 </w:t>
            </w:r>
            <w:r w:rsidR="006C23A0">
              <w:rPr>
                <w:color w:val="1E5F55" w:themeColor="accent3"/>
              </w:rPr>
              <w:t>Reference point or target</w:t>
            </w:r>
          </w:p>
        </w:tc>
      </w:tr>
    </w:tbl>
    <w:p w14:paraId="3E602B7C" w14:textId="77777777" w:rsidR="003463E2" w:rsidRPr="003463E2" w:rsidRDefault="003463E2" w:rsidP="003463E2">
      <w:pPr>
        <w:pStyle w:val="BodyText-spacebefore"/>
      </w:pPr>
      <w:r w:rsidRPr="003463E2">
        <w:rPr>
          <w:rStyle w:val="Emphasis"/>
          <w:u w:val="single"/>
        </w:rPr>
        <w:t>2016–17 Health Portfolio Budget Statements</w:t>
      </w:r>
      <w:r w:rsidRPr="003463E2">
        <w:t>: Produce and disseminate new and updated maps of healthcare variations in Australia for a set of topic areas agreed by the Commonwealth, States and Territories by 30 June 2017.</w:t>
      </w:r>
    </w:p>
    <w:p w14:paraId="0A711622" w14:textId="77777777" w:rsidR="00552D01" w:rsidRPr="003463E2" w:rsidRDefault="003463E2" w:rsidP="003463E2">
      <w:pPr>
        <w:pStyle w:val="BodyText"/>
      </w:pPr>
      <w:r w:rsidRPr="003463E2">
        <w:rPr>
          <w:rStyle w:val="Emphasis"/>
          <w:u w:val="single"/>
        </w:rPr>
        <w:t>Corporate Plan 2016–17</w:t>
      </w:r>
      <w:r w:rsidRPr="003463E2">
        <w:t xml:space="preserve">: Publish second </w:t>
      </w:r>
      <w:r w:rsidRPr="00BA1347">
        <w:rPr>
          <w:rStyle w:val="Emphasis"/>
        </w:rPr>
        <w:t>Australian Atlas of healthcare variation</w:t>
      </w:r>
      <w:r w:rsidRPr="003463E2">
        <w:t xml:space="preserve"> and develop an interactive web-based national Atlas of Healthcare Variation.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DCD9"/>
        <w:tblLook w:val="04A0" w:firstRow="1" w:lastRow="0" w:firstColumn="1" w:lastColumn="0" w:noHBand="0" w:noVBand="1"/>
        <w:tblCaption w:val="Heading row"/>
      </w:tblPr>
      <w:tblGrid>
        <w:gridCol w:w="3959"/>
      </w:tblGrid>
      <w:tr w:rsidR="003463E2" w14:paraId="2D778B14" w14:textId="77777777" w:rsidTr="00B36313">
        <w:tc>
          <w:tcPr>
            <w:tcW w:w="3959" w:type="dxa"/>
            <w:shd w:val="clear" w:color="auto" w:fill="CEDCD9"/>
          </w:tcPr>
          <w:p w14:paraId="2F6AC0EA" w14:textId="77777777" w:rsidR="003463E2" w:rsidRDefault="003463E2" w:rsidP="00B36313">
            <w:pPr>
              <w:pStyle w:val="Heading3-white"/>
            </w:pPr>
            <w:r w:rsidRPr="003463E2">
              <w:rPr>
                <w:color w:val="1E5F55" w:themeColor="accent3"/>
              </w:rPr>
              <w:t>Result against performance criteria and target</w:t>
            </w:r>
          </w:p>
        </w:tc>
      </w:tr>
    </w:tbl>
    <w:p w14:paraId="5E1F4F56" w14:textId="77777777" w:rsidR="00E6472D" w:rsidRDefault="00E6472D" w:rsidP="00E9324F">
      <w:pPr>
        <w:pStyle w:val="BodyText-spacebefore"/>
      </w:pPr>
      <w:r w:rsidRPr="00E6472D">
        <w:t xml:space="preserve">On 7 June 2017 the Commission successfully completed the launch of the </w:t>
      </w:r>
      <w:r w:rsidRPr="00C505AD">
        <w:rPr>
          <w:rStyle w:val="Emphasis"/>
        </w:rPr>
        <w:t>Second Australian Atlas of Healthcare Variation</w:t>
      </w:r>
      <w:r w:rsidRPr="00E6472D">
        <w:t xml:space="preserve">, in collaboration with the Australian Government, state and territory governments, specialist medical colleges, clinicians and consumer representatives. This was the second time that data from the Medicare Benefits Schedule, Pharmaceutical Benefits Scheme and Admitted Patient Care National Minimum Data Set were all used to explore variation across different healthcare settings. The launch of the </w:t>
      </w:r>
      <w:r w:rsidRPr="00C505AD">
        <w:rPr>
          <w:rStyle w:val="Emphasis"/>
        </w:rPr>
        <w:t>Second Australian Atlas of Healthcare Variation</w:t>
      </w:r>
      <w:r w:rsidRPr="00E6472D">
        <w:t xml:space="preserve"> was accompanied by an online interactive platform of maps, available at </w:t>
      </w:r>
      <w:r w:rsidRPr="00E9324F">
        <w:rPr>
          <w:rStyle w:val="Strong"/>
        </w:rPr>
        <w:t xml:space="preserve">www.acsqhc.maps.arcgis.com/apps/MapAndAppGallery/index.html?appid=fd3b04ebe3934733b7ecb8514166c08f </w:t>
      </w:r>
    </w:p>
    <w:p w14:paraId="7233849C" w14:textId="77777777" w:rsidR="00E6472D" w:rsidRDefault="00E6472D" w:rsidP="00C36315">
      <w:pPr>
        <w:pStyle w:val="Bodytextbeforebullets"/>
      </w:pPr>
      <w:r>
        <w:br w:type="page"/>
      </w:r>
    </w:p>
    <w:p w14:paraId="3D7343DE" w14:textId="77777777" w:rsidR="00E6472D" w:rsidRDefault="00E6472D" w:rsidP="00E9324F">
      <w:pPr>
        <w:pStyle w:val="BodyText"/>
      </w:pPr>
      <w:r w:rsidRPr="00E6472D">
        <w:lastRenderedPageBreak/>
        <w:t>The successful launch of the second Atlas produced 49 recommendations that suggest ways in which coordinated action can be taken at all levels of the healthcare system. These are expected to be implemented across the Australian healthcare system over the coming</w:t>
      </w:r>
      <w:r w:rsidRPr="00E6472D">
        <w:rPr>
          <w:rFonts w:cs="Arial"/>
        </w:rPr>
        <w:t> </w:t>
      </w:r>
      <w:r w:rsidRPr="00E6472D">
        <w:t>years.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E5F55" w:themeFill="accent3"/>
        <w:tblLook w:val="04A0" w:firstRow="1" w:lastRow="0" w:firstColumn="1" w:lastColumn="0" w:noHBand="0" w:noVBand="1"/>
        <w:tblCaption w:val="Heading row"/>
      </w:tblPr>
      <w:tblGrid>
        <w:gridCol w:w="3959"/>
      </w:tblGrid>
      <w:tr w:rsidR="00E9324F" w14:paraId="25BBAB92" w14:textId="77777777" w:rsidTr="00B36313">
        <w:tc>
          <w:tcPr>
            <w:tcW w:w="3959" w:type="dxa"/>
            <w:shd w:val="clear" w:color="auto" w:fill="1E5F55" w:themeFill="accent3"/>
          </w:tcPr>
          <w:p w14:paraId="09FF6468" w14:textId="77777777" w:rsidR="00E9324F" w:rsidRDefault="00E9324F" w:rsidP="00B36313">
            <w:pPr>
              <w:pStyle w:val="Heading3-white"/>
            </w:pPr>
            <w:r w:rsidRPr="003F393F">
              <w:t>Qualitative performance criteria</w:t>
            </w:r>
          </w:p>
        </w:tc>
      </w:tr>
    </w:tbl>
    <w:p w14:paraId="2BB1C5F3" w14:textId="77777777" w:rsidR="00E9324F" w:rsidRPr="00E6472D" w:rsidRDefault="00E9324F" w:rsidP="00C36315">
      <w:pPr>
        <w:pStyle w:val="BodyText-spacebefore"/>
      </w:pPr>
      <w:r w:rsidRPr="00E6472D">
        <w:t>Develop Clinical Care Standards for consultation, informed by outcomes from the work on health care variation.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DCD9"/>
        <w:tblLook w:val="04A0" w:firstRow="1" w:lastRow="0" w:firstColumn="1" w:lastColumn="0" w:noHBand="0" w:noVBand="1"/>
        <w:tblCaption w:val="Heading row"/>
      </w:tblPr>
      <w:tblGrid>
        <w:gridCol w:w="3959"/>
      </w:tblGrid>
      <w:tr w:rsidR="00E9324F" w14:paraId="5108B49E" w14:textId="77777777" w:rsidTr="00B36313">
        <w:tc>
          <w:tcPr>
            <w:tcW w:w="3959" w:type="dxa"/>
            <w:shd w:val="clear" w:color="auto" w:fill="CEDCD9"/>
          </w:tcPr>
          <w:p w14:paraId="5E03C0CF" w14:textId="77777777" w:rsidR="00E9324F" w:rsidRDefault="00E9324F" w:rsidP="00B36313">
            <w:pPr>
              <w:pStyle w:val="Heading3-white"/>
            </w:pPr>
            <w:r w:rsidRPr="003F393F">
              <w:rPr>
                <w:color w:val="1E5F55" w:themeColor="accent3"/>
              </w:rPr>
              <w:t>Criteria source</w:t>
            </w:r>
          </w:p>
        </w:tc>
      </w:tr>
    </w:tbl>
    <w:p w14:paraId="5605EF0F" w14:textId="77777777" w:rsidR="00E9324F" w:rsidRPr="00552D01" w:rsidRDefault="00E9324F" w:rsidP="00E9324F">
      <w:pPr>
        <w:pStyle w:val="BodyText-spacebefore"/>
        <w:ind w:right="-142"/>
      </w:pPr>
      <w:r w:rsidRPr="00552D01">
        <w:t xml:space="preserve">Program 1.1, </w:t>
      </w:r>
      <w:r w:rsidRPr="00552D01">
        <w:rPr>
          <w:rStyle w:val="Emphasis"/>
          <w:u w:val="single"/>
        </w:rPr>
        <w:t>2016–17 Health Portfolio Budget Statements</w:t>
      </w:r>
      <w:r w:rsidRPr="00552D01">
        <w:t xml:space="preserve">, p.189; </w:t>
      </w:r>
      <w:r w:rsidRPr="00552D01">
        <w:rPr>
          <w:rStyle w:val="Emphasis"/>
          <w:u w:val="single"/>
        </w:rPr>
        <w:t>Corporate Plan 2016–17</w:t>
      </w:r>
      <w:r w:rsidRPr="00552D01">
        <w:t>, p. 17.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DCD9"/>
        <w:tblLook w:val="04A0" w:firstRow="1" w:lastRow="0" w:firstColumn="1" w:lastColumn="0" w:noHBand="0" w:noVBand="1"/>
        <w:tblCaption w:val="Heading row"/>
      </w:tblPr>
      <w:tblGrid>
        <w:gridCol w:w="3959"/>
      </w:tblGrid>
      <w:tr w:rsidR="00E9324F" w14:paraId="6AB06131" w14:textId="77777777" w:rsidTr="00B36313">
        <w:tc>
          <w:tcPr>
            <w:tcW w:w="3959" w:type="dxa"/>
            <w:shd w:val="clear" w:color="auto" w:fill="CEDCD9"/>
          </w:tcPr>
          <w:p w14:paraId="3CB0EE3D" w14:textId="77777777" w:rsidR="00E9324F" w:rsidRDefault="00E9324F" w:rsidP="00B36313">
            <w:pPr>
              <w:pStyle w:val="Heading3-white"/>
            </w:pPr>
            <w:r w:rsidRPr="00E9324F">
              <w:rPr>
                <w:color w:val="1E5F55" w:themeColor="accent3"/>
              </w:rPr>
              <w:t>2016–17 Reference point or target</w:t>
            </w:r>
            <w:r w:rsidRPr="00E9324F">
              <w:rPr>
                <w:color w:val="1E5F55" w:themeColor="accent3"/>
              </w:rPr>
              <w:tab/>
            </w:r>
          </w:p>
        </w:tc>
      </w:tr>
    </w:tbl>
    <w:p w14:paraId="0B8D7623" w14:textId="77777777" w:rsidR="00E9324F" w:rsidRPr="00E9324F" w:rsidRDefault="00E9324F" w:rsidP="00E9324F">
      <w:pPr>
        <w:pStyle w:val="BodyText-spacebefore"/>
      </w:pPr>
      <w:r w:rsidRPr="00E9324F">
        <w:rPr>
          <w:rStyle w:val="Emphasis"/>
          <w:u w:val="single"/>
        </w:rPr>
        <w:t>2016–17 Health Portfolio Budget Statements</w:t>
      </w:r>
      <w:r w:rsidRPr="00E9324F">
        <w:t>: Clinical standards focusing on high-impact, high-burden and high-variation areas of clinical care are developed by 30 June 2017.</w:t>
      </w:r>
    </w:p>
    <w:p w14:paraId="4CF9CE51" w14:textId="77777777" w:rsidR="00E9324F" w:rsidRPr="00E9324F" w:rsidRDefault="00E9324F" w:rsidP="00E9324F">
      <w:pPr>
        <w:pStyle w:val="BodyText"/>
      </w:pPr>
      <w:r w:rsidRPr="00E9324F">
        <w:rPr>
          <w:rStyle w:val="Emphasis"/>
          <w:u w:val="single"/>
        </w:rPr>
        <w:t>Corporate Plan 2016–17</w:t>
      </w:r>
      <w:r w:rsidRPr="00E9324F">
        <w:t>: National release of the clinical care standards developed in 2015–16, including those on hip fracture care, delirium and osteoarthritis of the knee.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DCD9"/>
        <w:tblLook w:val="04A0" w:firstRow="1" w:lastRow="0" w:firstColumn="1" w:lastColumn="0" w:noHBand="0" w:noVBand="1"/>
        <w:tblCaption w:val="Heading row"/>
      </w:tblPr>
      <w:tblGrid>
        <w:gridCol w:w="3959"/>
      </w:tblGrid>
      <w:tr w:rsidR="00E9324F" w14:paraId="395BD915" w14:textId="77777777" w:rsidTr="00B36313">
        <w:tc>
          <w:tcPr>
            <w:tcW w:w="3959" w:type="dxa"/>
            <w:shd w:val="clear" w:color="auto" w:fill="CEDCD9"/>
          </w:tcPr>
          <w:p w14:paraId="266CDCB5" w14:textId="2AAAF4A8" w:rsidR="00E9324F" w:rsidRDefault="00E9324F" w:rsidP="006C23A0">
            <w:pPr>
              <w:pStyle w:val="Heading3-white"/>
            </w:pPr>
            <w:r w:rsidRPr="000E2719">
              <w:rPr>
                <w:color w:val="1E5F55" w:themeColor="accent3"/>
              </w:rPr>
              <w:t xml:space="preserve">Result against </w:t>
            </w:r>
            <w:r w:rsidR="006C23A0">
              <w:rPr>
                <w:color w:val="1E5F55" w:themeColor="accent3"/>
              </w:rPr>
              <w:t>performance criteria and target</w:t>
            </w:r>
          </w:p>
        </w:tc>
      </w:tr>
    </w:tbl>
    <w:p w14:paraId="13A3BF7E" w14:textId="77777777" w:rsidR="00E9324F" w:rsidRDefault="00E9324F" w:rsidP="00E9324F">
      <w:pPr>
        <w:pStyle w:val="BodyText-spacebefore"/>
      </w:pPr>
      <w:r>
        <w:t>In the Commission’s work plan 2016–17 it was decided that clinical care standards would be produced on delirium, hip fracture care and osteoarthritis of the knee by 30 June 2017.</w:t>
      </w:r>
    </w:p>
    <w:p w14:paraId="0BF5F57B" w14:textId="77777777" w:rsidR="00E6472D" w:rsidRPr="00C36315" w:rsidRDefault="00E9324F" w:rsidP="00C36315">
      <w:pPr>
        <w:pStyle w:val="BodyText"/>
      </w:pPr>
      <w:r>
        <w:t>By 30 June 2017, the Commission had launched clinical care standards on delirium, hip fracture care and osteoarthritis of the knee. The Commission has also commenced work on two clinical care standards, one on venous thromboembolism and another on heavy menstrual bleeding.</w:t>
      </w:r>
    </w:p>
    <w:p w14:paraId="75D725B4" w14:textId="77777777" w:rsidR="00E6472D" w:rsidRPr="00C505AD" w:rsidRDefault="00E9324F" w:rsidP="00E9324F">
      <w:pPr>
        <w:pStyle w:val="BodyText"/>
        <w:rPr>
          <w:rStyle w:val="Strong"/>
        </w:rPr>
      </w:pPr>
      <w:r>
        <w:br w:type="column"/>
      </w:r>
      <w:r w:rsidR="00E6472D" w:rsidRPr="00E6472D">
        <w:lastRenderedPageBreak/>
        <w:t>Hard-copy resources were made available to health services across Australia, professional colleges and organisations, and relevant consumer groups. They are also freely available</w:t>
      </w:r>
      <w:r w:rsidR="00E6472D" w:rsidRPr="00E6472D">
        <w:rPr>
          <w:rFonts w:cs="Arial"/>
        </w:rPr>
        <w:t> </w:t>
      </w:r>
      <w:r w:rsidR="00E6472D" w:rsidRPr="00E6472D">
        <w:t xml:space="preserve">on the Commission’s website at </w:t>
      </w:r>
      <w:r w:rsidR="00E6472D" w:rsidRPr="00E6472D">
        <w:br/>
      </w:r>
      <w:r w:rsidR="00E6472D" w:rsidRPr="00C505AD">
        <w:rPr>
          <w:rStyle w:val="Strong"/>
        </w:rPr>
        <w:t xml:space="preserve">www.safetyandquality.gov.au/acsqhc_program/clinical-care-standards/ </w:t>
      </w:r>
    </w:p>
    <w:p w14:paraId="59CE692B" w14:textId="77777777" w:rsidR="00E6472D" w:rsidRDefault="00E6472D" w:rsidP="00E9324F">
      <w:pPr>
        <w:pStyle w:val="Heading3"/>
      </w:pPr>
      <w:r w:rsidRPr="00E6472D">
        <w:t>Strategic Priority 4: Supporting health professionals to provide safe and high</w:t>
      </w:r>
      <w:r w:rsidRPr="00E6472D">
        <w:noBreakHyphen/>
        <w:t>quality care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E5F55" w:themeFill="accent3"/>
        <w:tblLook w:val="04A0" w:firstRow="1" w:lastRow="0" w:firstColumn="1" w:lastColumn="0" w:noHBand="0" w:noVBand="1"/>
        <w:tblCaption w:val="Heading row"/>
      </w:tblPr>
      <w:tblGrid>
        <w:gridCol w:w="3959"/>
      </w:tblGrid>
      <w:tr w:rsidR="00E9324F" w14:paraId="0DC69A4C" w14:textId="77777777" w:rsidTr="00B36313">
        <w:tc>
          <w:tcPr>
            <w:tcW w:w="3959" w:type="dxa"/>
            <w:shd w:val="clear" w:color="auto" w:fill="1E5F55" w:themeFill="accent3"/>
          </w:tcPr>
          <w:p w14:paraId="5EA57D59" w14:textId="77777777" w:rsidR="00E9324F" w:rsidRDefault="00E9324F" w:rsidP="00B36313">
            <w:pPr>
              <w:pStyle w:val="Heading3-white"/>
            </w:pPr>
            <w:r w:rsidRPr="003F393F">
              <w:t>Qualitative performance criteria</w:t>
            </w:r>
          </w:p>
        </w:tc>
      </w:tr>
    </w:tbl>
    <w:p w14:paraId="171A1CB8" w14:textId="77777777" w:rsidR="00E9324F" w:rsidRPr="00C36315" w:rsidRDefault="00E9324F" w:rsidP="00E9324F">
      <w:pPr>
        <w:pStyle w:val="BodyText-spacebefore"/>
      </w:pPr>
      <w:r w:rsidRPr="00C36315">
        <w:t>Provide safety and quality information and resources to health professionals.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DCD9"/>
        <w:tblLook w:val="04A0" w:firstRow="1" w:lastRow="0" w:firstColumn="1" w:lastColumn="0" w:noHBand="0" w:noVBand="1"/>
        <w:tblCaption w:val="Heading row"/>
      </w:tblPr>
      <w:tblGrid>
        <w:gridCol w:w="3959"/>
      </w:tblGrid>
      <w:tr w:rsidR="00E9324F" w14:paraId="43754C80" w14:textId="77777777" w:rsidTr="00B36313">
        <w:tc>
          <w:tcPr>
            <w:tcW w:w="3959" w:type="dxa"/>
            <w:shd w:val="clear" w:color="auto" w:fill="CEDCD9"/>
          </w:tcPr>
          <w:p w14:paraId="5FCC80C7" w14:textId="77777777" w:rsidR="00E9324F" w:rsidRDefault="00E9324F" w:rsidP="00B36313">
            <w:pPr>
              <w:pStyle w:val="Heading3-white"/>
            </w:pPr>
            <w:r w:rsidRPr="003F393F">
              <w:rPr>
                <w:color w:val="1E5F55" w:themeColor="accent3"/>
              </w:rPr>
              <w:t>Criteria source</w:t>
            </w:r>
          </w:p>
        </w:tc>
      </w:tr>
    </w:tbl>
    <w:p w14:paraId="0604AE29" w14:textId="7B78943D" w:rsidR="00E9324F" w:rsidRDefault="00E9324F" w:rsidP="00E9324F">
      <w:pPr>
        <w:pStyle w:val="BodyText-spacebefore"/>
        <w:ind w:right="-142"/>
      </w:pPr>
      <w:r w:rsidRPr="00E9324F">
        <w:t xml:space="preserve">Program 1.1, </w:t>
      </w:r>
      <w:r w:rsidRPr="00E9324F">
        <w:rPr>
          <w:rStyle w:val="Emphasis"/>
          <w:u w:val="single"/>
        </w:rPr>
        <w:t>2016–17 Health Portfolio Budget Statements</w:t>
      </w:r>
      <w:r w:rsidRPr="00E9324F">
        <w:t xml:space="preserve">, p.189;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DCD9"/>
        <w:tblLook w:val="04A0" w:firstRow="1" w:lastRow="0" w:firstColumn="1" w:lastColumn="0" w:noHBand="0" w:noVBand="1"/>
        <w:tblCaption w:val="Heading row"/>
      </w:tblPr>
      <w:tblGrid>
        <w:gridCol w:w="3959"/>
      </w:tblGrid>
      <w:tr w:rsidR="00E9324F" w14:paraId="3ABEFFDC" w14:textId="77777777" w:rsidTr="00B36313">
        <w:tc>
          <w:tcPr>
            <w:tcW w:w="3959" w:type="dxa"/>
            <w:shd w:val="clear" w:color="auto" w:fill="CEDCD9"/>
          </w:tcPr>
          <w:p w14:paraId="7C99FE55" w14:textId="77777777" w:rsidR="00E9324F" w:rsidRDefault="00E9324F" w:rsidP="00B36313">
            <w:pPr>
              <w:pStyle w:val="Heading3-white"/>
            </w:pPr>
            <w:r w:rsidRPr="00E9324F">
              <w:rPr>
                <w:color w:val="1E5F55" w:themeColor="accent3"/>
              </w:rPr>
              <w:t>2016–17 Reference point or target</w:t>
            </w:r>
            <w:r w:rsidRPr="00E9324F">
              <w:rPr>
                <w:color w:val="1E5F55" w:themeColor="accent3"/>
              </w:rPr>
              <w:tab/>
            </w:r>
          </w:p>
        </w:tc>
      </w:tr>
    </w:tbl>
    <w:p w14:paraId="4C6A73DC" w14:textId="77777777" w:rsidR="00E9324F" w:rsidRPr="00E6472D" w:rsidRDefault="00E9324F" w:rsidP="00E9324F">
      <w:pPr>
        <w:pStyle w:val="BodyText-spacebefore"/>
      </w:pPr>
      <w:r w:rsidRPr="00E6472D">
        <w:t>Development and distribution of new/updated sector-specific implementation tools and resources for the public and private acute sector and primary care.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DCD9"/>
        <w:tblLook w:val="04A0" w:firstRow="1" w:lastRow="0" w:firstColumn="1" w:lastColumn="0" w:noHBand="0" w:noVBand="1"/>
        <w:tblCaption w:val="Heading row"/>
      </w:tblPr>
      <w:tblGrid>
        <w:gridCol w:w="3959"/>
      </w:tblGrid>
      <w:tr w:rsidR="00E9324F" w14:paraId="2ECE3A4B" w14:textId="77777777" w:rsidTr="00B36313">
        <w:tc>
          <w:tcPr>
            <w:tcW w:w="3959" w:type="dxa"/>
            <w:shd w:val="clear" w:color="auto" w:fill="CEDCD9"/>
          </w:tcPr>
          <w:p w14:paraId="2AEBB011" w14:textId="78F0EF33" w:rsidR="00E9324F" w:rsidRDefault="00E9324F" w:rsidP="00DC040A">
            <w:pPr>
              <w:pStyle w:val="Heading3-white"/>
            </w:pPr>
            <w:r w:rsidRPr="000E2719">
              <w:rPr>
                <w:color w:val="1E5F55" w:themeColor="accent3"/>
              </w:rPr>
              <w:t xml:space="preserve">Result against </w:t>
            </w:r>
            <w:r w:rsidR="00DC040A">
              <w:rPr>
                <w:color w:val="1E5F55" w:themeColor="accent3"/>
              </w:rPr>
              <w:t>performance criteria or target</w:t>
            </w:r>
          </w:p>
        </w:tc>
      </w:tr>
    </w:tbl>
    <w:p w14:paraId="389F18FA" w14:textId="77777777" w:rsidR="00E6472D" w:rsidRPr="00E6472D" w:rsidRDefault="00E6472D" w:rsidP="00E9324F">
      <w:pPr>
        <w:pStyle w:val="BodyText-spacebefore"/>
        <w:spacing w:after="85"/>
      </w:pPr>
      <w:r w:rsidRPr="00E6472D">
        <w:t>The Commission has provided safety and quality information and resources to health professionals in both the public and private acute sector and primary care, such as:</w:t>
      </w:r>
    </w:p>
    <w:p w14:paraId="4A8DFE78" w14:textId="77777777" w:rsidR="00E6472D" w:rsidRPr="00E6472D" w:rsidRDefault="00E6472D" w:rsidP="00E9324F">
      <w:pPr>
        <w:pStyle w:val="Bullets"/>
      </w:pPr>
      <w:r w:rsidRPr="00E6472D">
        <w:t>Three clinical care standards (delirium, hip</w:t>
      </w:r>
      <w:r w:rsidRPr="00E6472D">
        <w:rPr>
          <w:rFonts w:cs="Arial"/>
        </w:rPr>
        <w:t> </w:t>
      </w:r>
      <w:r w:rsidRPr="00E6472D">
        <w:t>fracture and osteoarthritis of the knee)</w:t>
      </w:r>
    </w:p>
    <w:p w14:paraId="44681EA8" w14:textId="77777777" w:rsidR="00E6472D" w:rsidRPr="00E6472D" w:rsidRDefault="00E6472D" w:rsidP="00E9324F">
      <w:pPr>
        <w:pStyle w:val="Bullets"/>
      </w:pPr>
      <w:r w:rsidRPr="00E6472D">
        <w:t>Medication charts</w:t>
      </w:r>
    </w:p>
    <w:p w14:paraId="696CDD6F" w14:textId="77777777" w:rsidR="00E6472D" w:rsidRPr="00E6472D" w:rsidRDefault="00E6472D" w:rsidP="00E9324F">
      <w:pPr>
        <w:pStyle w:val="Bullets"/>
      </w:pPr>
      <w:r w:rsidRPr="00E6472D">
        <w:t>Antimicrobial use and resistance data</w:t>
      </w:r>
    </w:p>
    <w:p w14:paraId="1077D354" w14:textId="77777777" w:rsidR="00E6472D" w:rsidRDefault="00E6472D" w:rsidP="00E6472D">
      <w:pPr>
        <w:pStyle w:val="Bullets"/>
        <w:tabs>
          <w:tab w:val="left" w:pos="283"/>
          <w:tab w:val="left" w:pos="567"/>
          <w:tab w:val="left" w:pos="850"/>
          <w:tab w:val="left" w:pos="1134"/>
          <w:tab w:val="left" w:pos="1417"/>
          <w:tab w:val="left" w:pos="1701"/>
          <w:tab w:val="left" w:pos="1984"/>
          <w:tab w:val="left" w:pos="2268"/>
        </w:tabs>
        <w:suppressAutoHyphens/>
        <w:autoSpaceDE w:val="0"/>
        <w:autoSpaceDN w:val="0"/>
        <w:adjustRightInd w:val="0"/>
        <w:spacing w:after="170"/>
        <w:textAlignment w:val="center"/>
      </w:pPr>
      <w:r w:rsidRPr="00E6472D">
        <w:t>Audit tools covering a range of different safety and quality issues.</w:t>
      </w:r>
    </w:p>
    <w:p w14:paraId="5FF2F57C" w14:textId="77777777" w:rsidR="00E6472D" w:rsidRDefault="00E6472D" w:rsidP="00E6472D">
      <w:pPr>
        <w:tabs>
          <w:tab w:val="left" w:pos="283"/>
          <w:tab w:val="left" w:pos="567"/>
          <w:tab w:val="left" w:pos="850"/>
          <w:tab w:val="left" w:pos="1134"/>
          <w:tab w:val="left" w:pos="1417"/>
          <w:tab w:val="left" w:pos="1701"/>
          <w:tab w:val="left" w:pos="1984"/>
          <w:tab w:val="left" w:pos="2268"/>
        </w:tabs>
        <w:suppressAutoHyphens/>
        <w:autoSpaceDE w:val="0"/>
        <w:autoSpaceDN w:val="0"/>
        <w:adjustRightInd w:val="0"/>
        <w:spacing w:after="170" w:line="240" w:lineRule="atLeast"/>
        <w:textAlignment w:val="center"/>
      </w:pPr>
    </w:p>
    <w:p w14:paraId="06C08A31" w14:textId="77777777" w:rsidR="00E6472D" w:rsidRDefault="00E6472D" w:rsidP="00E6472D">
      <w:pPr>
        <w:tabs>
          <w:tab w:val="left" w:pos="283"/>
          <w:tab w:val="left" w:pos="567"/>
          <w:tab w:val="left" w:pos="850"/>
          <w:tab w:val="left" w:pos="1134"/>
          <w:tab w:val="left" w:pos="1417"/>
          <w:tab w:val="left" w:pos="1701"/>
          <w:tab w:val="left" w:pos="1984"/>
          <w:tab w:val="left" w:pos="2268"/>
        </w:tabs>
        <w:suppressAutoHyphens/>
        <w:autoSpaceDE w:val="0"/>
        <w:autoSpaceDN w:val="0"/>
        <w:adjustRightInd w:val="0"/>
        <w:spacing w:after="170" w:line="240" w:lineRule="atLeast"/>
        <w:textAlignment w:val="center"/>
        <w:sectPr w:rsidR="00E6472D" w:rsidSect="005F1364">
          <w:headerReference w:type="even" r:id="rId55"/>
          <w:type w:val="continuous"/>
          <w:pgSz w:w="9979" w:h="14175" w:code="34"/>
          <w:pgMar w:top="1418" w:right="680" w:bottom="851" w:left="1021" w:header="567" w:footer="397" w:gutter="0"/>
          <w:cols w:num="2" w:space="340"/>
          <w:noEndnote/>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E5F55" w:themeFill="accent3"/>
        <w:tblLook w:val="04A0" w:firstRow="1" w:lastRow="0" w:firstColumn="1" w:lastColumn="0" w:noHBand="0" w:noVBand="1"/>
        <w:tblCaption w:val="Heading row"/>
      </w:tblPr>
      <w:tblGrid>
        <w:gridCol w:w="3959"/>
      </w:tblGrid>
      <w:tr w:rsidR="00E9324F" w14:paraId="516F2CBA" w14:textId="77777777" w:rsidTr="00B36313">
        <w:tc>
          <w:tcPr>
            <w:tcW w:w="3959" w:type="dxa"/>
            <w:shd w:val="clear" w:color="auto" w:fill="1E5F55" w:themeFill="accent3"/>
          </w:tcPr>
          <w:p w14:paraId="23821BBF" w14:textId="77777777" w:rsidR="00E9324F" w:rsidRDefault="00E9324F" w:rsidP="00B36313">
            <w:pPr>
              <w:pStyle w:val="Heading3-white"/>
            </w:pPr>
            <w:r w:rsidRPr="003F393F">
              <w:lastRenderedPageBreak/>
              <w:t>Qualitative performance criteria</w:t>
            </w:r>
          </w:p>
        </w:tc>
      </w:tr>
    </w:tbl>
    <w:p w14:paraId="3113BA35" w14:textId="77777777" w:rsidR="00E6472D" w:rsidRDefault="00E6472D" w:rsidP="00E9324F">
      <w:pPr>
        <w:pStyle w:val="BodyText-spacebefore"/>
      </w:pPr>
      <w:r>
        <w:t>Condition-specific clinical indicator sets developed.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DCD9"/>
        <w:tblLook w:val="04A0" w:firstRow="1" w:lastRow="0" w:firstColumn="1" w:lastColumn="0" w:noHBand="0" w:noVBand="1"/>
        <w:tblCaption w:val="Heading row"/>
      </w:tblPr>
      <w:tblGrid>
        <w:gridCol w:w="3959"/>
      </w:tblGrid>
      <w:tr w:rsidR="00E9324F" w14:paraId="632DFA51" w14:textId="77777777" w:rsidTr="00B36313">
        <w:tc>
          <w:tcPr>
            <w:tcW w:w="3959" w:type="dxa"/>
            <w:shd w:val="clear" w:color="auto" w:fill="CEDCD9"/>
          </w:tcPr>
          <w:p w14:paraId="5CDB468A" w14:textId="77777777" w:rsidR="00E9324F" w:rsidRDefault="00E9324F" w:rsidP="00B36313">
            <w:pPr>
              <w:pStyle w:val="Heading3-white"/>
            </w:pPr>
            <w:r w:rsidRPr="003F393F">
              <w:rPr>
                <w:color w:val="1E5F55" w:themeColor="accent3"/>
              </w:rPr>
              <w:t>Criteria source</w:t>
            </w:r>
          </w:p>
        </w:tc>
      </w:tr>
    </w:tbl>
    <w:p w14:paraId="75E8DBA0" w14:textId="77777777" w:rsidR="00E9324F" w:rsidRDefault="00E9324F" w:rsidP="00E9324F">
      <w:pPr>
        <w:pStyle w:val="BodyText-spacebefore"/>
        <w:ind w:right="-142"/>
      </w:pPr>
      <w:r w:rsidRPr="00E9324F">
        <w:t xml:space="preserve">Program 1.1, </w:t>
      </w:r>
      <w:r w:rsidRPr="00E9324F">
        <w:rPr>
          <w:rStyle w:val="Emphasis"/>
          <w:u w:val="single"/>
        </w:rPr>
        <w:t>2016–17 Health Portfolio Budget Statements</w:t>
      </w:r>
      <w:r w:rsidRPr="00E9324F">
        <w:t>, p.1</w:t>
      </w:r>
      <w:r>
        <w:t>90</w:t>
      </w:r>
      <w:r w:rsidRPr="00E9324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DCD9"/>
        <w:tblLook w:val="04A0" w:firstRow="1" w:lastRow="0" w:firstColumn="1" w:lastColumn="0" w:noHBand="0" w:noVBand="1"/>
        <w:tblCaption w:val="Heading row"/>
      </w:tblPr>
      <w:tblGrid>
        <w:gridCol w:w="3959"/>
      </w:tblGrid>
      <w:tr w:rsidR="00E9324F" w14:paraId="55C2BD4C" w14:textId="77777777" w:rsidTr="00B36313">
        <w:tc>
          <w:tcPr>
            <w:tcW w:w="3959" w:type="dxa"/>
            <w:shd w:val="clear" w:color="auto" w:fill="CEDCD9"/>
          </w:tcPr>
          <w:p w14:paraId="013E800A" w14:textId="77777777" w:rsidR="00E9324F" w:rsidRDefault="00E9324F" w:rsidP="00B36313">
            <w:pPr>
              <w:pStyle w:val="Heading3-white"/>
            </w:pPr>
            <w:r w:rsidRPr="00E9324F">
              <w:rPr>
                <w:color w:val="1E5F55" w:themeColor="accent3"/>
              </w:rPr>
              <w:t>2016–17 target</w:t>
            </w:r>
          </w:p>
        </w:tc>
      </w:tr>
    </w:tbl>
    <w:p w14:paraId="2AE4F942" w14:textId="77777777" w:rsidR="00E6472D" w:rsidRDefault="00E6472D" w:rsidP="00E9324F">
      <w:pPr>
        <w:pStyle w:val="BodyText-spacebefore"/>
      </w:pPr>
      <w:r>
        <w:t>To develop two condition-specific clinical indicator sets.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DCD9"/>
        <w:tblLook w:val="04A0" w:firstRow="1" w:lastRow="0" w:firstColumn="1" w:lastColumn="0" w:noHBand="0" w:noVBand="1"/>
        <w:tblCaption w:val="Heading row"/>
      </w:tblPr>
      <w:tblGrid>
        <w:gridCol w:w="3959"/>
      </w:tblGrid>
      <w:tr w:rsidR="00E9324F" w14:paraId="513F02F0" w14:textId="77777777" w:rsidTr="00B36313">
        <w:tc>
          <w:tcPr>
            <w:tcW w:w="3959" w:type="dxa"/>
            <w:shd w:val="clear" w:color="auto" w:fill="CEDCD9"/>
          </w:tcPr>
          <w:p w14:paraId="2D3B2674" w14:textId="77777777" w:rsidR="00E9324F" w:rsidRDefault="00E9324F" w:rsidP="00E9324F">
            <w:pPr>
              <w:pStyle w:val="Heading3-white"/>
            </w:pPr>
            <w:r w:rsidRPr="00E9324F">
              <w:rPr>
                <w:color w:val="1E5F55" w:themeColor="accent3"/>
              </w:rPr>
              <w:t>Resu</w:t>
            </w:r>
            <w:r>
              <w:rPr>
                <w:color w:val="1E5F55" w:themeColor="accent3"/>
              </w:rPr>
              <w:t xml:space="preserve">lt against performance criteria </w:t>
            </w:r>
            <w:r w:rsidRPr="00E9324F">
              <w:rPr>
                <w:color w:val="1E5F55" w:themeColor="accent3"/>
              </w:rPr>
              <w:t>or target</w:t>
            </w:r>
          </w:p>
        </w:tc>
      </w:tr>
    </w:tbl>
    <w:p w14:paraId="79608002" w14:textId="77777777" w:rsidR="00ED4C36" w:rsidRDefault="00E6472D" w:rsidP="00E9324F">
      <w:pPr>
        <w:pStyle w:val="BodyText-spacebefore"/>
      </w:pPr>
      <w:r>
        <w:t>In 2016–17, the Commission has developed and published three condition-specific indicator sets to accompany the clinical care standards on delirium, hip fracture and osteoarthritis of the knee.</w:t>
      </w:r>
    </w:p>
    <w:p w14:paraId="061BD03B" w14:textId="77777777" w:rsidR="00ED4C36" w:rsidRDefault="00ED4C36" w:rsidP="00E9324F">
      <w:pPr>
        <w:pStyle w:val="BodyText-spacebefore"/>
        <w:sectPr w:rsidR="00ED4C36" w:rsidSect="005F1364">
          <w:headerReference w:type="even" r:id="rId56"/>
          <w:headerReference w:type="default" r:id="rId57"/>
          <w:pgSz w:w="9979" w:h="14175" w:code="34"/>
          <w:pgMar w:top="1418" w:right="680" w:bottom="851" w:left="1021" w:header="567" w:footer="397" w:gutter="0"/>
          <w:cols w:num="2" w:space="720"/>
          <w:noEndnote/>
          <w:docGrid w:linePitch="245"/>
        </w:sectPr>
      </w:pPr>
    </w:p>
    <w:p w14:paraId="74101284" w14:textId="77777777" w:rsidR="001640CE" w:rsidRDefault="001640CE">
      <w:pPr>
        <w:spacing w:after="160" w:line="259" w:lineRule="auto"/>
      </w:pPr>
      <w:r>
        <w:lastRenderedPageBreak/>
        <w:br w:type="page"/>
      </w:r>
    </w:p>
    <w:p w14:paraId="27A33CCD" w14:textId="77777777" w:rsidR="00ED4C36" w:rsidRDefault="00ED4C36" w:rsidP="001640CE">
      <w:pPr>
        <w:pStyle w:val="BodyText-spacebefore"/>
      </w:pPr>
    </w:p>
    <w:p w14:paraId="3C605F36" w14:textId="77777777" w:rsidR="001640CE" w:rsidRPr="00E2255E" w:rsidRDefault="001640CE" w:rsidP="00B36313">
      <w:pPr>
        <w:pStyle w:val="SectionHeading"/>
        <w:spacing w:after="227"/>
        <w:rPr>
          <w:color w:val="007478" w:themeColor="accent5"/>
        </w:rPr>
      </w:pPr>
      <w:r w:rsidRPr="00E2255E">
        <w:rPr>
          <w:color w:val="007478" w:themeColor="accent5"/>
        </w:rPr>
        <w:t>Corporate governance and accountability</w:t>
      </w:r>
    </w:p>
    <w:p w14:paraId="5831732E" w14:textId="77777777" w:rsidR="00347A7C" w:rsidRPr="00E2255E" w:rsidRDefault="00347A7C" w:rsidP="00E2255E">
      <w:pPr>
        <w:pStyle w:val="SectionIntroCopy"/>
        <w:rPr>
          <w:color w:val="007478" w:themeColor="accent5"/>
        </w:rPr>
      </w:pPr>
      <w:r w:rsidRPr="00E2255E">
        <w:rPr>
          <w:color w:val="007478" w:themeColor="accent5"/>
        </w:rPr>
        <w:t>This section of the report outlines the Commission’s legislative requirements, corporate governance and accountability processes, including internal and external scrutiny arrangements and procedures for risk management and fraud control. It also includes profiles of the Commission’s Board and committee members.</w:t>
      </w:r>
    </w:p>
    <w:tbl>
      <w:tblPr>
        <w:tblStyle w:val="TableGrid"/>
        <w:tblW w:w="0" w:type="auto"/>
        <w:tblBorders>
          <w:top w:val="none" w:sz="0" w:space="0" w:color="auto"/>
          <w:left w:val="none" w:sz="0" w:space="0" w:color="auto"/>
          <w:bottom w:val="single" w:sz="8" w:space="0" w:color="FFFFFF" w:themeColor="background2"/>
          <w:right w:val="none" w:sz="0" w:space="0" w:color="auto"/>
          <w:insideH w:val="single" w:sz="8" w:space="0" w:color="FFFFFF" w:themeColor="background2"/>
          <w:insideV w:val="none" w:sz="0" w:space="0" w:color="auto"/>
        </w:tblBorders>
        <w:tblCellMar>
          <w:left w:w="0" w:type="dxa"/>
          <w:right w:w="0" w:type="dxa"/>
        </w:tblCellMar>
        <w:tblLook w:val="04A0" w:firstRow="1" w:lastRow="0" w:firstColumn="1" w:lastColumn="0" w:noHBand="0" w:noVBand="1"/>
        <w:tblCaption w:val="Table of Contents"/>
        <w:tblDescription w:val="Corporate governance and accountability"/>
      </w:tblPr>
      <w:tblGrid>
        <w:gridCol w:w="4979"/>
        <w:gridCol w:w="825"/>
      </w:tblGrid>
      <w:tr w:rsidR="00E2255E" w14:paraId="727D966F" w14:textId="77777777" w:rsidTr="00B36313">
        <w:tc>
          <w:tcPr>
            <w:tcW w:w="4979" w:type="dxa"/>
          </w:tcPr>
          <w:p w14:paraId="7C1CA05F" w14:textId="77777777" w:rsidR="00E2255E" w:rsidRPr="00D96672" w:rsidRDefault="00E2255E" w:rsidP="00B36313">
            <w:pPr>
              <w:pStyle w:val="Reportcontent"/>
              <w:spacing w:before="120"/>
            </w:pPr>
            <w:r w:rsidRPr="00E2255E">
              <w:t>Legislation and requirements</w:t>
            </w:r>
          </w:p>
        </w:tc>
        <w:tc>
          <w:tcPr>
            <w:tcW w:w="825" w:type="dxa"/>
          </w:tcPr>
          <w:p w14:paraId="71415598" w14:textId="77777777" w:rsidR="00E2255E" w:rsidRPr="00D96672" w:rsidRDefault="00E2255E" w:rsidP="00B36313">
            <w:pPr>
              <w:pStyle w:val="Reportcontent"/>
              <w:spacing w:before="120"/>
              <w:jc w:val="right"/>
            </w:pPr>
            <w:r w:rsidRPr="00E2255E">
              <w:t>60</w:t>
            </w:r>
          </w:p>
        </w:tc>
      </w:tr>
      <w:tr w:rsidR="00E2255E" w14:paraId="75F7FECE" w14:textId="77777777" w:rsidTr="00B36313">
        <w:tc>
          <w:tcPr>
            <w:tcW w:w="4979" w:type="dxa"/>
          </w:tcPr>
          <w:p w14:paraId="57012805" w14:textId="77777777" w:rsidR="00E2255E" w:rsidRPr="00D96672" w:rsidRDefault="00E2255E" w:rsidP="00B36313">
            <w:pPr>
              <w:pStyle w:val="Reportcontent"/>
              <w:spacing w:before="120"/>
            </w:pPr>
            <w:r w:rsidRPr="00E2255E">
              <w:t>Compliance with legislation</w:t>
            </w:r>
          </w:p>
        </w:tc>
        <w:tc>
          <w:tcPr>
            <w:tcW w:w="825" w:type="dxa"/>
          </w:tcPr>
          <w:p w14:paraId="62691FDB" w14:textId="77777777" w:rsidR="00E2255E" w:rsidRPr="00D96672" w:rsidRDefault="00E2255E" w:rsidP="00B36313">
            <w:pPr>
              <w:pStyle w:val="Reportcontent"/>
              <w:spacing w:before="120"/>
              <w:jc w:val="right"/>
            </w:pPr>
            <w:r w:rsidRPr="00E2255E">
              <w:t>60</w:t>
            </w:r>
          </w:p>
        </w:tc>
      </w:tr>
      <w:tr w:rsidR="00E2255E" w14:paraId="6EA20FDE" w14:textId="77777777" w:rsidTr="00B36313">
        <w:tc>
          <w:tcPr>
            <w:tcW w:w="4979" w:type="dxa"/>
          </w:tcPr>
          <w:p w14:paraId="45F71467" w14:textId="77777777" w:rsidR="00E2255E" w:rsidRPr="00D96672" w:rsidRDefault="00E2255E" w:rsidP="00B36313">
            <w:pPr>
              <w:pStyle w:val="Reportcontent"/>
              <w:spacing w:before="120"/>
            </w:pPr>
            <w:r w:rsidRPr="00E2255E">
              <w:t>Strategic planning</w:t>
            </w:r>
          </w:p>
        </w:tc>
        <w:tc>
          <w:tcPr>
            <w:tcW w:w="825" w:type="dxa"/>
          </w:tcPr>
          <w:p w14:paraId="32D69F17" w14:textId="77777777" w:rsidR="00E2255E" w:rsidRPr="00D96672" w:rsidRDefault="00E2255E" w:rsidP="00B36313">
            <w:pPr>
              <w:pStyle w:val="Reportcontent"/>
              <w:spacing w:before="120"/>
              <w:jc w:val="right"/>
            </w:pPr>
            <w:r w:rsidRPr="00E2255E">
              <w:t>60</w:t>
            </w:r>
          </w:p>
        </w:tc>
      </w:tr>
      <w:tr w:rsidR="00E2255E" w14:paraId="171E4946" w14:textId="77777777" w:rsidTr="00B36313">
        <w:tc>
          <w:tcPr>
            <w:tcW w:w="4979" w:type="dxa"/>
          </w:tcPr>
          <w:p w14:paraId="5A47A1AC" w14:textId="77777777" w:rsidR="00E2255E" w:rsidRPr="00D96672" w:rsidRDefault="00E2255E" w:rsidP="00B36313">
            <w:pPr>
              <w:pStyle w:val="Reportcontent"/>
              <w:spacing w:before="120"/>
            </w:pPr>
            <w:r w:rsidRPr="00E2255E">
              <w:t>Ministerial directions</w:t>
            </w:r>
          </w:p>
        </w:tc>
        <w:tc>
          <w:tcPr>
            <w:tcW w:w="825" w:type="dxa"/>
          </w:tcPr>
          <w:p w14:paraId="09121E3A" w14:textId="77777777" w:rsidR="00E2255E" w:rsidRPr="00D96672" w:rsidRDefault="00E2255E" w:rsidP="00B36313">
            <w:pPr>
              <w:pStyle w:val="Reportcontent"/>
              <w:spacing w:before="120"/>
              <w:jc w:val="right"/>
            </w:pPr>
            <w:r w:rsidRPr="00E2255E">
              <w:t>60</w:t>
            </w:r>
          </w:p>
        </w:tc>
      </w:tr>
      <w:tr w:rsidR="00E2255E" w14:paraId="3D54BCE3" w14:textId="77777777" w:rsidTr="00B36313">
        <w:tc>
          <w:tcPr>
            <w:tcW w:w="4979" w:type="dxa"/>
          </w:tcPr>
          <w:p w14:paraId="7FEDD0BA" w14:textId="77777777" w:rsidR="00E2255E" w:rsidRPr="00D96672" w:rsidRDefault="00E2255E" w:rsidP="00B36313">
            <w:pPr>
              <w:pStyle w:val="Reportcontent"/>
              <w:spacing w:before="120"/>
            </w:pPr>
            <w:r w:rsidRPr="00E2255E">
              <w:t>Commission Board</w:t>
            </w:r>
          </w:p>
        </w:tc>
        <w:tc>
          <w:tcPr>
            <w:tcW w:w="825" w:type="dxa"/>
          </w:tcPr>
          <w:p w14:paraId="616D68A7" w14:textId="77777777" w:rsidR="00E2255E" w:rsidRPr="00D96672" w:rsidRDefault="00E2255E" w:rsidP="00B36313">
            <w:pPr>
              <w:pStyle w:val="Reportcontent"/>
              <w:spacing w:before="120"/>
              <w:jc w:val="right"/>
            </w:pPr>
            <w:r w:rsidRPr="00E2255E">
              <w:t>61</w:t>
            </w:r>
          </w:p>
        </w:tc>
      </w:tr>
      <w:tr w:rsidR="00E2255E" w14:paraId="28B54D5E" w14:textId="77777777" w:rsidTr="00B36313">
        <w:tc>
          <w:tcPr>
            <w:tcW w:w="4979" w:type="dxa"/>
          </w:tcPr>
          <w:p w14:paraId="76DF31B8" w14:textId="77777777" w:rsidR="00E2255E" w:rsidRPr="00E2255E" w:rsidRDefault="00E2255E" w:rsidP="00B36313">
            <w:pPr>
              <w:pStyle w:val="Reportcontent"/>
              <w:spacing w:before="120"/>
            </w:pPr>
            <w:r w:rsidRPr="00E2255E">
              <w:t>Commi</w:t>
            </w:r>
            <w:r>
              <w:t>ttees</w:t>
            </w:r>
          </w:p>
        </w:tc>
        <w:tc>
          <w:tcPr>
            <w:tcW w:w="825" w:type="dxa"/>
          </w:tcPr>
          <w:p w14:paraId="6B835734" w14:textId="77777777" w:rsidR="00E2255E" w:rsidRPr="00E2255E" w:rsidRDefault="00E2255E" w:rsidP="00B36313">
            <w:pPr>
              <w:pStyle w:val="Reportcontent"/>
              <w:spacing w:before="120"/>
              <w:jc w:val="right"/>
            </w:pPr>
            <w:r>
              <w:t>67</w:t>
            </w:r>
          </w:p>
        </w:tc>
      </w:tr>
      <w:tr w:rsidR="00E2255E" w14:paraId="4D2A010C" w14:textId="77777777" w:rsidTr="00B36313">
        <w:tc>
          <w:tcPr>
            <w:tcW w:w="4979" w:type="dxa"/>
          </w:tcPr>
          <w:p w14:paraId="4E65E324" w14:textId="77777777" w:rsidR="00E2255E" w:rsidRPr="00E2255E" w:rsidRDefault="00E2255E" w:rsidP="00B36313">
            <w:pPr>
              <w:pStyle w:val="Reportcontent"/>
              <w:spacing w:before="120"/>
            </w:pPr>
            <w:r w:rsidRPr="00E2255E">
              <w:t>Internal governance arrangements</w:t>
            </w:r>
          </w:p>
        </w:tc>
        <w:tc>
          <w:tcPr>
            <w:tcW w:w="825" w:type="dxa"/>
          </w:tcPr>
          <w:p w14:paraId="35C7CDAC" w14:textId="77777777" w:rsidR="00E2255E" w:rsidRDefault="00E2255E" w:rsidP="00B36313">
            <w:pPr>
              <w:pStyle w:val="Reportcontent"/>
              <w:spacing w:before="120"/>
              <w:jc w:val="right"/>
            </w:pPr>
            <w:r>
              <w:t>69</w:t>
            </w:r>
          </w:p>
        </w:tc>
      </w:tr>
      <w:tr w:rsidR="00E2255E" w14:paraId="529C1086" w14:textId="77777777" w:rsidTr="00B36313">
        <w:tc>
          <w:tcPr>
            <w:tcW w:w="4979" w:type="dxa"/>
          </w:tcPr>
          <w:p w14:paraId="5F7700B9" w14:textId="77777777" w:rsidR="00E2255E" w:rsidRPr="00E2255E" w:rsidRDefault="00E2255E" w:rsidP="00B36313">
            <w:pPr>
              <w:pStyle w:val="Reportcontent"/>
              <w:spacing w:before="120"/>
            </w:pPr>
            <w:r w:rsidRPr="00E2255E">
              <w:t>External scrutiny</w:t>
            </w:r>
          </w:p>
        </w:tc>
        <w:tc>
          <w:tcPr>
            <w:tcW w:w="825" w:type="dxa"/>
          </w:tcPr>
          <w:p w14:paraId="7363B177" w14:textId="77777777" w:rsidR="00E2255E" w:rsidRDefault="00E2255E" w:rsidP="00B36313">
            <w:pPr>
              <w:pStyle w:val="Reportcontent"/>
              <w:spacing w:before="120"/>
              <w:jc w:val="right"/>
            </w:pPr>
            <w:r>
              <w:t>70</w:t>
            </w:r>
          </w:p>
        </w:tc>
      </w:tr>
      <w:tr w:rsidR="00E2255E" w14:paraId="6F5EBF4E" w14:textId="77777777" w:rsidTr="00B36313">
        <w:tc>
          <w:tcPr>
            <w:tcW w:w="4979" w:type="dxa"/>
          </w:tcPr>
          <w:p w14:paraId="4832CCE8" w14:textId="77777777" w:rsidR="00E2255E" w:rsidRPr="00E2255E" w:rsidRDefault="00E2255E" w:rsidP="00B36313">
            <w:pPr>
              <w:pStyle w:val="Reportcontent"/>
              <w:spacing w:before="120"/>
            </w:pPr>
            <w:r w:rsidRPr="00E2255E">
              <w:t>Developments and significant events</w:t>
            </w:r>
          </w:p>
        </w:tc>
        <w:tc>
          <w:tcPr>
            <w:tcW w:w="825" w:type="dxa"/>
          </w:tcPr>
          <w:p w14:paraId="5FEBAD28" w14:textId="77777777" w:rsidR="00E2255E" w:rsidRDefault="00E2255E" w:rsidP="00B36313">
            <w:pPr>
              <w:pStyle w:val="Reportcontent"/>
              <w:spacing w:before="120"/>
              <w:jc w:val="right"/>
            </w:pPr>
            <w:r>
              <w:t>70</w:t>
            </w:r>
          </w:p>
        </w:tc>
      </w:tr>
      <w:tr w:rsidR="00E2255E" w14:paraId="0858302D" w14:textId="77777777" w:rsidTr="00B36313">
        <w:tc>
          <w:tcPr>
            <w:tcW w:w="4979" w:type="dxa"/>
          </w:tcPr>
          <w:p w14:paraId="20DE0322" w14:textId="77777777" w:rsidR="00E2255E" w:rsidRPr="00E2255E" w:rsidRDefault="00E2255E" w:rsidP="00B36313">
            <w:pPr>
              <w:pStyle w:val="Reportcontent"/>
              <w:spacing w:before="120"/>
            </w:pPr>
            <w:r w:rsidRPr="00E2255E">
              <w:t>Environmental performance and ecologically sustainable development</w:t>
            </w:r>
          </w:p>
        </w:tc>
        <w:tc>
          <w:tcPr>
            <w:tcW w:w="825" w:type="dxa"/>
          </w:tcPr>
          <w:p w14:paraId="002AE322" w14:textId="77777777" w:rsidR="00E2255E" w:rsidRDefault="00E2255E" w:rsidP="00B36313">
            <w:pPr>
              <w:pStyle w:val="Reportcontent"/>
              <w:spacing w:before="120"/>
              <w:jc w:val="right"/>
            </w:pPr>
            <w:r>
              <w:br/>
              <w:t>71</w:t>
            </w:r>
          </w:p>
        </w:tc>
      </w:tr>
      <w:tr w:rsidR="00E2255E" w14:paraId="45C5B269" w14:textId="77777777" w:rsidTr="00B36313">
        <w:tc>
          <w:tcPr>
            <w:tcW w:w="4979" w:type="dxa"/>
          </w:tcPr>
          <w:p w14:paraId="3A3CD0E4" w14:textId="77777777" w:rsidR="00E2255E" w:rsidRPr="00E2255E" w:rsidRDefault="00E2255E" w:rsidP="00B36313">
            <w:pPr>
              <w:pStyle w:val="Reportcontent"/>
              <w:spacing w:before="120"/>
            </w:pPr>
            <w:r w:rsidRPr="00E2255E">
              <w:t>Advertising and market research</w:t>
            </w:r>
          </w:p>
        </w:tc>
        <w:tc>
          <w:tcPr>
            <w:tcW w:w="825" w:type="dxa"/>
          </w:tcPr>
          <w:p w14:paraId="4A2698EE" w14:textId="77777777" w:rsidR="00E2255E" w:rsidRDefault="00E2255E" w:rsidP="00B36313">
            <w:pPr>
              <w:pStyle w:val="Reportcontent"/>
              <w:spacing w:before="120"/>
              <w:jc w:val="right"/>
            </w:pPr>
            <w:r w:rsidRPr="00E2255E">
              <w:t>71</w:t>
            </w:r>
          </w:p>
        </w:tc>
      </w:tr>
      <w:tr w:rsidR="00E2255E" w14:paraId="4A43B657" w14:textId="77777777" w:rsidTr="00B36313">
        <w:tc>
          <w:tcPr>
            <w:tcW w:w="4979" w:type="dxa"/>
          </w:tcPr>
          <w:p w14:paraId="4C5A38B7" w14:textId="77777777" w:rsidR="00E2255E" w:rsidRPr="00E2255E" w:rsidRDefault="00E2255E" w:rsidP="00B36313">
            <w:pPr>
              <w:pStyle w:val="Reportcontent"/>
              <w:spacing w:before="120"/>
            </w:pPr>
            <w:r w:rsidRPr="00E2255E">
              <w:t>National Health Reform Act amendments</w:t>
            </w:r>
          </w:p>
        </w:tc>
        <w:tc>
          <w:tcPr>
            <w:tcW w:w="825" w:type="dxa"/>
          </w:tcPr>
          <w:p w14:paraId="3C3EA4C4" w14:textId="77777777" w:rsidR="00E2255E" w:rsidRPr="00E2255E" w:rsidRDefault="00E2255E" w:rsidP="00B36313">
            <w:pPr>
              <w:pStyle w:val="Reportcontent"/>
              <w:spacing w:before="120"/>
              <w:jc w:val="right"/>
            </w:pPr>
            <w:r w:rsidRPr="00E2255E">
              <w:t>71</w:t>
            </w:r>
          </w:p>
        </w:tc>
      </w:tr>
      <w:tr w:rsidR="00E2255E" w14:paraId="5E6EE760" w14:textId="77777777" w:rsidTr="00B36313">
        <w:tc>
          <w:tcPr>
            <w:tcW w:w="4979" w:type="dxa"/>
          </w:tcPr>
          <w:p w14:paraId="22B6F7DB" w14:textId="77777777" w:rsidR="00E2255E" w:rsidRPr="00E2255E" w:rsidRDefault="00E2255E" w:rsidP="00B36313">
            <w:pPr>
              <w:pStyle w:val="Reportcontent"/>
              <w:spacing w:before="120"/>
            </w:pPr>
            <w:r>
              <w:t>Government policy orders</w:t>
            </w:r>
          </w:p>
        </w:tc>
        <w:tc>
          <w:tcPr>
            <w:tcW w:w="825" w:type="dxa"/>
          </w:tcPr>
          <w:p w14:paraId="604F54A3" w14:textId="77777777" w:rsidR="00E2255E" w:rsidRPr="00E2255E" w:rsidRDefault="00E2255E" w:rsidP="00B36313">
            <w:pPr>
              <w:pStyle w:val="Reportcontent"/>
              <w:spacing w:before="120"/>
              <w:jc w:val="right"/>
            </w:pPr>
            <w:r>
              <w:t>71</w:t>
            </w:r>
          </w:p>
        </w:tc>
      </w:tr>
    </w:tbl>
    <w:p w14:paraId="5FAF38DF" w14:textId="77777777" w:rsidR="00347A7C" w:rsidRDefault="00347A7C" w:rsidP="00347A7C">
      <w:pPr>
        <w:pStyle w:val="BodyText-spacebefore"/>
      </w:pPr>
    </w:p>
    <w:p w14:paraId="6025AB89" w14:textId="77777777" w:rsidR="00E2255E" w:rsidRDefault="00E2255E" w:rsidP="00347A7C">
      <w:pPr>
        <w:pStyle w:val="BodyText-spacebefore"/>
        <w:sectPr w:rsidR="00E2255E" w:rsidSect="00347A7C">
          <w:headerReference w:type="even" r:id="rId58"/>
          <w:headerReference w:type="default" r:id="rId59"/>
          <w:footerReference w:type="even" r:id="rId60"/>
          <w:footerReference w:type="default" r:id="rId61"/>
          <w:pgSz w:w="9979" w:h="14175" w:code="34"/>
          <w:pgMar w:top="1418" w:right="680" w:bottom="851" w:left="1021" w:header="567" w:footer="397" w:gutter="0"/>
          <w:cols w:space="720"/>
          <w:noEndnote/>
        </w:sectPr>
      </w:pPr>
    </w:p>
    <w:p w14:paraId="20328F86" w14:textId="77777777" w:rsidR="00347A7C" w:rsidRDefault="00347A7C" w:rsidP="00B36313">
      <w:pPr>
        <w:pStyle w:val="Heading1"/>
      </w:pPr>
      <w:r>
        <w:lastRenderedPageBreak/>
        <w:t>Legislation and requirements</w:t>
      </w:r>
    </w:p>
    <w:p w14:paraId="4EB8B89B" w14:textId="77777777" w:rsidR="00347A7C" w:rsidRDefault="00347A7C" w:rsidP="00347A7C">
      <w:pPr>
        <w:pStyle w:val="BodyText-spacebefore"/>
      </w:pPr>
      <w:r>
        <w:t>The Commission is a corporate Commonwealth entity of the Australian Government, accountable to the Australian Parliament and the Minister for Health. The Commission’s principle legislative basis is the National Health Reform Act, which sets out its purpose, powers, functions, and administrative and operational arrangements. The National Health Reform Act also sets out the Commission’s Constitution, the process for appointing members of the Board and the Chief Executive Officer (CEO), and the operation of Board meetings.</w:t>
      </w:r>
    </w:p>
    <w:p w14:paraId="1F8F039A" w14:textId="77777777" w:rsidR="00347A7C" w:rsidRDefault="00347A7C" w:rsidP="00347A7C">
      <w:pPr>
        <w:pStyle w:val="BodyText-spacebefore"/>
      </w:pPr>
      <w:r>
        <w:t>The Commission must fulfil the requirements of the Public Governance, Performance and Accountability Act, which regulates certain aspects of Commonwealth entities’ financial affairs; their financial and performance reporting, accountability, banking and investment obligations; and the conduct of their accountable authorities and officials.</w:t>
      </w:r>
    </w:p>
    <w:p w14:paraId="4C89F6FF" w14:textId="77777777" w:rsidR="00347A7C" w:rsidRDefault="00347A7C" w:rsidP="00B36313">
      <w:pPr>
        <w:pStyle w:val="Heading1"/>
      </w:pPr>
      <w:r>
        <w:t>Compliance with legislation</w:t>
      </w:r>
    </w:p>
    <w:p w14:paraId="63D57C7C" w14:textId="77777777" w:rsidR="00347A7C" w:rsidRDefault="00347A7C" w:rsidP="00B36313">
      <w:pPr>
        <w:pStyle w:val="Bodytextbeforebullets"/>
      </w:pPr>
      <w:r>
        <w:t>The Commission has complied with the provisions and requirements of:</w:t>
      </w:r>
    </w:p>
    <w:p w14:paraId="101597D0" w14:textId="77777777" w:rsidR="00347A7C" w:rsidRDefault="00347A7C" w:rsidP="00B36313">
      <w:pPr>
        <w:pStyle w:val="Bullets"/>
      </w:pPr>
      <w:r>
        <w:t>The Public Governance, Performance and Accountability Act</w:t>
      </w:r>
    </w:p>
    <w:p w14:paraId="276DB638" w14:textId="77777777" w:rsidR="00347A7C" w:rsidRDefault="00347A7C" w:rsidP="00B36313">
      <w:pPr>
        <w:pStyle w:val="Bullets"/>
      </w:pPr>
      <w:r>
        <w:t>The Public Governance, Performance and Accountability Rule</w:t>
      </w:r>
    </w:p>
    <w:p w14:paraId="36F449E7" w14:textId="77777777" w:rsidR="00347A7C" w:rsidRDefault="00347A7C" w:rsidP="00B36313">
      <w:pPr>
        <w:pStyle w:val="Bullets"/>
      </w:pPr>
      <w:r>
        <w:t>Appropriation Acts</w:t>
      </w:r>
    </w:p>
    <w:p w14:paraId="54C3E84D" w14:textId="77777777" w:rsidR="00347A7C" w:rsidRDefault="00347A7C" w:rsidP="00B36313">
      <w:pPr>
        <w:pStyle w:val="BulletLast"/>
      </w:pPr>
      <w:r>
        <w:t>Other instruments defined as finance law, including relevant Ministerial directions.</w:t>
      </w:r>
    </w:p>
    <w:p w14:paraId="7AB3B373" w14:textId="77777777" w:rsidR="00347A7C" w:rsidRDefault="00347A7C" w:rsidP="00B36313">
      <w:pPr>
        <w:pStyle w:val="BodyText"/>
      </w:pPr>
      <w:r>
        <w:t>The Commission did not have any significant non-compliance issues with finance law during the 2016–17 reporting period.</w:t>
      </w:r>
    </w:p>
    <w:p w14:paraId="5AF84F0B" w14:textId="77777777" w:rsidR="00347A7C" w:rsidRDefault="00347A7C" w:rsidP="00B36313">
      <w:pPr>
        <w:pStyle w:val="Heading1"/>
      </w:pPr>
      <w:r>
        <w:lastRenderedPageBreak/>
        <w:t>Strategic planning</w:t>
      </w:r>
    </w:p>
    <w:p w14:paraId="02FD340A" w14:textId="77777777" w:rsidR="00347A7C" w:rsidRDefault="00347A7C" w:rsidP="00347A7C">
      <w:pPr>
        <w:pStyle w:val="BodyText-spacebefore"/>
      </w:pPr>
      <w:r>
        <w:t>The Commission’s strategic plan describes the high-level priorities for the Commission over three to five years, and guides the development of detailed work plans.</w:t>
      </w:r>
    </w:p>
    <w:p w14:paraId="46C20B58" w14:textId="77777777" w:rsidR="00347A7C" w:rsidRDefault="00347A7C" w:rsidP="00B36313">
      <w:pPr>
        <w:pStyle w:val="Bodytextbeforebullets"/>
      </w:pPr>
      <w:r>
        <w:t>The strategic plan covers four priority areas:</w:t>
      </w:r>
    </w:p>
    <w:p w14:paraId="1D3A1327" w14:textId="77777777" w:rsidR="00347A7C" w:rsidRDefault="00347A7C" w:rsidP="00B36313">
      <w:pPr>
        <w:pStyle w:val="BodyText"/>
        <w:ind w:left="284" w:hanging="284"/>
      </w:pPr>
      <w:r w:rsidRPr="00B36313">
        <w:rPr>
          <w:rStyle w:val="Strong"/>
        </w:rPr>
        <w:t>1.</w:t>
      </w:r>
      <w:r w:rsidRPr="00B36313">
        <w:rPr>
          <w:rStyle w:val="Strong"/>
        </w:rPr>
        <w:tab/>
        <w:t>Patient safety:</w:t>
      </w:r>
      <w:r>
        <w:t xml:space="preserve"> The aim of this priority area is to have a safe health system that minimises harm to patients and consumers, and reduces costs associated with preventable adverse events</w:t>
      </w:r>
    </w:p>
    <w:p w14:paraId="57FD8407" w14:textId="77777777" w:rsidR="00347A7C" w:rsidRDefault="00347A7C" w:rsidP="00B36313">
      <w:pPr>
        <w:pStyle w:val="BodyText"/>
        <w:ind w:left="284" w:hanging="284"/>
      </w:pPr>
      <w:r w:rsidRPr="00B36313">
        <w:rPr>
          <w:rStyle w:val="Strong"/>
        </w:rPr>
        <w:t>2.</w:t>
      </w:r>
      <w:r w:rsidRPr="00B36313">
        <w:rPr>
          <w:rStyle w:val="Strong"/>
        </w:rPr>
        <w:tab/>
        <w:t>Partnering with patients, consumers and communities:</w:t>
      </w:r>
      <w:r>
        <w:t xml:space="preserve"> The aim of this priority area is to have a health system that maximises the potential for safe and high-quality care by supporting and encouraging patients, consumers and members of the community to participate as equal partners in health care</w:t>
      </w:r>
    </w:p>
    <w:p w14:paraId="33BED79C" w14:textId="77777777" w:rsidR="00347A7C" w:rsidRDefault="00347A7C" w:rsidP="00B36313">
      <w:pPr>
        <w:pStyle w:val="BodyText"/>
        <w:ind w:left="284" w:hanging="284"/>
      </w:pPr>
      <w:r w:rsidRPr="00B36313">
        <w:rPr>
          <w:rStyle w:val="Strong"/>
        </w:rPr>
        <w:t>3.</w:t>
      </w:r>
      <w:r w:rsidRPr="00B36313">
        <w:rPr>
          <w:rStyle w:val="Strong"/>
        </w:rPr>
        <w:tab/>
        <w:t>Quality, value and cost:</w:t>
      </w:r>
      <w:r>
        <w:t xml:space="preserve"> The aim of this priority area is to have a health system that provides the right care to patients and consumers, improves health outcomes for patients and optimises the value of the healthcare system by improving productivity</w:t>
      </w:r>
    </w:p>
    <w:p w14:paraId="3B62580F" w14:textId="77777777" w:rsidR="00347A7C" w:rsidRDefault="00347A7C" w:rsidP="00B36313">
      <w:pPr>
        <w:pStyle w:val="BodyText"/>
        <w:ind w:left="284" w:hanging="284"/>
      </w:pPr>
      <w:r w:rsidRPr="00B36313">
        <w:rPr>
          <w:rStyle w:val="Strong"/>
        </w:rPr>
        <w:t>4.</w:t>
      </w:r>
      <w:r w:rsidRPr="00B36313">
        <w:rPr>
          <w:rStyle w:val="Strong"/>
        </w:rPr>
        <w:tab/>
        <w:t>Supporting health professionals to provide safe and high-quality care:</w:t>
      </w:r>
      <w:r>
        <w:t xml:space="preserve"> The aim of this priority area is to have a health system that supports safe clinical practice by having robust and sustainable improvement systems.</w:t>
      </w:r>
    </w:p>
    <w:p w14:paraId="46D90FDD" w14:textId="77777777" w:rsidR="00347A7C" w:rsidRDefault="00347A7C" w:rsidP="00B36313">
      <w:pPr>
        <w:pStyle w:val="Heading1"/>
      </w:pPr>
      <w:r>
        <w:t>Ministerial directions</w:t>
      </w:r>
    </w:p>
    <w:p w14:paraId="10427804" w14:textId="77777777" w:rsidR="00347A7C" w:rsidRDefault="00347A7C" w:rsidP="00347A7C">
      <w:pPr>
        <w:pStyle w:val="BodyText-spacebefore"/>
      </w:pPr>
      <w:r>
        <w:t>Section 16 of the National Health Reform Act empowers the Minister for Health to make directions with which the Commission must comply. The Minister for Health made no such directions during the 2016–17 reporting period.</w:t>
      </w:r>
    </w:p>
    <w:p w14:paraId="6102E60D" w14:textId="77777777" w:rsidR="00347A7C" w:rsidRDefault="00347A7C" w:rsidP="00347A7C">
      <w:pPr>
        <w:pStyle w:val="BodyText-spacebefore"/>
        <w:sectPr w:rsidR="00347A7C" w:rsidSect="00347A7C">
          <w:headerReference w:type="even" r:id="rId62"/>
          <w:headerReference w:type="default" r:id="rId63"/>
          <w:footerReference w:type="even" r:id="rId64"/>
          <w:pgSz w:w="9979" w:h="14175" w:code="34"/>
          <w:pgMar w:top="1418" w:right="680" w:bottom="851" w:left="1021" w:header="567" w:footer="397" w:gutter="0"/>
          <w:cols w:num="2" w:space="340"/>
          <w:noEndnote/>
        </w:sectPr>
      </w:pPr>
    </w:p>
    <w:p w14:paraId="47406E31" w14:textId="77777777" w:rsidR="00347A7C" w:rsidRDefault="00347A7C">
      <w:pPr>
        <w:spacing w:after="160" w:line="259" w:lineRule="auto"/>
      </w:pPr>
      <w:r>
        <w:lastRenderedPageBreak/>
        <w:br w:type="page"/>
      </w:r>
    </w:p>
    <w:p w14:paraId="0DD0361B" w14:textId="77777777" w:rsidR="00347A7C" w:rsidRDefault="00347A7C" w:rsidP="00347A7C">
      <w:pPr>
        <w:pStyle w:val="Heading1"/>
      </w:pPr>
      <w:r w:rsidRPr="00347A7C">
        <w:lastRenderedPageBreak/>
        <w:t>Commission Board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F0EE" w:themeFill="accent4"/>
        <w:tblCellMar>
          <w:top w:w="284" w:type="dxa"/>
          <w:left w:w="284" w:type="dxa"/>
          <w:bottom w:w="284" w:type="dxa"/>
          <w:right w:w="284" w:type="dxa"/>
        </w:tblCellMar>
        <w:tblLook w:val="04A0" w:firstRow="1" w:lastRow="0" w:firstColumn="1" w:lastColumn="0" w:noHBand="0" w:noVBand="1"/>
        <w:tblCaption w:val="Introduction text"/>
        <w:tblDescription w:val="Commission board"/>
      </w:tblPr>
      <w:tblGrid>
        <w:gridCol w:w="8268"/>
      </w:tblGrid>
      <w:tr w:rsidR="00347A7C" w14:paraId="45F9958A" w14:textId="77777777" w:rsidTr="007430AC">
        <w:tc>
          <w:tcPr>
            <w:tcW w:w="8268" w:type="dxa"/>
            <w:shd w:val="clear" w:color="auto" w:fill="F1F0EE" w:themeFill="accent4"/>
          </w:tcPr>
          <w:p w14:paraId="07B8574B" w14:textId="77777777" w:rsidR="00347A7C" w:rsidRDefault="00347A7C" w:rsidP="007430AC">
            <w:pPr>
              <w:pStyle w:val="IntroCopy0"/>
            </w:pPr>
            <w:r w:rsidRPr="00347A7C">
              <w:t>The Commission’s Board governs the organisation and is responsible for the proper and efficient performance of its functions. The Board establishes the Commission’s strategic direction, including directing and approving its strategic plan and monitoring management’s implementation of the plan.</w:t>
            </w:r>
          </w:p>
        </w:tc>
      </w:tr>
    </w:tbl>
    <w:p w14:paraId="12EA98F1" w14:textId="77777777" w:rsidR="00347A7C" w:rsidRDefault="00347A7C" w:rsidP="00347A7C">
      <w:pPr>
        <w:pStyle w:val="BodyText-spacebefore"/>
        <w:sectPr w:rsidR="00347A7C" w:rsidSect="00347A7C">
          <w:type w:val="continuous"/>
          <w:pgSz w:w="9979" w:h="14175" w:code="34"/>
          <w:pgMar w:top="1418" w:right="680" w:bottom="851" w:left="1021" w:header="567" w:footer="397" w:gutter="0"/>
          <w:cols w:space="340"/>
          <w:noEndnote/>
        </w:sectPr>
      </w:pPr>
    </w:p>
    <w:p w14:paraId="4CFA05CE" w14:textId="77777777" w:rsidR="00347A7C" w:rsidRDefault="00347A7C" w:rsidP="00B36313">
      <w:pPr>
        <w:pStyle w:val="BodyText"/>
      </w:pPr>
      <w:r>
        <w:lastRenderedPageBreak/>
        <w:t>It also oversees the Commission’s operations and ensures that appropriate systems and processes are in place so that the Commission operates in a safe, responsible and ethical manner, consistent with its regulatory obligations.</w:t>
      </w:r>
    </w:p>
    <w:p w14:paraId="2EBD88C7" w14:textId="77777777" w:rsidR="00347A7C" w:rsidRDefault="00347A7C" w:rsidP="00B36313">
      <w:pPr>
        <w:pStyle w:val="BodyText"/>
      </w:pPr>
      <w:r>
        <w:t>The Board is established and governed by the National Health Reform Act and the Public Governance, Performance and Accountability Act.</w:t>
      </w:r>
    </w:p>
    <w:p w14:paraId="38350512" w14:textId="77777777" w:rsidR="00347A7C" w:rsidRDefault="00347A7C" w:rsidP="00B36313">
      <w:pPr>
        <w:pStyle w:val="Heading2"/>
      </w:pPr>
      <w:r>
        <w:t>Board membership 2016–17</w:t>
      </w:r>
    </w:p>
    <w:p w14:paraId="65106804" w14:textId="77777777" w:rsidR="00347A7C" w:rsidRDefault="00347A7C" w:rsidP="00B36313">
      <w:pPr>
        <w:pStyle w:val="BodyText"/>
      </w:pPr>
      <w:r>
        <w:t>The Minister for Health appoints the Commission’s Board in consultation with all state and territory health ministers. The Board includes members who have extensive knowledge and experience in healthcare administration, the provision of health services, law, management, primary health care, corporate governance, and improving safety and quality.</w:t>
      </w:r>
    </w:p>
    <w:p w14:paraId="4173518C" w14:textId="77777777" w:rsidR="00347A7C" w:rsidRDefault="00B36313" w:rsidP="00B36313">
      <w:pPr>
        <w:pStyle w:val="Heading3"/>
      </w:pPr>
      <w:r>
        <w:br w:type="column"/>
      </w:r>
      <w:r w:rsidR="00347A7C">
        <w:lastRenderedPageBreak/>
        <w:t xml:space="preserve">Professor </w:t>
      </w:r>
      <w:proofErr w:type="spellStart"/>
      <w:r w:rsidR="00347A7C">
        <w:t>Villis</w:t>
      </w:r>
      <w:proofErr w:type="spellEnd"/>
      <w:r w:rsidR="00347A7C">
        <w:t xml:space="preserve"> Marshall </w:t>
      </w:r>
      <w:r w:rsidRPr="00295140">
        <w:rPr>
          <w:sz w:val="15"/>
        </w:rPr>
        <w:t>AC</w:t>
      </w:r>
      <w:r w:rsidR="00347A7C">
        <w:t xml:space="preserve"> (Chair)</w:t>
      </w:r>
    </w:p>
    <w:p w14:paraId="000C3783" w14:textId="77777777" w:rsidR="00347A7C" w:rsidRDefault="00347A7C" w:rsidP="00B36313">
      <w:pPr>
        <w:pStyle w:val="BodyText"/>
      </w:pPr>
      <w:r>
        <w:t>Professor Villis Marshall brings to the Board experience in providing healthcare services, managing public hospitals, and improving safety and quality. Professor Marshall has had significant clinical experience as a urologist, as Clinical Director (Surgical Specialties Service) for the Royal Adelaide Hospital and as Clinical Professor of Surgery at the University of Adelaide.</w:t>
      </w:r>
    </w:p>
    <w:p w14:paraId="6FBA5349" w14:textId="77777777" w:rsidR="00347A7C" w:rsidRDefault="00347A7C" w:rsidP="00B36313">
      <w:pPr>
        <w:pStyle w:val="BodyText"/>
      </w:pPr>
      <w:r>
        <w:t>Professor Marshall was awarded a Companion of the Order of Australia (AC) in 2006 for services to medicine, particularly urology and research into kidney disease; to the development of improved healthcare services in the Defence forces; and to the community through distinguished contributions to the development of pre-hospital first aid care provided by St John Ambulance Australia.</w:t>
      </w:r>
    </w:p>
    <w:p w14:paraId="5A1A0849" w14:textId="77777777" w:rsidR="00347A7C" w:rsidRDefault="00347A7C" w:rsidP="00B36313">
      <w:pPr>
        <w:pStyle w:val="BodyText"/>
      </w:pPr>
      <w:r>
        <w:t>His previous appointments include General Manager at Royal Adelaide Hospital, Senior Specialist in Urology and Director of Surgery at Repatriation General Hospital, and Professor and Chair of Surgical and Specialty Services at Flinders Medical Centre.</w:t>
      </w:r>
    </w:p>
    <w:p w14:paraId="33BCCE3C" w14:textId="77777777" w:rsidR="00347A7C" w:rsidRDefault="00347A7C" w:rsidP="00B36313">
      <w:pPr>
        <w:pStyle w:val="BodyText"/>
      </w:pPr>
      <w:r w:rsidRPr="00B36313">
        <w:rPr>
          <w:rStyle w:val="Strong"/>
        </w:rPr>
        <w:t>Qualifications:</w:t>
      </w:r>
      <w:r>
        <w:t xml:space="preserve"> MD, MBBS, FRACS</w:t>
      </w:r>
    </w:p>
    <w:p w14:paraId="6D4094FB" w14:textId="77777777" w:rsidR="00B36313" w:rsidRDefault="00347A7C" w:rsidP="00B36313">
      <w:pPr>
        <w:pStyle w:val="BodyText"/>
      </w:pPr>
      <w:r w:rsidRPr="00B36313">
        <w:rPr>
          <w:rStyle w:val="Strong"/>
        </w:rPr>
        <w:t>Board membership:</w:t>
      </w:r>
      <w:r>
        <w:t xml:space="preserve"> First appointed on 1 April 2012; appointed as Chair on 1 April 2013</w:t>
      </w:r>
    </w:p>
    <w:p w14:paraId="61A0626F" w14:textId="77777777" w:rsidR="00347A7C" w:rsidRDefault="00347A7C" w:rsidP="00B36313">
      <w:pPr>
        <w:pStyle w:val="BodyText"/>
      </w:pPr>
      <w:r>
        <w:br w:type="page"/>
      </w:r>
    </w:p>
    <w:p w14:paraId="60ED22E6" w14:textId="77777777" w:rsidR="00347A7C" w:rsidRDefault="00347A7C" w:rsidP="00B36313">
      <w:pPr>
        <w:pStyle w:val="Heading3"/>
      </w:pPr>
      <w:r>
        <w:lastRenderedPageBreak/>
        <w:t xml:space="preserve">Mr Martin Bowles </w:t>
      </w:r>
      <w:proofErr w:type="spellStart"/>
      <w:r>
        <w:rPr>
          <w:smallCaps/>
        </w:rPr>
        <w:t>psm</w:t>
      </w:r>
      <w:proofErr w:type="spellEnd"/>
    </w:p>
    <w:p w14:paraId="0460C4F3" w14:textId="77777777" w:rsidR="00347A7C" w:rsidRDefault="00347A7C" w:rsidP="00F508A0">
      <w:pPr>
        <w:pStyle w:val="BodyText"/>
      </w:pPr>
      <w:r>
        <w:t>Mr Martin Bowles was appointed Secretary of the Australian Government Department of Health on 13 October 2014.</w:t>
      </w:r>
    </w:p>
    <w:p w14:paraId="0F704744" w14:textId="77777777" w:rsidR="00347A7C" w:rsidRDefault="00347A7C" w:rsidP="00F508A0">
      <w:pPr>
        <w:pStyle w:val="BodyText"/>
      </w:pPr>
      <w:r>
        <w:t>Mr Bowles was previously the Secretary of the Department of Immigration and Border Protection. He has also been Deputy Secretary of the Department of Climate Change and Energy Efficiency, and Deputy Secretary of the Department of Defence. In 2012, Mr Bowles was awarded a Public Service Medal (PSM) for delivering highly successful energy efficiency policies and remediation programs for the Home Insulation and Green Loans programs.</w:t>
      </w:r>
    </w:p>
    <w:p w14:paraId="616ABCE4" w14:textId="77777777" w:rsidR="00347A7C" w:rsidRDefault="00347A7C" w:rsidP="00F508A0">
      <w:pPr>
        <w:pStyle w:val="BodyText"/>
      </w:pPr>
      <w:r>
        <w:t>Before joining the Australian Government, Mr Bowles held senior executive positions in the education and health portfolios in the Queensland and New South Wales public sectors. He is a Fellow of the Australian Society of Certified Practising Accountants.</w:t>
      </w:r>
    </w:p>
    <w:p w14:paraId="56DD51B7" w14:textId="77777777" w:rsidR="00347A7C" w:rsidRDefault="00347A7C" w:rsidP="00F508A0">
      <w:pPr>
        <w:pStyle w:val="BodyText"/>
      </w:pPr>
      <w:r w:rsidRPr="00F508A0">
        <w:rPr>
          <w:rStyle w:val="Strong"/>
        </w:rPr>
        <w:t>Qualifications:</w:t>
      </w:r>
      <w:r>
        <w:t xml:space="preserve"> </w:t>
      </w:r>
      <w:proofErr w:type="spellStart"/>
      <w:r>
        <w:t>BBus</w:t>
      </w:r>
      <w:proofErr w:type="spellEnd"/>
      <w:r>
        <w:t xml:space="preserve">, </w:t>
      </w:r>
      <w:proofErr w:type="spellStart"/>
      <w:r>
        <w:t>GCPubSecMgmnt</w:t>
      </w:r>
      <w:proofErr w:type="spellEnd"/>
    </w:p>
    <w:p w14:paraId="0394BFFD" w14:textId="77777777" w:rsidR="00347A7C" w:rsidRDefault="00347A7C" w:rsidP="00F508A0">
      <w:pPr>
        <w:pStyle w:val="BodyText"/>
      </w:pPr>
      <w:r w:rsidRPr="00F508A0">
        <w:rPr>
          <w:rStyle w:val="Strong"/>
        </w:rPr>
        <w:t>Board membership:</w:t>
      </w:r>
      <w:r>
        <w:t xml:space="preserve"> First appointed on 14</w:t>
      </w:r>
      <w:r>
        <w:rPr>
          <w:rFonts w:cs="Arial"/>
        </w:rPr>
        <w:t> </w:t>
      </w:r>
      <w:r>
        <w:t>May</w:t>
      </w:r>
      <w:r>
        <w:rPr>
          <w:rFonts w:cs="Arial"/>
        </w:rPr>
        <w:t> </w:t>
      </w:r>
      <w:r>
        <w:t>2015</w:t>
      </w:r>
    </w:p>
    <w:p w14:paraId="7C95EC9A" w14:textId="77777777" w:rsidR="00347A7C" w:rsidRDefault="00347A7C" w:rsidP="00B36313">
      <w:pPr>
        <w:pStyle w:val="Heading3"/>
      </w:pPr>
      <w:r>
        <w:t xml:space="preserve">Dr David Filby </w:t>
      </w:r>
      <w:proofErr w:type="spellStart"/>
      <w:r>
        <w:rPr>
          <w:smallCaps/>
        </w:rPr>
        <w:t>psm</w:t>
      </w:r>
      <w:proofErr w:type="spellEnd"/>
    </w:p>
    <w:p w14:paraId="1EA2C9C8" w14:textId="77777777" w:rsidR="00347A7C" w:rsidRDefault="00347A7C" w:rsidP="00F508A0">
      <w:pPr>
        <w:pStyle w:val="BodyText"/>
      </w:pPr>
      <w:r>
        <w:t>Dr David Filby has worked extensively across the Australian healthcare landscape in a number of significant policy and executive roles. He</w:t>
      </w:r>
      <w:r>
        <w:rPr>
          <w:rFonts w:cs="Arial"/>
        </w:rPr>
        <w:t> </w:t>
      </w:r>
      <w:r>
        <w:t>has held senior national health policy roles and senior executive positions in Queensland and South Australia. In July 2016 he completed a six-and-a-half-year term as Executive Consultant for SA Health and the Australian Health Ministers’ Advisory Council.</w:t>
      </w:r>
    </w:p>
    <w:p w14:paraId="6623BE9E" w14:textId="77777777" w:rsidR="00347A7C" w:rsidRDefault="00347A7C" w:rsidP="00F508A0">
      <w:pPr>
        <w:pStyle w:val="BodyText"/>
      </w:pPr>
      <w:r>
        <w:t>Dr Filby served on the board of the Australian Institute of Health and Welfare for 14 years and on the board of Helping Hand Aged Care Inc. for nine years, including six as Chair. He</w:t>
      </w:r>
      <w:r>
        <w:rPr>
          <w:rFonts w:cs="Arial"/>
        </w:rPr>
        <w:t> </w:t>
      </w:r>
      <w:r>
        <w:t xml:space="preserve">was also a board member of the National Health Performance Authority until June 2016, and previously served on the board of South Australia’s Child Health Research Institute Council. Dr Filby holds an Adjunct Professorship in the Faculty of Health Sciences at Flinders University. In 2007, he was awarded the Sydney </w:t>
      </w:r>
      <w:r>
        <w:lastRenderedPageBreak/>
        <w:t>Sax Medal by the Australian Healthcare and Hospitals Association, and in 2008, he</w:t>
      </w:r>
      <w:r>
        <w:rPr>
          <w:rFonts w:cs="Arial"/>
        </w:rPr>
        <w:t> </w:t>
      </w:r>
      <w:r>
        <w:t>received</w:t>
      </w:r>
      <w:r>
        <w:rPr>
          <w:rFonts w:cs="Arial"/>
        </w:rPr>
        <w:t> </w:t>
      </w:r>
      <w:r>
        <w:t xml:space="preserve">a PSM. </w:t>
      </w:r>
    </w:p>
    <w:p w14:paraId="04549FC0" w14:textId="77777777" w:rsidR="00347A7C" w:rsidRDefault="00347A7C" w:rsidP="00F508A0">
      <w:pPr>
        <w:pStyle w:val="BodyText"/>
      </w:pPr>
      <w:r w:rsidRPr="00F508A0">
        <w:rPr>
          <w:rStyle w:val="Strong"/>
        </w:rPr>
        <w:t>Qualifications:</w:t>
      </w:r>
      <w:r>
        <w:t xml:space="preserve"> PhD</w:t>
      </w:r>
    </w:p>
    <w:p w14:paraId="3D812EE4" w14:textId="77777777" w:rsidR="00347A7C" w:rsidRDefault="00347A7C" w:rsidP="00F508A0">
      <w:pPr>
        <w:pStyle w:val="BodyText"/>
      </w:pPr>
      <w:r w:rsidRPr="00F508A0">
        <w:rPr>
          <w:rStyle w:val="Strong"/>
        </w:rPr>
        <w:t>Board membership:</w:t>
      </w:r>
      <w:r>
        <w:t xml:space="preserve"> First appointed on 29</w:t>
      </w:r>
      <w:r>
        <w:rPr>
          <w:rFonts w:cs="Arial"/>
        </w:rPr>
        <w:t> </w:t>
      </w:r>
      <w:r>
        <w:t>July</w:t>
      </w:r>
      <w:r>
        <w:rPr>
          <w:rFonts w:cs="Arial"/>
        </w:rPr>
        <w:t> </w:t>
      </w:r>
      <w:r>
        <w:t>2016</w:t>
      </w:r>
    </w:p>
    <w:p w14:paraId="1FF0A5C4" w14:textId="77777777" w:rsidR="00347A7C" w:rsidRDefault="00347A7C" w:rsidP="00B36313">
      <w:pPr>
        <w:pStyle w:val="Heading3"/>
      </w:pPr>
      <w:r>
        <w:t xml:space="preserve">Adjunct Professor John Walsh </w:t>
      </w:r>
      <w:r>
        <w:rPr>
          <w:smallCaps/>
        </w:rPr>
        <w:t>am</w:t>
      </w:r>
    </w:p>
    <w:p w14:paraId="6E1407DF" w14:textId="77777777" w:rsidR="00347A7C" w:rsidRDefault="00347A7C" w:rsidP="00F508A0">
      <w:pPr>
        <w:pStyle w:val="BodyText"/>
      </w:pPr>
      <w:r>
        <w:t>Professor John Walsh has expertise in social policy and funding for accident compensation, health and disability. He holds an Adjunct Professor appointment at the University of</w:t>
      </w:r>
      <w:r>
        <w:rPr>
          <w:rFonts w:cs="Arial"/>
        </w:rPr>
        <w:t> </w:t>
      </w:r>
      <w:r>
        <w:t>Sydney.</w:t>
      </w:r>
    </w:p>
    <w:p w14:paraId="117EF4A5" w14:textId="77777777" w:rsidR="00347A7C" w:rsidRDefault="00347A7C" w:rsidP="00F508A0">
      <w:pPr>
        <w:pStyle w:val="BodyText"/>
      </w:pPr>
      <w:r>
        <w:t>Professor Walsh is a board member of the National Disability Insurance Agency, having previously been a Productivity Commissioner. In 2010, he was part of the reference group that recommended a national disability insurance</w:t>
      </w:r>
      <w:r>
        <w:rPr>
          <w:rFonts w:cs="Arial"/>
        </w:rPr>
        <w:t> </w:t>
      </w:r>
      <w:r>
        <w:t>scheme.</w:t>
      </w:r>
    </w:p>
    <w:p w14:paraId="4E7C1084" w14:textId="77777777" w:rsidR="00347A7C" w:rsidRDefault="00347A7C" w:rsidP="00F508A0">
      <w:pPr>
        <w:pStyle w:val="BodyText"/>
      </w:pPr>
      <w:r>
        <w:t xml:space="preserve">Professor Walsh was the Deputy Chair of the National Health Performance Authority until June 2016, and chaired the independent panel overseeing </w:t>
      </w:r>
      <w:r w:rsidRPr="00F84D61">
        <w:rPr>
          <w:rStyle w:val="Emphasis"/>
        </w:rPr>
        <w:t>Caring Together: The Health Action Plan for NSW</w:t>
      </w:r>
      <w:r>
        <w:t>. He has also held board memberships with several organisations including the NSW Motor Accidents Authority and NSW Home Care Service.</w:t>
      </w:r>
    </w:p>
    <w:p w14:paraId="08928919" w14:textId="77777777" w:rsidR="00347A7C" w:rsidRDefault="00347A7C" w:rsidP="00F508A0">
      <w:pPr>
        <w:pStyle w:val="BodyText"/>
      </w:pPr>
      <w:r>
        <w:t>Professor Walsh was a partner at PricewaterhouseCoopers Australia, where he worked for 20 years. In 2011, he was appointed a Member of the Order of Australia (AM) and also received the Prime Minister’s Outstanding Achievement Award for service to the disability</w:t>
      </w:r>
      <w:r>
        <w:rPr>
          <w:rFonts w:cs="Arial"/>
        </w:rPr>
        <w:t> </w:t>
      </w:r>
      <w:r>
        <w:t>sector.</w:t>
      </w:r>
    </w:p>
    <w:p w14:paraId="78A24232" w14:textId="77777777" w:rsidR="00347A7C" w:rsidRDefault="00347A7C" w:rsidP="00F508A0">
      <w:pPr>
        <w:pStyle w:val="BodyText"/>
      </w:pPr>
      <w:r w:rsidRPr="00F508A0">
        <w:rPr>
          <w:rStyle w:val="Strong"/>
        </w:rPr>
        <w:t>Qualifications:</w:t>
      </w:r>
      <w:r>
        <w:t xml:space="preserve"> BSc, FIAA</w:t>
      </w:r>
    </w:p>
    <w:p w14:paraId="03D26843" w14:textId="77777777" w:rsidR="00347A7C" w:rsidRDefault="00347A7C" w:rsidP="00F508A0">
      <w:pPr>
        <w:pStyle w:val="BodyText"/>
      </w:pPr>
      <w:r w:rsidRPr="00F508A0">
        <w:rPr>
          <w:rStyle w:val="Strong"/>
        </w:rPr>
        <w:t>Board membership:</w:t>
      </w:r>
      <w:r>
        <w:t xml:space="preserve"> First appointed on 29</w:t>
      </w:r>
      <w:r>
        <w:rPr>
          <w:rFonts w:cs="Arial"/>
        </w:rPr>
        <w:t> </w:t>
      </w:r>
      <w:r>
        <w:t>July</w:t>
      </w:r>
      <w:r>
        <w:rPr>
          <w:rFonts w:cs="Arial"/>
        </w:rPr>
        <w:t> </w:t>
      </w:r>
      <w:r>
        <w:t>2016</w:t>
      </w:r>
    </w:p>
    <w:p w14:paraId="39F67BA0" w14:textId="77777777" w:rsidR="00347A7C" w:rsidRDefault="00347A7C">
      <w:pPr>
        <w:spacing w:after="160" w:line="259" w:lineRule="auto"/>
      </w:pPr>
      <w:r>
        <w:br w:type="page"/>
      </w:r>
    </w:p>
    <w:p w14:paraId="3FF18630" w14:textId="77777777" w:rsidR="00347A7C" w:rsidRDefault="00347A7C" w:rsidP="00B36313">
      <w:pPr>
        <w:pStyle w:val="Heading3"/>
      </w:pPr>
      <w:r>
        <w:lastRenderedPageBreak/>
        <w:t>Professor Phillip Della</w:t>
      </w:r>
    </w:p>
    <w:p w14:paraId="2FB5A9D8" w14:textId="77777777" w:rsidR="00347A7C" w:rsidRDefault="00347A7C" w:rsidP="00F508A0">
      <w:pPr>
        <w:pStyle w:val="BodyText"/>
      </w:pPr>
      <w:r>
        <w:t>Professor Phillip Della has experience in public administration (health care), providing professional healthcare services, and improving safety and quality. Previously Deputy Pro Vice-Chancellor of Health Science at Curtin University, Professor Della continues to hold a number of positions at the university, including Professor and Head of the School of Nursing, Midwifery and Paramedicine.</w:t>
      </w:r>
    </w:p>
    <w:p w14:paraId="6741851B" w14:textId="77777777" w:rsidR="00347A7C" w:rsidRDefault="00347A7C" w:rsidP="00F508A0">
      <w:pPr>
        <w:pStyle w:val="BodyText"/>
      </w:pPr>
      <w:r>
        <w:t>Previous roles also include Chief Nursing Officer and Principal Nursing Advisor for the Western Australian Department of Health.</w:t>
      </w:r>
    </w:p>
    <w:p w14:paraId="579C3B24" w14:textId="77777777" w:rsidR="00347A7C" w:rsidRDefault="00347A7C" w:rsidP="00F508A0">
      <w:pPr>
        <w:pStyle w:val="BodyText"/>
      </w:pPr>
      <w:r w:rsidRPr="00F508A0">
        <w:rPr>
          <w:rStyle w:val="Strong"/>
        </w:rPr>
        <w:t>Qualifications:</w:t>
      </w:r>
      <w:r>
        <w:t xml:space="preserve"> PhD, FACN</w:t>
      </w:r>
    </w:p>
    <w:p w14:paraId="1F95C838" w14:textId="77777777" w:rsidR="00347A7C" w:rsidRDefault="00347A7C" w:rsidP="00F508A0">
      <w:pPr>
        <w:pStyle w:val="BodyText"/>
      </w:pPr>
      <w:r w:rsidRPr="00F508A0">
        <w:rPr>
          <w:rStyle w:val="Strong"/>
        </w:rPr>
        <w:t xml:space="preserve">Board membership: </w:t>
      </w:r>
      <w:r>
        <w:t>First appointed on 1 April 2013; term concluded on 31 March 2017</w:t>
      </w:r>
    </w:p>
    <w:p w14:paraId="502ED4A6" w14:textId="77777777" w:rsidR="00347A7C" w:rsidRDefault="00347A7C" w:rsidP="00B36313">
      <w:pPr>
        <w:pStyle w:val="Heading3"/>
      </w:pPr>
      <w:r>
        <w:t>Ms Christine Gee</w:t>
      </w:r>
    </w:p>
    <w:p w14:paraId="2FA0C902" w14:textId="77777777" w:rsidR="00347A7C" w:rsidRDefault="00347A7C" w:rsidP="00F508A0">
      <w:pPr>
        <w:pStyle w:val="BodyText"/>
      </w:pPr>
      <w:r>
        <w:t xml:space="preserve">Ms Christine Gee brings to the Board extensive experience in private hospital administration, having held executive management positions for more than 25 years. She has been the Chief Executive Officer of </w:t>
      </w:r>
      <w:proofErr w:type="spellStart"/>
      <w:r>
        <w:t>Toowong</w:t>
      </w:r>
      <w:proofErr w:type="spellEnd"/>
      <w:r>
        <w:t xml:space="preserve"> Private Hospital since 1997. She is also Chair of the Commission’s Private Hospital Sector</w:t>
      </w:r>
      <w:r>
        <w:rPr>
          <w:rFonts w:cs="Arial"/>
        </w:rPr>
        <w:t> </w:t>
      </w:r>
      <w:r>
        <w:t>Committee.</w:t>
      </w:r>
    </w:p>
    <w:p w14:paraId="464C305C" w14:textId="77777777" w:rsidR="00347A7C" w:rsidRDefault="00347A7C" w:rsidP="00F508A0">
      <w:pPr>
        <w:pStyle w:val="BodyText"/>
      </w:pPr>
      <w:r>
        <w:t>Ms Gee is involved in numerous national and state boards and committees, including the Australian Private Hospitals Association, the Private Hospitals Association of Queensland, the Queensland Board of the Medical Board of Australia, and the Australian Government’s Second Tier Advisory Committee.</w:t>
      </w:r>
    </w:p>
    <w:p w14:paraId="73E82311" w14:textId="77777777" w:rsidR="00347A7C" w:rsidRDefault="00347A7C" w:rsidP="00F508A0">
      <w:pPr>
        <w:pStyle w:val="BodyText"/>
      </w:pPr>
      <w:r w:rsidRPr="00F508A0">
        <w:rPr>
          <w:rStyle w:val="Strong"/>
        </w:rPr>
        <w:t>Qualifications:</w:t>
      </w:r>
      <w:r>
        <w:t xml:space="preserve"> MBA</w:t>
      </w:r>
    </w:p>
    <w:p w14:paraId="2B9647BA" w14:textId="77777777" w:rsidR="00347A7C" w:rsidRDefault="00347A7C" w:rsidP="00F508A0">
      <w:pPr>
        <w:pStyle w:val="BodyText"/>
      </w:pPr>
      <w:r w:rsidRPr="00F508A0">
        <w:rPr>
          <w:rStyle w:val="Strong"/>
        </w:rPr>
        <w:t>Board membership:</w:t>
      </w:r>
      <w:r>
        <w:t xml:space="preserve"> First appointed as a Commission member in March 2006; appointed to the Board, as established under the National Health Reform Act, on 1 July 2011.</w:t>
      </w:r>
    </w:p>
    <w:p w14:paraId="3F4A6A7C" w14:textId="44E9C38C" w:rsidR="00347A7C" w:rsidRDefault="00D651C5" w:rsidP="00B36313">
      <w:pPr>
        <w:pStyle w:val="Heading3"/>
      </w:pPr>
      <w:r>
        <w:br w:type="column"/>
      </w:r>
      <w:r w:rsidR="00347A7C">
        <w:lastRenderedPageBreak/>
        <w:t xml:space="preserve">Ms Wendy Harris </w:t>
      </w:r>
      <w:r w:rsidR="00347A7C">
        <w:rPr>
          <w:smallCaps/>
        </w:rPr>
        <w:t>qc</w:t>
      </w:r>
    </w:p>
    <w:p w14:paraId="24E3EE91" w14:textId="77777777" w:rsidR="00347A7C" w:rsidRDefault="00347A7C" w:rsidP="00F508A0">
      <w:pPr>
        <w:pStyle w:val="BodyText"/>
      </w:pPr>
      <w:r>
        <w:t>Ms Wendy Harris is a barrister who specialises in commercial law. She was admitted to the Victorian Bar in 1997 and was appointed Senior Counsel in 2010.</w:t>
      </w:r>
    </w:p>
    <w:p w14:paraId="5743EA25" w14:textId="77777777" w:rsidR="00347A7C" w:rsidRPr="00C505AD" w:rsidRDefault="00347A7C" w:rsidP="00F508A0">
      <w:pPr>
        <w:pStyle w:val="BodyText"/>
      </w:pPr>
      <w:r w:rsidRPr="00C505AD">
        <w:t xml:space="preserve">Between 2011 and 2015, she was Board Chair of the Peter </w:t>
      </w:r>
      <w:proofErr w:type="spellStart"/>
      <w:r w:rsidRPr="00C505AD">
        <w:t>MacCallum</w:t>
      </w:r>
      <w:proofErr w:type="spellEnd"/>
      <w:r w:rsidRPr="00C505AD">
        <w:t xml:space="preserve"> Cancer Centre, Australia’s only public hospital dedicated to cancer treatment, research and education. In addition to being a member of the Commission’s Board, Ms Harris chairs the National Model Clinical Governance Framework Advisory Panel.</w:t>
      </w:r>
    </w:p>
    <w:p w14:paraId="637A737E" w14:textId="77777777" w:rsidR="00347A7C" w:rsidRDefault="00347A7C" w:rsidP="00F508A0">
      <w:pPr>
        <w:pStyle w:val="BodyText"/>
      </w:pPr>
      <w:r>
        <w:t>Previous directorships include 10 years on the board of Barristers’ Chambers Limited, which is the repository of the Victorian Bar’s substantial property assets, and the provider of chambers accommodation and ancillary services for its members. Ms Harris is currently a member of the Bar Council of the Victorian Bar Inc.</w:t>
      </w:r>
    </w:p>
    <w:p w14:paraId="6BAD91BF" w14:textId="77777777" w:rsidR="00347A7C" w:rsidRDefault="00347A7C" w:rsidP="00F508A0">
      <w:pPr>
        <w:pStyle w:val="BodyText"/>
      </w:pPr>
      <w:r w:rsidRPr="00F508A0">
        <w:rPr>
          <w:rStyle w:val="Strong"/>
        </w:rPr>
        <w:t>Qualifications:</w:t>
      </w:r>
      <w:r>
        <w:t xml:space="preserve"> LLB (Hons)</w:t>
      </w:r>
    </w:p>
    <w:p w14:paraId="7CBD3894" w14:textId="77777777" w:rsidR="00347A7C" w:rsidRPr="00C505AD" w:rsidRDefault="00347A7C" w:rsidP="00F508A0">
      <w:pPr>
        <w:pStyle w:val="BodyText"/>
        <w:ind w:right="-142"/>
      </w:pPr>
      <w:r w:rsidRPr="00F508A0">
        <w:rPr>
          <w:rStyle w:val="Strong"/>
        </w:rPr>
        <w:t>Board membership</w:t>
      </w:r>
      <w:r w:rsidRPr="00C505AD">
        <w:t>: First appointed in July 2015</w:t>
      </w:r>
    </w:p>
    <w:p w14:paraId="02309110" w14:textId="77777777" w:rsidR="00347A7C" w:rsidRDefault="00347A7C" w:rsidP="00B36313">
      <w:pPr>
        <w:pStyle w:val="Heading3"/>
      </w:pPr>
      <w:r>
        <w:t>Dr Shaun Larkin</w:t>
      </w:r>
    </w:p>
    <w:p w14:paraId="1C39B9B4" w14:textId="77777777" w:rsidR="00347A7C" w:rsidRDefault="00347A7C" w:rsidP="00F508A0">
      <w:pPr>
        <w:pStyle w:val="BodyText"/>
      </w:pPr>
      <w:r>
        <w:t>Dr Shaun Larkin worked for The Hospitals Contribution Fund of Australia (HCF), Australia’s largest not-for-profit health fund, from 1997</w:t>
      </w:r>
      <w:r>
        <w:rPr>
          <w:rFonts w:cs="Arial"/>
        </w:rPr>
        <w:t> </w:t>
      </w:r>
      <w:r>
        <w:t>to</w:t>
      </w:r>
      <w:r>
        <w:rPr>
          <w:rFonts w:cs="Arial"/>
        </w:rPr>
        <w:t> </w:t>
      </w:r>
      <w:r>
        <w:t>2017.</w:t>
      </w:r>
    </w:p>
    <w:p w14:paraId="6D95EC48" w14:textId="77777777" w:rsidR="00347A7C" w:rsidRDefault="00347A7C" w:rsidP="00F508A0">
      <w:pPr>
        <w:pStyle w:val="BodyText"/>
      </w:pPr>
      <w:r>
        <w:t xml:space="preserve">After serving as General Manager in a number of executive roles, including in strategic development, benefits management, corporate ventures and operations, he was selected as HCF’s Managing Director in 2009. </w:t>
      </w:r>
    </w:p>
    <w:p w14:paraId="2B967859" w14:textId="77777777" w:rsidR="00347A7C" w:rsidRDefault="00347A7C" w:rsidP="00F508A0">
      <w:pPr>
        <w:pStyle w:val="BodyText"/>
      </w:pPr>
      <w:r>
        <w:t>Before joining HCF, Dr Larkin was based in Singapore for four years, where he led the establishment of a chain of ambulatory medical centres throughout Asia.</w:t>
      </w:r>
    </w:p>
    <w:p w14:paraId="4693C147" w14:textId="77777777" w:rsidR="00347A7C" w:rsidRDefault="00347A7C" w:rsidP="00F508A0">
      <w:pPr>
        <w:pStyle w:val="BodyText"/>
      </w:pPr>
      <w:r>
        <w:t>Before this he worked for eight years as an executive for a large private hospital operator (Ramsay Health Care) in Australia and the United States.</w:t>
      </w:r>
    </w:p>
    <w:p w14:paraId="2D6A9D8E" w14:textId="77777777" w:rsidR="00347A7C" w:rsidRDefault="00347A7C" w:rsidP="00F508A0">
      <w:pPr>
        <w:pStyle w:val="BodyText"/>
      </w:pPr>
      <w:r w:rsidRPr="00F508A0">
        <w:rPr>
          <w:rStyle w:val="Strong"/>
        </w:rPr>
        <w:t>Qualifications:</w:t>
      </w:r>
      <w:r>
        <w:t xml:space="preserve"> </w:t>
      </w:r>
      <w:proofErr w:type="spellStart"/>
      <w:r>
        <w:t>HlthScD</w:t>
      </w:r>
      <w:proofErr w:type="spellEnd"/>
      <w:r>
        <w:t xml:space="preserve">, </w:t>
      </w:r>
      <w:proofErr w:type="spellStart"/>
      <w:r>
        <w:t>MHSc</w:t>
      </w:r>
      <w:proofErr w:type="spellEnd"/>
      <w:r>
        <w:t>, MBA, BHA</w:t>
      </w:r>
    </w:p>
    <w:p w14:paraId="0849B1CF" w14:textId="56FFB4B0" w:rsidR="00347A7C" w:rsidRDefault="00347A7C" w:rsidP="00D651C5">
      <w:pPr>
        <w:pStyle w:val="BodyText"/>
      </w:pPr>
      <w:r w:rsidRPr="00F508A0">
        <w:rPr>
          <w:rStyle w:val="Strong"/>
        </w:rPr>
        <w:t>Board membership:</w:t>
      </w:r>
      <w:r>
        <w:t xml:space="preserve"> First appointed on 1</w:t>
      </w:r>
      <w:r>
        <w:rPr>
          <w:rFonts w:cs="Arial"/>
        </w:rPr>
        <w:t> </w:t>
      </w:r>
      <w:r>
        <w:t>April</w:t>
      </w:r>
      <w:r>
        <w:rPr>
          <w:rFonts w:cs="Arial"/>
        </w:rPr>
        <w:t> </w:t>
      </w:r>
      <w:r>
        <w:t>2013</w:t>
      </w:r>
      <w:r>
        <w:br w:type="page"/>
      </w:r>
    </w:p>
    <w:p w14:paraId="0E3708AD" w14:textId="77777777" w:rsidR="00347A7C" w:rsidRDefault="00347A7C" w:rsidP="00B36313">
      <w:pPr>
        <w:pStyle w:val="Heading3"/>
      </w:pPr>
      <w:r>
        <w:lastRenderedPageBreak/>
        <w:t xml:space="preserve">Mrs </w:t>
      </w:r>
      <w:proofErr w:type="spellStart"/>
      <w:r>
        <w:t>Cheryle</w:t>
      </w:r>
      <w:proofErr w:type="spellEnd"/>
      <w:r>
        <w:t xml:space="preserve"> </w:t>
      </w:r>
      <w:proofErr w:type="spellStart"/>
      <w:r>
        <w:t>Royle</w:t>
      </w:r>
      <w:proofErr w:type="spellEnd"/>
    </w:p>
    <w:p w14:paraId="70548A58" w14:textId="77777777" w:rsidR="00347A7C" w:rsidRDefault="00347A7C" w:rsidP="00F508A0">
      <w:pPr>
        <w:pStyle w:val="BodyText"/>
      </w:pPr>
      <w:r>
        <w:t xml:space="preserve">Starting her career as a nurse, Mrs </w:t>
      </w:r>
      <w:proofErr w:type="spellStart"/>
      <w:r>
        <w:t>Cheryle</w:t>
      </w:r>
      <w:proofErr w:type="spellEnd"/>
      <w:r>
        <w:t xml:space="preserve"> </w:t>
      </w:r>
      <w:proofErr w:type="spellStart"/>
      <w:r>
        <w:t>Royle</w:t>
      </w:r>
      <w:proofErr w:type="spellEnd"/>
      <w:r>
        <w:t xml:space="preserve"> has had a long career in health service management in both Victoria and Queensland. Mrs </w:t>
      </w:r>
      <w:proofErr w:type="spellStart"/>
      <w:r>
        <w:t>Royle</w:t>
      </w:r>
      <w:proofErr w:type="spellEnd"/>
      <w:r>
        <w:t xml:space="preserve"> was most recently the Chief Executive Officer of St Vincent’s Private Hospital Brisbane. She is a passionate advocate for quality care in hospitals, and has been on a number of boards in Victoria.</w:t>
      </w:r>
    </w:p>
    <w:p w14:paraId="764C4654" w14:textId="77777777" w:rsidR="00347A7C" w:rsidRDefault="00347A7C" w:rsidP="00F508A0">
      <w:pPr>
        <w:pStyle w:val="BodyText"/>
      </w:pPr>
      <w:r>
        <w:t xml:space="preserve">In 1998, Mrs </w:t>
      </w:r>
      <w:proofErr w:type="spellStart"/>
      <w:r>
        <w:t>Royle</w:t>
      </w:r>
      <w:proofErr w:type="spellEnd"/>
      <w:r>
        <w:t xml:space="preserve"> was recognised as the Telstra Victorian Business Woman of the Year for the private sector.</w:t>
      </w:r>
    </w:p>
    <w:p w14:paraId="6733082A" w14:textId="77777777" w:rsidR="00347A7C" w:rsidRDefault="00347A7C" w:rsidP="00F508A0">
      <w:pPr>
        <w:pStyle w:val="BodyText"/>
      </w:pPr>
      <w:r w:rsidRPr="00F508A0">
        <w:rPr>
          <w:rStyle w:val="Strong"/>
        </w:rPr>
        <w:t>Qualifications:</w:t>
      </w:r>
      <w:r>
        <w:t xml:space="preserve"> RN, RM, BN, </w:t>
      </w:r>
      <w:proofErr w:type="spellStart"/>
      <w:r>
        <w:t>GDip</w:t>
      </w:r>
      <w:proofErr w:type="spellEnd"/>
      <w:r>
        <w:t xml:space="preserve"> Nursing Administration</w:t>
      </w:r>
    </w:p>
    <w:p w14:paraId="2BCD12A5" w14:textId="77777777" w:rsidR="00F508A0" w:rsidRDefault="00347A7C" w:rsidP="00F508A0">
      <w:pPr>
        <w:pStyle w:val="BodyText"/>
      </w:pPr>
      <w:r w:rsidRPr="00F508A0">
        <w:rPr>
          <w:rStyle w:val="Strong"/>
        </w:rPr>
        <w:t>Board membership:</w:t>
      </w:r>
      <w:r w:rsidRPr="00F508A0">
        <w:t xml:space="preserve"> First appointed on 4 September 2014</w:t>
      </w:r>
    </w:p>
    <w:p w14:paraId="7551002E" w14:textId="77777777" w:rsidR="00347A7C" w:rsidRDefault="00F508A0" w:rsidP="00F508A0">
      <w:pPr>
        <w:pStyle w:val="Heading3"/>
      </w:pPr>
      <w:r>
        <w:br w:type="column"/>
      </w:r>
      <w:r w:rsidR="00347A7C">
        <w:lastRenderedPageBreak/>
        <w:t>Dr Helena Williams</w:t>
      </w:r>
    </w:p>
    <w:p w14:paraId="3F80E66A" w14:textId="77777777" w:rsidR="00347A7C" w:rsidRDefault="00347A7C" w:rsidP="00F508A0">
      <w:pPr>
        <w:pStyle w:val="BodyText"/>
      </w:pPr>
      <w:r>
        <w:t>Dr Helena Williams brings to the Board her clinical expertise as a general practitioner and as the previous Executive Clinical Director of Southern Adelaide-</w:t>
      </w:r>
      <w:proofErr w:type="spellStart"/>
      <w:r>
        <w:t>Fleurieu</w:t>
      </w:r>
      <w:proofErr w:type="spellEnd"/>
      <w:r>
        <w:t>-Kangaroo Island Medicare Local Ltd. She is currently also the Presiding Member of the Southern Adelaide Local Health Network Governing Council.</w:t>
      </w:r>
    </w:p>
    <w:p w14:paraId="4F14342B" w14:textId="77777777" w:rsidR="00347A7C" w:rsidRDefault="00347A7C" w:rsidP="00F508A0">
      <w:pPr>
        <w:pStyle w:val="BodyText"/>
      </w:pPr>
      <w:r>
        <w:t>Dr Williams’s previous board directorships include Cancer Council SA, Noarlunga Health Services, the South Australian Divisions of General Practice, the Australian General Practice Network and the Southern Adelaide Health Service.</w:t>
      </w:r>
    </w:p>
    <w:p w14:paraId="55223049" w14:textId="77777777" w:rsidR="00347A7C" w:rsidRDefault="00347A7C" w:rsidP="00F508A0">
      <w:pPr>
        <w:pStyle w:val="BodyText"/>
      </w:pPr>
      <w:r w:rsidRPr="00F508A0">
        <w:rPr>
          <w:rStyle w:val="Strong"/>
        </w:rPr>
        <w:t>Qualifications:</w:t>
      </w:r>
      <w:r>
        <w:t xml:space="preserve"> MBBS, FRACGP</w:t>
      </w:r>
    </w:p>
    <w:p w14:paraId="1BA3321E" w14:textId="77777777" w:rsidR="00347A7C" w:rsidRDefault="00347A7C" w:rsidP="00F508A0">
      <w:pPr>
        <w:pStyle w:val="BodyText"/>
      </w:pPr>
      <w:r w:rsidRPr="00F508A0">
        <w:rPr>
          <w:rStyle w:val="Strong"/>
        </w:rPr>
        <w:t>Board membership:</w:t>
      </w:r>
      <w:r>
        <w:t xml:space="preserve"> First appointed as a Commission member in April 2008; appointed to the Board, as established under the National Health Reform Act, on 1 July 2011</w:t>
      </w:r>
    </w:p>
    <w:p w14:paraId="5EC67B51" w14:textId="77777777" w:rsidR="00347A7C" w:rsidRDefault="00347A7C" w:rsidP="00347A7C">
      <w:pPr>
        <w:pStyle w:val="BodyText-spacebefore"/>
        <w:sectPr w:rsidR="00347A7C" w:rsidSect="00347A7C">
          <w:footerReference w:type="even" r:id="rId65"/>
          <w:type w:val="continuous"/>
          <w:pgSz w:w="9979" w:h="14175" w:code="34"/>
          <w:pgMar w:top="1418" w:right="680" w:bottom="851" w:left="1021" w:header="567" w:footer="397" w:gutter="0"/>
          <w:cols w:num="2" w:space="340"/>
          <w:noEndnote/>
        </w:sectPr>
      </w:pPr>
    </w:p>
    <w:p w14:paraId="7F75CB22" w14:textId="77777777" w:rsidR="00347A7C" w:rsidRDefault="00347A7C" w:rsidP="00F508A0">
      <w:pPr>
        <w:pStyle w:val="Heading2"/>
      </w:pPr>
      <w:r>
        <w:lastRenderedPageBreak/>
        <w:t>Board meetings and attendance</w:t>
      </w:r>
    </w:p>
    <w:p w14:paraId="64FEC917" w14:textId="77777777" w:rsidR="00347A7C" w:rsidRDefault="00347A7C" w:rsidP="00F508A0">
      <w:pPr>
        <w:pStyle w:val="Figuretitle"/>
      </w:pPr>
      <w:r>
        <w:t>Table 3: Board meetings and attendance</w:t>
      </w:r>
    </w:p>
    <w:tbl>
      <w:tblPr>
        <w:tblW w:w="0" w:type="auto"/>
        <w:tblInd w:w="-8" w:type="dxa"/>
        <w:tblLayout w:type="fixed"/>
        <w:tblCellMar>
          <w:left w:w="0" w:type="dxa"/>
          <w:right w:w="0" w:type="dxa"/>
        </w:tblCellMar>
        <w:tblLook w:val="0000" w:firstRow="0" w:lastRow="0" w:firstColumn="0" w:lastColumn="0" w:noHBand="0" w:noVBand="0"/>
        <w:tblCaption w:val="Table 3: Board meetings and attendance"/>
      </w:tblPr>
      <w:tblGrid>
        <w:gridCol w:w="8"/>
        <w:gridCol w:w="3167"/>
        <w:gridCol w:w="1020"/>
        <w:gridCol w:w="1021"/>
        <w:gridCol w:w="1020"/>
        <w:gridCol w:w="1021"/>
        <w:gridCol w:w="1020"/>
      </w:tblGrid>
      <w:tr w:rsidR="00347A7C" w:rsidRPr="00347A7C" w14:paraId="199CBE06" w14:textId="77777777" w:rsidTr="00D651C5">
        <w:trPr>
          <w:trHeight w:val="20"/>
        </w:trPr>
        <w:tc>
          <w:tcPr>
            <w:tcW w:w="3175" w:type="dxa"/>
            <w:gridSpan w:val="2"/>
            <w:tcBorders>
              <w:top w:val="single" w:sz="36" w:space="0" w:color="00AAAF"/>
              <w:bottom w:val="single" w:sz="4" w:space="0" w:color="00AAAF"/>
            </w:tcBorders>
            <w:tcMar>
              <w:top w:w="85" w:type="dxa"/>
              <w:left w:w="142" w:type="dxa"/>
              <w:bottom w:w="85" w:type="dxa"/>
              <w:right w:w="142" w:type="dxa"/>
            </w:tcMar>
          </w:tcPr>
          <w:p w14:paraId="1D756D5F" w14:textId="77777777" w:rsidR="00347A7C" w:rsidRPr="00347A7C" w:rsidRDefault="00347A7C" w:rsidP="00347A7C">
            <w:pPr>
              <w:pStyle w:val="Tableheading2"/>
              <w:spacing w:line="240" w:lineRule="auto"/>
            </w:pPr>
            <w:r w:rsidRPr="00347A7C">
              <w:t>Name</w:t>
            </w:r>
          </w:p>
        </w:tc>
        <w:tc>
          <w:tcPr>
            <w:tcW w:w="5102" w:type="dxa"/>
            <w:gridSpan w:val="5"/>
            <w:tcBorders>
              <w:top w:val="single" w:sz="36" w:space="0" w:color="00AAAF"/>
              <w:left w:val="nil"/>
              <w:bottom w:val="single" w:sz="4" w:space="0" w:color="00AAAF"/>
            </w:tcBorders>
            <w:tcMar>
              <w:top w:w="85" w:type="dxa"/>
              <w:left w:w="142" w:type="dxa"/>
              <w:bottom w:w="85" w:type="dxa"/>
              <w:right w:w="142" w:type="dxa"/>
            </w:tcMar>
          </w:tcPr>
          <w:p w14:paraId="3CF18C36" w14:textId="77777777" w:rsidR="00347A7C" w:rsidRPr="00347A7C" w:rsidRDefault="00347A7C" w:rsidP="00347A7C">
            <w:pPr>
              <w:pStyle w:val="Tableheading2"/>
              <w:spacing w:line="240" w:lineRule="auto"/>
            </w:pPr>
            <w:r w:rsidRPr="00347A7C">
              <w:t>Board meeting</w:t>
            </w:r>
          </w:p>
        </w:tc>
      </w:tr>
      <w:tr w:rsidR="00347A7C" w:rsidRPr="00347A7C" w14:paraId="6B897524" w14:textId="77777777" w:rsidTr="00D651C5">
        <w:trPr>
          <w:gridBefore w:val="1"/>
          <w:wBefore w:w="8" w:type="dxa"/>
          <w:trHeight w:val="20"/>
        </w:trPr>
        <w:tc>
          <w:tcPr>
            <w:tcW w:w="3167" w:type="dxa"/>
            <w:tcBorders>
              <w:top w:val="single" w:sz="4" w:space="0" w:color="00AAAF"/>
              <w:bottom w:val="single" w:sz="4" w:space="0" w:color="00AAAF"/>
              <w:right w:val="single" w:sz="4" w:space="0" w:color="DBD9D4" w:themeColor="accent4" w:themeShade="E6"/>
            </w:tcBorders>
            <w:shd w:val="solid" w:color="D1CCC5" w:fill="auto"/>
            <w:tcMar>
              <w:top w:w="113" w:type="dxa"/>
              <w:left w:w="113" w:type="dxa"/>
              <w:bottom w:w="113" w:type="dxa"/>
              <w:right w:w="113" w:type="dxa"/>
            </w:tcMar>
          </w:tcPr>
          <w:p w14:paraId="2D32ADD1" w14:textId="77777777" w:rsidR="00347A7C" w:rsidRPr="00347A7C" w:rsidRDefault="00347A7C" w:rsidP="00347A7C">
            <w:pPr>
              <w:pStyle w:val="Tabletextsmall"/>
              <w:spacing w:line="240" w:lineRule="auto"/>
            </w:pPr>
          </w:p>
        </w:tc>
        <w:tc>
          <w:tcPr>
            <w:tcW w:w="1020" w:type="dxa"/>
            <w:tcBorders>
              <w:top w:val="single" w:sz="4" w:space="0" w:color="00AAAF"/>
              <w:left w:val="single" w:sz="4" w:space="0" w:color="DBD9D4" w:themeColor="accent4" w:themeShade="E6"/>
              <w:bottom w:val="single" w:sz="4" w:space="0" w:color="00AAAF"/>
              <w:right w:val="single" w:sz="4" w:space="0" w:color="DBD9D4" w:themeColor="accent4" w:themeShade="E6"/>
            </w:tcBorders>
            <w:shd w:val="solid" w:color="D1CCC5" w:fill="auto"/>
            <w:tcMar>
              <w:top w:w="113" w:type="dxa"/>
              <w:left w:w="113" w:type="dxa"/>
              <w:bottom w:w="113" w:type="dxa"/>
              <w:right w:w="0" w:type="dxa"/>
            </w:tcMar>
          </w:tcPr>
          <w:p w14:paraId="0C430944" w14:textId="77777777" w:rsidR="00347A7C" w:rsidRPr="00347A7C" w:rsidRDefault="00347A7C" w:rsidP="00347A7C">
            <w:pPr>
              <w:pStyle w:val="Tabletextsmall"/>
              <w:spacing w:line="240" w:lineRule="auto"/>
            </w:pPr>
            <w:r w:rsidRPr="00347A7C">
              <w:t>28</w:t>
            </w:r>
            <w:r w:rsidRPr="00347A7C">
              <w:br/>
              <w:t>July</w:t>
            </w:r>
            <w:r w:rsidRPr="00347A7C">
              <w:br/>
              <w:t>2016</w:t>
            </w:r>
          </w:p>
        </w:tc>
        <w:tc>
          <w:tcPr>
            <w:tcW w:w="1021" w:type="dxa"/>
            <w:tcBorders>
              <w:top w:val="single" w:sz="4" w:space="0" w:color="00AAAF"/>
              <w:left w:val="single" w:sz="4" w:space="0" w:color="DBD9D4" w:themeColor="accent4" w:themeShade="E6"/>
              <w:bottom w:val="single" w:sz="4" w:space="0" w:color="00AAAF"/>
              <w:right w:val="single" w:sz="4" w:space="0" w:color="DBD9D4" w:themeColor="accent4" w:themeShade="E6"/>
            </w:tcBorders>
            <w:shd w:val="solid" w:color="D1CCC5" w:fill="auto"/>
            <w:tcMar>
              <w:top w:w="113" w:type="dxa"/>
              <w:left w:w="113" w:type="dxa"/>
              <w:bottom w:w="113" w:type="dxa"/>
              <w:right w:w="0" w:type="dxa"/>
            </w:tcMar>
          </w:tcPr>
          <w:p w14:paraId="02C71D1F" w14:textId="77777777" w:rsidR="00347A7C" w:rsidRPr="00347A7C" w:rsidRDefault="00347A7C" w:rsidP="00347A7C">
            <w:pPr>
              <w:pStyle w:val="Tabletextsmall"/>
              <w:spacing w:line="240" w:lineRule="auto"/>
            </w:pPr>
            <w:r w:rsidRPr="00347A7C">
              <w:t>14</w:t>
            </w:r>
            <w:r w:rsidRPr="00347A7C">
              <w:br/>
              <w:t>September 2016</w:t>
            </w:r>
          </w:p>
        </w:tc>
        <w:tc>
          <w:tcPr>
            <w:tcW w:w="1020" w:type="dxa"/>
            <w:tcBorders>
              <w:top w:val="single" w:sz="4" w:space="0" w:color="00AAAF"/>
              <w:left w:val="single" w:sz="4" w:space="0" w:color="DBD9D4" w:themeColor="accent4" w:themeShade="E6"/>
              <w:bottom w:val="single" w:sz="4" w:space="0" w:color="00AAAF"/>
              <w:right w:val="single" w:sz="4" w:space="0" w:color="DBD9D4" w:themeColor="accent4" w:themeShade="E6"/>
            </w:tcBorders>
            <w:shd w:val="solid" w:color="D1CCC5" w:fill="auto"/>
            <w:tcMar>
              <w:top w:w="113" w:type="dxa"/>
              <w:left w:w="113" w:type="dxa"/>
              <w:bottom w:w="113" w:type="dxa"/>
              <w:right w:w="0" w:type="dxa"/>
            </w:tcMar>
          </w:tcPr>
          <w:p w14:paraId="2BB4D035" w14:textId="77777777" w:rsidR="00347A7C" w:rsidRPr="00347A7C" w:rsidRDefault="00347A7C" w:rsidP="00347A7C">
            <w:pPr>
              <w:pStyle w:val="Tabletextsmall"/>
              <w:spacing w:line="240" w:lineRule="auto"/>
            </w:pPr>
            <w:r w:rsidRPr="00347A7C">
              <w:t>27</w:t>
            </w:r>
            <w:r w:rsidRPr="00347A7C">
              <w:br/>
              <w:t>October</w:t>
            </w:r>
            <w:r w:rsidRPr="00347A7C">
              <w:br/>
              <w:t>2016</w:t>
            </w:r>
          </w:p>
        </w:tc>
        <w:tc>
          <w:tcPr>
            <w:tcW w:w="1021" w:type="dxa"/>
            <w:tcBorders>
              <w:top w:val="single" w:sz="4" w:space="0" w:color="00AAAF"/>
              <w:left w:val="single" w:sz="4" w:space="0" w:color="DBD9D4" w:themeColor="accent4" w:themeShade="E6"/>
              <w:bottom w:val="single" w:sz="4" w:space="0" w:color="00AAAF"/>
              <w:right w:val="single" w:sz="4" w:space="0" w:color="DBD9D4" w:themeColor="accent4" w:themeShade="E6"/>
            </w:tcBorders>
            <w:shd w:val="solid" w:color="D1CCC5" w:fill="auto"/>
            <w:tcMar>
              <w:top w:w="113" w:type="dxa"/>
              <w:left w:w="113" w:type="dxa"/>
              <w:bottom w:w="113" w:type="dxa"/>
              <w:right w:w="0" w:type="dxa"/>
            </w:tcMar>
          </w:tcPr>
          <w:p w14:paraId="52A43F99" w14:textId="77777777" w:rsidR="00347A7C" w:rsidRPr="00347A7C" w:rsidRDefault="00347A7C" w:rsidP="00347A7C">
            <w:pPr>
              <w:pStyle w:val="Tabletextsmall"/>
              <w:spacing w:line="240" w:lineRule="auto"/>
            </w:pPr>
            <w:r w:rsidRPr="00347A7C">
              <w:t>24</w:t>
            </w:r>
            <w:r w:rsidRPr="00347A7C">
              <w:br/>
              <w:t>February</w:t>
            </w:r>
            <w:r w:rsidRPr="00347A7C">
              <w:br/>
              <w:t>2017</w:t>
            </w:r>
          </w:p>
        </w:tc>
        <w:tc>
          <w:tcPr>
            <w:tcW w:w="1020" w:type="dxa"/>
            <w:tcBorders>
              <w:top w:val="single" w:sz="4" w:space="0" w:color="00AAAF"/>
              <w:left w:val="single" w:sz="4" w:space="0" w:color="DBD9D4" w:themeColor="accent4" w:themeShade="E6"/>
              <w:bottom w:val="single" w:sz="4" w:space="0" w:color="00AAAF"/>
            </w:tcBorders>
            <w:shd w:val="solid" w:color="D1CCC5" w:fill="auto"/>
            <w:tcMar>
              <w:top w:w="113" w:type="dxa"/>
              <w:left w:w="113" w:type="dxa"/>
              <w:bottom w:w="113" w:type="dxa"/>
              <w:right w:w="0" w:type="dxa"/>
            </w:tcMar>
          </w:tcPr>
          <w:p w14:paraId="02289FDC" w14:textId="77777777" w:rsidR="00347A7C" w:rsidRPr="00347A7C" w:rsidRDefault="00347A7C" w:rsidP="00347A7C">
            <w:pPr>
              <w:pStyle w:val="Tabletextsmall"/>
              <w:spacing w:line="240" w:lineRule="auto"/>
            </w:pPr>
            <w:r w:rsidRPr="00347A7C">
              <w:t>27</w:t>
            </w:r>
            <w:r w:rsidRPr="00347A7C">
              <w:br/>
              <w:t>April</w:t>
            </w:r>
            <w:r w:rsidRPr="00347A7C">
              <w:br/>
              <w:t>2017</w:t>
            </w:r>
          </w:p>
        </w:tc>
      </w:tr>
      <w:tr w:rsidR="00347A7C" w:rsidRPr="00347A7C" w14:paraId="1CD3000A" w14:textId="77777777" w:rsidTr="00AA7B44">
        <w:trPr>
          <w:trHeight w:val="20"/>
        </w:trPr>
        <w:tc>
          <w:tcPr>
            <w:tcW w:w="3175" w:type="dxa"/>
            <w:gridSpan w:val="2"/>
            <w:tcBorders>
              <w:top w:val="single" w:sz="4" w:space="0" w:color="00AAAF"/>
              <w:bottom w:val="single" w:sz="4" w:space="0" w:color="00AAAF"/>
              <w:right w:val="single" w:sz="4" w:space="0" w:color="00AAAF"/>
            </w:tcBorders>
            <w:tcMar>
              <w:top w:w="28" w:type="dxa"/>
              <w:left w:w="113" w:type="dxa"/>
              <w:bottom w:w="28" w:type="dxa"/>
              <w:right w:w="113" w:type="dxa"/>
            </w:tcMar>
          </w:tcPr>
          <w:p w14:paraId="135FC518" w14:textId="6C997C78" w:rsidR="00347A7C" w:rsidRPr="00347A7C" w:rsidRDefault="00347A7C" w:rsidP="00924EF8">
            <w:pPr>
              <w:pStyle w:val="Tabletextsmall"/>
            </w:pPr>
            <w:r w:rsidRPr="00347A7C">
              <w:t>Professor Villis Marshall</w:t>
            </w:r>
            <w:r w:rsidRPr="00640B9D">
              <w:rPr>
                <w:sz w:val="11"/>
                <w:vertAlign w:val="subscript"/>
              </w:rPr>
              <w:t xml:space="preserve"> </w:t>
            </w:r>
            <w:r w:rsidR="00924EF8" w:rsidRPr="00924EF8">
              <w:rPr>
                <w:smallCaps/>
              </w:rPr>
              <w:t>ac</w:t>
            </w:r>
            <w:r w:rsidRPr="00640B9D">
              <w:rPr>
                <w:sz w:val="15"/>
                <w:szCs w:val="15"/>
              </w:rPr>
              <w:t xml:space="preserve"> </w:t>
            </w:r>
            <w:r w:rsidRPr="00347A7C">
              <w:t>(Chair)</w:t>
            </w:r>
            <w:r w:rsidRPr="00347A7C">
              <w:rPr>
                <w:vertAlign w:val="superscript"/>
              </w:rPr>
              <w:t>1</w:t>
            </w:r>
          </w:p>
        </w:tc>
        <w:tc>
          <w:tcPr>
            <w:tcW w:w="1020" w:type="dxa"/>
            <w:tcBorders>
              <w:top w:val="single" w:sz="4" w:space="0" w:color="00AAAF"/>
              <w:left w:val="single" w:sz="4" w:space="0" w:color="00AAAF"/>
              <w:bottom w:val="single" w:sz="4" w:space="0" w:color="00AAAF"/>
              <w:right w:val="single" w:sz="4" w:space="0" w:color="00AAAF"/>
            </w:tcBorders>
            <w:shd w:val="clear" w:color="auto" w:fill="57C5CB"/>
            <w:tcMar>
              <w:top w:w="28" w:type="dxa"/>
              <w:left w:w="113" w:type="dxa"/>
              <w:bottom w:w="28" w:type="dxa"/>
              <w:right w:w="113" w:type="dxa"/>
            </w:tcMar>
          </w:tcPr>
          <w:p w14:paraId="5C18DA32" w14:textId="77777777" w:rsidR="00347A7C" w:rsidRPr="00347A7C" w:rsidRDefault="00347A7C" w:rsidP="00347A7C">
            <w:pPr>
              <w:pStyle w:val="Tabletextsmall"/>
              <w:spacing w:line="240" w:lineRule="auto"/>
            </w:pPr>
          </w:p>
        </w:tc>
        <w:tc>
          <w:tcPr>
            <w:tcW w:w="1021" w:type="dxa"/>
            <w:tcBorders>
              <w:top w:val="single" w:sz="4" w:space="0" w:color="00AAAF"/>
              <w:left w:val="single" w:sz="4" w:space="0" w:color="00AAAF"/>
              <w:bottom w:val="single" w:sz="4" w:space="0" w:color="00AAAF"/>
              <w:right w:val="single" w:sz="4" w:space="0" w:color="00AAAF"/>
            </w:tcBorders>
            <w:shd w:val="clear" w:color="auto" w:fill="57C5CB"/>
            <w:tcMar>
              <w:top w:w="28" w:type="dxa"/>
              <w:left w:w="113" w:type="dxa"/>
              <w:bottom w:w="28" w:type="dxa"/>
              <w:right w:w="113" w:type="dxa"/>
            </w:tcMar>
          </w:tcPr>
          <w:p w14:paraId="40779E02" w14:textId="77777777" w:rsidR="00347A7C" w:rsidRPr="00347A7C" w:rsidRDefault="00347A7C" w:rsidP="00347A7C">
            <w:pPr>
              <w:pStyle w:val="Tabletextsmall"/>
              <w:spacing w:line="240" w:lineRule="auto"/>
            </w:pPr>
          </w:p>
        </w:tc>
        <w:tc>
          <w:tcPr>
            <w:tcW w:w="1020" w:type="dxa"/>
            <w:tcBorders>
              <w:top w:val="single" w:sz="4" w:space="0" w:color="00AAAF"/>
              <w:left w:val="single" w:sz="4" w:space="0" w:color="00AAAF"/>
              <w:bottom w:val="single" w:sz="4" w:space="0" w:color="00AAAF"/>
              <w:right w:val="single" w:sz="4" w:space="0" w:color="00AAAF"/>
            </w:tcBorders>
            <w:shd w:val="clear" w:color="auto" w:fill="57C5CB"/>
            <w:tcMar>
              <w:top w:w="28" w:type="dxa"/>
              <w:left w:w="113" w:type="dxa"/>
              <w:bottom w:w="28" w:type="dxa"/>
              <w:right w:w="113" w:type="dxa"/>
            </w:tcMar>
          </w:tcPr>
          <w:p w14:paraId="47F59781" w14:textId="77777777" w:rsidR="00347A7C" w:rsidRPr="00347A7C" w:rsidRDefault="00347A7C" w:rsidP="00347A7C">
            <w:pPr>
              <w:pStyle w:val="Tabletextsmall"/>
              <w:spacing w:line="240" w:lineRule="auto"/>
            </w:pPr>
          </w:p>
        </w:tc>
        <w:tc>
          <w:tcPr>
            <w:tcW w:w="1021" w:type="dxa"/>
            <w:tcBorders>
              <w:top w:val="single" w:sz="4" w:space="0" w:color="00AAAF"/>
              <w:left w:val="single" w:sz="4" w:space="0" w:color="00AAAF"/>
              <w:bottom w:val="single" w:sz="4" w:space="0" w:color="00AAAF"/>
              <w:right w:val="single" w:sz="4" w:space="0" w:color="00AAAF"/>
            </w:tcBorders>
            <w:shd w:val="clear" w:color="auto" w:fill="57C5CB"/>
            <w:tcMar>
              <w:top w:w="28" w:type="dxa"/>
              <w:left w:w="113" w:type="dxa"/>
              <w:bottom w:w="28" w:type="dxa"/>
              <w:right w:w="113" w:type="dxa"/>
            </w:tcMar>
          </w:tcPr>
          <w:p w14:paraId="33C21578" w14:textId="77777777" w:rsidR="00347A7C" w:rsidRPr="00347A7C" w:rsidRDefault="00347A7C" w:rsidP="00347A7C">
            <w:pPr>
              <w:pStyle w:val="Tabletextsmall"/>
              <w:spacing w:line="240" w:lineRule="auto"/>
            </w:pPr>
          </w:p>
        </w:tc>
        <w:tc>
          <w:tcPr>
            <w:tcW w:w="1020" w:type="dxa"/>
            <w:tcBorders>
              <w:top w:val="single" w:sz="4" w:space="0" w:color="00AAAF"/>
              <w:left w:val="single" w:sz="4" w:space="0" w:color="00AAAF"/>
              <w:bottom w:val="single" w:sz="4" w:space="0" w:color="00AAAF"/>
            </w:tcBorders>
            <w:shd w:val="clear" w:color="auto" w:fill="57C5CB"/>
            <w:tcMar>
              <w:top w:w="28" w:type="dxa"/>
              <w:left w:w="113" w:type="dxa"/>
              <w:bottom w:w="28" w:type="dxa"/>
              <w:right w:w="113" w:type="dxa"/>
            </w:tcMar>
          </w:tcPr>
          <w:p w14:paraId="37BE5BC2" w14:textId="77777777" w:rsidR="00347A7C" w:rsidRPr="00347A7C" w:rsidRDefault="00347A7C" w:rsidP="00347A7C">
            <w:pPr>
              <w:pStyle w:val="Tabletextsmall"/>
              <w:spacing w:line="240" w:lineRule="auto"/>
            </w:pPr>
          </w:p>
        </w:tc>
      </w:tr>
      <w:tr w:rsidR="00347A7C" w:rsidRPr="00347A7C" w14:paraId="5EBB124C" w14:textId="77777777" w:rsidTr="00AA7B44">
        <w:trPr>
          <w:trHeight w:val="20"/>
        </w:trPr>
        <w:tc>
          <w:tcPr>
            <w:tcW w:w="3175" w:type="dxa"/>
            <w:gridSpan w:val="2"/>
            <w:tcBorders>
              <w:top w:val="single" w:sz="4" w:space="0" w:color="00AAAF"/>
              <w:bottom w:val="single" w:sz="4" w:space="0" w:color="00AAAF"/>
              <w:right w:val="single" w:sz="4" w:space="0" w:color="00AAAF"/>
            </w:tcBorders>
            <w:tcMar>
              <w:top w:w="28" w:type="dxa"/>
              <w:left w:w="113" w:type="dxa"/>
              <w:bottom w:w="28" w:type="dxa"/>
              <w:right w:w="113" w:type="dxa"/>
            </w:tcMar>
          </w:tcPr>
          <w:p w14:paraId="65B53BF3" w14:textId="27DC22EC" w:rsidR="00347A7C" w:rsidRPr="00347A7C" w:rsidRDefault="00347A7C" w:rsidP="00347A7C">
            <w:pPr>
              <w:pStyle w:val="Tabletextsmall"/>
            </w:pPr>
            <w:r w:rsidRPr="00347A7C">
              <w:t>Mr Martin Bowles</w:t>
            </w:r>
            <w:r w:rsidR="00924EF8">
              <w:t xml:space="preserve"> </w:t>
            </w:r>
            <w:proofErr w:type="spellStart"/>
            <w:r w:rsidR="00924EF8" w:rsidRPr="00924EF8">
              <w:rPr>
                <w:smallCaps/>
              </w:rPr>
              <w:t>psm</w:t>
            </w:r>
            <w:proofErr w:type="spellEnd"/>
            <w:r w:rsidRPr="00347A7C">
              <w:t xml:space="preserve"> </w:t>
            </w:r>
          </w:p>
        </w:tc>
        <w:tc>
          <w:tcPr>
            <w:tcW w:w="1020" w:type="dxa"/>
            <w:tcBorders>
              <w:top w:val="single" w:sz="4" w:space="0" w:color="00AAAF"/>
              <w:left w:val="single" w:sz="4" w:space="0" w:color="00AAAF"/>
              <w:bottom w:val="single" w:sz="4" w:space="0" w:color="00AAAF"/>
              <w:right w:val="single" w:sz="4" w:space="0" w:color="00AAAF"/>
            </w:tcBorders>
            <w:shd w:val="clear" w:color="auto" w:fill="AEDFE2"/>
            <w:tcMar>
              <w:top w:w="28" w:type="dxa"/>
              <w:left w:w="113" w:type="dxa"/>
              <w:bottom w:w="28" w:type="dxa"/>
              <w:right w:w="113" w:type="dxa"/>
            </w:tcMar>
          </w:tcPr>
          <w:p w14:paraId="74C9BB95" w14:textId="77777777" w:rsidR="00347A7C" w:rsidRPr="00347A7C" w:rsidRDefault="00347A7C" w:rsidP="00347A7C">
            <w:pPr>
              <w:pStyle w:val="Tabletextsmall"/>
              <w:spacing w:line="240" w:lineRule="auto"/>
            </w:pPr>
          </w:p>
        </w:tc>
        <w:tc>
          <w:tcPr>
            <w:tcW w:w="1021" w:type="dxa"/>
            <w:tcBorders>
              <w:top w:val="single" w:sz="4" w:space="0" w:color="00AAAF"/>
              <w:left w:val="single" w:sz="4" w:space="0" w:color="00AAAF"/>
              <w:bottom w:val="single" w:sz="4" w:space="0" w:color="00AAAF"/>
              <w:right w:val="single" w:sz="4" w:space="0" w:color="00AAAF"/>
            </w:tcBorders>
            <w:shd w:val="clear" w:color="auto" w:fill="ABAAAC"/>
            <w:tcMar>
              <w:top w:w="28" w:type="dxa"/>
              <w:left w:w="113" w:type="dxa"/>
              <w:bottom w:w="28" w:type="dxa"/>
              <w:right w:w="113" w:type="dxa"/>
            </w:tcMar>
          </w:tcPr>
          <w:p w14:paraId="7A2E28F4" w14:textId="77777777" w:rsidR="00347A7C" w:rsidRPr="00347A7C" w:rsidRDefault="00347A7C" w:rsidP="00347A7C">
            <w:pPr>
              <w:pStyle w:val="Tabletextsmall"/>
              <w:spacing w:line="240" w:lineRule="auto"/>
            </w:pPr>
          </w:p>
        </w:tc>
        <w:tc>
          <w:tcPr>
            <w:tcW w:w="1020" w:type="dxa"/>
            <w:tcBorders>
              <w:top w:val="single" w:sz="4" w:space="0" w:color="00AAAF"/>
              <w:left w:val="single" w:sz="4" w:space="0" w:color="00AAAF"/>
              <w:bottom w:val="single" w:sz="4" w:space="0" w:color="00AAAF"/>
              <w:right w:val="single" w:sz="4" w:space="0" w:color="00AAAF"/>
            </w:tcBorders>
            <w:shd w:val="clear" w:color="auto" w:fill="57C5CB"/>
            <w:tcMar>
              <w:top w:w="28" w:type="dxa"/>
              <w:left w:w="113" w:type="dxa"/>
              <w:bottom w:w="28" w:type="dxa"/>
              <w:right w:w="113" w:type="dxa"/>
            </w:tcMar>
          </w:tcPr>
          <w:p w14:paraId="57E61326" w14:textId="77777777" w:rsidR="00347A7C" w:rsidRPr="00347A7C" w:rsidRDefault="00347A7C" w:rsidP="00347A7C">
            <w:pPr>
              <w:pStyle w:val="Tabletextsmall"/>
              <w:spacing w:line="240" w:lineRule="auto"/>
            </w:pPr>
          </w:p>
        </w:tc>
        <w:tc>
          <w:tcPr>
            <w:tcW w:w="1021" w:type="dxa"/>
            <w:tcBorders>
              <w:top w:val="single" w:sz="4" w:space="0" w:color="00AAAF"/>
              <w:left w:val="single" w:sz="4" w:space="0" w:color="00AAAF"/>
              <w:bottom w:val="single" w:sz="4" w:space="0" w:color="00AAAF"/>
              <w:right w:val="single" w:sz="4" w:space="0" w:color="00AAAF"/>
            </w:tcBorders>
            <w:shd w:val="clear" w:color="auto" w:fill="ABAAAC"/>
            <w:tcMar>
              <w:top w:w="28" w:type="dxa"/>
              <w:left w:w="113" w:type="dxa"/>
              <w:bottom w:w="28" w:type="dxa"/>
              <w:right w:w="113" w:type="dxa"/>
            </w:tcMar>
          </w:tcPr>
          <w:p w14:paraId="3079720C" w14:textId="77777777" w:rsidR="00347A7C" w:rsidRPr="00347A7C" w:rsidRDefault="00347A7C" w:rsidP="00347A7C">
            <w:pPr>
              <w:pStyle w:val="Tabletextsmall"/>
              <w:spacing w:line="240" w:lineRule="auto"/>
            </w:pPr>
          </w:p>
        </w:tc>
        <w:tc>
          <w:tcPr>
            <w:tcW w:w="1020" w:type="dxa"/>
            <w:tcBorders>
              <w:top w:val="single" w:sz="4" w:space="0" w:color="00AAAF"/>
              <w:left w:val="single" w:sz="4" w:space="0" w:color="00AAAF"/>
              <w:bottom w:val="single" w:sz="4" w:space="0" w:color="00AAAF"/>
            </w:tcBorders>
            <w:shd w:val="clear" w:color="auto" w:fill="57C5CB"/>
            <w:tcMar>
              <w:top w:w="28" w:type="dxa"/>
              <w:left w:w="113" w:type="dxa"/>
              <w:bottom w:w="28" w:type="dxa"/>
              <w:right w:w="113" w:type="dxa"/>
            </w:tcMar>
          </w:tcPr>
          <w:p w14:paraId="3E18F6A6" w14:textId="77777777" w:rsidR="00347A7C" w:rsidRPr="00347A7C" w:rsidRDefault="00347A7C" w:rsidP="00347A7C">
            <w:pPr>
              <w:pStyle w:val="Tabletextsmall"/>
              <w:spacing w:line="240" w:lineRule="auto"/>
            </w:pPr>
          </w:p>
        </w:tc>
      </w:tr>
      <w:tr w:rsidR="00347A7C" w:rsidRPr="00347A7C" w14:paraId="7154EDBC" w14:textId="77777777" w:rsidTr="00AA7B44">
        <w:trPr>
          <w:trHeight w:val="20"/>
        </w:trPr>
        <w:tc>
          <w:tcPr>
            <w:tcW w:w="3175" w:type="dxa"/>
            <w:gridSpan w:val="2"/>
            <w:tcBorders>
              <w:top w:val="single" w:sz="4" w:space="0" w:color="00AAAF"/>
              <w:bottom w:val="single" w:sz="4" w:space="0" w:color="00AAAF"/>
              <w:right w:val="single" w:sz="4" w:space="0" w:color="00AAAF"/>
            </w:tcBorders>
            <w:tcMar>
              <w:top w:w="28" w:type="dxa"/>
              <w:left w:w="113" w:type="dxa"/>
              <w:bottom w:w="28" w:type="dxa"/>
              <w:right w:w="113" w:type="dxa"/>
            </w:tcMar>
          </w:tcPr>
          <w:p w14:paraId="49B9DF33" w14:textId="578D4FE5" w:rsidR="00347A7C" w:rsidRPr="00347A7C" w:rsidRDefault="00347A7C" w:rsidP="00924EF8">
            <w:pPr>
              <w:pStyle w:val="Tabletextsmall"/>
            </w:pPr>
            <w:r w:rsidRPr="00347A7C">
              <w:t>Adjunct Professor John Walsh</w:t>
            </w:r>
            <w:r w:rsidR="00924EF8">
              <w:t xml:space="preserve"> </w:t>
            </w:r>
            <w:r w:rsidR="00924EF8" w:rsidRPr="00924EF8">
              <w:rPr>
                <w:smallCaps/>
              </w:rPr>
              <w:t>am</w:t>
            </w:r>
            <w:r w:rsidRPr="00347A7C">
              <w:rPr>
                <w:vertAlign w:val="superscript"/>
              </w:rPr>
              <w:t>2</w:t>
            </w:r>
          </w:p>
        </w:tc>
        <w:tc>
          <w:tcPr>
            <w:tcW w:w="1020" w:type="dxa"/>
            <w:tcBorders>
              <w:top w:val="single" w:sz="4" w:space="0" w:color="00AAAF"/>
              <w:left w:val="single" w:sz="4" w:space="0" w:color="00AAAF"/>
              <w:bottom w:val="single" w:sz="4" w:space="0" w:color="00AAAF"/>
              <w:right w:val="single" w:sz="4" w:space="0" w:color="00AAAF"/>
            </w:tcBorders>
            <w:shd w:val="clear" w:color="auto" w:fill="AEDFE2"/>
            <w:tcMar>
              <w:top w:w="28" w:type="dxa"/>
              <w:left w:w="113" w:type="dxa"/>
              <w:bottom w:w="28" w:type="dxa"/>
              <w:right w:w="113" w:type="dxa"/>
            </w:tcMar>
          </w:tcPr>
          <w:p w14:paraId="7AB48F73" w14:textId="77777777" w:rsidR="00347A7C" w:rsidRPr="00347A7C" w:rsidRDefault="00347A7C" w:rsidP="00347A7C">
            <w:pPr>
              <w:pStyle w:val="Tabletextsmall"/>
              <w:spacing w:line="240" w:lineRule="auto"/>
            </w:pPr>
          </w:p>
        </w:tc>
        <w:tc>
          <w:tcPr>
            <w:tcW w:w="1021" w:type="dxa"/>
            <w:tcBorders>
              <w:top w:val="single" w:sz="4" w:space="0" w:color="00AAAF"/>
              <w:left w:val="single" w:sz="4" w:space="0" w:color="00AAAF"/>
              <w:bottom w:val="single" w:sz="4" w:space="0" w:color="00AAAF"/>
              <w:right w:val="single" w:sz="4" w:space="0" w:color="00AAAF"/>
            </w:tcBorders>
            <w:shd w:val="clear" w:color="auto" w:fill="57C5CB"/>
            <w:tcMar>
              <w:top w:w="28" w:type="dxa"/>
              <w:left w:w="113" w:type="dxa"/>
              <w:bottom w:w="28" w:type="dxa"/>
              <w:right w:w="113" w:type="dxa"/>
            </w:tcMar>
          </w:tcPr>
          <w:p w14:paraId="7BF02C81" w14:textId="77777777" w:rsidR="00347A7C" w:rsidRPr="00347A7C" w:rsidRDefault="00347A7C" w:rsidP="00347A7C">
            <w:pPr>
              <w:pStyle w:val="Tabletextsmall"/>
              <w:spacing w:line="240" w:lineRule="auto"/>
            </w:pPr>
          </w:p>
        </w:tc>
        <w:tc>
          <w:tcPr>
            <w:tcW w:w="1020" w:type="dxa"/>
            <w:tcBorders>
              <w:top w:val="single" w:sz="4" w:space="0" w:color="00AAAF"/>
              <w:left w:val="single" w:sz="4" w:space="0" w:color="00AAAF"/>
              <w:bottom w:val="single" w:sz="4" w:space="0" w:color="00AAAF"/>
              <w:right w:val="single" w:sz="4" w:space="0" w:color="00AAAF"/>
            </w:tcBorders>
            <w:shd w:val="clear" w:color="auto" w:fill="ABAAAC"/>
            <w:tcMar>
              <w:top w:w="28" w:type="dxa"/>
              <w:left w:w="113" w:type="dxa"/>
              <w:bottom w:w="28" w:type="dxa"/>
              <w:right w:w="113" w:type="dxa"/>
            </w:tcMar>
          </w:tcPr>
          <w:p w14:paraId="47E84946" w14:textId="77777777" w:rsidR="00347A7C" w:rsidRPr="00347A7C" w:rsidRDefault="00347A7C" w:rsidP="00347A7C">
            <w:pPr>
              <w:pStyle w:val="Tabletextsmall"/>
              <w:spacing w:line="240" w:lineRule="auto"/>
            </w:pPr>
          </w:p>
        </w:tc>
        <w:tc>
          <w:tcPr>
            <w:tcW w:w="1021" w:type="dxa"/>
            <w:tcBorders>
              <w:top w:val="single" w:sz="4" w:space="0" w:color="00AAAF"/>
              <w:left w:val="single" w:sz="4" w:space="0" w:color="00AAAF"/>
              <w:bottom w:val="single" w:sz="4" w:space="0" w:color="00AAAF"/>
              <w:right w:val="single" w:sz="4" w:space="0" w:color="00AAAF"/>
            </w:tcBorders>
            <w:shd w:val="clear" w:color="auto" w:fill="57C5CB"/>
            <w:tcMar>
              <w:top w:w="28" w:type="dxa"/>
              <w:left w:w="113" w:type="dxa"/>
              <w:bottom w:w="28" w:type="dxa"/>
              <w:right w:w="113" w:type="dxa"/>
            </w:tcMar>
          </w:tcPr>
          <w:p w14:paraId="354FD860" w14:textId="77777777" w:rsidR="00347A7C" w:rsidRPr="00347A7C" w:rsidRDefault="00347A7C" w:rsidP="00347A7C">
            <w:pPr>
              <w:pStyle w:val="Tabletextsmall"/>
              <w:spacing w:line="240" w:lineRule="auto"/>
            </w:pPr>
          </w:p>
        </w:tc>
        <w:tc>
          <w:tcPr>
            <w:tcW w:w="1020" w:type="dxa"/>
            <w:tcBorders>
              <w:top w:val="single" w:sz="4" w:space="0" w:color="00AAAF"/>
              <w:left w:val="single" w:sz="4" w:space="0" w:color="00AAAF"/>
              <w:bottom w:val="single" w:sz="4" w:space="0" w:color="00AAAF"/>
            </w:tcBorders>
            <w:shd w:val="clear" w:color="auto" w:fill="57C5CB"/>
            <w:tcMar>
              <w:top w:w="28" w:type="dxa"/>
              <w:left w:w="113" w:type="dxa"/>
              <w:bottom w:w="28" w:type="dxa"/>
              <w:right w:w="113" w:type="dxa"/>
            </w:tcMar>
          </w:tcPr>
          <w:p w14:paraId="532C9B76" w14:textId="77777777" w:rsidR="00347A7C" w:rsidRPr="00347A7C" w:rsidRDefault="00347A7C" w:rsidP="00347A7C">
            <w:pPr>
              <w:pStyle w:val="Tabletextsmall"/>
              <w:spacing w:line="240" w:lineRule="auto"/>
            </w:pPr>
          </w:p>
        </w:tc>
      </w:tr>
      <w:tr w:rsidR="00347A7C" w:rsidRPr="00347A7C" w14:paraId="5FF751A5" w14:textId="77777777" w:rsidTr="00AA7B44">
        <w:trPr>
          <w:trHeight w:val="20"/>
        </w:trPr>
        <w:tc>
          <w:tcPr>
            <w:tcW w:w="3175" w:type="dxa"/>
            <w:gridSpan w:val="2"/>
            <w:tcBorders>
              <w:top w:val="single" w:sz="4" w:space="0" w:color="00AAAF"/>
              <w:bottom w:val="single" w:sz="4" w:space="0" w:color="00AAAF"/>
              <w:right w:val="single" w:sz="4" w:space="0" w:color="00AAAF"/>
            </w:tcBorders>
            <w:tcMar>
              <w:top w:w="28" w:type="dxa"/>
              <w:left w:w="113" w:type="dxa"/>
              <w:bottom w:w="28" w:type="dxa"/>
              <w:right w:w="113" w:type="dxa"/>
            </w:tcMar>
          </w:tcPr>
          <w:p w14:paraId="62312667" w14:textId="04B2253E" w:rsidR="00347A7C" w:rsidRPr="00347A7C" w:rsidRDefault="00347A7C" w:rsidP="00924EF8">
            <w:pPr>
              <w:pStyle w:val="Tabletextsmall"/>
            </w:pPr>
            <w:r w:rsidRPr="00347A7C">
              <w:t>Dr David Filby</w:t>
            </w:r>
            <w:r w:rsidR="00924EF8">
              <w:t xml:space="preserve"> </w:t>
            </w:r>
            <w:proofErr w:type="spellStart"/>
            <w:r w:rsidR="00924EF8" w:rsidRPr="00924EF8">
              <w:rPr>
                <w:smallCaps/>
              </w:rPr>
              <w:t>psm</w:t>
            </w:r>
            <w:proofErr w:type="spellEnd"/>
          </w:p>
        </w:tc>
        <w:tc>
          <w:tcPr>
            <w:tcW w:w="1020" w:type="dxa"/>
            <w:tcBorders>
              <w:top w:val="single" w:sz="4" w:space="0" w:color="00AAAF"/>
              <w:left w:val="single" w:sz="4" w:space="0" w:color="00AAAF"/>
              <w:bottom w:val="single" w:sz="4" w:space="0" w:color="00AAAF"/>
              <w:right w:val="single" w:sz="4" w:space="0" w:color="00AAAF"/>
            </w:tcBorders>
            <w:shd w:val="clear" w:color="auto" w:fill="AEDFE2"/>
            <w:tcMar>
              <w:top w:w="28" w:type="dxa"/>
              <w:left w:w="113" w:type="dxa"/>
              <w:bottom w:w="28" w:type="dxa"/>
              <w:right w:w="113" w:type="dxa"/>
            </w:tcMar>
          </w:tcPr>
          <w:p w14:paraId="129B26D8" w14:textId="77777777" w:rsidR="00347A7C" w:rsidRPr="00347A7C" w:rsidRDefault="00347A7C" w:rsidP="00347A7C">
            <w:pPr>
              <w:pStyle w:val="Tabletextsmall"/>
              <w:spacing w:line="240" w:lineRule="auto"/>
            </w:pPr>
          </w:p>
        </w:tc>
        <w:tc>
          <w:tcPr>
            <w:tcW w:w="1021" w:type="dxa"/>
            <w:tcBorders>
              <w:top w:val="single" w:sz="4" w:space="0" w:color="00AAAF"/>
              <w:left w:val="single" w:sz="4" w:space="0" w:color="00AAAF"/>
              <w:bottom w:val="single" w:sz="4" w:space="0" w:color="00AAAF"/>
              <w:right w:val="single" w:sz="4" w:space="0" w:color="00AAAF"/>
            </w:tcBorders>
            <w:shd w:val="clear" w:color="auto" w:fill="57C5CB"/>
            <w:tcMar>
              <w:top w:w="28" w:type="dxa"/>
              <w:left w:w="113" w:type="dxa"/>
              <w:bottom w:w="28" w:type="dxa"/>
              <w:right w:w="113" w:type="dxa"/>
            </w:tcMar>
          </w:tcPr>
          <w:p w14:paraId="652DF5BF" w14:textId="77777777" w:rsidR="00347A7C" w:rsidRPr="00347A7C" w:rsidRDefault="00347A7C" w:rsidP="00347A7C">
            <w:pPr>
              <w:pStyle w:val="Tabletextsmall"/>
              <w:spacing w:line="240" w:lineRule="auto"/>
            </w:pPr>
          </w:p>
        </w:tc>
        <w:tc>
          <w:tcPr>
            <w:tcW w:w="1020" w:type="dxa"/>
            <w:tcBorders>
              <w:top w:val="single" w:sz="4" w:space="0" w:color="00AAAF"/>
              <w:left w:val="single" w:sz="4" w:space="0" w:color="00AAAF"/>
              <w:bottom w:val="single" w:sz="4" w:space="0" w:color="00AAAF"/>
              <w:right w:val="single" w:sz="4" w:space="0" w:color="00AAAF"/>
            </w:tcBorders>
            <w:shd w:val="clear" w:color="auto" w:fill="57C5CB"/>
            <w:tcMar>
              <w:top w:w="28" w:type="dxa"/>
              <w:left w:w="113" w:type="dxa"/>
              <w:bottom w:w="28" w:type="dxa"/>
              <w:right w:w="113" w:type="dxa"/>
            </w:tcMar>
          </w:tcPr>
          <w:p w14:paraId="2F3992F4" w14:textId="77777777" w:rsidR="00347A7C" w:rsidRPr="00347A7C" w:rsidRDefault="00347A7C" w:rsidP="00347A7C">
            <w:pPr>
              <w:pStyle w:val="Tabletextsmall"/>
              <w:spacing w:line="240" w:lineRule="auto"/>
            </w:pPr>
          </w:p>
        </w:tc>
        <w:tc>
          <w:tcPr>
            <w:tcW w:w="1021" w:type="dxa"/>
            <w:tcBorders>
              <w:top w:val="single" w:sz="4" w:space="0" w:color="00AAAF"/>
              <w:left w:val="single" w:sz="4" w:space="0" w:color="00AAAF"/>
              <w:bottom w:val="single" w:sz="4" w:space="0" w:color="00AAAF"/>
              <w:right w:val="single" w:sz="4" w:space="0" w:color="00AAAF"/>
            </w:tcBorders>
            <w:shd w:val="clear" w:color="auto" w:fill="57C5CB"/>
            <w:tcMar>
              <w:top w:w="28" w:type="dxa"/>
              <w:left w:w="113" w:type="dxa"/>
              <w:bottom w:w="28" w:type="dxa"/>
              <w:right w:w="113" w:type="dxa"/>
            </w:tcMar>
          </w:tcPr>
          <w:p w14:paraId="4EC76A10" w14:textId="77777777" w:rsidR="00347A7C" w:rsidRPr="00347A7C" w:rsidRDefault="00347A7C" w:rsidP="00347A7C">
            <w:pPr>
              <w:pStyle w:val="Tabletextsmall"/>
              <w:spacing w:line="240" w:lineRule="auto"/>
            </w:pPr>
          </w:p>
        </w:tc>
        <w:tc>
          <w:tcPr>
            <w:tcW w:w="1020" w:type="dxa"/>
            <w:tcBorders>
              <w:top w:val="single" w:sz="4" w:space="0" w:color="00AAAF"/>
              <w:left w:val="single" w:sz="4" w:space="0" w:color="00AAAF"/>
              <w:bottom w:val="single" w:sz="4" w:space="0" w:color="00AAAF"/>
            </w:tcBorders>
            <w:shd w:val="clear" w:color="auto" w:fill="57C5CB"/>
            <w:tcMar>
              <w:top w:w="28" w:type="dxa"/>
              <w:left w:w="113" w:type="dxa"/>
              <w:bottom w:w="28" w:type="dxa"/>
              <w:right w:w="113" w:type="dxa"/>
            </w:tcMar>
          </w:tcPr>
          <w:p w14:paraId="533CD655" w14:textId="77777777" w:rsidR="00347A7C" w:rsidRPr="00347A7C" w:rsidRDefault="00347A7C" w:rsidP="00347A7C">
            <w:pPr>
              <w:pStyle w:val="Tabletextsmall"/>
              <w:spacing w:line="240" w:lineRule="auto"/>
            </w:pPr>
          </w:p>
        </w:tc>
      </w:tr>
      <w:tr w:rsidR="00347A7C" w:rsidRPr="00347A7C" w14:paraId="5E2886DB" w14:textId="77777777" w:rsidTr="00AA7B44">
        <w:trPr>
          <w:trHeight w:val="20"/>
        </w:trPr>
        <w:tc>
          <w:tcPr>
            <w:tcW w:w="3175" w:type="dxa"/>
            <w:gridSpan w:val="2"/>
            <w:tcBorders>
              <w:top w:val="single" w:sz="4" w:space="0" w:color="00AAAF"/>
              <w:bottom w:val="single" w:sz="4" w:space="0" w:color="00AAAF"/>
              <w:right w:val="single" w:sz="4" w:space="0" w:color="00AAAF"/>
            </w:tcBorders>
            <w:tcMar>
              <w:top w:w="28" w:type="dxa"/>
              <w:left w:w="113" w:type="dxa"/>
              <w:bottom w:w="28" w:type="dxa"/>
              <w:right w:w="113" w:type="dxa"/>
            </w:tcMar>
          </w:tcPr>
          <w:p w14:paraId="2E040DD2" w14:textId="77777777" w:rsidR="00347A7C" w:rsidRPr="00347A7C" w:rsidRDefault="00347A7C" w:rsidP="00347A7C">
            <w:pPr>
              <w:pStyle w:val="Tabletextsmall"/>
            </w:pPr>
            <w:r w:rsidRPr="00347A7C">
              <w:t>Professor Phillip Della</w:t>
            </w:r>
            <w:r w:rsidRPr="00347A7C">
              <w:rPr>
                <w:vertAlign w:val="superscript"/>
              </w:rPr>
              <w:t>3</w:t>
            </w:r>
          </w:p>
        </w:tc>
        <w:tc>
          <w:tcPr>
            <w:tcW w:w="1020" w:type="dxa"/>
            <w:tcBorders>
              <w:top w:val="single" w:sz="4" w:space="0" w:color="00AAAF"/>
              <w:left w:val="single" w:sz="4" w:space="0" w:color="00AAAF"/>
              <w:bottom w:val="single" w:sz="4" w:space="0" w:color="00AAAF"/>
              <w:right w:val="single" w:sz="4" w:space="0" w:color="00AAAF"/>
            </w:tcBorders>
            <w:shd w:val="clear" w:color="auto" w:fill="57C5CB"/>
            <w:tcMar>
              <w:top w:w="28" w:type="dxa"/>
              <w:left w:w="113" w:type="dxa"/>
              <w:bottom w:w="28" w:type="dxa"/>
              <w:right w:w="113" w:type="dxa"/>
            </w:tcMar>
          </w:tcPr>
          <w:p w14:paraId="6C92F3D3" w14:textId="77777777" w:rsidR="00347A7C" w:rsidRPr="00347A7C" w:rsidRDefault="00347A7C" w:rsidP="00347A7C">
            <w:pPr>
              <w:pStyle w:val="Tabletextsmall"/>
              <w:spacing w:line="240" w:lineRule="auto"/>
            </w:pPr>
          </w:p>
        </w:tc>
        <w:tc>
          <w:tcPr>
            <w:tcW w:w="1021" w:type="dxa"/>
            <w:tcBorders>
              <w:top w:val="single" w:sz="4" w:space="0" w:color="00AAAF"/>
              <w:left w:val="single" w:sz="4" w:space="0" w:color="00AAAF"/>
              <w:bottom w:val="single" w:sz="4" w:space="0" w:color="00AAAF"/>
              <w:right w:val="single" w:sz="4" w:space="0" w:color="00AAAF"/>
            </w:tcBorders>
            <w:shd w:val="clear" w:color="auto" w:fill="57C5CB"/>
            <w:tcMar>
              <w:top w:w="28" w:type="dxa"/>
              <w:left w:w="113" w:type="dxa"/>
              <w:bottom w:w="28" w:type="dxa"/>
              <w:right w:w="113" w:type="dxa"/>
            </w:tcMar>
          </w:tcPr>
          <w:p w14:paraId="5CA0CAE1" w14:textId="77777777" w:rsidR="00347A7C" w:rsidRPr="00347A7C" w:rsidRDefault="00347A7C" w:rsidP="00347A7C">
            <w:pPr>
              <w:pStyle w:val="Tabletextsmall"/>
              <w:spacing w:line="240" w:lineRule="auto"/>
            </w:pPr>
          </w:p>
        </w:tc>
        <w:tc>
          <w:tcPr>
            <w:tcW w:w="1020" w:type="dxa"/>
            <w:tcBorders>
              <w:top w:val="single" w:sz="4" w:space="0" w:color="00AAAF"/>
              <w:left w:val="single" w:sz="4" w:space="0" w:color="00AAAF"/>
              <w:bottom w:val="single" w:sz="4" w:space="0" w:color="00AAAF"/>
              <w:right w:val="single" w:sz="4" w:space="0" w:color="00AAAF"/>
            </w:tcBorders>
            <w:shd w:val="clear" w:color="auto" w:fill="57C5CB"/>
            <w:tcMar>
              <w:top w:w="28" w:type="dxa"/>
              <w:left w:w="113" w:type="dxa"/>
              <w:bottom w:w="28" w:type="dxa"/>
              <w:right w:w="113" w:type="dxa"/>
            </w:tcMar>
          </w:tcPr>
          <w:p w14:paraId="1F9402DD" w14:textId="77777777" w:rsidR="00347A7C" w:rsidRPr="00347A7C" w:rsidRDefault="00347A7C" w:rsidP="00347A7C">
            <w:pPr>
              <w:pStyle w:val="Tabletextsmall"/>
              <w:spacing w:line="240" w:lineRule="auto"/>
            </w:pPr>
          </w:p>
        </w:tc>
        <w:tc>
          <w:tcPr>
            <w:tcW w:w="1021" w:type="dxa"/>
            <w:tcBorders>
              <w:top w:val="single" w:sz="4" w:space="0" w:color="00AAAF"/>
              <w:left w:val="single" w:sz="4" w:space="0" w:color="00AAAF"/>
              <w:bottom w:val="single" w:sz="4" w:space="0" w:color="00AAAF"/>
              <w:right w:val="single" w:sz="4" w:space="0" w:color="00AAAF"/>
            </w:tcBorders>
            <w:shd w:val="clear" w:color="auto" w:fill="57C5CB"/>
            <w:tcMar>
              <w:top w:w="28" w:type="dxa"/>
              <w:left w:w="113" w:type="dxa"/>
              <w:bottom w:w="28" w:type="dxa"/>
              <w:right w:w="113" w:type="dxa"/>
            </w:tcMar>
          </w:tcPr>
          <w:p w14:paraId="0C3EAC0F" w14:textId="77777777" w:rsidR="00347A7C" w:rsidRPr="00347A7C" w:rsidRDefault="00347A7C" w:rsidP="00347A7C">
            <w:pPr>
              <w:pStyle w:val="Tabletextsmall"/>
              <w:spacing w:line="240" w:lineRule="auto"/>
            </w:pPr>
          </w:p>
        </w:tc>
        <w:tc>
          <w:tcPr>
            <w:tcW w:w="1020" w:type="dxa"/>
            <w:tcBorders>
              <w:top w:val="single" w:sz="4" w:space="0" w:color="00AAAF"/>
              <w:left w:val="single" w:sz="4" w:space="0" w:color="00AAAF"/>
              <w:bottom w:val="single" w:sz="4" w:space="0" w:color="00AAAF"/>
            </w:tcBorders>
            <w:shd w:val="clear" w:color="auto" w:fill="AEDFE2"/>
            <w:tcMar>
              <w:top w:w="28" w:type="dxa"/>
              <w:left w:w="113" w:type="dxa"/>
              <w:bottom w:w="28" w:type="dxa"/>
              <w:right w:w="113" w:type="dxa"/>
            </w:tcMar>
          </w:tcPr>
          <w:p w14:paraId="5B5B71C5" w14:textId="77777777" w:rsidR="00347A7C" w:rsidRPr="00347A7C" w:rsidRDefault="00347A7C" w:rsidP="00347A7C">
            <w:pPr>
              <w:pStyle w:val="Tabletextsmall"/>
              <w:spacing w:line="240" w:lineRule="auto"/>
            </w:pPr>
          </w:p>
        </w:tc>
      </w:tr>
      <w:tr w:rsidR="00347A7C" w:rsidRPr="00347A7C" w14:paraId="69529BCA" w14:textId="77777777" w:rsidTr="00AA7B44">
        <w:trPr>
          <w:trHeight w:val="20"/>
        </w:trPr>
        <w:tc>
          <w:tcPr>
            <w:tcW w:w="3175" w:type="dxa"/>
            <w:gridSpan w:val="2"/>
            <w:tcBorders>
              <w:top w:val="single" w:sz="4" w:space="0" w:color="00AAAF"/>
              <w:bottom w:val="single" w:sz="4" w:space="0" w:color="00AAAF"/>
              <w:right w:val="single" w:sz="4" w:space="0" w:color="00AAAF"/>
            </w:tcBorders>
            <w:tcMar>
              <w:top w:w="28" w:type="dxa"/>
              <w:left w:w="113" w:type="dxa"/>
              <w:bottom w:w="28" w:type="dxa"/>
              <w:right w:w="113" w:type="dxa"/>
            </w:tcMar>
          </w:tcPr>
          <w:p w14:paraId="53CA55CD" w14:textId="77777777" w:rsidR="00347A7C" w:rsidRPr="00347A7C" w:rsidRDefault="00347A7C" w:rsidP="00347A7C">
            <w:pPr>
              <w:pStyle w:val="Tabletextsmall"/>
            </w:pPr>
            <w:r w:rsidRPr="00347A7C">
              <w:t>Ms Christine Gee</w:t>
            </w:r>
            <w:r w:rsidRPr="00347A7C">
              <w:rPr>
                <w:vertAlign w:val="superscript"/>
              </w:rPr>
              <w:t>2</w:t>
            </w:r>
          </w:p>
        </w:tc>
        <w:tc>
          <w:tcPr>
            <w:tcW w:w="1020" w:type="dxa"/>
            <w:tcBorders>
              <w:top w:val="single" w:sz="4" w:space="0" w:color="00AAAF"/>
              <w:left w:val="single" w:sz="4" w:space="0" w:color="00AAAF"/>
              <w:bottom w:val="single" w:sz="4" w:space="0" w:color="00AAAF"/>
              <w:right w:val="single" w:sz="4" w:space="0" w:color="00AAAF"/>
            </w:tcBorders>
            <w:shd w:val="clear" w:color="auto" w:fill="AEDFE2"/>
            <w:tcMar>
              <w:top w:w="28" w:type="dxa"/>
              <w:left w:w="113" w:type="dxa"/>
              <w:bottom w:w="28" w:type="dxa"/>
              <w:right w:w="113" w:type="dxa"/>
            </w:tcMar>
          </w:tcPr>
          <w:p w14:paraId="144A75F0" w14:textId="77777777" w:rsidR="00347A7C" w:rsidRPr="00347A7C" w:rsidRDefault="00347A7C" w:rsidP="00347A7C">
            <w:pPr>
              <w:pStyle w:val="Tabletextsmall"/>
              <w:spacing w:line="240" w:lineRule="auto"/>
            </w:pPr>
          </w:p>
        </w:tc>
        <w:tc>
          <w:tcPr>
            <w:tcW w:w="1021" w:type="dxa"/>
            <w:tcBorders>
              <w:top w:val="single" w:sz="4" w:space="0" w:color="00AAAF"/>
              <w:left w:val="single" w:sz="4" w:space="0" w:color="00AAAF"/>
              <w:bottom w:val="single" w:sz="4" w:space="0" w:color="00AAAF"/>
              <w:right w:val="single" w:sz="4" w:space="0" w:color="00AAAF"/>
            </w:tcBorders>
            <w:shd w:val="clear" w:color="auto" w:fill="57C5CB"/>
            <w:tcMar>
              <w:top w:w="28" w:type="dxa"/>
              <w:left w:w="113" w:type="dxa"/>
              <w:bottom w:w="28" w:type="dxa"/>
              <w:right w:w="113" w:type="dxa"/>
            </w:tcMar>
          </w:tcPr>
          <w:p w14:paraId="079B3136" w14:textId="77777777" w:rsidR="00347A7C" w:rsidRPr="00347A7C" w:rsidRDefault="00347A7C" w:rsidP="00347A7C">
            <w:pPr>
              <w:pStyle w:val="Tabletextsmall"/>
              <w:spacing w:line="240" w:lineRule="auto"/>
            </w:pPr>
          </w:p>
        </w:tc>
        <w:tc>
          <w:tcPr>
            <w:tcW w:w="1020" w:type="dxa"/>
            <w:tcBorders>
              <w:top w:val="single" w:sz="4" w:space="0" w:color="00AAAF"/>
              <w:left w:val="single" w:sz="4" w:space="0" w:color="00AAAF"/>
              <w:bottom w:val="single" w:sz="4" w:space="0" w:color="00AAAF"/>
              <w:right w:val="single" w:sz="4" w:space="0" w:color="00AAAF"/>
            </w:tcBorders>
            <w:shd w:val="clear" w:color="auto" w:fill="57C5CB"/>
            <w:tcMar>
              <w:top w:w="28" w:type="dxa"/>
              <w:left w:w="113" w:type="dxa"/>
              <w:bottom w:w="28" w:type="dxa"/>
              <w:right w:w="113" w:type="dxa"/>
            </w:tcMar>
          </w:tcPr>
          <w:p w14:paraId="67BBA0DC" w14:textId="77777777" w:rsidR="00347A7C" w:rsidRPr="00347A7C" w:rsidRDefault="00347A7C" w:rsidP="00347A7C">
            <w:pPr>
              <w:pStyle w:val="Tabletextsmall"/>
              <w:spacing w:line="240" w:lineRule="auto"/>
            </w:pPr>
          </w:p>
        </w:tc>
        <w:tc>
          <w:tcPr>
            <w:tcW w:w="1021" w:type="dxa"/>
            <w:tcBorders>
              <w:top w:val="single" w:sz="4" w:space="0" w:color="00AAAF"/>
              <w:left w:val="single" w:sz="4" w:space="0" w:color="00AAAF"/>
              <w:bottom w:val="single" w:sz="4" w:space="0" w:color="00AAAF"/>
              <w:right w:val="single" w:sz="4" w:space="0" w:color="00AAAF"/>
            </w:tcBorders>
            <w:shd w:val="clear" w:color="auto" w:fill="57C5CB"/>
            <w:tcMar>
              <w:top w:w="28" w:type="dxa"/>
              <w:left w:w="113" w:type="dxa"/>
              <w:bottom w:w="28" w:type="dxa"/>
              <w:right w:w="113" w:type="dxa"/>
            </w:tcMar>
          </w:tcPr>
          <w:p w14:paraId="2416F343" w14:textId="77777777" w:rsidR="00347A7C" w:rsidRPr="00347A7C" w:rsidRDefault="00347A7C" w:rsidP="00347A7C">
            <w:pPr>
              <w:pStyle w:val="Tabletextsmall"/>
              <w:spacing w:line="240" w:lineRule="auto"/>
            </w:pPr>
          </w:p>
        </w:tc>
        <w:tc>
          <w:tcPr>
            <w:tcW w:w="1020" w:type="dxa"/>
            <w:tcBorders>
              <w:top w:val="single" w:sz="4" w:space="0" w:color="00AAAF"/>
              <w:left w:val="single" w:sz="4" w:space="0" w:color="00AAAF"/>
              <w:bottom w:val="single" w:sz="4" w:space="0" w:color="00AAAF"/>
            </w:tcBorders>
            <w:shd w:val="clear" w:color="auto" w:fill="57C5CB"/>
            <w:tcMar>
              <w:top w:w="28" w:type="dxa"/>
              <w:left w:w="113" w:type="dxa"/>
              <w:bottom w:w="28" w:type="dxa"/>
              <w:right w:w="113" w:type="dxa"/>
            </w:tcMar>
          </w:tcPr>
          <w:p w14:paraId="1F7F14ED" w14:textId="77777777" w:rsidR="00347A7C" w:rsidRPr="00347A7C" w:rsidRDefault="00347A7C" w:rsidP="00347A7C">
            <w:pPr>
              <w:pStyle w:val="Tabletextsmall"/>
              <w:spacing w:line="240" w:lineRule="auto"/>
            </w:pPr>
          </w:p>
        </w:tc>
      </w:tr>
      <w:tr w:rsidR="00347A7C" w:rsidRPr="00347A7C" w14:paraId="5AAB2266" w14:textId="77777777" w:rsidTr="00AA7B44">
        <w:trPr>
          <w:trHeight w:val="20"/>
        </w:trPr>
        <w:tc>
          <w:tcPr>
            <w:tcW w:w="3175" w:type="dxa"/>
            <w:gridSpan w:val="2"/>
            <w:tcBorders>
              <w:top w:val="single" w:sz="4" w:space="0" w:color="00AAAF"/>
              <w:bottom w:val="single" w:sz="4" w:space="0" w:color="00AAAF"/>
              <w:right w:val="single" w:sz="4" w:space="0" w:color="00AAAF"/>
            </w:tcBorders>
            <w:tcMar>
              <w:top w:w="28" w:type="dxa"/>
              <w:left w:w="113" w:type="dxa"/>
              <w:bottom w:w="28" w:type="dxa"/>
              <w:right w:w="113" w:type="dxa"/>
            </w:tcMar>
          </w:tcPr>
          <w:p w14:paraId="212F9077" w14:textId="0ADF463C" w:rsidR="00347A7C" w:rsidRPr="00347A7C" w:rsidRDefault="00347A7C" w:rsidP="00924EF8">
            <w:pPr>
              <w:pStyle w:val="Tabletextsmall"/>
            </w:pPr>
            <w:r w:rsidRPr="00347A7C">
              <w:t>Ms Wendy Harris</w:t>
            </w:r>
            <w:r w:rsidR="00924EF8">
              <w:t xml:space="preserve"> </w:t>
            </w:r>
            <w:r w:rsidR="00924EF8" w:rsidRPr="00924EF8">
              <w:rPr>
                <w:smallCaps/>
              </w:rPr>
              <w:t>qc</w:t>
            </w:r>
            <w:bookmarkStart w:id="0" w:name="_GoBack"/>
            <w:bookmarkEnd w:id="0"/>
            <w:r w:rsidRPr="00347A7C">
              <w:rPr>
                <w:vertAlign w:val="superscript"/>
              </w:rPr>
              <w:t>4</w:t>
            </w:r>
          </w:p>
        </w:tc>
        <w:tc>
          <w:tcPr>
            <w:tcW w:w="1020" w:type="dxa"/>
            <w:tcBorders>
              <w:top w:val="single" w:sz="4" w:space="0" w:color="00AAAF"/>
              <w:left w:val="single" w:sz="4" w:space="0" w:color="00AAAF"/>
              <w:bottom w:val="single" w:sz="4" w:space="0" w:color="00AAAF"/>
              <w:right w:val="single" w:sz="4" w:space="0" w:color="00AAAF"/>
            </w:tcBorders>
            <w:shd w:val="clear" w:color="auto" w:fill="ABAAAC"/>
            <w:tcMar>
              <w:top w:w="28" w:type="dxa"/>
              <w:left w:w="113" w:type="dxa"/>
              <w:bottom w:w="28" w:type="dxa"/>
              <w:right w:w="113" w:type="dxa"/>
            </w:tcMar>
          </w:tcPr>
          <w:p w14:paraId="38C5F747" w14:textId="77777777" w:rsidR="00347A7C" w:rsidRPr="00347A7C" w:rsidRDefault="00347A7C" w:rsidP="00347A7C">
            <w:pPr>
              <w:pStyle w:val="Tabletextsmall"/>
              <w:spacing w:line="240" w:lineRule="auto"/>
            </w:pPr>
          </w:p>
        </w:tc>
        <w:tc>
          <w:tcPr>
            <w:tcW w:w="1021" w:type="dxa"/>
            <w:tcBorders>
              <w:top w:val="single" w:sz="4" w:space="0" w:color="00AAAF"/>
              <w:left w:val="single" w:sz="4" w:space="0" w:color="00AAAF"/>
              <w:bottom w:val="single" w:sz="4" w:space="0" w:color="00AAAF"/>
              <w:right w:val="single" w:sz="4" w:space="0" w:color="00AAAF"/>
            </w:tcBorders>
            <w:shd w:val="clear" w:color="auto" w:fill="ABAAAC"/>
            <w:tcMar>
              <w:top w:w="28" w:type="dxa"/>
              <w:left w:w="113" w:type="dxa"/>
              <w:bottom w:w="28" w:type="dxa"/>
              <w:right w:w="113" w:type="dxa"/>
            </w:tcMar>
          </w:tcPr>
          <w:p w14:paraId="1DAC34AA" w14:textId="77777777" w:rsidR="00347A7C" w:rsidRPr="00347A7C" w:rsidRDefault="00347A7C" w:rsidP="00347A7C">
            <w:pPr>
              <w:pStyle w:val="Tabletextsmall"/>
              <w:spacing w:line="240" w:lineRule="auto"/>
            </w:pPr>
          </w:p>
        </w:tc>
        <w:tc>
          <w:tcPr>
            <w:tcW w:w="1020" w:type="dxa"/>
            <w:tcBorders>
              <w:top w:val="single" w:sz="4" w:space="0" w:color="00AAAF"/>
              <w:left w:val="single" w:sz="4" w:space="0" w:color="00AAAF"/>
              <w:bottom w:val="single" w:sz="4" w:space="0" w:color="00AAAF"/>
              <w:right w:val="single" w:sz="4" w:space="0" w:color="00AAAF"/>
            </w:tcBorders>
            <w:shd w:val="clear" w:color="auto" w:fill="57C5CB"/>
            <w:tcMar>
              <w:top w:w="28" w:type="dxa"/>
              <w:left w:w="113" w:type="dxa"/>
              <w:bottom w:w="28" w:type="dxa"/>
              <w:right w:w="113" w:type="dxa"/>
            </w:tcMar>
          </w:tcPr>
          <w:p w14:paraId="726D1760" w14:textId="77777777" w:rsidR="00347A7C" w:rsidRPr="00347A7C" w:rsidRDefault="00347A7C" w:rsidP="00347A7C">
            <w:pPr>
              <w:pStyle w:val="Tabletextsmall"/>
              <w:spacing w:line="240" w:lineRule="auto"/>
            </w:pPr>
          </w:p>
        </w:tc>
        <w:tc>
          <w:tcPr>
            <w:tcW w:w="1021" w:type="dxa"/>
            <w:tcBorders>
              <w:top w:val="single" w:sz="4" w:space="0" w:color="00AAAF"/>
              <w:left w:val="single" w:sz="4" w:space="0" w:color="00AAAF"/>
              <w:bottom w:val="single" w:sz="4" w:space="0" w:color="00AAAF"/>
              <w:right w:val="single" w:sz="4" w:space="0" w:color="00AAAF"/>
            </w:tcBorders>
            <w:shd w:val="clear" w:color="auto" w:fill="57C5CB"/>
            <w:tcMar>
              <w:top w:w="28" w:type="dxa"/>
              <w:left w:w="113" w:type="dxa"/>
              <w:bottom w:w="28" w:type="dxa"/>
              <w:right w:w="113" w:type="dxa"/>
            </w:tcMar>
          </w:tcPr>
          <w:p w14:paraId="5E26B1DD" w14:textId="77777777" w:rsidR="00347A7C" w:rsidRPr="00347A7C" w:rsidRDefault="00347A7C" w:rsidP="00347A7C">
            <w:pPr>
              <w:pStyle w:val="Tabletextsmall"/>
              <w:spacing w:line="240" w:lineRule="auto"/>
            </w:pPr>
          </w:p>
        </w:tc>
        <w:tc>
          <w:tcPr>
            <w:tcW w:w="1020" w:type="dxa"/>
            <w:tcBorders>
              <w:top w:val="single" w:sz="4" w:space="0" w:color="00AAAF"/>
              <w:left w:val="single" w:sz="4" w:space="0" w:color="00AAAF"/>
              <w:bottom w:val="single" w:sz="4" w:space="0" w:color="00AAAF"/>
            </w:tcBorders>
            <w:shd w:val="clear" w:color="auto" w:fill="57C5CB"/>
            <w:tcMar>
              <w:top w:w="28" w:type="dxa"/>
              <w:left w:w="113" w:type="dxa"/>
              <w:bottom w:w="28" w:type="dxa"/>
              <w:right w:w="113" w:type="dxa"/>
            </w:tcMar>
          </w:tcPr>
          <w:p w14:paraId="0D824C05" w14:textId="77777777" w:rsidR="00347A7C" w:rsidRPr="00347A7C" w:rsidRDefault="00347A7C" w:rsidP="00347A7C">
            <w:pPr>
              <w:pStyle w:val="Tabletextsmall"/>
              <w:spacing w:line="240" w:lineRule="auto"/>
            </w:pPr>
          </w:p>
        </w:tc>
      </w:tr>
      <w:tr w:rsidR="00347A7C" w:rsidRPr="00347A7C" w14:paraId="00CDD2F4" w14:textId="77777777" w:rsidTr="00AA7B44">
        <w:trPr>
          <w:trHeight w:val="20"/>
        </w:trPr>
        <w:tc>
          <w:tcPr>
            <w:tcW w:w="3175" w:type="dxa"/>
            <w:gridSpan w:val="2"/>
            <w:tcBorders>
              <w:top w:val="single" w:sz="4" w:space="0" w:color="00AAAF"/>
              <w:bottom w:val="single" w:sz="4" w:space="0" w:color="00AAAF"/>
              <w:right w:val="single" w:sz="4" w:space="0" w:color="00AAAF"/>
            </w:tcBorders>
            <w:tcMar>
              <w:top w:w="28" w:type="dxa"/>
              <w:left w:w="113" w:type="dxa"/>
              <w:bottom w:w="28" w:type="dxa"/>
              <w:right w:w="113" w:type="dxa"/>
            </w:tcMar>
          </w:tcPr>
          <w:p w14:paraId="725380F0" w14:textId="77777777" w:rsidR="00347A7C" w:rsidRPr="00347A7C" w:rsidRDefault="00347A7C" w:rsidP="00347A7C">
            <w:pPr>
              <w:pStyle w:val="Tabletextsmall"/>
            </w:pPr>
            <w:r w:rsidRPr="00347A7C">
              <w:t>Dr Shaun Larkin</w:t>
            </w:r>
            <w:r w:rsidRPr="00347A7C">
              <w:rPr>
                <w:vertAlign w:val="superscript"/>
              </w:rPr>
              <w:t>2</w:t>
            </w:r>
          </w:p>
        </w:tc>
        <w:tc>
          <w:tcPr>
            <w:tcW w:w="1020" w:type="dxa"/>
            <w:tcBorders>
              <w:top w:val="single" w:sz="4" w:space="0" w:color="00AAAF"/>
              <w:left w:val="single" w:sz="4" w:space="0" w:color="00AAAF"/>
              <w:bottom w:val="single" w:sz="4" w:space="0" w:color="00AAAF"/>
              <w:right w:val="single" w:sz="4" w:space="0" w:color="00AAAF"/>
            </w:tcBorders>
            <w:shd w:val="clear" w:color="auto" w:fill="AEDFE2"/>
            <w:tcMar>
              <w:top w:w="28" w:type="dxa"/>
              <w:left w:w="113" w:type="dxa"/>
              <w:bottom w:w="28" w:type="dxa"/>
              <w:right w:w="113" w:type="dxa"/>
            </w:tcMar>
          </w:tcPr>
          <w:p w14:paraId="088667E2" w14:textId="77777777" w:rsidR="00347A7C" w:rsidRPr="00347A7C" w:rsidRDefault="00347A7C" w:rsidP="00347A7C">
            <w:pPr>
              <w:pStyle w:val="Tabletextsmall"/>
              <w:spacing w:line="240" w:lineRule="auto"/>
            </w:pPr>
          </w:p>
        </w:tc>
        <w:tc>
          <w:tcPr>
            <w:tcW w:w="1021" w:type="dxa"/>
            <w:tcBorders>
              <w:top w:val="single" w:sz="4" w:space="0" w:color="00AAAF"/>
              <w:left w:val="single" w:sz="4" w:space="0" w:color="00AAAF"/>
              <w:bottom w:val="single" w:sz="4" w:space="0" w:color="00AAAF"/>
              <w:right w:val="single" w:sz="4" w:space="0" w:color="00AAAF"/>
            </w:tcBorders>
            <w:shd w:val="clear" w:color="auto" w:fill="ABAAAC"/>
            <w:tcMar>
              <w:top w:w="28" w:type="dxa"/>
              <w:left w:w="113" w:type="dxa"/>
              <w:bottom w:w="28" w:type="dxa"/>
              <w:right w:w="113" w:type="dxa"/>
            </w:tcMar>
          </w:tcPr>
          <w:p w14:paraId="274C03C6" w14:textId="77777777" w:rsidR="00347A7C" w:rsidRPr="00347A7C" w:rsidRDefault="00347A7C" w:rsidP="00347A7C">
            <w:pPr>
              <w:pStyle w:val="Tabletextsmall"/>
              <w:spacing w:line="240" w:lineRule="auto"/>
            </w:pPr>
          </w:p>
        </w:tc>
        <w:tc>
          <w:tcPr>
            <w:tcW w:w="1020" w:type="dxa"/>
            <w:tcBorders>
              <w:top w:val="single" w:sz="4" w:space="0" w:color="00AAAF"/>
              <w:left w:val="single" w:sz="4" w:space="0" w:color="00AAAF"/>
              <w:bottom w:val="single" w:sz="4" w:space="0" w:color="00AAAF"/>
              <w:right w:val="single" w:sz="4" w:space="0" w:color="00AAAF"/>
            </w:tcBorders>
            <w:shd w:val="clear" w:color="auto" w:fill="ABAAAC"/>
            <w:tcMar>
              <w:top w:w="28" w:type="dxa"/>
              <w:left w:w="113" w:type="dxa"/>
              <w:bottom w:w="28" w:type="dxa"/>
              <w:right w:w="113" w:type="dxa"/>
            </w:tcMar>
          </w:tcPr>
          <w:p w14:paraId="2A397F06" w14:textId="77777777" w:rsidR="00347A7C" w:rsidRPr="00347A7C" w:rsidRDefault="00347A7C" w:rsidP="00347A7C">
            <w:pPr>
              <w:pStyle w:val="Tabletextsmall"/>
              <w:spacing w:line="240" w:lineRule="auto"/>
            </w:pPr>
          </w:p>
        </w:tc>
        <w:tc>
          <w:tcPr>
            <w:tcW w:w="1021" w:type="dxa"/>
            <w:tcBorders>
              <w:top w:val="single" w:sz="4" w:space="0" w:color="00AAAF"/>
              <w:left w:val="single" w:sz="4" w:space="0" w:color="00AAAF"/>
              <w:bottom w:val="single" w:sz="4" w:space="0" w:color="00AAAF"/>
              <w:right w:val="single" w:sz="4" w:space="0" w:color="00AAAF"/>
            </w:tcBorders>
            <w:shd w:val="clear" w:color="auto" w:fill="57C5CB"/>
            <w:tcMar>
              <w:top w:w="28" w:type="dxa"/>
              <w:left w:w="113" w:type="dxa"/>
              <w:bottom w:w="28" w:type="dxa"/>
              <w:right w:w="113" w:type="dxa"/>
            </w:tcMar>
          </w:tcPr>
          <w:p w14:paraId="7ACAD694" w14:textId="77777777" w:rsidR="00347A7C" w:rsidRPr="00347A7C" w:rsidRDefault="00347A7C" w:rsidP="00347A7C">
            <w:pPr>
              <w:pStyle w:val="Tabletextsmall"/>
              <w:spacing w:line="240" w:lineRule="auto"/>
            </w:pPr>
          </w:p>
        </w:tc>
        <w:tc>
          <w:tcPr>
            <w:tcW w:w="1020" w:type="dxa"/>
            <w:tcBorders>
              <w:top w:val="single" w:sz="4" w:space="0" w:color="00AAAF"/>
              <w:left w:val="single" w:sz="4" w:space="0" w:color="00AAAF"/>
              <w:bottom w:val="single" w:sz="4" w:space="0" w:color="00AAAF"/>
            </w:tcBorders>
            <w:shd w:val="clear" w:color="auto" w:fill="57C5CB"/>
            <w:tcMar>
              <w:top w:w="28" w:type="dxa"/>
              <w:left w:w="113" w:type="dxa"/>
              <w:bottom w:w="28" w:type="dxa"/>
              <w:right w:w="113" w:type="dxa"/>
            </w:tcMar>
          </w:tcPr>
          <w:p w14:paraId="5296DDF5" w14:textId="77777777" w:rsidR="00347A7C" w:rsidRPr="00347A7C" w:rsidRDefault="00347A7C" w:rsidP="00347A7C">
            <w:pPr>
              <w:pStyle w:val="Tabletextsmall"/>
              <w:spacing w:line="240" w:lineRule="auto"/>
            </w:pPr>
          </w:p>
        </w:tc>
      </w:tr>
      <w:tr w:rsidR="00347A7C" w:rsidRPr="00347A7C" w14:paraId="7ECCF564" w14:textId="77777777" w:rsidTr="00AA7B44">
        <w:trPr>
          <w:trHeight w:val="20"/>
        </w:trPr>
        <w:tc>
          <w:tcPr>
            <w:tcW w:w="3175" w:type="dxa"/>
            <w:gridSpan w:val="2"/>
            <w:tcBorders>
              <w:top w:val="single" w:sz="4" w:space="0" w:color="00AAAF"/>
              <w:bottom w:val="single" w:sz="4" w:space="0" w:color="00AAAF"/>
              <w:right w:val="single" w:sz="4" w:space="0" w:color="00AAAF"/>
            </w:tcBorders>
            <w:tcMar>
              <w:top w:w="28" w:type="dxa"/>
              <w:left w:w="113" w:type="dxa"/>
              <w:bottom w:w="28" w:type="dxa"/>
              <w:right w:w="113" w:type="dxa"/>
            </w:tcMar>
          </w:tcPr>
          <w:p w14:paraId="73229109" w14:textId="77777777" w:rsidR="00347A7C" w:rsidRPr="00347A7C" w:rsidRDefault="00347A7C" w:rsidP="00347A7C">
            <w:pPr>
              <w:pStyle w:val="Tabletextsmall"/>
            </w:pPr>
            <w:r w:rsidRPr="00347A7C">
              <w:t xml:space="preserve">Mrs </w:t>
            </w:r>
            <w:proofErr w:type="spellStart"/>
            <w:r w:rsidRPr="00347A7C">
              <w:t>Cheryle</w:t>
            </w:r>
            <w:proofErr w:type="spellEnd"/>
            <w:r w:rsidRPr="00347A7C">
              <w:t xml:space="preserve"> Royle</w:t>
            </w:r>
            <w:r w:rsidRPr="00347A7C">
              <w:rPr>
                <w:vertAlign w:val="superscript"/>
              </w:rPr>
              <w:t>2</w:t>
            </w:r>
          </w:p>
        </w:tc>
        <w:tc>
          <w:tcPr>
            <w:tcW w:w="1020" w:type="dxa"/>
            <w:tcBorders>
              <w:top w:val="single" w:sz="4" w:space="0" w:color="00AAAF"/>
              <w:left w:val="single" w:sz="4" w:space="0" w:color="00AAAF"/>
              <w:bottom w:val="single" w:sz="4" w:space="0" w:color="00AAAF"/>
              <w:right w:val="single" w:sz="4" w:space="0" w:color="00AAAF"/>
            </w:tcBorders>
            <w:shd w:val="clear" w:color="auto" w:fill="AEDFE2"/>
            <w:tcMar>
              <w:top w:w="28" w:type="dxa"/>
              <w:left w:w="113" w:type="dxa"/>
              <w:bottom w:w="28" w:type="dxa"/>
              <w:right w:w="113" w:type="dxa"/>
            </w:tcMar>
          </w:tcPr>
          <w:p w14:paraId="10230188" w14:textId="77777777" w:rsidR="00347A7C" w:rsidRPr="00347A7C" w:rsidRDefault="00347A7C" w:rsidP="00347A7C">
            <w:pPr>
              <w:pStyle w:val="Tabletextsmall"/>
              <w:spacing w:line="240" w:lineRule="auto"/>
            </w:pPr>
          </w:p>
        </w:tc>
        <w:tc>
          <w:tcPr>
            <w:tcW w:w="1021" w:type="dxa"/>
            <w:tcBorders>
              <w:top w:val="single" w:sz="4" w:space="0" w:color="00AAAF"/>
              <w:left w:val="single" w:sz="4" w:space="0" w:color="00AAAF"/>
              <w:bottom w:val="single" w:sz="4" w:space="0" w:color="00AAAF"/>
              <w:right w:val="single" w:sz="4" w:space="0" w:color="00AAAF"/>
            </w:tcBorders>
            <w:shd w:val="clear" w:color="auto" w:fill="ABAAAC"/>
            <w:tcMar>
              <w:top w:w="28" w:type="dxa"/>
              <w:left w:w="113" w:type="dxa"/>
              <w:bottom w:w="28" w:type="dxa"/>
              <w:right w:w="113" w:type="dxa"/>
            </w:tcMar>
          </w:tcPr>
          <w:p w14:paraId="29FE75C8" w14:textId="77777777" w:rsidR="00347A7C" w:rsidRPr="00347A7C" w:rsidRDefault="00347A7C" w:rsidP="00347A7C">
            <w:pPr>
              <w:pStyle w:val="Tabletextsmall"/>
              <w:spacing w:line="240" w:lineRule="auto"/>
            </w:pPr>
          </w:p>
        </w:tc>
        <w:tc>
          <w:tcPr>
            <w:tcW w:w="1020" w:type="dxa"/>
            <w:tcBorders>
              <w:top w:val="single" w:sz="4" w:space="0" w:color="00AAAF"/>
              <w:left w:val="single" w:sz="4" w:space="0" w:color="00AAAF"/>
              <w:bottom w:val="single" w:sz="4" w:space="0" w:color="00AAAF"/>
              <w:right w:val="single" w:sz="4" w:space="0" w:color="00AAAF"/>
            </w:tcBorders>
            <w:shd w:val="clear" w:color="auto" w:fill="57C5CB"/>
            <w:tcMar>
              <w:top w:w="28" w:type="dxa"/>
              <w:left w:w="113" w:type="dxa"/>
              <w:bottom w:w="28" w:type="dxa"/>
              <w:right w:w="113" w:type="dxa"/>
            </w:tcMar>
          </w:tcPr>
          <w:p w14:paraId="21F9360D" w14:textId="77777777" w:rsidR="00347A7C" w:rsidRPr="00347A7C" w:rsidRDefault="00347A7C" w:rsidP="00347A7C">
            <w:pPr>
              <w:pStyle w:val="Tabletextsmall"/>
              <w:spacing w:line="240" w:lineRule="auto"/>
            </w:pPr>
          </w:p>
        </w:tc>
        <w:tc>
          <w:tcPr>
            <w:tcW w:w="1021" w:type="dxa"/>
            <w:tcBorders>
              <w:top w:val="single" w:sz="4" w:space="0" w:color="00AAAF"/>
              <w:left w:val="single" w:sz="4" w:space="0" w:color="00AAAF"/>
              <w:bottom w:val="single" w:sz="4" w:space="0" w:color="00AAAF"/>
              <w:right w:val="single" w:sz="4" w:space="0" w:color="00AAAF"/>
            </w:tcBorders>
            <w:shd w:val="clear" w:color="auto" w:fill="ABAAAC"/>
            <w:tcMar>
              <w:top w:w="28" w:type="dxa"/>
              <w:left w:w="113" w:type="dxa"/>
              <w:bottom w:w="28" w:type="dxa"/>
              <w:right w:w="113" w:type="dxa"/>
            </w:tcMar>
          </w:tcPr>
          <w:p w14:paraId="709B53A2" w14:textId="77777777" w:rsidR="00347A7C" w:rsidRPr="00347A7C" w:rsidRDefault="00347A7C" w:rsidP="00347A7C">
            <w:pPr>
              <w:pStyle w:val="Tabletextsmall"/>
              <w:spacing w:line="240" w:lineRule="auto"/>
            </w:pPr>
          </w:p>
        </w:tc>
        <w:tc>
          <w:tcPr>
            <w:tcW w:w="1020" w:type="dxa"/>
            <w:tcBorders>
              <w:top w:val="single" w:sz="4" w:space="0" w:color="00AAAF"/>
              <w:left w:val="single" w:sz="4" w:space="0" w:color="00AAAF"/>
              <w:bottom w:val="single" w:sz="4" w:space="0" w:color="00AAAF"/>
            </w:tcBorders>
            <w:shd w:val="clear" w:color="auto" w:fill="57C5CB"/>
            <w:tcMar>
              <w:top w:w="28" w:type="dxa"/>
              <w:left w:w="113" w:type="dxa"/>
              <w:bottom w:w="28" w:type="dxa"/>
              <w:right w:w="113" w:type="dxa"/>
            </w:tcMar>
          </w:tcPr>
          <w:p w14:paraId="11E44F90" w14:textId="77777777" w:rsidR="00347A7C" w:rsidRPr="00347A7C" w:rsidRDefault="00347A7C" w:rsidP="00347A7C">
            <w:pPr>
              <w:pStyle w:val="Tabletextsmall"/>
              <w:spacing w:line="240" w:lineRule="auto"/>
            </w:pPr>
          </w:p>
        </w:tc>
      </w:tr>
      <w:tr w:rsidR="00347A7C" w:rsidRPr="00347A7C" w14:paraId="3588F954" w14:textId="77777777" w:rsidTr="00AA7B44">
        <w:trPr>
          <w:trHeight w:val="20"/>
        </w:trPr>
        <w:tc>
          <w:tcPr>
            <w:tcW w:w="3175" w:type="dxa"/>
            <w:gridSpan w:val="2"/>
            <w:tcBorders>
              <w:top w:val="single" w:sz="4" w:space="0" w:color="00AAAF"/>
              <w:bottom w:val="single" w:sz="4" w:space="0" w:color="00AAAF"/>
              <w:right w:val="single" w:sz="4" w:space="0" w:color="00AAAF"/>
            </w:tcBorders>
            <w:tcMar>
              <w:top w:w="85" w:type="dxa"/>
              <w:left w:w="113" w:type="dxa"/>
              <w:bottom w:w="85" w:type="dxa"/>
              <w:right w:w="113" w:type="dxa"/>
            </w:tcMar>
          </w:tcPr>
          <w:p w14:paraId="17EEF25E" w14:textId="77777777" w:rsidR="00347A7C" w:rsidRPr="00347A7C" w:rsidRDefault="00347A7C" w:rsidP="00347A7C">
            <w:pPr>
              <w:pStyle w:val="Tabletextsmall"/>
              <w:spacing w:line="240" w:lineRule="auto"/>
            </w:pPr>
            <w:r w:rsidRPr="00347A7C">
              <w:t>Dr Helena Williams</w:t>
            </w:r>
            <w:r w:rsidRPr="00347A7C">
              <w:rPr>
                <w:vertAlign w:val="superscript"/>
              </w:rPr>
              <w:t>2</w:t>
            </w:r>
          </w:p>
        </w:tc>
        <w:tc>
          <w:tcPr>
            <w:tcW w:w="1020" w:type="dxa"/>
            <w:tcBorders>
              <w:top w:val="single" w:sz="4" w:space="0" w:color="00AAAF"/>
              <w:left w:val="single" w:sz="4" w:space="0" w:color="00AAAF"/>
              <w:bottom w:val="single" w:sz="4" w:space="0" w:color="00AAAF"/>
              <w:right w:val="single" w:sz="4" w:space="0" w:color="00AAAF"/>
            </w:tcBorders>
            <w:shd w:val="clear" w:color="auto" w:fill="AEDFE2"/>
            <w:tcMar>
              <w:top w:w="85" w:type="dxa"/>
              <w:left w:w="113" w:type="dxa"/>
              <w:bottom w:w="85" w:type="dxa"/>
              <w:right w:w="113" w:type="dxa"/>
            </w:tcMar>
          </w:tcPr>
          <w:p w14:paraId="44D4CF7F" w14:textId="77777777" w:rsidR="00347A7C" w:rsidRPr="00347A7C" w:rsidRDefault="00347A7C" w:rsidP="00347A7C">
            <w:pPr>
              <w:pStyle w:val="Tabletextsmall"/>
              <w:spacing w:line="240" w:lineRule="auto"/>
            </w:pPr>
          </w:p>
        </w:tc>
        <w:tc>
          <w:tcPr>
            <w:tcW w:w="1021" w:type="dxa"/>
            <w:tcBorders>
              <w:top w:val="single" w:sz="4" w:space="0" w:color="00AAAF"/>
              <w:left w:val="single" w:sz="4" w:space="0" w:color="00AAAF"/>
              <w:bottom w:val="single" w:sz="4" w:space="0" w:color="00AAAF"/>
              <w:right w:val="single" w:sz="4" w:space="0" w:color="00AAAF"/>
            </w:tcBorders>
            <w:shd w:val="clear" w:color="auto" w:fill="57C5CB"/>
            <w:tcMar>
              <w:top w:w="85" w:type="dxa"/>
              <w:left w:w="113" w:type="dxa"/>
              <w:bottom w:w="85" w:type="dxa"/>
              <w:right w:w="113" w:type="dxa"/>
            </w:tcMar>
          </w:tcPr>
          <w:p w14:paraId="332922B0" w14:textId="77777777" w:rsidR="00347A7C" w:rsidRPr="00347A7C" w:rsidRDefault="00347A7C" w:rsidP="00347A7C">
            <w:pPr>
              <w:pStyle w:val="Tabletextsmall"/>
              <w:spacing w:line="240" w:lineRule="auto"/>
            </w:pPr>
          </w:p>
        </w:tc>
        <w:tc>
          <w:tcPr>
            <w:tcW w:w="1020" w:type="dxa"/>
            <w:tcBorders>
              <w:top w:val="single" w:sz="4" w:space="0" w:color="00AAAF"/>
              <w:left w:val="single" w:sz="4" w:space="0" w:color="00AAAF"/>
              <w:bottom w:val="single" w:sz="4" w:space="0" w:color="00AAAF"/>
              <w:right w:val="single" w:sz="4" w:space="0" w:color="00AAAF"/>
            </w:tcBorders>
            <w:shd w:val="clear" w:color="auto" w:fill="57C5CB"/>
            <w:tcMar>
              <w:top w:w="85" w:type="dxa"/>
              <w:left w:w="113" w:type="dxa"/>
              <w:bottom w:w="85" w:type="dxa"/>
              <w:right w:w="113" w:type="dxa"/>
            </w:tcMar>
          </w:tcPr>
          <w:p w14:paraId="4C2494D3" w14:textId="77777777" w:rsidR="00347A7C" w:rsidRPr="00347A7C" w:rsidRDefault="00347A7C" w:rsidP="00347A7C">
            <w:pPr>
              <w:pStyle w:val="Tabletextsmall"/>
              <w:spacing w:line="240" w:lineRule="auto"/>
            </w:pPr>
          </w:p>
        </w:tc>
        <w:tc>
          <w:tcPr>
            <w:tcW w:w="1021" w:type="dxa"/>
            <w:tcBorders>
              <w:top w:val="single" w:sz="4" w:space="0" w:color="00AAAF"/>
              <w:left w:val="single" w:sz="4" w:space="0" w:color="00AAAF"/>
              <w:bottom w:val="single" w:sz="4" w:space="0" w:color="00AAAF"/>
              <w:right w:val="single" w:sz="4" w:space="0" w:color="00AAAF"/>
            </w:tcBorders>
            <w:shd w:val="clear" w:color="auto" w:fill="ABAAAC"/>
            <w:tcMar>
              <w:top w:w="85" w:type="dxa"/>
              <w:left w:w="113" w:type="dxa"/>
              <w:bottom w:w="85" w:type="dxa"/>
              <w:right w:w="113" w:type="dxa"/>
            </w:tcMar>
          </w:tcPr>
          <w:p w14:paraId="326E4928" w14:textId="77777777" w:rsidR="00347A7C" w:rsidRPr="00347A7C" w:rsidRDefault="00347A7C" w:rsidP="00347A7C">
            <w:pPr>
              <w:pStyle w:val="Tabletextsmall"/>
              <w:spacing w:line="240" w:lineRule="auto"/>
            </w:pPr>
          </w:p>
        </w:tc>
        <w:tc>
          <w:tcPr>
            <w:tcW w:w="1020" w:type="dxa"/>
            <w:tcBorders>
              <w:top w:val="single" w:sz="4" w:space="0" w:color="00AAAF"/>
              <w:left w:val="single" w:sz="4" w:space="0" w:color="00AAAF"/>
              <w:bottom w:val="single" w:sz="4" w:space="0" w:color="00AAAF"/>
            </w:tcBorders>
            <w:shd w:val="clear" w:color="auto" w:fill="57C5CB"/>
            <w:tcMar>
              <w:top w:w="85" w:type="dxa"/>
              <w:left w:w="113" w:type="dxa"/>
              <w:bottom w:w="85" w:type="dxa"/>
              <w:right w:w="113" w:type="dxa"/>
            </w:tcMar>
          </w:tcPr>
          <w:p w14:paraId="4BF94997" w14:textId="77777777" w:rsidR="00347A7C" w:rsidRPr="00347A7C" w:rsidRDefault="00347A7C" w:rsidP="00347A7C">
            <w:pPr>
              <w:pStyle w:val="Tabletextsmall"/>
              <w:spacing w:line="240" w:lineRule="auto"/>
            </w:pPr>
          </w:p>
        </w:tc>
      </w:tr>
    </w:tbl>
    <w:p w14:paraId="62D1CC54" w14:textId="77777777" w:rsidR="000674E6" w:rsidRDefault="00AA7B44" w:rsidP="000674E6">
      <w:pPr>
        <w:pStyle w:val="BodyText-spacebefore"/>
      </w:pPr>
      <w:r>
        <w:rPr>
          <w:noProof/>
          <w:lang w:val="en-AU" w:eastAsia="en-AU"/>
        </w:rPr>
        <w:drawing>
          <wp:inline distT="0" distB="0" distL="0" distR="0" wp14:anchorId="668FBE0E" wp14:editId="337B1A92">
            <wp:extent cx="4918710" cy="873042"/>
            <wp:effectExtent l="0" t="0" r="0" b="3810"/>
            <wp:docPr id="12" name="Picture 12" title="Board meetings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ble.jpg"/>
                    <pic:cNvPicPr/>
                  </pic:nvPicPr>
                  <pic:blipFill>
                    <a:blip r:embed="rId66">
                      <a:extLst>
                        <a:ext uri="{28A0092B-C50C-407E-A947-70E740481C1C}">
                          <a14:useLocalDpi xmlns:a14="http://schemas.microsoft.com/office/drawing/2010/main" val="0"/>
                        </a:ext>
                      </a:extLst>
                    </a:blip>
                    <a:stretch>
                      <a:fillRect/>
                    </a:stretch>
                  </pic:blipFill>
                  <pic:spPr>
                    <a:xfrm>
                      <a:off x="0" y="0"/>
                      <a:ext cx="4953068" cy="879140"/>
                    </a:xfrm>
                    <a:prstGeom prst="rect">
                      <a:avLst/>
                    </a:prstGeom>
                  </pic:spPr>
                </pic:pic>
              </a:graphicData>
            </a:graphic>
          </wp:inline>
        </w:drawing>
      </w:r>
    </w:p>
    <w:p w14:paraId="259890ED" w14:textId="77777777" w:rsidR="000674E6" w:rsidRDefault="000674E6" w:rsidP="000674E6">
      <w:pPr>
        <w:pStyle w:val="BodyText-spacebefore"/>
        <w:sectPr w:rsidR="000674E6" w:rsidSect="00347A7C">
          <w:type w:val="continuous"/>
          <w:pgSz w:w="9979" w:h="14175" w:code="34"/>
          <w:pgMar w:top="1418" w:right="680" w:bottom="851" w:left="1021" w:header="567" w:footer="397" w:gutter="0"/>
          <w:cols w:space="340"/>
          <w:noEndnote/>
        </w:sectPr>
      </w:pPr>
    </w:p>
    <w:p w14:paraId="68FCA8D7" w14:textId="77777777" w:rsidR="000674E6" w:rsidRPr="000674E6" w:rsidRDefault="000674E6" w:rsidP="00F84D61">
      <w:pPr>
        <w:pStyle w:val="Heading2"/>
      </w:pPr>
      <w:r w:rsidRPr="000674E6">
        <w:lastRenderedPageBreak/>
        <w:t>Board development and</w:t>
      </w:r>
      <w:r w:rsidR="001B2816">
        <w:t> </w:t>
      </w:r>
      <w:r w:rsidRPr="000674E6">
        <w:t>review</w:t>
      </w:r>
    </w:p>
    <w:p w14:paraId="3FE62AA7" w14:textId="77777777" w:rsidR="000674E6" w:rsidRPr="000674E6" w:rsidRDefault="000674E6" w:rsidP="00F84D61">
      <w:pPr>
        <w:pStyle w:val="BodyText"/>
      </w:pPr>
      <w:r w:rsidRPr="000674E6">
        <w:t xml:space="preserve">New Board members undertake a formal induction to their role, including a meeting with the Chair and CEO. They receive an induction manual that includes the </w:t>
      </w:r>
      <w:r w:rsidRPr="00011CF0">
        <w:rPr>
          <w:rStyle w:val="Emphasis"/>
        </w:rPr>
        <w:t>Board Operating Guidelines</w:t>
      </w:r>
      <w:r w:rsidRPr="000674E6">
        <w:t>, which inform the conduct of Board members and describe their responsibilities and duties under legislation.</w:t>
      </w:r>
    </w:p>
    <w:p w14:paraId="7BFF2DBE" w14:textId="77777777" w:rsidR="000674E6" w:rsidRPr="000674E6" w:rsidRDefault="000674E6" w:rsidP="00F84D61">
      <w:pPr>
        <w:pStyle w:val="BodyText"/>
      </w:pPr>
      <w:r w:rsidRPr="000674E6">
        <w:t>Board members are briefed on relevant topics at meetings as appropriate, and are required to undertake ongoing professional development relevant to, and in line with, the Commission’s needs. The Commission supports Board members to pursue these activities.</w:t>
      </w:r>
    </w:p>
    <w:p w14:paraId="078AD381" w14:textId="77777777" w:rsidR="000674E6" w:rsidRPr="000674E6" w:rsidRDefault="000674E6" w:rsidP="00F84D61">
      <w:pPr>
        <w:pStyle w:val="Heading2"/>
      </w:pPr>
      <w:r w:rsidRPr="000674E6">
        <w:t>Ethical standards</w:t>
      </w:r>
    </w:p>
    <w:p w14:paraId="73E0AA8A" w14:textId="77777777" w:rsidR="000674E6" w:rsidRPr="000674E6" w:rsidRDefault="000674E6" w:rsidP="00F84D61">
      <w:pPr>
        <w:pStyle w:val="BodyText"/>
      </w:pPr>
      <w:r w:rsidRPr="000674E6">
        <w:t xml:space="preserve">The Commission’s Board </w:t>
      </w:r>
      <w:r w:rsidRPr="00011CF0">
        <w:rPr>
          <w:rStyle w:val="Emphasis"/>
        </w:rPr>
        <w:t>Operating Guidelines</w:t>
      </w:r>
      <w:r w:rsidRPr="000674E6">
        <w:t xml:space="preserve"> provide a Board Charter that outlines the function, duties and responsibilities of the Board, and a code of conduct that defines the standard of conduct required of Board members and the ethics and values they are bound to uphold. The </w:t>
      </w:r>
      <w:r w:rsidRPr="00011CF0">
        <w:rPr>
          <w:rStyle w:val="Emphasis"/>
        </w:rPr>
        <w:t>Duty to Disclose Interests Policy for Board Members</w:t>
      </w:r>
      <w:r w:rsidRPr="000674E6">
        <w:t xml:space="preserve"> requires Board members to recognise, declare and take reasonable steps to avoid or appropriately manage any conflict of interest. This includes the duty to disclose material personal interests, as required under section 29 of the Public Governance, Performance and Accountability Act.</w:t>
      </w:r>
    </w:p>
    <w:p w14:paraId="0CFB768F" w14:textId="77777777" w:rsidR="000674E6" w:rsidRPr="0027340F" w:rsidRDefault="000674E6" w:rsidP="0027340F">
      <w:pPr>
        <w:pStyle w:val="Heading2"/>
      </w:pPr>
      <w:r w:rsidRPr="0027340F">
        <w:t>Related-entity transactions</w:t>
      </w:r>
    </w:p>
    <w:p w14:paraId="25FFFA55" w14:textId="77777777" w:rsidR="000674E6" w:rsidRPr="000674E6" w:rsidRDefault="000674E6" w:rsidP="00F84D61">
      <w:pPr>
        <w:pStyle w:val="BodyText"/>
      </w:pPr>
      <w:r w:rsidRPr="000674E6">
        <w:t xml:space="preserve">In accordance with the requirements prescribed by section 17BE of the Public Governance, Performance and Accountability Rule and the Department of Finance’s </w:t>
      </w:r>
      <w:r w:rsidRPr="00011CF0">
        <w:rPr>
          <w:rStyle w:val="Emphasis"/>
        </w:rPr>
        <w:t>Resource Management Guide No. 136 – Annual reports for corporate Commonwealth entities</w:t>
      </w:r>
      <w:r w:rsidRPr="000674E6">
        <w:t>, related</w:t>
      </w:r>
      <w:r w:rsidRPr="000674E6">
        <w:noBreakHyphen/>
        <w:t>entity transactions during 2016–17 are disclosed in</w:t>
      </w:r>
      <w:r w:rsidRPr="000674E6">
        <w:rPr>
          <w:rFonts w:cs="Arial"/>
        </w:rPr>
        <w:t> </w:t>
      </w:r>
      <w:r w:rsidRPr="000674E6">
        <w:t>Appendix C.</w:t>
      </w:r>
    </w:p>
    <w:p w14:paraId="68335310" w14:textId="77777777" w:rsidR="000674E6" w:rsidRPr="0044323F" w:rsidRDefault="000674E6" w:rsidP="00F84D61">
      <w:pPr>
        <w:pStyle w:val="Heading2"/>
      </w:pPr>
      <w:r w:rsidRPr="0044323F">
        <w:br w:type="column"/>
      </w:r>
      <w:r w:rsidRPr="0044323F">
        <w:lastRenderedPageBreak/>
        <w:t>Indemnity and insurance</w:t>
      </w:r>
    </w:p>
    <w:p w14:paraId="140671E5" w14:textId="1F386734" w:rsidR="000674E6" w:rsidRPr="0044323F" w:rsidRDefault="000674E6" w:rsidP="00F84D61">
      <w:pPr>
        <w:pStyle w:val="BodyText"/>
      </w:pPr>
      <w:r w:rsidRPr="0044323F">
        <w:t xml:space="preserve">The Commission holds directors’ and officers’ liability insurance cover through </w:t>
      </w:r>
      <w:proofErr w:type="spellStart"/>
      <w:r w:rsidRPr="0044323F">
        <w:t>Comcover</w:t>
      </w:r>
      <w:proofErr w:type="spellEnd"/>
      <w:r w:rsidRPr="0044323F">
        <w:t xml:space="preserve">, the Australian Government’s self-managed fund. </w:t>
      </w:r>
      <w:r w:rsidR="00D651C5">
        <w:br/>
      </w:r>
      <w:r w:rsidRPr="0044323F">
        <w:t>As part of its annual insurance renewal process, the Commission reviewed its insurance coverage in 2016–17 to ensure the coverage was still appropriate for its operations.</w:t>
      </w:r>
    </w:p>
    <w:p w14:paraId="564C12F1" w14:textId="4452E32F" w:rsidR="000674E6" w:rsidRPr="0044323F" w:rsidRDefault="000674E6" w:rsidP="00F84D61">
      <w:pPr>
        <w:pStyle w:val="BodyText"/>
      </w:pPr>
      <w:r w:rsidRPr="0044323F">
        <w:t xml:space="preserve">During the year, no indemnity-related claims </w:t>
      </w:r>
      <w:r w:rsidR="00D651C5">
        <w:br/>
      </w:r>
      <w:r w:rsidRPr="0044323F">
        <w:t xml:space="preserve">were made, and the Commission knows of </w:t>
      </w:r>
      <w:r w:rsidR="00D651C5">
        <w:br/>
      </w:r>
      <w:r w:rsidRPr="0044323F">
        <w:t xml:space="preserve">no circumstances likely to lead to such claims being made. Many liability limits under the Commission’s Schedule of Cover are standard Australian Government limits, such as $100 million in cover for general liability and professional indemnity, as well as directors’ </w:t>
      </w:r>
      <w:r w:rsidR="00D651C5">
        <w:br/>
      </w:r>
      <w:r w:rsidRPr="0044323F">
        <w:t>and officers’ liability. The Commission’s business interruption indemnity cover is for a period of up to 24 months. Motor vehicle, third-party property damage and expatriate cover have not been taken out, as they don’t apply to the Commission.</w:t>
      </w:r>
    </w:p>
    <w:p w14:paraId="3F7F7C98" w14:textId="77777777" w:rsidR="00F84D61" w:rsidRPr="0044323F" w:rsidRDefault="00F84D61" w:rsidP="00F84D61">
      <w:pPr>
        <w:pStyle w:val="BodyText"/>
      </w:pPr>
    </w:p>
    <w:p w14:paraId="18DBB348" w14:textId="77777777" w:rsidR="00F84D61" w:rsidRPr="0044323F" w:rsidRDefault="00F84D61" w:rsidP="00F84D61">
      <w:pPr>
        <w:pStyle w:val="BodyText"/>
        <w:sectPr w:rsidR="00F84D61" w:rsidRPr="0044323F" w:rsidSect="000674E6">
          <w:headerReference w:type="even" r:id="rId67"/>
          <w:pgSz w:w="9979" w:h="14175" w:code="34"/>
          <w:pgMar w:top="1418" w:right="680" w:bottom="851" w:left="1021" w:header="567" w:footer="397" w:gutter="0"/>
          <w:cols w:num="2" w:space="340"/>
          <w:noEndnote/>
        </w:sectPr>
      </w:pPr>
    </w:p>
    <w:p w14:paraId="3F797F63" w14:textId="77777777" w:rsidR="000674E6" w:rsidRPr="0044323F" w:rsidRDefault="000674E6">
      <w:pPr>
        <w:spacing w:after="160" w:line="259" w:lineRule="auto"/>
      </w:pPr>
      <w:r w:rsidRPr="0044323F">
        <w:lastRenderedPageBreak/>
        <w:br w:type="page"/>
      </w:r>
    </w:p>
    <w:p w14:paraId="3318D594" w14:textId="77777777" w:rsidR="000674E6" w:rsidRDefault="000674E6" w:rsidP="000674E6">
      <w:pPr>
        <w:pStyle w:val="Footnote"/>
        <w:spacing w:before="1200"/>
      </w:pPr>
    </w:p>
    <w:p w14:paraId="5AC655B9" w14:textId="3AE24DFA" w:rsidR="00C97622" w:rsidRDefault="000674E6" w:rsidP="000674E6">
      <w:pPr>
        <w:pStyle w:val="Footnote"/>
        <w:spacing w:before="6600" w:line="180" w:lineRule="atLeast"/>
        <w:ind w:right="2749"/>
        <w:sectPr w:rsidR="00C97622" w:rsidSect="000674E6">
          <w:type w:val="continuous"/>
          <w:pgSz w:w="9979" w:h="14175" w:code="34"/>
          <w:pgMar w:top="1418" w:right="680" w:bottom="851" w:left="1021" w:header="567" w:footer="397" w:gutter="0"/>
          <w:cols w:space="340"/>
          <w:noEndnote/>
        </w:sectPr>
      </w:pPr>
      <w:r w:rsidRPr="000674E6">
        <w:t xml:space="preserve">The Commission’s Board. Front row left to right: Professor Villis Marshall AC (Chair), Adjunct Professor John Walsh AM. Back row left to right: Ms Wendy Harris QC, </w:t>
      </w:r>
      <w:r w:rsidRPr="00011CF0">
        <w:t>Professor</w:t>
      </w:r>
      <w:r w:rsidRPr="000674E6">
        <w:t xml:space="preserve"> Phillip Della, Dr David Filby PSM, Ms Christine Gee, </w:t>
      </w:r>
      <w:r w:rsidR="00D651C5">
        <w:br/>
      </w:r>
      <w:r w:rsidRPr="000674E6">
        <w:t xml:space="preserve">Dr Shaun Larkin and Mrs </w:t>
      </w:r>
      <w:proofErr w:type="spellStart"/>
      <w:r w:rsidRPr="000674E6">
        <w:t>Cheryle</w:t>
      </w:r>
      <w:proofErr w:type="spellEnd"/>
      <w:r w:rsidRPr="000674E6">
        <w:t xml:space="preserve"> </w:t>
      </w:r>
      <w:proofErr w:type="spellStart"/>
      <w:r w:rsidRPr="000674E6">
        <w:t>Royle</w:t>
      </w:r>
      <w:proofErr w:type="spellEnd"/>
    </w:p>
    <w:p w14:paraId="05D37493" w14:textId="77777777" w:rsidR="000674E6" w:rsidRPr="00F84D61" w:rsidRDefault="000674E6" w:rsidP="00F84D61">
      <w:pPr>
        <w:pStyle w:val="Heading1"/>
      </w:pPr>
      <w:r w:rsidRPr="00F84D61">
        <w:lastRenderedPageBreak/>
        <w:t>Committees</w:t>
      </w:r>
    </w:p>
    <w:p w14:paraId="1C2BE121" w14:textId="77777777" w:rsidR="000674E6" w:rsidRDefault="000674E6" w:rsidP="00F84D61">
      <w:pPr>
        <w:pStyle w:val="BodyText"/>
      </w:pPr>
      <w:r>
        <w:t>The Audit and Risk Committee advises the Commission and the Board on audit, risk and</w:t>
      </w:r>
      <w:r>
        <w:rPr>
          <w:rFonts w:cs="Arial"/>
        </w:rPr>
        <w:t> </w:t>
      </w:r>
      <w:r>
        <w:t>finance.</w:t>
      </w:r>
    </w:p>
    <w:p w14:paraId="5A686B87" w14:textId="77777777" w:rsidR="000674E6" w:rsidRDefault="000674E6" w:rsidP="00F84D61">
      <w:pPr>
        <w:pStyle w:val="BodyText"/>
      </w:pPr>
      <w:r>
        <w:t>The Inter-Jurisdictional Committee meets regularly to provide advice to the Commission and the Board on the Commission’s work and safety and quality matters in the states and</w:t>
      </w:r>
      <w:r>
        <w:rPr>
          <w:rFonts w:cs="Arial"/>
        </w:rPr>
        <w:t> </w:t>
      </w:r>
      <w:r>
        <w:t>territories.</w:t>
      </w:r>
    </w:p>
    <w:p w14:paraId="72F21140" w14:textId="77777777" w:rsidR="000674E6" w:rsidRDefault="000674E6" w:rsidP="00F84D61">
      <w:pPr>
        <w:pStyle w:val="BodyText"/>
      </w:pPr>
      <w:r>
        <w:t>Additional standing committees and reference groups provide sector- and topic-specific advice on the Commission’s programs and projects.</w:t>
      </w:r>
    </w:p>
    <w:p w14:paraId="4B8CC414" w14:textId="77777777" w:rsidR="000674E6" w:rsidRDefault="000674E6" w:rsidP="00F84D61">
      <w:pPr>
        <w:pStyle w:val="Heading2"/>
      </w:pPr>
      <w:r>
        <w:t>Audit and Risk Committee</w:t>
      </w:r>
    </w:p>
    <w:p w14:paraId="724B089B" w14:textId="77777777" w:rsidR="000674E6" w:rsidRDefault="000674E6" w:rsidP="00F84D61">
      <w:pPr>
        <w:pStyle w:val="BodyText"/>
      </w:pPr>
      <w:r>
        <w:t>The Board established the Audit and Risk Committee in compliance with section 45 of the Public Governance, Performance and Accountability Act and section 17 of the Public Governance, Performance and Accountability Rule. The committee is chaired by Ms Jennifer Clark. Ms Clark brings to the Audit and Risk Committee her extensive knowledge and experience in business, finance and governance through her career as a non-executive director since 1991 and as an investment banker for over 20 years.</w:t>
      </w:r>
    </w:p>
    <w:p w14:paraId="43961E3D" w14:textId="77777777" w:rsidR="000674E6" w:rsidRDefault="000674E6" w:rsidP="00F84D61">
      <w:pPr>
        <w:pStyle w:val="Bodytextbeforebullets"/>
      </w:pPr>
      <w:r>
        <w:t>The primary role of the Audit and Risk Committee is to help the Board discharge its responsibilities in relation to financial reporting, performance reporting, risk oversight and management, internal control, and compliance with relevant laws and policies. The committee’s responsibilities include:</w:t>
      </w:r>
    </w:p>
    <w:p w14:paraId="7112F4C8" w14:textId="77777777" w:rsidR="000674E6" w:rsidRDefault="000674E6" w:rsidP="00F84D61">
      <w:pPr>
        <w:pStyle w:val="Bullets"/>
      </w:pPr>
      <w:r>
        <w:t xml:space="preserve">Monitoring the effectiveness of risk management frameworks, including identifying and </w:t>
      </w:r>
      <w:r w:rsidRPr="00F84D61">
        <w:t>managing</w:t>
      </w:r>
      <w:r>
        <w:t xml:space="preserve"> the Commission’s business and financial risks, including fraud</w:t>
      </w:r>
    </w:p>
    <w:p w14:paraId="7F4588B3" w14:textId="77777777" w:rsidR="000674E6" w:rsidRDefault="000674E6" w:rsidP="00F84D61">
      <w:pPr>
        <w:pStyle w:val="Bullets"/>
      </w:pPr>
      <w:r>
        <w:t>Monitoring the Commission’s compliance with legislation, including the Public Governance, Performance and Accountability Act and Rule</w:t>
      </w:r>
    </w:p>
    <w:p w14:paraId="299A3889" w14:textId="77777777" w:rsidR="000674E6" w:rsidRDefault="00F84D61" w:rsidP="00F84D61">
      <w:pPr>
        <w:pStyle w:val="Bullets"/>
      </w:pPr>
      <w:r>
        <w:br w:type="column"/>
      </w:r>
      <w:r w:rsidR="000674E6">
        <w:lastRenderedPageBreak/>
        <w:t>Monitoring the preparation of the Commission’s annual financial statements and making a recommendation to the Board on their approval</w:t>
      </w:r>
    </w:p>
    <w:p w14:paraId="1C779CD7" w14:textId="77777777" w:rsidR="000674E6" w:rsidRDefault="000674E6" w:rsidP="00F84D61">
      <w:pPr>
        <w:pStyle w:val="Bullets"/>
      </w:pPr>
      <w:r>
        <w:t>Reviewing the appropriateness of the Commission’s performance measures, and how these measures are assessed and</w:t>
      </w:r>
      <w:r>
        <w:rPr>
          <w:rFonts w:cs="Arial"/>
        </w:rPr>
        <w:t> </w:t>
      </w:r>
      <w:r>
        <w:t>reported</w:t>
      </w:r>
    </w:p>
    <w:p w14:paraId="33C89902" w14:textId="77777777" w:rsidR="000674E6" w:rsidRDefault="000674E6" w:rsidP="00F84D61">
      <w:pPr>
        <w:pStyle w:val="Bullets"/>
      </w:pPr>
      <w:r>
        <w:t>Assessing whether relevant policies are in place to maintain an effective internal control framework, including for security arrangements and business continuity</w:t>
      </w:r>
    </w:p>
    <w:p w14:paraId="31A29E58" w14:textId="77777777" w:rsidR="000674E6" w:rsidRDefault="000674E6" w:rsidP="00F84D61">
      <w:pPr>
        <w:pStyle w:val="BulletLast"/>
      </w:pPr>
      <w:r>
        <w:t>Reviewing the work undertaken by the Commission’s outsourced internal auditors, including approving the internal audit plan and reviewing all audit reports and issues identified in those reports.</w:t>
      </w:r>
    </w:p>
    <w:p w14:paraId="46A16DC9" w14:textId="77777777" w:rsidR="000674E6" w:rsidRDefault="000674E6" w:rsidP="00F84D61">
      <w:pPr>
        <w:pStyle w:val="BodyText"/>
      </w:pPr>
      <w:r>
        <w:t>Board member Dr Shaun Larkin was appointed as a member of the Audit and Risk Committee in November 2016. Mr Trevor Burgess held the position of external member of the Audit and Risk Committee during 2016–17. Although members of the Commission’s senior management attended meetings as advisors, they were not members of the Audit and Risk Committee, which is in accordance with section</w:t>
      </w:r>
      <w:r>
        <w:rPr>
          <w:rFonts w:cs="Arial"/>
        </w:rPr>
        <w:t> </w:t>
      </w:r>
      <w:r>
        <w:t>17 of the Public Governance, Performance and Accountability Rule.</w:t>
      </w:r>
    </w:p>
    <w:p w14:paraId="39FD8D5D" w14:textId="77777777" w:rsidR="00347A7C" w:rsidRPr="00F84D61" w:rsidRDefault="000674E6" w:rsidP="00F84D61">
      <w:pPr>
        <w:pStyle w:val="BodyText"/>
      </w:pPr>
      <w:r>
        <w:t>The Audit and Risk Committee met five times during 2016–17. The Chair and members attended all relevant meetings.</w:t>
      </w:r>
    </w:p>
    <w:p w14:paraId="4F24FE5A" w14:textId="77777777" w:rsidR="00C97622" w:rsidRDefault="00C97622" w:rsidP="00F84D61">
      <w:pPr>
        <w:pStyle w:val="BodyText"/>
        <w:sectPr w:rsidR="00C97622" w:rsidSect="00C97622">
          <w:pgSz w:w="9979" w:h="14175" w:code="34"/>
          <w:pgMar w:top="1418" w:right="680" w:bottom="851" w:left="1021" w:header="567" w:footer="397" w:gutter="0"/>
          <w:cols w:num="2" w:space="340"/>
          <w:noEndnote/>
        </w:sectPr>
      </w:pPr>
    </w:p>
    <w:p w14:paraId="593EAD2B" w14:textId="77777777" w:rsidR="00C97622" w:rsidRDefault="00C97622" w:rsidP="00F84D61">
      <w:pPr>
        <w:pStyle w:val="Heading2"/>
      </w:pPr>
      <w:r>
        <w:lastRenderedPageBreak/>
        <w:t>Inter-Jurisdictional Committee</w:t>
      </w:r>
    </w:p>
    <w:p w14:paraId="548628BB" w14:textId="77777777" w:rsidR="00C97622" w:rsidRDefault="00C97622" w:rsidP="00F84D61">
      <w:pPr>
        <w:pStyle w:val="Bodytextbeforebullets"/>
      </w:pPr>
      <w:r>
        <w:t>The Inter-Jurisdictional Committee is made up of senior safety and quality managers from the Australian Government and state and territory governments. It is responsible for advising the Commission on policy development and facilitating jurisdictional engagement. The</w:t>
      </w:r>
      <w:r>
        <w:rPr>
          <w:rFonts w:cs="Arial"/>
        </w:rPr>
        <w:t> </w:t>
      </w:r>
      <w:r>
        <w:t>role</w:t>
      </w:r>
      <w:r>
        <w:rPr>
          <w:rFonts w:cs="Arial"/>
        </w:rPr>
        <w:t> </w:t>
      </w:r>
      <w:r>
        <w:t>of</w:t>
      </w:r>
      <w:r>
        <w:rPr>
          <w:rFonts w:cs="Arial"/>
        </w:rPr>
        <w:t> </w:t>
      </w:r>
      <w:r>
        <w:t>committee members is to:</w:t>
      </w:r>
    </w:p>
    <w:p w14:paraId="39D56D2B" w14:textId="77777777" w:rsidR="00C97622" w:rsidRDefault="00C97622" w:rsidP="00F84D61">
      <w:pPr>
        <w:pStyle w:val="Bullets"/>
      </w:pPr>
      <w:r>
        <w:t>Advise the Commission on the adequacy of the policy development process, particularly policy implementation</w:t>
      </w:r>
    </w:p>
    <w:p w14:paraId="4BC9DF4A" w14:textId="77777777" w:rsidR="00C97622" w:rsidRDefault="00C97622" w:rsidP="00F84D61">
      <w:pPr>
        <w:pStyle w:val="Bullets"/>
      </w:pPr>
      <w:r>
        <w:t>Ensure health departments and ministries are aware of new policy directions and able to review local systems accordingly</w:t>
      </w:r>
    </w:p>
    <w:p w14:paraId="1A87FD77" w14:textId="77777777" w:rsidR="00C97622" w:rsidRDefault="00C97622" w:rsidP="00F84D61">
      <w:pPr>
        <w:pStyle w:val="Bullets"/>
      </w:pPr>
      <w:r>
        <w:t>Monitor national actions to improve patient safety, as approved by health ministers</w:t>
      </w:r>
    </w:p>
    <w:p w14:paraId="6E138110" w14:textId="77777777" w:rsidR="00C97622" w:rsidRDefault="00C97622" w:rsidP="00F84D61">
      <w:pPr>
        <w:pStyle w:val="Bullets"/>
      </w:pPr>
      <w:r>
        <w:t>Help collect national data on safety and</w:t>
      </w:r>
      <w:r>
        <w:rPr>
          <w:rFonts w:cs="Arial"/>
        </w:rPr>
        <w:t> </w:t>
      </w:r>
      <w:r>
        <w:t>quality</w:t>
      </w:r>
    </w:p>
    <w:p w14:paraId="7D4B43E9" w14:textId="77777777" w:rsidR="00C97622" w:rsidRDefault="00C97622" w:rsidP="00F84D61">
      <w:pPr>
        <w:pStyle w:val="BulletLast"/>
      </w:pPr>
      <w:r>
        <w:t>Build effective mechanisms within jurisdictions to enable national public</w:t>
      </w:r>
      <w:r>
        <w:rPr>
          <w:rFonts w:cs="Arial"/>
        </w:rPr>
        <w:t> </w:t>
      </w:r>
      <w:r>
        <w:t>reporting.</w:t>
      </w:r>
    </w:p>
    <w:p w14:paraId="4B7940A6" w14:textId="77777777" w:rsidR="00C97622" w:rsidRDefault="00C97622" w:rsidP="00F84D61">
      <w:pPr>
        <w:pStyle w:val="BodyText-spacebefore"/>
      </w:pPr>
      <w:r>
        <w:t>The committee met five times during the 2016–17 financial year.</w:t>
      </w:r>
    </w:p>
    <w:p w14:paraId="05B1F5A7" w14:textId="77777777" w:rsidR="00C97622" w:rsidRDefault="00F84D61" w:rsidP="00F84D61">
      <w:pPr>
        <w:pStyle w:val="Heading2"/>
      </w:pPr>
      <w:r>
        <w:br w:type="column"/>
      </w:r>
      <w:r w:rsidR="00C97622">
        <w:lastRenderedPageBreak/>
        <w:t>Other committees and consultations</w:t>
      </w:r>
    </w:p>
    <w:p w14:paraId="1729B6E0" w14:textId="77777777" w:rsidR="00C97622" w:rsidRDefault="00C97622" w:rsidP="00F84D61">
      <w:pPr>
        <w:pStyle w:val="Bodytextbeforebullets"/>
      </w:pPr>
      <w:r>
        <w:t xml:space="preserve">The Board has established two sub-committees that provide specific advice and support across all relevant areas of its work. These are the: </w:t>
      </w:r>
    </w:p>
    <w:p w14:paraId="3659737C" w14:textId="77777777" w:rsidR="00C97622" w:rsidRDefault="00C97622" w:rsidP="00F84D61">
      <w:pPr>
        <w:pStyle w:val="Bullets"/>
      </w:pPr>
      <w:r>
        <w:t xml:space="preserve">Private Hospital Sector Committee </w:t>
      </w:r>
    </w:p>
    <w:p w14:paraId="20B03A29" w14:textId="77777777" w:rsidR="00C97622" w:rsidRDefault="00C97622" w:rsidP="00F84D61">
      <w:pPr>
        <w:pStyle w:val="BulletLast"/>
      </w:pPr>
      <w:r>
        <w:t>Primary Care Committee.</w:t>
      </w:r>
    </w:p>
    <w:p w14:paraId="23B3EFC4" w14:textId="77777777" w:rsidR="00C97622" w:rsidRDefault="00C97622" w:rsidP="00F84D61">
      <w:pPr>
        <w:pStyle w:val="BodyText"/>
      </w:pPr>
      <w:r>
        <w:t>The Private Hospital Sector Committee is chaired by Ms Christine Gee and the Primary Care Committee is chaired by Dr</w:t>
      </w:r>
      <w:r>
        <w:rPr>
          <w:rFonts w:cs="Arial"/>
        </w:rPr>
        <w:t> </w:t>
      </w:r>
      <w:r>
        <w:t>Helena</w:t>
      </w:r>
      <w:r>
        <w:rPr>
          <w:rFonts w:cs="Arial"/>
        </w:rPr>
        <w:t> </w:t>
      </w:r>
      <w:r>
        <w:t>Williams.</w:t>
      </w:r>
    </w:p>
    <w:p w14:paraId="490206DF" w14:textId="77777777" w:rsidR="00C97622" w:rsidRDefault="00C97622" w:rsidP="00F84D61">
      <w:pPr>
        <w:pStyle w:val="BodyText"/>
      </w:pPr>
      <w:r>
        <w:t>The Commission also works closely with a</w:t>
      </w:r>
      <w:r>
        <w:rPr>
          <w:rFonts w:cs="Arial"/>
        </w:rPr>
        <w:t> </w:t>
      </w:r>
      <w:r>
        <w:t>number of time-limited expert committees, working parties and reference groups to inform and support its work. These groups allow the Commission to draw on expert knowledge, consult with relevant key stakeholders and develop appropriate implementation strategies.</w:t>
      </w:r>
    </w:p>
    <w:p w14:paraId="6DCE7C97" w14:textId="77777777" w:rsidR="00C97622" w:rsidRDefault="00C97622" w:rsidP="00F84D61">
      <w:pPr>
        <w:pStyle w:val="BodyText"/>
      </w:pPr>
      <w:r>
        <w:t xml:space="preserve">The Commission consults widely with </w:t>
      </w:r>
      <w:r w:rsidR="00C505AD">
        <w:br/>
      </w:r>
      <w:r>
        <w:t>subject</w:t>
      </w:r>
      <w:r w:rsidR="00C505AD">
        <w:t>-</w:t>
      </w:r>
      <w:r>
        <w:t>matter experts, peak bodies, states and territories, consumers and other relevant individuals and organisations. This includes ongoing discussions with key national and other organisations, and with an extensive network of formal reference and advisory groups. These networks provide links with healthcare providers, consumers, subject-matter experts and state and territory representatives. The Commission also undertakes formal consultation on specific issues.</w:t>
      </w:r>
    </w:p>
    <w:p w14:paraId="258E960F" w14:textId="77777777" w:rsidR="00C97622" w:rsidRDefault="00C97622" w:rsidP="00F84D61">
      <w:pPr>
        <w:pStyle w:val="BodyText"/>
      </w:pPr>
    </w:p>
    <w:p w14:paraId="6A1F71D2" w14:textId="77777777" w:rsidR="00C97622" w:rsidRDefault="00C97622" w:rsidP="00F84D61">
      <w:pPr>
        <w:pStyle w:val="BodyText"/>
        <w:sectPr w:rsidR="00C97622" w:rsidSect="00C97622">
          <w:headerReference w:type="even" r:id="rId68"/>
          <w:pgSz w:w="9979" w:h="14175" w:code="34"/>
          <w:pgMar w:top="1418" w:right="680" w:bottom="851" w:left="1021" w:header="567" w:footer="397" w:gutter="0"/>
          <w:cols w:num="2" w:space="340"/>
          <w:noEndnote/>
        </w:sectPr>
      </w:pPr>
    </w:p>
    <w:p w14:paraId="535E8437" w14:textId="77777777" w:rsidR="00C97622" w:rsidRDefault="00C97622" w:rsidP="00D80F6C">
      <w:pPr>
        <w:pStyle w:val="Heading1"/>
        <w:sectPr w:rsidR="00C97622" w:rsidSect="00C97622">
          <w:pgSz w:w="9979" w:h="14175" w:code="34"/>
          <w:pgMar w:top="1418" w:right="680" w:bottom="851" w:left="1021" w:header="567" w:footer="397" w:gutter="0"/>
          <w:cols w:space="340"/>
          <w:noEndnote/>
        </w:sectPr>
      </w:pPr>
      <w:r>
        <w:lastRenderedPageBreak/>
        <w:t>Internal governance arrangements</w:t>
      </w:r>
    </w:p>
    <w:p w14:paraId="6C0326A4" w14:textId="77777777" w:rsidR="00C97622" w:rsidRPr="00C97622" w:rsidRDefault="00C97622" w:rsidP="00F84D61">
      <w:pPr>
        <w:pStyle w:val="BodyText"/>
      </w:pPr>
      <w:r w:rsidRPr="00C97622">
        <w:lastRenderedPageBreak/>
        <w:t>The CEO manages the Commission’s day</w:t>
      </w:r>
      <w:r w:rsidRPr="00C97622">
        <w:noBreakHyphen/>
        <w:t>to</w:t>
      </w:r>
      <w:r w:rsidRPr="00C97622">
        <w:noBreakHyphen/>
        <w:t>day administration and is supported by</w:t>
      </w:r>
      <w:r w:rsidRPr="00C97622">
        <w:rPr>
          <w:rFonts w:cs="Arial"/>
        </w:rPr>
        <w:t> </w:t>
      </w:r>
      <w:r w:rsidRPr="00C97622">
        <w:t>an executive management team and internal management committees. The Commission’s internal governance arrangements include internal management, risk management, fraud</w:t>
      </w:r>
      <w:r w:rsidRPr="00C97622">
        <w:rPr>
          <w:rFonts w:cs="Arial"/>
        </w:rPr>
        <w:t> </w:t>
      </w:r>
      <w:r w:rsidRPr="00C97622">
        <w:t>control and internal audit.</w:t>
      </w:r>
    </w:p>
    <w:p w14:paraId="4FEE5AA9" w14:textId="77777777" w:rsidR="00C97622" w:rsidRPr="00C97622" w:rsidRDefault="00C97622" w:rsidP="00D80F6C">
      <w:pPr>
        <w:pStyle w:val="Heading2"/>
      </w:pPr>
      <w:r w:rsidRPr="00C97622">
        <w:t>Internal management</w:t>
      </w:r>
    </w:p>
    <w:p w14:paraId="0618F39E" w14:textId="77777777" w:rsidR="00C97622" w:rsidRPr="00C97622" w:rsidRDefault="00C97622" w:rsidP="00F84D61">
      <w:pPr>
        <w:pStyle w:val="BodyText"/>
      </w:pPr>
      <w:r w:rsidRPr="00C97622">
        <w:t>The Commission has two internal management groups and three committees.</w:t>
      </w:r>
    </w:p>
    <w:p w14:paraId="0646AF4C" w14:textId="77777777" w:rsidR="00C97622" w:rsidRPr="00C97622" w:rsidRDefault="00C97622" w:rsidP="00F84D61">
      <w:pPr>
        <w:pStyle w:val="BodyText"/>
      </w:pPr>
      <w:r w:rsidRPr="00C97622">
        <w:t>The Leadership Group and Business Group meet regularly to facilitate information sharing and help with decision-making.</w:t>
      </w:r>
    </w:p>
    <w:p w14:paraId="60BFA13E" w14:textId="77777777" w:rsidR="00C97622" w:rsidRPr="00C505AD" w:rsidRDefault="00C97622" w:rsidP="00F84D61">
      <w:pPr>
        <w:pStyle w:val="BodyText"/>
      </w:pPr>
      <w:r w:rsidRPr="00C505AD">
        <w:t>The Work Health and Safety Committee develops and promotes strategies to support the health and safety of all employees and visitors. The Workplace Consultative Committee facilitates regular consultation and employee participation in the development and review of HR and operational policies and procedures. The Information and Records Management Steering Committee assesses the Commission’s record keeping, promotes good records management practices across the Commission and develops strategies to digitise the Commission’s records.</w:t>
      </w:r>
    </w:p>
    <w:p w14:paraId="3299AEED" w14:textId="77777777" w:rsidR="00C97622" w:rsidRPr="00C97622" w:rsidRDefault="00C97622" w:rsidP="00F84D61">
      <w:pPr>
        <w:pStyle w:val="Heading2"/>
      </w:pPr>
      <w:r w:rsidRPr="00C97622">
        <w:t>Risk management</w:t>
      </w:r>
    </w:p>
    <w:p w14:paraId="4CD8870C" w14:textId="77777777" w:rsidR="00C97622" w:rsidRPr="00C97622" w:rsidRDefault="00C97622" w:rsidP="00F84D61">
      <w:pPr>
        <w:pStyle w:val="Bodytextbeforebullets"/>
      </w:pPr>
      <w:r w:rsidRPr="00C97622">
        <w:t xml:space="preserve">Risk management is part of the Commission’s strategy to promote accountability through good governance and robust business practices. The Commission is committed to embedding risk management principles and practices consistent with the Australian Standard AS/NZS ISO 31000:2009 </w:t>
      </w:r>
      <w:r w:rsidRPr="00011CF0">
        <w:rPr>
          <w:rStyle w:val="Emphasis"/>
        </w:rPr>
        <w:t>Risk management – Principles and guidelines</w:t>
      </w:r>
      <w:r w:rsidRPr="00C97622">
        <w:t xml:space="preserve"> and the Commonwealth Risk Management Policy into its: </w:t>
      </w:r>
    </w:p>
    <w:p w14:paraId="29C1C61B" w14:textId="77777777" w:rsidR="00C97622" w:rsidRPr="00C97622" w:rsidRDefault="00C97622" w:rsidP="00F84D61">
      <w:pPr>
        <w:pStyle w:val="Bullets"/>
      </w:pPr>
      <w:r w:rsidRPr="00C97622">
        <w:t>Organisational culture</w:t>
      </w:r>
    </w:p>
    <w:p w14:paraId="09D9BF1F" w14:textId="77777777" w:rsidR="00C97622" w:rsidRPr="00C97622" w:rsidRDefault="00C97622" w:rsidP="00F84D61">
      <w:pPr>
        <w:pStyle w:val="Bullets"/>
      </w:pPr>
      <w:r w:rsidRPr="00C97622">
        <w:t>Governance and accountability arrangements</w:t>
      </w:r>
    </w:p>
    <w:p w14:paraId="0185BC6A" w14:textId="77777777" w:rsidR="00C97622" w:rsidRPr="00C97622" w:rsidRDefault="00C97622" w:rsidP="00F84D61">
      <w:pPr>
        <w:pStyle w:val="Bullets"/>
      </w:pPr>
      <w:r w:rsidRPr="00C97622">
        <w:t>Reporting, performance review, business transformation and improvement processes.</w:t>
      </w:r>
    </w:p>
    <w:p w14:paraId="0299F22C" w14:textId="0E7F65F9" w:rsidR="00C97622" w:rsidRPr="00C97622" w:rsidRDefault="002513B9" w:rsidP="00F84D61">
      <w:pPr>
        <w:pStyle w:val="BodyText"/>
      </w:pPr>
      <w:r>
        <w:br w:type="column"/>
      </w:r>
      <w:r w:rsidR="00C97622" w:rsidRPr="00C97622">
        <w:lastRenderedPageBreak/>
        <w:t>Through the risk management framework and its supporting processes, the Commission formally establishes and communicates its approach to ongoing risk management, and helps employees accept and manage risks.</w:t>
      </w:r>
    </w:p>
    <w:p w14:paraId="66EC3649" w14:textId="77777777" w:rsidR="00C97622" w:rsidRPr="00C97622" w:rsidRDefault="00C97622" w:rsidP="00F84D61">
      <w:pPr>
        <w:pStyle w:val="Heading2"/>
      </w:pPr>
      <w:r w:rsidRPr="00C97622">
        <w:t xml:space="preserve">Fraud </w:t>
      </w:r>
      <w:r w:rsidRPr="00F84D61">
        <w:t>control</w:t>
      </w:r>
    </w:p>
    <w:p w14:paraId="0EEB6B9E" w14:textId="16D649BD" w:rsidR="00C97622" w:rsidRPr="00C97622" w:rsidRDefault="00C97622" w:rsidP="00F84D61">
      <w:pPr>
        <w:pStyle w:val="BodyText"/>
      </w:pPr>
      <w:r w:rsidRPr="00C97622">
        <w:t xml:space="preserve">The Commission recognises the responsibility of all Australian Government entities to develop and implement sound financial, legal and ethical decision-making. The Commission’s </w:t>
      </w:r>
      <w:r w:rsidRPr="00011CF0">
        <w:rPr>
          <w:rStyle w:val="Emphasis"/>
        </w:rPr>
        <w:t>Fraud Control and Anti-Corruption Plan</w:t>
      </w:r>
      <w:r w:rsidRPr="00C97622">
        <w:t xml:space="preserve"> complies with the Attorney-General’s Commonwealth Fraud Control Policy. The plan minimises the</w:t>
      </w:r>
      <w:r w:rsidRPr="00C97622">
        <w:rPr>
          <w:rFonts w:cs="Arial"/>
        </w:rPr>
        <w:t> </w:t>
      </w:r>
      <w:r w:rsidRPr="00C97622">
        <w:t>potential for instances of fraud within the</w:t>
      </w:r>
      <w:r w:rsidRPr="00C97622">
        <w:rPr>
          <w:rFonts w:cs="Arial"/>
        </w:rPr>
        <w:t> </w:t>
      </w:r>
      <w:r w:rsidRPr="00C97622">
        <w:t xml:space="preserve">Commission’s programs and activities, whether committed by employees or people external to the Commission. Fraud risk assessments help the Commission understand fraud risks, identify internal control gaps or weaknesses, assessments are conducted regularly across the organisation, taking into consideration the Commission’s business activities, processes and accounts. </w:t>
      </w:r>
      <w:r w:rsidR="00D651C5">
        <w:br/>
      </w:r>
      <w:r w:rsidRPr="00C97622">
        <w:t>The Commission also delivers fraud awareness training to staff</w:t>
      </w:r>
      <w:r w:rsidRPr="00C97622">
        <w:rPr>
          <w:rFonts w:cs="Arial"/>
        </w:rPr>
        <w:t> </w:t>
      </w:r>
      <w:r w:rsidRPr="00C97622">
        <w:t>members</w:t>
      </w:r>
      <w:r w:rsidRPr="00C97622">
        <w:rPr>
          <w:rFonts w:cs="Arial"/>
        </w:rPr>
        <w:t> </w:t>
      </w:r>
      <w:r w:rsidRPr="00C97622">
        <w:t>annually.</w:t>
      </w:r>
    </w:p>
    <w:p w14:paraId="788C5680" w14:textId="77777777" w:rsidR="00C97622" w:rsidRPr="00C97622" w:rsidRDefault="00C97622" w:rsidP="00F84D61">
      <w:pPr>
        <w:pStyle w:val="Heading2"/>
      </w:pPr>
      <w:r w:rsidRPr="00C97622">
        <w:t>Internal audit</w:t>
      </w:r>
    </w:p>
    <w:p w14:paraId="3ADF5EFE" w14:textId="77777777" w:rsidR="00C97622" w:rsidRPr="00C97622" w:rsidRDefault="00C97622" w:rsidP="00F84D61">
      <w:pPr>
        <w:pStyle w:val="BodyText"/>
      </w:pPr>
      <w:r w:rsidRPr="00C97622">
        <w:t>Internal audit is a key component of the Commission’s governance framework, providing an ongoing independent appraisal of the organisation’s internal control systems. The internal audit process provides assurance that the Commission’s financial and operational controls can manage the organisation’s risks and are operating in an efficient, effective and ethical manner.</w:t>
      </w:r>
    </w:p>
    <w:p w14:paraId="264BFEBB" w14:textId="5780041A" w:rsidR="00C97622" w:rsidRDefault="00C97622" w:rsidP="00F84D61">
      <w:pPr>
        <w:pStyle w:val="BodyText"/>
      </w:pPr>
      <w:r w:rsidRPr="00C97622">
        <w:t xml:space="preserve">The Commission has appointed Crowe </w:t>
      </w:r>
      <w:r w:rsidR="00D651C5">
        <w:br/>
      </w:r>
      <w:r w:rsidRPr="00C97622">
        <w:t xml:space="preserve">Horwath as its internal auditor. The firm </w:t>
      </w:r>
      <w:r w:rsidR="00D651C5">
        <w:br/>
      </w:r>
      <w:r w:rsidRPr="00C97622">
        <w:t xml:space="preserve">provides assurance of the overall state of the Commission’s internal controls and advice on </w:t>
      </w:r>
      <w:r w:rsidR="00D651C5">
        <w:br/>
      </w:r>
      <w:r w:rsidRPr="00C97622">
        <w:t>any systemic issues that require management attention.</w:t>
      </w:r>
      <w:r>
        <w:br w:type="page"/>
      </w:r>
    </w:p>
    <w:p w14:paraId="4C781836" w14:textId="77777777" w:rsidR="00C97622" w:rsidRPr="00C97622" w:rsidRDefault="00C97622" w:rsidP="00F84D61">
      <w:pPr>
        <w:pStyle w:val="Heading1"/>
      </w:pPr>
      <w:r w:rsidRPr="00C97622">
        <w:lastRenderedPageBreak/>
        <w:t>External scrutiny</w:t>
      </w:r>
    </w:p>
    <w:p w14:paraId="3645A603" w14:textId="77777777" w:rsidR="00C97622" w:rsidRPr="00C97622" w:rsidRDefault="00C97622" w:rsidP="00F84D61">
      <w:pPr>
        <w:pStyle w:val="BodyText"/>
      </w:pPr>
      <w:r w:rsidRPr="00C97622">
        <w:t>External scrutiny of the Commission includes parliamentary and ministerial oversight, freedom of information and judicial decisions, and reviews by outside bodies such as the Commonwealth Ombudsman.</w:t>
      </w:r>
    </w:p>
    <w:p w14:paraId="28FE8520" w14:textId="77777777" w:rsidR="00C97622" w:rsidRPr="00C97622" w:rsidRDefault="00C97622" w:rsidP="00F84D61">
      <w:pPr>
        <w:pStyle w:val="Heading2"/>
      </w:pPr>
      <w:r w:rsidRPr="00C97622">
        <w:t>Freedom of information</w:t>
      </w:r>
    </w:p>
    <w:p w14:paraId="4745F3C4" w14:textId="77777777" w:rsidR="00C97622" w:rsidRPr="00C505AD" w:rsidRDefault="00C97622" w:rsidP="00F84D61">
      <w:pPr>
        <w:pStyle w:val="BodyText"/>
      </w:pPr>
      <w:r w:rsidRPr="00C97622">
        <w:t xml:space="preserve">Agencies subject to the </w:t>
      </w:r>
      <w:r w:rsidRPr="00011CF0">
        <w:rPr>
          <w:rStyle w:val="Emphasis"/>
        </w:rPr>
        <w:t>Freedom of Information Act 1982</w:t>
      </w:r>
      <w:r w:rsidRPr="00C97622">
        <w:t xml:space="preserve"> are required to make information available to the public as part of the Information Publication Scheme (IPS). In accordance with Part II of the Act, each agency must display on its website a plan showing what information it publishes in accordance with the requirements of the scheme. The Commission’s plan and freedom of information (FOI) disclosure log are</w:t>
      </w:r>
      <w:r w:rsidRPr="00C97622">
        <w:rPr>
          <w:rFonts w:cs="Arial"/>
        </w:rPr>
        <w:t> </w:t>
      </w:r>
      <w:r w:rsidRPr="00C97622">
        <w:t xml:space="preserve">available on its website: </w:t>
      </w:r>
      <w:r w:rsidRPr="00C97622">
        <w:br/>
      </w:r>
      <w:r w:rsidRPr="00C505AD">
        <w:rPr>
          <w:rStyle w:val="Strong"/>
        </w:rPr>
        <w:t>www.safetyandquality.gov.au</w:t>
      </w:r>
    </w:p>
    <w:p w14:paraId="61A5898E" w14:textId="77777777" w:rsidR="00C97622" w:rsidRPr="00C97622" w:rsidRDefault="00C97622" w:rsidP="00F84D61">
      <w:pPr>
        <w:pStyle w:val="BodyText"/>
      </w:pPr>
      <w:r w:rsidRPr="00C97622">
        <w:t>See Appendix A for a table summarising FOI activities for 2016–17.</w:t>
      </w:r>
    </w:p>
    <w:p w14:paraId="269B073F" w14:textId="77777777" w:rsidR="00C97622" w:rsidRPr="00C97622" w:rsidRDefault="00C97622" w:rsidP="00F84D61">
      <w:pPr>
        <w:pStyle w:val="Heading2"/>
      </w:pPr>
      <w:r w:rsidRPr="00C97622">
        <w:lastRenderedPageBreak/>
        <w:t>Judicial decisions and reviews</w:t>
      </w:r>
      <w:r w:rsidR="00C505AD">
        <w:t xml:space="preserve"> </w:t>
      </w:r>
      <w:r w:rsidRPr="00C97622">
        <w:t>by external bodies</w:t>
      </w:r>
    </w:p>
    <w:p w14:paraId="2471BCA0" w14:textId="77777777" w:rsidR="00C97622" w:rsidRPr="00C97622" w:rsidRDefault="00C97622" w:rsidP="00F84D61">
      <w:pPr>
        <w:pStyle w:val="BodyText"/>
      </w:pPr>
      <w:r w:rsidRPr="00C97622">
        <w:t>There were no judicial decisions or external reviews that significantly affected the Commission in 2016–17.</w:t>
      </w:r>
    </w:p>
    <w:p w14:paraId="3A5E1D91" w14:textId="77777777" w:rsidR="00C97622" w:rsidRPr="00C97622" w:rsidRDefault="00C97622" w:rsidP="00F84D61">
      <w:pPr>
        <w:pStyle w:val="BodyText"/>
      </w:pPr>
      <w:r w:rsidRPr="00C97622">
        <w:t>In 2016–17, there were no reports on the operations of the Commission by the Auditor</w:t>
      </w:r>
      <w:r w:rsidRPr="00C97622">
        <w:noBreakHyphen/>
        <w:t>General (other than the reports on financial statements), a parliamentary committee, the Commonwealth Ombudsman or the Office of the Australian Information</w:t>
      </w:r>
      <w:r w:rsidRPr="00C97622">
        <w:rPr>
          <w:rFonts w:cs="Arial"/>
        </w:rPr>
        <w:t> </w:t>
      </w:r>
      <w:r w:rsidRPr="00C97622">
        <w:t>Commissioner.</w:t>
      </w:r>
    </w:p>
    <w:p w14:paraId="47A11C8A" w14:textId="77777777" w:rsidR="00C97622" w:rsidRPr="00C97622" w:rsidRDefault="00C97622" w:rsidP="00F84D61">
      <w:pPr>
        <w:pStyle w:val="Heading2"/>
      </w:pPr>
      <w:r w:rsidRPr="00C97622">
        <w:t>Parliamentary and ministerial</w:t>
      </w:r>
      <w:r w:rsidR="001B2816">
        <w:t> </w:t>
      </w:r>
      <w:r w:rsidRPr="00C97622">
        <w:t>oversight</w:t>
      </w:r>
    </w:p>
    <w:p w14:paraId="0AD0C44F" w14:textId="77777777" w:rsidR="00C97622" w:rsidRDefault="00C97622" w:rsidP="00F84D61">
      <w:pPr>
        <w:pStyle w:val="BodyText"/>
        <w:sectPr w:rsidR="00C97622" w:rsidSect="00C97622">
          <w:type w:val="continuous"/>
          <w:pgSz w:w="9979" w:h="14175" w:code="34"/>
          <w:pgMar w:top="1418" w:right="680" w:bottom="851" w:left="1021" w:header="567" w:footer="397" w:gutter="0"/>
          <w:cols w:num="2" w:space="340"/>
          <w:noEndnote/>
        </w:sectPr>
      </w:pPr>
      <w:r w:rsidRPr="00C97622">
        <w:t>The Commission is a corporate Commonwealth entity of the Australian Government and part of the Health portfolio. As such, it is accountable to the Australian Parliament and the Minister for</w:t>
      </w:r>
      <w:r w:rsidRPr="00C97622">
        <w:rPr>
          <w:rFonts w:cs="Arial"/>
        </w:rPr>
        <w:t> </w:t>
      </w:r>
      <w:r w:rsidRPr="00C97622">
        <w:t>Health.</w:t>
      </w:r>
    </w:p>
    <w:p w14:paraId="0607CCF1" w14:textId="77777777" w:rsidR="00C97622" w:rsidRDefault="00C97622" w:rsidP="00C505AD">
      <w:pPr>
        <w:pStyle w:val="Heading2"/>
        <w:spacing w:before="360"/>
      </w:pPr>
      <w:r>
        <w:lastRenderedPageBreak/>
        <w:t>Executive remuneration</w:t>
      </w:r>
    </w:p>
    <w:p w14:paraId="744DDC8A" w14:textId="77777777" w:rsidR="00C97622" w:rsidRDefault="00C97622" w:rsidP="00F84D61">
      <w:pPr>
        <w:pStyle w:val="Figuretitle"/>
      </w:pPr>
      <w:r>
        <w:t>Table 4: Remuneration paid to executives during 2016–17</w:t>
      </w:r>
    </w:p>
    <w:tbl>
      <w:tblPr>
        <w:tblW w:w="8618" w:type="dxa"/>
        <w:tblInd w:w="-8" w:type="dxa"/>
        <w:tblLayout w:type="fixed"/>
        <w:tblCellMar>
          <w:left w:w="0" w:type="dxa"/>
          <w:right w:w="0" w:type="dxa"/>
        </w:tblCellMar>
        <w:tblLook w:val="0000" w:firstRow="0" w:lastRow="0" w:firstColumn="0" w:lastColumn="0" w:noHBand="0" w:noVBand="0"/>
        <w:tblCaption w:val="Table 4: Remuneration paid to executives during 2016–17"/>
      </w:tblPr>
      <w:tblGrid>
        <w:gridCol w:w="1701"/>
        <w:gridCol w:w="1134"/>
        <w:gridCol w:w="1134"/>
        <w:gridCol w:w="1247"/>
        <w:gridCol w:w="1134"/>
        <w:gridCol w:w="1134"/>
        <w:gridCol w:w="1134"/>
      </w:tblGrid>
      <w:tr w:rsidR="00C97622" w:rsidRPr="00C97622" w14:paraId="19D0A27D" w14:textId="77777777" w:rsidTr="00C97622">
        <w:trPr>
          <w:trHeight w:val="60"/>
        </w:trPr>
        <w:tc>
          <w:tcPr>
            <w:tcW w:w="1701" w:type="dxa"/>
            <w:tcBorders>
              <w:top w:val="single" w:sz="4" w:space="0" w:color="00AAAF"/>
              <w:bottom w:val="single" w:sz="4" w:space="0" w:color="00AAAF"/>
            </w:tcBorders>
            <w:shd w:val="clear" w:color="auto" w:fill="CCEEEF" w:themeFill="accent6"/>
            <w:tcMar>
              <w:top w:w="113" w:type="dxa"/>
              <w:left w:w="28" w:type="dxa"/>
              <w:bottom w:w="113" w:type="dxa"/>
              <w:right w:w="28" w:type="dxa"/>
            </w:tcMar>
            <w:vAlign w:val="bottom"/>
          </w:tcPr>
          <w:p w14:paraId="6A1293AA" w14:textId="77777777" w:rsidR="00C97622" w:rsidRPr="00C97622" w:rsidRDefault="00C97622" w:rsidP="00C97622">
            <w:pPr>
              <w:pStyle w:val="Tablesubheading"/>
              <w:rPr>
                <w:sz w:val="16"/>
                <w:szCs w:val="16"/>
                <w:lang w:val="en-AU"/>
              </w:rPr>
            </w:pPr>
            <w:r w:rsidRPr="00C97622">
              <w:rPr>
                <w:sz w:val="16"/>
                <w:szCs w:val="16"/>
                <w:lang w:val="en-AU"/>
              </w:rPr>
              <w:t>Total remuneration</w:t>
            </w:r>
          </w:p>
        </w:tc>
        <w:tc>
          <w:tcPr>
            <w:tcW w:w="1134" w:type="dxa"/>
            <w:tcBorders>
              <w:top w:val="single" w:sz="4" w:space="0" w:color="00AAAF"/>
              <w:bottom w:val="single" w:sz="4" w:space="0" w:color="00AAAF"/>
            </w:tcBorders>
            <w:shd w:val="clear" w:color="auto" w:fill="CCEEEF" w:themeFill="accent6"/>
            <w:tcMar>
              <w:top w:w="113" w:type="dxa"/>
              <w:left w:w="28" w:type="dxa"/>
              <w:bottom w:w="113" w:type="dxa"/>
              <w:right w:w="28" w:type="dxa"/>
            </w:tcMar>
            <w:vAlign w:val="bottom"/>
          </w:tcPr>
          <w:p w14:paraId="65B7D292" w14:textId="77777777" w:rsidR="00C97622" w:rsidRPr="00C97622" w:rsidRDefault="00C97622" w:rsidP="00C97622">
            <w:pPr>
              <w:pStyle w:val="Tablesubheading"/>
              <w:jc w:val="center"/>
              <w:rPr>
                <w:spacing w:val="-2"/>
                <w:sz w:val="16"/>
                <w:szCs w:val="16"/>
                <w:lang w:val="en-AU"/>
              </w:rPr>
            </w:pPr>
            <w:r w:rsidRPr="00C97622">
              <w:rPr>
                <w:spacing w:val="-2"/>
                <w:sz w:val="16"/>
                <w:szCs w:val="16"/>
                <w:lang w:val="en-AU"/>
              </w:rPr>
              <w:t>Executives No.</w:t>
            </w:r>
          </w:p>
        </w:tc>
        <w:tc>
          <w:tcPr>
            <w:tcW w:w="1134" w:type="dxa"/>
            <w:tcBorders>
              <w:top w:val="single" w:sz="4" w:space="0" w:color="00AAAF"/>
              <w:bottom w:val="single" w:sz="4" w:space="0" w:color="00AAAF"/>
            </w:tcBorders>
            <w:shd w:val="clear" w:color="auto" w:fill="CCEEEF" w:themeFill="accent6"/>
            <w:tcMar>
              <w:top w:w="113" w:type="dxa"/>
              <w:left w:w="28" w:type="dxa"/>
              <w:bottom w:w="113" w:type="dxa"/>
              <w:right w:w="28" w:type="dxa"/>
            </w:tcMar>
            <w:vAlign w:val="bottom"/>
          </w:tcPr>
          <w:p w14:paraId="581627DE" w14:textId="77777777" w:rsidR="00C97622" w:rsidRPr="00C97622" w:rsidRDefault="00C97622" w:rsidP="00C97622">
            <w:pPr>
              <w:pStyle w:val="Tablesubheading"/>
              <w:tabs>
                <w:tab w:val="clear" w:pos="283"/>
                <w:tab w:val="clear" w:pos="567"/>
                <w:tab w:val="clear" w:pos="850"/>
              </w:tabs>
              <w:jc w:val="right"/>
              <w:rPr>
                <w:spacing w:val="-2"/>
                <w:sz w:val="16"/>
                <w:szCs w:val="16"/>
                <w:lang w:val="en-AU"/>
              </w:rPr>
            </w:pPr>
            <w:r w:rsidRPr="00C97622">
              <w:rPr>
                <w:spacing w:val="-2"/>
                <w:sz w:val="16"/>
                <w:szCs w:val="16"/>
                <w:lang w:val="en-AU"/>
              </w:rPr>
              <w:t>Average Reportable Salary</w:t>
            </w:r>
            <w:r>
              <w:rPr>
                <w:spacing w:val="-2"/>
                <w:sz w:val="16"/>
                <w:szCs w:val="16"/>
                <w:lang w:val="en-AU"/>
              </w:rPr>
              <w:t xml:space="preserve"> </w:t>
            </w:r>
            <w:r w:rsidRPr="00C97622">
              <w:rPr>
                <w:spacing w:val="-2"/>
                <w:sz w:val="16"/>
                <w:szCs w:val="16"/>
                <w:lang w:val="en-AU"/>
              </w:rPr>
              <w:br/>
              <w:t>$</w:t>
            </w:r>
          </w:p>
        </w:tc>
        <w:tc>
          <w:tcPr>
            <w:tcW w:w="1247" w:type="dxa"/>
            <w:tcBorders>
              <w:top w:val="single" w:sz="4" w:space="0" w:color="00AAAF"/>
              <w:bottom w:val="single" w:sz="4" w:space="0" w:color="00AAAF"/>
            </w:tcBorders>
            <w:shd w:val="clear" w:color="auto" w:fill="CCEEEF" w:themeFill="accent6"/>
            <w:tcMar>
              <w:top w:w="113" w:type="dxa"/>
              <w:left w:w="28" w:type="dxa"/>
              <w:bottom w:w="113" w:type="dxa"/>
              <w:right w:w="28" w:type="dxa"/>
            </w:tcMar>
            <w:vAlign w:val="bottom"/>
          </w:tcPr>
          <w:p w14:paraId="65046103" w14:textId="77777777" w:rsidR="00C97622" w:rsidRPr="00C97622" w:rsidRDefault="00C97622" w:rsidP="00C97622">
            <w:pPr>
              <w:pStyle w:val="Tablesubheading"/>
              <w:jc w:val="right"/>
              <w:rPr>
                <w:spacing w:val="-2"/>
                <w:sz w:val="16"/>
                <w:szCs w:val="16"/>
                <w:lang w:val="en-AU"/>
              </w:rPr>
            </w:pPr>
            <w:r w:rsidRPr="00C97622">
              <w:rPr>
                <w:spacing w:val="-2"/>
                <w:sz w:val="16"/>
                <w:szCs w:val="16"/>
                <w:lang w:val="en-AU"/>
              </w:rPr>
              <w:t>Average Contributed superannuation</w:t>
            </w:r>
            <w:r w:rsidRPr="00C97622">
              <w:rPr>
                <w:spacing w:val="-2"/>
                <w:sz w:val="16"/>
                <w:szCs w:val="16"/>
                <w:lang w:val="en-AU"/>
              </w:rPr>
              <w:br/>
              <w:t>$</w:t>
            </w:r>
          </w:p>
        </w:tc>
        <w:tc>
          <w:tcPr>
            <w:tcW w:w="1134" w:type="dxa"/>
            <w:tcBorders>
              <w:top w:val="single" w:sz="4" w:space="0" w:color="00AAAF"/>
              <w:bottom w:val="single" w:sz="4" w:space="0" w:color="00AAAF"/>
            </w:tcBorders>
            <w:shd w:val="clear" w:color="auto" w:fill="CCEEEF" w:themeFill="accent6"/>
            <w:tcMar>
              <w:top w:w="113" w:type="dxa"/>
              <w:left w:w="28" w:type="dxa"/>
              <w:bottom w:w="113" w:type="dxa"/>
              <w:right w:w="28" w:type="dxa"/>
            </w:tcMar>
            <w:vAlign w:val="bottom"/>
          </w:tcPr>
          <w:p w14:paraId="740AA979" w14:textId="77777777" w:rsidR="00C97622" w:rsidRPr="00C97622" w:rsidRDefault="00C97622" w:rsidP="00C97622">
            <w:pPr>
              <w:pStyle w:val="Tablesubheading"/>
              <w:jc w:val="right"/>
              <w:rPr>
                <w:spacing w:val="-2"/>
                <w:sz w:val="16"/>
                <w:szCs w:val="16"/>
                <w:lang w:val="en-AU"/>
              </w:rPr>
            </w:pPr>
            <w:r w:rsidRPr="00C97622">
              <w:rPr>
                <w:spacing w:val="-2"/>
                <w:sz w:val="16"/>
                <w:szCs w:val="16"/>
                <w:lang w:val="en-AU"/>
              </w:rPr>
              <w:t>Average Allowances</w:t>
            </w:r>
            <w:r w:rsidRPr="00C97622">
              <w:rPr>
                <w:spacing w:val="-2"/>
                <w:sz w:val="16"/>
                <w:szCs w:val="16"/>
                <w:lang w:val="en-AU"/>
              </w:rPr>
              <w:br/>
              <w:t>$</w:t>
            </w:r>
          </w:p>
        </w:tc>
        <w:tc>
          <w:tcPr>
            <w:tcW w:w="1134" w:type="dxa"/>
            <w:tcBorders>
              <w:top w:val="single" w:sz="4" w:space="0" w:color="00AAAF"/>
              <w:bottom w:val="single" w:sz="4" w:space="0" w:color="00AAAF"/>
            </w:tcBorders>
            <w:shd w:val="clear" w:color="auto" w:fill="CCEEEF" w:themeFill="accent6"/>
            <w:tcMar>
              <w:top w:w="113" w:type="dxa"/>
              <w:left w:w="28" w:type="dxa"/>
              <w:bottom w:w="113" w:type="dxa"/>
              <w:right w:w="28" w:type="dxa"/>
            </w:tcMar>
            <w:vAlign w:val="bottom"/>
          </w:tcPr>
          <w:p w14:paraId="58146AAF" w14:textId="77777777" w:rsidR="00C97622" w:rsidRPr="00C97622" w:rsidRDefault="00C97622" w:rsidP="00C97622">
            <w:pPr>
              <w:pStyle w:val="Tablesubheading"/>
              <w:jc w:val="right"/>
              <w:rPr>
                <w:spacing w:val="-2"/>
                <w:sz w:val="16"/>
                <w:szCs w:val="16"/>
                <w:lang w:val="en-AU"/>
              </w:rPr>
            </w:pPr>
            <w:r w:rsidRPr="00C97622">
              <w:rPr>
                <w:spacing w:val="-2"/>
                <w:sz w:val="16"/>
                <w:szCs w:val="16"/>
                <w:lang w:val="en-AU"/>
              </w:rPr>
              <w:t>Average bonus paid</w:t>
            </w:r>
            <w:r w:rsidRPr="00C97622">
              <w:rPr>
                <w:spacing w:val="-2"/>
                <w:sz w:val="16"/>
                <w:szCs w:val="16"/>
                <w:lang w:val="en-AU"/>
              </w:rPr>
              <w:br/>
              <w:t>$</w:t>
            </w:r>
          </w:p>
        </w:tc>
        <w:tc>
          <w:tcPr>
            <w:tcW w:w="1134" w:type="dxa"/>
            <w:tcBorders>
              <w:top w:val="single" w:sz="4" w:space="0" w:color="00AAAF"/>
              <w:bottom w:val="single" w:sz="4" w:space="0" w:color="00AAAF"/>
            </w:tcBorders>
            <w:shd w:val="clear" w:color="auto" w:fill="CCEEEF" w:themeFill="accent6"/>
            <w:tcMar>
              <w:top w:w="113" w:type="dxa"/>
              <w:left w:w="28" w:type="dxa"/>
              <w:bottom w:w="113" w:type="dxa"/>
              <w:right w:w="28" w:type="dxa"/>
            </w:tcMar>
            <w:vAlign w:val="bottom"/>
          </w:tcPr>
          <w:p w14:paraId="224DB2CA" w14:textId="77777777" w:rsidR="00C97622" w:rsidRPr="00C97622" w:rsidRDefault="00C97622" w:rsidP="00C97622">
            <w:pPr>
              <w:pStyle w:val="Tablesubheading"/>
              <w:jc w:val="right"/>
              <w:rPr>
                <w:spacing w:val="-2"/>
                <w:sz w:val="16"/>
                <w:szCs w:val="16"/>
                <w:lang w:val="en-AU"/>
              </w:rPr>
            </w:pPr>
            <w:r w:rsidRPr="00C97622">
              <w:rPr>
                <w:spacing w:val="-2"/>
                <w:sz w:val="16"/>
                <w:szCs w:val="16"/>
                <w:lang w:val="en-AU"/>
              </w:rPr>
              <w:t>Average</w:t>
            </w:r>
            <w:r w:rsidRPr="00C97622">
              <w:rPr>
                <w:spacing w:val="-2"/>
                <w:sz w:val="16"/>
                <w:szCs w:val="16"/>
                <w:lang w:val="en-AU"/>
              </w:rPr>
              <w:br/>
              <w:t>Total remuneration</w:t>
            </w:r>
            <w:r w:rsidRPr="00C97622">
              <w:rPr>
                <w:spacing w:val="-2"/>
                <w:sz w:val="16"/>
                <w:szCs w:val="16"/>
                <w:lang w:val="en-AU"/>
              </w:rPr>
              <w:br/>
              <w:t>$</w:t>
            </w:r>
          </w:p>
        </w:tc>
      </w:tr>
      <w:tr w:rsidR="00C97622" w:rsidRPr="00C97622" w14:paraId="6A9CBDAF" w14:textId="77777777" w:rsidTr="00C97622">
        <w:trPr>
          <w:trHeight w:val="60"/>
        </w:trPr>
        <w:tc>
          <w:tcPr>
            <w:tcW w:w="1701" w:type="dxa"/>
            <w:tcBorders>
              <w:top w:val="single" w:sz="4" w:space="0" w:color="00AAAF"/>
              <w:bottom w:val="single" w:sz="4" w:space="0" w:color="00AAAF"/>
            </w:tcBorders>
            <w:tcMar>
              <w:top w:w="57" w:type="dxa"/>
              <w:left w:w="28" w:type="dxa"/>
              <w:bottom w:w="57" w:type="dxa"/>
              <w:right w:w="28" w:type="dxa"/>
            </w:tcMar>
          </w:tcPr>
          <w:p w14:paraId="73F6443D" w14:textId="77777777" w:rsidR="00C97622" w:rsidRPr="00C97622" w:rsidRDefault="00C97622" w:rsidP="00C97622">
            <w:pPr>
              <w:pStyle w:val="Tabletextsmall"/>
              <w:rPr>
                <w:sz w:val="16"/>
                <w:szCs w:val="16"/>
                <w:lang w:val="en-AU"/>
              </w:rPr>
            </w:pPr>
            <w:r w:rsidRPr="00C97622">
              <w:rPr>
                <w:sz w:val="16"/>
                <w:szCs w:val="16"/>
                <w:lang w:val="en-AU"/>
              </w:rPr>
              <w:t>$200000 and less</w:t>
            </w:r>
          </w:p>
        </w:tc>
        <w:tc>
          <w:tcPr>
            <w:tcW w:w="1134" w:type="dxa"/>
            <w:tcBorders>
              <w:top w:val="single" w:sz="4" w:space="0" w:color="00AAAF"/>
              <w:bottom w:val="single" w:sz="4" w:space="0" w:color="00AAAF"/>
            </w:tcBorders>
            <w:tcMar>
              <w:top w:w="57" w:type="dxa"/>
              <w:left w:w="28" w:type="dxa"/>
              <w:bottom w:w="57" w:type="dxa"/>
              <w:right w:w="28" w:type="dxa"/>
            </w:tcMar>
          </w:tcPr>
          <w:p w14:paraId="49A4C628" w14:textId="77777777" w:rsidR="00C97622" w:rsidRPr="00C97622" w:rsidRDefault="00C97622" w:rsidP="00C97622">
            <w:pPr>
              <w:pStyle w:val="Tabletextsmall"/>
              <w:jc w:val="center"/>
              <w:rPr>
                <w:sz w:val="16"/>
                <w:szCs w:val="16"/>
                <w:lang w:val="en-AU"/>
              </w:rPr>
            </w:pPr>
            <w:r w:rsidRPr="00C97622">
              <w:rPr>
                <w:sz w:val="16"/>
                <w:szCs w:val="16"/>
                <w:lang w:val="en-AU"/>
              </w:rPr>
              <w:t>1</w:t>
            </w:r>
          </w:p>
        </w:tc>
        <w:tc>
          <w:tcPr>
            <w:tcW w:w="1134" w:type="dxa"/>
            <w:tcBorders>
              <w:top w:val="single" w:sz="4" w:space="0" w:color="00AAAF"/>
              <w:bottom w:val="single" w:sz="4" w:space="0" w:color="00AAAF"/>
            </w:tcBorders>
            <w:tcMar>
              <w:top w:w="57" w:type="dxa"/>
              <w:left w:w="28" w:type="dxa"/>
              <w:bottom w:w="57" w:type="dxa"/>
              <w:right w:w="28" w:type="dxa"/>
            </w:tcMar>
          </w:tcPr>
          <w:p w14:paraId="5152B8E2" w14:textId="77777777" w:rsidR="00C97622" w:rsidRPr="00C97622" w:rsidRDefault="00C97622" w:rsidP="00C97622">
            <w:pPr>
              <w:pStyle w:val="Tabletextsmall"/>
              <w:jc w:val="right"/>
              <w:rPr>
                <w:sz w:val="16"/>
                <w:szCs w:val="16"/>
                <w:lang w:val="en-AU"/>
              </w:rPr>
            </w:pPr>
            <w:r w:rsidRPr="00C97622">
              <w:rPr>
                <w:sz w:val="16"/>
                <w:szCs w:val="16"/>
                <w:lang w:val="en-AU"/>
              </w:rPr>
              <w:t>59,207</w:t>
            </w:r>
          </w:p>
        </w:tc>
        <w:tc>
          <w:tcPr>
            <w:tcW w:w="1247" w:type="dxa"/>
            <w:tcBorders>
              <w:top w:val="single" w:sz="4" w:space="0" w:color="00AAAF"/>
              <w:bottom w:val="single" w:sz="4" w:space="0" w:color="00AAAF"/>
            </w:tcBorders>
            <w:tcMar>
              <w:top w:w="57" w:type="dxa"/>
              <w:left w:w="28" w:type="dxa"/>
              <w:bottom w:w="57" w:type="dxa"/>
              <w:right w:w="28" w:type="dxa"/>
            </w:tcMar>
          </w:tcPr>
          <w:p w14:paraId="6D8B9376" w14:textId="77777777" w:rsidR="00C97622" w:rsidRPr="00C97622" w:rsidRDefault="00C97622" w:rsidP="00C97622">
            <w:pPr>
              <w:pStyle w:val="Tabletextsmall"/>
              <w:jc w:val="right"/>
              <w:rPr>
                <w:sz w:val="16"/>
                <w:szCs w:val="16"/>
                <w:lang w:val="en-AU"/>
              </w:rPr>
            </w:pPr>
            <w:r w:rsidRPr="00C97622">
              <w:rPr>
                <w:sz w:val="16"/>
                <w:szCs w:val="16"/>
                <w:lang w:val="en-AU"/>
              </w:rPr>
              <w:t>6,785</w:t>
            </w:r>
          </w:p>
        </w:tc>
        <w:tc>
          <w:tcPr>
            <w:tcW w:w="1134" w:type="dxa"/>
            <w:tcBorders>
              <w:top w:val="single" w:sz="4" w:space="0" w:color="00AAAF"/>
              <w:bottom w:val="single" w:sz="4" w:space="0" w:color="00AAAF"/>
            </w:tcBorders>
            <w:tcMar>
              <w:top w:w="57" w:type="dxa"/>
              <w:left w:w="28" w:type="dxa"/>
              <w:bottom w:w="57" w:type="dxa"/>
              <w:right w:w="28" w:type="dxa"/>
            </w:tcMar>
          </w:tcPr>
          <w:p w14:paraId="1EA4FC26" w14:textId="77777777" w:rsidR="00C97622" w:rsidRPr="00C97622" w:rsidRDefault="00C97622" w:rsidP="00C97622">
            <w:pPr>
              <w:pStyle w:val="Tabletextsmall"/>
              <w:jc w:val="right"/>
              <w:rPr>
                <w:sz w:val="16"/>
                <w:szCs w:val="16"/>
                <w:lang w:val="en-AU"/>
              </w:rPr>
            </w:pPr>
            <w:r w:rsidRPr="00C97622">
              <w:rPr>
                <w:sz w:val="16"/>
                <w:szCs w:val="16"/>
                <w:lang w:val="en-AU"/>
              </w:rPr>
              <w:t>–</w:t>
            </w:r>
          </w:p>
        </w:tc>
        <w:tc>
          <w:tcPr>
            <w:tcW w:w="1134" w:type="dxa"/>
            <w:tcBorders>
              <w:top w:val="single" w:sz="4" w:space="0" w:color="00AAAF"/>
              <w:bottom w:val="single" w:sz="4" w:space="0" w:color="00AAAF"/>
            </w:tcBorders>
            <w:tcMar>
              <w:top w:w="57" w:type="dxa"/>
              <w:left w:w="28" w:type="dxa"/>
              <w:bottom w:w="57" w:type="dxa"/>
              <w:right w:w="28" w:type="dxa"/>
            </w:tcMar>
          </w:tcPr>
          <w:p w14:paraId="3A69EF09" w14:textId="77777777" w:rsidR="00C97622" w:rsidRPr="00C97622" w:rsidRDefault="00C97622" w:rsidP="00C97622">
            <w:pPr>
              <w:pStyle w:val="Tabletextsmall"/>
              <w:jc w:val="right"/>
              <w:rPr>
                <w:sz w:val="16"/>
                <w:szCs w:val="16"/>
                <w:lang w:val="en-AU"/>
              </w:rPr>
            </w:pPr>
            <w:r w:rsidRPr="00C97622">
              <w:rPr>
                <w:sz w:val="16"/>
                <w:szCs w:val="16"/>
                <w:lang w:val="en-AU"/>
              </w:rPr>
              <w:t>26,137</w:t>
            </w:r>
          </w:p>
        </w:tc>
        <w:tc>
          <w:tcPr>
            <w:tcW w:w="1134" w:type="dxa"/>
            <w:tcBorders>
              <w:top w:val="single" w:sz="4" w:space="0" w:color="00AAAF"/>
              <w:bottom w:val="single" w:sz="4" w:space="0" w:color="00AAAF"/>
            </w:tcBorders>
            <w:tcMar>
              <w:top w:w="57" w:type="dxa"/>
              <w:left w:w="28" w:type="dxa"/>
              <w:bottom w:w="57" w:type="dxa"/>
              <w:right w:w="28" w:type="dxa"/>
            </w:tcMar>
          </w:tcPr>
          <w:p w14:paraId="0D03ECB6" w14:textId="77777777" w:rsidR="00C97622" w:rsidRPr="00C97622" w:rsidRDefault="00C97622" w:rsidP="00C97622">
            <w:pPr>
              <w:pStyle w:val="Tabletextsmall"/>
              <w:jc w:val="right"/>
              <w:rPr>
                <w:sz w:val="16"/>
                <w:szCs w:val="16"/>
                <w:lang w:val="en-AU"/>
              </w:rPr>
            </w:pPr>
            <w:r w:rsidRPr="00C97622">
              <w:rPr>
                <w:sz w:val="16"/>
                <w:szCs w:val="16"/>
                <w:lang w:val="en-AU"/>
              </w:rPr>
              <w:t>92,130</w:t>
            </w:r>
          </w:p>
        </w:tc>
      </w:tr>
      <w:tr w:rsidR="00C97622" w:rsidRPr="00C97622" w14:paraId="04DA2B30" w14:textId="77777777" w:rsidTr="00C97622">
        <w:trPr>
          <w:trHeight w:val="60"/>
        </w:trPr>
        <w:tc>
          <w:tcPr>
            <w:tcW w:w="1701" w:type="dxa"/>
            <w:tcBorders>
              <w:top w:val="single" w:sz="4" w:space="0" w:color="00AAAF"/>
              <w:bottom w:val="single" w:sz="4" w:space="0" w:color="00AAAF"/>
            </w:tcBorders>
            <w:tcMar>
              <w:top w:w="57" w:type="dxa"/>
              <w:left w:w="28" w:type="dxa"/>
              <w:bottom w:w="57" w:type="dxa"/>
              <w:right w:w="28" w:type="dxa"/>
            </w:tcMar>
          </w:tcPr>
          <w:p w14:paraId="1A25CBED" w14:textId="77777777" w:rsidR="00C97622" w:rsidRPr="00C97622" w:rsidRDefault="00C97622" w:rsidP="00C97622">
            <w:pPr>
              <w:pStyle w:val="Tabletextsmall"/>
              <w:rPr>
                <w:sz w:val="16"/>
                <w:szCs w:val="16"/>
                <w:lang w:val="en-AU"/>
              </w:rPr>
            </w:pPr>
            <w:r w:rsidRPr="00C97622">
              <w:rPr>
                <w:sz w:val="16"/>
                <w:szCs w:val="16"/>
                <w:lang w:val="en-AU"/>
              </w:rPr>
              <w:t>$200001 to $250000</w:t>
            </w:r>
          </w:p>
        </w:tc>
        <w:tc>
          <w:tcPr>
            <w:tcW w:w="1134" w:type="dxa"/>
            <w:tcBorders>
              <w:top w:val="single" w:sz="4" w:space="0" w:color="00AAAF"/>
              <w:bottom w:val="single" w:sz="4" w:space="0" w:color="00AAAF"/>
            </w:tcBorders>
            <w:tcMar>
              <w:top w:w="57" w:type="dxa"/>
              <w:left w:w="28" w:type="dxa"/>
              <w:bottom w:w="57" w:type="dxa"/>
              <w:right w:w="28" w:type="dxa"/>
            </w:tcMar>
          </w:tcPr>
          <w:p w14:paraId="370D0569" w14:textId="77777777" w:rsidR="00C97622" w:rsidRPr="00C97622" w:rsidRDefault="00C97622" w:rsidP="00C97622">
            <w:pPr>
              <w:pStyle w:val="Tabletextsmall"/>
              <w:jc w:val="center"/>
              <w:rPr>
                <w:sz w:val="16"/>
                <w:szCs w:val="16"/>
                <w:lang w:val="en-AU"/>
              </w:rPr>
            </w:pPr>
            <w:r w:rsidRPr="00C97622">
              <w:rPr>
                <w:sz w:val="16"/>
                <w:szCs w:val="16"/>
                <w:lang w:val="en-AU"/>
              </w:rPr>
              <w:t>0</w:t>
            </w:r>
          </w:p>
        </w:tc>
        <w:tc>
          <w:tcPr>
            <w:tcW w:w="1134" w:type="dxa"/>
            <w:tcBorders>
              <w:top w:val="single" w:sz="4" w:space="0" w:color="00AAAF"/>
              <w:bottom w:val="single" w:sz="4" w:space="0" w:color="00AAAF"/>
            </w:tcBorders>
            <w:tcMar>
              <w:top w:w="57" w:type="dxa"/>
              <w:left w:w="28" w:type="dxa"/>
              <w:bottom w:w="57" w:type="dxa"/>
              <w:right w:w="28" w:type="dxa"/>
            </w:tcMar>
          </w:tcPr>
          <w:p w14:paraId="09955D79" w14:textId="77777777" w:rsidR="00C97622" w:rsidRPr="00C97622" w:rsidRDefault="00C97622" w:rsidP="00C97622">
            <w:pPr>
              <w:pStyle w:val="Tabletextsmall"/>
              <w:jc w:val="right"/>
              <w:rPr>
                <w:sz w:val="16"/>
                <w:szCs w:val="16"/>
                <w:lang w:val="en-AU"/>
              </w:rPr>
            </w:pPr>
            <w:r w:rsidRPr="00C97622">
              <w:rPr>
                <w:sz w:val="16"/>
                <w:szCs w:val="16"/>
                <w:lang w:val="en-AU"/>
              </w:rPr>
              <w:t>–</w:t>
            </w:r>
          </w:p>
        </w:tc>
        <w:tc>
          <w:tcPr>
            <w:tcW w:w="1247" w:type="dxa"/>
            <w:tcBorders>
              <w:top w:val="single" w:sz="4" w:space="0" w:color="00AAAF"/>
              <w:bottom w:val="single" w:sz="4" w:space="0" w:color="00AAAF"/>
            </w:tcBorders>
            <w:tcMar>
              <w:top w:w="57" w:type="dxa"/>
              <w:left w:w="28" w:type="dxa"/>
              <w:bottom w:w="57" w:type="dxa"/>
              <w:right w:w="28" w:type="dxa"/>
            </w:tcMar>
          </w:tcPr>
          <w:p w14:paraId="422F93A5" w14:textId="77777777" w:rsidR="00C97622" w:rsidRPr="00C97622" w:rsidRDefault="00C97622" w:rsidP="00C97622">
            <w:pPr>
              <w:pStyle w:val="Tabletextsmall"/>
              <w:jc w:val="right"/>
              <w:rPr>
                <w:sz w:val="16"/>
                <w:szCs w:val="16"/>
                <w:lang w:val="en-AU"/>
              </w:rPr>
            </w:pPr>
            <w:r w:rsidRPr="00C97622">
              <w:rPr>
                <w:sz w:val="16"/>
                <w:szCs w:val="16"/>
                <w:lang w:val="en-AU"/>
              </w:rPr>
              <w:t>–</w:t>
            </w:r>
          </w:p>
        </w:tc>
        <w:tc>
          <w:tcPr>
            <w:tcW w:w="1134" w:type="dxa"/>
            <w:tcBorders>
              <w:top w:val="single" w:sz="4" w:space="0" w:color="00AAAF"/>
              <w:bottom w:val="single" w:sz="4" w:space="0" w:color="00AAAF"/>
            </w:tcBorders>
            <w:tcMar>
              <w:top w:w="57" w:type="dxa"/>
              <w:left w:w="28" w:type="dxa"/>
              <w:bottom w:w="57" w:type="dxa"/>
              <w:right w:w="28" w:type="dxa"/>
            </w:tcMar>
          </w:tcPr>
          <w:p w14:paraId="363FEC9F" w14:textId="77777777" w:rsidR="00C97622" w:rsidRPr="00C97622" w:rsidRDefault="00C97622" w:rsidP="00C97622">
            <w:pPr>
              <w:pStyle w:val="Tabletextsmall"/>
              <w:jc w:val="right"/>
              <w:rPr>
                <w:sz w:val="16"/>
                <w:szCs w:val="16"/>
                <w:lang w:val="en-AU"/>
              </w:rPr>
            </w:pPr>
            <w:r w:rsidRPr="00C97622">
              <w:rPr>
                <w:sz w:val="16"/>
                <w:szCs w:val="16"/>
                <w:lang w:val="en-AU"/>
              </w:rPr>
              <w:t>–</w:t>
            </w:r>
          </w:p>
        </w:tc>
        <w:tc>
          <w:tcPr>
            <w:tcW w:w="1134" w:type="dxa"/>
            <w:tcBorders>
              <w:top w:val="single" w:sz="4" w:space="0" w:color="00AAAF"/>
              <w:bottom w:val="single" w:sz="4" w:space="0" w:color="00AAAF"/>
            </w:tcBorders>
            <w:tcMar>
              <w:top w:w="57" w:type="dxa"/>
              <w:left w:w="28" w:type="dxa"/>
              <w:bottom w:w="57" w:type="dxa"/>
              <w:right w:w="28" w:type="dxa"/>
            </w:tcMar>
          </w:tcPr>
          <w:p w14:paraId="4D6554C5" w14:textId="77777777" w:rsidR="00C97622" w:rsidRPr="00C97622" w:rsidRDefault="00C97622" w:rsidP="00C97622">
            <w:pPr>
              <w:pStyle w:val="Tabletextsmall"/>
              <w:jc w:val="right"/>
              <w:rPr>
                <w:sz w:val="16"/>
                <w:szCs w:val="16"/>
                <w:lang w:val="en-AU"/>
              </w:rPr>
            </w:pPr>
            <w:r w:rsidRPr="00C97622">
              <w:rPr>
                <w:sz w:val="16"/>
                <w:szCs w:val="16"/>
                <w:lang w:val="en-AU"/>
              </w:rPr>
              <w:t>–</w:t>
            </w:r>
          </w:p>
        </w:tc>
        <w:tc>
          <w:tcPr>
            <w:tcW w:w="1134" w:type="dxa"/>
            <w:tcBorders>
              <w:top w:val="single" w:sz="4" w:space="0" w:color="00AAAF"/>
              <w:bottom w:val="single" w:sz="4" w:space="0" w:color="00AAAF"/>
            </w:tcBorders>
            <w:tcMar>
              <w:top w:w="57" w:type="dxa"/>
              <w:left w:w="28" w:type="dxa"/>
              <w:bottom w:w="57" w:type="dxa"/>
              <w:right w:w="28" w:type="dxa"/>
            </w:tcMar>
          </w:tcPr>
          <w:p w14:paraId="4371EE92" w14:textId="77777777" w:rsidR="00C97622" w:rsidRPr="00C97622" w:rsidRDefault="00C97622" w:rsidP="00C97622">
            <w:pPr>
              <w:pStyle w:val="Tabletextsmall"/>
              <w:jc w:val="right"/>
              <w:rPr>
                <w:sz w:val="16"/>
                <w:szCs w:val="16"/>
                <w:lang w:val="en-AU"/>
              </w:rPr>
            </w:pPr>
            <w:r w:rsidRPr="00C97622">
              <w:rPr>
                <w:sz w:val="16"/>
                <w:szCs w:val="16"/>
                <w:lang w:val="en-AU"/>
              </w:rPr>
              <w:t>–</w:t>
            </w:r>
          </w:p>
        </w:tc>
      </w:tr>
      <w:tr w:rsidR="00C97622" w:rsidRPr="00C97622" w14:paraId="1629012B" w14:textId="77777777" w:rsidTr="00C97622">
        <w:trPr>
          <w:trHeight w:val="60"/>
        </w:trPr>
        <w:tc>
          <w:tcPr>
            <w:tcW w:w="1701" w:type="dxa"/>
            <w:tcBorders>
              <w:top w:val="single" w:sz="4" w:space="0" w:color="00AAAF"/>
              <w:bottom w:val="single" w:sz="4" w:space="0" w:color="00AAAF"/>
            </w:tcBorders>
            <w:tcMar>
              <w:top w:w="57" w:type="dxa"/>
              <w:left w:w="28" w:type="dxa"/>
              <w:bottom w:w="57" w:type="dxa"/>
              <w:right w:w="28" w:type="dxa"/>
            </w:tcMar>
          </w:tcPr>
          <w:p w14:paraId="40B7833D" w14:textId="77777777" w:rsidR="00C97622" w:rsidRPr="00C97622" w:rsidRDefault="00C97622" w:rsidP="00C97622">
            <w:pPr>
              <w:pStyle w:val="Tabletextsmall"/>
              <w:rPr>
                <w:sz w:val="16"/>
                <w:szCs w:val="16"/>
                <w:lang w:val="en-AU"/>
              </w:rPr>
            </w:pPr>
            <w:r w:rsidRPr="00C97622">
              <w:rPr>
                <w:sz w:val="16"/>
                <w:szCs w:val="16"/>
                <w:lang w:val="en-AU"/>
              </w:rPr>
              <w:t>$250001 to $300000</w:t>
            </w:r>
          </w:p>
        </w:tc>
        <w:tc>
          <w:tcPr>
            <w:tcW w:w="1134" w:type="dxa"/>
            <w:tcBorders>
              <w:top w:val="single" w:sz="4" w:space="0" w:color="00AAAF"/>
              <w:bottom w:val="single" w:sz="4" w:space="0" w:color="00AAAF"/>
            </w:tcBorders>
            <w:tcMar>
              <w:top w:w="57" w:type="dxa"/>
              <w:left w:w="28" w:type="dxa"/>
              <w:bottom w:w="57" w:type="dxa"/>
              <w:right w:w="28" w:type="dxa"/>
            </w:tcMar>
          </w:tcPr>
          <w:p w14:paraId="5B329AD8" w14:textId="77777777" w:rsidR="00C97622" w:rsidRPr="00C97622" w:rsidRDefault="00C97622" w:rsidP="00C97622">
            <w:pPr>
              <w:pStyle w:val="Tabletextsmall"/>
              <w:jc w:val="center"/>
              <w:rPr>
                <w:sz w:val="16"/>
                <w:szCs w:val="16"/>
                <w:lang w:val="en-AU"/>
              </w:rPr>
            </w:pPr>
            <w:r w:rsidRPr="00C97622">
              <w:rPr>
                <w:sz w:val="16"/>
                <w:szCs w:val="16"/>
                <w:lang w:val="en-AU"/>
              </w:rPr>
              <w:t>1</w:t>
            </w:r>
          </w:p>
        </w:tc>
        <w:tc>
          <w:tcPr>
            <w:tcW w:w="1134" w:type="dxa"/>
            <w:tcBorders>
              <w:top w:val="single" w:sz="4" w:space="0" w:color="00AAAF"/>
              <w:bottom w:val="single" w:sz="4" w:space="0" w:color="00AAAF"/>
            </w:tcBorders>
            <w:tcMar>
              <w:top w:w="57" w:type="dxa"/>
              <w:left w:w="28" w:type="dxa"/>
              <w:bottom w:w="57" w:type="dxa"/>
              <w:right w:w="28" w:type="dxa"/>
            </w:tcMar>
          </w:tcPr>
          <w:p w14:paraId="3F6B2896" w14:textId="77777777" w:rsidR="00C97622" w:rsidRPr="00C97622" w:rsidRDefault="00C97622" w:rsidP="00C97622">
            <w:pPr>
              <w:pStyle w:val="Tabletextsmall"/>
              <w:jc w:val="right"/>
              <w:rPr>
                <w:sz w:val="16"/>
                <w:szCs w:val="16"/>
                <w:lang w:val="en-AU"/>
              </w:rPr>
            </w:pPr>
            <w:r w:rsidRPr="00C97622">
              <w:rPr>
                <w:sz w:val="16"/>
                <w:szCs w:val="16"/>
                <w:lang w:val="en-AU"/>
              </w:rPr>
              <w:t>219,413</w:t>
            </w:r>
          </w:p>
        </w:tc>
        <w:tc>
          <w:tcPr>
            <w:tcW w:w="1247" w:type="dxa"/>
            <w:tcBorders>
              <w:top w:val="single" w:sz="4" w:space="0" w:color="00AAAF"/>
              <w:bottom w:val="single" w:sz="4" w:space="0" w:color="00AAAF"/>
            </w:tcBorders>
            <w:tcMar>
              <w:top w:w="57" w:type="dxa"/>
              <w:left w:w="28" w:type="dxa"/>
              <w:bottom w:w="57" w:type="dxa"/>
              <w:right w:w="28" w:type="dxa"/>
            </w:tcMar>
          </w:tcPr>
          <w:p w14:paraId="0D00CD59" w14:textId="77777777" w:rsidR="00C97622" w:rsidRPr="00C97622" w:rsidRDefault="00C97622" w:rsidP="00C97622">
            <w:pPr>
              <w:pStyle w:val="Tabletextsmall"/>
              <w:jc w:val="right"/>
              <w:rPr>
                <w:sz w:val="16"/>
                <w:szCs w:val="16"/>
                <w:lang w:val="en-AU"/>
              </w:rPr>
            </w:pPr>
            <w:r w:rsidRPr="00C97622">
              <w:rPr>
                <w:sz w:val="16"/>
                <w:szCs w:val="16"/>
                <w:lang w:val="en-AU"/>
              </w:rPr>
              <w:t>39,106</w:t>
            </w:r>
          </w:p>
        </w:tc>
        <w:tc>
          <w:tcPr>
            <w:tcW w:w="1134" w:type="dxa"/>
            <w:tcBorders>
              <w:top w:val="single" w:sz="4" w:space="0" w:color="00AAAF"/>
              <w:bottom w:val="single" w:sz="4" w:space="0" w:color="00AAAF"/>
            </w:tcBorders>
            <w:tcMar>
              <w:top w:w="57" w:type="dxa"/>
              <w:left w:w="28" w:type="dxa"/>
              <w:bottom w:w="57" w:type="dxa"/>
              <w:right w:w="28" w:type="dxa"/>
            </w:tcMar>
          </w:tcPr>
          <w:p w14:paraId="72D2946A" w14:textId="77777777" w:rsidR="00C97622" w:rsidRPr="00C97622" w:rsidRDefault="00C97622" w:rsidP="00C97622">
            <w:pPr>
              <w:pStyle w:val="Tabletextsmall"/>
              <w:jc w:val="right"/>
              <w:rPr>
                <w:sz w:val="16"/>
                <w:szCs w:val="16"/>
                <w:lang w:val="en-AU"/>
              </w:rPr>
            </w:pPr>
            <w:r w:rsidRPr="00C97622">
              <w:rPr>
                <w:sz w:val="16"/>
                <w:szCs w:val="16"/>
                <w:lang w:val="en-AU"/>
              </w:rPr>
              <w:t>–</w:t>
            </w:r>
          </w:p>
        </w:tc>
        <w:tc>
          <w:tcPr>
            <w:tcW w:w="1134" w:type="dxa"/>
            <w:tcBorders>
              <w:top w:val="single" w:sz="4" w:space="0" w:color="00AAAF"/>
              <w:bottom w:val="single" w:sz="4" w:space="0" w:color="00AAAF"/>
            </w:tcBorders>
            <w:tcMar>
              <w:top w:w="57" w:type="dxa"/>
              <w:left w:w="28" w:type="dxa"/>
              <w:bottom w:w="57" w:type="dxa"/>
              <w:right w:w="28" w:type="dxa"/>
            </w:tcMar>
          </w:tcPr>
          <w:p w14:paraId="1394927C" w14:textId="77777777" w:rsidR="00C97622" w:rsidRPr="00C97622" w:rsidRDefault="00C97622" w:rsidP="00C97622">
            <w:pPr>
              <w:pStyle w:val="Tabletextsmall"/>
              <w:jc w:val="right"/>
              <w:rPr>
                <w:sz w:val="16"/>
                <w:szCs w:val="16"/>
                <w:lang w:val="en-AU"/>
              </w:rPr>
            </w:pPr>
            <w:r w:rsidRPr="00C97622">
              <w:rPr>
                <w:sz w:val="16"/>
                <w:szCs w:val="16"/>
                <w:lang w:val="en-AU"/>
              </w:rPr>
              <w:t>25,549</w:t>
            </w:r>
          </w:p>
        </w:tc>
        <w:tc>
          <w:tcPr>
            <w:tcW w:w="1134" w:type="dxa"/>
            <w:tcBorders>
              <w:top w:val="single" w:sz="4" w:space="0" w:color="00AAAF"/>
              <w:bottom w:val="single" w:sz="4" w:space="0" w:color="00AAAF"/>
            </w:tcBorders>
            <w:tcMar>
              <w:top w:w="57" w:type="dxa"/>
              <w:left w:w="28" w:type="dxa"/>
              <w:bottom w:w="57" w:type="dxa"/>
              <w:right w:w="28" w:type="dxa"/>
            </w:tcMar>
          </w:tcPr>
          <w:p w14:paraId="45C448C8" w14:textId="77777777" w:rsidR="00C97622" w:rsidRPr="00C97622" w:rsidRDefault="00C97622" w:rsidP="00C97622">
            <w:pPr>
              <w:pStyle w:val="Tabletextsmall"/>
              <w:jc w:val="right"/>
              <w:rPr>
                <w:sz w:val="16"/>
                <w:szCs w:val="16"/>
                <w:lang w:val="en-AU"/>
              </w:rPr>
            </w:pPr>
            <w:r w:rsidRPr="00C97622">
              <w:rPr>
                <w:sz w:val="16"/>
                <w:szCs w:val="16"/>
                <w:lang w:val="en-AU"/>
              </w:rPr>
              <w:t>284,068</w:t>
            </w:r>
          </w:p>
        </w:tc>
      </w:tr>
      <w:tr w:rsidR="00C97622" w:rsidRPr="00C97622" w14:paraId="4EE4C431" w14:textId="77777777" w:rsidTr="00C97622">
        <w:trPr>
          <w:trHeight w:val="60"/>
        </w:trPr>
        <w:tc>
          <w:tcPr>
            <w:tcW w:w="1701" w:type="dxa"/>
            <w:tcBorders>
              <w:top w:val="single" w:sz="4" w:space="0" w:color="00AAAF"/>
              <w:bottom w:val="single" w:sz="4" w:space="0" w:color="00AAAF"/>
            </w:tcBorders>
            <w:tcMar>
              <w:top w:w="57" w:type="dxa"/>
              <w:left w:w="28" w:type="dxa"/>
              <w:bottom w:w="57" w:type="dxa"/>
              <w:right w:w="28" w:type="dxa"/>
            </w:tcMar>
          </w:tcPr>
          <w:p w14:paraId="3E1E804D" w14:textId="77777777" w:rsidR="00C97622" w:rsidRPr="00C97622" w:rsidRDefault="00C97622" w:rsidP="00C97622">
            <w:pPr>
              <w:pStyle w:val="Tabletextsmall"/>
              <w:rPr>
                <w:sz w:val="16"/>
                <w:szCs w:val="16"/>
                <w:lang w:val="en-AU"/>
              </w:rPr>
            </w:pPr>
            <w:r w:rsidRPr="00C97622">
              <w:rPr>
                <w:sz w:val="16"/>
                <w:szCs w:val="16"/>
                <w:lang w:val="en-AU"/>
              </w:rPr>
              <w:t>$300001 to $350000</w:t>
            </w:r>
          </w:p>
        </w:tc>
        <w:tc>
          <w:tcPr>
            <w:tcW w:w="1134" w:type="dxa"/>
            <w:tcBorders>
              <w:top w:val="single" w:sz="4" w:space="0" w:color="00AAAF"/>
              <w:bottom w:val="single" w:sz="4" w:space="0" w:color="00AAAF"/>
            </w:tcBorders>
            <w:tcMar>
              <w:top w:w="57" w:type="dxa"/>
              <w:left w:w="28" w:type="dxa"/>
              <w:bottom w:w="57" w:type="dxa"/>
              <w:right w:w="28" w:type="dxa"/>
            </w:tcMar>
          </w:tcPr>
          <w:p w14:paraId="332CCDDC" w14:textId="77777777" w:rsidR="00C97622" w:rsidRPr="00C97622" w:rsidRDefault="00C97622" w:rsidP="00C97622">
            <w:pPr>
              <w:pStyle w:val="Tabletextsmall"/>
              <w:jc w:val="center"/>
              <w:rPr>
                <w:sz w:val="16"/>
                <w:szCs w:val="16"/>
                <w:lang w:val="en-AU"/>
              </w:rPr>
            </w:pPr>
            <w:r w:rsidRPr="00C97622">
              <w:rPr>
                <w:sz w:val="16"/>
                <w:szCs w:val="16"/>
                <w:lang w:val="en-AU"/>
              </w:rPr>
              <w:t>1</w:t>
            </w:r>
          </w:p>
        </w:tc>
        <w:tc>
          <w:tcPr>
            <w:tcW w:w="1134" w:type="dxa"/>
            <w:tcBorders>
              <w:top w:val="single" w:sz="4" w:space="0" w:color="00AAAF"/>
              <w:bottom w:val="single" w:sz="4" w:space="0" w:color="00AAAF"/>
            </w:tcBorders>
            <w:tcMar>
              <w:top w:w="57" w:type="dxa"/>
              <w:left w:w="28" w:type="dxa"/>
              <w:bottom w:w="57" w:type="dxa"/>
              <w:right w:w="28" w:type="dxa"/>
            </w:tcMar>
          </w:tcPr>
          <w:p w14:paraId="58E23A20" w14:textId="77777777" w:rsidR="00C97622" w:rsidRPr="00C97622" w:rsidRDefault="00C97622" w:rsidP="00C97622">
            <w:pPr>
              <w:pStyle w:val="Tabletextsmall"/>
              <w:jc w:val="right"/>
              <w:rPr>
                <w:sz w:val="16"/>
                <w:szCs w:val="16"/>
                <w:lang w:val="en-AU"/>
              </w:rPr>
            </w:pPr>
            <w:r w:rsidRPr="00C97622">
              <w:rPr>
                <w:sz w:val="16"/>
                <w:szCs w:val="16"/>
                <w:lang w:val="en-AU"/>
              </w:rPr>
              <w:t>234,190</w:t>
            </w:r>
          </w:p>
        </w:tc>
        <w:tc>
          <w:tcPr>
            <w:tcW w:w="1247" w:type="dxa"/>
            <w:tcBorders>
              <w:top w:val="single" w:sz="4" w:space="0" w:color="00AAAF"/>
              <w:bottom w:val="single" w:sz="4" w:space="0" w:color="00AAAF"/>
            </w:tcBorders>
            <w:tcMar>
              <w:top w:w="57" w:type="dxa"/>
              <w:left w:w="28" w:type="dxa"/>
              <w:bottom w:w="57" w:type="dxa"/>
              <w:right w:w="28" w:type="dxa"/>
            </w:tcMar>
          </w:tcPr>
          <w:p w14:paraId="79DCC938" w14:textId="77777777" w:rsidR="00C97622" w:rsidRPr="00C97622" w:rsidRDefault="00C97622" w:rsidP="00C97622">
            <w:pPr>
              <w:pStyle w:val="Tabletextsmall"/>
              <w:jc w:val="right"/>
              <w:rPr>
                <w:sz w:val="16"/>
                <w:szCs w:val="16"/>
                <w:lang w:val="en-AU"/>
              </w:rPr>
            </w:pPr>
            <w:r w:rsidRPr="00C97622">
              <w:rPr>
                <w:sz w:val="16"/>
                <w:szCs w:val="16"/>
                <w:lang w:val="en-AU"/>
              </w:rPr>
              <w:t>40,187</w:t>
            </w:r>
          </w:p>
        </w:tc>
        <w:tc>
          <w:tcPr>
            <w:tcW w:w="1134" w:type="dxa"/>
            <w:tcBorders>
              <w:top w:val="single" w:sz="4" w:space="0" w:color="00AAAF"/>
              <w:bottom w:val="single" w:sz="4" w:space="0" w:color="00AAAF"/>
            </w:tcBorders>
            <w:tcMar>
              <w:top w:w="57" w:type="dxa"/>
              <w:left w:w="28" w:type="dxa"/>
              <w:bottom w:w="57" w:type="dxa"/>
              <w:right w:w="28" w:type="dxa"/>
            </w:tcMar>
          </w:tcPr>
          <w:p w14:paraId="26206341" w14:textId="77777777" w:rsidR="00C97622" w:rsidRPr="00C97622" w:rsidRDefault="00C97622" w:rsidP="00C97622">
            <w:pPr>
              <w:pStyle w:val="Tabletextsmall"/>
              <w:jc w:val="right"/>
              <w:rPr>
                <w:sz w:val="16"/>
                <w:szCs w:val="16"/>
                <w:lang w:val="en-AU"/>
              </w:rPr>
            </w:pPr>
            <w:r w:rsidRPr="00C97622">
              <w:rPr>
                <w:sz w:val="16"/>
                <w:szCs w:val="16"/>
                <w:lang w:val="en-AU"/>
              </w:rPr>
              <w:t>424</w:t>
            </w:r>
          </w:p>
        </w:tc>
        <w:tc>
          <w:tcPr>
            <w:tcW w:w="1134" w:type="dxa"/>
            <w:tcBorders>
              <w:top w:val="single" w:sz="4" w:space="0" w:color="00AAAF"/>
              <w:bottom w:val="single" w:sz="4" w:space="0" w:color="00AAAF"/>
            </w:tcBorders>
            <w:tcMar>
              <w:top w:w="57" w:type="dxa"/>
              <w:left w:w="28" w:type="dxa"/>
              <w:bottom w:w="57" w:type="dxa"/>
              <w:right w:w="28" w:type="dxa"/>
            </w:tcMar>
          </w:tcPr>
          <w:p w14:paraId="438C7C78" w14:textId="77777777" w:rsidR="00C97622" w:rsidRPr="00C97622" w:rsidRDefault="00C97622" w:rsidP="00C97622">
            <w:pPr>
              <w:pStyle w:val="Tabletextsmall"/>
              <w:jc w:val="right"/>
              <w:rPr>
                <w:sz w:val="16"/>
                <w:szCs w:val="16"/>
                <w:lang w:val="en-AU"/>
              </w:rPr>
            </w:pPr>
            <w:r w:rsidRPr="00C97622">
              <w:rPr>
                <w:sz w:val="16"/>
                <w:szCs w:val="16"/>
                <w:lang w:val="en-AU"/>
              </w:rPr>
              <w:t>26,765</w:t>
            </w:r>
          </w:p>
        </w:tc>
        <w:tc>
          <w:tcPr>
            <w:tcW w:w="1134" w:type="dxa"/>
            <w:tcBorders>
              <w:top w:val="single" w:sz="4" w:space="0" w:color="00AAAF"/>
              <w:bottom w:val="single" w:sz="4" w:space="0" w:color="00AAAF"/>
            </w:tcBorders>
            <w:tcMar>
              <w:top w:w="57" w:type="dxa"/>
              <w:left w:w="28" w:type="dxa"/>
              <w:bottom w:w="57" w:type="dxa"/>
              <w:right w:w="28" w:type="dxa"/>
            </w:tcMar>
          </w:tcPr>
          <w:p w14:paraId="7F8FE8D9" w14:textId="77777777" w:rsidR="00C97622" w:rsidRPr="00C97622" w:rsidRDefault="00C97622" w:rsidP="00C97622">
            <w:pPr>
              <w:pStyle w:val="Tabletextsmall"/>
              <w:jc w:val="right"/>
              <w:rPr>
                <w:sz w:val="16"/>
                <w:szCs w:val="16"/>
                <w:lang w:val="en-AU"/>
              </w:rPr>
            </w:pPr>
            <w:r w:rsidRPr="00C97622">
              <w:rPr>
                <w:sz w:val="16"/>
                <w:szCs w:val="16"/>
                <w:lang w:val="en-AU"/>
              </w:rPr>
              <w:t>301,565</w:t>
            </w:r>
          </w:p>
        </w:tc>
      </w:tr>
      <w:tr w:rsidR="00C97622" w:rsidRPr="00C97622" w14:paraId="0EE6B046" w14:textId="77777777" w:rsidTr="00C97622">
        <w:trPr>
          <w:trHeight w:val="60"/>
        </w:trPr>
        <w:tc>
          <w:tcPr>
            <w:tcW w:w="1701" w:type="dxa"/>
            <w:tcBorders>
              <w:top w:val="single" w:sz="4" w:space="0" w:color="00AAAF"/>
              <w:bottom w:val="single" w:sz="4" w:space="0" w:color="00AAAF"/>
            </w:tcBorders>
            <w:tcMar>
              <w:top w:w="57" w:type="dxa"/>
              <w:left w:w="28" w:type="dxa"/>
              <w:bottom w:w="57" w:type="dxa"/>
              <w:right w:w="28" w:type="dxa"/>
            </w:tcMar>
          </w:tcPr>
          <w:p w14:paraId="39477347" w14:textId="77777777" w:rsidR="00C97622" w:rsidRPr="00C97622" w:rsidRDefault="00C97622" w:rsidP="00C97622">
            <w:pPr>
              <w:pStyle w:val="Tabletextsmall"/>
              <w:rPr>
                <w:sz w:val="16"/>
                <w:szCs w:val="16"/>
                <w:lang w:val="en-AU"/>
              </w:rPr>
            </w:pPr>
            <w:r w:rsidRPr="00C97622">
              <w:rPr>
                <w:sz w:val="16"/>
                <w:szCs w:val="16"/>
                <w:lang w:val="en-AU"/>
              </w:rPr>
              <w:t>$350001 to $400000</w:t>
            </w:r>
          </w:p>
        </w:tc>
        <w:tc>
          <w:tcPr>
            <w:tcW w:w="1134" w:type="dxa"/>
            <w:tcBorders>
              <w:top w:val="single" w:sz="4" w:space="0" w:color="00AAAF"/>
              <w:bottom w:val="single" w:sz="4" w:space="0" w:color="00AAAF"/>
            </w:tcBorders>
            <w:tcMar>
              <w:top w:w="57" w:type="dxa"/>
              <w:left w:w="28" w:type="dxa"/>
              <w:bottom w:w="57" w:type="dxa"/>
              <w:right w:w="28" w:type="dxa"/>
            </w:tcMar>
          </w:tcPr>
          <w:p w14:paraId="051E3EB7" w14:textId="77777777" w:rsidR="00C97622" w:rsidRPr="00C97622" w:rsidRDefault="00C97622" w:rsidP="00C97622">
            <w:pPr>
              <w:pStyle w:val="Tabletextsmall"/>
              <w:jc w:val="center"/>
              <w:rPr>
                <w:sz w:val="16"/>
                <w:szCs w:val="16"/>
                <w:lang w:val="en-AU"/>
              </w:rPr>
            </w:pPr>
            <w:r w:rsidRPr="00C97622">
              <w:rPr>
                <w:sz w:val="16"/>
                <w:szCs w:val="16"/>
                <w:lang w:val="en-AU"/>
              </w:rPr>
              <w:t>0</w:t>
            </w:r>
          </w:p>
        </w:tc>
        <w:tc>
          <w:tcPr>
            <w:tcW w:w="1134" w:type="dxa"/>
            <w:tcBorders>
              <w:top w:val="single" w:sz="4" w:space="0" w:color="00AAAF"/>
              <w:bottom w:val="single" w:sz="4" w:space="0" w:color="00AAAF"/>
            </w:tcBorders>
            <w:tcMar>
              <w:top w:w="57" w:type="dxa"/>
              <w:left w:w="28" w:type="dxa"/>
              <w:bottom w:w="57" w:type="dxa"/>
              <w:right w:w="28" w:type="dxa"/>
            </w:tcMar>
          </w:tcPr>
          <w:p w14:paraId="7458B6BD" w14:textId="77777777" w:rsidR="00C97622" w:rsidRPr="00C97622" w:rsidRDefault="00C97622" w:rsidP="00C97622">
            <w:pPr>
              <w:pStyle w:val="Tabletextsmall"/>
              <w:jc w:val="right"/>
              <w:rPr>
                <w:sz w:val="16"/>
                <w:szCs w:val="16"/>
                <w:lang w:val="en-AU"/>
              </w:rPr>
            </w:pPr>
            <w:r w:rsidRPr="00C97622">
              <w:rPr>
                <w:sz w:val="16"/>
                <w:szCs w:val="16"/>
                <w:lang w:val="en-AU"/>
              </w:rPr>
              <w:t>–</w:t>
            </w:r>
          </w:p>
        </w:tc>
        <w:tc>
          <w:tcPr>
            <w:tcW w:w="1247" w:type="dxa"/>
            <w:tcBorders>
              <w:top w:val="single" w:sz="4" w:space="0" w:color="00AAAF"/>
              <w:bottom w:val="single" w:sz="4" w:space="0" w:color="00AAAF"/>
            </w:tcBorders>
            <w:tcMar>
              <w:top w:w="57" w:type="dxa"/>
              <w:left w:w="28" w:type="dxa"/>
              <w:bottom w:w="57" w:type="dxa"/>
              <w:right w:w="28" w:type="dxa"/>
            </w:tcMar>
          </w:tcPr>
          <w:p w14:paraId="0A675CB6" w14:textId="77777777" w:rsidR="00C97622" w:rsidRPr="00C97622" w:rsidRDefault="00C97622" w:rsidP="00C97622">
            <w:pPr>
              <w:pStyle w:val="Tabletextsmall"/>
              <w:jc w:val="right"/>
              <w:rPr>
                <w:sz w:val="16"/>
                <w:szCs w:val="16"/>
                <w:lang w:val="en-AU"/>
              </w:rPr>
            </w:pPr>
            <w:r w:rsidRPr="00C97622">
              <w:rPr>
                <w:sz w:val="16"/>
                <w:szCs w:val="16"/>
                <w:lang w:val="en-AU"/>
              </w:rPr>
              <w:t>–</w:t>
            </w:r>
          </w:p>
        </w:tc>
        <w:tc>
          <w:tcPr>
            <w:tcW w:w="1134" w:type="dxa"/>
            <w:tcBorders>
              <w:top w:val="single" w:sz="4" w:space="0" w:color="00AAAF"/>
              <w:bottom w:val="single" w:sz="4" w:space="0" w:color="00AAAF"/>
            </w:tcBorders>
            <w:tcMar>
              <w:top w:w="57" w:type="dxa"/>
              <w:left w:w="28" w:type="dxa"/>
              <w:bottom w:w="57" w:type="dxa"/>
              <w:right w:w="28" w:type="dxa"/>
            </w:tcMar>
          </w:tcPr>
          <w:p w14:paraId="3A5C62E5" w14:textId="77777777" w:rsidR="00C97622" w:rsidRPr="00C97622" w:rsidRDefault="00C97622" w:rsidP="00C97622">
            <w:pPr>
              <w:pStyle w:val="Tabletextsmall"/>
              <w:jc w:val="right"/>
              <w:rPr>
                <w:sz w:val="16"/>
                <w:szCs w:val="16"/>
                <w:lang w:val="en-AU"/>
              </w:rPr>
            </w:pPr>
            <w:r w:rsidRPr="00C97622">
              <w:rPr>
                <w:sz w:val="16"/>
                <w:szCs w:val="16"/>
                <w:lang w:val="en-AU"/>
              </w:rPr>
              <w:t>–</w:t>
            </w:r>
          </w:p>
        </w:tc>
        <w:tc>
          <w:tcPr>
            <w:tcW w:w="1134" w:type="dxa"/>
            <w:tcBorders>
              <w:top w:val="single" w:sz="4" w:space="0" w:color="00AAAF"/>
              <w:bottom w:val="single" w:sz="4" w:space="0" w:color="00AAAF"/>
            </w:tcBorders>
            <w:tcMar>
              <w:top w:w="57" w:type="dxa"/>
              <w:left w:w="28" w:type="dxa"/>
              <w:bottom w:w="57" w:type="dxa"/>
              <w:right w:w="28" w:type="dxa"/>
            </w:tcMar>
          </w:tcPr>
          <w:p w14:paraId="054ACE8D" w14:textId="77777777" w:rsidR="00C97622" w:rsidRPr="00C97622" w:rsidRDefault="00C97622" w:rsidP="00C97622">
            <w:pPr>
              <w:pStyle w:val="Tabletextsmall"/>
              <w:jc w:val="right"/>
              <w:rPr>
                <w:sz w:val="16"/>
                <w:szCs w:val="16"/>
                <w:lang w:val="en-AU"/>
              </w:rPr>
            </w:pPr>
            <w:r w:rsidRPr="00C97622">
              <w:rPr>
                <w:sz w:val="16"/>
                <w:szCs w:val="16"/>
                <w:lang w:val="en-AU"/>
              </w:rPr>
              <w:t>–</w:t>
            </w:r>
          </w:p>
        </w:tc>
        <w:tc>
          <w:tcPr>
            <w:tcW w:w="1134" w:type="dxa"/>
            <w:tcBorders>
              <w:top w:val="single" w:sz="4" w:space="0" w:color="00AAAF"/>
              <w:bottom w:val="single" w:sz="4" w:space="0" w:color="00AAAF"/>
            </w:tcBorders>
            <w:tcMar>
              <w:top w:w="57" w:type="dxa"/>
              <w:left w:w="28" w:type="dxa"/>
              <w:bottom w:w="57" w:type="dxa"/>
              <w:right w:w="28" w:type="dxa"/>
            </w:tcMar>
          </w:tcPr>
          <w:p w14:paraId="21E2A528" w14:textId="77777777" w:rsidR="00C97622" w:rsidRPr="00C97622" w:rsidRDefault="00C97622" w:rsidP="00C97622">
            <w:pPr>
              <w:pStyle w:val="Tabletextsmall"/>
              <w:jc w:val="right"/>
              <w:rPr>
                <w:sz w:val="16"/>
                <w:szCs w:val="16"/>
                <w:lang w:val="en-AU"/>
              </w:rPr>
            </w:pPr>
            <w:r w:rsidRPr="00C97622">
              <w:rPr>
                <w:sz w:val="16"/>
                <w:szCs w:val="16"/>
                <w:lang w:val="en-AU"/>
              </w:rPr>
              <w:t>–</w:t>
            </w:r>
          </w:p>
        </w:tc>
      </w:tr>
      <w:tr w:rsidR="00C97622" w:rsidRPr="00C97622" w14:paraId="288DDAE6" w14:textId="77777777" w:rsidTr="00C97622">
        <w:trPr>
          <w:trHeight w:val="60"/>
        </w:trPr>
        <w:tc>
          <w:tcPr>
            <w:tcW w:w="1701" w:type="dxa"/>
            <w:tcBorders>
              <w:top w:val="single" w:sz="4" w:space="0" w:color="00AAAF"/>
              <w:bottom w:val="single" w:sz="8" w:space="0" w:color="00AAAF"/>
            </w:tcBorders>
            <w:tcMar>
              <w:top w:w="57" w:type="dxa"/>
              <w:left w:w="28" w:type="dxa"/>
              <w:bottom w:w="57" w:type="dxa"/>
              <w:right w:w="28" w:type="dxa"/>
            </w:tcMar>
          </w:tcPr>
          <w:p w14:paraId="43051E82" w14:textId="77777777" w:rsidR="00C97622" w:rsidRPr="00C97622" w:rsidRDefault="00C97622" w:rsidP="00C97622">
            <w:pPr>
              <w:pStyle w:val="Tabletextsmall"/>
              <w:rPr>
                <w:sz w:val="16"/>
                <w:szCs w:val="16"/>
                <w:lang w:val="en-AU"/>
              </w:rPr>
            </w:pPr>
            <w:r w:rsidRPr="00C97622">
              <w:rPr>
                <w:sz w:val="16"/>
                <w:szCs w:val="16"/>
                <w:lang w:val="en-AU"/>
              </w:rPr>
              <w:t>$400001 to $450000</w:t>
            </w:r>
          </w:p>
        </w:tc>
        <w:tc>
          <w:tcPr>
            <w:tcW w:w="1134" w:type="dxa"/>
            <w:tcBorders>
              <w:top w:val="single" w:sz="4" w:space="0" w:color="00AAAF"/>
              <w:bottom w:val="single" w:sz="8" w:space="0" w:color="00AAAF"/>
            </w:tcBorders>
            <w:tcMar>
              <w:top w:w="57" w:type="dxa"/>
              <w:left w:w="28" w:type="dxa"/>
              <w:bottom w:w="57" w:type="dxa"/>
              <w:right w:w="28" w:type="dxa"/>
            </w:tcMar>
          </w:tcPr>
          <w:p w14:paraId="36703A18" w14:textId="77777777" w:rsidR="00C97622" w:rsidRPr="00C97622" w:rsidRDefault="00C97622" w:rsidP="00C97622">
            <w:pPr>
              <w:pStyle w:val="Tabletextsmall"/>
              <w:jc w:val="center"/>
              <w:rPr>
                <w:sz w:val="16"/>
                <w:szCs w:val="16"/>
                <w:lang w:val="en-AU"/>
              </w:rPr>
            </w:pPr>
            <w:r w:rsidRPr="00C97622">
              <w:rPr>
                <w:sz w:val="16"/>
                <w:szCs w:val="16"/>
                <w:lang w:val="en-AU"/>
              </w:rPr>
              <w:t>1</w:t>
            </w:r>
          </w:p>
        </w:tc>
        <w:tc>
          <w:tcPr>
            <w:tcW w:w="1134" w:type="dxa"/>
            <w:tcBorders>
              <w:top w:val="single" w:sz="4" w:space="0" w:color="00AAAF"/>
              <w:bottom w:val="single" w:sz="8" w:space="0" w:color="00AAAF"/>
            </w:tcBorders>
            <w:tcMar>
              <w:top w:w="57" w:type="dxa"/>
              <w:left w:w="28" w:type="dxa"/>
              <w:bottom w:w="57" w:type="dxa"/>
              <w:right w:w="28" w:type="dxa"/>
            </w:tcMar>
          </w:tcPr>
          <w:p w14:paraId="0A716E88" w14:textId="77777777" w:rsidR="00C97622" w:rsidRPr="00C97622" w:rsidRDefault="00C97622" w:rsidP="00C97622">
            <w:pPr>
              <w:pStyle w:val="Tabletextsmall"/>
              <w:jc w:val="right"/>
              <w:rPr>
                <w:sz w:val="16"/>
                <w:szCs w:val="16"/>
                <w:lang w:val="en-AU"/>
              </w:rPr>
            </w:pPr>
            <w:r w:rsidRPr="00C97622">
              <w:rPr>
                <w:sz w:val="16"/>
                <w:szCs w:val="16"/>
                <w:lang w:val="en-AU"/>
              </w:rPr>
              <w:t>388,770</w:t>
            </w:r>
          </w:p>
        </w:tc>
        <w:tc>
          <w:tcPr>
            <w:tcW w:w="1247" w:type="dxa"/>
            <w:tcBorders>
              <w:top w:val="single" w:sz="4" w:space="0" w:color="00AAAF"/>
              <w:bottom w:val="single" w:sz="8" w:space="0" w:color="00AAAF"/>
            </w:tcBorders>
            <w:tcMar>
              <w:top w:w="57" w:type="dxa"/>
              <w:left w:w="28" w:type="dxa"/>
              <w:bottom w:w="57" w:type="dxa"/>
              <w:right w:w="28" w:type="dxa"/>
            </w:tcMar>
          </w:tcPr>
          <w:p w14:paraId="3CAA19A5" w14:textId="77777777" w:rsidR="00C97622" w:rsidRPr="00C97622" w:rsidRDefault="00C97622" w:rsidP="00C97622">
            <w:pPr>
              <w:pStyle w:val="Tabletextsmall"/>
              <w:jc w:val="right"/>
              <w:rPr>
                <w:sz w:val="16"/>
                <w:szCs w:val="16"/>
                <w:lang w:val="en-AU"/>
              </w:rPr>
            </w:pPr>
            <w:r w:rsidRPr="00C97622">
              <w:rPr>
                <w:sz w:val="16"/>
                <w:szCs w:val="16"/>
                <w:lang w:val="en-AU"/>
              </w:rPr>
              <w:t>27,695</w:t>
            </w:r>
          </w:p>
        </w:tc>
        <w:tc>
          <w:tcPr>
            <w:tcW w:w="1134" w:type="dxa"/>
            <w:tcBorders>
              <w:top w:val="single" w:sz="4" w:space="0" w:color="00AAAF"/>
              <w:bottom w:val="single" w:sz="8" w:space="0" w:color="00AAAF"/>
            </w:tcBorders>
            <w:tcMar>
              <w:top w:w="57" w:type="dxa"/>
              <w:left w:w="28" w:type="dxa"/>
              <w:bottom w:w="57" w:type="dxa"/>
              <w:right w:w="28" w:type="dxa"/>
            </w:tcMar>
          </w:tcPr>
          <w:p w14:paraId="64A6984B" w14:textId="77777777" w:rsidR="00C97622" w:rsidRPr="00C97622" w:rsidRDefault="00C97622" w:rsidP="00C97622">
            <w:pPr>
              <w:pStyle w:val="Tabletextsmall"/>
              <w:jc w:val="right"/>
              <w:rPr>
                <w:sz w:val="16"/>
                <w:szCs w:val="16"/>
                <w:lang w:val="en-AU"/>
              </w:rPr>
            </w:pPr>
            <w:r w:rsidRPr="00C97622">
              <w:rPr>
                <w:sz w:val="16"/>
                <w:szCs w:val="16"/>
                <w:lang w:val="en-AU"/>
              </w:rPr>
              <w:t>–</w:t>
            </w:r>
          </w:p>
        </w:tc>
        <w:tc>
          <w:tcPr>
            <w:tcW w:w="1134" w:type="dxa"/>
            <w:tcBorders>
              <w:top w:val="single" w:sz="4" w:space="0" w:color="00AAAF"/>
              <w:bottom w:val="single" w:sz="8" w:space="0" w:color="00AAAF"/>
            </w:tcBorders>
            <w:tcMar>
              <w:top w:w="57" w:type="dxa"/>
              <w:left w:w="28" w:type="dxa"/>
              <w:bottom w:w="57" w:type="dxa"/>
              <w:right w:w="28" w:type="dxa"/>
            </w:tcMar>
          </w:tcPr>
          <w:p w14:paraId="662D6EC7" w14:textId="77777777" w:rsidR="00C97622" w:rsidRPr="00C97622" w:rsidRDefault="00C97622" w:rsidP="00C97622">
            <w:pPr>
              <w:pStyle w:val="Tabletextsmall"/>
              <w:jc w:val="right"/>
              <w:rPr>
                <w:sz w:val="16"/>
                <w:szCs w:val="16"/>
                <w:lang w:val="en-AU"/>
              </w:rPr>
            </w:pPr>
            <w:r w:rsidRPr="00C97622">
              <w:rPr>
                <w:sz w:val="16"/>
                <w:szCs w:val="16"/>
                <w:lang w:val="en-AU"/>
              </w:rPr>
              <w:t>–</w:t>
            </w:r>
          </w:p>
        </w:tc>
        <w:tc>
          <w:tcPr>
            <w:tcW w:w="1134" w:type="dxa"/>
            <w:tcBorders>
              <w:top w:val="single" w:sz="4" w:space="0" w:color="00AAAF"/>
              <w:bottom w:val="single" w:sz="8" w:space="0" w:color="00AAAF"/>
            </w:tcBorders>
            <w:tcMar>
              <w:top w:w="57" w:type="dxa"/>
              <w:left w:w="28" w:type="dxa"/>
              <w:bottom w:w="57" w:type="dxa"/>
              <w:right w:w="28" w:type="dxa"/>
            </w:tcMar>
          </w:tcPr>
          <w:p w14:paraId="77FFB9F5" w14:textId="77777777" w:rsidR="00C97622" w:rsidRPr="00C97622" w:rsidRDefault="00C97622" w:rsidP="00C97622">
            <w:pPr>
              <w:pStyle w:val="Tabletextsmall"/>
              <w:jc w:val="right"/>
              <w:rPr>
                <w:sz w:val="16"/>
                <w:szCs w:val="16"/>
                <w:lang w:val="en-AU"/>
              </w:rPr>
            </w:pPr>
            <w:r w:rsidRPr="00C97622">
              <w:rPr>
                <w:sz w:val="16"/>
                <w:szCs w:val="16"/>
                <w:lang w:val="en-AU"/>
              </w:rPr>
              <w:t>416,465</w:t>
            </w:r>
          </w:p>
        </w:tc>
      </w:tr>
      <w:tr w:rsidR="00C97622" w:rsidRPr="00C97622" w14:paraId="2A79185A" w14:textId="77777777" w:rsidTr="00C97622">
        <w:trPr>
          <w:trHeight w:val="60"/>
        </w:trPr>
        <w:tc>
          <w:tcPr>
            <w:tcW w:w="1701" w:type="dxa"/>
            <w:tcBorders>
              <w:top w:val="single" w:sz="8" w:space="0" w:color="00AAAF"/>
              <w:bottom w:val="single" w:sz="8" w:space="0" w:color="00AAAF"/>
            </w:tcBorders>
            <w:tcMar>
              <w:top w:w="57" w:type="dxa"/>
              <w:left w:w="28" w:type="dxa"/>
              <w:bottom w:w="57" w:type="dxa"/>
              <w:right w:w="28" w:type="dxa"/>
            </w:tcMar>
            <w:vAlign w:val="bottom"/>
          </w:tcPr>
          <w:p w14:paraId="65137CCC" w14:textId="77777777" w:rsidR="00C97622" w:rsidRPr="00C97622" w:rsidRDefault="00C97622" w:rsidP="00C97622">
            <w:pPr>
              <w:pStyle w:val="Tabletextsmall"/>
              <w:rPr>
                <w:rStyle w:val="Strong"/>
              </w:rPr>
            </w:pPr>
            <w:r w:rsidRPr="00C97622">
              <w:rPr>
                <w:rStyle w:val="Strong"/>
              </w:rPr>
              <w:t>Total number of executives</w:t>
            </w:r>
          </w:p>
        </w:tc>
        <w:tc>
          <w:tcPr>
            <w:tcW w:w="1134" w:type="dxa"/>
            <w:tcBorders>
              <w:top w:val="single" w:sz="8" w:space="0" w:color="00AAAF"/>
              <w:bottom w:val="single" w:sz="8" w:space="0" w:color="00AAAF"/>
            </w:tcBorders>
            <w:tcMar>
              <w:top w:w="57" w:type="dxa"/>
              <w:left w:w="28" w:type="dxa"/>
              <w:bottom w:w="57" w:type="dxa"/>
              <w:right w:w="28" w:type="dxa"/>
            </w:tcMar>
            <w:vAlign w:val="bottom"/>
          </w:tcPr>
          <w:p w14:paraId="37A796BF" w14:textId="77777777" w:rsidR="00C97622" w:rsidRPr="00C97622" w:rsidRDefault="00C97622" w:rsidP="00C97622">
            <w:pPr>
              <w:pStyle w:val="Tabletextsmall"/>
              <w:jc w:val="center"/>
              <w:rPr>
                <w:rStyle w:val="Strong"/>
              </w:rPr>
            </w:pPr>
            <w:r w:rsidRPr="00C97622">
              <w:rPr>
                <w:rStyle w:val="Strong"/>
              </w:rPr>
              <w:t>4</w:t>
            </w:r>
          </w:p>
        </w:tc>
        <w:tc>
          <w:tcPr>
            <w:tcW w:w="1134" w:type="dxa"/>
            <w:tcBorders>
              <w:top w:val="single" w:sz="8" w:space="0" w:color="00AAAF"/>
              <w:bottom w:val="single" w:sz="8" w:space="0" w:color="00AAAF"/>
            </w:tcBorders>
            <w:tcMar>
              <w:top w:w="57" w:type="dxa"/>
              <w:left w:w="28" w:type="dxa"/>
              <w:bottom w:w="57" w:type="dxa"/>
              <w:right w:w="28" w:type="dxa"/>
            </w:tcMar>
            <w:vAlign w:val="bottom"/>
          </w:tcPr>
          <w:p w14:paraId="334EE1CC" w14:textId="77777777" w:rsidR="00C97622" w:rsidRPr="00C97622" w:rsidRDefault="00C97622" w:rsidP="00C97622">
            <w:pPr>
              <w:pStyle w:val="Tabletextsmall"/>
              <w:jc w:val="right"/>
              <w:rPr>
                <w:sz w:val="16"/>
                <w:szCs w:val="16"/>
              </w:rPr>
            </w:pPr>
          </w:p>
        </w:tc>
        <w:tc>
          <w:tcPr>
            <w:tcW w:w="1247" w:type="dxa"/>
            <w:tcBorders>
              <w:top w:val="single" w:sz="8" w:space="0" w:color="00AAAF"/>
              <w:bottom w:val="single" w:sz="8" w:space="0" w:color="00AAAF"/>
            </w:tcBorders>
            <w:tcMar>
              <w:top w:w="57" w:type="dxa"/>
              <w:left w:w="28" w:type="dxa"/>
              <w:bottom w:w="57" w:type="dxa"/>
              <w:right w:w="28" w:type="dxa"/>
            </w:tcMar>
            <w:vAlign w:val="bottom"/>
          </w:tcPr>
          <w:p w14:paraId="743922BA" w14:textId="77777777" w:rsidR="00C97622" w:rsidRPr="00C97622" w:rsidRDefault="00C97622" w:rsidP="00C97622">
            <w:pPr>
              <w:pStyle w:val="Tabletextsmall"/>
              <w:jc w:val="right"/>
              <w:rPr>
                <w:sz w:val="16"/>
                <w:szCs w:val="16"/>
              </w:rPr>
            </w:pPr>
          </w:p>
        </w:tc>
        <w:tc>
          <w:tcPr>
            <w:tcW w:w="1134" w:type="dxa"/>
            <w:tcBorders>
              <w:top w:val="single" w:sz="8" w:space="0" w:color="00AAAF"/>
              <w:bottom w:val="single" w:sz="8" w:space="0" w:color="00AAAF"/>
            </w:tcBorders>
            <w:tcMar>
              <w:top w:w="57" w:type="dxa"/>
              <w:left w:w="28" w:type="dxa"/>
              <w:bottom w:w="57" w:type="dxa"/>
              <w:right w:w="28" w:type="dxa"/>
            </w:tcMar>
            <w:vAlign w:val="bottom"/>
          </w:tcPr>
          <w:p w14:paraId="4EF62EAF" w14:textId="77777777" w:rsidR="00C97622" w:rsidRPr="00C97622" w:rsidRDefault="00C97622" w:rsidP="00C97622">
            <w:pPr>
              <w:pStyle w:val="Tabletextsmall"/>
              <w:jc w:val="right"/>
              <w:rPr>
                <w:sz w:val="16"/>
                <w:szCs w:val="16"/>
              </w:rPr>
            </w:pPr>
          </w:p>
        </w:tc>
        <w:tc>
          <w:tcPr>
            <w:tcW w:w="1134" w:type="dxa"/>
            <w:tcBorders>
              <w:top w:val="single" w:sz="8" w:space="0" w:color="00AAAF"/>
              <w:bottom w:val="single" w:sz="8" w:space="0" w:color="00AAAF"/>
            </w:tcBorders>
            <w:tcMar>
              <w:top w:w="57" w:type="dxa"/>
              <w:left w:w="28" w:type="dxa"/>
              <w:bottom w:w="57" w:type="dxa"/>
              <w:right w:w="28" w:type="dxa"/>
            </w:tcMar>
            <w:vAlign w:val="bottom"/>
          </w:tcPr>
          <w:p w14:paraId="5569C5D1" w14:textId="77777777" w:rsidR="00C97622" w:rsidRPr="00C97622" w:rsidRDefault="00C97622" w:rsidP="00C97622">
            <w:pPr>
              <w:pStyle w:val="Tabletextsmall"/>
              <w:jc w:val="right"/>
              <w:rPr>
                <w:sz w:val="16"/>
                <w:szCs w:val="16"/>
              </w:rPr>
            </w:pPr>
          </w:p>
        </w:tc>
        <w:tc>
          <w:tcPr>
            <w:tcW w:w="1134" w:type="dxa"/>
            <w:tcBorders>
              <w:top w:val="single" w:sz="8" w:space="0" w:color="00AAAF"/>
              <w:bottom w:val="single" w:sz="8" w:space="0" w:color="00AAAF"/>
            </w:tcBorders>
            <w:tcMar>
              <w:top w:w="57" w:type="dxa"/>
              <w:left w:w="28" w:type="dxa"/>
              <w:bottom w:w="57" w:type="dxa"/>
              <w:right w:w="28" w:type="dxa"/>
            </w:tcMar>
            <w:vAlign w:val="bottom"/>
          </w:tcPr>
          <w:p w14:paraId="55D6BF63" w14:textId="77777777" w:rsidR="00C97622" w:rsidRPr="00C97622" w:rsidRDefault="00C97622" w:rsidP="00C97622">
            <w:pPr>
              <w:pStyle w:val="Tabletextsmall"/>
              <w:jc w:val="right"/>
              <w:rPr>
                <w:sz w:val="16"/>
                <w:szCs w:val="16"/>
              </w:rPr>
            </w:pPr>
          </w:p>
        </w:tc>
      </w:tr>
    </w:tbl>
    <w:p w14:paraId="02A7F0F1" w14:textId="77777777" w:rsidR="00D4025B" w:rsidRPr="00C9282C" w:rsidRDefault="00C97622" w:rsidP="00C9282C">
      <w:pPr>
        <w:pStyle w:val="Footnote"/>
        <w:spacing w:before="120"/>
      </w:pPr>
      <w:r w:rsidRPr="00C97622">
        <w:t>Note: Data does not include two individuals as they have not provided consent to disclose.</w:t>
      </w:r>
      <w:r w:rsidR="00D4025B">
        <w:br w:type="page"/>
      </w:r>
    </w:p>
    <w:p w14:paraId="7FD30286" w14:textId="77777777" w:rsidR="00D4025B" w:rsidRDefault="00D4025B" w:rsidP="00F84D61">
      <w:pPr>
        <w:pStyle w:val="Figuretitle"/>
      </w:pPr>
      <w:r w:rsidRPr="00D4025B">
        <w:lastRenderedPageBreak/>
        <w:t>Table 5: Remuneration paid to highly paid staff during 2016–17</w:t>
      </w:r>
    </w:p>
    <w:tbl>
      <w:tblPr>
        <w:tblW w:w="8618" w:type="dxa"/>
        <w:tblInd w:w="-8" w:type="dxa"/>
        <w:tblLayout w:type="fixed"/>
        <w:tblCellMar>
          <w:left w:w="0" w:type="dxa"/>
          <w:right w:w="0" w:type="dxa"/>
        </w:tblCellMar>
        <w:tblLook w:val="0000" w:firstRow="0" w:lastRow="0" w:firstColumn="0" w:lastColumn="0" w:noHBand="0" w:noVBand="0"/>
        <w:tblCaption w:val="Table 5: Remuneration paid to highly paid staff during 2016–17"/>
      </w:tblPr>
      <w:tblGrid>
        <w:gridCol w:w="1701"/>
        <w:gridCol w:w="1134"/>
        <w:gridCol w:w="1134"/>
        <w:gridCol w:w="1247"/>
        <w:gridCol w:w="1134"/>
        <w:gridCol w:w="1134"/>
        <w:gridCol w:w="1134"/>
      </w:tblGrid>
      <w:tr w:rsidR="00D4025B" w:rsidRPr="00C97622" w14:paraId="0B44755C" w14:textId="77777777" w:rsidTr="00B36313">
        <w:trPr>
          <w:trHeight w:val="60"/>
        </w:trPr>
        <w:tc>
          <w:tcPr>
            <w:tcW w:w="1701" w:type="dxa"/>
            <w:tcBorders>
              <w:top w:val="single" w:sz="4" w:space="0" w:color="00AAAF"/>
              <w:bottom w:val="single" w:sz="4" w:space="0" w:color="00AAAF"/>
            </w:tcBorders>
            <w:shd w:val="clear" w:color="auto" w:fill="CCEEEF" w:themeFill="accent6"/>
            <w:tcMar>
              <w:top w:w="113" w:type="dxa"/>
              <w:left w:w="28" w:type="dxa"/>
              <w:bottom w:w="113" w:type="dxa"/>
              <w:right w:w="28" w:type="dxa"/>
            </w:tcMar>
            <w:vAlign w:val="bottom"/>
          </w:tcPr>
          <w:p w14:paraId="5D14B8A1" w14:textId="77777777" w:rsidR="00D4025B" w:rsidRPr="00C97622" w:rsidRDefault="00D4025B" w:rsidP="00B36313">
            <w:pPr>
              <w:pStyle w:val="Tablesubheading"/>
              <w:rPr>
                <w:sz w:val="16"/>
                <w:szCs w:val="16"/>
                <w:lang w:val="en-AU"/>
              </w:rPr>
            </w:pPr>
            <w:r w:rsidRPr="00C97622">
              <w:rPr>
                <w:sz w:val="16"/>
                <w:szCs w:val="16"/>
                <w:lang w:val="en-AU"/>
              </w:rPr>
              <w:t>Total remuneration</w:t>
            </w:r>
          </w:p>
        </w:tc>
        <w:tc>
          <w:tcPr>
            <w:tcW w:w="1134" w:type="dxa"/>
            <w:tcBorders>
              <w:top w:val="single" w:sz="4" w:space="0" w:color="00AAAF"/>
              <w:bottom w:val="single" w:sz="4" w:space="0" w:color="00AAAF"/>
            </w:tcBorders>
            <w:shd w:val="clear" w:color="auto" w:fill="CCEEEF" w:themeFill="accent6"/>
            <w:tcMar>
              <w:top w:w="113" w:type="dxa"/>
              <w:left w:w="28" w:type="dxa"/>
              <w:bottom w:w="113" w:type="dxa"/>
              <w:right w:w="28" w:type="dxa"/>
            </w:tcMar>
            <w:vAlign w:val="bottom"/>
          </w:tcPr>
          <w:p w14:paraId="7EFBE342" w14:textId="77777777" w:rsidR="00D4025B" w:rsidRPr="00C97622" w:rsidRDefault="00D4025B" w:rsidP="00B36313">
            <w:pPr>
              <w:pStyle w:val="Tablesubheading"/>
              <w:jc w:val="center"/>
              <w:rPr>
                <w:spacing w:val="-2"/>
                <w:sz w:val="16"/>
                <w:szCs w:val="16"/>
                <w:lang w:val="en-AU"/>
              </w:rPr>
            </w:pPr>
            <w:r w:rsidRPr="00C97622">
              <w:rPr>
                <w:spacing w:val="-2"/>
                <w:sz w:val="16"/>
                <w:szCs w:val="16"/>
                <w:lang w:val="en-AU"/>
              </w:rPr>
              <w:t>Executives No.</w:t>
            </w:r>
          </w:p>
        </w:tc>
        <w:tc>
          <w:tcPr>
            <w:tcW w:w="1134" w:type="dxa"/>
            <w:tcBorders>
              <w:top w:val="single" w:sz="4" w:space="0" w:color="00AAAF"/>
              <w:bottom w:val="single" w:sz="4" w:space="0" w:color="00AAAF"/>
            </w:tcBorders>
            <w:shd w:val="clear" w:color="auto" w:fill="CCEEEF" w:themeFill="accent6"/>
            <w:tcMar>
              <w:top w:w="113" w:type="dxa"/>
              <w:left w:w="28" w:type="dxa"/>
              <w:bottom w:w="113" w:type="dxa"/>
              <w:right w:w="28" w:type="dxa"/>
            </w:tcMar>
            <w:vAlign w:val="bottom"/>
          </w:tcPr>
          <w:p w14:paraId="204A54F6" w14:textId="77777777" w:rsidR="00D4025B" w:rsidRPr="00C97622" w:rsidRDefault="00D4025B" w:rsidP="00B36313">
            <w:pPr>
              <w:pStyle w:val="Tablesubheading"/>
              <w:tabs>
                <w:tab w:val="clear" w:pos="283"/>
                <w:tab w:val="clear" w:pos="567"/>
                <w:tab w:val="clear" w:pos="850"/>
              </w:tabs>
              <w:jc w:val="right"/>
              <w:rPr>
                <w:spacing w:val="-2"/>
                <w:sz w:val="16"/>
                <w:szCs w:val="16"/>
                <w:lang w:val="en-AU"/>
              </w:rPr>
            </w:pPr>
            <w:r w:rsidRPr="00C97622">
              <w:rPr>
                <w:spacing w:val="-2"/>
                <w:sz w:val="16"/>
                <w:szCs w:val="16"/>
                <w:lang w:val="en-AU"/>
              </w:rPr>
              <w:t>Average Reportable Salary</w:t>
            </w:r>
            <w:r>
              <w:rPr>
                <w:spacing w:val="-2"/>
                <w:sz w:val="16"/>
                <w:szCs w:val="16"/>
                <w:lang w:val="en-AU"/>
              </w:rPr>
              <w:t xml:space="preserve"> </w:t>
            </w:r>
            <w:r w:rsidRPr="00C97622">
              <w:rPr>
                <w:spacing w:val="-2"/>
                <w:sz w:val="16"/>
                <w:szCs w:val="16"/>
                <w:lang w:val="en-AU"/>
              </w:rPr>
              <w:br/>
              <w:t>$</w:t>
            </w:r>
          </w:p>
        </w:tc>
        <w:tc>
          <w:tcPr>
            <w:tcW w:w="1247" w:type="dxa"/>
            <w:tcBorders>
              <w:top w:val="single" w:sz="4" w:space="0" w:color="00AAAF"/>
              <w:bottom w:val="single" w:sz="4" w:space="0" w:color="00AAAF"/>
            </w:tcBorders>
            <w:shd w:val="clear" w:color="auto" w:fill="CCEEEF" w:themeFill="accent6"/>
            <w:tcMar>
              <w:top w:w="113" w:type="dxa"/>
              <w:left w:w="28" w:type="dxa"/>
              <w:bottom w:w="113" w:type="dxa"/>
              <w:right w:w="28" w:type="dxa"/>
            </w:tcMar>
            <w:vAlign w:val="bottom"/>
          </w:tcPr>
          <w:p w14:paraId="5EAA301E" w14:textId="77777777" w:rsidR="00D4025B" w:rsidRPr="00C97622" w:rsidRDefault="00D4025B" w:rsidP="00B36313">
            <w:pPr>
              <w:pStyle w:val="Tablesubheading"/>
              <w:jc w:val="right"/>
              <w:rPr>
                <w:spacing w:val="-2"/>
                <w:sz w:val="16"/>
                <w:szCs w:val="16"/>
                <w:lang w:val="en-AU"/>
              </w:rPr>
            </w:pPr>
            <w:r w:rsidRPr="00C97622">
              <w:rPr>
                <w:spacing w:val="-2"/>
                <w:sz w:val="16"/>
                <w:szCs w:val="16"/>
                <w:lang w:val="en-AU"/>
              </w:rPr>
              <w:t>Average Contributed superannuation</w:t>
            </w:r>
            <w:r w:rsidRPr="00C97622">
              <w:rPr>
                <w:spacing w:val="-2"/>
                <w:sz w:val="16"/>
                <w:szCs w:val="16"/>
                <w:lang w:val="en-AU"/>
              </w:rPr>
              <w:br/>
              <w:t>$</w:t>
            </w:r>
          </w:p>
        </w:tc>
        <w:tc>
          <w:tcPr>
            <w:tcW w:w="1134" w:type="dxa"/>
            <w:tcBorders>
              <w:top w:val="single" w:sz="4" w:space="0" w:color="00AAAF"/>
              <w:bottom w:val="single" w:sz="4" w:space="0" w:color="00AAAF"/>
            </w:tcBorders>
            <w:shd w:val="clear" w:color="auto" w:fill="CCEEEF" w:themeFill="accent6"/>
            <w:tcMar>
              <w:top w:w="113" w:type="dxa"/>
              <w:left w:w="28" w:type="dxa"/>
              <w:bottom w:w="113" w:type="dxa"/>
              <w:right w:w="28" w:type="dxa"/>
            </w:tcMar>
            <w:vAlign w:val="bottom"/>
          </w:tcPr>
          <w:p w14:paraId="4204C511" w14:textId="77777777" w:rsidR="00D4025B" w:rsidRPr="00C97622" w:rsidRDefault="00D4025B" w:rsidP="00B36313">
            <w:pPr>
              <w:pStyle w:val="Tablesubheading"/>
              <w:jc w:val="right"/>
              <w:rPr>
                <w:spacing w:val="-2"/>
                <w:sz w:val="16"/>
                <w:szCs w:val="16"/>
                <w:lang w:val="en-AU"/>
              </w:rPr>
            </w:pPr>
            <w:r w:rsidRPr="00C97622">
              <w:rPr>
                <w:spacing w:val="-2"/>
                <w:sz w:val="16"/>
                <w:szCs w:val="16"/>
                <w:lang w:val="en-AU"/>
              </w:rPr>
              <w:t>Average Allowances</w:t>
            </w:r>
            <w:r w:rsidRPr="00C97622">
              <w:rPr>
                <w:spacing w:val="-2"/>
                <w:sz w:val="16"/>
                <w:szCs w:val="16"/>
                <w:lang w:val="en-AU"/>
              </w:rPr>
              <w:br/>
              <w:t>$</w:t>
            </w:r>
          </w:p>
        </w:tc>
        <w:tc>
          <w:tcPr>
            <w:tcW w:w="1134" w:type="dxa"/>
            <w:tcBorders>
              <w:top w:val="single" w:sz="4" w:space="0" w:color="00AAAF"/>
              <w:bottom w:val="single" w:sz="4" w:space="0" w:color="00AAAF"/>
            </w:tcBorders>
            <w:shd w:val="clear" w:color="auto" w:fill="CCEEEF" w:themeFill="accent6"/>
            <w:tcMar>
              <w:top w:w="113" w:type="dxa"/>
              <w:left w:w="28" w:type="dxa"/>
              <w:bottom w:w="113" w:type="dxa"/>
              <w:right w:w="28" w:type="dxa"/>
            </w:tcMar>
            <w:vAlign w:val="bottom"/>
          </w:tcPr>
          <w:p w14:paraId="4C08F2AB" w14:textId="77777777" w:rsidR="00D4025B" w:rsidRPr="00C97622" w:rsidRDefault="00D4025B" w:rsidP="00B36313">
            <w:pPr>
              <w:pStyle w:val="Tablesubheading"/>
              <w:jc w:val="right"/>
              <w:rPr>
                <w:spacing w:val="-2"/>
                <w:sz w:val="16"/>
                <w:szCs w:val="16"/>
                <w:lang w:val="en-AU"/>
              </w:rPr>
            </w:pPr>
            <w:r w:rsidRPr="00C97622">
              <w:rPr>
                <w:spacing w:val="-2"/>
                <w:sz w:val="16"/>
                <w:szCs w:val="16"/>
                <w:lang w:val="en-AU"/>
              </w:rPr>
              <w:t>Average bonus paid</w:t>
            </w:r>
            <w:r w:rsidRPr="00C97622">
              <w:rPr>
                <w:spacing w:val="-2"/>
                <w:sz w:val="16"/>
                <w:szCs w:val="16"/>
                <w:lang w:val="en-AU"/>
              </w:rPr>
              <w:br/>
              <w:t>$</w:t>
            </w:r>
          </w:p>
        </w:tc>
        <w:tc>
          <w:tcPr>
            <w:tcW w:w="1134" w:type="dxa"/>
            <w:tcBorders>
              <w:top w:val="single" w:sz="4" w:space="0" w:color="00AAAF"/>
              <w:bottom w:val="single" w:sz="4" w:space="0" w:color="00AAAF"/>
            </w:tcBorders>
            <w:shd w:val="clear" w:color="auto" w:fill="CCEEEF" w:themeFill="accent6"/>
            <w:tcMar>
              <w:top w:w="113" w:type="dxa"/>
              <w:left w:w="28" w:type="dxa"/>
              <w:bottom w:w="113" w:type="dxa"/>
              <w:right w:w="28" w:type="dxa"/>
            </w:tcMar>
            <w:vAlign w:val="bottom"/>
          </w:tcPr>
          <w:p w14:paraId="0E526DA1" w14:textId="77777777" w:rsidR="00D4025B" w:rsidRPr="00C97622" w:rsidRDefault="00D4025B" w:rsidP="00B36313">
            <w:pPr>
              <w:pStyle w:val="Tablesubheading"/>
              <w:jc w:val="right"/>
              <w:rPr>
                <w:spacing w:val="-2"/>
                <w:sz w:val="16"/>
                <w:szCs w:val="16"/>
                <w:lang w:val="en-AU"/>
              </w:rPr>
            </w:pPr>
            <w:r w:rsidRPr="00C97622">
              <w:rPr>
                <w:spacing w:val="-2"/>
                <w:sz w:val="16"/>
                <w:szCs w:val="16"/>
                <w:lang w:val="en-AU"/>
              </w:rPr>
              <w:t>Average</w:t>
            </w:r>
            <w:r w:rsidRPr="00C97622">
              <w:rPr>
                <w:spacing w:val="-2"/>
                <w:sz w:val="16"/>
                <w:szCs w:val="16"/>
                <w:lang w:val="en-AU"/>
              </w:rPr>
              <w:br/>
              <w:t>Total remuneration</w:t>
            </w:r>
            <w:r w:rsidRPr="00C97622">
              <w:rPr>
                <w:spacing w:val="-2"/>
                <w:sz w:val="16"/>
                <w:szCs w:val="16"/>
                <w:lang w:val="en-AU"/>
              </w:rPr>
              <w:br/>
              <w:t>$</w:t>
            </w:r>
          </w:p>
        </w:tc>
      </w:tr>
      <w:tr w:rsidR="00D80F6C" w:rsidRPr="00C97622" w14:paraId="338A1CFE" w14:textId="77777777" w:rsidTr="00B36313">
        <w:trPr>
          <w:trHeight w:val="60"/>
        </w:trPr>
        <w:tc>
          <w:tcPr>
            <w:tcW w:w="1701" w:type="dxa"/>
            <w:tcBorders>
              <w:top w:val="single" w:sz="4" w:space="0" w:color="00AAAF"/>
              <w:bottom w:val="single" w:sz="4" w:space="0" w:color="00AAAF"/>
            </w:tcBorders>
            <w:tcMar>
              <w:top w:w="57" w:type="dxa"/>
              <w:left w:w="28" w:type="dxa"/>
              <w:bottom w:w="57" w:type="dxa"/>
              <w:right w:w="28" w:type="dxa"/>
            </w:tcMar>
          </w:tcPr>
          <w:p w14:paraId="5C5702EB" w14:textId="77777777" w:rsidR="00D80F6C" w:rsidRPr="00C9282C" w:rsidRDefault="00D80F6C" w:rsidP="00C9282C">
            <w:pPr>
              <w:pStyle w:val="Tabletextsmall"/>
            </w:pPr>
            <w:r w:rsidRPr="00C9282C">
              <w:t>$200001 to $250000</w:t>
            </w:r>
          </w:p>
        </w:tc>
        <w:tc>
          <w:tcPr>
            <w:tcW w:w="1134" w:type="dxa"/>
            <w:tcBorders>
              <w:top w:val="single" w:sz="4" w:space="0" w:color="00AAAF"/>
              <w:bottom w:val="single" w:sz="4" w:space="0" w:color="00AAAF"/>
            </w:tcBorders>
            <w:tcMar>
              <w:top w:w="57" w:type="dxa"/>
              <w:left w:w="28" w:type="dxa"/>
              <w:bottom w:w="57" w:type="dxa"/>
              <w:right w:w="28" w:type="dxa"/>
            </w:tcMar>
          </w:tcPr>
          <w:p w14:paraId="1117C991" w14:textId="77777777" w:rsidR="00D80F6C" w:rsidRPr="00D80F6C" w:rsidRDefault="00D80F6C" w:rsidP="00D80F6C">
            <w:pPr>
              <w:jc w:val="center"/>
              <w:rPr>
                <w:sz w:val="16"/>
                <w:szCs w:val="16"/>
              </w:rPr>
            </w:pPr>
            <w:r w:rsidRPr="00D80F6C">
              <w:rPr>
                <w:sz w:val="16"/>
                <w:szCs w:val="16"/>
              </w:rPr>
              <w:t>2</w:t>
            </w:r>
          </w:p>
        </w:tc>
        <w:tc>
          <w:tcPr>
            <w:tcW w:w="1134" w:type="dxa"/>
            <w:tcBorders>
              <w:top w:val="single" w:sz="4" w:space="0" w:color="00AAAF"/>
              <w:bottom w:val="single" w:sz="4" w:space="0" w:color="00AAAF"/>
            </w:tcBorders>
            <w:tcMar>
              <w:top w:w="57" w:type="dxa"/>
              <w:left w:w="28" w:type="dxa"/>
              <w:bottom w:w="57" w:type="dxa"/>
              <w:right w:w="28" w:type="dxa"/>
            </w:tcMar>
          </w:tcPr>
          <w:p w14:paraId="589C6B22" w14:textId="77777777" w:rsidR="00D80F6C" w:rsidRPr="00D80F6C" w:rsidRDefault="00D80F6C" w:rsidP="00D80F6C">
            <w:pPr>
              <w:jc w:val="right"/>
              <w:rPr>
                <w:sz w:val="16"/>
                <w:szCs w:val="16"/>
              </w:rPr>
            </w:pPr>
            <w:r w:rsidRPr="00D80F6C">
              <w:rPr>
                <w:sz w:val="16"/>
                <w:szCs w:val="16"/>
              </w:rPr>
              <w:t>165,964</w:t>
            </w:r>
          </w:p>
        </w:tc>
        <w:tc>
          <w:tcPr>
            <w:tcW w:w="1247" w:type="dxa"/>
            <w:tcBorders>
              <w:top w:val="single" w:sz="4" w:space="0" w:color="00AAAF"/>
              <w:bottom w:val="single" w:sz="4" w:space="0" w:color="00AAAF"/>
            </w:tcBorders>
            <w:tcMar>
              <w:top w:w="57" w:type="dxa"/>
              <w:left w:w="28" w:type="dxa"/>
              <w:bottom w:w="57" w:type="dxa"/>
              <w:right w:w="28" w:type="dxa"/>
            </w:tcMar>
          </w:tcPr>
          <w:p w14:paraId="03C6DEAF" w14:textId="77777777" w:rsidR="00D80F6C" w:rsidRPr="00D80F6C" w:rsidRDefault="00D80F6C" w:rsidP="00D80F6C">
            <w:pPr>
              <w:jc w:val="right"/>
              <w:rPr>
                <w:sz w:val="16"/>
                <w:szCs w:val="16"/>
              </w:rPr>
            </w:pPr>
            <w:r w:rsidRPr="00D80F6C">
              <w:rPr>
                <w:sz w:val="16"/>
                <w:szCs w:val="16"/>
              </w:rPr>
              <w:t>28,503</w:t>
            </w:r>
          </w:p>
        </w:tc>
        <w:tc>
          <w:tcPr>
            <w:tcW w:w="1134" w:type="dxa"/>
            <w:tcBorders>
              <w:top w:val="single" w:sz="4" w:space="0" w:color="00AAAF"/>
              <w:bottom w:val="single" w:sz="4" w:space="0" w:color="00AAAF"/>
            </w:tcBorders>
            <w:tcMar>
              <w:top w:w="57" w:type="dxa"/>
              <w:left w:w="28" w:type="dxa"/>
              <w:bottom w:w="57" w:type="dxa"/>
              <w:right w:w="28" w:type="dxa"/>
            </w:tcMar>
          </w:tcPr>
          <w:p w14:paraId="7F597F31" w14:textId="77777777" w:rsidR="00D80F6C" w:rsidRPr="00D80F6C" w:rsidRDefault="00D80F6C" w:rsidP="00D80F6C">
            <w:pPr>
              <w:jc w:val="right"/>
              <w:rPr>
                <w:sz w:val="16"/>
                <w:szCs w:val="16"/>
              </w:rPr>
            </w:pPr>
            <w:r w:rsidRPr="00D80F6C">
              <w:rPr>
                <w:sz w:val="16"/>
                <w:szCs w:val="16"/>
              </w:rPr>
              <w:t>142</w:t>
            </w:r>
          </w:p>
        </w:tc>
        <w:tc>
          <w:tcPr>
            <w:tcW w:w="1134" w:type="dxa"/>
            <w:tcBorders>
              <w:top w:val="single" w:sz="4" w:space="0" w:color="00AAAF"/>
              <w:bottom w:val="single" w:sz="4" w:space="0" w:color="00AAAF"/>
            </w:tcBorders>
            <w:tcMar>
              <w:top w:w="57" w:type="dxa"/>
              <w:left w:w="28" w:type="dxa"/>
              <w:bottom w:w="57" w:type="dxa"/>
              <w:right w:w="28" w:type="dxa"/>
            </w:tcMar>
          </w:tcPr>
          <w:p w14:paraId="27716DAB" w14:textId="77777777" w:rsidR="00D80F6C" w:rsidRPr="00D80F6C" w:rsidRDefault="00D80F6C" w:rsidP="00D80F6C">
            <w:pPr>
              <w:jc w:val="right"/>
              <w:rPr>
                <w:sz w:val="16"/>
                <w:szCs w:val="16"/>
              </w:rPr>
            </w:pPr>
            <w:r w:rsidRPr="00D80F6C">
              <w:rPr>
                <w:sz w:val="16"/>
                <w:szCs w:val="16"/>
              </w:rPr>
              <w:t>20,040</w:t>
            </w:r>
          </w:p>
        </w:tc>
        <w:tc>
          <w:tcPr>
            <w:tcW w:w="1134" w:type="dxa"/>
            <w:tcBorders>
              <w:top w:val="single" w:sz="4" w:space="0" w:color="00AAAF"/>
              <w:bottom w:val="single" w:sz="4" w:space="0" w:color="00AAAF"/>
            </w:tcBorders>
            <w:tcMar>
              <w:top w:w="57" w:type="dxa"/>
              <w:left w:w="28" w:type="dxa"/>
              <w:bottom w:w="57" w:type="dxa"/>
              <w:right w:w="28" w:type="dxa"/>
            </w:tcMar>
          </w:tcPr>
          <w:p w14:paraId="4588FE21" w14:textId="77777777" w:rsidR="00D80F6C" w:rsidRPr="00D80F6C" w:rsidRDefault="00D80F6C" w:rsidP="00D80F6C">
            <w:pPr>
              <w:jc w:val="right"/>
              <w:rPr>
                <w:sz w:val="16"/>
                <w:szCs w:val="16"/>
              </w:rPr>
            </w:pPr>
            <w:r w:rsidRPr="00D80F6C">
              <w:rPr>
                <w:sz w:val="16"/>
                <w:szCs w:val="16"/>
              </w:rPr>
              <w:t>214,649</w:t>
            </w:r>
          </w:p>
        </w:tc>
      </w:tr>
      <w:tr w:rsidR="00D80F6C" w:rsidRPr="00C97622" w14:paraId="63B09AA1" w14:textId="77777777" w:rsidTr="00B36313">
        <w:trPr>
          <w:trHeight w:val="60"/>
        </w:trPr>
        <w:tc>
          <w:tcPr>
            <w:tcW w:w="1701" w:type="dxa"/>
            <w:tcBorders>
              <w:top w:val="single" w:sz="4" w:space="0" w:color="00AAAF"/>
              <w:bottom w:val="single" w:sz="4" w:space="0" w:color="00AAAF"/>
            </w:tcBorders>
            <w:tcMar>
              <w:top w:w="57" w:type="dxa"/>
              <w:left w:w="28" w:type="dxa"/>
              <w:bottom w:w="57" w:type="dxa"/>
              <w:right w:w="28" w:type="dxa"/>
            </w:tcMar>
          </w:tcPr>
          <w:p w14:paraId="5487106B" w14:textId="77777777" w:rsidR="00D80F6C" w:rsidRPr="00C9282C" w:rsidRDefault="00D80F6C" w:rsidP="00C9282C">
            <w:pPr>
              <w:pStyle w:val="Tabletextsmall"/>
            </w:pPr>
            <w:r w:rsidRPr="00C9282C">
              <w:t>$250001 to $300000</w:t>
            </w:r>
          </w:p>
        </w:tc>
        <w:tc>
          <w:tcPr>
            <w:tcW w:w="1134" w:type="dxa"/>
            <w:tcBorders>
              <w:top w:val="single" w:sz="4" w:space="0" w:color="00AAAF"/>
              <w:bottom w:val="single" w:sz="4" w:space="0" w:color="00AAAF"/>
            </w:tcBorders>
            <w:tcMar>
              <w:top w:w="57" w:type="dxa"/>
              <w:left w:w="28" w:type="dxa"/>
              <w:bottom w:w="57" w:type="dxa"/>
              <w:right w:w="28" w:type="dxa"/>
            </w:tcMar>
          </w:tcPr>
          <w:p w14:paraId="5C8DB209" w14:textId="77777777" w:rsidR="00D80F6C" w:rsidRPr="00D80F6C" w:rsidRDefault="00D80F6C" w:rsidP="00D80F6C">
            <w:pPr>
              <w:jc w:val="center"/>
              <w:rPr>
                <w:sz w:val="16"/>
                <w:szCs w:val="16"/>
              </w:rPr>
            </w:pPr>
            <w:r w:rsidRPr="00D80F6C">
              <w:rPr>
                <w:sz w:val="16"/>
                <w:szCs w:val="16"/>
              </w:rPr>
              <w:t>3</w:t>
            </w:r>
          </w:p>
        </w:tc>
        <w:tc>
          <w:tcPr>
            <w:tcW w:w="1134" w:type="dxa"/>
            <w:tcBorders>
              <w:top w:val="single" w:sz="4" w:space="0" w:color="00AAAF"/>
              <w:bottom w:val="single" w:sz="4" w:space="0" w:color="00AAAF"/>
            </w:tcBorders>
            <w:tcMar>
              <w:top w:w="57" w:type="dxa"/>
              <w:left w:w="28" w:type="dxa"/>
              <w:bottom w:w="57" w:type="dxa"/>
              <w:right w:w="28" w:type="dxa"/>
            </w:tcMar>
          </w:tcPr>
          <w:p w14:paraId="42F3E2F4" w14:textId="77777777" w:rsidR="00D80F6C" w:rsidRPr="00D80F6C" w:rsidRDefault="00D80F6C" w:rsidP="00D80F6C">
            <w:pPr>
              <w:jc w:val="right"/>
              <w:rPr>
                <w:sz w:val="16"/>
                <w:szCs w:val="16"/>
              </w:rPr>
            </w:pPr>
            <w:r w:rsidRPr="00D80F6C">
              <w:rPr>
                <w:sz w:val="16"/>
                <w:szCs w:val="16"/>
              </w:rPr>
              <w:t>210,115</w:t>
            </w:r>
          </w:p>
        </w:tc>
        <w:tc>
          <w:tcPr>
            <w:tcW w:w="1247" w:type="dxa"/>
            <w:tcBorders>
              <w:top w:val="single" w:sz="4" w:space="0" w:color="00AAAF"/>
              <w:bottom w:val="single" w:sz="4" w:space="0" w:color="00AAAF"/>
            </w:tcBorders>
            <w:tcMar>
              <w:top w:w="57" w:type="dxa"/>
              <w:left w:w="28" w:type="dxa"/>
              <w:bottom w:w="57" w:type="dxa"/>
              <w:right w:w="28" w:type="dxa"/>
            </w:tcMar>
          </w:tcPr>
          <w:p w14:paraId="215682C2" w14:textId="77777777" w:rsidR="00D80F6C" w:rsidRPr="00D80F6C" w:rsidRDefault="00D80F6C" w:rsidP="00D80F6C">
            <w:pPr>
              <w:jc w:val="right"/>
              <w:rPr>
                <w:sz w:val="16"/>
                <w:szCs w:val="16"/>
              </w:rPr>
            </w:pPr>
            <w:r w:rsidRPr="00D80F6C">
              <w:rPr>
                <w:sz w:val="16"/>
                <w:szCs w:val="16"/>
              </w:rPr>
              <w:t>36,955</w:t>
            </w:r>
          </w:p>
        </w:tc>
        <w:tc>
          <w:tcPr>
            <w:tcW w:w="1134" w:type="dxa"/>
            <w:tcBorders>
              <w:top w:val="single" w:sz="4" w:space="0" w:color="00AAAF"/>
              <w:bottom w:val="single" w:sz="4" w:space="0" w:color="00AAAF"/>
            </w:tcBorders>
            <w:tcMar>
              <w:top w:w="57" w:type="dxa"/>
              <w:left w:w="28" w:type="dxa"/>
              <w:bottom w:w="57" w:type="dxa"/>
              <w:right w:w="28" w:type="dxa"/>
            </w:tcMar>
          </w:tcPr>
          <w:p w14:paraId="0EE31755" w14:textId="77777777" w:rsidR="00D80F6C" w:rsidRPr="00D80F6C" w:rsidRDefault="00D80F6C" w:rsidP="00D80F6C">
            <w:pPr>
              <w:jc w:val="right"/>
              <w:rPr>
                <w:sz w:val="16"/>
                <w:szCs w:val="16"/>
              </w:rPr>
            </w:pPr>
            <w:r w:rsidRPr="00D80F6C">
              <w:rPr>
                <w:sz w:val="16"/>
                <w:szCs w:val="16"/>
              </w:rPr>
              <w:t>213</w:t>
            </w:r>
          </w:p>
        </w:tc>
        <w:tc>
          <w:tcPr>
            <w:tcW w:w="1134" w:type="dxa"/>
            <w:tcBorders>
              <w:top w:val="single" w:sz="4" w:space="0" w:color="00AAAF"/>
              <w:bottom w:val="single" w:sz="4" w:space="0" w:color="00AAAF"/>
            </w:tcBorders>
            <w:tcMar>
              <w:top w:w="57" w:type="dxa"/>
              <w:left w:w="28" w:type="dxa"/>
              <w:bottom w:w="57" w:type="dxa"/>
              <w:right w:w="28" w:type="dxa"/>
            </w:tcMar>
          </w:tcPr>
          <w:p w14:paraId="3902DCF7" w14:textId="77777777" w:rsidR="00D80F6C" w:rsidRPr="00D80F6C" w:rsidRDefault="00D80F6C" w:rsidP="00D80F6C">
            <w:pPr>
              <w:jc w:val="right"/>
              <w:rPr>
                <w:sz w:val="16"/>
                <w:szCs w:val="16"/>
              </w:rPr>
            </w:pPr>
            <w:r w:rsidRPr="00D80F6C">
              <w:rPr>
                <w:sz w:val="16"/>
                <w:szCs w:val="16"/>
              </w:rPr>
              <w:t>27,580</w:t>
            </w:r>
          </w:p>
        </w:tc>
        <w:tc>
          <w:tcPr>
            <w:tcW w:w="1134" w:type="dxa"/>
            <w:tcBorders>
              <w:top w:val="single" w:sz="4" w:space="0" w:color="00AAAF"/>
              <w:bottom w:val="single" w:sz="4" w:space="0" w:color="00AAAF"/>
            </w:tcBorders>
            <w:tcMar>
              <w:top w:w="57" w:type="dxa"/>
              <w:left w:w="28" w:type="dxa"/>
              <w:bottom w:w="57" w:type="dxa"/>
              <w:right w:w="28" w:type="dxa"/>
            </w:tcMar>
          </w:tcPr>
          <w:p w14:paraId="3DE3B557" w14:textId="77777777" w:rsidR="00D80F6C" w:rsidRPr="00D80F6C" w:rsidRDefault="00D80F6C" w:rsidP="00D80F6C">
            <w:pPr>
              <w:jc w:val="right"/>
              <w:rPr>
                <w:sz w:val="16"/>
                <w:szCs w:val="16"/>
              </w:rPr>
            </w:pPr>
            <w:r w:rsidRPr="00D80F6C">
              <w:rPr>
                <w:sz w:val="16"/>
                <w:szCs w:val="16"/>
              </w:rPr>
              <w:t>274,863</w:t>
            </w:r>
          </w:p>
        </w:tc>
      </w:tr>
      <w:tr w:rsidR="00D80F6C" w:rsidRPr="00C97622" w14:paraId="24CB470F" w14:textId="77777777" w:rsidTr="00B36313">
        <w:trPr>
          <w:trHeight w:val="60"/>
        </w:trPr>
        <w:tc>
          <w:tcPr>
            <w:tcW w:w="1701" w:type="dxa"/>
            <w:tcBorders>
              <w:top w:val="single" w:sz="4" w:space="0" w:color="00AAAF"/>
              <w:bottom w:val="single" w:sz="4" w:space="0" w:color="00AAAF"/>
            </w:tcBorders>
            <w:tcMar>
              <w:top w:w="57" w:type="dxa"/>
              <w:left w:w="28" w:type="dxa"/>
              <w:bottom w:w="57" w:type="dxa"/>
              <w:right w:w="28" w:type="dxa"/>
            </w:tcMar>
          </w:tcPr>
          <w:p w14:paraId="0928EC08" w14:textId="77777777" w:rsidR="00D80F6C" w:rsidRPr="00C9282C" w:rsidRDefault="00D80F6C" w:rsidP="00C9282C">
            <w:pPr>
              <w:pStyle w:val="Tabletextsmall"/>
            </w:pPr>
            <w:r w:rsidRPr="00C9282C">
              <w:t>$300001 to $350000</w:t>
            </w:r>
          </w:p>
        </w:tc>
        <w:tc>
          <w:tcPr>
            <w:tcW w:w="1134" w:type="dxa"/>
            <w:tcBorders>
              <w:top w:val="single" w:sz="4" w:space="0" w:color="00AAAF"/>
              <w:bottom w:val="single" w:sz="4" w:space="0" w:color="00AAAF"/>
            </w:tcBorders>
            <w:tcMar>
              <w:top w:w="57" w:type="dxa"/>
              <w:left w:w="28" w:type="dxa"/>
              <w:bottom w:w="57" w:type="dxa"/>
              <w:right w:w="28" w:type="dxa"/>
            </w:tcMar>
          </w:tcPr>
          <w:p w14:paraId="01F3A4B5" w14:textId="77777777" w:rsidR="00D80F6C" w:rsidRPr="00D80F6C" w:rsidRDefault="00D80F6C" w:rsidP="00D80F6C">
            <w:pPr>
              <w:jc w:val="center"/>
              <w:rPr>
                <w:sz w:val="16"/>
                <w:szCs w:val="16"/>
              </w:rPr>
            </w:pPr>
            <w:r w:rsidRPr="00D80F6C">
              <w:rPr>
                <w:sz w:val="16"/>
                <w:szCs w:val="16"/>
              </w:rPr>
              <w:t>2</w:t>
            </w:r>
          </w:p>
        </w:tc>
        <w:tc>
          <w:tcPr>
            <w:tcW w:w="1134" w:type="dxa"/>
            <w:tcBorders>
              <w:top w:val="single" w:sz="4" w:space="0" w:color="00AAAF"/>
              <w:bottom w:val="single" w:sz="4" w:space="0" w:color="00AAAF"/>
            </w:tcBorders>
            <w:tcMar>
              <w:top w:w="57" w:type="dxa"/>
              <w:left w:w="28" w:type="dxa"/>
              <w:bottom w:w="57" w:type="dxa"/>
              <w:right w:w="28" w:type="dxa"/>
            </w:tcMar>
          </w:tcPr>
          <w:p w14:paraId="7B027743" w14:textId="77777777" w:rsidR="00D80F6C" w:rsidRPr="00D80F6C" w:rsidRDefault="00D80F6C" w:rsidP="00D80F6C">
            <w:pPr>
              <w:jc w:val="right"/>
              <w:rPr>
                <w:sz w:val="16"/>
                <w:szCs w:val="16"/>
              </w:rPr>
            </w:pPr>
            <w:r w:rsidRPr="00D80F6C">
              <w:rPr>
                <w:sz w:val="16"/>
                <w:szCs w:val="16"/>
              </w:rPr>
              <w:t>244,316</w:t>
            </w:r>
          </w:p>
        </w:tc>
        <w:tc>
          <w:tcPr>
            <w:tcW w:w="1247" w:type="dxa"/>
            <w:tcBorders>
              <w:top w:val="single" w:sz="4" w:space="0" w:color="00AAAF"/>
              <w:bottom w:val="single" w:sz="4" w:space="0" w:color="00AAAF"/>
            </w:tcBorders>
            <w:tcMar>
              <w:top w:w="57" w:type="dxa"/>
              <w:left w:w="28" w:type="dxa"/>
              <w:bottom w:w="57" w:type="dxa"/>
              <w:right w:w="28" w:type="dxa"/>
            </w:tcMar>
          </w:tcPr>
          <w:p w14:paraId="28A6386F" w14:textId="77777777" w:rsidR="00D80F6C" w:rsidRPr="00D80F6C" w:rsidRDefault="00D80F6C" w:rsidP="00D80F6C">
            <w:pPr>
              <w:jc w:val="right"/>
              <w:rPr>
                <w:sz w:val="16"/>
                <w:szCs w:val="16"/>
              </w:rPr>
            </w:pPr>
            <w:r w:rsidRPr="00D80F6C">
              <w:rPr>
                <w:sz w:val="16"/>
                <w:szCs w:val="16"/>
              </w:rPr>
              <w:t>41,948</w:t>
            </w:r>
          </w:p>
        </w:tc>
        <w:tc>
          <w:tcPr>
            <w:tcW w:w="1134" w:type="dxa"/>
            <w:tcBorders>
              <w:top w:val="single" w:sz="4" w:space="0" w:color="00AAAF"/>
              <w:bottom w:val="single" w:sz="4" w:space="0" w:color="00AAAF"/>
            </w:tcBorders>
            <w:tcMar>
              <w:top w:w="57" w:type="dxa"/>
              <w:left w:w="28" w:type="dxa"/>
              <w:bottom w:w="57" w:type="dxa"/>
              <w:right w:w="28" w:type="dxa"/>
            </w:tcMar>
          </w:tcPr>
          <w:p w14:paraId="0BCFC4E2" w14:textId="77777777" w:rsidR="00D80F6C" w:rsidRPr="00D80F6C" w:rsidRDefault="00D80F6C" w:rsidP="00D80F6C">
            <w:pPr>
              <w:jc w:val="right"/>
              <w:rPr>
                <w:sz w:val="16"/>
                <w:szCs w:val="16"/>
              </w:rPr>
            </w:pPr>
            <w:r w:rsidRPr="00D80F6C">
              <w:rPr>
                <w:sz w:val="16"/>
                <w:szCs w:val="16"/>
              </w:rPr>
              <w:t>578</w:t>
            </w:r>
          </w:p>
        </w:tc>
        <w:tc>
          <w:tcPr>
            <w:tcW w:w="1134" w:type="dxa"/>
            <w:tcBorders>
              <w:top w:val="single" w:sz="4" w:space="0" w:color="00AAAF"/>
              <w:bottom w:val="single" w:sz="4" w:space="0" w:color="00AAAF"/>
            </w:tcBorders>
            <w:tcMar>
              <w:top w:w="57" w:type="dxa"/>
              <w:left w:w="28" w:type="dxa"/>
              <w:bottom w:w="57" w:type="dxa"/>
              <w:right w:w="28" w:type="dxa"/>
            </w:tcMar>
          </w:tcPr>
          <w:p w14:paraId="3CC0BB50" w14:textId="77777777" w:rsidR="00D80F6C" w:rsidRPr="00D80F6C" w:rsidRDefault="00D80F6C" w:rsidP="00D80F6C">
            <w:pPr>
              <w:jc w:val="right"/>
              <w:rPr>
                <w:sz w:val="16"/>
                <w:szCs w:val="16"/>
              </w:rPr>
            </w:pPr>
            <w:r w:rsidRPr="00D80F6C">
              <w:rPr>
                <w:sz w:val="16"/>
                <w:szCs w:val="16"/>
              </w:rPr>
              <w:t>28,072</w:t>
            </w:r>
          </w:p>
        </w:tc>
        <w:tc>
          <w:tcPr>
            <w:tcW w:w="1134" w:type="dxa"/>
            <w:tcBorders>
              <w:top w:val="single" w:sz="4" w:space="0" w:color="00AAAF"/>
              <w:bottom w:val="single" w:sz="4" w:space="0" w:color="00AAAF"/>
            </w:tcBorders>
            <w:tcMar>
              <w:top w:w="57" w:type="dxa"/>
              <w:left w:w="28" w:type="dxa"/>
              <w:bottom w:w="57" w:type="dxa"/>
              <w:right w:w="28" w:type="dxa"/>
            </w:tcMar>
          </w:tcPr>
          <w:p w14:paraId="48DEC228" w14:textId="77777777" w:rsidR="00D80F6C" w:rsidRPr="00D80F6C" w:rsidRDefault="00D80F6C" w:rsidP="00D80F6C">
            <w:pPr>
              <w:jc w:val="right"/>
              <w:rPr>
                <w:sz w:val="16"/>
                <w:szCs w:val="16"/>
              </w:rPr>
            </w:pPr>
            <w:r w:rsidRPr="00D80F6C">
              <w:rPr>
                <w:sz w:val="16"/>
                <w:szCs w:val="16"/>
              </w:rPr>
              <w:t>314,913</w:t>
            </w:r>
          </w:p>
        </w:tc>
      </w:tr>
      <w:tr w:rsidR="00D80F6C" w:rsidRPr="00C97622" w14:paraId="52EB9897" w14:textId="77777777" w:rsidTr="00B36313">
        <w:trPr>
          <w:trHeight w:val="60"/>
        </w:trPr>
        <w:tc>
          <w:tcPr>
            <w:tcW w:w="1701" w:type="dxa"/>
            <w:tcBorders>
              <w:top w:val="single" w:sz="4" w:space="0" w:color="00AAAF"/>
              <w:bottom w:val="single" w:sz="4" w:space="0" w:color="00AAAF"/>
            </w:tcBorders>
            <w:tcMar>
              <w:top w:w="57" w:type="dxa"/>
              <w:left w:w="28" w:type="dxa"/>
              <w:bottom w:w="57" w:type="dxa"/>
              <w:right w:w="28" w:type="dxa"/>
            </w:tcMar>
          </w:tcPr>
          <w:p w14:paraId="2571CBB7" w14:textId="77777777" w:rsidR="00D80F6C" w:rsidRPr="00C9282C" w:rsidRDefault="00D80F6C" w:rsidP="00C9282C">
            <w:pPr>
              <w:pStyle w:val="Tabletextsmall"/>
            </w:pPr>
            <w:r w:rsidRPr="00C9282C">
              <w:t>$350001 to $400000</w:t>
            </w:r>
          </w:p>
        </w:tc>
        <w:tc>
          <w:tcPr>
            <w:tcW w:w="1134" w:type="dxa"/>
            <w:tcBorders>
              <w:top w:val="single" w:sz="4" w:space="0" w:color="00AAAF"/>
              <w:bottom w:val="single" w:sz="4" w:space="0" w:color="00AAAF"/>
            </w:tcBorders>
            <w:tcMar>
              <w:top w:w="57" w:type="dxa"/>
              <w:left w:w="28" w:type="dxa"/>
              <w:bottom w:w="57" w:type="dxa"/>
              <w:right w:w="28" w:type="dxa"/>
            </w:tcMar>
          </w:tcPr>
          <w:p w14:paraId="19A0E6FA" w14:textId="77777777" w:rsidR="00D80F6C" w:rsidRPr="00D80F6C" w:rsidRDefault="00D80F6C" w:rsidP="00D80F6C">
            <w:pPr>
              <w:jc w:val="center"/>
              <w:rPr>
                <w:sz w:val="16"/>
                <w:szCs w:val="16"/>
              </w:rPr>
            </w:pPr>
            <w:r w:rsidRPr="00D80F6C">
              <w:rPr>
                <w:sz w:val="16"/>
                <w:szCs w:val="16"/>
              </w:rPr>
              <w:t>0</w:t>
            </w:r>
          </w:p>
        </w:tc>
        <w:tc>
          <w:tcPr>
            <w:tcW w:w="1134" w:type="dxa"/>
            <w:tcBorders>
              <w:top w:val="single" w:sz="4" w:space="0" w:color="00AAAF"/>
              <w:bottom w:val="single" w:sz="4" w:space="0" w:color="00AAAF"/>
            </w:tcBorders>
            <w:tcMar>
              <w:top w:w="57" w:type="dxa"/>
              <w:left w:w="28" w:type="dxa"/>
              <w:bottom w:w="57" w:type="dxa"/>
              <w:right w:w="28" w:type="dxa"/>
            </w:tcMar>
          </w:tcPr>
          <w:p w14:paraId="4CC9C0D6" w14:textId="77777777" w:rsidR="00D80F6C" w:rsidRPr="00D80F6C" w:rsidRDefault="00D80F6C" w:rsidP="00D80F6C">
            <w:pPr>
              <w:jc w:val="right"/>
              <w:rPr>
                <w:sz w:val="16"/>
                <w:szCs w:val="16"/>
              </w:rPr>
            </w:pPr>
            <w:r w:rsidRPr="00D80F6C">
              <w:rPr>
                <w:sz w:val="16"/>
                <w:szCs w:val="16"/>
              </w:rPr>
              <w:t>–</w:t>
            </w:r>
          </w:p>
        </w:tc>
        <w:tc>
          <w:tcPr>
            <w:tcW w:w="1247" w:type="dxa"/>
            <w:tcBorders>
              <w:top w:val="single" w:sz="4" w:space="0" w:color="00AAAF"/>
              <w:bottom w:val="single" w:sz="4" w:space="0" w:color="00AAAF"/>
            </w:tcBorders>
            <w:tcMar>
              <w:top w:w="57" w:type="dxa"/>
              <w:left w:w="28" w:type="dxa"/>
              <w:bottom w:w="57" w:type="dxa"/>
              <w:right w:w="28" w:type="dxa"/>
            </w:tcMar>
          </w:tcPr>
          <w:p w14:paraId="72F7BE89" w14:textId="77777777" w:rsidR="00D80F6C" w:rsidRPr="00D80F6C" w:rsidRDefault="00D80F6C" w:rsidP="00D80F6C">
            <w:pPr>
              <w:jc w:val="right"/>
              <w:rPr>
                <w:sz w:val="16"/>
                <w:szCs w:val="16"/>
              </w:rPr>
            </w:pPr>
            <w:r w:rsidRPr="00D80F6C">
              <w:rPr>
                <w:sz w:val="16"/>
                <w:szCs w:val="16"/>
              </w:rPr>
              <w:t>–</w:t>
            </w:r>
          </w:p>
        </w:tc>
        <w:tc>
          <w:tcPr>
            <w:tcW w:w="1134" w:type="dxa"/>
            <w:tcBorders>
              <w:top w:val="single" w:sz="4" w:space="0" w:color="00AAAF"/>
              <w:bottom w:val="single" w:sz="4" w:space="0" w:color="00AAAF"/>
            </w:tcBorders>
            <w:tcMar>
              <w:top w:w="57" w:type="dxa"/>
              <w:left w:w="28" w:type="dxa"/>
              <w:bottom w:w="57" w:type="dxa"/>
              <w:right w:w="28" w:type="dxa"/>
            </w:tcMar>
          </w:tcPr>
          <w:p w14:paraId="25558415" w14:textId="77777777" w:rsidR="00D80F6C" w:rsidRPr="00D80F6C" w:rsidRDefault="00D80F6C" w:rsidP="00D80F6C">
            <w:pPr>
              <w:jc w:val="right"/>
              <w:rPr>
                <w:sz w:val="16"/>
                <w:szCs w:val="16"/>
              </w:rPr>
            </w:pPr>
            <w:r w:rsidRPr="00D80F6C">
              <w:rPr>
                <w:sz w:val="16"/>
                <w:szCs w:val="16"/>
              </w:rPr>
              <w:t>–</w:t>
            </w:r>
          </w:p>
        </w:tc>
        <w:tc>
          <w:tcPr>
            <w:tcW w:w="1134" w:type="dxa"/>
            <w:tcBorders>
              <w:top w:val="single" w:sz="4" w:space="0" w:color="00AAAF"/>
              <w:bottom w:val="single" w:sz="4" w:space="0" w:color="00AAAF"/>
            </w:tcBorders>
            <w:tcMar>
              <w:top w:w="57" w:type="dxa"/>
              <w:left w:w="28" w:type="dxa"/>
              <w:bottom w:w="57" w:type="dxa"/>
              <w:right w:w="28" w:type="dxa"/>
            </w:tcMar>
          </w:tcPr>
          <w:p w14:paraId="5CB8EC46" w14:textId="77777777" w:rsidR="00D80F6C" w:rsidRPr="00D80F6C" w:rsidRDefault="00D80F6C" w:rsidP="00D80F6C">
            <w:pPr>
              <w:jc w:val="right"/>
              <w:rPr>
                <w:sz w:val="16"/>
                <w:szCs w:val="16"/>
              </w:rPr>
            </w:pPr>
            <w:r w:rsidRPr="00D80F6C">
              <w:rPr>
                <w:sz w:val="16"/>
                <w:szCs w:val="16"/>
              </w:rPr>
              <w:t>–</w:t>
            </w:r>
          </w:p>
        </w:tc>
        <w:tc>
          <w:tcPr>
            <w:tcW w:w="1134" w:type="dxa"/>
            <w:tcBorders>
              <w:top w:val="single" w:sz="4" w:space="0" w:color="00AAAF"/>
              <w:bottom w:val="single" w:sz="4" w:space="0" w:color="00AAAF"/>
            </w:tcBorders>
            <w:tcMar>
              <w:top w:w="57" w:type="dxa"/>
              <w:left w:w="28" w:type="dxa"/>
              <w:bottom w:w="57" w:type="dxa"/>
              <w:right w:w="28" w:type="dxa"/>
            </w:tcMar>
          </w:tcPr>
          <w:p w14:paraId="3D4D20AE" w14:textId="77777777" w:rsidR="00D80F6C" w:rsidRPr="00D80F6C" w:rsidRDefault="00D80F6C" w:rsidP="00D80F6C">
            <w:pPr>
              <w:jc w:val="right"/>
              <w:rPr>
                <w:sz w:val="16"/>
                <w:szCs w:val="16"/>
              </w:rPr>
            </w:pPr>
            <w:r w:rsidRPr="00D80F6C">
              <w:rPr>
                <w:sz w:val="16"/>
                <w:szCs w:val="16"/>
              </w:rPr>
              <w:t>–</w:t>
            </w:r>
          </w:p>
        </w:tc>
      </w:tr>
      <w:tr w:rsidR="00D4025B" w:rsidRPr="00C97622" w14:paraId="1798AE78" w14:textId="77777777" w:rsidTr="00B36313">
        <w:trPr>
          <w:trHeight w:val="60"/>
        </w:trPr>
        <w:tc>
          <w:tcPr>
            <w:tcW w:w="1701" w:type="dxa"/>
            <w:tcBorders>
              <w:top w:val="single" w:sz="8" w:space="0" w:color="00AAAF"/>
              <w:bottom w:val="single" w:sz="8" w:space="0" w:color="00AAAF"/>
            </w:tcBorders>
            <w:tcMar>
              <w:top w:w="57" w:type="dxa"/>
              <w:left w:w="28" w:type="dxa"/>
              <w:bottom w:w="57" w:type="dxa"/>
              <w:right w:w="28" w:type="dxa"/>
            </w:tcMar>
            <w:vAlign w:val="bottom"/>
          </w:tcPr>
          <w:p w14:paraId="3349A97B" w14:textId="77777777" w:rsidR="00D4025B" w:rsidRPr="00C97622" w:rsidRDefault="00D4025B" w:rsidP="00B36313">
            <w:pPr>
              <w:pStyle w:val="Tabletextsmall"/>
              <w:rPr>
                <w:rStyle w:val="Strong"/>
              </w:rPr>
            </w:pPr>
            <w:r w:rsidRPr="00C97622">
              <w:rPr>
                <w:rStyle w:val="Strong"/>
              </w:rPr>
              <w:t>Total number of executives</w:t>
            </w:r>
          </w:p>
        </w:tc>
        <w:tc>
          <w:tcPr>
            <w:tcW w:w="1134" w:type="dxa"/>
            <w:tcBorders>
              <w:top w:val="single" w:sz="8" w:space="0" w:color="00AAAF"/>
              <w:bottom w:val="single" w:sz="8" w:space="0" w:color="00AAAF"/>
            </w:tcBorders>
            <w:tcMar>
              <w:top w:w="57" w:type="dxa"/>
              <w:left w:w="28" w:type="dxa"/>
              <w:bottom w:w="57" w:type="dxa"/>
              <w:right w:w="28" w:type="dxa"/>
            </w:tcMar>
            <w:vAlign w:val="bottom"/>
          </w:tcPr>
          <w:p w14:paraId="2BF7983F" w14:textId="77777777" w:rsidR="00D4025B" w:rsidRPr="00C97622" w:rsidRDefault="00D80F6C" w:rsidP="00B36313">
            <w:pPr>
              <w:pStyle w:val="Tabletextsmall"/>
              <w:jc w:val="center"/>
              <w:rPr>
                <w:rStyle w:val="Strong"/>
              </w:rPr>
            </w:pPr>
            <w:r>
              <w:rPr>
                <w:rStyle w:val="Strong"/>
              </w:rPr>
              <w:t>7</w:t>
            </w:r>
          </w:p>
        </w:tc>
        <w:tc>
          <w:tcPr>
            <w:tcW w:w="1134" w:type="dxa"/>
            <w:tcBorders>
              <w:top w:val="single" w:sz="8" w:space="0" w:color="00AAAF"/>
              <w:bottom w:val="single" w:sz="8" w:space="0" w:color="00AAAF"/>
            </w:tcBorders>
            <w:tcMar>
              <w:top w:w="57" w:type="dxa"/>
              <w:left w:w="28" w:type="dxa"/>
              <w:bottom w:w="57" w:type="dxa"/>
              <w:right w:w="28" w:type="dxa"/>
            </w:tcMar>
            <w:vAlign w:val="bottom"/>
          </w:tcPr>
          <w:p w14:paraId="54986414" w14:textId="77777777" w:rsidR="00D4025B" w:rsidRPr="00C97622" w:rsidRDefault="00D4025B" w:rsidP="00B36313">
            <w:pPr>
              <w:pStyle w:val="Tabletextsmall"/>
              <w:jc w:val="right"/>
              <w:rPr>
                <w:sz w:val="16"/>
                <w:szCs w:val="16"/>
              </w:rPr>
            </w:pPr>
          </w:p>
        </w:tc>
        <w:tc>
          <w:tcPr>
            <w:tcW w:w="1247" w:type="dxa"/>
            <w:tcBorders>
              <w:top w:val="single" w:sz="8" w:space="0" w:color="00AAAF"/>
              <w:bottom w:val="single" w:sz="8" w:space="0" w:color="00AAAF"/>
            </w:tcBorders>
            <w:tcMar>
              <w:top w:w="57" w:type="dxa"/>
              <w:left w:w="28" w:type="dxa"/>
              <w:bottom w:w="57" w:type="dxa"/>
              <w:right w:w="28" w:type="dxa"/>
            </w:tcMar>
            <w:vAlign w:val="bottom"/>
          </w:tcPr>
          <w:p w14:paraId="75444022" w14:textId="77777777" w:rsidR="00D4025B" w:rsidRPr="00C97622" w:rsidRDefault="00D4025B" w:rsidP="00B36313">
            <w:pPr>
              <w:pStyle w:val="Tabletextsmall"/>
              <w:jc w:val="right"/>
              <w:rPr>
                <w:sz w:val="16"/>
                <w:szCs w:val="16"/>
              </w:rPr>
            </w:pPr>
          </w:p>
        </w:tc>
        <w:tc>
          <w:tcPr>
            <w:tcW w:w="1134" w:type="dxa"/>
            <w:tcBorders>
              <w:top w:val="single" w:sz="8" w:space="0" w:color="00AAAF"/>
              <w:bottom w:val="single" w:sz="8" w:space="0" w:color="00AAAF"/>
            </w:tcBorders>
            <w:tcMar>
              <w:top w:w="57" w:type="dxa"/>
              <w:left w:w="28" w:type="dxa"/>
              <w:bottom w:w="57" w:type="dxa"/>
              <w:right w:w="28" w:type="dxa"/>
            </w:tcMar>
            <w:vAlign w:val="bottom"/>
          </w:tcPr>
          <w:p w14:paraId="565D55A1" w14:textId="77777777" w:rsidR="00D4025B" w:rsidRPr="00C97622" w:rsidRDefault="00D4025B" w:rsidP="00B36313">
            <w:pPr>
              <w:pStyle w:val="Tabletextsmall"/>
              <w:jc w:val="right"/>
              <w:rPr>
                <w:sz w:val="16"/>
                <w:szCs w:val="16"/>
              </w:rPr>
            </w:pPr>
          </w:p>
        </w:tc>
        <w:tc>
          <w:tcPr>
            <w:tcW w:w="1134" w:type="dxa"/>
            <w:tcBorders>
              <w:top w:val="single" w:sz="8" w:space="0" w:color="00AAAF"/>
              <w:bottom w:val="single" w:sz="8" w:space="0" w:color="00AAAF"/>
            </w:tcBorders>
            <w:tcMar>
              <w:top w:w="57" w:type="dxa"/>
              <w:left w:w="28" w:type="dxa"/>
              <w:bottom w:w="57" w:type="dxa"/>
              <w:right w:w="28" w:type="dxa"/>
            </w:tcMar>
            <w:vAlign w:val="bottom"/>
          </w:tcPr>
          <w:p w14:paraId="55AAF64D" w14:textId="77777777" w:rsidR="00D4025B" w:rsidRPr="00C97622" w:rsidRDefault="00D4025B" w:rsidP="00B36313">
            <w:pPr>
              <w:pStyle w:val="Tabletextsmall"/>
              <w:jc w:val="right"/>
              <w:rPr>
                <w:sz w:val="16"/>
                <w:szCs w:val="16"/>
              </w:rPr>
            </w:pPr>
          </w:p>
        </w:tc>
        <w:tc>
          <w:tcPr>
            <w:tcW w:w="1134" w:type="dxa"/>
            <w:tcBorders>
              <w:top w:val="single" w:sz="8" w:space="0" w:color="00AAAF"/>
              <w:bottom w:val="single" w:sz="8" w:space="0" w:color="00AAAF"/>
            </w:tcBorders>
            <w:tcMar>
              <w:top w:w="57" w:type="dxa"/>
              <w:left w:w="28" w:type="dxa"/>
              <w:bottom w:w="57" w:type="dxa"/>
              <w:right w:w="28" w:type="dxa"/>
            </w:tcMar>
            <w:vAlign w:val="bottom"/>
          </w:tcPr>
          <w:p w14:paraId="1AB7C8A2" w14:textId="77777777" w:rsidR="00D4025B" w:rsidRPr="00C97622" w:rsidRDefault="00D4025B" w:rsidP="00B36313">
            <w:pPr>
              <w:pStyle w:val="Tabletextsmall"/>
              <w:jc w:val="right"/>
              <w:rPr>
                <w:sz w:val="16"/>
                <w:szCs w:val="16"/>
              </w:rPr>
            </w:pPr>
          </w:p>
        </w:tc>
      </w:tr>
    </w:tbl>
    <w:p w14:paraId="5769ED3C" w14:textId="77777777" w:rsidR="00D80F6C" w:rsidRDefault="00D80F6C" w:rsidP="00D4025B">
      <w:pPr>
        <w:pStyle w:val="Footnote"/>
        <w:spacing w:before="120"/>
      </w:pPr>
      <w:r w:rsidRPr="00D80F6C">
        <w:t>Note: Data does not include one individual as they have not provided consent to disclose.</w:t>
      </w:r>
    </w:p>
    <w:p w14:paraId="15BF071E" w14:textId="77777777" w:rsidR="00F84D61" w:rsidRDefault="00F84D61" w:rsidP="00D4025B">
      <w:pPr>
        <w:pStyle w:val="Footnote"/>
        <w:spacing w:before="120"/>
      </w:pPr>
    </w:p>
    <w:p w14:paraId="5C80C816" w14:textId="77777777" w:rsidR="00F84D61" w:rsidRDefault="00F84D61" w:rsidP="00D4025B">
      <w:pPr>
        <w:pStyle w:val="Footnote"/>
        <w:spacing w:before="120"/>
        <w:sectPr w:rsidR="00F84D61" w:rsidSect="00C97622">
          <w:type w:val="continuous"/>
          <w:pgSz w:w="9979" w:h="14175" w:code="34"/>
          <w:pgMar w:top="1418" w:right="680" w:bottom="851" w:left="1021" w:header="567" w:footer="397" w:gutter="0"/>
          <w:cols w:space="340"/>
          <w:noEndnote/>
        </w:sectPr>
      </w:pPr>
    </w:p>
    <w:p w14:paraId="5388EB0D" w14:textId="77777777" w:rsidR="00D80F6C" w:rsidRPr="00D80F6C" w:rsidRDefault="00D80F6C" w:rsidP="00F84D61">
      <w:pPr>
        <w:pStyle w:val="Heading1"/>
      </w:pPr>
      <w:r w:rsidRPr="00D80F6C">
        <w:lastRenderedPageBreak/>
        <w:t>Developments and significant events</w:t>
      </w:r>
    </w:p>
    <w:p w14:paraId="46AE439D" w14:textId="77777777" w:rsidR="00D80F6C" w:rsidRPr="00D80F6C" w:rsidRDefault="00D80F6C" w:rsidP="00F84D61">
      <w:pPr>
        <w:pStyle w:val="BodyText"/>
      </w:pPr>
      <w:r w:rsidRPr="00D80F6C">
        <w:t>The Commission is required under subsection 19(1) of the Public Governance, Performance and Accountability Act to inform the responsible Minister and the Finance Minister of any significant decisions or issues that have affected or may affect its operations. In 2016–17, there</w:t>
      </w:r>
      <w:r w:rsidRPr="00D80F6C">
        <w:rPr>
          <w:rFonts w:cs="Arial"/>
        </w:rPr>
        <w:t> </w:t>
      </w:r>
      <w:r w:rsidRPr="00D80F6C">
        <w:t>were no such decisions or issues.</w:t>
      </w:r>
    </w:p>
    <w:p w14:paraId="2664BB79" w14:textId="77777777" w:rsidR="00D80F6C" w:rsidRPr="00D80F6C" w:rsidRDefault="00D80F6C" w:rsidP="00D651C5">
      <w:pPr>
        <w:pStyle w:val="Heading1"/>
      </w:pPr>
      <w:r w:rsidRPr="00D80F6C">
        <w:t>Environmental performance and ecologically sustainable development</w:t>
      </w:r>
    </w:p>
    <w:p w14:paraId="0178D7D8" w14:textId="77777777" w:rsidR="00D80F6C" w:rsidRPr="00D80F6C" w:rsidRDefault="00D80F6C" w:rsidP="00F84D61">
      <w:pPr>
        <w:pStyle w:val="BodyText"/>
      </w:pPr>
      <w:r w:rsidRPr="00D80F6C">
        <w:t xml:space="preserve">Section 516A of the </w:t>
      </w:r>
      <w:r w:rsidRPr="00011CF0">
        <w:rPr>
          <w:rStyle w:val="Emphasis"/>
        </w:rPr>
        <w:t>Environment Protection and Biodiversity Conservation Act 1999</w:t>
      </w:r>
      <w:r w:rsidRPr="00D80F6C">
        <w:t xml:space="preserve"> (EPBC Act) requires Australian Government organisations and authorities to include information in their annual reports about their environmental performance and contribution to ecologically sustainable developments. The Commission is committed to making a positive contribution to ecological sustainability. The Commission’s </w:t>
      </w:r>
      <w:r w:rsidRPr="00D80F6C">
        <w:lastRenderedPageBreak/>
        <w:t>ecologically sustainable activities are detailed in</w:t>
      </w:r>
      <w:r w:rsidRPr="00D80F6C">
        <w:rPr>
          <w:rFonts w:cs="Arial"/>
        </w:rPr>
        <w:t> </w:t>
      </w:r>
      <w:r w:rsidRPr="00D80F6C">
        <w:t>Appendix B.</w:t>
      </w:r>
    </w:p>
    <w:p w14:paraId="13FD2681" w14:textId="77777777" w:rsidR="00D80F6C" w:rsidRPr="00D80F6C" w:rsidRDefault="00D80F6C" w:rsidP="00F84D61">
      <w:pPr>
        <w:pStyle w:val="Heading1"/>
      </w:pPr>
      <w:r w:rsidRPr="00D80F6C">
        <w:t>Advertising and market research</w:t>
      </w:r>
    </w:p>
    <w:p w14:paraId="71BADCB5" w14:textId="77777777" w:rsidR="00D80F6C" w:rsidRPr="00D80F6C" w:rsidRDefault="00D80F6C" w:rsidP="00F84D61">
      <w:pPr>
        <w:pStyle w:val="BodyText"/>
      </w:pPr>
      <w:r w:rsidRPr="00D80F6C">
        <w:t xml:space="preserve">Section 311A of the </w:t>
      </w:r>
      <w:r w:rsidRPr="00011CF0">
        <w:rPr>
          <w:rStyle w:val="Emphasis"/>
        </w:rPr>
        <w:t>Commonwealth Electoral Act 1918</w:t>
      </w:r>
      <w:r w:rsidRPr="00D80F6C">
        <w:t xml:space="preserve"> requires Australian Government departments and agencies to include in their annual reports particulars of any amounts over $13,000 that were paid to advertising agencies, market research organisations, polling organisations, direct mail organisations or media advertising organisations. The</w:t>
      </w:r>
      <w:r w:rsidRPr="00D80F6C">
        <w:rPr>
          <w:rFonts w:cs="Arial"/>
        </w:rPr>
        <w:t> </w:t>
      </w:r>
      <w:r w:rsidRPr="00D80F6C">
        <w:t>Commission</w:t>
      </w:r>
      <w:r w:rsidRPr="00D80F6C">
        <w:rPr>
          <w:rFonts w:cs="Arial"/>
        </w:rPr>
        <w:t> </w:t>
      </w:r>
      <w:r w:rsidRPr="00D80F6C">
        <w:t>made no such payments over</w:t>
      </w:r>
      <w:r w:rsidRPr="00D80F6C">
        <w:rPr>
          <w:rFonts w:cs="Arial"/>
        </w:rPr>
        <w:t> </w:t>
      </w:r>
      <w:r w:rsidRPr="00D80F6C">
        <w:t>$13,000 in</w:t>
      </w:r>
      <w:r w:rsidRPr="00D80F6C">
        <w:rPr>
          <w:rFonts w:cs="Arial"/>
        </w:rPr>
        <w:t> </w:t>
      </w:r>
      <w:r w:rsidRPr="00D80F6C">
        <w:t>2016–17.</w:t>
      </w:r>
    </w:p>
    <w:p w14:paraId="28B1F9CA" w14:textId="77777777" w:rsidR="00D80F6C" w:rsidRPr="00D80F6C" w:rsidRDefault="00D80F6C" w:rsidP="00F84D61">
      <w:pPr>
        <w:pStyle w:val="Heading1"/>
      </w:pPr>
      <w:r w:rsidRPr="00D80F6C">
        <w:t>National Health Reform Act amendments</w:t>
      </w:r>
    </w:p>
    <w:p w14:paraId="4EC87726" w14:textId="77777777" w:rsidR="00D80F6C" w:rsidRPr="00D80F6C" w:rsidRDefault="00D80F6C" w:rsidP="00F84D61">
      <w:pPr>
        <w:pStyle w:val="BodyText"/>
      </w:pPr>
      <w:r w:rsidRPr="00D80F6C">
        <w:t>No amendments were made to the National Health Reform Act during 2016–17.</w:t>
      </w:r>
    </w:p>
    <w:p w14:paraId="7B8FD28E" w14:textId="77777777" w:rsidR="00D80F6C" w:rsidRPr="00D80F6C" w:rsidRDefault="00D80F6C" w:rsidP="00F84D61">
      <w:pPr>
        <w:pStyle w:val="Heading1"/>
      </w:pPr>
      <w:r w:rsidRPr="00D80F6C">
        <w:t>Government policy</w:t>
      </w:r>
      <w:r w:rsidR="00011CF0">
        <w:t> </w:t>
      </w:r>
      <w:r w:rsidRPr="00D80F6C">
        <w:t>orders</w:t>
      </w:r>
    </w:p>
    <w:p w14:paraId="578D850D" w14:textId="77777777" w:rsidR="00D4025B" w:rsidRDefault="00D80F6C" w:rsidP="00F84D61">
      <w:pPr>
        <w:pStyle w:val="BodyText"/>
      </w:pPr>
      <w:r w:rsidRPr="00D80F6C">
        <w:t>No government policy orders applicable to the</w:t>
      </w:r>
      <w:r w:rsidRPr="00D80F6C">
        <w:rPr>
          <w:rFonts w:cs="Arial"/>
        </w:rPr>
        <w:t> </w:t>
      </w:r>
      <w:r w:rsidRPr="00D80F6C">
        <w:t>Commission were issued in 2016–17.</w:t>
      </w:r>
    </w:p>
    <w:p w14:paraId="6B361A1D" w14:textId="77777777" w:rsidR="003513D8" w:rsidRDefault="003513D8" w:rsidP="00F84D61">
      <w:pPr>
        <w:pStyle w:val="BodyText"/>
        <w:sectPr w:rsidR="003513D8" w:rsidSect="00D80F6C">
          <w:type w:val="continuous"/>
          <w:pgSz w:w="9979" w:h="14175" w:code="34"/>
          <w:pgMar w:top="1418" w:right="680" w:bottom="851" w:left="1021" w:header="567" w:footer="397" w:gutter="0"/>
          <w:cols w:num="2" w:space="340"/>
          <w:noEndnote/>
        </w:sectPr>
      </w:pPr>
    </w:p>
    <w:p w14:paraId="1594B4F0" w14:textId="77777777" w:rsidR="003513D8" w:rsidRDefault="003513D8">
      <w:pPr>
        <w:spacing w:after="160" w:line="259" w:lineRule="auto"/>
      </w:pPr>
      <w:r>
        <w:lastRenderedPageBreak/>
        <w:br w:type="page"/>
      </w:r>
    </w:p>
    <w:p w14:paraId="04EE0BF8" w14:textId="77777777" w:rsidR="003513D8" w:rsidRDefault="003513D8" w:rsidP="00A66E3B">
      <w:pPr>
        <w:pStyle w:val="SectionHeading"/>
        <w:spacing w:after="227"/>
        <w:rPr>
          <w:color w:val="5E7631"/>
        </w:rPr>
      </w:pPr>
      <w:r w:rsidRPr="003513D8">
        <w:rPr>
          <w:color w:val="5E7631"/>
        </w:rPr>
        <w:lastRenderedPageBreak/>
        <w:t>Our organisation</w:t>
      </w:r>
    </w:p>
    <w:p w14:paraId="3B4DE616" w14:textId="77777777" w:rsidR="003513D8" w:rsidRPr="00A66E3B" w:rsidRDefault="003513D8" w:rsidP="00A66E3B">
      <w:pPr>
        <w:pStyle w:val="SectionIntroCopy"/>
        <w:rPr>
          <w:color w:val="5E7631"/>
        </w:rPr>
      </w:pPr>
      <w:r w:rsidRPr="00A66E3B">
        <w:rPr>
          <w:color w:val="5E7631"/>
        </w:rPr>
        <w:t>The Commission employs a diverse range of highly skilled professionals with experience across the healthcare industry. Because of the nature of its work, the Commission has a strong national presence in safety and quality in both the public and private sectors.</w:t>
      </w:r>
    </w:p>
    <w:p w14:paraId="3680AE4A" w14:textId="77777777" w:rsidR="003513D8" w:rsidRDefault="003513D8" w:rsidP="00A66E3B">
      <w:pPr>
        <w:pStyle w:val="SectionIntroCopy"/>
        <w:rPr>
          <w:color w:val="5E7631"/>
        </w:rPr>
      </w:pPr>
      <w:r w:rsidRPr="00A66E3B">
        <w:rPr>
          <w:color w:val="5E7631"/>
        </w:rPr>
        <w:t>The Commission is committed to managing and developing its employees to achieve the objectives and outcomes contained in its work plan.</w:t>
      </w:r>
    </w:p>
    <w:tbl>
      <w:tblPr>
        <w:tblStyle w:val="TableGrid"/>
        <w:tblW w:w="0" w:type="auto"/>
        <w:tblBorders>
          <w:top w:val="none" w:sz="0" w:space="0" w:color="auto"/>
          <w:left w:val="none" w:sz="0" w:space="0" w:color="auto"/>
          <w:bottom w:val="single" w:sz="8" w:space="0" w:color="FFFFFF" w:themeColor="background2"/>
          <w:right w:val="none" w:sz="0" w:space="0" w:color="auto"/>
          <w:insideH w:val="single" w:sz="8" w:space="0" w:color="FFFFFF" w:themeColor="background2"/>
          <w:insideV w:val="none" w:sz="0" w:space="0" w:color="auto"/>
        </w:tblBorders>
        <w:tblCellMar>
          <w:left w:w="0" w:type="dxa"/>
          <w:right w:w="0" w:type="dxa"/>
        </w:tblCellMar>
        <w:tblLook w:val="04A0" w:firstRow="1" w:lastRow="0" w:firstColumn="1" w:lastColumn="0" w:noHBand="0" w:noVBand="1"/>
        <w:tblCaption w:val="Table of contents"/>
        <w:tblDescription w:val="Our organisation"/>
      </w:tblPr>
      <w:tblGrid>
        <w:gridCol w:w="4979"/>
        <w:gridCol w:w="825"/>
      </w:tblGrid>
      <w:tr w:rsidR="00A66E3B" w14:paraId="33AEF7C2" w14:textId="77777777" w:rsidTr="00343E72">
        <w:tc>
          <w:tcPr>
            <w:tcW w:w="4979" w:type="dxa"/>
          </w:tcPr>
          <w:p w14:paraId="01AB0DA0" w14:textId="77777777" w:rsidR="00A66E3B" w:rsidRPr="00D96672" w:rsidRDefault="00A66E3B" w:rsidP="00A66E3B">
            <w:pPr>
              <w:pStyle w:val="Reportcontent"/>
              <w:spacing w:before="160"/>
            </w:pPr>
            <w:r w:rsidRPr="00A66E3B">
              <w:t>Organisational structure</w:t>
            </w:r>
          </w:p>
        </w:tc>
        <w:tc>
          <w:tcPr>
            <w:tcW w:w="825" w:type="dxa"/>
          </w:tcPr>
          <w:p w14:paraId="1A366435" w14:textId="77777777" w:rsidR="00A66E3B" w:rsidRPr="00D96672" w:rsidRDefault="00A66E3B" w:rsidP="00A66E3B">
            <w:pPr>
              <w:pStyle w:val="Reportcontent"/>
              <w:spacing w:before="160"/>
              <w:jc w:val="right"/>
            </w:pPr>
            <w:r>
              <w:t>74</w:t>
            </w:r>
          </w:p>
        </w:tc>
      </w:tr>
      <w:tr w:rsidR="00A66E3B" w14:paraId="649C190C" w14:textId="77777777" w:rsidTr="00343E72">
        <w:tc>
          <w:tcPr>
            <w:tcW w:w="4979" w:type="dxa"/>
          </w:tcPr>
          <w:p w14:paraId="5A63A84A" w14:textId="77777777" w:rsidR="00A66E3B" w:rsidRPr="00D96672" w:rsidRDefault="00A66E3B" w:rsidP="00A66E3B">
            <w:pPr>
              <w:pStyle w:val="Reportcontent"/>
              <w:spacing w:before="160"/>
            </w:pPr>
            <w:r w:rsidRPr="00A66E3B">
              <w:t>People management</w:t>
            </w:r>
          </w:p>
        </w:tc>
        <w:tc>
          <w:tcPr>
            <w:tcW w:w="825" w:type="dxa"/>
          </w:tcPr>
          <w:p w14:paraId="3C3BFE6B" w14:textId="77777777" w:rsidR="00A66E3B" w:rsidRPr="00D96672" w:rsidRDefault="00A66E3B" w:rsidP="00A66E3B">
            <w:pPr>
              <w:pStyle w:val="Reportcontent"/>
              <w:spacing w:before="160"/>
              <w:jc w:val="right"/>
            </w:pPr>
            <w:r>
              <w:t>76</w:t>
            </w:r>
          </w:p>
        </w:tc>
      </w:tr>
      <w:tr w:rsidR="00A66E3B" w14:paraId="31BCBCC7" w14:textId="77777777" w:rsidTr="00343E72">
        <w:tc>
          <w:tcPr>
            <w:tcW w:w="4979" w:type="dxa"/>
          </w:tcPr>
          <w:p w14:paraId="5379DAD1" w14:textId="77777777" w:rsidR="00A66E3B" w:rsidRPr="00D96672" w:rsidRDefault="00A66E3B" w:rsidP="00A66E3B">
            <w:pPr>
              <w:pStyle w:val="Reportcontent"/>
              <w:spacing w:before="160"/>
            </w:pPr>
            <w:r w:rsidRPr="00A66E3B">
              <w:t>Staff profile</w:t>
            </w:r>
          </w:p>
        </w:tc>
        <w:tc>
          <w:tcPr>
            <w:tcW w:w="825" w:type="dxa"/>
          </w:tcPr>
          <w:p w14:paraId="04CC6EA1" w14:textId="77777777" w:rsidR="00A66E3B" w:rsidRPr="00D96672" w:rsidRDefault="00A66E3B" w:rsidP="00A66E3B">
            <w:pPr>
              <w:pStyle w:val="Reportcontent"/>
              <w:spacing w:before="160"/>
              <w:jc w:val="right"/>
            </w:pPr>
            <w:r>
              <w:t>76</w:t>
            </w:r>
          </w:p>
        </w:tc>
      </w:tr>
      <w:tr w:rsidR="00A66E3B" w14:paraId="12C401BE" w14:textId="77777777" w:rsidTr="00343E72">
        <w:tc>
          <w:tcPr>
            <w:tcW w:w="4979" w:type="dxa"/>
          </w:tcPr>
          <w:p w14:paraId="30A2F12A" w14:textId="77777777" w:rsidR="00A66E3B" w:rsidRPr="00D96672" w:rsidRDefault="00A66E3B" w:rsidP="00A66E3B">
            <w:pPr>
              <w:pStyle w:val="Reportcontent"/>
              <w:spacing w:before="160"/>
            </w:pPr>
            <w:r w:rsidRPr="00A66E3B">
              <w:t>Workplace health and safety</w:t>
            </w:r>
          </w:p>
        </w:tc>
        <w:tc>
          <w:tcPr>
            <w:tcW w:w="825" w:type="dxa"/>
          </w:tcPr>
          <w:p w14:paraId="760AAE0C" w14:textId="77777777" w:rsidR="00A66E3B" w:rsidRPr="00D96672" w:rsidRDefault="00A66E3B" w:rsidP="00A66E3B">
            <w:pPr>
              <w:pStyle w:val="Reportcontent"/>
              <w:spacing w:before="160"/>
              <w:jc w:val="right"/>
            </w:pPr>
            <w:r>
              <w:t>77</w:t>
            </w:r>
          </w:p>
        </w:tc>
      </w:tr>
      <w:tr w:rsidR="00A66E3B" w14:paraId="0E6A5630" w14:textId="77777777" w:rsidTr="00343E72">
        <w:tc>
          <w:tcPr>
            <w:tcW w:w="4979" w:type="dxa"/>
          </w:tcPr>
          <w:p w14:paraId="04838169" w14:textId="77777777" w:rsidR="00A66E3B" w:rsidRPr="00D96672" w:rsidRDefault="00A66E3B" w:rsidP="00A66E3B">
            <w:pPr>
              <w:pStyle w:val="Reportcontent"/>
              <w:spacing w:before="160"/>
            </w:pPr>
            <w:r w:rsidRPr="00A66E3B">
              <w:t>Learning and development</w:t>
            </w:r>
          </w:p>
        </w:tc>
        <w:tc>
          <w:tcPr>
            <w:tcW w:w="825" w:type="dxa"/>
          </w:tcPr>
          <w:p w14:paraId="44085324" w14:textId="77777777" w:rsidR="00A66E3B" w:rsidRPr="00D96672" w:rsidRDefault="00A66E3B" w:rsidP="00A66E3B">
            <w:pPr>
              <w:pStyle w:val="Reportcontent"/>
              <w:spacing w:before="160"/>
              <w:jc w:val="right"/>
            </w:pPr>
            <w:r>
              <w:t>77</w:t>
            </w:r>
          </w:p>
        </w:tc>
      </w:tr>
      <w:tr w:rsidR="00A66E3B" w14:paraId="0DF8069D" w14:textId="77777777" w:rsidTr="00343E72">
        <w:tc>
          <w:tcPr>
            <w:tcW w:w="4979" w:type="dxa"/>
          </w:tcPr>
          <w:p w14:paraId="20791534" w14:textId="77777777" w:rsidR="00A66E3B" w:rsidRPr="00E2255E" w:rsidRDefault="00A66E3B" w:rsidP="00A66E3B">
            <w:pPr>
              <w:pStyle w:val="Reportcontent"/>
              <w:spacing w:before="160"/>
            </w:pPr>
            <w:r w:rsidRPr="00A66E3B">
              <w:t>Disability strategy</w:t>
            </w:r>
          </w:p>
        </w:tc>
        <w:tc>
          <w:tcPr>
            <w:tcW w:w="825" w:type="dxa"/>
          </w:tcPr>
          <w:p w14:paraId="602F3458" w14:textId="77777777" w:rsidR="00A66E3B" w:rsidRPr="00E2255E" w:rsidRDefault="00A66E3B" w:rsidP="00A66E3B">
            <w:pPr>
              <w:pStyle w:val="Reportcontent"/>
              <w:spacing w:before="160"/>
              <w:jc w:val="right"/>
            </w:pPr>
            <w:r>
              <w:t>78</w:t>
            </w:r>
          </w:p>
        </w:tc>
      </w:tr>
      <w:tr w:rsidR="00A66E3B" w14:paraId="47174BC2" w14:textId="77777777" w:rsidTr="00343E72">
        <w:tc>
          <w:tcPr>
            <w:tcW w:w="4979" w:type="dxa"/>
          </w:tcPr>
          <w:p w14:paraId="7F226510" w14:textId="77777777" w:rsidR="00A66E3B" w:rsidRPr="00E2255E" w:rsidRDefault="00A66E3B" w:rsidP="00A66E3B">
            <w:pPr>
              <w:pStyle w:val="Reportcontent"/>
              <w:spacing w:before="160"/>
            </w:pPr>
            <w:r w:rsidRPr="00A66E3B">
              <w:t>Indigenous employment</w:t>
            </w:r>
          </w:p>
        </w:tc>
        <w:tc>
          <w:tcPr>
            <w:tcW w:w="825" w:type="dxa"/>
          </w:tcPr>
          <w:p w14:paraId="658C0135" w14:textId="77777777" w:rsidR="00A66E3B" w:rsidRDefault="00A66E3B" w:rsidP="00A66E3B">
            <w:pPr>
              <w:pStyle w:val="Reportcontent"/>
              <w:spacing w:before="160"/>
              <w:jc w:val="right"/>
            </w:pPr>
            <w:r>
              <w:t>78</w:t>
            </w:r>
          </w:p>
        </w:tc>
      </w:tr>
    </w:tbl>
    <w:p w14:paraId="63C234D4" w14:textId="77777777" w:rsidR="00F74C9E" w:rsidRDefault="00F74C9E" w:rsidP="00A66E3B">
      <w:pPr>
        <w:pStyle w:val="SectionIntroCopy"/>
        <w:rPr>
          <w:color w:val="5E7631"/>
        </w:rPr>
        <w:sectPr w:rsidR="00F74C9E" w:rsidSect="003513D8">
          <w:headerReference w:type="even" r:id="rId69"/>
          <w:headerReference w:type="default" r:id="rId70"/>
          <w:footerReference w:type="even" r:id="rId71"/>
          <w:pgSz w:w="9979" w:h="14175" w:code="34"/>
          <w:pgMar w:top="1418" w:right="680" w:bottom="851" w:left="1021" w:header="567" w:footer="397" w:gutter="0"/>
          <w:cols w:space="340"/>
          <w:noEndnote/>
        </w:sectPr>
      </w:pPr>
    </w:p>
    <w:p w14:paraId="2C71A3AD" w14:textId="77777777" w:rsidR="00A66E3B" w:rsidRDefault="00F74C9E" w:rsidP="00F74C9E">
      <w:pPr>
        <w:pStyle w:val="Figuretitle"/>
      </w:pPr>
      <w:r w:rsidRPr="00F74C9E">
        <w:lastRenderedPageBreak/>
        <w:t>Figure 2: Organisational structure</w:t>
      </w:r>
    </w:p>
    <w:p w14:paraId="1EA0E497" w14:textId="77777777" w:rsidR="00F74C9E" w:rsidRPr="00011CF0" w:rsidRDefault="00F74C9E" w:rsidP="00C9282C">
      <w:r w:rsidRPr="00011CF0">
        <w:br w:type="page"/>
      </w:r>
    </w:p>
    <w:p w14:paraId="1D6E25F0" w14:textId="77777777" w:rsidR="00F74C9E" w:rsidRDefault="00F74C9E">
      <w:pPr>
        <w:spacing w:after="160" w:line="259" w:lineRule="auto"/>
        <w:rPr>
          <w:color w:val="5E7631"/>
          <w:sz w:val="22"/>
        </w:rPr>
      </w:pPr>
    </w:p>
    <w:p w14:paraId="25B21AB1" w14:textId="77777777" w:rsidR="00F74C9E" w:rsidRDefault="00F74C9E" w:rsidP="00A66E3B">
      <w:pPr>
        <w:pStyle w:val="SectionIntroCopy"/>
        <w:rPr>
          <w:color w:val="5E7631"/>
        </w:rPr>
        <w:sectPr w:rsidR="00F74C9E" w:rsidSect="003513D8">
          <w:headerReference w:type="even" r:id="rId72"/>
          <w:headerReference w:type="default" r:id="rId73"/>
          <w:footerReference w:type="even" r:id="rId74"/>
          <w:pgSz w:w="9979" w:h="14175" w:code="34"/>
          <w:pgMar w:top="1418" w:right="680" w:bottom="851" w:left="1021" w:header="567" w:footer="397" w:gutter="0"/>
          <w:cols w:space="340"/>
          <w:noEndnote/>
        </w:sectPr>
      </w:pPr>
    </w:p>
    <w:p w14:paraId="3CB6BC1D" w14:textId="77777777" w:rsidR="00F74C9E" w:rsidRDefault="00F74C9E" w:rsidP="005E0AFC">
      <w:pPr>
        <w:pStyle w:val="Heading1"/>
      </w:pPr>
      <w:r>
        <w:lastRenderedPageBreak/>
        <w:t>People management</w:t>
      </w:r>
    </w:p>
    <w:p w14:paraId="495B66C6" w14:textId="77777777" w:rsidR="00F74C9E" w:rsidRDefault="00F74C9E" w:rsidP="005E0AFC">
      <w:pPr>
        <w:pStyle w:val="BodyText"/>
      </w:pPr>
      <w:r>
        <w:t>The Commission continues to deliver high performance by providing ongoing support through its performance management systems and through embedding a strong sense of direction across the organisation. All employees are required to have an individual performance and development plan in place, and managers and employees have joint accountability for capability and career development.</w:t>
      </w:r>
    </w:p>
    <w:p w14:paraId="52828349" w14:textId="77777777" w:rsidR="00132D0C" w:rsidRDefault="00F74C9E" w:rsidP="005E0AFC">
      <w:pPr>
        <w:pStyle w:val="BodyText"/>
      </w:pPr>
      <w:r>
        <w:t xml:space="preserve">The Commission participates in the online induction program offered by the Australian Public Service Commission (APSC), giving new employees the opportunity to learn how the Australian Public Service (APS) operates </w:t>
      </w:r>
    </w:p>
    <w:p w14:paraId="73F35AB0" w14:textId="77777777" w:rsidR="00F74C9E" w:rsidRDefault="00132D0C" w:rsidP="005E0AFC">
      <w:pPr>
        <w:pStyle w:val="BodyText"/>
      </w:pPr>
      <w:r>
        <w:br w:type="column"/>
      </w:r>
      <w:r w:rsidR="00F74C9E">
        <w:lastRenderedPageBreak/>
        <w:t>and understand the behaviours expected of all staff</w:t>
      </w:r>
      <w:r w:rsidR="00F74C9E">
        <w:rPr>
          <w:rFonts w:cs="Arial"/>
        </w:rPr>
        <w:t> </w:t>
      </w:r>
      <w:r w:rsidR="00F74C9E">
        <w:t>members.</w:t>
      </w:r>
    </w:p>
    <w:p w14:paraId="59EB039A" w14:textId="77777777" w:rsidR="00F74C9E" w:rsidRDefault="00F74C9E" w:rsidP="005E0AFC">
      <w:pPr>
        <w:pStyle w:val="BodyText"/>
      </w:pPr>
      <w:r>
        <w:t>In May 2017, the Commission encouraged all staff members to participate in the APSC’s employee census survey.</w:t>
      </w:r>
    </w:p>
    <w:p w14:paraId="27F619EA" w14:textId="77777777" w:rsidR="00F74C9E" w:rsidRDefault="00F74C9E" w:rsidP="005E0AFC">
      <w:pPr>
        <w:pStyle w:val="Heading1"/>
      </w:pPr>
      <w:r>
        <w:t>Staff profile</w:t>
      </w:r>
    </w:p>
    <w:p w14:paraId="274D0039" w14:textId="3CFC554C" w:rsidR="00F74C9E" w:rsidRDefault="00F74C9E" w:rsidP="005E0AFC">
      <w:pPr>
        <w:pStyle w:val="BodyText"/>
      </w:pPr>
      <w:r>
        <w:t>As of 30 June 2017, the Commission employed 79.3 full-time equivalent employees. Most employees are located in Sydney. The</w:t>
      </w:r>
      <w:r>
        <w:rPr>
          <w:rFonts w:cs="Arial"/>
        </w:rPr>
        <w:t> </w:t>
      </w:r>
      <w:r>
        <w:t xml:space="preserve">following table provides a breakdown of the Commission’s employee profile by classification, gender, </w:t>
      </w:r>
      <w:r w:rsidR="00D651C5">
        <w:br/>
      </w:r>
      <w:r>
        <w:t>full-time or part-time status, and ongoing or non-ongoing status.</w:t>
      </w:r>
    </w:p>
    <w:p w14:paraId="500E58DB" w14:textId="77777777" w:rsidR="00132D0C" w:rsidRDefault="00132D0C" w:rsidP="00F74C9E">
      <w:pPr>
        <w:pStyle w:val="NoParagraphStyle"/>
        <w:sectPr w:rsidR="00132D0C" w:rsidSect="00F74C9E">
          <w:headerReference w:type="even" r:id="rId75"/>
          <w:pgSz w:w="9979" w:h="14175" w:code="34"/>
          <w:pgMar w:top="1418" w:right="680" w:bottom="851" w:left="1021" w:header="567" w:footer="397" w:gutter="0"/>
          <w:cols w:num="2" w:space="340"/>
          <w:noEndnote/>
        </w:sectPr>
      </w:pPr>
    </w:p>
    <w:p w14:paraId="5173B4B5" w14:textId="77777777" w:rsidR="00132D0C" w:rsidRDefault="00132D0C" w:rsidP="00132D0C">
      <w:pPr>
        <w:pStyle w:val="Figuretitle"/>
      </w:pPr>
      <w:r w:rsidRPr="00132D0C">
        <w:lastRenderedPageBreak/>
        <w:t>Table 6: Employee profile as of 30 June 2017</w:t>
      </w:r>
    </w:p>
    <w:tbl>
      <w:tblPr>
        <w:tblW w:w="0" w:type="auto"/>
        <w:tblInd w:w="-8" w:type="dxa"/>
        <w:tblLayout w:type="fixed"/>
        <w:tblCellMar>
          <w:left w:w="0" w:type="dxa"/>
          <w:right w:w="0" w:type="dxa"/>
        </w:tblCellMar>
        <w:tblLook w:val="0000" w:firstRow="0" w:lastRow="0" w:firstColumn="0" w:lastColumn="0" w:noHBand="0" w:noVBand="0"/>
        <w:tblCaption w:val="Table 6: Employee profile as of 30 June 2017"/>
      </w:tblPr>
      <w:tblGrid>
        <w:gridCol w:w="1587"/>
        <w:gridCol w:w="737"/>
        <w:gridCol w:w="737"/>
        <w:gridCol w:w="737"/>
        <w:gridCol w:w="737"/>
        <w:gridCol w:w="737"/>
        <w:gridCol w:w="737"/>
        <w:gridCol w:w="737"/>
        <w:gridCol w:w="737"/>
        <w:gridCol w:w="750"/>
        <w:gridCol w:w="44"/>
      </w:tblGrid>
      <w:tr w:rsidR="00132D0C" w:rsidRPr="00132D0C" w14:paraId="7B0381D2" w14:textId="77777777" w:rsidTr="005E0AFC">
        <w:trPr>
          <w:trHeight w:val="595"/>
        </w:trPr>
        <w:tc>
          <w:tcPr>
            <w:tcW w:w="1587" w:type="dxa"/>
            <w:vMerge w:val="restart"/>
            <w:tcBorders>
              <w:top w:val="single" w:sz="18" w:space="0" w:color="5D7531"/>
              <w:bottom w:val="single" w:sz="6" w:space="0" w:color="5D7531"/>
            </w:tcBorders>
            <w:shd w:val="solid" w:color="97BC44" w:fill="auto"/>
            <w:tcMar>
              <w:top w:w="113" w:type="dxa"/>
              <w:left w:w="113" w:type="dxa"/>
              <w:bottom w:w="113" w:type="dxa"/>
              <w:right w:w="113" w:type="dxa"/>
            </w:tcMar>
            <w:vAlign w:val="bottom"/>
          </w:tcPr>
          <w:p w14:paraId="5EE853DA" w14:textId="77777777" w:rsidR="00132D0C" w:rsidRPr="00132D0C" w:rsidRDefault="00132D0C" w:rsidP="00132D0C">
            <w:pPr>
              <w:pStyle w:val="Tableheading"/>
              <w:jc w:val="center"/>
              <w:rPr>
                <w:color w:val="434546"/>
              </w:rPr>
            </w:pPr>
            <w:r w:rsidRPr="00132D0C">
              <w:t>Classification</w:t>
            </w:r>
          </w:p>
        </w:tc>
        <w:tc>
          <w:tcPr>
            <w:tcW w:w="2948" w:type="dxa"/>
            <w:gridSpan w:val="4"/>
            <w:tcBorders>
              <w:top w:val="single" w:sz="18" w:space="0" w:color="5D7531"/>
              <w:right w:val="single" w:sz="4" w:space="0" w:color="FFFFFF"/>
            </w:tcBorders>
            <w:shd w:val="clear" w:color="auto" w:fill="98BD45"/>
            <w:tcMar>
              <w:top w:w="113" w:type="dxa"/>
              <w:left w:w="113" w:type="dxa"/>
              <w:bottom w:w="113" w:type="dxa"/>
              <w:right w:w="0" w:type="dxa"/>
            </w:tcMar>
            <w:vAlign w:val="center"/>
          </w:tcPr>
          <w:p w14:paraId="11E5B2B5" w14:textId="77777777" w:rsidR="00132D0C" w:rsidRPr="00132D0C" w:rsidRDefault="00132D0C" w:rsidP="00132D0C">
            <w:pPr>
              <w:pStyle w:val="Tableheading"/>
              <w:jc w:val="center"/>
              <w:rPr>
                <w:color w:val="434546"/>
              </w:rPr>
            </w:pPr>
            <w:r w:rsidRPr="00132D0C">
              <w:t>Female</w:t>
            </w:r>
          </w:p>
        </w:tc>
        <w:tc>
          <w:tcPr>
            <w:tcW w:w="2948" w:type="dxa"/>
            <w:gridSpan w:val="4"/>
            <w:tcBorders>
              <w:top w:val="single" w:sz="18" w:space="0" w:color="5D7531"/>
              <w:left w:val="single" w:sz="4" w:space="0" w:color="FFFFFF"/>
            </w:tcBorders>
            <w:shd w:val="clear" w:color="auto" w:fill="98BD45"/>
            <w:tcMar>
              <w:top w:w="113" w:type="dxa"/>
              <w:left w:w="113" w:type="dxa"/>
              <w:bottom w:w="113" w:type="dxa"/>
              <w:right w:w="0" w:type="dxa"/>
            </w:tcMar>
            <w:vAlign w:val="center"/>
          </w:tcPr>
          <w:p w14:paraId="34057B6F" w14:textId="77777777" w:rsidR="00132D0C" w:rsidRPr="00132D0C" w:rsidRDefault="00132D0C" w:rsidP="00132D0C">
            <w:pPr>
              <w:pStyle w:val="Tableheading"/>
              <w:jc w:val="center"/>
              <w:rPr>
                <w:color w:val="434546"/>
              </w:rPr>
            </w:pPr>
            <w:r w:rsidRPr="00132D0C">
              <w:t>Male</w:t>
            </w:r>
          </w:p>
        </w:tc>
        <w:tc>
          <w:tcPr>
            <w:tcW w:w="794" w:type="dxa"/>
            <w:gridSpan w:val="2"/>
            <w:vMerge w:val="restart"/>
            <w:tcBorders>
              <w:top w:val="single" w:sz="18" w:space="0" w:color="5D7531"/>
              <w:left w:val="nil"/>
              <w:bottom w:val="single" w:sz="6" w:space="0" w:color="5D7531"/>
            </w:tcBorders>
            <w:shd w:val="solid" w:color="97BC44" w:fill="auto"/>
            <w:tcMar>
              <w:top w:w="113" w:type="dxa"/>
              <w:left w:w="57" w:type="dxa"/>
              <w:bottom w:w="113" w:type="dxa"/>
              <w:right w:w="57" w:type="dxa"/>
            </w:tcMar>
            <w:vAlign w:val="bottom"/>
          </w:tcPr>
          <w:p w14:paraId="515D1535" w14:textId="77777777" w:rsidR="00132D0C" w:rsidRPr="00132D0C" w:rsidRDefault="00132D0C" w:rsidP="00132D0C">
            <w:pPr>
              <w:pStyle w:val="Tableheading"/>
              <w:jc w:val="center"/>
              <w:rPr>
                <w:color w:val="434546"/>
              </w:rPr>
            </w:pPr>
            <w:r w:rsidRPr="00132D0C">
              <w:t>Total</w:t>
            </w:r>
          </w:p>
        </w:tc>
      </w:tr>
      <w:tr w:rsidR="00132D0C" w:rsidRPr="00132D0C" w14:paraId="71EDF77A" w14:textId="77777777" w:rsidTr="005E0AFC">
        <w:trPr>
          <w:trHeight w:val="552"/>
        </w:trPr>
        <w:tc>
          <w:tcPr>
            <w:tcW w:w="1587" w:type="dxa"/>
            <w:vMerge/>
            <w:tcBorders>
              <w:top w:val="single" w:sz="6" w:space="0" w:color="5D7531"/>
              <w:bottom w:val="single" w:sz="6" w:space="0" w:color="5D7531"/>
            </w:tcBorders>
          </w:tcPr>
          <w:p w14:paraId="509840E3" w14:textId="77777777" w:rsidR="00132D0C" w:rsidRPr="00132D0C" w:rsidRDefault="00132D0C" w:rsidP="00C9282C">
            <w:pPr>
              <w:rPr>
                <w:rFonts w:ascii="Gotham Bold" w:hAnsi="Gotham Bold"/>
                <w:sz w:val="24"/>
                <w:szCs w:val="24"/>
              </w:rPr>
            </w:pPr>
          </w:p>
        </w:tc>
        <w:tc>
          <w:tcPr>
            <w:tcW w:w="1474" w:type="dxa"/>
            <w:gridSpan w:val="2"/>
            <w:tcBorders>
              <w:right w:val="single" w:sz="4" w:space="0" w:color="FFFFFF"/>
            </w:tcBorders>
            <w:shd w:val="clear" w:color="auto" w:fill="5E7631"/>
            <w:tcMar>
              <w:top w:w="113" w:type="dxa"/>
              <w:left w:w="57" w:type="dxa"/>
              <w:bottom w:w="57" w:type="dxa"/>
              <w:right w:w="57" w:type="dxa"/>
            </w:tcMar>
          </w:tcPr>
          <w:p w14:paraId="7BFE1802" w14:textId="77777777" w:rsidR="00132D0C" w:rsidRPr="00C9282C" w:rsidRDefault="00132D0C" w:rsidP="00C9282C">
            <w:pPr>
              <w:pStyle w:val="Tableheading"/>
              <w:jc w:val="center"/>
              <w:rPr>
                <w:b w:val="0"/>
              </w:rPr>
            </w:pPr>
            <w:r w:rsidRPr="00C9282C">
              <w:rPr>
                <w:b w:val="0"/>
              </w:rPr>
              <w:t>Ongoing</w:t>
            </w:r>
          </w:p>
        </w:tc>
        <w:tc>
          <w:tcPr>
            <w:tcW w:w="1474" w:type="dxa"/>
            <w:gridSpan w:val="2"/>
            <w:tcBorders>
              <w:left w:val="single" w:sz="4" w:space="0" w:color="FFFFFF"/>
              <w:right w:val="single" w:sz="4" w:space="0" w:color="FFFFFF"/>
            </w:tcBorders>
            <w:shd w:val="clear" w:color="auto" w:fill="5E7631"/>
            <w:tcMar>
              <w:top w:w="113" w:type="dxa"/>
              <w:left w:w="57" w:type="dxa"/>
              <w:bottom w:w="57" w:type="dxa"/>
              <w:right w:w="57" w:type="dxa"/>
            </w:tcMar>
          </w:tcPr>
          <w:p w14:paraId="5DEBF2DF" w14:textId="77777777" w:rsidR="00132D0C" w:rsidRPr="00C9282C" w:rsidRDefault="00132D0C" w:rsidP="00C9282C">
            <w:pPr>
              <w:pStyle w:val="Tableheading"/>
              <w:jc w:val="center"/>
              <w:rPr>
                <w:b w:val="0"/>
              </w:rPr>
            </w:pPr>
            <w:r w:rsidRPr="00C9282C">
              <w:rPr>
                <w:b w:val="0"/>
              </w:rPr>
              <w:t>Non-ongoing</w:t>
            </w:r>
          </w:p>
        </w:tc>
        <w:tc>
          <w:tcPr>
            <w:tcW w:w="1474" w:type="dxa"/>
            <w:gridSpan w:val="2"/>
            <w:tcBorders>
              <w:left w:val="single" w:sz="4" w:space="0" w:color="FFFFFF"/>
              <w:right w:val="single" w:sz="4" w:space="0" w:color="FFFFFF"/>
            </w:tcBorders>
            <w:shd w:val="clear" w:color="auto" w:fill="5E7631"/>
            <w:tcMar>
              <w:top w:w="113" w:type="dxa"/>
              <w:left w:w="57" w:type="dxa"/>
              <w:bottom w:w="57" w:type="dxa"/>
              <w:right w:w="57" w:type="dxa"/>
            </w:tcMar>
          </w:tcPr>
          <w:p w14:paraId="3FD12F73" w14:textId="77777777" w:rsidR="00132D0C" w:rsidRPr="00C9282C" w:rsidRDefault="00132D0C" w:rsidP="00C9282C">
            <w:pPr>
              <w:pStyle w:val="Tableheading"/>
              <w:jc w:val="center"/>
              <w:rPr>
                <w:b w:val="0"/>
              </w:rPr>
            </w:pPr>
            <w:r w:rsidRPr="00C9282C">
              <w:rPr>
                <w:b w:val="0"/>
              </w:rPr>
              <w:t>Ongoing</w:t>
            </w:r>
          </w:p>
        </w:tc>
        <w:tc>
          <w:tcPr>
            <w:tcW w:w="1474" w:type="dxa"/>
            <w:gridSpan w:val="2"/>
            <w:tcBorders>
              <w:left w:val="single" w:sz="4" w:space="0" w:color="FFFFFF"/>
            </w:tcBorders>
            <w:shd w:val="clear" w:color="auto" w:fill="5E7631"/>
            <w:tcMar>
              <w:top w:w="113" w:type="dxa"/>
              <w:left w:w="57" w:type="dxa"/>
              <w:bottom w:w="57" w:type="dxa"/>
              <w:right w:w="57" w:type="dxa"/>
            </w:tcMar>
          </w:tcPr>
          <w:p w14:paraId="571631D5" w14:textId="77777777" w:rsidR="00132D0C" w:rsidRPr="00C9282C" w:rsidRDefault="00132D0C" w:rsidP="00C9282C">
            <w:pPr>
              <w:pStyle w:val="Tableheading"/>
              <w:jc w:val="center"/>
              <w:rPr>
                <w:b w:val="0"/>
              </w:rPr>
            </w:pPr>
            <w:r w:rsidRPr="00C9282C">
              <w:rPr>
                <w:b w:val="0"/>
              </w:rPr>
              <w:t>Non-ongoing</w:t>
            </w:r>
          </w:p>
        </w:tc>
        <w:tc>
          <w:tcPr>
            <w:tcW w:w="794" w:type="dxa"/>
            <w:gridSpan w:val="2"/>
            <w:vMerge/>
            <w:tcBorders>
              <w:top w:val="single" w:sz="6" w:space="0" w:color="5D7531"/>
              <w:left w:val="nil"/>
              <w:bottom w:val="single" w:sz="6" w:space="0" w:color="5D7531"/>
            </w:tcBorders>
          </w:tcPr>
          <w:p w14:paraId="0982972B" w14:textId="77777777" w:rsidR="00132D0C" w:rsidRPr="00132D0C" w:rsidRDefault="00132D0C" w:rsidP="00C9282C">
            <w:pPr>
              <w:rPr>
                <w:rFonts w:ascii="Gotham Bold" w:hAnsi="Gotham Bold"/>
                <w:sz w:val="24"/>
                <w:szCs w:val="24"/>
              </w:rPr>
            </w:pPr>
          </w:p>
        </w:tc>
      </w:tr>
      <w:tr w:rsidR="00132D0C" w:rsidRPr="00132D0C" w14:paraId="3496A708" w14:textId="77777777" w:rsidTr="00B6092A">
        <w:trPr>
          <w:trHeight w:val="552"/>
        </w:trPr>
        <w:tc>
          <w:tcPr>
            <w:tcW w:w="1587" w:type="dxa"/>
            <w:vMerge/>
            <w:tcBorders>
              <w:top w:val="single" w:sz="6" w:space="0" w:color="5D7531"/>
              <w:bottom w:val="single" w:sz="4" w:space="0" w:color="FFFFFF" w:themeColor="background1"/>
            </w:tcBorders>
          </w:tcPr>
          <w:p w14:paraId="513BFFA0" w14:textId="77777777" w:rsidR="00132D0C" w:rsidRPr="00132D0C" w:rsidRDefault="00132D0C" w:rsidP="00C9282C">
            <w:pPr>
              <w:rPr>
                <w:rFonts w:ascii="Gotham Bold" w:hAnsi="Gotham Bold"/>
                <w:sz w:val="24"/>
                <w:szCs w:val="24"/>
              </w:rPr>
            </w:pPr>
          </w:p>
        </w:tc>
        <w:tc>
          <w:tcPr>
            <w:tcW w:w="737" w:type="dxa"/>
            <w:tcBorders>
              <w:bottom w:val="single" w:sz="4" w:space="0" w:color="FFFFFF" w:themeColor="background1"/>
              <w:right w:val="single" w:sz="4" w:space="0" w:color="FFFFFF"/>
            </w:tcBorders>
            <w:shd w:val="clear" w:color="auto" w:fill="5E7631"/>
            <w:tcMar>
              <w:top w:w="113" w:type="dxa"/>
              <w:left w:w="57" w:type="dxa"/>
              <w:bottom w:w="57" w:type="dxa"/>
              <w:right w:w="57" w:type="dxa"/>
            </w:tcMar>
          </w:tcPr>
          <w:p w14:paraId="05CA8428" w14:textId="77777777" w:rsidR="00132D0C" w:rsidRPr="00C9282C" w:rsidRDefault="00132D0C" w:rsidP="00C9282C">
            <w:pPr>
              <w:pStyle w:val="Tableheading"/>
              <w:jc w:val="center"/>
              <w:rPr>
                <w:b w:val="0"/>
              </w:rPr>
            </w:pPr>
            <w:r w:rsidRPr="00C9282C">
              <w:rPr>
                <w:b w:val="0"/>
              </w:rPr>
              <w:t>Full time</w:t>
            </w:r>
          </w:p>
        </w:tc>
        <w:tc>
          <w:tcPr>
            <w:tcW w:w="737" w:type="dxa"/>
            <w:tcBorders>
              <w:left w:val="single" w:sz="4" w:space="0" w:color="FFFFFF"/>
              <w:bottom w:val="single" w:sz="4" w:space="0" w:color="FFFFFF" w:themeColor="background1"/>
              <w:right w:val="single" w:sz="4" w:space="0" w:color="FFFFFF"/>
            </w:tcBorders>
            <w:shd w:val="clear" w:color="auto" w:fill="5E7631"/>
            <w:tcMar>
              <w:top w:w="113" w:type="dxa"/>
              <w:left w:w="57" w:type="dxa"/>
              <w:bottom w:w="57" w:type="dxa"/>
              <w:right w:w="57" w:type="dxa"/>
            </w:tcMar>
          </w:tcPr>
          <w:p w14:paraId="453C9CA4" w14:textId="77777777" w:rsidR="00132D0C" w:rsidRPr="00C9282C" w:rsidRDefault="00132D0C" w:rsidP="00C9282C">
            <w:pPr>
              <w:pStyle w:val="Tableheading"/>
              <w:jc w:val="center"/>
              <w:rPr>
                <w:b w:val="0"/>
              </w:rPr>
            </w:pPr>
            <w:r w:rsidRPr="00C9282C">
              <w:rPr>
                <w:b w:val="0"/>
              </w:rPr>
              <w:t>Part time</w:t>
            </w:r>
          </w:p>
        </w:tc>
        <w:tc>
          <w:tcPr>
            <w:tcW w:w="737" w:type="dxa"/>
            <w:tcBorders>
              <w:left w:val="single" w:sz="4" w:space="0" w:color="FFFFFF"/>
              <w:bottom w:val="single" w:sz="4" w:space="0" w:color="FFFFFF" w:themeColor="background1"/>
              <w:right w:val="single" w:sz="4" w:space="0" w:color="FFFFFF"/>
            </w:tcBorders>
            <w:shd w:val="clear" w:color="auto" w:fill="5E7631"/>
            <w:tcMar>
              <w:top w:w="113" w:type="dxa"/>
              <w:left w:w="57" w:type="dxa"/>
              <w:bottom w:w="57" w:type="dxa"/>
              <w:right w:w="57" w:type="dxa"/>
            </w:tcMar>
          </w:tcPr>
          <w:p w14:paraId="41521C90" w14:textId="77777777" w:rsidR="00132D0C" w:rsidRPr="00C9282C" w:rsidRDefault="00132D0C" w:rsidP="00C9282C">
            <w:pPr>
              <w:pStyle w:val="Tableheading"/>
              <w:jc w:val="center"/>
              <w:rPr>
                <w:b w:val="0"/>
              </w:rPr>
            </w:pPr>
            <w:r w:rsidRPr="00C9282C">
              <w:rPr>
                <w:b w:val="0"/>
              </w:rPr>
              <w:t>Full time</w:t>
            </w:r>
          </w:p>
        </w:tc>
        <w:tc>
          <w:tcPr>
            <w:tcW w:w="737" w:type="dxa"/>
            <w:tcBorders>
              <w:left w:val="single" w:sz="4" w:space="0" w:color="FFFFFF"/>
              <w:bottom w:val="single" w:sz="4" w:space="0" w:color="FFFFFF" w:themeColor="background1"/>
              <w:right w:val="single" w:sz="4" w:space="0" w:color="FFFFFF"/>
            </w:tcBorders>
            <w:shd w:val="clear" w:color="auto" w:fill="5E7631"/>
            <w:tcMar>
              <w:top w:w="113" w:type="dxa"/>
              <w:left w:w="57" w:type="dxa"/>
              <w:bottom w:w="57" w:type="dxa"/>
              <w:right w:w="57" w:type="dxa"/>
            </w:tcMar>
          </w:tcPr>
          <w:p w14:paraId="061EAA1D" w14:textId="77777777" w:rsidR="00132D0C" w:rsidRPr="00C9282C" w:rsidRDefault="00132D0C" w:rsidP="00C9282C">
            <w:pPr>
              <w:pStyle w:val="Tableheading"/>
              <w:jc w:val="center"/>
              <w:rPr>
                <w:b w:val="0"/>
              </w:rPr>
            </w:pPr>
            <w:r w:rsidRPr="00C9282C">
              <w:rPr>
                <w:b w:val="0"/>
              </w:rPr>
              <w:t>Part time</w:t>
            </w:r>
          </w:p>
        </w:tc>
        <w:tc>
          <w:tcPr>
            <w:tcW w:w="737" w:type="dxa"/>
            <w:tcBorders>
              <w:left w:val="single" w:sz="4" w:space="0" w:color="FFFFFF"/>
              <w:bottom w:val="single" w:sz="4" w:space="0" w:color="FFFFFF" w:themeColor="background1"/>
              <w:right w:val="single" w:sz="4" w:space="0" w:color="FFFFFF"/>
            </w:tcBorders>
            <w:shd w:val="clear" w:color="auto" w:fill="5E7631"/>
            <w:tcMar>
              <w:top w:w="113" w:type="dxa"/>
              <w:left w:w="57" w:type="dxa"/>
              <w:bottom w:w="57" w:type="dxa"/>
              <w:right w:w="57" w:type="dxa"/>
            </w:tcMar>
          </w:tcPr>
          <w:p w14:paraId="6170E04B" w14:textId="77777777" w:rsidR="00132D0C" w:rsidRPr="00C9282C" w:rsidRDefault="00132D0C" w:rsidP="00C9282C">
            <w:pPr>
              <w:pStyle w:val="Tableheading"/>
              <w:jc w:val="center"/>
              <w:rPr>
                <w:b w:val="0"/>
              </w:rPr>
            </w:pPr>
            <w:r w:rsidRPr="00C9282C">
              <w:rPr>
                <w:b w:val="0"/>
              </w:rPr>
              <w:t>Full time</w:t>
            </w:r>
          </w:p>
        </w:tc>
        <w:tc>
          <w:tcPr>
            <w:tcW w:w="737" w:type="dxa"/>
            <w:tcBorders>
              <w:left w:val="single" w:sz="4" w:space="0" w:color="FFFFFF"/>
              <w:bottom w:val="single" w:sz="4" w:space="0" w:color="FFFFFF" w:themeColor="background1"/>
              <w:right w:val="single" w:sz="4" w:space="0" w:color="FFFFFF"/>
            </w:tcBorders>
            <w:shd w:val="clear" w:color="auto" w:fill="5E7631"/>
            <w:tcMar>
              <w:top w:w="113" w:type="dxa"/>
              <w:left w:w="57" w:type="dxa"/>
              <w:bottom w:w="57" w:type="dxa"/>
              <w:right w:w="57" w:type="dxa"/>
            </w:tcMar>
          </w:tcPr>
          <w:p w14:paraId="42597B35" w14:textId="77777777" w:rsidR="00132D0C" w:rsidRPr="00C9282C" w:rsidRDefault="00132D0C" w:rsidP="00C9282C">
            <w:pPr>
              <w:pStyle w:val="Tableheading"/>
              <w:jc w:val="center"/>
              <w:rPr>
                <w:b w:val="0"/>
              </w:rPr>
            </w:pPr>
            <w:r w:rsidRPr="00C9282C">
              <w:rPr>
                <w:b w:val="0"/>
              </w:rPr>
              <w:t>Part time</w:t>
            </w:r>
          </w:p>
        </w:tc>
        <w:tc>
          <w:tcPr>
            <w:tcW w:w="737" w:type="dxa"/>
            <w:tcBorders>
              <w:left w:val="single" w:sz="4" w:space="0" w:color="FFFFFF"/>
              <w:bottom w:val="single" w:sz="4" w:space="0" w:color="FFFFFF" w:themeColor="background1"/>
              <w:right w:val="single" w:sz="4" w:space="0" w:color="FFFFFF"/>
            </w:tcBorders>
            <w:shd w:val="clear" w:color="auto" w:fill="5E7631"/>
            <w:tcMar>
              <w:top w:w="113" w:type="dxa"/>
              <w:left w:w="57" w:type="dxa"/>
              <w:bottom w:w="57" w:type="dxa"/>
              <w:right w:w="57" w:type="dxa"/>
            </w:tcMar>
          </w:tcPr>
          <w:p w14:paraId="7DD8718C" w14:textId="77777777" w:rsidR="00132D0C" w:rsidRPr="00C9282C" w:rsidRDefault="00132D0C" w:rsidP="00C9282C">
            <w:pPr>
              <w:pStyle w:val="Tableheading"/>
              <w:jc w:val="center"/>
              <w:rPr>
                <w:b w:val="0"/>
              </w:rPr>
            </w:pPr>
            <w:r w:rsidRPr="00C9282C">
              <w:rPr>
                <w:b w:val="0"/>
              </w:rPr>
              <w:t>Full time</w:t>
            </w:r>
          </w:p>
        </w:tc>
        <w:tc>
          <w:tcPr>
            <w:tcW w:w="737" w:type="dxa"/>
            <w:tcBorders>
              <w:left w:val="single" w:sz="4" w:space="0" w:color="FFFFFF"/>
              <w:bottom w:val="single" w:sz="4" w:space="0" w:color="FFFFFF" w:themeColor="background1"/>
            </w:tcBorders>
            <w:shd w:val="clear" w:color="auto" w:fill="5E7631"/>
            <w:tcMar>
              <w:top w:w="113" w:type="dxa"/>
              <w:left w:w="57" w:type="dxa"/>
              <w:bottom w:w="57" w:type="dxa"/>
              <w:right w:w="57" w:type="dxa"/>
            </w:tcMar>
          </w:tcPr>
          <w:p w14:paraId="73890B22" w14:textId="77777777" w:rsidR="00132D0C" w:rsidRPr="00C9282C" w:rsidRDefault="00132D0C" w:rsidP="00C9282C">
            <w:pPr>
              <w:pStyle w:val="Tableheading"/>
              <w:jc w:val="center"/>
              <w:rPr>
                <w:b w:val="0"/>
              </w:rPr>
            </w:pPr>
            <w:r w:rsidRPr="00C9282C">
              <w:rPr>
                <w:b w:val="0"/>
              </w:rPr>
              <w:t>Part time</w:t>
            </w:r>
          </w:p>
        </w:tc>
        <w:tc>
          <w:tcPr>
            <w:tcW w:w="794" w:type="dxa"/>
            <w:gridSpan w:val="2"/>
            <w:vMerge/>
            <w:tcBorders>
              <w:top w:val="single" w:sz="6" w:space="0" w:color="5D7531"/>
              <w:left w:val="nil"/>
              <w:bottom w:val="single" w:sz="4" w:space="0" w:color="FFFFFF" w:themeColor="background1"/>
            </w:tcBorders>
          </w:tcPr>
          <w:p w14:paraId="6B7CFA2E" w14:textId="77777777" w:rsidR="00132D0C" w:rsidRPr="00132D0C" w:rsidRDefault="00132D0C" w:rsidP="00C9282C">
            <w:pPr>
              <w:rPr>
                <w:rFonts w:ascii="Gotham Bold" w:hAnsi="Gotham Bold"/>
                <w:sz w:val="24"/>
                <w:szCs w:val="24"/>
              </w:rPr>
            </w:pPr>
          </w:p>
        </w:tc>
      </w:tr>
      <w:tr w:rsidR="00132D0C" w:rsidRPr="00132D0C" w14:paraId="3E7FAFB7" w14:textId="77777777" w:rsidTr="00B6092A">
        <w:trPr>
          <w:gridAfter w:val="1"/>
          <w:wAfter w:w="44" w:type="dxa"/>
          <w:trHeight w:val="60"/>
        </w:trPr>
        <w:tc>
          <w:tcPr>
            <w:tcW w:w="1587" w:type="dxa"/>
            <w:tcBorders>
              <w:top w:val="single" w:sz="4" w:space="0" w:color="FFFFFF" w:themeColor="background1"/>
              <w:bottom w:val="single" w:sz="8" w:space="0" w:color="97BC44"/>
              <w:right w:val="single" w:sz="2" w:space="0" w:color="97BC44"/>
            </w:tcBorders>
            <w:shd w:val="clear" w:color="auto" w:fill="auto"/>
            <w:tcMar>
              <w:top w:w="57" w:type="dxa"/>
              <w:left w:w="113" w:type="dxa"/>
              <w:bottom w:w="57" w:type="dxa"/>
              <w:right w:w="0" w:type="dxa"/>
            </w:tcMar>
          </w:tcPr>
          <w:p w14:paraId="12929C2D" w14:textId="77777777" w:rsidR="00132D0C" w:rsidRPr="00132D0C" w:rsidRDefault="00132D0C" w:rsidP="00132D0C">
            <w:pPr>
              <w:pStyle w:val="Tabletextsmall"/>
            </w:pPr>
            <w:r w:rsidRPr="00132D0C">
              <w:t>CEO</w:t>
            </w:r>
          </w:p>
        </w:tc>
        <w:tc>
          <w:tcPr>
            <w:tcW w:w="737" w:type="dxa"/>
            <w:tcBorders>
              <w:top w:val="single" w:sz="4" w:space="0" w:color="FFFFFF" w:themeColor="background1"/>
              <w:left w:val="single" w:sz="2" w:space="0" w:color="97BC44"/>
              <w:bottom w:val="single" w:sz="8" w:space="0" w:color="97BC44"/>
              <w:right w:val="single" w:sz="2" w:space="0" w:color="97BC44"/>
            </w:tcBorders>
            <w:shd w:val="clear" w:color="auto" w:fill="auto"/>
            <w:tcMar>
              <w:top w:w="57" w:type="dxa"/>
              <w:left w:w="57" w:type="dxa"/>
              <w:bottom w:w="57" w:type="dxa"/>
              <w:right w:w="57" w:type="dxa"/>
            </w:tcMar>
          </w:tcPr>
          <w:p w14:paraId="1D7E1BA7" w14:textId="77777777" w:rsidR="00132D0C" w:rsidRPr="00132D0C" w:rsidRDefault="00132D0C" w:rsidP="005E0AFC">
            <w:pPr>
              <w:pStyle w:val="Tabletextsmall"/>
              <w:jc w:val="center"/>
              <w:rPr>
                <w:rFonts w:ascii="Gotham Bold" w:hAnsi="Gotham Bold"/>
                <w:sz w:val="24"/>
                <w:szCs w:val="24"/>
              </w:rPr>
            </w:pPr>
          </w:p>
        </w:tc>
        <w:tc>
          <w:tcPr>
            <w:tcW w:w="737" w:type="dxa"/>
            <w:tcBorders>
              <w:top w:val="single" w:sz="4" w:space="0" w:color="FFFFFF" w:themeColor="background1"/>
              <w:left w:val="single" w:sz="2" w:space="0" w:color="97BC44"/>
              <w:bottom w:val="single" w:sz="8" w:space="0" w:color="97BC44"/>
              <w:right w:val="single" w:sz="2" w:space="0" w:color="97BC44"/>
            </w:tcBorders>
            <w:shd w:val="clear" w:color="auto" w:fill="auto"/>
            <w:tcMar>
              <w:top w:w="57" w:type="dxa"/>
              <w:left w:w="57" w:type="dxa"/>
              <w:bottom w:w="57" w:type="dxa"/>
              <w:right w:w="57" w:type="dxa"/>
            </w:tcMar>
          </w:tcPr>
          <w:p w14:paraId="09F79D14" w14:textId="77777777" w:rsidR="00132D0C" w:rsidRPr="00132D0C" w:rsidRDefault="00132D0C" w:rsidP="005E0AFC">
            <w:pPr>
              <w:pStyle w:val="Tabletextsmall"/>
              <w:jc w:val="center"/>
              <w:rPr>
                <w:rFonts w:ascii="Gotham Bold" w:hAnsi="Gotham Bold"/>
                <w:sz w:val="24"/>
                <w:szCs w:val="24"/>
              </w:rPr>
            </w:pPr>
          </w:p>
        </w:tc>
        <w:tc>
          <w:tcPr>
            <w:tcW w:w="737" w:type="dxa"/>
            <w:tcBorders>
              <w:top w:val="single" w:sz="4" w:space="0" w:color="FFFFFF" w:themeColor="background1"/>
              <w:left w:val="single" w:sz="2" w:space="0" w:color="97BC44"/>
              <w:bottom w:val="single" w:sz="8" w:space="0" w:color="97BC44"/>
              <w:right w:val="single" w:sz="2" w:space="0" w:color="97BC44"/>
            </w:tcBorders>
            <w:shd w:val="clear" w:color="auto" w:fill="auto"/>
            <w:tcMar>
              <w:top w:w="57" w:type="dxa"/>
              <w:left w:w="57" w:type="dxa"/>
              <w:bottom w:w="57" w:type="dxa"/>
              <w:right w:w="57" w:type="dxa"/>
            </w:tcMar>
          </w:tcPr>
          <w:p w14:paraId="7B51BFB6" w14:textId="77777777" w:rsidR="00132D0C" w:rsidRPr="00132D0C" w:rsidRDefault="00132D0C" w:rsidP="005E0AFC">
            <w:pPr>
              <w:pStyle w:val="Tabletextsmall"/>
              <w:jc w:val="center"/>
            </w:pPr>
            <w:r w:rsidRPr="00132D0C">
              <w:t>1</w:t>
            </w:r>
          </w:p>
        </w:tc>
        <w:tc>
          <w:tcPr>
            <w:tcW w:w="737" w:type="dxa"/>
            <w:tcBorders>
              <w:top w:val="single" w:sz="4" w:space="0" w:color="FFFFFF" w:themeColor="background1"/>
              <w:left w:val="single" w:sz="2" w:space="0" w:color="97BC44"/>
              <w:bottom w:val="single" w:sz="8" w:space="0" w:color="97BC44"/>
              <w:right w:val="single" w:sz="2" w:space="0" w:color="97BC44"/>
            </w:tcBorders>
            <w:shd w:val="clear" w:color="auto" w:fill="auto"/>
            <w:tcMar>
              <w:top w:w="57" w:type="dxa"/>
              <w:left w:w="57" w:type="dxa"/>
              <w:bottom w:w="57" w:type="dxa"/>
              <w:right w:w="57" w:type="dxa"/>
            </w:tcMar>
          </w:tcPr>
          <w:p w14:paraId="0A3492D8" w14:textId="77777777" w:rsidR="00132D0C" w:rsidRPr="00132D0C" w:rsidRDefault="00132D0C" w:rsidP="005E0AFC">
            <w:pPr>
              <w:pStyle w:val="Tabletextsmall"/>
              <w:jc w:val="center"/>
              <w:rPr>
                <w:rFonts w:ascii="Gotham Bold" w:hAnsi="Gotham Bold"/>
                <w:sz w:val="24"/>
                <w:szCs w:val="24"/>
              </w:rPr>
            </w:pPr>
          </w:p>
        </w:tc>
        <w:tc>
          <w:tcPr>
            <w:tcW w:w="737" w:type="dxa"/>
            <w:tcBorders>
              <w:top w:val="single" w:sz="4" w:space="0" w:color="FFFFFF" w:themeColor="background1"/>
              <w:left w:val="single" w:sz="2" w:space="0" w:color="97BC44"/>
              <w:bottom w:val="single" w:sz="8" w:space="0" w:color="97BC44"/>
              <w:right w:val="single" w:sz="2" w:space="0" w:color="97BC44"/>
            </w:tcBorders>
            <w:shd w:val="clear" w:color="auto" w:fill="auto"/>
            <w:tcMar>
              <w:top w:w="57" w:type="dxa"/>
              <w:left w:w="57" w:type="dxa"/>
              <w:bottom w:w="57" w:type="dxa"/>
              <w:right w:w="57" w:type="dxa"/>
            </w:tcMar>
          </w:tcPr>
          <w:p w14:paraId="1DF22756" w14:textId="77777777" w:rsidR="00132D0C" w:rsidRPr="00132D0C" w:rsidRDefault="00132D0C" w:rsidP="005E0AFC">
            <w:pPr>
              <w:pStyle w:val="Tabletextsmall"/>
              <w:jc w:val="center"/>
              <w:rPr>
                <w:rFonts w:ascii="Gotham Bold" w:hAnsi="Gotham Bold"/>
                <w:sz w:val="24"/>
                <w:szCs w:val="24"/>
              </w:rPr>
            </w:pPr>
          </w:p>
        </w:tc>
        <w:tc>
          <w:tcPr>
            <w:tcW w:w="737" w:type="dxa"/>
            <w:tcBorders>
              <w:top w:val="single" w:sz="4" w:space="0" w:color="FFFFFF" w:themeColor="background1"/>
              <w:left w:val="single" w:sz="2" w:space="0" w:color="97BC44"/>
              <w:bottom w:val="single" w:sz="8" w:space="0" w:color="97BC44"/>
              <w:right w:val="single" w:sz="2" w:space="0" w:color="97BC44"/>
            </w:tcBorders>
            <w:shd w:val="clear" w:color="auto" w:fill="auto"/>
            <w:tcMar>
              <w:top w:w="57" w:type="dxa"/>
              <w:left w:w="57" w:type="dxa"/>
              <w:bottom w:w="57" w:type="dxa"/>
              <w:right w:w="57" w:type="dxa"/>
            </w:tcMar>
          </w:tcPr>
          <w:p w14:paraId="6DDBD0ED" w14:textId="77777777" w:rsidR="00132D0C" w:rsidRPr="00132D0C" w:rsidRDefault="00132D0C" w:rsidP="005E0AFC">
            <w:pPr>
              <w:pStyle w:val="Tabletextsmall"/>
              <w:jc w:val="center"/>
              <w:rPr>
                <w:rFonts w:ascii="Gotham Bold" w:hAnsi="Gotham Bold"/>
                <w:sz w:val="24"/>
                <w:szCs w:val="24"/>
              </w:rPr>
            </w:pPr>
          </w:p>
        </w:tc>
        <w:tc>
          <w:tcPr>
            <w:tcW w:w="737" w:type="dxa"/>
            <w:tcBorders>
              <w:top w:val="single" w:sz="4" w:space="0" w:color="FFFFFF" w:themeColor="background1"/>
              <w:left w:val="single" w:sz="2" w:space="0" w:color="97BC44"/>
              <w:bottom w:val="single" w:sz="8" w:space="0" w:color="97BC44"/>
              <w:right w:val="single" w:sz="2" w:space="0" w:color="97BC44"/>
            </w:tcBorders>
            <w:shd w:val="clear" w:color="auto" w:fill="auto"/>
            <w:tcMar>
              <w:top w:w="57" w:type="dxa"/>
              <w:left w:w="57" w:type="dxa"/>
              <w:bottom w:w="57" w:type="dxa"/>
              <w:right w:w="57" w:type="dxa"/>
            </w:tcMar>
          </w:tcPr>
          <w:p w14:paraId="24EB0744" w14:textId="77777777" w:rsidR="00132D0C" w:rsidRPr="00132D0C" w:rsidRDefault="00132D0C" w:rsidP="005E0AFC">
            <w:pPr>
              <w:pStyle w:val="Tabletextsmall"/>
              <w:jc w:val="center"/>
              <w:rPr>
                <w:rFonts w:ascii="Gotham Bold" w:hAnsi="Gotham Bold"/>
                <w:sz w:val="24"/>
                <w:szCs w:val="24"/>
              </w:rPr>
            </w:pPr>
          </w:p>
        </w:tc>
        <w:tc>
          <w:tcPr>
            <w:tcW w:w="737" w:type="dxa"/>
            <w:tcBorders>
              <w:top w:val="single" w:sz="4" w:space="0" w:color="FFFFFF" w:themeColor="background1"/>
              <w:left w:val="single" w:sz="2" w:space="0" w:color="97BC44"/>
              <w:bottom w:val="single" w:sz="8" w:space="0" w:color="97BC44"/>
              <w:right w:val="single" w:sz="2" w:space="0" w:color="97BC44"/>
            </w:tcBorders>
            <w:shd w:val="clear" w:color="auto" w:fill="auto"/>
            <w:tcMar>
              <w:top w:w="57" w:type="dxa"/>
              <w:left w:w="57" w:type="dxa"/>
              <w:bottom w:w="57" w:type="dxa"/>
              <w:right w:w="57" w:type="dxa"/>
            </w:tcMar>
          </w:tcPr>
          <w:p w14:paraId="67827638" w14:textId="77777777" w:rsidR="00132D0C" w:rsidRPr="00132D0C" w:rsidRDefault="00132D0C" w:rsidP="005E0AFC">
            <w:pPr>
              <w:pStyle w:val="Tabletextsmall"/>
              <w:jc w:val="center"/>
              <w:rPr>
                <w:rFonts w:ascii="Gotham Bold" w:hAnsi="Gotham Bold"/>
                <w:sz w:val="24"/>
                <w:szCs w:val="24"/>
              </w:rPr>
            </w:pPr>
          </w:p>
        </w:tc>
        <w:tc>
          <w:tcPr>
            <w:tcW w:w="750" w:type="dxa"/>
            <w:tcBorders>
              <w:top w:val="single" w:sz="4" w:space="0" w:color="FFFFFF" w:themeColor="background1"/>
              <w:left w:val="single" w:sz="2" w:space="0" w:color="97BC44"/>
              <w:bottom w:val="single" w:sz="8" w:space="0" w:color="97BC44"/>
            </w:tcBorders>
            <w:shd w:val="clear" w:color="auto" w:fill="auto"/>
            <w:tcMar>
              <w:top w:w="57" w:type="dxa"/>
              <w:left w:w="57" w:type="dxa"/>
              <w:bottom w:w="57" w:type="dxa"/>
              <w:right w:w="57" w:type="dxa"/>
            </w:tcMar>
          </w:tcPr>
          <w:p w14:paraId="12FE3D3B" w14:textId="77777777" w:rsidR="00132D0C" w:rsidRPr="005E0AFC" w:rsidRDefault="00132D0C" w:rsidP="005E0AFC">
            <w:pPr>
              <w:pStyle w:val="Tabletextsmall"/>
              <w:jc w:val="center"/>
              <w:rPr>
                <w:rStyle w:val="Strong"/>
              </w:rPr>
            </w:pPr>
            <w:r w:rsidRPr="005E0AFC">
              <w:rPr>
                <w:rStyle w:val="Strong"/>
              </w:rPr>
              <w:t>1</w:t>
            </w:r>
          </w:p>
        </w:tc>
      </w:tr>
      <w:tr w:rsidR="00132D0C" w:rsidRPr="00132D0C" w14:paraId="249B8501" w14:textId="77777777" w:rsidTr="00132D0C">
        <w:trPr>
          <w:trHeight w:val="60"/>
        </w:trPr>
        <w:tc>
          <w:tcPr>
            <w:tcW w:w="1587" w:type="dxa"/>
            <w:tcBorders>
              <w:top w:val="single" w:sz="8" w:space="0" w:color="97BC44"/>
              <w:bottom w:val="single" w:sz="8" w:space="0" w:color="97BC44"/>
              <w:right w:val="single" w:sz="2" w:space="0" w:color="97BC44"/>
            </w:tcBorders>
            <w:shd w:val="clear" w:color="auto" w:fill="EFF4E6"/>
            <w:tcMar>
              <w:top w:w="57" w:type="dxa"/>
              <w:left w:w="113" w:type="dxa"/>
              <w:bottom w:w="57" w:type="dxa"/>
              <w:right w:w="0" w:type="dxa"/>
            </w:tcMar>
          </w:tcPr>
          <w:p w14:paraId="4384CA8F" w14:textId="77777777" w:rsidR="00132D0C" w:rsidRPr="00132D0C" w:rsidRDefault="00132D0C" w:rsidP="00132D0C">
            <w:pPr>
              <w:pStyle w:val="Tabletextsmall"/>
            </w:pPr>
            <w:r w:rsidRPr="00132D0C">
              <w:t>MO6</w:t>
            </w:r>
          </w:p>
        </w:tc>
        <w:tc>
          <w:tcPr>
            <w:tcW w:w="737" w:type="dxa"/>
            <w:tcBorders>
              <w:top w:val="single" w:sz="8" w:space="0" w:color="97BC44"/>
              <w:left w:val="single" w:sz="2" w:space="0" w:color="97BC44"/>
              <w:bottom w:val="single" w:sz="8" w:space="0" w:color="97BC44"/>
              <w:right w:val="single" w:sz="2" w:space="0" w:color="97BC44"/>
            </w:tcBorders>
            <w:shd w:val="clear" w:color="auto" w:fill="EFF4E6"/>
            <w:tcMar>
              <w:top w:w="57" w:type="dxa"/>
              <w:left w:w="57" w:type="dxa"/>
              <w:bottom w:w="57" w:type="dxa"/>
              <w:right w:w="57" w:type="dxa"/>
            </w:tcMar>
          </w:tcPr>
          <w:p w14:paraId="585BA9F0" w14:textId="77777777" w:rsidR="00132D0C" w:rsidRPr="00132D0C" w:rsidRDefault="00132D0C" w:rsidP="005E0AFC">
            <w:pPr>
              <w:pStyle w:val="Tabletextsmall"/>
              <w:jc w:val="center"/>
            </w:pPr>
            <w:r w:rsidRPr="00132D0C">
              <w:t>1</w:t>
            </w:r>
          </w:p>
        </w:tc>
        <w:tc>
          <w:tcPr>
            <w:tcW w:w="737" w:type="dxa"/>
            <w:tcBorders>
              <w:top w:val="single" w:sz="8" w:space="0" w:color="97BC44"/>
              <w:left w:val="single" w:sz="2" w:space="0" w:color="97BC44"/>
              <w:bottom w:val="single" w:sz="8" w:space="0" w:color="97BC44"/>
              <w:right w:val="single" w:sz="2" w:space="0" w:color="97BC44"/>
            </w:tcBorders>
            <w:shd w:val="clear" w:color="auto" w:fill="EFF4E6"/>
            <w:tcMar>
              <w:top w:w="57" w:type="dxa"/>
              <w:left w:w="57" w:type="dxa"/>
              <w:bottom w:w="57" w:type="dxa"/>
              <w:right w:w="57" w:type="dxa"/>
            </w:tcMar>
          </w:tcPr>
          <w:p w14:paraId="4F933BCC" w14:textId="77777777" w:rsidR="00132D0C" w:rsidRPr="00132D0C" w:rsidRDefault="00132D0C" w:rsidP="005E0AFC">
            <w:pPr>
              <w:pStyle w:val="Tabletextsmall"/>
              <w:jc w:val="center"/>
              <w:rPr>
                <w:rFonts w:ascii="Gotham Bold" w:hAnsi="Gotham Bold"/>
                <w:sz w:val="24"/>
                <w:szCs w:val="24"/>
              </w:rPr>
            </w:pPr>
          </w:p>
        </w:tc>
        <w:tc>
          <w:tcPr>
            <w:tcW w:w="737" w:type="dxa"/>
            <w:tcBorders>
              <w:top w:val="single" w:sz="8" w:space="0" w:color="97BC44"/>
              <w:left w:val="single" w:sz="2" w:space="0" w:color="97BC44"/>
              <w:bottom w:val="single" w:sz="8" w:space="0" w:color="97BC44"/>
              <w:right w:val="single" w:sz="2" w:space="0" w:color="97BC44"/>
            </w:tcBorders>
            <w:shd w:val="clear" w:color="auto" w:fill="EFF4E6"/>
            <w:tcMar>
              <w:top w:w="57" w:type="dxa"/>
              <w:left w:w="57" w:type="dxa"/>
              <w:bottom w:w="57" w:type="dxa"/>
              <w:right w:w="57" w:type="dxa"/>
            </w:tcMar>
          </w:tcPr>
          <w:p w14:paraId="5E69D241" w14:textId="77777777" w:rsidR="00132D0C" w:rsidRPr="00132D0C" w:rsidRDefault="00132D0C" w:rsidP="005E0AFC">
            <w:pPr>
              <w:pStyle w:val="Tabletextsmall"/>
              <w:jc w:val="center"/>
              <w:rPr>
                <w:rFonts w:ascii="Gotham Bold" w:hAnsi="Gotham Bold"/>
                <w:sz w:val="24"/>
                <w:szCs w:val="24"/>
              </w:rPr>
            </w:pPr>
          </w:p>
        </w:tc>
        <w:tc>
          <w:tcPr>
            <w:tcW w:w="737" w:type="dxa"/>
            <w:tcBorders>
              <w:top w:val="single" w:sz="8" w:space="0" w:color="97BC44"/>
              <w:left w:val="single" w:sz="2" w:space="0" w:color="97BC44"/>
              <w:bottom w:val="single" w:sz="8" w:space="0" w:color="97BC44"/>
              <w:right w:val="single" w:sz="2" w:space="0" w:color="97BC44"/>
            </w:tcBorders>
            <w:shd w:val="clear" w:color="auto" w:fill="EFF4E6"/>
            <w:tcMar>
              <w:top w:w="57" w:type="dxa"/>
              <w:left w:w="57" w:type="dxa"/>
              <w:bottom w:w="57" w:type="dxa"/>
              <w:right w:w="57" w:type="dxa"/>
            </w:tcMar>
          </w:tcPr>
          <w:p w14:paraId="1CB3FCF4" w14:textId="77777777" w:rsidR="00132D0C" w:rsidRPr="00132D0C" w:rsidRDefault="00132D0C" w:rsidP="005E0AFC">
            <w:pPr>
              <w:pStyle w:val="Tabletextsmall"/>
              <w:jc w:val="center"/>
            </w:pPr>
            <w:r w:rsidRPr="00132D0C">
              <w:t>0.2</w:t>
            </w:r>
          </w:p>
        </w:tc>
        <w:tc>
          <w:tcPr>
            <w:tcW w:w="737" w:type="dxa"/>
            <w:tcBorders>
              <w:top w:val="single" w:sz="8" w:space="0" w:color="97BC44"/>
              <w:left w:val="single" w:sz="2" w:space="0" w:color="97BC44"/>
              <w:bottom w:val="single" w:sz="8" w:space="0" w:color="97BC44"/>
              <w:right w:val="single" w:sz="2" w:space="0" w:color="97BC44"/>
            </w:tcBorders>
            <w:shd w:val="clear" w:color="auto" w:fill="EFF4E6"/>
            <w:tcMar>
              <w:top w:w="57" w:type="dxa"/>
              <w:left w:w="57" w:type="dxa"/>
              <w:bottom w:w="57" w:type="dxa"/>
              <w:right w:w="57" w:type="dxa"/>
            </w:tcMar>
          </w:tcPr>
          <w:p w14:paraId="3FFBE15A" w14:textId="77777777" w:rsidR="00132D0C" w:rsidRPr="00132D0C" w:rsidRDefault="00132D0C" w:rsidP="005E0AFC">
            <w:pPr>
              <w:pStyle w:val="Tabletextsmall"/>
              <w:jc w:val="center"/>
              <w:rPr>
                <w:rFonts w:ascii="Gotham Bold" w:hAnsi="Gotham Bold"/>
                <w:sz w:val="24"/>
                <w:szCs w:val="24"/>
              </w:rPr>
            </w:pPr>
          </w:p>
        </w:tc>
        <w:tc>
          <w:tcPr>
            <w:tcW w:w="737" w:type="dxa"/>
            <w:tcBorders>
              <w:top w:val="single" w:sz="8" w:space="0" w:color="97BC44"/>
              <w:left w:val="single" w:sz="2" w:space="0" w:color="97BC44"/>
              <w:bottom w:val="single" w:sz="8" w:space="0" w:color="97BC44"/>
              <w:right w:val="single" w:sz="2" w:space="0" w:color="97BC44"/>
            </w:tcBorders>
            <w:shd w:val="clear" w:color="auto" w:fill="EFF4E6"/>
            <w:tcMar>
              <w:top w:w="57" w:type="dxa"/>
              <w:left w:w="57" w:type="dxa"/>
              <w:bottom w:w="57" w:type="dxa"/>
              <w:right w:w="57" w:type="dxa"/>
            </w:tcMar>
          </w:tcPr>
          <w:p w14:paraId="3D0102D3" w14:textId="77777777" w:rsidR="00132D0C" w:rsidRPr="00132D0C" w:rsidRDefault="00132D0C" w:rsidP="005E0AFC">
            <w:pPr>
              <w:pStyle w:val="Tabletextsmall"/>
              <w:jc w:val="center"/>
            </w:pPr>
            <w:r w:rsidRPr="00132D0C">
              <w:t>0.8</w:t>
            </w:r>
          </w:p>
        </w:tc>
        <w:tc>
          <w:tcPr>
            <w:tcW w:w="737" w:type="dxa"/>
            <w:tcBorders>
              <w:top w:val="single" w:sz="8" w:space="0" w:color="97BC44"/>
              <w:left w:val="single" w:sz="2" w:space="0" w:color="97BC44"/>
              <w:bottom w:val="single" w:sz="8" w:space="0" w:color="97BC44"/>
              <w:right w:val="single" w:sz="2" w:space="0" w:color="97BC44"/>
            </w:tcBorders>
            <w:shd w:val="clear" w:color="auto" w:fill="EFF4E6"/>
            <w:tcMar>
              <w:top w:w="57" w:type="dxa"/>
              <w:left w:w="57" w:type="dxa"/>
              <w:bottom w:w="57" w:type="dxa"/>
              <w:right w:w="57" w:type="dxa"/>
            </w:tcMar>
          </w:tcPr>
          <w:p w14:paraId="6AD63D47" w14:textId="77777777" w:rsidR="00132D0C" w:rsidRPr="00132D0C" w:rsidRDefault="00132D0C" w:rsidP="005E0AFC">
            <w:pPr>
              <w:pStyle w:val="Tabletextsmall"/>
              <w:jc w:val="center"/>
              <w:rPr>
                <w:rFonts w:ascii="Gotham Bold" w:hAnsi="Gotham Bold"/>
                <w:sz w:val="24"/>
                <w:szCs w:val="24"/>
              </w:rPr>
            </w:pPr>
          </w:p>
        </w:tc>
        <w:tc>
          <w:tcPr>
            <w:tcW w:w="737" w:type="dxa"/>
            <w:tcBorders>
              <w:top w:val="single" w:sz="8" w:space="0" w:color="97BC44"/>
              <w:left w:val="single" w:sz="2" w:space="0" w:color="97BC44"/>
              <w:bottom w:val="single" w:sz="8" w:space="0" w:color="97BC44"/>
              <w:right w:val="single" w:sz="2" w:space="0" w:color="97BC44"/>
            </w:tcBorders>
            <w:shd w:val="clear" w:color="auto" w:fill="EFF4E6"/>
            <w:tcMar>
              <w:top w:w="57" w:type="dxa"/>
              <w:left w:w="57" w:type="dxa"/>
              <w:bottom w:w="57" w:type="dxa"/>
              <w:right w:w="57" w:type="dxa"/>
            </w:tcMar>
          </w:tcPr>
          <w:p w14:paraId="37F9CAD3" w14:textId="77777777" w:rsidR="00132D0C" w:rsidRPr="00132D0C" w:rsidRDefault="00132D0C" w:rsidP="005E0AFC">
            <w:pPr>
              <w:pStyle w:val="Tabletextsmall"/>
              <w:jc w:val="center"/>
            </w:pPr>
            <w:r w:rsidRPr="00132D0C">
              <w:t>0.5</w:t>
            </w:r>
          </w:p>
        </w:tc>
        <w:tc>
          <w:tcPr>
            <w:tcW w:w="794" w:type="dxa"/>
            <w:gridSpan w:val="2"/>
            <w:tcBorders>
              <w:top w:val="single" w:sz="8" w:space="0" w:color="97BC44"/>
              <w:left w:val="single" w:sz="2" w:space="0" w:color="97BC44"/>
              <w:bottom w:val="single" w:sz="8" w:space="0" w:color="97BC44"/>
            </w:tcBorders>
            <w:shd w:val="clear" w:color="auto" w:fill="EFF4E6"/>
            <w:tcMar>
              <w:top w:w="57" w:type="dxa"/>
              <w:left w:w="57" w:type="dxa"/>
              <w:bottom w:w="57" w:type="dxa"/>
              <w:right w:w="57" w:type="dxa"/>
            </w:tcMar>
          </w:tcPr>
          <w:p w14:paraId="04E6C836" w14:textId="77777777" w:rsidR="00132D0C" w:rsidRPr="005E0AFC" w:rsidRDefault="00132D0C" w:rsidP="005E0AFC">
            <w:pPr>
              <w:pStyle w:val="Tabletextsmall"/>
              <w:jc w:val="center"/>
              <w:rPr>
                <w:rStyle w:val="Strong"/>
              </w:rPr>
            </w:pPr>
            <w:r w:rsidRPr="005E0AFC">
              <w:rPr>
                <w:rStyle w:val="Strong"/>
              </w:rPr>
              <w:t>2.4</w:t>
            </w:r>
          </w:p>
        </w:tc>
      </w:tr>
      <w:tr w:rsidR="00132D0C" w:rsidRPr="00132D0C" w14:paraId="2E3CABA1" w14:textId="77777777" w:rsidTr="00132D0C">
        <w:trPr>
          <w:trHeight w:val="60"/>
        </w:trPr>
        <w:tc>
          <w:tcPr>
            <w:tcW w:w="1587" w:type="dxa"/>
            <w:tcBorders>
              <w:top w:val="single" w:sz="8" w:space="0" w:color="97BC44"/>
              <w:bottom w:val="single" w:sz="8" w:space="0" w:color="97BC44"/>
              <w:right w:val="single" w:sz="2" w:space="0" w:color="97BC44"/>
            </w:tcBorders>
            <w:tcMar>
              <w:top w:w="57" w:type="dxa"/>
              <w:left w:w="113" w:type="dxa"/>
              <w:bottom w:w="57" w:type="dxa"/>
              <w:right w:w="0" w:type="dxa"/>
            </w:tcMar>
          </w:tcPr>
          <w:p w14:paraId="7D4A327A" w14:textId="77777777" w:rsidR="00132D0C" w:rsidRPr="00132D0C" w:rsidRDefault="00132D0C" w:rsidP="00132D0C">
            <w:pPr>
              <w:pStyle w:val="Tabletextsmall"/>
            </w:pPr>
            <w:r w:rsidRPr="00132D0C">
              <w:t>EL 2</w:t>
            </w:r>
          </w:p>
        </w:tc>
        <w:tc>
          <w:tcPr>
            <w:tcW w:w="737" w:type="dxa"/>
            <w:tcBorders>
              <w:top w:val="single" w:sz="8" w:space="0" w:color="97BC44"/>
              <w:left w:val="single" w:sz="2" w:space="0" w:color="97BC44"/>
              <w:bottom w:val="single" w:sz="8" w:space="0" w:color="97BC44"/>
              <w:right w:val="single" w:sz="2" w:space="0" w:color="97BC44"/>
            </w:tcBorders>
            <w:tcMar>
              <w:top w:w="57" w:type="dxa"/>
              <w:left w:w="57" w:type="dxa"/>
              <w:bottom w:w="57" w:type="dxa"/>
              <w:right w:w="57" w:type="dxa"/>
            </w:tcMar>
          </w:tcPr>
          <w:p w14:paraId="227F7E97" w14:textId="77777777" w:rsidR="00132D0C" w:rsidRPr="00132D0C" w:rsidRDefault="00132D0C" w:rsidP="005E0AFC">
            <w:pPr>
              <w:pStyle w:val="Tabletextsmall"/>
              <w:jc w:val="center"/>
            </w:pPr>
            <w:r w:rsidRPr="00132D0C">
              <w:t>9.4</w:t>
            </w:r>
          </w:p>
        </w:tc>
        <w:tc>
          <w:tcPr>
            <w:tcW w:w="737" w:type="dxa"/>
            <w:tcBorders>
              <w:top w:val="single" w:sz="8" w:space="0" w:color="97BC44"/>
              <w:left w:val="single" w:sz="2" w:space="0" w:color="97BC44"/>
              <w:bottom w:val="single" w:sz="8" w:space="0" w:color="97BC44"/>
              <w:right w:val="single" w:sz="2" w:space="0" w:color="97BC44"/>
            </w:tcBorders>
            <w:tcMar>
              <w:top w:w="57" w:type="dxa"/>
              <w:left w:w="57" w:type="dxa"/>
              <w:bottom w:w="57" w:type="dxa"/>
              <w:right w:w="57" w:type="dxa"/>
            </w:tcMar>
          </w:tcPr>
          <w:p w14:paraId="10281B89" w14:textId="77777777" w:rsidR="00132D0C" w:rsidRPr="00132D0C" w:rsidRDefault="00132D0C" w:rsidP="005E0AFC">
            <w:pPr>
              <w:pStyle w:val="Tabletextsmall"/>
              <w:jc w:val="center"/>
            </w:pPr>
            <w:r w:rsidRPr="00132D0C">
              <w:t>2.8</w:t>
            </w:r>
          </w:p>
        </w:tc>
        <w:tc>
          <w:tcPr>
            <w:tcW w:w="737" w:type="dxa"/>
            <w:tcBorders>
              <w:top w:val="single" w:sz="8" w:space="0" w:color="97BC44"/>
              <w:left w:val="single" w:sz="2" w:space="0" w:color="97BC44"/>
              <w:bottom w:val="single" w:sz="8" w:space="0" w:color="97BC44"/>
              <w:right w:val="single" w:sz="2" w:space="0" w:color="97BC44"/>
            </w:tcBorders>
            <w:tcMar>
              <w:top w:w="57" w:type="dxa"/>
              <w:left w:w="57" w:type="dxa"/>
              <w:bottom w:w="57" w:type="dxa"/>
              <w:right w:w="57" w:type="dxa"/>
            </w:tcMar>
          </w:tcPr>
          <w:p w14:paraId="6DB4FE7B" w14:textId="77777777" w:rsidR="00132D0C" w:rsidRPr="00132D0C" w:rsidRDefault="00132D0C" w:rsidP="005E0AFC">
            <w:pPr>
              <w:pStyle w:val="Tabletextsmall"/>
              <w:jc w:val="center"/>
            </w:pPr>
            <w:r w:rsidRPr="00132D0C">
              <w:t>1</w:t>
            </w:r>
          </w:p>
        </w:tc>
        <w:tc>
          <w:tcPr>
            <w:tcW w:w="737" w:type="dxa"/>
            <w:tcBorders>
              <w:top w:val="single" w:sz="8" w:space="0" w:color="97BC44"/>
              <w:left w:val="single" w:sz="2" w:space="0" w:color="97BC44"/>
              <w:bottom w:val="single" w:sz="8" w:space="0" w:color="97BC44"/>
              <w:right w:val="single" w:sz="2" w:space="0" w:color="97BC44"/>
            </w:tcBorders>
            <w:tcMar>
              <w:top w:w="57" w:type="dxa"/>
              <w:left w:w="57" w:type="dxa"/>
              <w:bottom w:w="57" w:type="dxa"/>
              <w:right w:w="57" w:type="dxa"/>
            </w:tcMar>
          </w:tcPr>
          <w:p w14:paraId="539398DD" w14:textId="77777777" w:rsidR="00132D0C" w:rsidRPr="00132D0C" w:rsidRDefault="00132D0C" w:rsidP="005E0AFC">
            <w:pPr>
              <w:pStyle w:val="Tabletextsmall"/>
              <w:jc w:val="center"/>
              <w:rPr>
                <w:rFonts w:ascii="Gotham Bold" w:hAnsi="Gotham Bold"/>
                <w:sz w:val="24"/>
                <w:szCs w:val="24"/>
              </w:rPr>
            </w:pPr>
          </w:p>
        </w:tc>
        <w:tc>
          <w:tcPr>
            <w:tcW w:w="737" w:type="dxa"/>
            <w:tcBorders>
              <w:top w:val="single" w:sz="8" w:space="0" w:color="97BC44"/>
              <w:left w:val="single" w:sz="2" w:space="0" w:color="97BC44"/>
              <w:bottom w:val="single" w:sz="8" w:space="0" w:color="97BC44"/>
              <w:right w:val="single" w:sz="2" w:space="0" w:color="97BC44"/>
            </w:tcBorders>
            <w:tcMar>
              <w:top w:w="57" w:type="dxa"/>
              <w:left w:w="57" w:type="dxa"/>
              <w:bottom w:w="57" w:type="dxa"/>
              <w:right w:w="57" w:type="dxa"/>
            </w:tcMar>
          </w:tcPr>
          <w:p w14:paraId="605C2A94" w14:textId="77777777" w:rsidR="00132D0C" w:rsidRPr="00132D0C" w:rsidRDefault="00132D0C" w:rsidP="005E0AFC">
            <w:pPr>
              <w:pStyle w:val="Tabletextsmall"/>
              <w:jc w:val="center"/>
            </w:pPr>
            <w:r w:rsidRPr="00132D0C">
              <w:t>5.6</w:t>
            </w:r>
          </w:p>
        </w:tc>
        <w:tc>
          <w:tcPr>
            <w:tcW w:w="737" w:type="dxa"/>
            <w:tcBorders>
              <w:top w:val="single" w:sz="8" w:space="0" w:color="97BC44"/>
              <w:left w:val="single" w:sz="2" w:space="0" w:color="97BC44"/>
              <w:bottom w:val="single" w:sz="8" w:space="0" w:color="97BC44"/>
              <w:right w:val="single" w:sz="2" w:space="0" w:color="97BC44"/>
            </w:tcBorders>
            <w:tcMar>
              <w:top w:w="57" w:type="dxa"/>
              <w:left w:w="57" w:type="dxa"/>
              <w:bottom w:w="57" w:type="dxa"/>
              <w:right w:w="57" w:type="dxa"/>
            </w:tcMar>
          </w:tcPr>
          <w:p w14:paraId="4ADA56DE" w14:textId="77777777" w:rsidR="00132D0C" w:rsidRPr="00132D0C" w:rsidRDefault="00132D0C" w:rsidP="005E0AFC">
            <w:pPr>
              <w:pStyle w:val="Tabletextsmall"/>
              <w:jc w:val="center"/>
            </w:pPr>
            <w:r w:rsidRPr="00132D0C">
              <w:t>0.6</w:t>
            </w:r>
          </w:p>
        </w:tc>
        <w:tc>
          <w:tcPr>
            <w:tcW w:w="737" w:type="dxa"/>
            <w:tcBorders>
              <w:top w:val="single" w:sz="8" w:space="0" w:color="97BC44"/>
              <w:left w:val="single" w:sz="2" w:space="0" w:color="97BC44"/>
              <w:bottom w:val="single" w:sz="8" w:space="0" w:color="97BC44"/>
              <w:right w:val="single" w:sz="2" w:space="0" w:color="97BC44"/>
            </w:tcBorders>
            <w:tcMar>
              <w:top w:w="57" w:type="dxa"/>
              <w:left w:w="57" w:type="dxa"/>
              <w:bottom w:w="57" w:type="dxa"/>
              <w:right w:w="57" w:type="dxa"/>
            </w:tcMar>
          </w:tcPr>
          <w:p w14:paraId="35435A17" w14:textId="77777777" w:rsidR="00132D0C" w:rsidRPr="00132D0C" w:rsidRDefault="00132D0C" w:rsidP="005E0AFC">
            <w:pPr>
              <w:pStyle w:val="Tabletextsmall"/>
              <w:jc w:val="center"/>
              <w:rPr>
                <w:rFonts w:ascii="Gotham Bold" w:hAnsi="Gotham Bold"/>
                <w:sz w:val="24"/>
                <w:szCs w:val="24"/>
              </w:rPr>
            </w:pPr>
          </w:p>
        </w:tc>
        <w:tc>
          <w:tcPr>
            <w:tcW w:w="737" w:type="dxa"/>
            <w:tcBorders>
              <w:top w:val="single" w:sz="8" w:space="0" w:color="97BC44"/>
              <w:left w:val="single" w:sz="2" w:space="0" w:color="97BC44"/>
              <w:bottom w:val="single" w:sz="8" w:space="0" w:color="97BC44"/>
              <w:right w:val="single" w:sz="2" w:space="0" w:color="97BC44"/>
            </w:tcBorders>
            <w:tcMar>
              <w:top w:w="57" w:type="dxa"/>
              <w:left w:w="57" w:type="dxa"/>
              <w:bottom w:w="57" w:type="dxa"/>
              <w:right w:w="57" w:type="dxa"/>
            </w:tcMar>
          </w:tcPr>
          <w:p w14:paraId="73E3FD38" w14:textId="77777777" w:rsidR="00132D0C" w:rsidRPr="00132D0C" w:rsidRDefault="00132D0C" w:rsidP="005E0AFC">
            <w:pPr>
              <w:pStyle w:val="Tabletextsmall"/>
              <w:jc w:val="center"/>
              <w:rPr>
                <w:rFonts w:ascii="Gotham Bold" w:hAnsi="Gotham Bold"/>
                <w:sz w:val="24"/>
                <w:szCs w:val="24"/>
              </w:rPr>
            </w:pPr>
          </w:p>
        </w:tc>
        <w:tc>
          <w:tcPr>
            <w:tcW w:w="794" w:type="dxa"/>
            <w:gridSpan w:val="2"/>
            <w:tcBorders>
              <w:top w:val="single" w:sz="8" w:space="0" w:color="97BC44"/>
              <w:left w:val="single" w:sz="2" w:space="0" w:color="97BC44"/>
              <w:bottom w:val="single" w:sz="8" w:space="0" w:color="97BC44"/>
            </w:tcBorders>
            <w:tcMar>
              <w:top w:w="57" w:type="dxa"/>
              <w:left w:w="57" w:type="dxa"/>
              <w:bottom w:w="57" w:type="dxa"/>
              <w:right w:w="57" w:type="dxa"/>
            </w:tcMar>
          </w:tcPr>
          <w:p w14:paraId="0C763785" w14:textId="77777777" w:rsidR="00132D0C" w:rsidRPr="005E0AFC" w:rsidRDefault="00132D0C" w:rsidP="005E0AFC">
            <w:pPr>
              <w:pStyle w:val="Tabletextsmall"/>
              <w:jc w:val="center"/>
              <w:rPr>
                <w:rStyle w:val="Strong"/>
              </w:rPr>
            </w:pPr>
            <w:r w:rsidRPr="005E0AFC">
              <w:rPr>
                <w:rStyle w:val="Strong"/>
              </w:rPr>
              <w:t>19.4</w:t>
            </w:r>
          </w:p>
        </w:tc>
      </w:tr>
      <w:tr w:rsidR="00132D0C" w:rsidRPr="00132D0C" w14:paraId="1E984284" w14:textId="77777777" w:rsidTr="00132D0C">
        <w:trPr>
          <w:trHeight w:val="60"/>
        </w:trPr>
        <w:tc>
          <w:tcPr>
            <w:tcW w:w="1587" w:type="dxa"/>
            <w:tcBorders>
              <w:top w:val="single" w:sz="8" w:space="0" w:color="97BC44"/>
              <w:bottom w:val="single" w:sz="8" w:space="0" w:color="97BC44"/>
              <w:right w:val="single" w:sz="2" w:space="0" w:color="97BC44"/>
            </w:tcBorders>
            <w:shd w:val="clear" w:color="auto" w:fill="EFF4E6"/>
            <w:tcMar>
              <w:top w:w="57" w:type="dxa"/>
              <w:left w:w="113" w:type="dxa"/>
              <w:bottom w:w="57" w:type="dxa"/>
              <w:right w:w="0" w:type="dxa"/>
            </w:tcMar>
          </w:tcPr>
          <w:p w14:paraId="68910FCF" w14:textId="77777777" w:rsidR="00132D0C" w:rsidRPr="00132D0C" w:rsidRDefault="00132D0C" w:rsidP="00132D0C">
            <w:pPr>
              <w:pStyle w:val="Tabletextsmall"/>
            </w:pPr>
            <w:r w:rsidRPr="00132D0C">
              <w:t>EL 1</w:t>
            </w:r>
          </w:p>
        </w:tc>
        <w:tc>
          <w:tcPr>
            <w:tcW w:w="737" w:type="dxa"/>
            <w:tcBorders>
              <w:top w:val="single" w:sz="8" w:space="0" w:color="97BC44"/>
              <w:left w:val="single" w:sz="2" w:space="0" w:color="97BC44"/>
              <w:bottom w:val="single" w:sz="8" w:space="0" w:color="97BC44"/>
              <w:right w:val="single" w:sz="2" w:space="0" w:color="97BC44"/>
            </w:tcBorders>
            <w:shd w:val="clear" w:color="auto" w:fill="EFF4E6"/>
            <w:tcMar>
              <w:top w:w="57" w:type="dxa"/>
              <w:left w:w="57" w:type="dxa"/>
              <w:bottom w:w="57" w:type="dxa"/>
              <w:right w:w="57" w:type="dxa"/>
            </w:tcMar>
          </w:tcPr>
          <w:p w14:paraId="20186D9D" w14:textId="77777777" w:rsidR="00132D0C" w:rsidRPr="00132D0C" w:rsidRDefault="00132D0C" w:rsidP="005E0AFC">
            <w:pPr>
              <w:pStyle w:val="Tabletextsmall"/>
              <w:jc w:val="center"/>
            </w:pPr>
            <w:r w:rsidRPr="00132D0C">
              <w:t>21.1</w:t>
            </w:r>
          </w:p>
        </w:tc>
        <w:tc>
          <w:tcPr>
            <w:tcW w:w="737" w:type="dxa"/>
            <w:tcBorders>
              <w:top w:val="single" w:sz="8" w:space="0" w:color="97BC44"/>
              <w:left w:val="single" w:sz="2" w:space="0" w:color="97BC44"/>
              <w:bottom w:val="single" w:sz="8" w:space="0" w:color="97BC44"/>
              <w:right w:val="single" w:sz="2" w:space="0" w:color="97BC44"/>
            </w:tcBorders>
            <w:shd w:val="clear" w:color="auto" w:fill="EFF4E6"/>
            <w:tcMar>
              <w:top w:w="57" w:type="dxa"/>
              <w:left w:w="57" w:type="dxa"/>
              <w:bottom w:w="57" w:type="dxa"/>
              <w:right w:w="57" w:type="dxa"/>
            </w:tcMar>
          </w:tcPr>
          <w:p w14:paraId="6431EBB6" w14:textId="77777777" w:rsidR="00132D0C" w:rsidRPr="00132D0C" w:rsidRDefault="00132D0C" w:rsidP="005E0AFC">
            <w:pPr>
              <w:pStyle w:val="Tabletextsmall"/>
              <w:jc w:val="center"/>
            </w:pPr>
            <w:r w:rsidRPr="00132D0C">
              <w:t>3.9</w:t>
            </w:r>
          </w:p>
        </w:tc>
        <w:tc>
          <w:tcPr>
            <w:tcW w:w="737" w:type="dxa"/>
            <w:tcBorders>
              <w:top w:val="single" w:sz="8" w:space="0" w:color="97BC44"/>
              <w:left w:val="single" w:sz="2" w:space="0" w:color="97BC44"/>
              <w:bottom w:val="single" w:sz="8" w:space="0" w:color="97BC44"/>
              <w:right w:val="single" w:sz="2" w:space="0" w:color="97BC44"/>
            </w:tcBorders>
            <w:shd w:val="clear" w:color="auto" w:fill="EFF4E6"/>
            <w:tcMar>
              <w:top w:w="57" w:type="dxa"/>
              <w:left w:w="57" w:type="dxa"/>
              <w:bottom w:w="57" w:type="dxa"/>
              <w:right w:w="57" w:type="dxa"/>
            </w:tcMar>
          </w:tcPr>
          <w:p w14:paraId="6A2C907D" w14:textId="77777777" w:rsidR="00132D0C" w:rsidRPr="00132D0C" w:rsidRDefault="00132D0C" w:rsidP="005E0AFC">
            <w:pPr>
              <w:pStyle w:val="Tabletextsmall"/>
              <w:jc w:val="center"/>
            </w:pPr>
            <w:r w:rsidRPr="00132D0C">
              <w:t>1</w:t>
            </w:r>
          </w:p>
        </w:tc>
        <w:tc>
          <w:tcPr>
            <w:tcW w:w="737" w:type="dxa"/>
            <w:tcBorders>
              <w:top w:val="single" w:sz="8" w:space="0" w:color="97BC44"/>
              <w:left w:val="single" w:sz="2" w:space="0" w:color="97BC44"/>
              <w:bottom w:val="single" w:sz="8" w:space="0" w:color="97BC44"/>
              <w:right w:val="single" w:sz="2" w:space="0" w:color="97BC44"/>
            </w:tcBorders>
            <w:shd w:val="clear" w:color="auto" w:fill="EFF4E6"/>
            <w:tcMar>
              <w:top w:w="57" w:type="dxa"/>
              <w:left w:w="57" w:type="dxa"/>
              <w:bottom w:w="57" w:type="dxa"/>
              <w:right w:w="57" w:type="dxa"/>
            </w:tcMar>
          </w:tcPr>
          <w:p w14:paraId="4AAFF06A" w14:textId="77777777" w:rsidR="00132D0C" w:rsidRPr="00132D0C" w:rsidRDefault="00132D0C" w:rsidP="005E0AFC">
            <w:pPr>
              <w:pStyle w:val="Tabletextsmall"/>
              <w:jc w:val="center"/>
            </w:pPr>
            <w:r w:rsidRPr="00132D0C">
              <w:t>2.4</w:t>
            </w:r>
          </w:p>
        </w:tc>
        <w:tc>
          <w:tcPr>
            <w:tcW w:w="737" w:type="dxa"/>
            <w:tcBorders>
              <w:top w:val="single" w:sz="8" w:space="0" w:color="97BC44"/>
              <w:left w:val="single" w:sz="2" w:space="0" w:color="97BC44"/>
              <w:bottom w:val="single" w:sz="8" w:space="0" w:color="97BC44"/>
              <w:right w:val="single" w:sz="2" w:space="0" w:color="97BC44"/>
            </w:tcBorders>
            <w:shd w:val="clear" w:color="auto" w:fill="EFF4E6"/>
            <w:tcMar>
              <w:top w:w="57" w:type="dxa"/>
              <w:left w:w="57" w:type="dxa"/>
              <w:bottom w:w="57" w:type="dxa"/>
              <w:right w:w="57" w:type="dxa"/>
            </w:tcMar>
          </w:tcPr>
          <w:p w14:paraId="5AA6E6A7" w14:textId="77777777" w:rsidR="00132D0C" w:rsidRPr="00132D0C" w:rsidRDefault="00132D0C" w:rsidP="005E0AFC">
            <w:pPr>
              <w:pStyle w:val="Tabletextsmall"/>
              <w:jc w:val="center"/>
            </w:pPr>
            <w:r w:rsidRPr="00132D0C">
              <w:t>8</w:t>
            </w:r>
          </w:p>
        </w:tc>
        <w:tc>
          <w:tcPr>
            <w:tcW w:w="737" w:type="dxa"/>
            <w:tcBorders>
              <w:top w:val="single" w:sz="8" w:space="0" w:color="97BC44"/>
              <w:left w:val="single" w:sz="2" w:space="0" w:color="97BC44"/>
              <w:bottom w:val="single" w:sz="8" w:space="0" w:color="97BC44"/>
              <w:right w:val="single" w:sz="2" w:space="0" w:color="97BC44"/>
            </w:tcBorders>
            <w:shd w:val="clear" w:color="auto" w:fill="EFF4E6"/>
            <w:tcMar>
              <w:top w:w="57" w:type="dxa"/>
              <w:left w:w="57" w:type="dxa"/>
              <w:bottom w:w="57" w:type="dxa"/>
              <w:right w:w="57" w:type="dxa"/>
            </w:tcMar>
          </w:tcPr>
          <w:p w14:paraId="4FEB6DD5" w14:textId="77777777" w:rsidR="00132D0C" w:rsidRPr="00132D0C" w:rsidRDefault="00132D0C" w:rsidP="005E0AFC">
            <w:pPr>
              <w:pStyle w:val="Tabletextsmall"/>
              <w:jc w:val="center"/>
              <w:rPr>
                <w:rFonts w:ascii="Gotham Bold" w:hAnsi="Gotham Bold"/>
                <w:sz w:val="24"/>
                <w:szCs w:val="24"/>
              </w:rPr>
            </w:pPr>
          </w:p>
        </w:tc>
        <w:tc>
          <w:tcPr>
            <w:tcW w:w="737" w:type="dxa"/>
            <w:tcBorders>
              <w:top w:val="single" w:sz="8" w:space="0" w:color="97BC44"/>
              <w:left w:val="single" w:sz="2" w:space="0" w:color="97BC44"/>
              <w:bottom w:val="single" w:sz="8" w:space="0" w:color="97BC44"/>
              <w:right w:val="single" w:sz="2" w:space="0" w:color="97BC44"/>
            </w:tcBorders>
            <w:shd w:val="clear" w:color="auto" w:fill="EFF4E6"/>
            <w:tcMar>
              <w:top w:w="57" w:type="dxa"/>
              <w:left w:w="57" w:type="dxa"/>
              <w:bottom w:w="57" w:type="dxa"/>
              <w:right w:w="57" w:type="dxa"/>
            </w:tcMar>
          </w:tcPr>
          <w:p w14:paraId="15E16411" w14:textId="77777777" w:rsidR="00132D0C" w:rsidRPr="00132D0C" w:rsidRDefault="00132D0C" w:rsidP="005E0AFC">
            <w:pPr>
              <w:pStyle w:val="Tabletextsmall"/>
              <w:jc w:val="center"/>
              <w:rPr>
                <w:rFonts w:ascii="Gotham Bold" w:hAnsi="Gotham Bold"/>
                <w:sz w:val="24"/>
                <w:szCs w:val="24"/>
              </w:rPr>
            </w:pPr>
          </w:p>
        </w:tc>
        <w:tc>
          <w:tcPr>
            <w:tcW w:w="737" w:type="dxa"/>
            <w:tcBorders>
              <w:top w:val="single" w:sz="8" w:space="0" w:color="97BC44"/>
              <w:left w:val="single" w:sz="2" w:space="0" w:color="97BC44"/>
              <w:bottom w:val="single" w:sz="8" w:space="0" w:color="97BC44"/>
              <w:right w:val="single" w:sz="2" w:space="0" w:color="97BC44"/>
            </w:tcBorders>
            <w:shd w:val="clear" w:color="auto" w:fill="EFF4E6"/>
            <w:tcMar>
              <w:top w:w="57" w:type="dxa"/>
              <w:left w:w="57" w:type="dxa"/>
              <w:bottom w:w="57" w:type="dxa"/>
              <w:right w:w="57" w:type="dxa"/>
            </w:tcMar>
          </w:tcPr>
          <w:p w14:paraId="02C891EF" w14:textId="77777777" w:rsidR="00132D0C" w:rsidRPr="00132D0C" w:rsidRDefault="00132D0C" w:rsidP="005E0AFC">
            <w:pPr>
              <w:pStyle w:val="Tabletextsmall"/>
              <w:jc w:val="center"/>
            </w:pPr>
            <w:r w:rsidRPr="00132D0C">
              <w:t>0.8</w:t>
            </w:r>
          </w:p>
        </w:tc>
        <w:tc>
          <w:tcPr>
            <w:tcW w:w="794" w:type="dxa"/>
            <w:gridSpan w:val="2"/>
            <w:tcBorders>
              <w:top w:val="single" w:sz="8" w:space="0" w:color="97BC44"/>
              <w:left w:val="single" w:sz="2" w:space="0" w:color="97BC44"/>
              <w:bottom w:val="single" w:sz="8" w:space="0" w:color="97BC44"/>
            </w:tcBorders>
            <w:shd w:val="clear" w:color="auto" w:fill="EFF4E6"/>
            <w:tcMar>
              <w:top w:w="57" w:type="dxa"/>
              <w:left w:w="57" w:type="dxa"/>
              <w:bottom w:w="57" w:type="dxa"/>
              <w:right w:w="57" w:type="dxa"/>
            </w:tcMar>
          </w:tcPr>
          <w:p w14:paraId="63932250" w14:textId="77777777" w:rsidR="00132D0C" w:rsidRPr="005E0AFC" w:rsidRDefault="00132D0C" w:rsidP="005E0AFC">
            <w:pPr>
              <w:pStyle w:val="Tabletextsmall"/>
              <w:jc w:val="center"/>
              <w:rPr>
                <w:rStyle w:val="Strong"/>
              </w:rPr>
            </w:pPr>
            <w:r w:rsidRPr="005E0AFC">
              <w:rPr>
                <w:rStyle w:val="Strong"/>
              </w:rPr>
              <w:t>37.2</w:t>
            </w:r>
          </w:p>
        </w:tc>
      </w:tr>
      <w:tr w:rsidR="00132D0C" w:rsidRPr="00132D0C" w14:paraId="16C7D5C5" w14:textId="77777777" w:rsidTr="00132D0C">
        <w:trPr>
          <w:trHeight w:val="60"/>
        </w:trPr>
        <w:tc>
          <w:tcPr>
            <w:tcW w:w="1587" w:type="dxa"/>
            <w:tcBorders>
              <w:top w:val="single" w:sz="8" w:space="0" w:color="97BC44"/>
              <w:bottom w:val="single" w:sz="8" w:space="0" w:color="97BC44"/>
              <w:right w:val="single" w:sz="2" w:space="0" w:color="97BC44"/>
            </w:tcBorders>
            <w:tcMar>
              <w:top w:w="57" w:type="dxa"/>
              <w:left w:w="113" w:type="dxa"/>
              <w:bottom w:w="57" w:type="dxa"/>
              <w:right w:w="0" w:type="dxa"/>
            </w:tcMar>
          </w:tcPr>
          <w:p w14:paraId="523C7833" w14:textId="77777777" w:rsidR="00132D0C" w:rsidRPr="00132D0C" w:rsidRDefault="00132D0C" w:rsidP="00132D0C">
            <w:pPr>
              <w:pStyle w:val="Tabletextsmall"/>
            </w:pPr>
            <w:r w:rsidRPr="00132D0C">
              <w:t>APS 6</w:t>
            </w:r>
          </w:p>
        </w:tc>
        <w:tc>
          <w:tcPr>
            <w:tcW w:w="737" w:type="dxa"/>
            <w:tcBorders>
              <w:top w:val="single" w:sz="8" w:space="0" w:color="97BC44"/>
              <w:left w:val="single" w:sz="2" w:space="0" w:color="97BC44"/>
              <w:bottom w:val="single" w:sz="8" w:space="0" w:color="97BC44"/>
              <w:right w:val="single" w:sz="2" w:space="0" w:color="97BC44"/>
            </w:tcBorders>
            <w:tcMar>
              <w:top w:w="57" w:type="dxa"/>
              <w:left w:w="57" w:type="dxa"/>
              <w:bottom w:w="57" w:type="dxa"/>
              <w:right w:w="57" w:type="dxa"/>
            </w:tcMar>
          </w:tcPr>
          <w:p w14:paraId="74DC29D8" w14:textId="77777777" w:rsidR="00132D0C" w:rsidRPr="00132D0C" w:rsidRDefault="00132D0C" w:rsidP="005E0AFC">
            <w:pPr>
              <w:pStyle w:val="Tabletextsmall"/>
              <w:jc w:val="center"/>
            </w:pPr>
            <w:r w:rsidRPr="00132D0C">
              <w:t>9</w:t>
            </w:r>
          </w:p>
        </w:tc>
        <w:tc>
          <w:tcPr>
            <w:tcW w:w="737" w:type="dxa"/>
            <w:tcBorders>
              <w:top w:val="single" w:sz="8" w:space="0" w:color="97BC44"/>
              <w:left w:val="single" w:sz="2" w:space="0" w:color="97BC44"/>
              <w:bottom w:val="single" w:sz="8" w:space="0" w:color="97BC44"/>
              <w:right w:val="single" w:sz="2" w:space="0" w:color="97BC44"/>
            </w:tcBorders>
            <w:tcMar>
              <w:top w:w="57" w:type="dxa"/>
              <w:left w:w="57" w:type="dxa"/>
              <w:bottom w:w="57" w:type="dxa"/>
              <w:right w:w="57" w:type="dxa"/>
            </w:tcMar>
          </w:tcPr>
          <w:p w14:paraId="3D3E4432" w14:textId="77777777" w:rsidR="00132D0C" w:rsidRPr="00132D0C" w:rsidRDefault="00132D0C" w:rsidP="005E0AFC">
            <w:pPr>
              <w:pStyle w:val="Tabletextsmall"/>
              <w:jc w:val="center"/>
            </w:pPr>
            <w:r w:rsidRPr="00132D0C">
              <w:t>1.4</w:t>
            </w:r>
          </w:p>
        </w:tc>
        <w:tc>
          <w:tcPr>
            <w:tcW w:w="737" w:type="dxa"/>
            <w:tcBorders>
              <w:top w:val="single" w:sz="8" w:space="0" w:color="97BC44"/>
              <w:left w:val="single" w:sz="2" w:space="0" w:color="97BC44"/>
              <w:bottom w:val="single" w:sz="8" w:space="0" w:color="97BC44"/>
              <w:right w:val="single" w:sz="2" w:space="0" w:color="97BC44"/>
            </w:tcBorders>
            <w:tcMar>
              <w:top w:w="57" w:type="dxa"/>
              <w:left w:w="57" w:type="dxa"/>
              <w:bottom w:w="57" w:type="dxa"/>
              <w:right w:w="57" w:type="dxa"/>
            </w:tcMar>
          </w:tcPr>
          <w:p w14:paraId="18CB0E67" w14:textId="77777777" w:rsidR="00132D0C" w:rsidRPr="00132D0C" w:rsidRDefault="00132D0C" w:rsidP="005E0AFC">
            <w:pPr>
              <w:pStyle w:val="Tabletextsmall"/>
              <w:jc w:val="center"/>
            </w:pPr>
            <w:r w:rsidRPr="00132D0C">
              <w:t>1</w:t>
            </w:r>
          </w:p>
        </w:tc>
        <w:tc>
          <w:tcPr>
            <w:tcW w:w="737" w:type="dxa"/>
            <w:tcBorders>
              <w:top w:val="single" w:sz="8" w:space="0" w:color="97BC44"/>
              <w:left w:val="single" w:sz="2" w:space="0" w:color="97BC44"/>
              <w:bottom w:val="single" w:sz="8" w:space="0" w:color="97BC44"/>
              <w:right w:val="single" w:sz="2" w:space="0" w:color="97BC44"/>
            </w:tcBorders>
            <w:tcMar>
              <w:top w:w="57" w:type="dxa"/>
              <w:left w:w="57" w:type="dxa"/>
              <w:bottom w:w="57" w:type="dxa"/>
              <w:right w:w="57" w:type="dxa"/>
            </w:tcMar>
          </w:tcPr>
          <w:p w14:paraId="40F44FE6" w14:textId="77777777" w:rsidR="00132D0C" w:rsidRPr="00132D0C" w:rsidRDefault="00132D0C" w:rsidP="005E0AFC">
            <w:pPr>
              <w:pStyle w:val="Tabletextsmall"/>
              <w:jc w:val="center"/>
              <w:rPr>
                <w:rFonts w:ascii="Gotham Bold" w:hAnsi="Gotham Bold"/>
                <w:sz w:val="24"/>
                <w:szCs w:val="24"/>
              </w:rPr>
            </w:pPr>
          </w:p>
        </w:tc>
        <w:tc>
          <w:tcPr>
            <w:tcW w:w="737" w:type="dxa"/>
            <w:tcBorders>
              <w:top w:val="single" w:sz="8" w:space="0" w:color="97BC44"/>
              <w:left w:val="single" w:sz="2" w:space="0" w:color="97BC44"/>
              <w:bottom w:val="single" w:sz="8" w:space="0" w:color="97BC44"/>
              <w:right w:val="single" w:sz="2" w:space="0" w:color="97BC44"/>
            </w:tcBorders>
            <w:tcMar>
              <w:top w:w="57" w:type="dxa"/>
              <w:left w:w="57" w:type="dxa"/>
              <w:bottom w:w="57" w:type="dxa"/>
              <w:right w:w="57" w:type="dxa"/>
            </w:tcMar>
          </w:tcPr>
          <w:p w14:paraId="77A9F328" w14:textId="77777777" w:rsidR="00132D0C" w:rsidRPr="00132D0C" w:rsidRDefault="00132D0C" w:rsidP="005E0AFC">
            <w:pPr>
              <w:pStyle w:val="Tabletextsmall"/>
              <w:jc w:val="center"/>
            </w:pPr>
            <w:r w:rsidRPr="00132D0C">
              <w:t>2</w:t>
            </w:r>
          </w:p>
        </w:tc>
        <w:tc>
          <w:tcPr>
            <w:tcW w:w="737" w:type="dxa"/>
            <w:tcBorders>
              <w:top w:val="single" w:sz="8" w:space="0" w:color="97BC44"/>
              <w:left w:val="single" w:sz="2" w:space="0" w:color="97BC44"/>
              <w:bottom w:val="single" w:sz="8" w:space="0" w:color="97BC44"/>
              <w:right w:val="single" w:sz="2" w:space="0" w:color="97BC44"/>
            </w:tcBorders>
            <w:tcMar>
              <w:top w:w="57" w:type="dxa"/>
              <w:left w:w="57" w:type="dxa"/>
              <w:bottom w:w="57" w:type="dxa"/>
              <w:right w:w="57" w:type="dxa"/>
            </w:tcMar>
          </w:tcPr>
          <w:p w14:paraId="4DE2461C" w14:textId="77777777" w:rsidR="00132D0C" w:rsidRPr="00132D0C" w:rsidRDefault="00132D0C" w:rsidP="005E0AFC">
            <w:pPr>
              <w:pStyle w:val="Tabletextsmall"/>
              <w:jc w:val="center"/>
              <w:rPr>
                <w:rFonts w:ascii="Gotham Bold" w:hAnsi="Gotham Bold"/>
                <w:sz w:val="24"/>
                <w:szCs w:val="24"/>
              </w:rPr>
            </w:pPr>
          </w:p>
        </w:tc>
        <w:tc>
          <w:tcPr>
            <w:tcW w:w="737" w:type="dxa"/>
            <w:tcBorders>
              <w:top w:val="single" w:sz="8" w:space="0" w:color="97BC44"/>
              <w:left w:val="single" w:sz="2" w:space="0" w:color="97BC44"/>
              <w:bottom w:val="single" w:sz="8" w:space="0" w:color="97BC44"/>
              <w:right w:val="single" w:sz="2" w:space="0" w:color="97BC44"/>
            </w:tcBorders>
            <w:tcMar>
              <w:top w:w="57" w:type="dxa"/>
              <w:left w:w="57" w:type="dxa"/>
              <w:bottom w:w="57" w:type="dxa"/>
              <w:right w:w="57" w:type="dxa"/>
            </w:tcMar>
          </w:tcPr>
          <w:p w14:paraId="7CA86E52" w14:textId="77777777" w:rsidR="00132D0C" w:rsidRPr="00132D0C" w:rsidRDefault="00132D0C" w:rsidP="005E0AFC">
            <w:pPr>
              <w:pStyle w:val="Tabletextsmall"/>
              <w:jc w:val="center"/>
              <w:rPr>
                <w:rFonts w:ascii="Gotham Bold" w:hAnsi="Gotham Bold"/>
                <w:sz w:val="24"/>
                <w:szCs w:val="24"/>
              </w:rPr>
            </w:pPr>
          </w:p>
        </w:tc>
        <w:tc>
          <w:tcPr>
            <w:tcW w:w="737" w:type="dxa"/>
            <w:tcBorders>
              <w:top w:val="single" w:sz="8" w:space="0" w:color="97BC44"/>
              <w:left w:val="single" w:sz="2" w:space="0" w:color="97BC44"/>
              <w:bottom w:val="single" w:sz="8" w:space="0" w:color="97BC44"/>
              <w:right w:val="single" w:sz="2" w:space="0" w:color="97BC44"/>
            </w:tcBorders>
            <w:tcMar>
              <w:top w:w="57" w:type="dxa"/>
              <w:left w:w="57" w:type="dxa"/>
              <w:bottom w:w="57" w:type="dxa"/>
              <w:right w:w="57" w:type="dxa"/>
            </w:tcMar>
          </w:tcPr>
          <w:p w14:paraId="649D2AEF" w14:textId="77777777" w:rsidR="00132D0C" w:rsidRPr="00132D0C" w:rsidRDefault="00132D0C" w:rsidP="005E0AFC">
            <w:pPr>
              <w:pStyle w:val="Tabletextsmall"/>
              <w:jc w:val="center"/>
              <w:rPr>
                <w:rFonts w:ascii="Gotham Bold" w:hAnsi="Gotham Bold"/>
                <w:sz w:val="24"/>
                <w:szCs w:val="24"/>
              </w:rPr>
            </w:pPr>
          </w:p>
        </w:tc>
        <w:tc>
          <w:tcPr>
            <w:tcW w:w="794" w:type="dxa"/>
            <w:gridSpan w:val="2"/>
            <w:tcBorders>
              <w:top w:val="single" w:sz="8" w:space="0" w:color="97BC44"/>
              <w:left w:val="single" w:sz="2" w:space="0" w:color="97BC44"/>
              <w:bottom w:val="single" w:sz="8" w:space="0" w:color="97BC44"/>
            </w:tcBorders>
            <w:tcMar>
              <w:top w:w="57" w:type="dxa"/>
              <w:left w:w="57" w:type="dxa"/>
              <w:bottom w:w="57" w:type="dxa"/>
              <w:right w:w="57" w:type="dxa"/>
            </w:tcMar>
          </w:tcPr>
          <w:p w14:paraId="7C85096F" w14:textId="77777777" w:rsidR="00132D0C" w:rsidRPr="005E0AFC" w:rsidRDefault="00132D0C" w:rsidP="005E0AFC">
            <w:pPr>
              <w:pStyle w:val="Tabletextsmall"/>
              <w:jc w:val="center"/>
              <w:rPr>
                <w:rStyle w:val="Strong"/>
              </w:rPr>
            </w:pPr>
            <w:r w:rsidRPr="005E0AFC">
              <w:rPr>
                <w:rStyle w:val="Strong"/>
              </w:rPr>
              <w:t>13.4</w:t>
            </w:r>
          </w:p>
        </w:tc>
      </w:tr>
      <w:tr w:rsidR="00132D0C" w:rsidRPr="00132D0C" w14:paraId="4A7CB76C" w14:textId="77777777" w:rsidTr="00132D0C">
        <w:trPr>
          <w:trHeight w:val="60"/>
        </w:trPr>
        <w:tc>
          <w:tcPr>
            <w:tcW w:w="1587" w:type="dxa"/>
            <w:tcBorders>
              <w:top w:val="single" w:sz="8" w:space="0" w:color="97BC44"/>
              <w:bottom w:val="single" w:sz="8" w:space="0" w:color="97BC44"/>
              <w:right w:val="single" w:sz="2" w:space="0" w:color="97BC44"/>
            </w:tcBorders>
            <w:shd w:val="clear" w:color="auto" w:fill="EFF4E6"/>
            <w:tcMar>
              <w:top w:w="57" w:type="dxa"/>
              <w:left w:w="113" w:type="dxa"/>
              <w:bottom w:w="57" w:type="dxa"/>
              <w:right w:w="0" w:type="dxa"/>
            </w:tcMar>
          </w:tcPr>
          <w:p w14:paraId="0B60B685" w14:textId="77777777" w:rsidR="00132D0C" w:rsidRPr="00132D0C" w:rsidRDefault="00132D0C" w:rsidP="00132D0C">
            <w:pPr>
              <w:pStyle w:val="Tabletextsmall"/>
            </w:pPr>
            <w:r w:rsidRPr="00132D0C">
              <w:t>APS 5</w:t>
            </w:r>
          </w:p>
        </w:tc>
        <w:tc>
          <w:tcPr>
            <w:tcW w:w="737" w:type="dxa"/>
            <w:tcBorders>
              <w:top w:val="single" w:sz="8" w:space="0" w:color="97BC44"/>
              <w:left w:val="single" w:sz="2" w:space="0" w:color="97BC44"/>
              <w:bottom w:val="single" w:sz="8" w:space="0" w:color="97BC44"/>
              <w:right w:val="single" w:sz="2" w:space="0" w:color="97BC44"/>
            </w:tcBorders>
            <w:shd w:val="clear" w:color="auto" w:fill="EFF4E6"/>
            <w:tcMar>
              <w:top w:w="57" w:type="dxa"/>
              <w:left w:w="57" w:type="dxa"/>
              <w:bottom w:w="57" w:type="dxa"/>
              <w:right w:w="57" w:type="dxa"/>
            </w:tcMar>
          </w:tcPr>
          <w:p w14:paraId="1846B887" w14:textId="77777777" w:rsidR="00132D0C" w:rsidRPr="00132D0C" w:rsidRDefault="00132D0C" w:rsidP="005E0AFC">
            <w:pPr>
              <w:pStyle w:val="Tabletextsmall"/>
              <w:jc w:val="center"/>
            </w:pPr>
            <w:r w:rsidRPr="00132D0C">
              <w:t>1</w:t>
            </w:r>
          </w:p>
        </w:tc>
        <w:tc>
          <w:tcPr>
            <w:tcW w:w="737" w:type="dxa"/>
            <w:tcBorders>
              <w:top w:val="single" w:sz="8" w:space="0" w:color="97BC44"/>
              <w:left w:val="single" w:sz="2" w:space="0" w:color="97BC44"/>
              <w:bottom w:val="single" w:sz="8" w:space="0" w:color="97BC44"/>
              <w:right w:val="single" w:sz="2" w:space="0" w:color="97BC44"/>
            </w:tcBorders>
            <w:shd w:val="clear" w:color="auto" w:fill="EFF4E6"/>
            <w:tcMar>
              <w:top w:w="57" w:type="dxa"/>
              <w:left w:w="57" w:type="dxa"/>
              <w:bottom w:w="57" w:type="dxa"/>
              <w:right w:w="57" w:type="dxa"/>
            </w:tcMar>
          </w:tcPr>
          <w:p w14:paraId="6C21CCF6" w14:textId="77777777" w:rsidR="00132D0C" w:rsidRPr="00132D0C" w:rsidRDefault="00132D0C" w:rsidP="005E0AFC">
            <w:pPr>
              <w:pStyle w:val="Tabletextsmall"/>
              <w:jc w:val="center"/>
              <w:rPr>
                <w:rFonts w:ascii="Gotham Bold" w:hAnsi="Gotham Bold"/>
                <w:sz w:val="24"/>
                <w:szCs w:val="24"/>
              </w:rPr>
            </w:pPr>
          </w:p>
        </w:tc>
        <w:tc>
          <w:tcPr>
            <w:tcW w:w="737" w:type="dxa"/>
            <w:tcBorders>
              <w:top w:val="single" w:sz="8" w:space="0" w:color="97BC44"/>
              <w:left w:val="single" w:sz="2" w:space="0" w:color="97BC44"/>
              <w:bottom w:val="single" w:sz="8" w:space="0" w:color="97BC44"/>
              <w:right w:val="single" w:sz="2" w:space="0" w:color="97BC44"/>
            </w:tcBorders>
            <w:shd w:val="clear" w:color="auto" w:fill="EFF4E6"/>
            <w:tcMar>
              <w:top w:w="57" w:type="dxa"/>
              <w:left w:w="57" w:type="dxa"/>
              <w:bottom w:w="57" w:type="dxa"/>
              <w:right w:w="57" w:type="dxa"/>
            </w:tcMar>
          </w:tcPr>
          <w:p w14:paraId="67C0E2DD" w14:textId="77777777" w:rsidR="00132D0C" w:rsidRPr="00132D0C" w:rsidRDefault="00132D0C" w:rsidP="005E0AFC">
            <w:pPr>
              <w:pStyle w:val="Tabletextsmall"/>
              <w:jc w:val="center"/>
              <w:rPr>
                <w:rFonts w:ascii="Gotham Bold" w:hAnsi="Gotham Bold"/>
                <w:sz w:val="24"/>
                <w:szCs w:val="24"/>
              </w:rPr>
            </w:pPr>
          </w:p>
        </w:tc>
        <w:tc>
          <w:tcPr>
            <w:tcW w:w="737" w:type="dxa"/>
            <w:tcBorders>
              <w:top w:val="single" w:sz="8" w:space="0" w:color="97BC44"/>
              <w:left w:val="single" w:sz="2" w:space="0" w:color="97BC44"/>
              <w:bottom w:val="single" w:sz="8" w:space="0" w:color="97BC44"/>
              <w:right w:val="single" w:sz="2" w:space="0" w:color="97BC44"/>
            </w:tcBorders>
            <w:shd w:val="clear" w:color="auto" w:fill="EFF4E6"/>
            <w:tcMar>
              <w:top w:w="57" w:type="dxa"/>
              <w:left w:w="57" w:type="dxa"/>
              <w:bottom w:w="57" w:type="dxa"/>
              <w:right w:w="57" w:type="dxa"/>
            </w:tcMar>
          </w:tcPr>
          <w:p w14:paraId="6DCC2EE5" w14:textId="77777777" w:rsidR="00132D0C" w:rsidRPr="00132D0C" w:rsidRDefault="00132D0C" w:rsidP="005E0AFC">
            <w:pPr>
              <w:pStyle w:val="Tabletextsmall"/>
              <w:jc w:val="center"/>
              <w:rPr>
                <w:rFonts w:ascii="Gotham Bold" w:hAnsi="Gotham Bold"/>
                <w:sz w:val="24"/>
                <w:szCs w:val="24"/>
              </w:rPr>
            </w:pPr>
          </w:p>
        </w:tc>
        <w:tc>
          <w:tcPr>
            <w:tcW w:w="737" w:type="dxa"/>
            <w:tcBorders>
              <w:top w:val="single" w:sz="8" w:space="0" w:color="97BC44"/>
              <w:left w:val="single" w:sz="2" w:space="0" w:color="97BC44"/>
              <w:bottom w:val="single" w:sz="8" w:space="0" w:color="97BC44"/>
              <w:right w:val="single" w:sz="2" w:space="0" w:color="97BC44"/>
            </w:tcBorders>
            <w:shd w:val="clear" w:color="auto" w:fill="EFF4E6"/>
            <w:tcMar>
              <w:top w:w="57" w:type="dxa"/>
              <w:left w:w="57" w:type="dxa"/>
              <w:bottom w:w="57" w:type="dxa"/>
              <w:right w:w="57" w:type="dxa"/>
            </w:tcMar>
          </w:tcPr>
          <w:p w14:paraId="4D2FF5A3" w14:textId="77777777" w:rsidR="00132D0C" w:rsidRPr="00132D0C" w:rsidRDefault="00132D0C" w:rsidP="005E0AFC">
            <w:pPr>
              <w:pStyle w:val="Tabletextsmall"/>
              <w:jc w:val="center"/>
            </w:pPr>
            <w:r w:rsidRPr="00132D0C">
              <w:t>4</w:t>
            </w:r>
          </w:p>
        </w:tc>
        <w:tc>
          <w:tcPr>
            <w:tcW w:w="737" w:type="dxa"/>
            <w:tcBorders>
              <w:top w:val="single" w:sz="8" w:space="0" w:color="97BC44"/>
              <w:left w:val="single" w:sz="2" w:space="0" w:color="97BC44"/>
              <w:bottom w:val="single" w:sz="8" w:space="0" w:color="97BC44"/>
              <w:right w:val="single" w:sz="2" w:space="0" w:color="97BC44"/>
            </w:tcBorders>
            <w:shd w:val="clear" w:color="auto" w:fill="EFF4E6"/>
            <w:tcMar>
              <w:top w:w="57" w:type="dxa"/>
              <w:left w:w="57" w:type="dxa"/>
              <w:bottom w:w="57" w:type="dxa"/>
              <w:right w:w="57" w:type="dxa"/>
            </w:tcMar>
          </w:tcPr>
          <w:p w14:paraId="43EF3E2A" w14:textId="77777777" w:rsidR="00132D0C" w:rsidRPr="00132D0C" w:rsidRDefault="00132D0C" w:rsidP="005E0AFC">
            <w:pPr>
              <w:pStyle w:val="Tabletextsmall"/>
              <w:jc w:val="center"/>
              <w:rPr>
                <w:rFonts w:ascii="Gotham Bold" w:hAnsi="Gotham Bold"/>
                <w:sz w:val="24"/>
                <w:szCs w:val="24"/>
              </w:rPr>
            </w:pPr>
          </w:p>
        </w:tc>
        <w:tc>
          <w:tcPr>
            <w:tcW w:w="737" w:type="dxa"/>
            <w:tcBorders>
              <w:top w:val="single" w:sz="8" w:space="0" w:color="97BC44"/>
              <w:left w:val="single" w:sz="2" w:space="0" w:color="97BC44"/>
              <w:bottom w:val="single" w:sz="8" w:space="0" w:color="97BC44"/>
              <w:right w:val="single" w:sz="2" w:space="0" w:color="97BC44"/>
            </w:tcBorders>
            <w:shd w:val="clear" w:color="auto" w:fill="EFF4E6"/>
            <w:tcMar>
              <w:top w:w="57" w:type="dxa"/>
              <w:left w:w="57" w:type="dxa"/>
              <w:bottom w:w="57" w:type="dxa"/>
              <w:right w:w="57" w:type="dxa"/>
            </w:tcMar>
          </w:tcPr>
          <w:p w14:paraId="4C30A3D4" w14:textId="77777777" w:rsidR="00132D0C" w:rsidRPr="00132D0C" w:rsidRDefault="00132D0C" w:rsidP="005E0AFC">
            <w:pPr>
              <w:pStyle w:val="Tabletextsmall"/>
              <w:jc w:val="center"/>
              <w:rPr>
                <w:rFonts w:ascii="Gotham Bold" w:hAnsi="Gotham Bold"/>
                <w:sz w:val="24"/>
                <w:szCs w:val="24"/>
              </w:rPr>
            </w:pPr>
          </w:p>
        </w:tc>
        <w:tc>
          <w:tcPr>
            <w:tcW w:w="737" w:type="dxa"/>
            <w:tcBorders>
              <w:top w:val="single" w:sz="8" w:space="0" w:color="97BC44"/>
              <w:left w:val="single" w:sz="2" w:space="0" w:color="97BC44"/>
              <w:bottom w:val="single" w:sz="8" w:space="0" w:color="97BC44"/>
              <w:right w:val="single" w:sz="2" w:space="0" w:color="97BC44"/>
            </w:tcBorders>
            <w:shd w:val="clear" w:color="auto" w:fill="EFF4E6"/>
            <w:tcMar>
              <w:top w:w="57" w:type="dxa"/>
              <w:left w:w="57" w:type="dxa"/>
              <w:bottom w:w="57" w:type="dxa"/>
              <w:right w:w="57" w:type="dxa"/>
            </w:tcMar>
          </w:tcPr>
          <w:p w14:paraId="0109DC4D" w14:textId="77777777" w:rsidR="00132D0C" w:rsidRPr="00132D0C" w:rsidRDefault="00132D0C" w:rsidP="005E0AFC">
            <w:pPr>
              <w:pStyle w:val="Tabletextsmall"/>
              <w:jc w:val="center"/>
              <w:rPr>
                <w:rFonts w:ascii="Gotham Bold" w:hAnsi="Gotham Bold"/>
                <w:sz w:val="24"/>
                <w:szCs w:val="24"/>
              </w:rPr>
            </w:pPr>
          </w:p>
        </w:tc>
        <w:tc>
          <w:tcPr>
            <w:tcW w:w="794" w:type="dxa"/>
            <w:gridSpan w:val="2"/>
            <w:tcBorders>
              <w:top w:val="single" w:sz="8" w:space="0" w:color="97BC44"/>
              <w:left w:val="single" w:sz="2" w:space="0" w:color="97BC44"/>
              <w:bottom w:val="single" w:sz="8" w:space="0" w:color="97BC44"/>
            </w:tcBorders>
            <w:shd w:val="clear" w:color="auto" w:fill="EFF4E6"/>
            <w:tcMar>
              <w:top w:w="57" w:type="dxa"/>
              <w:left w:w="57" w:type="dxa"/>
              <w:bottom w:w="57" w:type="dxa"/>
              <w:right w:w="57" w:type="dxa"/>
            </w:tcMar>
          </w:tcPr>
          <w:p w14:paraId="7255391B" w14:textId="77777777" w:rsidR="00132D0C" w:rsidRPr="005E0AFC" w:rsidRDefault="00132D0C" w:rsidP="005E0AFC">
            <w:pPr>
              <w:pStyle w:val="Tabletextsmall"/>
              <w:jc w:val="center"/>
              <w:rPr>
                <w:rStyle w:val="Strong"/>
              </w:rPr>
            </w:pPr>
            <w:r w:rsidRPr="005E0AFC">
              <w:rPr>
                <w:rStyle w:val="Strong"/>
              </w:rPr>
              <w:t>5</w:t>
            </w:r>
          </w:p>
        </w:tc>
      </w:tr>
      <w:tr w:rsidR="00132D0C" w:rsidRPr="00132D0C" w14:paraId="49B6D0E8" w14:textId="77777777" w:rsidTr="005E0AFC">
        <w:trPr>
          <w:trHeight w:val="60"/>
        </w:trPr>
        <w:tc>
          <w:tcPr>
            <w:tcW w:w="1587" w:type="dxa"/>
            <w:tcBorders>
              <w:top w:val="single" w:sz="8" w:space="0" w:color="97BC44"/>
              <w:bottom w:val="single" w:sz="12" w:space="0" w:color="97BC44"/>
              <w:right w:val="single" w:sz="2" w:space="0" w:color="97BC44"/>
            </w:tcBorders>
            <w:tcMar>
              <w:top w:w="57" w:type="dxa"/>
              <w:left w:w="113" w:type="dxa"/>
              <w:bottom w:w="57" w:type="dxa"/>
              <w:right w:w="0" w:type="dxa"/>
            </w:tcMar>
          </w:tcPr>
          <w:p w14:paraId="2D957DEE" w14:textId="77777777" w:rsidR="00132D0C" w:rsidRPr="00132D0C" w:rsidRDefault="00132D0C" w:rsidP="00132D0C">
            <w:pPr>
              <w:pStyle w:val="Tabletextsmall"/>
            </w:pPr>
            <w:r w:rsidRPr="00132D0C">
              <w:t>APS 4</w:t>
            </w:r>
          </w:p>
        </w:tc>
        <w:tc>
          <w:tcPr>
            <w:tcW w:w="737" w:type="dxa"/>
            <w:tcBorders>
              <w:top w:val="single" w:sz="8" w:space="0" w:color="97BC44"/>
              <w:left w:val="single" w:sz="2" w:space="0" w:color="97BC44"/>
              <w:bottom w:val="single" w:sz="12" w:space="0" w:color="97BC44"/>
              <w:right w:val="single" w:sz="2" w:space="0" w:color="97BC44"/>
            </w:tcBorders>
            <w:tcMar>
              <w:top w:w="57" w:type="dxa"/>
              <w:left w:w="57" w:type="dxa"/>
              <w:bottom w:w="57" w:type="dxa"/>
              <w:right w:w="57" w:type="dxa"/>
            </w:tcMar>
          </w:tcPr>
          <w:p w14:paraId="5B0CE92D" w14:textId="77777777" w:rsidR="00132D0C" w:rsidRPr="00132D0C" w:rsidRDefault="00132D0C" w:rsidP="005E0AFC">
            <w:pPr>
              <w:pStyle w:val="Tabletextsmall"/>
              <w:jc w:val="center"/>
            </w:pPr>
            <w:r w:rsidRPr="00132D0C">
              <w:t>1</w:t>
            </w:r>
          </w:p>
        </w:tc>
        <w:tc>
          <w:tcPr>
            <w:tcW w:w="737" w:type="dxa"/>
            <w:tcBorders>
              <w:top w:val="single" w:sz="8" w:space="0" w:color="97BC44"/>
              <w:left w:val="single" w:sz="2" w:space="0" w:color="97BC44"/>
              <w:bottom w:val="single" w:sz="12" w:space="0" w:color="97BC44"/>
              <w:right w:val="single" w:sz="2" w:space="0" w:color="97BC44"/>
            </w:tcBorders>
            <w:tcMar>
              <w:top w:w="57" w:type="dxa"/>
              <w:left w:w="57" w:type="dxa"/>
              <w:bottom w:w="57" w:type="dxa"/>
              <w:right w:w="57" w:type="dxa"/>
            </w:tcMar>
          </w:tcPr>
          <w:p w14:paraId="195A5BC3" w14:textId="77777777" w:rsidR="00132D0C" w:rsidRPr="00132D0C" w:rsidRDefault="00132D0C" w:rsidP="005E0AFC">
            <w:pPr>
              <w:pStyle w:val="Tabletextsmall"/>
              <w:jc w:val="center"/>
              <w:rPr>
                <w:rFonts w:ascii="Gotham Bold" w:hAnsi="Gotham Bold"/>
                <w:sz w:val="24"/>
                <w:szCs w:val="24"/>
              </w:rPr>
            </w:pPr>
          </w:p>
        </w:tc>
        <w:tc>
          <w:tcPr>
            <w:tcW w:w="737" w:type="dxa"/>
            <w:tcBorders>
              <w:top w:val="single" w:sz="8" w:space="0" w:color="97BC44"/>
              <w:left w:val="single" w:sz="2" w:space="0" w:color="97BC44"/>
              <w:bottom w:val="single" w:sz="12" w:space="0" w:color="97BC44"/>
              <w:right w:val="single" w:sz="2" w:space="0" w:color="97BC44"/>
            </w:tcBorders>
            <w:tcMar>
              <w:top w:w="57" w:type="dxa"/>
              <w:left w:w="57" w:type="dxa"/>
              <w:bottom w:w="57" w:type="dxa"/>
              <w:right w:w="57" w:type="dxa"/>
            </w:tcMar>
          </w:tcPr>
          <w:p w14:paraId="3A7EF758" w14:textId="77777777" w:rsidR="00132D0C" w:rsidRPr="00132D0C" w:rsidRDefault="00132D0C" w:rsidP="005E0AFC">
            <w:pPr>
              <w:pStyle w:val="Tabletextsmall"/>
              <w:jc w:val="center"/>
              <w:rPr>
                <w:rFonts w:ascii="Gotham Bold" w:hAnsi="Gotham Bold"/>
                <w:sz w:val="24"/>
                <w:szCs w:val="24"/>
              </w:rPr>
            </w:pPr>
          </w:p>
        </w:tc>
        <w:tc>
          <w:tcPr>
            <w:tcW w:w="737" w:type="dxa"/>
            <w:tcBorders>
              <w:top w:val="single" w:sz="8" w:space="0" w:color="97BC44"/>
              <w:left w:val="single" w:sz="2" w:space="0" w:color="97BC44"/>
              <w:bottom w:val="single" w:sz="12" w:space="0" w:color="97BC44"/>
              <w:right w:val="single" w:sz="2" w:space="0" w:color="97BC44"/>
            </w:tcBorders>
            <w:tcMar>
              <w:top w:w="57" w:type="dxa"/>
              <w:left w:w="57" w:type="dxa"/>
              <w:bottom w:w="57" w:type="dxa"/>
              <w:right w:w="57" w:type="dxa"/>
            </w:tcMar>
          </w:tcPr>
          <w:p w14:paraId="33E3CAF4" w14:textId="77777777" w:rsidR="00132D0C" w:rsidRPr="00132D0C" w:rsidRDefault="00132D0C" w:rsidP="005E0AFC">
            <w:pPr>
              <w:pStyle w:val="Tabletextsmall"/>
              <w:jc w:val="center"/>
              <w:rPr>
                <w:rFonts w:ascii="Gotham Bold" w:hAnsi="Gotham Bold"/>
                <w:sz w:val="24"/>
                <w:szCs w:val="24"/>
              </w:rPr>
            </w:pPr>
          </w:p>
        </w:tc>
        <w:tc>
          <w:tcPr>
            <w:tcW w:w="737" w:type="dxa"/>
            <w:tcBorders>
              <w:top w:val="single" w:sz="8" w:space="0" w:color="97BC44"/>
              <w:left w:val="single" w:sz="2" w:space="0" w:color="97BC44"/>
              <w:bottom w:val="single" w:sz="12" w:space="0" w:color="97BC44"/>
              <w:right w:val="single" w:sz="2" w:space="0" w:color="97BC44"/>
            </w:tcBorders>
            <w:tcMar>
              <w:top w:w="57" w:type="dxa"/>
              <w:left w:w="57" w:type="dxa"/>
              <w:bottom w:w="57" w:type="dxa"/>
              <w:right w:w="57" w:type="dxa"/>
            </w:tcMar>
          </w:tcPr>
          <w:p w14:paraId="44EDC044" w14:textId="77777777" w:rsidR="00132D0C" w:rsidRPr="00132D0C" w:rsidRDefault="00132D0C" w:rsidP="005E0AFC">
            <w:pPr>
              <w:pStyle w:val="Tabletextsmall"/>
              <w:jc w:val="center"/>
              <w:rPr>
                <w:rFonts w:ascii="Gotham Bold" w:hAnsi="Gotham Bold"/>
                <w:sz w:val="24"/>
                <w:szCs w:val="24"/>
              </w:rPr>
            </w:pPr>
          </w:p>
        </w:tc>
        <w:tc>
          <w:tcPr>
            <w:tcW w:w="737" w:type="dxa"/>
            <w:tcBorders>
              <w:top w:val="single" w:sz="8" w:space="0" w:color="97BC44"/>
              <w:left w:val="single" w:sz="2" w:space="0" w:color="97BC44"/>
              <w:bottom w:val="single" w:sz="12" w:space="0" w:color="97BC44"/>
              <w:right w:val="single" w:sz="2" w:space="0" w:color="97BC44"/>
            </w:tcBorders>
            <w:tcMar>
              <w:top w:w="57" w:type="dxa"/>
              <w:left w:w="57" w:type="dxa"/>
              <w:bottom w:w="57" w:type="dxa"/>
              <w:right w:w="57" w:type="dxa"/>
            </w:tcMar>
          </w:tcPr>
          <w:p w14:paraId="6FF5D16F" w14:textId="77777777" w:rsidR="00132D0C" w:rsidRPr="00132D0C" w:rsidRDefault="00132D0C" w:rsidP="005E0AFC">
            <w:pPr>
              <w:pStyle w:val="Tabletextsmall"/>
              <w:jc w:val="center"/>
              <w:rPr>
                <w:rFonts w:ascii="Gotham Bold" w:hAnsi="Gotham Bold"/>
                <w:sz w:val="24"/>
                <w:szCs w:val="24"/>
              </w:rPr>
            </w:pPr>
          </w:p>
        </w:tc>
        <w:tc>
          <w:tcPr>
            <w:tcW w:w="737" w:type="dxa"/>
            <w:tcBorders>
              <w:top w:val="single" w:sz="8" w:space="0" w:color="97BC44"/>
              <w:left w:val="single" w:sz="2" w:space="0" w:color="97BC44"/>
              <w:bottom w:val="single" w:sz="12" w:space="0" w:color="97BC44"/>
              <w:right w:val="single" w:sz="2" w:space="0" w:color="97BC44"/>
            </w:tcBorders>
            <w:tcMar>
              <w:top w:w="57" w:type="dxa"/>
              <w:left w:w="57" w:type="dxa"/>
              <w:bottom w:w="57" w:type="dxa"/>
              <w:right w:w="57" w:type="dxa"/>
            </w:tcMar>
          </w:tcPr>
          <w:p w14:paraId="44707C45" w14:textId="77777777" w:rsidR="00132D0C" w:rsidRPr="00132D0C" w:rsidRDefault="00132D0C" w:rsidP="005E0AFC">
            <w:pPr>
              <w:pStyle w:val="Tabletextsmall"/>
              <w:jc w:val="center"/>
              <w:rPr>
                <w:rFonts w:ascii="Gotham Bold" w:hAnsi="Gotham Bold"/>
                <w:sz w:val="24"/>
                <w:szCs w:val="24"/>
              </w:rPr>
            </w:pPr>
          </w:p>
        </w:tc>
        <w:tc>
          <w:tcPr>
            <w:tcW w:w="737" w:type="dxa"/>
            <w:tcBorders>
              <w:top w:val="single" w:sz="8" w:space="0" w:color="97BC44"/>
              <w:left w:val="single" w:sz="2" w:space="0" w:color="97BC44"/>
              <w:bottom w:val="single" w:sz="12" w:space="0" w:color="97BC44"/>
              <w:right w:val="single" w:sz="2" w:space="0" w:color="97BC44"/>
            </w:tcBorders>
            <w:tcMar>
              <w:top w:w="57" w:type="dxa"/>
              <w:left w:w="57" w:type="dxa"/>
              <w:bottom w:w="57" w:type="dxa"/>
              <w:right w:w="57" w:type="dxa"/>
            </w:tcMar>
          </w:tcPr>
          <w:p w14:paraId="2A5C411A" w14:textId="77777777" w:rsidR="00132D0C" w:rsidRPr="00132D0C" w:rsidRDefault="00132D0C" w:rsidP="005E0AFC">
            <w:pPr>
              <w:pStyle w:val="Tabletextsmall"/>
              <w:jc w:val="center"/>
              <w:rPr>
                <w:rFonts w:ascii="Gotham Bold" w:hAnsi="Gotham Bold"/>
                <w:sz w:val="24"/>
                <w:szCs w:val="24"/>
              </w:rPr>
            </w:pPr>
          </w:p>
        </w:tc>
        <w:tc>
          <w:tcPr>
            <w:tcW w:w="794" w:type="dxa"/>
            <w:gridSpan w:val="2"/>
            <w:tcBorders>
              <w:top w:val="single" w:sz="8" w:space="0" w:color="97BC44"/>
              <w:left w:val="single" w:sz="2" w:space="0" w:color="97BC44"/>
              <w:bottom w:val="single" w:sz="12" w:space="0" w:color="97BC44"/>
            </w:tcBorders>
            <w:tcMar>
              <w:top w:w="57" w:type="dxa"/>
              <w:left w:w="57" w:type="dxa"/>
              <w:bottom w:w="57" w:type="dxa"/>
              <w:right w:w="57" w:type="dxa"/>
            </w:tcMar>
          </w:tcPr>
          <w:p w14:paraId="303A5AB6" w14:textId="77777777" w:rsidR="00132D0C" w:rsidRPr="005E0AFC" w:rsidRDefault="00132D0C" w:rsidP="005E0AFC">
            <w:pPr>
              <w:pStyle w:val="Tabletextsmall"/>
              <w:jc w:val="center"/>
              <w:rPr>
                <w:rStyle w:val="Strong"/>
              </w:rPr>
            </w:pPr>
            <w:r w:rsidRPr="005E0AFC">
              <w:rPr>
                <w:rStyle w:val="Strong"/>
              </w:rPr>
              <w:t>1</w:t>
            </w:r>
          </w:p>
        </w:tc>
      </w:tr>
      <w:tr w:rsidR="00132D0C" w:rsidRPr="00132D0C" w14:paraId="4FFA28AD" w14:textId="77777777" w:rsidTr="005E0AFC">
        <w:trPr>
          <w:trHeight w:val="60"/>
        </w:trPr>
        <w:tc>
          <w:tcPr>
            <w:tcW w:w="1587" w:type="dxa"/>
            <w:tcBorders>
              <w:top w:val="single" w:sz="12" w:space="0" w:color="97BC44"/>
              <w:bottom w:val="single" w:sz="12" w:space="0" w:color="97BC44"/>
              <w:right w:val="single" w:sz="2" w:space="0" w:color="97BC44"/>
            </w:tcBorders>
            <w:shd w:val="clear" w:color="auto" w:fill="EFF4E6"/>
            <w:tcMar>
              <w:top w:w="57" w:type="dxa"/>
              <w:left w:w="113" w:type="dxa"/>
              <w:bottom w:w="57" w:type="dxa"/>
              <w:right w:w="0" w:type="dxa"/>
            </w:tcMar>
          </w:tcPr>
          <w:p w14:paraId="0579377D" w14:textId="77777777" w:rsidR="00132D0C" w:rsidRPr="005E0AFC" w:rsidRDefault="00132D0C" w:rsidP="00132D0C">
            <w:pPr>
              <w:pStyle w:val="Tabletextsmall"/>
              <w:rPr>
                <w:rStyle w:val="Strong"/>
              </w:rPr>
            </w:pPr>
            <w:r w:rsidRPr="005E0AFC">
              <w:rPr>
                <w:rStyle w:val="Strong"/>
              </w:rPr>
              <w:t>Total</w:t>
            </w:r>
          </w:p>
        </w:tc>
        <w:tc>
          <w:tcPr>
            <w:tcW w:w="737" w:type="dxa"/>
            <w:tcBorders>
              <w:top w:val="single" w:sz="12" w:space="0" w:color="97BC44"/>
              <w:left w:val="single" w:sz="2" w:space="0" w:color="97BC44"/>
              <w:bottom w:val="single" w:sz="12" w:space="0" w:color="97BC44"/>
              <w:right w:val="single" w:sz="2" w:space="0" w:color="97BC44"/>
            </w:tcBorders>
            <w:shd w:val="clear" w:color="auto" w:fill="EFF4E6"/>
            <w:tcMar>
              <w:top w:w="57" w:type="dxa"/>
              <w:left w:w="57" w:type="dxa"/>
              <w:bottom w:w="57" w:type="dxa"/>
              <w:right w:w="57" w:type="dxa"/>
            </w:tcMar>
          </w:tcPr>
          <w:p w14:paraId="16527CC5" w14:textId="77777777" w:rsidR="00132D0C" w:rsidRPr="005E0AFC" w:rsidRDefault="00132D0C" w:rsidP="005E0AFC">
            <w:pPr>
              <w:pStyle w:val="Tabletextsmall"/>
              <w:jc w:val="center"/>
              <w:rPr>
                <w:rStyle w:val="Strong"/>
              </w:rPr>
            </w:pPr>
            <w:r w:rsidRPr="005E0AFC">
              <w:rPr>
                <w:rStyle w:val="Strong"/>
              </w:rPr>
              <w:t>42.5</w:t>
            </w:r>
          </w:p>
        </w:tc>
        <w:tc>
          <w:tcPr>
            <w:tcW w:w="737" w:type="dxa"/>
            <w:tcBorders>
              <w:top w:val="single" w:sz="12" w:space="0" w:color="97BC44"/>
              <w:left w:val="single" w:sz="2" w:space="0" w:color="97BC44"/>
              <w:bottom w:val="single" w:sz="12" w:space="0" w:color="97BC44"/>
              <w:right w:val="single" w:sz="2" w:space="0" w:color="97BC44"/>
            </w:tcBorders>
            <w:shd w:val="clear" w:color="auto" w:fill="EFF4E6"/>
            <w:tcMar>
              <w:top w:w="57" w:type="dxa"/>
              <w:left w:w="57" w:type="dxa"/>
              <w:bottom w:w="57" w:type="dxa"/>
              <w:right w:w="57" w:type="dxa"/>
            </w:tcMar>
          </w:tcPr>
          <w:p w14:paraId="75895A8B" w14:textId="77777777" w:rsidR="00132D0C" w:rsidRPr="005E0AFC" w:rsidRDefault="00132D0C" w:rsidP="005E0AFC">
            <w:pPr>
              <w:pStyle w:val="Tabletextsmall"/>
              <w:jc w:val="center"/>
              <w:rPr>
                <w:rStyle w:val="Strong"/>
              </w:rPr>
            </w:pPr>
            <w:r w:rsidRPr="005E0AFC">
              <w:rPr>
                <w:rStyle w:val="Strong"/>
              </w:rPr>
              <w:t>8.1</w:t>
            </w:r>
          </w:p>
        </w:tc>
        <w:tc>
          <w:tcPr>
            <w:tcW w:w="737" w:type="dxa"/>
            <w:tcBorders>
              <w:top w:val="single" w:sz="12" w:space="0" w:color="97BC44"/>
              <w:left w:val="single" w:sz="2" w:space="0" w:color="97BC44"/>
              <w:bottom w:val="single" w:sz="12" w:space="0" w:color="97BC44"/>
              <w:right w:val="single" w:sz="2" w:space="0" w:color="97BC44"/>
            </w:tcBorders>
            <w:shd w:val="clear" w:color="auto" w:fill="EFF4E6"/>
            <w:tcMar>
              <w:top w:w="57" w:type="dxa"/>
              <w:left w:w="57" w:type="dxa"/>
              <w:bottom w:w="57" w:type="dxa"/>
              <w:right w:w="57" w:type="dxa"/>
            </w:tcMar>
          </w:tcPr>
          <w:p w14:paraId="3163838D" w14:textId="77777777" w:rsidR="00132D0C" w:rsidRPr="005E0AFC" w:rsidRDefault="00132D0C" w:rsidP="005E0AFC">
            <w:pPr>
              <w:pStyle w:val="Tabletextsmall"/>
              <w:jc w:val="center"/>
              <w:rPr>
                <w:rStyle w:val="Strong"/>
              </w:rPr>
            </w:pPr>
            <w:r w:rsidRPr="005E0AFC">
              <w:rPr>
                <w:rStyle w:val="Strong"/>
              </w:rPr>
              <w:t>4</w:t>
            </w:r>
          </w:p>
        </w:tc>
        <w:tc>
          <w:tcPr>
            <w:tcW w:w="737" w:type="dxa"/>
            <w:tcBorders>
              <w:top w:val="single" w:sz="12" w:space="0" w:color="97BC44"/>
              <w:left w:val="single" w:sz="2" w:space="0" w:color="97BC44"/>
              <w:bottom w:val="single" w:sz="12" w:space="0" w:color="97BC44"/>
              <w:right w:val="single" w:sz="2" w:space="0" w:color="97BC44"/>
            </w:tcBorders>
            <w:shd w:val="clear" w:color="auto" w:fill="EFF4E6"/>
            <w:tcMar>
              <w:top w:w="57" w:type="dxa"/>
              <w:left w:w="57" w:type="dxa"/>
              <w:bottom w:w="57" w:type="dxa"/>
              <w:right w:w="57" w:type="dxa"/>
            </w:tcMar>
          </w:tcPr>
          <w:p w14:paraId="51BA9834" w14:textId="77777777" w:rsidR="00132D0C" w:rsidRPr="005E0AFC" w:rsidRDefault="00132D0C" w:rsidP="005E0AFC">
            <w:pPr>
              <w:pStyle w:val="Tabletextsmall"/>
              <w:jc w:val="center"/>
              <w:rPr>
                <w:rStyle w:val="Strong"/>
              </w:rPr>
            </w:pPr>
            <w:r w:rsidRPr="005E0AFC">
              <w:rPr>
                <w:rStyle w:val="Strong"/>
              </w:rPr>
              <w:t>2.6</w:t>
            </w:r>
          </w:p>
        </w:tc>
        <w:tc>
          <w:tcPr>
            <w:tcW w:w="737" w:type="dxa"/>
            <w:tcBorders>
              <w:top w:val="single" w:sz="12" w:space="0" w:color="97BC44"/>
              <w:left w:val="single" w:sz="2" w:space="0" w:color="97BC44"/>
              <w:bottom w:val="single" w:sz="12" w:space="0" w:color="97BC44"/>
              <w:right w:val="single" w:sz="2" w:space="0" w:color="97BC44"/>
            </w:tcBorders>
            <w:shd w:val="clear" w:color="auto" w:fill="EFF4E6"/>
            <w:tcMar>
              <w:top w:w="57" w:type="dxa"/>
              <w:left w:w="57" w:type="dxa"/>
              <w:bottom w:w="57" w:type="dxa"/>
              <w:right w:w="57" w:type="dxa"/>
            </w:tcMar>
          </w:tcPr>
          <w:p w14:paraId="7E6DF6E0" w14:textId="77777777" w:rsidR="00132D0C" w:rsidRPr="005E0AFC" w:rsidRDefault="00132D0C" w:rsidP="005E0AFC">
            <w:pPr>
              <w:pStyle w:val="Tabletextsmall"/>
              <w:jc w:val="center"/>
              <w:rPr>
                <w:rStyle w:val="Strong"/>
              </w:rPr>
            </w:pPr>
            <w:r w:rsidRPr="005E0AFC">
              <w:rPr>
                <w:rStyle w:val="Strong"/>
              </w:rPr>
              <w:t>19.6</w:t>
            </w:r>
          </w:p>
        </w:tc>
        <w:tc>
          <w:tcPr>
            <w:tcW w:w="737" w:type="dxa"/>
            <w:tcBorders>
              <w:top w:val="single" w:sz="12" w:space="0" w:color="97BC44"/>
              <w:left w:val="single" w:sz="2" w:space="0" w:color="97BC44"/>
              <w:bottom w:val="single" w:sz="12" w:space="0" w:color="97BC44"/>
              <w:right w:val="single" w:sz="2" w:space="0" w:color="97BC44"/>
            </w:tcBorders>
            <w:shd w:val="clear" w:color="auto" w:fill="EFF4E6"/>
            <w:tcMar>
              <w:top w:w="57" w:type="dxa"/>
              <w:left w:w="57" w:type="dxa"/>
              <w:bottom w:w="57" w:type="dxa"/>
              <w:right w:w="57" w:type="dxa"/>
            </w:tcMar>
          </w:tcPr>
          <w:p w14:paraId="5BA4F678" w14:textId="77777777" w:rsidR="00132D0C" w:rsidRPr="005E0AFC" w:rsidRDefault="00132D0C" w:rsidP="005E0AFC">
            <w:pPr>
              <w:pStyle w:val="Tabletextsmall"/>
              <w:jc w:val="center"/>
              <w:rPr>
                <w:rStyle w:val="Strong"/>
              </w:rPr>
            </w:pPr>
            <w:r w:rsidRPr="005E0AFC">
              <w:rPr>
                <w:rStyle w:val="Strong"/>
              </w:rPr>
              <w:t>1.4</w:t>
            </w:r>
          </w:p>
        </w:tc>
        <w:tc>
          <w:tcPr>
            <w:tcW w:w="737" w:type="dxa"/>
            <w:tcBorders>
              <w:top w:val="single" w:sz="12" w:space="0" w:color="97BC44"/>
              <w:left w:val="single" w:sz="2" w:space="0" w:color="97BC44"/>
              <w:bottom w:val="single" w:sz="12" w:space="0" w:color="97BC44"/>
              <w:right w:val="single" w:sz="2" w:space="0" w:color="97BC44"/>
            </w:tcBorders>
            <w:shd w:val="clear" w:color="auto" w:fill="EFF4E6"/>
            <w:tcMar>
              <w:top w:w="57" w:type="dxa"/>
              <w:left w:w="57" w:type="dxa"/>
              <w:bottom w:w="57" w:type="dxa"/>
              <w:right w:w="57" w:type="dxa"/>
            </w:tcMar>
          </w:tcPr>
          <w:p w14:paraId="6290469D" w14:textId="77777777" w:rsidR="00132D0C" w:rsidRPr="005E0AFC" w:rsidRDefault="00132D0C" w:rsidP="005E0AFC">
            <w:pPr>
              <w:pStyle w:val="Tabletextsmall"/>
              <w:jc w:val="center"/>
              <w:rPr>
                <w:rStyle w:val="Strong"/>
              </w:rPr>
            </w:pPr>
            <w:r w:rsidRPr="005E0AFC">
              <w:rPr>
                <w:rStyle w:val="Strong"/>
              </w:rPr>
              <w:t>0</w:t>
            </w:r>
          </w:p>
        </w:tc>
        <w:tc>
          <w:tcPr>
            <w:tcW w:w="737" w:type="dxa"/>
            <w:tcBorders>
              <w:top w:val="single" w:sz="12" w:space="0" w:color="97BC44"/>
              <w:left w:val="single" w:sz="2" w:space="0" w:color="97BC44"/>
              <w:bottom w:val="single" w:sz="12" w:space="0" w:color="97BC44"/>
              <w:right w:val="single" w:sz="2" w:space="0" w:color="97BC44"/>
            </w:tcBorders>
            <w:shd w:val="clear" w:color="auto" w:fill="EFF4E6"/>
            <w:tcMar>
              <w:top w:w="57" w:type="dxa"/>
              <w:left w:w="57" w:type="dxa"/>
              <w:bottom w:w="57" w:type="dxa"/>
              <w:right w:w="57" w:type="dxa"/>
            </w:tcMar>
          </w:tcPr>
          <w:p w14:paraId="53F1D9E3" w14:textId="77777777" w:rsidR="00132D0C" w:rsidRPr="005E0AFC" w:rsidRDefault="00132D0C" w:rsidP="005E0AFC">
            <w:pPr>
              <w:pStyle w:val="Tabletextsmall"/>
              <w:jc w:val="center"/>
              <w:rPr>
                <w:rStyle w:val="Strong"/>
              </w:rPr>
            </w:pPr>
            <w:r w:rsidRPr="005E0AFC">
              <w:rPr>
                <w:rStyle w:val="Strong"/>
              </w:rPr>
              <w:t>1.3</w:t>
            </w:r>
          </w:p>
        </w:tc>
        <w:tc>
          <w:tcPr>
            <w:tcW w:w="794" w:type="dxa"/>
            <w:gridSpan w:val="2"/>
            <w:tcBorders>
              <w:top w:val="single" w:sz="12" w:space="0" w:color="97BC44"/>
              <w:left w:val="single" w:sz="2" w:space="0" w:color="97BC44"/>
              <w:bottom w:val="single" w:sz="12" w:space="0" w:color="97BC44"/>
            </w:tcBorders>
            <w:shd w:val="clear" w:color="auto" w:fill="EFF4E6"/>
            <w:tcMar>
              <w:top w:w="57" w:type="dxa"/>
              <w:left w:w="57" w:type="dxa"/>
              <w:bottom w:w="57" w:type="dxa"/>
              <w:right w:w="57" w:type="dxa"/>
            </w:tcMar>
          </w:tcPr>
          <w:p w14:paraId="0040C60A" w14:textId="77777777" w:rsidR="00132D0C" w:rsidRPr="005E0AFC" w:rsidRDefault="00132D0C" w:rsidP="005E0AFC">
            <w:pPr>
              <w:pStyle w:val="Tabletextsmall"/>
              <w:jc w:val="center"/>
              <w:rPr>
                <w:rStyle w:val="Strong"/>
              </w:rPr>
            </w:pPr>
            <w:r w:rsidRPr="005E0AFC">
              <w:rPr>
                <w:rStyle w:val="Strong"/>
              </w:rPr>
              <w:t>79.3</w:t>
            </w:r>
          </w:p>
        </w:tc>
      </w:tr>
    </w:tbl>
    <w:p w14:paraId="4AF753C8" w14:textId="77777777" w:rsidR="005E0AFC" w:rsidRPr="00C9282C" w:rsidRDefault="005E0AFC" w:rsidP="00A66E3B">
      <w:pPr>
        <w:pStyle w:val="SectionIntroCopy"/>
        <w:sectPr w:rsidR="005E0AFC" w:rsidRPr="00C9282C" w:rsidSect="00132D0C">
          <w:headerReference w:type="default" r:id="rId76"/>
          <w:type w:val="continuous"/>
          <w:pgSz w:w="9979" w:h="14175" w:code="34"/>
          <w:pgMar w:top="1418" w:right="680" w:bottom="851" w:left="1021" w:header="567" w:footer="397" w:gutter="0"/>
          <w:cols w:space="340"/>
          <w:noEndnote/>
        </w:sectPr>
      </w:pPr>
    </w:p>
    <w:p w14:paraId="0D560D34" w14:textId="77777777" w:rsidR="005E0AFC" w:rsidRPr="00C9282C" w:rsidRDefault="005E0AFC" w:rsidP="00C9282C">
      <w:r w:rsidRPr="00C9282C">
        <w:lastRenderedPageBreak/>
        <w:br w:type="page"/>
      </w:r>
    </w:p>
    <w:p w14:paraId="39454CCC" w14:textId="77777777" w:rsidR="005E0AFC" w:rsidRDefault="005E0AFC" w:rsidP="005E0AFC">
      <w:pPr>
        <w:pStyle w:val="Heading1"/>
      </w:pPr>
      <w:r>
        <w:lastRenderedPageBreak/>
        <w:t xml:space="preserve">Workplace health </w:t>
      </w:r>
      <w:r w:rsidR="00011CF0">
        <w:br/>
      </w:r>
      <w:r>
        <w:t>and</w:t>
      </w:r>
      <w:r w:rsidR="00011CF0">
        <w:t xml:space="preserve"> </w:t>
      </w:r>
      <w:r>
        <w:t>safety</w:t>
      </w:r>
    </w:p>
    <w:p w14:paraId="329FFDD6" w14:textId="77777777" w:rsidR="005E0AFC" w:rsidRDefault="005E0AFC" w:rsidP="005E0AFC">
      <w:pPr>
        <w:pStyle w:val="BodyText"/>
      </w:pPr>
      <w:r>
        <w:t xml:space="preserve">The Commission continues to promote a healthy and safe workplace and is committed to meeting its obligations under the </w:t>
      </w:r>
      <w:r w:rsidRPr="005E0AFC">
        <w:rPr>
          <w:rStyle w:val="Emphasis"/>
        </w:rPr>
        <w:t xml:space="preserve">Work Health and Safety Act 2011 </w:t>
      </w:r>
      <w:r>
        <w:t xml:space="preserve">and the </w:t>
      </w:r>
      <w:r w:rsidRPr="005E0AFC">
        <w:rPr>
          <w:rStyle w:val="Emphasis"/>
        </w:rPr>
        <w:t>Safety, Rehabilitation and Compensation Act 1988</w:t>
      </w:r>
      <w:r>
        <w:t>.</w:t>
      </w:r>
    </w:p>
    <w:p w14:paraId="3ED9B869" w14:textId="77777777" w:rsidR="005E0AFC" w:rsidRDefault="005E0AFC" w:rsidP="005E0AFC">
      <w:pPr>
        <w:pStyle w:val="BodyText"/>
      </w:pPr>
      <w:r>
        <w:t xml:space="preserve">In 2016–17, the Commission implemented a revised work health and safety policy, new work health and safety procedures, and a new rehabilitation policy. All new staff members are required to complete work health and safety training as part of their induction. </w:t>
      </w:r>
    </w:p>
    <w:p w14:paraId="41845A6D" w14:textId="77777777" w:rsidR="005E0AFC" w:rsidRDefault="005E0AFC" w:rsidP="005E0AFC">
      <w:pPr>
        <w:pStyle w:val="Bodytextbeforebullets"/>
      </w:pPr>
      <w:r>
        <w:t>The Commission undertook a number of activities during 2016–17 aimed at encouraging employees to adopt healthy work and lifestyle practices, including:</w:t>
      </w:r>
    </w:p>
    <w:p w14:paraId="0D8DEFFA" w14:textId="77777777" w:rsidR="005E0AFC" w:rsidRDefault="005E0AFC" w:rsidP="00D651C5">
      <w:pPr>
        <w:pStyle w:val="Bullets"/>
      </w:pPr>
      <w:r>
        <w:t xml:space="preserve">Conducting ergonomic workstation assessments for new staff members and providing access to standing desk solutions </w:t>
      </w:r>
    </w:p>
    <w:p w14:paraId="193BFE46" w14:textId="77777777" w:rsidR="005E0AFC" w:rsidRDefault="005E0AFC" w:rsidP="005E0AFC">
      <w:pPr>
        <w:pStyle w:val="Bullets"/>
      </w:pPr>
      <w:r>
        <w:t>Conducting biannual workplace inspections and encouraging all staff members to report incidents, accidents or hazards in the workplace</w:t>
      </w:r>
    </w:p>
    <w:p w14:paraId="2D967C9A" w14:textId="77777777" w:rsidR="005E0AFC" w:rsidRDefault="005E0AFC" w:rsidP="005E0AFC">
      <w:pPr>
        <w:pStyle w:val="Bullets"/>
      </w:pPr>
      <w:r>
        <w:t>Appointing new first aid officers, including one trained in mental health first aid</w:t>
      </w:r>
    </w:p>
    <w:p w14:paraId="0136EA21" w14:textId="77777777" w:rsidR="005E0AFC" w:rsidRDefault="005E0AFC" w:rsidP="005E0AFC">
      <w:pPr>
        <w:pStyle w:val="Bullets"/>
      </w:pPr>
      <w:r>
        <w:t>Appointing new fire wardens</w:t>
      </w:r>
    </w:p>
    <w:p w14:paraId="32C0A0B9" w14:textId="77777777" w:rsidR="005E0AFC" w:rsidRDefault="005E0AFC" w:rsidP="005E0AFC">
      <w:pPr>
        <w:pStyle w:val="Bullets"/>
      </w:pPr>
      <w:r>
        <w:t>Providing access to an employee assistance</w:t>
      </w:r>
      <w:r>
        <w:rPr>
          <w:rFonts w:cs="Arial"/>
        </w:rPr>
        <w:t> </w:t>
      </w:r>
      <w:r>
        <w:t>program</w:t>
      </w:r>
    </w:p>
    <w:p w14:paraId="22E29D8B" w14:textId="77777777" w:rsidR="005E0AFC" w:rsidRDefault="005E0AFC" w:rsidP="005E0AFC">
      <w:pPr>
        <w:pStyle w:val="Bullets"/>
      </w:pPr>
      <w:r>
        <w:t>Providing a resilience-building training session for all staff members</w:t>
      </w:r>
    </w:p>
    <w:p w14:paraId="6AC2B5A6" w14:textId="77777777" w:rsidR="005E0AFC" w:rsidRDefault="005E0AFC" w:rsidP="005E0AFC">
      <w:pPr>
        <w:pStyle w:val="Bullets"/>
      </w:pPr>
      <w:r>
        <w:t>Making influenza vaccinations available to all</w:t>
      </w:r>
      <w:r>
        <w:rPr>
          <w:rFonts w:cs="Arial"/>
        </w:rPr>
        <w:t> </w:t>
      </w:r>
      <w:r>
        <w:t>staff members</w:t>
      </w:r>
    </w:p>
    <w:p w14:paraId="4ABF82D3" w14:textId="77777777" w:rsidR="005E0AFC" w:rsidRDefault="005E0AFC" w:rsidP="005E0AFC">
      <w:pPr>
        <w:pStyle w:val="Bullets"/>
      </w:pPr>
      <w:r>
        <w:t>Providing access to reimbursement of eyewear costs for use with screen</w:t>
      </w:r>
      <w:r>
        <w:noBreakHyphen/>
        <w:t>based</w:t>
      </w:r>
      <w:r>
        <w:rPr>
          <w:rFonts w:cs="Arial"/>
        </w:rPr>
        <w:t> </w:t>
      </w:r>
      <w:r>
        <w:t>equipment.</w:t>
      </w:r>
    </w:p>
    <w:p w14:paraId="300AAED2" w14:textId="77777777" w:rsidR="005E0AFC" w:rsidRDefault="005E0AFC" w:rsidP="005E0AFC">
      <w:pPr>
        <w:pStyle w:val="BodyText"/>
      </w:pPr>
      <w:r>
        <w:br w:type="column"/>
      </w:r>
      <w:r>
        <w:lastRenderedPageBreak/>
        <w:t xml:space="preserve">There were 11 minor incidents reported in </w:t>
      </w:r>
      <w:r>
        <w:br/>
        <w:t>2016–17. There were no notifiable incidents in 2016–17. No notices were issued to the Commission and no investigations were initiated in 2016–17 under the Work Health and</w:t>
      </w:r>
      <w:r>
        <w:rPr>
          <w:rFonts w:cs="Arial"/>
        </w:rPr>
        <w:t> </w:t>
      </w:r>
      <w:r>
        <w:t>Safety</w:t>
      </w:r>
      <w:r>
        <w:rPr>
          <w:rFonts w:cs="Arial"/>
        </w:rPr>
        <w:t> </w:t>
      </w:r>
      <w:r>
        <w:t>Act.</w:t>
      </w:r>
    </w:p>
    <w:p w14:paraId="24E183C9" w14:textId="77777777" w:rsidR="005E0AFC" w:rsidRDefault="005E0AFC" w:rsidP="005E0AFC">
      <w:pPr>
        <w:pStyle w:val="Heading1"/>
      </w:pPr>
      <w:r>
        <w:t>Learning and development</w:t>
      </w:r>
    </w:p>
    <w:p w14:paraId="7A897328" w14:textId="77777777" w:rsidR="005E0AFC" w:rsidRDefault="005E0AFC" w:rsidP="005E0AFC">
      <w:pPr>
        <w:pStyle w:val="BodyText"/>
      </w:pPr>
      <w:r>
        <w:t>The Commission values the talents and contributions of its staff members and recognises the importance of building expertise and capability within the organisation.</w:t>
      </w:r>
    </w:p>
    <w:p w14:paraId="0613CE21" w14:textId="77777777" w:rsidR="005E0AFC" w:rsidRDefault="005E0AFC" w:rsidP="005E0AFC">
      <w:pPr>
        <w:pStyle w:val="BodyText"/>
      </w:pPr>
      <w:r>
        <w:t>Learning and development needs and opportunities are primarily identified through the performance development scheme. The Commission promotes learning and development by delivering regular continuing professional development sessions to all staff</w:t>
      </w:r>
      <w:r>
        <w:rPr>
          <w:rFonts w:cs="Arial"/>
        </w:rPr>
        <w:t> </w:t>
      </w:r>
      <w:r>
        <w:t xml:space="preserve">members. </w:t>
      </w:r>
    </w:p>
    <w:p w14:paraId="40D7808F" w14:textId="77777777" w:rsidR="005E0AFC" w:rsidRDefault="005E0AFC" w:rsidP="005E0AFC">
      <w:pPr>
        <w:pStyle w:val="BodyText"/>
      </w:pPr>
      <w:r>
        <w:t>During 2016–17, the Commission’s study support and training arrangements ensured the ongoing development of staff members’ skills and capabilities. Participation in study and training included 18 staff members accessing study support assistance and 38 staff members completing 49 external training courses. Commission staff members are currently undertaking a range of tertiary courses, including Master of Public Health, Master of Health Service Management and Master of Health Policy courses, and various graduate certificates in health-related fields.</w:t>
      </w:r>
    </w:p>
    <w:p w14:paraId="266BCD1C" w14:textId="77777777" w:rsidR="005E0AFC" w:rsidRDefault="005E0AFC">
      <w:pPr>
        <w:spacing w:after="160" w:line="259" w:lineRule="auto"/>
        <w:rPr>
          <w:color w:val="5E7631"/>
        </w:rPr>
      </w:pPr>
      <w:r>
        <w:rPr>
          <w:color w:val="5E7631"/>
        </w:rPr>
        <w:br w:type="page"/>
      </w:r>
    </w:p>
    <w:p w14:paraId="10A878E0" w14:textId="77777777" w:rsidR="005E0AFC" w:rsidRDefault="005E0AFC" w:rsidP="005E0AFC">
      <w:pPr>
        <w:pStyle w:val="Heading1"/>
      </w:pPr>
      <w:r>
        <w:lastRenderedPageBreak/>
        <w:t>Disability strategy</w:t>
      </w:r>
    </w:p>
    <w:p w14:paraId="2A31EAB7" w14:textId="77777777" w:rsidR="005E0AFC" w:rsidRDefault="005E0AFC" w:rsidP="005E0AFC">
      <w:pPr>
        <w:pStyle w:val="BodyText"/>
      </w:pPr>
      <w:r>
        <w:t xml:space="preserve">In 2016–17, the Commission revised its workplace diversity program in accordance with APS strategies relating to Indigenous employment, disability employment and gender equality. The program provides a framework that enables the Commission to foster diversity and provide a safe, accessible and supportive working environment for all staff members. </w:t>
      </w:r>
    </w:p>
    <w:p w14:paraId="580630F1" w14:textId="77777777" w:rsidR="005E0AFC" w:rsidRDefault="005E0AFC" w:rsidP="005E0AFC">
      <w:pPr>
        <w:pStyle w:val="BodyText"/>
      </w:pPr>
      <w:r>
        <w:t xml:space="preserve">The Commission is committed to increasing opportunities for people with a disability to participate in employment. The Commission complies with the Australian Government accessibility requirements for online access and publishing. Additionally, employees with a disability are provided with reasonable adjustments to help them perform their duties. </w:t>
      </w:r>
    </w:p>
    <w:p w14:paraId="00906BD1" w14:textId="77777777" w:rsidR="005E0AFC" w:rsidRDefault="005E0AFC" w:rsidP="005E0AFC">
      <w:pPr>
        <w:pStyle w:val="BodyText"/>
      </w:pPr>
      <w:r>
        <w:t>During 2016–17, the Commission participated in</w:t>
      </w:r>
      <w:r>
        <w:rPr>
          <w:rFonts w:cs="Arial"/>
        </w:rPr>
        <w:t> </w:t>
      </w:r>
      <w:r>
        <w:t xml:space="preserve">the APS Disability Champions Network. </w:t>
      </w:r>
    </w:p>
    <w:p w14:paraId="3F84D15F" w14:textId="77777777" w:rsidR="005E0AFC" w:rsidRDefault="005E0AFC" w:rsidP="005E0AFC">
      <w:pPr>
        <w:pStyle w:val="BodyText"/>
      </w:pPr>
    </w:p>
    <w:p w14:paraId="6560F5F0" w14:textId="77777777" w:rsidR="005E0AFC" w:rsidRDefault="005E0AFC" w:rsidP="005E0AFC">
      <w:pPr>
        <w:pStyle w:val="Heading1"/>
      </w:pPr>
      <w:r>
        <w:br w:type="column"/>
      </w:r>
      <w:r>
        <w:lastRenderedPageBreak/>
        <w:t>Indigenous employment</w:t>
      </w:r>
    </w:p>
    <w:p w14:paraId="53C7E7FB" w14:textId="77777777" w:rsidR="005E0AFC" w:rsidRDefault="005E0AFC" w:rsidP="005E0AFC">
      <w:pPr>
        <w:pStyle w:val="BodyText"/>
      </w:pPr>
      <w:r>
        <w:t>In 2016–17, the Commission did not meet its Indigenous employment target of 2.5% as it had no employees who identified as Indigenous.</w:t>
      </w:r>
    </w:p>
    <w:p w14:paraId="371B6253" w14:textId="77777777" w:rsidR="005E0AFC" w:rsidRDefault="005E0AFC" w:rsidP="005E0AFC">
      <w:pPr>
        <w:pStyle w:val="BodyText"/>
      </w:pPr>
      <w:r>
        <w:t>The Commission is committed to improving the recruitment, retention and career development of Indigenous employees. The Commission undertook two recruitment processes for identified Indigenous roles during 2016–17. One</w:t>
      </w:r>
      <w:r>
        <w:rPr>
          <w:rFonts w:cs="Arial"/>
        </w:rPr>
        <w:t> </w:t>
      </w:r>
      <w:r>
        <w:t xml:space="preserve">role remains vacant while the other was filled through a secondment arrangement. </w:t>
      </w:r>
    </w:p>
    <w:p w14:paraId="3097D156" w14:textId="77777777" w:rsidR="005E0AFC" w:rsidRDefault="005E0AFC" w:rsidP="005E0AFC">
      <w:pPr>
        <w:pStyle w:val="BodyText"/>
        <w:sectPr w:rsidR="005E0AFC" w:rsidSect="005E0AFC">
          <w:type w:val="continuous"/>
          <w:pgSz w:w="9979" w:h="14175" w:code="34"/>
          <w:pgMar w:top="1418" w:right="680" w:bottom="851" w:left="1021" w:header="567" w:footer="397" w:gutter="0"/>
          <w:cols w:num="2" w:space="340"/>
          <w:noEndnote/>
        </w:sectPr>
      </w:pPr>
    </w:p>
    <w:p w14:paraId="4B469926" w14:textId="77777777" w:rsidR="005E0AFC" w:rsidRDefault="005E0AFC" w:rsidP="005E0AFC">
      <w:pPr>
        <w:pStyle w:val="BodyText"/>
        <w:sectPr w:rsidR="005E0AFC" w:rsidSect="005E0AFC">
          <w:headerReference w:type="default" r:id="rId77"/>
          <w:pgSz w:w="9979" w:h="14175" w:code="34"/>
          <w:pgMar w:top="1418" w:right="680" w:bottom="851" w:left="1021" w:header="567" w:footer="397" w:gutter="0"/>
          <w:cols w:num="2" w:space="340"/>
          <w:noEndnote/>
        </w:sectPr>
      </w:pPr>
    </w:p>
    <w:p w14:paraId="6E6E1687" w14:textId="77777777" w:rsidR="005E0AFC" w:rsidRDefault="005E0AFC" w:rsidP="005E0AFC">
      <w:pPr>
        <w:pStyle w:val="BodyText"/>
      </w:pPr>
    </w:p>
    <w:p w14:paraId="10631D13" w14:textId="77777777" w:rsidR="005E0AFC" w:rsidRDefault="005E0AFC">
      <w:pPr>
        <w:spacing w:after="160" w:line="259" w:lineRule="auto"/>
      </w:pPr>
      <w:r>
        <w:br w:type="page"/>
      </w:r>
    </w:p>
    <w:p w14:paraId="455F2843" w14:textId="77777777" w:rsidR="002F12C7" w:rsidRDefault="002F12C7" w:rsidP="002F12C7">
      <w:pPr>
        <w:pStyle w:val="BodyText"/>
      </w:pPr>
    </w:p>
    <w:p w14:paraId="6E985B51" w14:textId="77777777" w:rsidR="002F12C7" w:rsidRPr="002F12C7" w:rsidRDefault="002F12C7" w:rsidP="002F12C7">
      <w:pPr>
        <w:pStyle w:val="SectionHeading"/>
        <w:spacing w:before="1200" w:after="227"/>
        <w:rPr>
          <w:color w:val="1F773C"/>
        </w:rPr>
      </w:pPr>
      <w:r w:rsidRPr="002F12C7">
        <w:rPr>
          <w:color w:val="1F773C"/>
        </w:rPr>
        <w:t>Financial statements</w:t>
      </w:r>
    </w:p>
    <w:tbl>
      <w:tblPr>
        <w:tblStyle w:val="TableGrid"/>
        <w:tblW w:w="0" w:type="auto"/>
        <w:tblBorders>
          <w:top w:val="none" w:sz="0" w:space="0" w:color="auto"/>
          <w:left w:val="none" w:sz="0" w:space="0" w:color="auto"/>
          <w:bottom w:val="single" w:sz="8" w:space="0" w:color="FFFFFF" w:themeColor="background2"/>
          <w:right w:val="none" w:sz="0" w:space="0" w:color="auto"/>
          <w:insideH w:val="single" w:sz="8" w:space="0" w:color="FFFFFF" w:themeColor="background2"/>
          <w:insideV w:val="none" w:sz="0" w:space="0" w:color="auto"/>
        </w:tblBorders>
        <w:tblCellMar>
          <w:left w:w="0" w:type="dxa"/>
          <w:right w:w="0" w:type="dxa"/>
        </w:tblCellMar>
        <w:tblLook w:val="04A0" w:firstRow="1" w:lastRow="0" w:firstColumn="1" w:lastColumn="0" w:noHBand="0" w:noVBand="1"/>
        <w:tblCaption w:val="Table of contents"/>
        <w:tblDescription w:val="Financial statement"/>
      </w:tblPr>
      <w:tblGrid>
        <w:gridCol w:w="5096"/>
        <w:gridCol w:w="685"/>
      </w:tblGrid>
      <w:tr w:rsidR="002F12C7" w14:paraId="7F85AABE" w14:textId="77777777" w:rsidTr="002F12C7">
        <w:tc>
          <w:tcPr>
            <w:tcW w:w="5096" w:type="dxa"/>
          </w:tcPr>
          <w:p w14:paraId="65F42F7B" w14:textId="77777777" w:rsidR="002F12C7" w:rsidRPr="00D96672" w:rsidRDefault="002F12C7" w:rsidP="00500986">
            <w:pPr>
              <w:pStyle w:val="Reportcontent"/>
              <w:spacing w:before="160"/>
            </w:pPr>
            <w:r w:rsidRPr="002F12C7">
              <w:t>Independent auditor’s report</w:t>
            </w:r>
          </w:p>
        </w:tc>
        <w:tc>
          <w:tcPr>
            <w:tcW w:w="685" w:type="dxa"/>
          </w:tcPr>
          <w:p w14:paraId="63CE61AA" w14:textId="77777777" w:rsidR="002F12C7" w:rsidRPr="00D96672" w:rsidRDefault="002F12C7" w:rsidP="00500986">
            <w:pPr>
              <w:pStyle w:val="Reportcontent"/>
              <w:spacing w:before="160"/>
              <w:jc w:val="right"/>
            </w:pPr>
            <w:r>
              <w:t>82</w:t>
            </w:r>
          </w:p>
        </w:tc>
      </w:tr>
      <w:tr w:rsidR="002F12C7" w14:paraId="05E7CD3A" w14:textId="77777777" w:rsidTr="002F12C7">
        <w:tc>
          <w:tcPr>
            <w:tcW w:w="5096" w:type="dxa"/>
          </w:tcPr>
          <w:p w14:paraId="45F4421E" w14:textId="77777777" w:rsidR="002F12C7" w:rsidRPr="00D96672" w:rsidRDefault="002F12C7" w:rsidP="00500986">
            <w:pPr>
              <w:pStyle w:val="Reportcontent"/>
              <w:spacing w:before="160"/>
            </w:pPr>
            <w:r w:rsidRPr="002F12C7">
              <w:t>Financial Statements</w:t>
            </w:r>
          </w:p>
        </w:tc>
        <w:tc>
          <w:tcPr>
            <w:tcW w:w="685" w:type="dxa"/>
          </w:tcPr>
          <w:p w14:paraId="469965EB" w14:textId="77777777" w:rsidR="002F12C7" w:rsidRPr="00D96672" w:rsidRDefault="002F12C7" w:rsidP="00500986">
            <w:pPr>
              <w:pStyle w:val="Reportcontent"/>
              <w:spacing w:before="160"/>
              <w:jc w:val="right"/>
            </w:pPr>
            <w:r>
              <w:t>84</w:t>
            </w:r>
          </w:p>
        </w:tc>
      </w:tr>
      <w:tr w:rsidR="002F12C7" w14:paraId="02C24477" w14:textId="77777777" w:rsidTr="002F12C7">
        <w:tc>
          <w:tcPr>
            <w:tcW w:w="5096" w:type="dxa"/>
          </w:tcPr>
          <w:p w14:paraId="28B8F048" w14:textId="77777777" w:rsidR="002F12C7" w:rsidRPr="00D96672" w:rsidRDefault="002F12C7" w:rsidP="002F12C7">
            <w:pPr>
              <w:pStyle w:val="Reportcontent"/>
              <w:spacing w:before="160"/>
              <w:ind w:right="-123"/>
            </w:pPr>
            <w:r w:rsidRPr="002F12C7">
              <w:t>Notes to and forming part of the financial statements</w:t>
            </w:r>
          </w:p>
        </w:tc>
        <w:tc>
          <w:tcPr>
            <w:tcW w:w="685" w:type="dxa"/>
          </w:tcPr>
          <w:p w14:paraId="59E6B533" w14:textId="77777777" w:rsidR="002F12C7" w:rsidRPr="00D96672" w:rsidRDefault="002F12C7" w:rsidP="00500986">
            <w:pPr>
              <w:pStyle w:val="Reportcontent"/>
              <w:spacing w:before="160"/>
              <w:jc w:val="right"/>
            </w:pPr>
            <w:r>
              <w:t>90</w:t>
            </w:r>
          </w:p>
        </w:tc>
      </w:tr>
    </w:tbl>
    <w:p w14:paraId="71C94206" w14:textId="77777777" w:rsidR="005E0AFC" w:rsidRDefault="005E0AFC" w:rsidP="005E0AFC">
      <w:pPr>
        <w:pStyle w:val="BodyText"/>
      </w:pPr>
    </w:p>
    <w:p w14:paraId="50F6D43F" w14:textId="77777777" w:rsidR="002F12C7" w:rsidRDefault="002F12C7" w:rsidP="005E0AFC">
      <w:pPr>
        <w:pStyle w:val="BodyText"/>
      </w:pPr>
    </w:p>
    <w:p w14:paraId="28394D3B" w14:textId="77777777" w:rsidR="005E0AFC" w:rsidRDefault="005E0AFC" w:rsidP="005E0AFC">
      <w:pPr>
        <w:pStyle w:val="BodyText"/>
        <w:sectPr w:rsidR="005E0AFC" w:rsidSect="002F12C7">
          <w:headerReference w:type="even" r:id="rId78"/>
          <w:headerReference w:type="default" r:id="rId79"/>
          <w:footerReference w:type="even" r:id="rId80"/>
          <w:pgSz w:w="9979" w:h="14175" w:code="34"/>
          <w:pgMar w:top="1418" w:right="680" w:bottom="851" w:left="1021" w:header="567" w:footer="397" w:gutter="0"/>
          <w:cols w:space="340"/>
          <w:noEndnote/>
        </w:sectPr>
      </w:pPr>
    </w:p>
    <w:p w14:paraId="395489D4" w14:textId="77777777" w:rsidR="0067547E" w:rsidRDefault="0067547E" w:rsidP="005E0AFC">
      <w:pPr>
        <w:pStyle w:val="BodyText"/>
        <w:sectPr w:rsidR="0067547E" w:rsidSect="0067547E">
          <w:headerReference w:type="even" r:id="rId81"/>
          <w:headerReference w:type="default" r:id="rId82"/>
          <w:footerReference w:type="even" r:id="rId83"/>
          <w:pgSz w:w="9979" w:h="14175" w:code="34"/>
          <w:pgMar w:top="1418" w:right="680" w:bottom="851" w:left="1021" w:header="567" w:footer="397" w:gutter="0"/>
          <w:cols w:space="340"/>
          <w:noEndnote/>
        </w:sectPr>
      </w:pPr>
      <w:r>
        <w:rPr>
          <w:noProof/>
          <w:lang w:val="en-AU" w:eastAsia="en-AU"/>
        </w:rPr>
        <w:lastRenderedPageBreak/>
        <w:drawing>
          <wp:inline distT="0" distB="0" distL="0" distR="0" wp14:anchorId="14B713B5" wp14:editId="4E7BB0DD">
            <wp:extent cx="5076000" cy="6945773"/>
            <wp:effectExtent l="0" t="0" r="0" b="7620"/>
            <wp:docPr id="81" name="Picture 81" title="Independent auditor'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ndependent auditors reports.jpg"/>
                    <pic:cNvPicPr/>
                  </pic:nvPicPr>
                  <pic:blipFill>
                    <a:blip r:embed="rId84">
                      <a:extLst>
                        <a:ext uri="{28A0092B-C50C-407E-A947-70E740481C1C}">
                          <a14:useLocalDpi xmlns:a14="http://schemas.microsoft.com/office/drawing/2010/main" val="0"/>
                        </a:ext>
                      </a:extLst>
                    </a:blip>
                    <a:stretch>
                      <a:fillRect/>
                    </a:stretch>
                  </pic:blipFill>
                  <pic:spPr>
                    <a:xfrm>
                      <a:off x="0" y="0"/>
                      <a:ext cx="5076000" cy="6945773"/>
                    </a:xfrm>
                    <a:prstGeom prst="rect">
                      <a:avLst/>
                    </a:prstGeom>
                  </pic:spPr>
                </pic:pic>
              </a:graphicData>
            </a:graphic>
          </wp:inline>
        </w:drawing>
      </w:r>
    </w:p>
    <w:p w14:paraId="7B386919" w14:textId="77777777" w:rsidR="005E0AFC" w:rsidRDefault="005E0AFC" w:rsidP="005E0AFC">
      <w:pPr>
        <w:pStyle w:val="BodyText"/>
      </w:pPr>
    </w:p>
    <w:p w14:paraId="3E24D12E" w14:textId="77777777" w:rsidR="005E0AFC" w:rsidRDefault="005E0AFC">
      <w:pPr>
        <w:spacing w:after="160" w:line="259" w:lineRule="auto"/>
      </w:pPr>
      <w:r>
        <w:lastRenderedPageBreak/>
        <w:br w:type="page"/>
      </w:r>
    </w:p>
    <w:p w14:paraId="2579972C" w14:textId="77777777" w:rsidR="0067547E" w:rsidRDefault="0067547E">
      <w:pPr>
        <w:spacing w:after="160" w:line="259" w:lineRule="auto"/>
        <w:sectPr w:rsidR="0067547E" w:rsidSect="0067547E">
          <w:type w:val="continuous"/>
          <w:pgSz w:w="9979" w:h="14175" w:code="34"/>
          <w:pgMar w:top="1418" w:right="680" w:bottom="851" w:left="1021" w:header="567" w:footer="397" w:gutter="0"/>
          <w:cols w:num="2" w:space="340"/>
          <w:noEndnote/>
        </w:sectPr>
      </w:pPr>
    </w:p>
    <w:p w14:paraId="44A93512" w14:textId="77777777" w:rsidR="0067547E" w:rsidRDefault="0067547E">
      <w:pPr>
        <w:spacing w:after="160" w:line="259" w:lineRule="auto"/>
        <w:sectPr w:rsidR="0067547E" w:rsidSect="0067547E">
          <w:type w:val="continuous"/>
          <w:pgSz w:w="9979" w:h="14175" w:code="34"/>
          <w:pgMar w:top="1418" w:right="680" w:bottom="851" w:left="1021" w:header="567" w:footer="397" w:gutter="0"/>
          <w:cols w:space="340"/>
          <w:noEndnote/>
        </w:sectPr>
      </w:pPr>
      <w:r>
        <w:rPr>
          <w:noProof/>
          <w:lang w:val="en-AU" w:eastAsia="en-AU"/>
        </w:rPr>
        <w:lastRenderedPageBreak/>
        <w:drawing>
          <wp:inline distT="0" distB="0" distL="0" distR="0" wp14:anchorId="7A3CEB45" wp14:editId="0E1A9FDE">
            <wp:extent cx="5040000" cy="6905397"/>
            <wp:effectExtent l="0" t="0" r="8255" b="0"/>
            <wp:docPr id="82" name="Picture 82" title="Independent auditor'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ndependent auditors reports 2.jpg"/>
                    <pic:cNvPicPr/>
                  </pic:nvPicPr>
                  <pic:blipFill>
                    <a:blip r:embed="rId85">
                      <a:extLst>
                        <a:ext uri="{28A0092B-C50C-407E-A947-70E740481C1C}">
                          <a14:useLocalDpi xmlns:a14="http://schemas.microsoft.com/office/drawing/2010/main" val="0"/>
                        </a:ext>
                      </a:extLst>
                    </a:blip>
                    <a:stretch>
                      <a:fillRect/>
                    </a:stretch>
                  </pic:blipFill>
                  <pic:spPr>
                    <a:xfrm>
                      <a:off x="0" y="0"/>
                      <a:ext cx="5040000" cy="6905397"/>
                    </a:xfrm>
                    <a:prstGeom prst="rect">
                      <a:avLst/>
                    </a:prstGeom>
                  </pic:spPr>
                </pic:pic>
              </a:graphicData>
            </a:graphic>
          </wp:inline>
        </w:drawing>
      </w:r>
    </w:p>
    <w:p w14:paraId="2A65D552" w14:textId="77777777" w:rsidR="0067547E" w:rsidRDefault="0067547E">
      <w:pPr>
        <w:spacing w:after="160" w:line="259" w:lineRule="auto"/>
      </w:pPr>
    </w:p>
    <w:p w14:paraId="1FB58634" w14:textId="77777777" w:rsidR="005E0AFC" w:rsidRDefault="005E0AFC" w:rsidP="005E0AFC">
      <w:pPr>
        <w:pStyle w:val="BodyText"/>
      </w:pPr>
    </w:p>
    <w:p w14:paraId="11EA4373" w14:textId="77777777" w:rsidR="008768B0" w:rsidRDefault="008768B0" w:rsidP="005E0AFC">
      <w:pPr>
        <w:pStyle w:val="BodyText"/>
        <w:sectPr w:rsidR="008768B0" w:rsidSect="0067547E">
          <w:type w:val="continuous"/>
          <w:pgSz w:w="9979" w:h="14175" w:code="34"/>
          <w:pgMar w:top="1418" w:right="680" w:bottom="851" w:left="1021" w:header="567" w:footer="397" w:gutter="0"/>
          <w:cols w:num="2" w:space="340"/>
          <w:noEndnote/>
        </w:sectPr>
      </w:pPr>
    </w:p>
    <w:p w14:paraId="632A3BFC" w14:textId="77777777" w:rsidR="008768B0" w:rsidRDefault="00C90DA4" w:rsidP="005E0AFC">
      <w:pPr>
        <w:pStyle w:val="BodyText"/>
      </w:pPr>
      <w:r>
        <w:rPr>
          <w:noProof/>
          <w:lang w:val="en-AU" w:eastAsia="en-AU"/>
        </w:rPr>
        <w:lastRenderedPageBreak/>
        <w:drawing>
          <wp:inline distT="0" distB="0" distL="0" distR="0" wp14:anchorId="2E73CD68" wp14:editId="2B9BECBE">
            <wp:extent cx="5256530" cy="7036435"/>
            <wp:effectExtent l="0" t="0" r="1270" b="0"/>
            <wp:docPr id="31" name="Picture 31"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nancial statement.jpg"/>
                    <pic:cNvPicPr/>
                  </pic:nvPicPr>
                  <pic:blipFill>
                    <a:blip r:embed="rId86">
                      <a:extLst>
                        <a:ext uri="{28A0092B-C50C-407E-A947-70E740481C1C}">
                          <a14:useLocalDpi xmlns:a14="http://schemas.microsoft.com/office/drawing/2010/main" val="0"/>
                        </a:ext>
                      </a:extLst>
                    </a:blip>
                    <a:stretch>
                      <a:fillRect/>
                    </a:stretch>
                  </pic:blipFill>
                  <pic:spPr>
                    <a:xfrm>
                      <a:off x="0" y="0"/>
                      <a:ext cx="5256530" cy="7036435"/>
                    </a:xfrm>
                    <a:prstGeom prst="rect">
                      <a:avLst/>
                    </a:prstGeom>
                  </pic:spPr>
                </pic:pic>
              </a:graphicData>
            </a:graphic>
          </wp:inline>
        </w:drawing>
      </w:r>
    </w:p>
    <w:p w14:paraId="664C2F00" w14:textId="77777777" w:rsidR="008768B0" w:rsidRDefault="008768B0">
      <w:pPr>
        <w:spacing w:after="160" w:line="259" w:lineRule="auto"/>
      </w:pPr>
      <w:r>
        <w:br w:type="page"/>
      </w:r>
    </w:p>
    <w:p w14:paraId="13B407E4" w14:textId="77777777" w:rsidR="00C90DA4" w:rsidRPr="00C05614" w:rsidRDefault="00C90DA4" w:rsidP="002215A6">
      <w:pPr>
        <w:pStyle w:val="Heading2"/>
      </w:pPr>
      <w:r w:rsidRPr="00C05614">
        <w:lastRenderedPageBreak/>
        <w:t xml:space="preserve">Statement of </w:t>
      </w:r>
      <w:r w:rsidRPr="002215A6">
        <w:t>Comprehensive</w:t>
      </w:r>
      <w:r w:rsidRPr="00C05614">
        <w:t xml:space="preserve"> </w:t>
      </w:r>
      <w:r>
        <w:t>I</w:t>
      </w:r>
      <w:r w:rsidRPr="00C05614">
        <w:t>ncome</w:t>
      </w:r>
      <w:r>
        <w:tab/>
      </w:r>
    </w:p>
    <w:p w14:paraId="7C9F7716" w14:textId="77777777" w:rsidR="00C90DA4" w:rsidRPr="00C05614" w:rsidRDefault="00C90DA4" w:rsidP="00C90DA4">
      <w:r w:rsidRPr="00C05614">
        <w:t xml:space="preserve">for the period ended 30 June </w:t>
      </w:r>
      <w:r>
        <w:t>2017</w:t>
      </w:r>
    </w:p>
    <w:tbl>
      <w:tblPr>
        <w:tblW w:w="4986" w:type="pct"/>
        <w:tblInd w:w="108" w:type="dxa"/>
        <w:tblLayout w:type="fixed"/>
        <w:tblLook w:val="04A0" w:firstRow="1" w:lastRow="0" w:firstColumn="1" w:lastColumn="0" w:noHBand="0" w:noVBand="1"/>
        <w:tblCaption w:val="Statement of Comprehensive Income "/>
      </w:tblPr>
      <w:tblGrid>
        <w:gridCol w:w="3829"/>
        <w:gridCol w:w="959"/>
        <w:gridCol w:w="1032"/>
        <w:gridCol w:w="1035"/>
        <w:gridCol w:w="9"/>
        <w:gridCol w:w="237"/>
        <w:gridCol w:w="8"/>
        <w:gridCol w:w="923"/>
        <w:gridCol w:w="8"/>
        <w:gridCol w:w="349"/>
        <w:gridCol w:w="81"/>
      </w:tblGrid>
      <w:tr w:rsidR="00C90DA4" w:rsidRPr="00D870C2" w14:paraId="696F6128" w14:textId="77777777" w:rsidTr="002D0665">
        <w:trPr>
          <w:trHeight w:val="227"/>
        </w:trPr>
        <w:tc>
          <w:tcPr>
            <w:tcW w:w="2260" w:type="pct"/>
            <w:shd w:val="clear" w:color="auto" w:fill="auto"/>
            <w:noWrap/>
          </w:tcPr>
          <w:p w14:paraId="0CA88F37" w14:textId="77777777" w:rsidR="00C90DA4" w:rsidRPr="00D870C2" w:rsidRDefault="00C90DA4" w:rsidP="00C90DA4">
            <w:pPr>
              <w:rPr>
                <w:rFonts w:cs="Arial"/>
                <w:szCs w:val="18"/>
                <w:lang w:val="en-US"/>
              </w:rPr>
            </w:pPr>
            <w:r w:rsidRPr="00D870C2">
              <w:rPr>
                <w:rFonts w:cs="Arial"/>
                <w:szCs w:val="18"/>
                <w:lang w:val="en-US"/>
              </w:rPr>
              <w:t> </w:t>
            </w:r>
          </w:p>
        </w:tc>
        <w:tc>
          <w:tcPr>
            <w:tcW w:w="566" w:type="pct"/>
            <w:shd w:val="clear" w:color="auto" w:fill="auto"/>
            <w:noWrap/>
          </w:tcPr>
          <w:p w14:paraId="398AED26" w14:textId="77777777" w:rsidR="00C90DA4" w:rsidRPr="00D870C2" w:rsidRDefault="00C90DA4" w:rsidP="00C90DA4">
            <w:pPr>
              <w:rPr>
                <w:rFonts w:cs="Arial"/>
                <w:szCs w:val="18"/>
                <w:lang w:val="en-US"/>
              </w:rPr>
            </w:pPr>
            <w:r w:rsidRPr="00D870C2">
              <w:rPr>
                <w:rFonts w:cs="Arial"/>
                <w:szCs w:val="18"/>
                <w:lang w:val="en-US"/>
              </w:rPr>
              <w:t> </w:t>
            </w:r>
          </w:p>
        </w:tc>
        <w:tc>
          <w:tcPr>
            <w:tcW w:w="609" w:type="pct"/>
            <w:shd w:val="clear" w:color="auto" w:fill="auto"/>
            <w:vAlign w:val="bottom"/>
          </w:tcPr>
          <w:p w14:paraId="21B89F2D" w14:textId="77777777" w:rsidR="00C90DA4" w:rsidRPr="00D870C2" w:rsidRDefault="00C90DA4" w:rsidP="00C90DA4">
            <w:pPr>
              <w:jc w:val="right"/>
              <w:rPr>
                <w:rFonts w:cs="Arial"/>
                <w:b/>
                <w:bCs/>
                <w:szCs w:val="18"/>
                <w:lang w:val="en-US"/>
              </w:rPr>
            </w:pPr>
            <w:r w:rsidRPr="00D870C2">
              <w:rPr>
                <w:rFonts w:cs="Arial"/>
                <w:b/>
                <w:bCs/>
                <w:szCs w:val="18"/>
                <w:lang w:val="en-US"/>
              </w:rPr>
              <w:t>201</w:t>
            </w:r>
            <w:r>
              <w:rPr>
                <w:rFonts w:cs="Arial"/>
                <w:b/>
                <w:bCs/>
                <w:szCs w:val="18"/>
                <w:lang w:val="en-US"/>
              </w:rPr>
              <w:t>7</w:t>
            </w:r>
          </w:p>
        </w:tc>
        <w:tc>
          <w:tcPr>
            <w:tcW w:w="611" w:type="pct"/>
            <w:shd w:val="clear" w:color="auto" w:fill="auto"/>
            <w:noWrap/>
            <w:vAlign w:val="bottom"/>
          </w:tcPr>
          <w:p w14:paraId="42BF490E" w14:textId="77777777" w:rsidR="00C90DA4" w:rsidRPr="00D870C2" w:rsidRDefault="00C90DA4" w:rsidP="00C90DA4">
            <w:pPr>
              <w:jc w:val="right"/>
              <w:rPr>
                <w:rFonts w:cs="Arial"/>
                <w:bCs/>
                <w:szCs w:val="18"/>
                <w:lang w:val="en-US"/>
              </w:rPr>
            </w:pPr>
            <w:r>
              <w:rPr>
                <w:rFonts w:cs="Arial"/>
                <w:bCs/>
                <w:szCs w:val="18"/>
                <w:lang w:val="en-US"/>
              </w:rPr>
              <w:t>2016</w:t>
            </w:r>
          </w:p>
        </w:tc>
        <w:tc>
          <w:tcPr>
            <w:tcW w:w="145" w:type="pct"/>
            <w:gridSpan w:val="2"/>
            <w:shd w:val="clear" w:color="auto" w:fill="auto"/>
          </w:tcPr>
          <w:p w14:paraId="3F627168" w14:textId="77777777" w:rsidR="00C90DA4" w:rsidRPr="00D870C2" w:rsidRDefault="00C90DA4" w:rsidP="00C90DA4">
            <w:pPr>
              <w:jc w:val="right"/>
              <w:rPr>
                <w:rFonts w:cs="Arial"/>
                <w:bCs/>
                <w:szCs w:val="18"/>
                <w:lang w:val="en-US"/>
              </w:rPr>
            </w:pPr>
          </w:p>
        </w:tc>
        <w:tc>
          <w:tcPr>
            <w:tcW w:w="550" w:type="pct"/>
            <w:gridSpan w:val="2"/>
            <w:shd w:val="clear" w:color="auto" w:fill="auto"/>
          </w:tcPr>
          <w:p w14:paraId="3EA57C05" w14:textId="77777777" w:rsidR="00C90DA4" w:rsidRDefault="00C90DA4" w:rsidP="00C90DA4">
            <w:pPr>
              <w:jc w:val="right"/>
              <w:rPr>
                <w:rFonts w:cs="Arial"/>
                <w:bCs/>
                <w:szCs w:val="18"/>
              </w:rPr>
            </w:pPr>
            <w:r w:rsidRPr="009152E9">
              <w:rPr>
                <w:rFonts w:cs="Arial"/>
                <w:bCs/>
                <w:szCs w:val="18"/>
                <w:lang w:val="en-US"/>
              </w:rPr>
              <w:t xml:space="preserve">Original </w:t>
            </w:r>
            <w:r w:rsidRPr="009152E9">
              <w:rPr>
                <w:rFonts w:cs="Arial"/>
                <w:bCs/>
                <w:szCs w:val="18"/>
              </w:rPr>
              <w:t>Budget</w:t>
            </w:r>
          </w:p>
          <w:p w14:paraId="6D93B277" w14:textId="77777777" w:rsidR="00C90DA4" w:rsidRPr="009152E9" w:rsidRDefault="00C90DA4" w:rsidP="00C90DA4">
            <w:pPr>
              <w:jc w:val="right"/>
              <w:rPr>
                <w:rFonts w:cs="Arial"/>
                <w:bCs/>
                <w:szCs w:val="18"/>
                <w:lang w:val="en-US"/>
              </w:rPr>
            </w:pPr>
            <w:r>
              <w:rPr>
                <w:rFonts w:cs="Arial"/>
                <w:bCs/>
                <w:szCs w:val="18"/>
              </w:rPr>
              <w:t>2017</w:t>
            </w:r>
          </w:p>
        </w:tc>
        <w:tc>
          <w:tcPr>
            <w:tcW w:w="259" w:type="pct"/>
            <w:gridSpan w:val="3"/>
          </w:tcPr>
          <w:p w14:paraId="56327996" w14:textId="77777777" w:rsidR="00C90DA4" w:rsidRPr="00D870C2" w:rsidRDefault="00C90DA4" w:rsidP="00C90DA4">
            <w:pPr>
              <w:jc w:val="right"/>
              <w:rPr>
                <w:rFonts w:cs="Arial"/>
                <w:bCs/>
                <w:szCs w:val="18"/>
                <w:lang w:val="en-US"/>
              </w:rPr>
            </w:pPr>
          </w:p>
        </w:tc>
      </w:tr>
      <w:tr w:rsidR="00C90DA4" w:rsidRPr="00D870C2" w14:paraId="7840517F" w14:textId="77777777" w:rsidTr="002D0665">
        <w:trPr>
          <w:trHeight w:val="255"/>
        </w:trPr>
        <w:tc>
          <w:tcPr>
            <w:tcW w:w="2260" w:type="pct"/>
            <w:shd w:val="clear" w:color="auto" w:fill="auto"/>
          </w:tcPr>
          <w:p w14:paraId="70EF2A6C" w14:textId="77777777" w:rsidR="00C90DA4" w:rsidRPr="00D870C2" w:rsidRDefault="00C90DA4" w:rsidP="00C90DA4">
            <w:pPr>
              <w:rPr>
                <w:rFonts w:cs="Arial"/>
                <w:b/>
                <w:bCs/>
                <w:szCs w:val="18"/>
                <w:lang w:val="en-US"/>
              </w:rPr>
            </w:pPr>
            <w:r w:rsidRPr="00D870C2">
              <w:rPr>
                <w:rFonts w:cs="Arial"/>
                <w:b/>
                <w:bCs/>
                <w:szCs w:val="18"/>
                <w:lang w:val="en-US"/>
              </w:rPr>
              <w:t> </w:t>
            </w:r>
          </w:p>
        </w:tc>
        <w:tc>
          <w:tcPr>
            <w:tcW w:w="566" w:type="pct"/>
            <w:shd w:val="clear" w:color="auto" w:fill="auto"/>
            <w:noWrap/>
          </w:tcPr>
          <w:p w14:paraId="223B6AD8" w14:textId="77777777" w:rsidR="00C90DA4" w:rsidRPr="00D870C2" w:rsidRDefault="00C90DA4" w:rsidP="00C90DA4">
            <w:pPr>
              <w:jc w:val="center"/>
              <w:rPr>
                <w:rFonts w:cs="Arial"/>
                <w:b/>
                <w:bCs/>
                <w:szCs w:val="18"/>
                <w:lang w:val="en-US"/>
              </w:rPr>
            </w:pPr>
            <w:r w:rsidRPr="00D870C2">
              <w:rPr>
                <w:rFonts w:cs="Arial"/>
                <w:b/>
                <w:bCs/>
                <w:szCs w:val="18"/>
                <w:lang w:val="en-US"/>
              </w:rPr>
              <w:t>Notes</w:t>
            </w:r>
          </w:p>
        </w:tc>
        <w:tc>
          <w:tcPr>
            <w:tcW w:w="609" w:type="pct"/>
            <w:shd w:val="clear" w:color="auto" w:fill="auto"/>
          </w:tcPr>
          <w:p w14:paraId="5C7EB2D0" w14:textId="77777777" w:rsidR="00C90DA4" w:rsidRPr="00D870C2" w:rsidRDefault="00C90DA4" w:rsidP="00C90DA4">
            <w:pPr>
              <w:jc w:val="right"/>
              <w:rPr>
                <w:rFonts w:cs="Arial"/>
                <w:b/>
                <w:bCs/>
                <w:szCs w:val="18"/>
                <w:lang w:val="en-US"/>
              </w:rPr>
            </w:pPr>
            <w:r w:rsidRPr="00D870C2">
              <w:rPr>
                <w:rFonts w:cs="Arial"/>
                <w:b/>
                <w:bCs/>
                <w:szCs w:val="18"/>
                <w:lang w:val="en-US"/>
              </w:rPr>
              <w:t>$'000</w:t>
            </w:r>
          </w:p>
        </w:tc>
        <w:tc>
          <w:tcPr>
            <w:tcW w:w="611" w:type="pct"/>
            <w:shd w:val="clear" w:color="auto" w:fill="auto"/>
            <w:noWrap/>
          </w:tcPr>
          <w:p w14:paraId="039EC74F" w14:textId="77777777" w:rsidR="00C90DA4" w:rsidRPr="00D870C2" w:rsidRDefault="00C90DA4" w:rsidP="00C90DA4">
            <w:pPr>
              <w:jc w:val="right"/>
              <w:rPr>
                <w:rFonts w:cs="Arial"/>
                <w:bCs/>
                <w:szCs w:val="18"/>
                <w:lang w:val="en-US"/>
              </w:rPr>
            </w:pPr>
            <w:r w:rsidRPr="00D870C2">
              <w:rPr>
                <w:rFonts w:cs="Arial"/>
                <w:bCs/>
                <w:szCs w:val="18"/>
                <w:lang w:val="en-US"/>
              </w:rPr>
              <w:t>$'000</w:t>
            </w:r>
          </w:p>
        </w:tc>
        <w:tc>
          <w:tcPr>
            <w:tcW w:w="145" w:type="pct"/>
            <w:gridSpan w:val="2"/>
            <w:shd w:val="clear" w:color="auto" w:fill="auto"/>
          </w:tcPr>
          <w:p w14:paraId="7D50CAD5" w14:textId="77777777" w:rsidR="00C90DA4" w:rsidRPr="00D870C2" w:rsidRDefault="00C90DA4" w:rsidP="00C90DA4">
            <w:pPr>
              <w:jc w:val="right"/>
              <w:rPr>
                <w:rFonts w:cs="Arial"/>
                <w:bCs/>
                <w:szCs w:val="18"/>
                <w:lang w:val="en-US"/>
              </w:rPr>
            </w:pPr>
          </w:p>
        </w:tc>
        <w:tc>
          <w:tcPr>
            <w:tcW w:w="550" w:type="pct"/>
            <w:gridSpan w:val="2"/>
            <w:shd w:val="clear" w:color="auto" w:fill="auto"/>
          </w:tcPr>
          <w:p w14:paraId="1F8242DE" w14:textId="77777777" w:rsidR="00C90DA4" w:rsidRPr="009152E9" w:rsidRDefault="00C90DA4" w:rsidP="00C90DA4">
            <w:pPr>
              <w:jc w:val="right"/>
              <w:rPr>
                <w:rFonts w:cs="Arial"/>
                <w:bCs/>
                <w:szCs w:val="18"/>
                <w:lang w:val="en-US"/>
              </w:rPr>
            </w:pPr>
            <w:r w:rsidRPr="009152E9">
              <w:rPr>
                <w:rFonts w:cs="Arial"/>
                <w:bCs/>
                <w:szCs w:val="18"/>
                <w:lang w:val="en-US"/>
              </w:rPr>
              <w:t>$'000</w:t>
            </w:r>
          </w:p>
        </w:tc>
        <w:tc>
          <w:tcPr>
            <w:tcW w:w="259" w:type="pct"/>
            <w:gridSpan w:val="3"/>
          </w:tcPr>
          <w:p w14:paraId="634C114B" w14:textId="77777777" w:rsidR="00C90DA4" w:rsidRPr="00D870C2" w:rsidRDefault="00C90DA4" w:rsidP="00C90DA4">
            <w:pPr>
              <w:jc w:val="right"/>
              <w:rPr>
                <w:rFonts w:cs="Arial"/>
                <w:bCs/>
                <w:szCs w:val="18"/>
                <w:lang w:val="en-US"/>
              </w:rPr>
            </w:pPr>
          </w:p>
        </w:tc>
      </w:tr>
      <w:tr w:rsidR="00C90DA4" w:rsidRPr="00D870C2" w14:paraId="2197943A" w14:textId="77777777" w:rsidTr="002D0665">
        <w:trPr>
          <w:trHeight w:val="227"/>
        </w:trPr>
        <w:tc>
          <w:tcPr>
            <w:tcW w:w="2260" w:type="pct"/>
            <w:shd w:val="clear" w:color="auto" w:fill="auto"/>
          </w:tcPr>
          <w:p w14:paraId="56835A83" w14:textId="77777777" w:rsidR="00C90DA4" w:rsidRPr="00D870C2" w:rsidRDefault="00C90DA4" w:rsidP="00C90DA4">
            <w:pPr>
              <w:rPr>
                <w:rFonts w:cs="Arial"/>
                <w:b/>
                <w:bCs/>
                <w:szCs w:val="18"/>
                <w:lang w:val="en-US"/>
              </w:rPr>
            </w:pPr>
            <w:r w:rsidRPr="00D870C2">
              <w:rPr>
                <w:rFonts w:cs="Arial"/>
                <w:b/>
                <w:bCs/>
                <w:szCs w:val="18"/>
                <w:lang w:val="en-US"/>
              </w:rPr>
              <w:t>EXPENSES</w:t>
            </w:r>
          </w:p>
        </w:tc>
        <w:tc>
          <w:tcPr>
            <w:tcW w:w="566" w:type="pct"/>
            <w:shd w:val="clear" w:color="auto" w:fill="auto"/>
            <w:noWrap/>
          </w:tcPr>
          <w:p w14:paraId="08344AA8" w14:textId="77777777" w:rsidR="00C90DA4" w:rsidRPr="00D870C2" w:rsidRDefault="00C90DA4" w:rsidP="00C90DA4">
            <w:pPr>
              <w:rPr>
                <w:rFonts w:cs="Arial"/>
                <w:szCs w:val="18"/>
                <w:lang w:val="en-US"/>
              </w:rPr>
            </w:pPr>
            <w:r w:rsidRPr="00D870C2">
              <w:rPr>
                <w:rFonts w:cs="Arial"/>
                <w:szCs w:val="18"/>
                <w:lang w:val="en-US"/>
              </w:rPr>
              <w:t> </w:t>
            </w:r>
          </w:p>
        </w:tc>
        <w:tc>
          <w:tcPr>
            <w:tcW w:w="609" w:type="pct"/>
            <w:shd w:val="clear" w:color="auto" w:fill="auto"/>
          </w:tcPr>
          <w:p w14:paraId="5920B432" w14:textId="77777777" w:rsidR="00C90DA4" w:rsidRPr="00D870C2" w:rsidRDefault="00C90DA4" w:rsidP="00C90DA4">
            <w:pPr>
              <w:jc w:val="right"/>
              <w:rPr>
                <w:rFonts w:cs="Arial"/>
                <w:b/>
                <w:bCs/>
                <w:szCs w:val="18"/>
                <w:lang w:val="en-US"/>
              </w:rPr>
            </w:pPr>
            <w:r w:rsidRPr="00D870C2">
              <w:rPr>
                <w:rFonts w:cs="Arial"/>
                <w:b/>
                <w:bCs/>
                <w:szCs w:val="18"/>
                <w:lang w:val="en-US"/>
              </w:rPr>
              <w:t> </w:t>
            </w:r>
          </w:p>
        </w:tc>
        <w:tc>
          <w:tcPr>
            <w:tcW w:w="611" w:type="pct"/>
            <w:shd w:val="clear" w:color="auto" w:fill="auto"/>
            <w:noWrap/>
          </w:tcPr>
          <w:p w14:paraId="56ADBF99" w14:textId="77777777" w:rsidR="00C90DA4" w:rsidRPr="00D870C2" w:rsidRDefault="00C90DA4" w:rsidP="00C90DA4">
            <w:pPr>
              <w:jc w:val="right"/>
              <w:rPr>
                <w:rFonts w:cs="Arial"/>
                <w:bCs/>
                <w:szCs w:val="18"/>
                <w:lang w:val="en-US"/>
              </w:rPr>
            </w:pPr>
            <w:r w:rsidRPr="00D870C2">
              <w:rPr>
                <w:rFonts w:cs="Arial"/>
                <w:bCs/>
                <w:szCs w:val="18"/>
                <w:lang w:val="en-US"/>
              </w:rPr>
              <w:t> </w:t>
            </w:r>
          </w:p>
        </w:tc>
        <w:tc>
          <w:tcPr>
            <w:tcW w:w="145" w:type="pct"/>
            <w:gridSpan w:val="2"/>
            <w:shd w:val="clear" w:color="auto" w:fill="auto"/>
          </w:tcPr>
          <w:p w14:paraId="629C3DD3" w14:textId="77777777" w:rsidR="00C90DA4" w:rsidRPr="00D870C2" w:rsidRDefault="00C90DA4" w:rsidP="00C90DA4">
            <w:pPr>
              <w:jc w:val="right"/>
              <w:rPr>
                <w:rFonts w:cs="Arial"/>
                <w:bCs/>
                <w:szCs w:val="18"/>
                <w:lang w:val="en-US"/>
              </w:rPr>
            </w:pPr>
          </w:p>
        </w:tc>
        <w:tc>
          <w:tcPr>
            <w:tcW w:w="550" w:type="pct"/>
            <w:gridSpan w:val="2"/>
            <w:shd w:val="clear" w:color="auto" w:fill="auto"/>
          </w:tcPr>
          <w:p w14:paraId="1EFCC16A" w14:textId="77777777" w:rsidR="00C90DA4" w:rsidRPr="009152E9" w:rsidRDefault="00C90DA4" w:rsidP="00C90DA4">
            <w:pPr>
              <w:jc w:val="right"/>
              <w:rPr>
                <w:rFonts w:cs="Arial"/>
                <w:bCs/>
                <w:szCs w:val="18"/>
                <w:lang w:val="en-US"/>
              </w:rPr>
            </w:pPr>
          </w:p>
        </w:tc>
        <w:tc>
          <w:tcPr>
            <w:tcW w:w="259" w:type="pct"/>
            <w:gridSpan w:val="3"/>
          </w:tcPr>
          <w:p w14:paraId="6194B95A" w14:textId="77777777" w:rsidR="00C90DA4" w:rsidRPr="00D870C2" w:rsidRDefault="00C90DA4" w:rsidP="00C90DA4">
            <w:pPr>
              <w:jc w:val="right"/>
              <w:rPr>
                <w:rFonts w:cs="Arial"/>
                <w:bCs/>
                <w:szCs w:val="18"/>
                <w:lang w:val="en-US"/>
              </w:rPr>
            </w:pPr>
          </w:p>
        </w:tc>
      </w:tr>
      <w:tr w:rsidR="00C90DA4" w:rsidRPr="00D870C2" w14:paraId="0FCE3E23" w14:textId="77777777" w:rsidTr="002D0665">
        <w:trPr>
          <w:trHeight w:val="272"/>
        </w:trPr>
        <w:tc>
          <w:tcPr>
            <w:tcW w:w="2260" w:type="pct"/>
            <w:shd w:val="clear" w:color="auto" w:fill="auto"/>
            <w:noWrap/>
          </w:tcPr>
          <w:p w14:paraId="4F1E4970" w14:textId="77777777" w:rsidR="00C90DA4" w:rsidRPr="00D870C2" w:rsidRDefault="00C90DA4" w:rsidP="00C90DA4">
            <w:pPr>
              <w:rPr>
                <w:rFonts w:cs="Arial"/>
                <w:szCs w:val="18"/>
                <w:lang w:val="en-US"/>
              </w:rPr>
            </w:pPr>
            <w:r w:rsidRPr="00D870C2">
              <w:rPr>
                <w:rFonts w:cs="Arial"/>
                <w:szCs w:val="18"/>
                <w:lang w:val="en-US"/>
              </w:rPr>
              <w:t>Employee benefits</w:t>
            </w:r>
          </w:p>
        </w:tc>
        <w:tc>
          <w:tcPr>
            <w:tcW w:w="566" w:type="pct"/>
            <w:shd w:val="clear" w:color="auto" w:fill="auto"/>
            <w:noWrap/>
          </w:tcPr>
          <w:p w14:paraId="57F43BC2" w14:textId="77777777" w:rsidR="00C90DA4" w:rsidRPr="00D870C2" w:rsidRDefault="00C90DA4" w:rsidP="00C90DA4">
            <w:pPr>
              <w:tabs>
                <w:tab w:val="left" w:pos="188"/>
              </w:tabs>
              <w:jc w:val="center"/>
              <w:rPr>
                <w:rFonts w:cs="Arial"/>
                <w:szCs w:val="18"/>
                <w:lang w:val="en-US"/>
              </w:rPr>
            </w:pPr>
            <w:r w:rsidRPr="00D870C2">
              <w:rPr>
                <w:rFonts w:cs="Arial"/>
                <w:szCs w:val="18"/>
                <w:lang w:val="en-US"/>
              </w:rPr>
              <w:tab/>
            </w:r>
            <w:hyperlink r:id="rId87" w:anchor="'Note 3'!A1#'Note 3'!A1" w:tooltip="Go to Note" w:history="1">
              <w:r>
                <w:rPr>
                  <w:rFonts w:cs="Arial"/>
                  <w:szCs w:val="18"/>
                  <w:lang w:val="en-US"/>
                </w:rPr>
                <w:t>1.1</w:t>
              </w:r>
              <w:r w:rsidRPr="00D870C2">
                <w:rPr>
                  <w:rFonts w:cs="Arial"/>
                  <w:szCs w:val="18"/>
                  <w:lang w:val="en-US"/>
                </w:rPr>
                <w:t>A</w:t>
              </w:r>
            </w:hyperlink>
          </w:p>
        </w:tc>
        <w:tc>
          <w:tcPr>
            <w:tcW w:w="609" w:type="pct"/>
            <w:shd w:val="clear" w:color="auto" w:fill="auto"/>
          </w:tcPr>
          <w:p w14:paraId="4FA554CC" w14:textId="77777777" w:rsidR="00C90DA4" w:rsidRPr="00D870C2" w:rsidRDefault="00C90DA4" w:rsidP="00C90DA4">
            <w:pPr>
              <w:jc w:val="right"/>
              <w:rPr>
                <w:rFonts w:cs="Arial"/>
                <w:b/>
                <w:bCs/>
                <w:szCs w:val="18"/>
                <w:lang w:val="en-US"/>
              </w:rPr>
            </w:pPr>
            <w:r>
              <w:rPr>
                <w:rFonts w:cs="Arial"/>
                <w:b/>
                <w:bCs/>
                <w:szCs w:val="18"/>
                <w:lang w:val="en-US"/>
              </w:rPr>
              <w:t>12,206</w:t>
            </w:r>
            <w:r w:rsidRPr="00D870C2">
              <w:rPr>
                <w:rFonts w:cs="Arial"/>
                <w:b/>
                <w:bCs/>
                <w:szCs w:val="18"/>
                <w:lang w:val="en-US"/>
              </w:rPr>
              <w:t xml:space="preserve"> </w:t>
            </w:r>
          </w:p>
        </w:tc>
        <w:tc>
          <w:tcPr>
            <w:tcW w:w="611" w:type="pct"/>
            <w:shd w:val="clear" w:color="auto" w:fill="auto"/>
            <w:noWrap/>
          </w:tcPr>
          <w:p w14:paraId="14B2EF5A" w14:textId="77777777" w:rsidR="00C90DA4" w:rsidRPr="007014B2" w:rsidRDefault="00C90DA4" w:rsidP="00C90DA4">
            <w:pPr>
              <w:jc w:val="right"/>
              <w:rPr>
                <w:rFonts w:cs="Arial"/>
                <w:bCs/>
                <w:szCs w:val="18"/>
                <w:lang w:val="en-US"/>
              </w:rPr>
            </w:pPr>
            <w:r w:rsidRPr="007014B2">
              <w:rPr>
                <w:rFonts w:cs="Arial"/>
                <w:bCs/>
                <w:szCs w:val="18"/>
                <w:lang w:val="en-US"/>
              </w:rPr>
              <w:t xml:space="preserve">12,179 </w:t>
            </w:r>
          </w:p>
        </w:tc>
        <w:tc>
          <w:tcPr>
            <w:tcW w:w="145" w:type="pct"/>
            <w:gridSpan w:val="2"/>
            <w:shd w:val="clear" w:color="auto" w:fill="auto"/>
          </w:tcPr>
          <w:p w14:paraId="2F950FFC" w14:textId="77777777" w:rsidR="00C90DA4" w:rsidRPr="00D870C2" w:rsidRDefault="00C90DA4" w:rsidP="00C90DA4">
            <w:pPr>
              <w:jc w:val="right"/>
              <w:rPr>
                <w:rFonts w:cs="Arial"/>
                <w:bCs/>
                <w:szCs w:val="18"/>
                <w:lang w:val="en-US"/>
              </w:rPr>
            </w:pPr>
          </w:p>
        </w:tc>
        <w:tc>
          <w:tcPr>
            <w:tcW w:w="550" w:type="pct"/>
            <w:gridSpan w:val="2"/>
            <w:shd w:val="clear" w:color="auto" w:fill="auto"/>
          </w:tcPr>
          <w:p w14:paraId="04930A8C" w14:textId="77777777" w:rsidR="00C90DA4" w:rsidRPr="009152E9" w:rsidRDefault="00C90DA4" w:rsidP="00C90DA4">
            <w:pPr>
              <w:jc w:val="right"/>
              <w:rPr>
                <w:rFonts w:cs="Arial"/>
                <w:bCs/>
                <w:szCs w:val="18"/>
                <w:lang w:val="en-US"/>
              </w:rPr>
            </w:pPr>
            <w:r w:rsidRPr="009152E9">
              <w:rPr>
                <w:rFonts w:cs="Arial"/>
                <w:bCs/>
                <w:szCs w:val="18"/>
                <w:lang w:val="en-US"/>
              </w:rPr>
              <w:t>13,705</w:t>
            </w:r>
          </w:p>
        </w:tc>
        <w:tc>
          <w:tcPr>
            <w:tcW w:w="259" w:type="pct"/>
            <w:gridSpan w:val="3"/>
          </w:tcPr>
          <w:p w14:paraId="180841BA" w14:textId="77777777" w:rsidR="00C90DA4" w:rsidRPr="00D870C2" w:rsidRDefault="00C90DA4" w:rsidP="00C90DA4">
            <w:pPr>
              <w:rPr>
                <w:rFonts w:cs="Arial"/>
                <w:bCs/>
                <w:szCs w:val="18"/>
                <w:lang w:val="en-US"/>
              </w:rPr>
            </w:pPr>
            <w:r w:rsidRPr="00BE7171">
              <w:rPr>
                <w:rFonts w:cs="Arial"/>
                <w:bCs/>
                <w:szCs w:val="18"/>
                <w:vertAlign w:val="superscript"/>
                <w:lang w:val="en-US"/>
              </w:rPr>
              <w:t>A</w:t>
            </w:r>
          </w:p>
        </w:tc>
      </w:tr>
      <w:tr w:rsidR="00C90DA4" w:rsidRPr="00D870C2" w14:paraId="2F7E992B" w14:textId="77777777" w:rsidTr="002D0665">
        <w:trPr>
          <w:trHeight w:val="272"/>
        </w:trPr>
        <w:tc>
          <w:tcPr>
            <w:tcW w:w="2260" w:type="pct"/>
            <w:shd w:val="clear" w:color="auto" w:fill="auto"/>
            <w:noWrap/>
          </w:tcPr>
          <w:p w14:paraId="763275B7" w14:textId="77777777" w:rsidR="00C90DA4" w:rsidRPr="00D870C2" w:rsidRDefault="00C90DA4" w:rsidP="00C90DA4">
            <w:pPr>
              <w:rPr>
                <w:rFonts w:cs="Arial"/>
                <w:szCs w:val="18"/>
                <w:lang w:val="en-US"/>
              </w:rPr>
            </w:pPr>
            <w:r w:rsidRPr="00D870C2">
              <w:rPr>
                <w:rFonts w:cs="Arial"/>
                <w:szCs w:val="18"/>
                <w:lang w:val="en-US"/>
              </w:rPr>
              <w:t>Suppliers</w:t>
            </w:r>
          </w:p>
        </w:tc>
        <w:tc>
          <w:tcPr>
            <w:tcW w:w="566" w:type="pct"/>
            <w:shd w:val="clear" w:color="auto" w:fill="auto"/>
            <w:noWrap/>
          </w:tcPr>
          <w:p w14:paraId="08DAE5BE" w14:textId="77777777" w:rsidR="00C90DA4" w:rsidRPr="00D870C2" w:rsidRDefault="00C90DA4" w:rsidP="00C90DA4">
            <w:pPr>
              <w:tabs>
                <w:tab w:val="left" w:pos="188"/>
              </w:tabs>
              <w:jc w:val="center"/>
              <w:rPr>
                <w:rFonts w:cs="Arial"/>
                <w:szCs w:val="18"/>
                <w:lang w:val="en-US"/>
              </w:rPr>
            </w:pPr>
            <w:r w:rsidRPr="00D870C2">
              <w:rPr>
                <w:rFonts w:cs="Arial"/>
                <w:szCs w:val="18"/>
                <w:lang w:val="en-US"/>
              </w:rPr>
              <w:tab/>
            </w:r>
            <w:hyperlink r:id="rId88" w:anchor="'Note 3'!A1#'Note 3'!A1" w:tooltip="Go to Note" w:history="1">
              <w:r>
                <w:rPr>
                  <w:rFonts w:cs="Arial"/>
                  <w:szCs w:val="18"/>
                  <w:lang w:val="en-US"/>
                </w:rPr>
                <w:t>1.1</w:t>
              </w:r>
              <w:r w:rsidRPr="00D870C2">
                <w:rPr>
                  <w:rFonts w:cs="Arial"/>
                  <w:szCs w:val="18"/>
                  <w:lang w:val="en-US"/>
                </w:rPr>
                <w:t>B</w:t>
              </w:r>
            </w:hyperlink>
          </w:p>
        </w:tc>
        <w:tc>
          <w:tcPr>
            <w:tcW w:w="609" w:type="pct"/>
            <w:shd w:val="clear" w:color="auto" w:fill="auto"/>
          </w:tcPr>
          <w:p w14:paraId="50AC7207" w14:textId="77777777" w:rsidR="00C90DA4" w:rsidRPr="00D870C2" w:rsidRDefault="00C90DA4" w:rsidP="00C90DA4">
            <w:pPr>
              <w:jc w:val="right"/>
              <w:rPr>
                <w:rFonts w:cs="Arial"/>
                <w:b/>
                <w:bCs/>
                <w:szCs w:val="18"/>
                <w:lang w:val="en-US"/>
              </w:rPr>
            </w:pPr>
            <w:r>
              <w:rPr>
                <w:rFonts w:cs="Arial"/>
                <w:b/>
                <w:bCs/>
                <w:szCs w:val="18"/>
                <w:lang w:val="en-US"/>
              </w:rPr>
              <w:t>16,577</w:t>
            </w:r>
            <w:r w:rsidRPr="00D870C2">
              <w:rPr>
                <w:rFonts w:cs="Arial"/>
                <w:b/>
                <w:bCs/>
                <w:szCs w:val="18"/>
                <w:lang w:val="en-US"/>
              </w:rPr>
              <w:t xml:space="preserve">  </w:t>
            </w:r>
          </w:p>
        </w:tc>
        <w:tc>
          <w:tcPr>
            <w:tcW w:w="611" w:type="pct"/>
            <w:shd w:val="clear" w:color="auto" w:fill="auto"/>
            <w:noWrap/>
          </w:tcPr>
          <w:p w14:paraId="029F65BE" w14:textId="77777777" w:rsidR="00C90DA4" w:rsidRPr="007014B2" w:rsidRDefault="00C90DA4" w:rsidP="00C90DA4">
            <w:pPr>
              <w:jc w:val="right"/>
              <w:rPr>
                <w:rFonts w:cs="Arial"/>
                <w:bCs/>
                <w:szCs w:val="18"/>
                <w:lang w:val="en-US"/>
              </w:rPr>
            </w:pPr>
            <w:r w:rsidRPr="007014B2">
              <w:rPr>
                <w:rFonts w:cs="Arial"/>
                <w:bCs/>
                <w:szCs w:val="18"/>
                <w:lang w:val="en-US"/>
              </w:rPr>
              <w:t xml:space="preserve">14,875  </w:t>
            </w:r>
          </w:p>
        </w:tc>
        <w:tc>
          <w:tcPr>
            <w:tcW w:w="145" w:type="pct"/>
            <w:gridSpan w:val="2"/>
            <w:shd w:val="clear" w:color="auto" w:fill="auto"/>
          </w:tcPr>
          <w:p w14:paraId="380ECC6B" w14:textId="77777777" w:rsidR="00C90DA4" w:rsidRPr="00D870C2" w:rsidRDefault="00C90DA4" w:rsidP="00C90DA4">
            <w:pPr>
              <w:jc w:val="right"/>
              <w:rPr>
                <w:rFonts w:cs="Arial"/>
                <w:bCs/>
                <w:szCs w:val="18"/>
                <w:lang w:val="en-US"/>
              </w:rPr>
            </w:pPr>
          </w:p>
        </w:tc>
        <w:tc>
          <w:tcPr>
            <w:tcW w:w="550" w:type="pct"/>
            <w:gridSpan w:val="2"/>
            <w:shd w:val="clear" w:color="auto" w:fill="auto"/>
          </w:tcPr>
          <w:p w14:paraId="2AC4E6A9" w14:textId="77777777" w:rsidR="00C90DA4" w:rsidRPr="009152E9" w:rsidRDefault="00C90DA4" w:rsidP="00C90DA4">
            <w:pPr>
              <w:jc w:val="right"/>
              <w:rPr>
                <w:rFonts w:cs="Arial"/>
                <w:bCs/>
                <w:szCs w:val="18"/>
                <w:lang w:val="en-US"/>
              </w:rPr>
            </w:pPr>
            <w:r w:rsidRPr="009152E9">
              <w:rPr>
                <w:rFonts w:cs="Arial"/>
                <w:bCs/>
                <w:szCs w:val="18"/>
                <w:lang w:val="en-US"/>
              </w:rPr>
              <w:t>7,727</w:t>
            </w:r>
          </w:p>
        </w:tc>
        <w:tc>
          <w:tcPr>
            <w:tcW w:w="259" w:type="pct"/>
            <w:gridSpan w:val="3"/>
            <w:vAlign w:val="center"/>
          </w:tcPr>
          <w:p w14:paraId="5ED1BE4E" w14:textId="77777777" w:rsidR="00C90DA4" w:rsidRPr="00D870C2" w:rsidRDefault="00C90DA4" w:rsidP="00C90DA4">
            <w:pPr>
              <w:rPr>
                <w:rFonts w:cs="Arial"/>
                <w:bCs/>
                <w:szCs w:val="18"/>
                <w:lang w:val="en-US"/>
              </w:rPr>
            </w:pPr>
            <w:r>
              <w:rPr>
                <w:rFonts w:cs="Arial"/>
                <w:bCs/>
                <w:szCs w:val="18"/>
                <w:vertAlign w:val="superscript"/>
                <w:lang w:val="en-US"/>
              </w:rPr>
              <w:t>B</w:t>
            </w:r>
          </w:p>
        </w:tc>
      </w:tr>
      <w:tr w:rsidR="00C90DA4" w:rsidRPr="00D870C2" w14:paraId="147A2078" w14:textId="77777777" w:rsidTr="002D0665">
        <w:trPr>
          <w:trHeight w:val="255"/>
        </w:trPr>
        <w:tc>
          <w:tcPr>
            <w:tcW w:w="2260" w:type="pct"/>
            <w:shd w:val="clear" w:color="auto" w:fill="auto"/>
            <w:noWrap/>
          </w:tcPr>
          <w:p w14:paraId="26C6D081" w14:textId="77777777" w:rsidR="00C90DA4" w:rsidRPr="00D870C2" w:rsidRDefault="00C90DA4" w:rsidP="00C90DA4">
            <w:pPr>
              <w:rPr>
                <w:rFonts w:cs="Arial"/>
                <w:szCs w:val="18"/>
                <w:lang w:val="en-US"/>
              </w:rPr>
            </w:pPr>
            <w:r w:rsidRPr="00D870C2">
              <w:rPr>
                <w:rFonts w:cs="Arial"/>
                <w:szCs w:val="18"/>
                <w:lang w:val="en-US"/>
              </w:rPr>
              <w:t>Depreciation</w:t>
            </w:r>
          </w:p>
        </w:tc>
        <w:tc>
          <w:tcPr>
            <w:tcW w:w="566" w:type="pct"/>
            <w:shd w:val="clear" w:color="auto" w:fill="auto"/>
            <w:noWrap/>
          </w:tcPr>
          <w:p w14:paraId="34399C16" w14:textId="77777777" w:rsidR="00C90DA4" w:rsidRPr="00D870C2" w:rsidRDefault="00C90DA4" w:rsidP="00C90DA4">
            <w:pPr>
              <w:tabs>
                <w:tab w:val="left" w:pos="188"/>
              </w:tabs>
              <w:jc w:val="center"/>
              <w:rPr>
                <w:rFonts w:cs="Arial"/>
                <w:szCs w:val="18"/>
                <w:lang w:val="en-US"/>
              </w:rPr>
            </w:pPr>
            <w:r w:rsidRPr="00D870C2">
              <w:rPr>
                <w:rFonts w:cs="Arial"/>
                <w:szCs w:val="18"/>
                <w:lang w:val="en-US"/>
              </w:rPr>
              <w:tab/>
            </w:r>
            <w:r>
              <w:rPr>
                <w:rFonts w:cs="Arial"/>
                <w:szCs w:val="18"/>
                <w:lang w:val="en-US"/>
              </w:rPr>
              <w:t>2.2A</w:t>
            </w:r>
          </w:p>
        </w:tc>
        <w:tc>
          <w:tcPr>
            <w:tcW w:w="609" w:type="pct"/>
            <w:shd w:val="clear" w:color="auto" w:fill="auto"/>
          </w:tcPr>
          <w:p w14:paraId="2125CCD0" w14:textId="77777777" w:rsidR="00C90DA4" w:rsidRPr="00D870C2" w:rsidRDefault="00C90DA4" w:rsidP="00C90DA4">
            <w:pPr>
              <w:jc w:val="right"/>
              <w:rPr>
                <w:rFonts w:cs="Arial"/>
                <w:b/>
                <w:bCs/>
                <w:szCs w:val="18"/>
                <w:lang w:val="en-US"/>
              </w:rPr>
            </w:pPr>
            <w:r>
              <w:rPr>
                <w:rFonts w:cs="Arial"/>
                <w:b/>
                <w:bCs/>
                <w:szCs w:val="18"/>
                <w:lang w:val="en-US"/>
              </w:rPr>
              <w:t>260</w:t>
            </w:r>
            <w:r w:rsidRPr="00D870C2">
              <w:rPr>
                <w:rFonts w:cs="Arial"/>
                <w:b/>
                <w:bCs/>
                <w:szCs w:val="18"/>
                <w:lang w:val="en-US"/>
              </w:rPr>
              <w:t xml:space="preserve"> </w:t>
            </w:r>
          </w:p>
        </w:tc>
        <w:tc>
          <w:tcPr>
            <w:tcW w:w="611" w:type="pct"/>
            <w:shd w:val="clear" w:color="auto" w:fill="auto"/>
            <w:noWrap/>
          </w:tcPr>
          <w:p w14:paraId="422F12B7" w14:textId="77777777" w:rsidR="00C90DA4" w:rsidRPr="007014B2" w:rsidRDefault="00C90DA4" w:rsidP="00C90DA4">
            <w:pPr>
              <w:jc w:val="right"/>
              <w:rPr>
                <w:rFonts w:cs="Arial"/>
                <w:bCs/>
                <w:szCs w:val="18"/>
                <w:lang w:val="en-US"/>
              </w:rPr>
            </w:pPr>
            <w:r w:rsidRPr="007014B2">
              <w:rPr>
                <w:rFonts w:cs="Arial"/>
                <w:bCs/>
                <w:szCs w:val="18"/>
                <w:lang w:val="en-US"/>
              </w:rPr>
              <w:t xml:space="preserve">138 </w:t>
            </w:r>
          </w:p>
        </w:tc>
        <w:tc>
          <w:tcPr>
            <w:tcW w:w="145" w:type="pct"/>
            <w:gridSpan w:val="2"/>
            <w:shd w:val="clear" w:color="auto" w:fill="auto"/>
          </w:tcPr>
          <w:p w14:paraId="22EDD771" w14:textId="77777777" w:rsidR="00C90DA4" w:rsidRPr="00D870C2" w:rsidRDefault="00C90DA4" w:rsidP="00C90DA4">
            <w:pPr>
              <w:jc w:val="right"/>
              <w:rPr>
                <w:rFonts w:cs="Arial"/>
                <w:bCs/>
                <w:szCs w:val="18"/>
                <w:lang w:val="en-US"/>
              </w:rPr>
            </w:pPr>
          </w:p>
        </w:tc>
        <w:tc>
          <w:tcPr>
            <w:tcW w:w="550" w:type="pct"/>
            <w:gridSpan w:val="2"/>
            <w:shd w:val="clear" w:color="auto" w:fill="auto"/>
          </w:tcPr>
          <w:p w14:paraId="196EBF2D" w14:textId="77777777" w:rsidR="00C90DA4" w:rsidRPr="009152E9" w:rsidRDefault="00C90DA4" w:rsidP="00C90DA4">
            <w:pPr>
              <w:jc w:val="right"/>
              <w:rPr>
                <w:rFonts w:cs="Arial"/>
                <w:bCs/>
                <w:szCs w:val="18"/>
                <w:lang w:val="en-US"/>
              </w:rPr>
            </w:pPr>
            <w:r w:rsidRPr="009152E9">
              <w:rPr>
                <w:rFonts w:cs="Arial"/>
                <w:bCs/>
                <w:szCs w:val="18"/>
                <w:lang w:val="en-US"/>
              </w:rPr>
              <w:t>-</w:t>
            </w:r>
          </w:p>
        </w:tc>
        <w:tc>
          <w:tcPr>
            <w:tcW w:w="259" w:type="pct"/>
            <w:gridSpan w:val="3"/>
          </w:tcPr>
          <w:p w14:paraId="48A8F2DF" w14:textId="77777777" w:rsidR="00C90DA4" w:rsidRPr="00BE7171" w:rsidRDefault="00C90DA4" w:rsidP="00C90DA4">
            <w:pPr>
              <w:rPr>
                <w:rFonts w:cs="Arial"/>
                <w:bCs/>
                <w:szCs w:val="18"/>
                <w:vertAlign w:val="superscript"/>
                <w:lang w:val="en-US"/>
              </w:rPr>
            </w:pPr>
          </w:p>
        </w:tc>
      </w:tr>
      <w:tr w:rsidR="00C90DA4" w:rsidRPr="00D870C2" w14:paraId="508AB236" w14:textId="77777777" w:rsidTr="002D0665">
        <w:trPr>
          <w:trHeight w:val="255"/>
        </w:trPr>
        <w:tc>
          <w:tcPr>
            <w:tcW w:w="2260" w:type="pct"/>
            <w:shd w:val="clear" w:color="auto" w:fill="auto"/>
          </w:tcPr>
          <w:p w14:paraId="2C3C4BB3" w14:textId="77777777" w:rsidR="00C90DA4" w:rsidRPr="00D870C2" w:rsidRDefault="00C90DA4" w:rsidP="00C90DA4">
            <w:pPr>
              <w:rPr>
                <w:rFonts w:cs="Arial"/>
                <w:b/>
                <w:bCs/>
                <w:szCs w:val="18"/>
                <w:lang w:val="en-US"/>
              </w:rPr>
            </w:pPr>
            <w:r w:rsidRPr="00D870C2">
              <w:rPr>
                <w:rFonts w:cs="Arial"/>
                <w:b/>
                <w:bCs/>
                <w:szCs w:val="18"/>
                <w:lang w:val="en-US"/>
              </w:rPr>
              <w:t>Total expenses</w:t>
            </w:r>
          </w:p>
        </w:tc>
        <w:tc>
          <w:tcPr>
            <w:tcW w:w="566" w:type="pct"/>
            <w:shd w:val="clear" w:color="auto" w:fill="auto"/>
            <w:noWrap/>
          </w:tcPr>
          <w:p w14:paraId="2030DD08" w14:textId="77777777" w:rsidR="00C90DA4" w:rsidRPr="00D870C2" w:rsidRDefault="00C90DA4" w:rsidP="00C90DA4">
            <w:pPr>
              <w:tabs>
                <w:tab w:val="left" w:pos="188"/>
              </w:tabs>
              <w:jc w:val="center"/>
              <w:rPr>
                <w:rFonts w:cs="Arial"/>
                <w:szCs w:val="18"/>
                <w:lang w:val="en-US"/>
              </w:rPr>
            </w:pPr>
          </w:p>
        </w:tc>
        <w:tc>
          <w:tcPr>
            <w:tcW w:w="609" w:type="pct"/>
            <w:tcBorders>
              <w:top w:val="single" w:sz="4" w:space="0" w:color="auto"/>
              <w:bottom w:val="single" w:sz="4" w:space="0" w:color="auto"/>
            </w:tcBorders>
            <w:shd w:val="clear" w:color="auto" w:fill="auto"/>
            <w:vAlign w:val="bottom"/>
          </w:tcPr>
          <w:p w14:paraId="0D9C4EEE" w14:textId="77777777" w:rsidR="00C90DA4" w:rsidRPr="00D870C2" w:rsidRDefault="00C90DA4" w:rsidP="00C90DA4">
            <w:pPr>
              <w:jc w:val="right"/>
              <w:rPr>
                <w:rFonts w:cs="Arial"/>
                <w:b/>
                <w:bCs/>
                <w:szCs w:val="18"/>
                <w:lang w:val="en-US"/>
              </w:rPr>
            </w:pPr>
            <w:r>
              <w:rPr>
                <w:rFonts w:cs="Arial"/>
                <w:b/>
                <w:bCs/>
                <w:szCs w:val="18"/>
                <w:lang w:val="en-US"/>
              </w:rPr>
              <w:t>29,043</w:t>
            </w:r>
            <w:r w:rsidRPr="00D870C2">
              <w:rPr>
                <w:rFonts w:cs="Arial"/>
                <w:b/>
                <w:bCs/>
                <w:szCs w:val="18"/>
                <w:lang w:val="en-US"/>
              </w:rPr>
              <w:t xml:space="preserve"> </w:t>
            </w:r>
          </w:p>
        </w:tc>
        <w:tc>
          <w:tcPr>
            <w:tcW w:w="611" w:type="pct"/>
            <w:tcBorders>
              <w:top w:val="single" w:sz="4" w:space="0" w:color="auto"/>
              <w:bottom w:val="single" w:sz="4" w:space="0" w:color="auto"/>
            </w:tcBorders>
            <w:shd w:val="clear" w:color="auto" w:fill="auto"/>
            <w:noWrap/>
            <w:vAlign w:val="bottom"/>
          </w:tcPr>
          <w:p w14:paraId="408CBDD4" w14:textId="77777777" w:rsidR="00C90DA4" w:rsidRPr="007014B2" w:rsidRDefault="00C90DA4" w:rsidP="00C90DA4">
            <w:pPr>
              <w:jc w:val="right"/>
              <w:rPr>
                <w:rFonts w:cs="Arial"/>
                <w:bCs/>
                <w:szCs w:val="18"/>
                <w:lang w:val="en-US"/>
              </w:rPr>
            </w:pPr>
            <w:r w:rsidRPr="007014B2">
              <w:rPr>
                <w:rFonts w:cs="Arial"/>
                <w:bCs/>
                <w:szCs w:val="18"/>
                <w:lang w:val="en-US"/>
              </w:rPr>
              <w:t xml:space="preserve">27,192 </w:t>
            </w:r>
          </w:p>
        </w:tc>
        <w:tc>
          <w:tcPr>
            <w:tcW w:w="145" w:type="pct"/>
            <w:gridSpan w:val="2"/>
            <w:shd w:val="clear" w:color="auto" w:fill="auto"/>
          </w:tcPr>
          <w:p w14:paraId="725B3EC9" w14:textId="77777777" w:rsidR="00C90DA4" w:rsidRPr="00D870C2" w:rsidRDefault="00C90DA4" w:rsidP="00C90DA4">
            <w:pPr>
              <w:jc w:val="right"/>
              <w:rPr>
                <w:rFonts w:cs="Arial"/>
                <w:bCs/>
                <w:szCs w:val="18"/>
                <w:lang w:val="en-US"/>
              </w:rPr>
            </w:pPr>
          </w:p>
        </w:tc>
        <w:tc>
          <w:tcPr>
            <w:tcW w:w="550" w:type="pct"/>
            <w:gridSpan w:val="2"/>
            <w:tcBorders>
              <w:top w:val="single" w:sz="4" w:space="0" w:color="auto"/>
              <w:bottom w:val="single" w:sz="4" w:space="0" w:color="auto"/>
            </w:tcBorders>
            <w:shd w:val="clear" w:color="auto" w:fill="auto"/>
            <w:vAlign w:val="bottom"/>
          </w:tcPr>
          <w:p w14:paraId="31849DE1" w14:textId="77777777" w:rsidR="00C90DA4" w:rsidRPr="009152E9" w:rsidRDefault="00C90DA4" w:rsidP="00C90DA4">
            <w:pPr>
              <w:jc w:val="right"/>
              <w:rPr>
                <w:rFonts w:cs="Arial"/>
                <w:bCs/>
                <w:szCs w:val="18"/>
                <w:lang w:val="en-US"/>
              </w:rPr>
            </w:pPr>
            <w:r w:rsidRPr="009152E9">
              <w:rPr>
                <w:rFonts w:cs="Arial"/>
                <w:bCs/>
                <w:szCs w:val="18"/>
                <w:lang w:val="en-US"/>
              </w:rPr>
              <w:t>21,432</w:t>
            </w:r>
          </w:p>
        </w:tc>
        <w:tc>
          <w:tcPr>
            <w:tcW w:w="259" w:type="pct"/>
            <w:gridSpan w:val="3"/>
          </w:tcPr>
          <w:p w14:paraId="47A99A21" w14:textId="77777777" w:rsidR="00C90DA4" w:rsidRPr="00D870C2" w:rsidRDefault="00C90DA4" w:rsidP="00C90DA4">
            <w:pPr>
              <w:rPr>
                <w:rFonts w:cs="Arial"/>
                <w:bCs/>
                <w:szCs w:val="18"/>
                <w:lang w:val="en-US"/>
              </w:rPr>
            </w:pPr>
          </w:p>
        </w:tc>
      </w:tr>
      <w:tr w:rsidR="00C90DA4" w:rsidRPr="00D870C2" w14:paraId="5AFA8110" w14:textId="77777777" w:rsidTr="002D0665">
        <w:trPr>
          <w:trHeight w:val="227"/>
        </w:trPr>
        <w:tc>
          <w:tcPr>
            <w:tcW w:w="2260" w:type="pct"/>
            <w:shd w:val="clear" w:color="auto" w:fill="auto"/>
          </w:tcPr>
          <w:p w14:paraId="73E3B3BB" w14:textId="77777777" w:rsidR="00C90DA4" w:rsidRPr="00D870C2" w:rsidRDefault="00C90DA4" w:rsidP="00C90DA4">
            <w:pPr>
              <w:rPr>
                <w:rFonts w:cs="Arial"/>
                <w:b/>
                <w:bCs/>
                <w:szCs w:val="18"/>
                <w:lang w:val="en-US"/>
              </w:rPr>
            </w:pPr>
            <w:r w:rsidRPr="00D870C2">
              <w:rPr>
                <w:rFonts w:cs="Arial"/>
                <w:b/>
                <w:bCs/>
                <w:szCs w:val="18"/>
                <w:lang w:val="en-US"/>
              </w:rPr>
              <w:t xml:space="preserve">LESS: </w:t>
            </w:r>
          </w:p>
        </w:tc>
        <w:tc>
          <w:tcPr>
            <w:tcW w:w="566" w:type="pct"/>
            <w:shd w:val="clear" w:color="auto" w:fill="auto"/>
            <w:noWrap/>
          </w:tcPr>
          <w:p w14:paraId="0172FF47" w14:textId="77777777" w:rsidR="00C90DA4" w:rsidRPr="00D870C2" w:rsidRDefault="00C90DA4" w:rsidP="00C90DA4">
            <w:pPr>
              <w:tabs>
                <w:tab w:val="left" w:pos="188"/>
              </w:tabs>
              <w:jc w:val="center"/>
              <w:rPr>
                <w:rFonts w:cs="Arial"/>
                <w:szCs w:val="18"/>
                <w:lang w:val="en-US"/>
              </w:rPr>
            </w:pPr>
          </w:p>
        </w:tc>
        <w:tc>
          <w:tcPr>
            <w:tcW w:w="609" w:type="pct"/>
            <w:shd w:val="clear" w:color="auto" w:fill="auto"/>
          </w:tcPr>
          <w:p w14:paraId="33B80177" w14:textId="77777777" w:rsidR="00C90DA4" w:rsidRPr="00D870C2" w:rsidRDefault="00C90DA4" w:rsidP="00C90DA4">
            <w:pPr>
              <w:jc w:val="right"/>
              <w:rPr>
                <w:rFonts w:cs="Arial"/>
                <w:b/>
                <w:bCs/>
                <w:szCs w:val="18"/>
                <w:lang w:val="en-US"/>
              </w:rPr>
            </w:pPr>
          </w:p>
        </w:tc>
        <w:tc>
          <w:tcPr>
            <w:tcW w:w="611" w:type="pct"/>
            <w:shd w:val="clear" w:color="auto" w:fill="auto"/>
            <w:noWrap/>
          </w:tcPr>
          <w:p w14:paraId="351CEE53" w14:textId="77777777" w:rsidR="00C90DA4" w:rsidRPr="007014B2" w:rsidRDefault="00C90DA4" w:rsidP="00C90DA4">
            <w:pPr>
              <w:jc w:val="right"/>
              <w:rPr>
                <w:rFonts w:cs="Arial"/>
                <w:bCs/>
                <w:szCs w:val="18"/>
                <w:lang w:val="en-US"/>
              </w:rPr>
            </w:pPr>
          </w:p>
        </w:tc>
        <w:tc>
          <w:tcPr>
            <w:tcW w:w="145" w:type="pct"/>
            <w:gridSpan w:val="2"/>
            <w:shd w:val="clear" w:color="auto" w:fill="auto"/>
          </w:tcPr>
          <w:p w14:paraId="31EFBF0E" w14:textId="77777777" w:rsidR="00C90DA4" w:rsidRPr="00D870C2" w:rsidRDefault="00C90DA4" w:rsidP="00C90DA4">
            <w:pPr>
              <w:jc w:val="right"/>
              <w:rPr>
                <w:rFonts w:cs="Arial"/>
                <w:bCs/>
                <w:szCs w:val="18"/>
                <w:lang w:val="en-US"/>
              </w:rPr>
            </w:pPr>
          </w:p>
        </w:tc>
        <w:tc>
          <w:tcPr>
            <w:tcW w:w="550" w:type="pct"/>
            <w:gridSpan w:val="2"/>
            <w:shd w:val="clear" w:color="auto" w:fill="auto"/>
          </w:tcPr>
          <w:p w14:paraId="55815690" w14:textId="77777777" w:rsidR="00C90DA4" w:rsidRPr="009152E9" w:rsidRDefault="00C90DA4" w:rsidP="00C90DA4">
            <w:pPr>
              <w:jc w:val="right"/>
              <w:rPr>
                <w:rFonts w:cs="Arial"/>
                <w:bCs/>
                <w:szCs w:val="18"/>
                <w:lang w:val="en-US"/>
              </w:rPr>
            </w:pPr>
          </w:p>
        </w:tc>
        <w:tc>
          <w:tcPr>
            <w:tcW w:w="259" w:type="pct"/>
            <w:gridSpan w:val="3"/>
          </w:tcPr>
          <w:p w14:paraId="5DE2A5AB" w14:textId="77777777" w:rsidR="00C90DA4" w:rsidRPr="00D870C2" w:rsidRDefault="00C90DA4" w:rsidP="00C90DA4">
            <w:pPr>
              <w:rPr>
                <w:rFonts w:cs="Arial"/>
                <w:bCs/>
                <w:szCs w:val="18"/>
                <w:lang w:val="en-US"/>
              </w:rPr>
            </w:pPr>
          </w:p>
        </w:tc>
      </w:tr>
      <w:tr w:rsidR="00C90DA4" w:rsidRPr="00D870C2" w14:paraId="7C5A6791" w14:textId="77777777" w:rsidTr="002D0665">
        <w:trPr>
          <w:trHeight w:val="227"/>
        </w:trPr>
        <w:tc>
          <w:tcPr>
            <w:tcW w:w="2260" w:type="pct"/>
            <w:shd w:val="clear" w:color="auto" w:fill="auto"/>
          </w:tcPr>
          <w:p w14:paraId="57362AE3" w14:textId="77777777" w:rsidR="00C90DA4" w:rsidRPr="00D870C2" w:rsidRDefault="00C90DA4" w:rsidP="00C90DA4">
            <w:pPr>
              <w:rPr>
                <w:rFonts w:cs="Arial"/>
                <w:b/>
                <w:bCs/>
                <w:szCs w:val="18"/>
                <w:lang w:val="en-US"/>
              </w:rPr>
            </w:pPr>
            <w:r w:rsidRPr="00D870C2">
              <w:rPr>
                <w:rFonts w:cs="Arial"/>
                <w:b/>
                <w:bCs/>
                <w:szCs w:val="18"/>
                <w:lang w:val="en-US"/>
              </w:rPr>
              <w:t>OWN-SOURCE INCOME</w:t>
            </w:r>
          </w:p>
        </w:tc>
        <w:tc>
          <w:tcPr>
            <w:tcW w:w="566" w:type="pct"/>
            <w:shd w:val="clear" w:color="auto" w:fill="auto"/>
            <w:noWrap/>
          </w:tcPr>
          <w:p w14:paraId="54182BC4" w14:textId="77777777" w:rsidR="00C90DA4" w:rsidRPr="00D870C2" w:rsidRDefault="00C90DA4" w:rsidP="00C90DA4">
            <w:pPr>
              <w:tabs>
                <w:tab w:val="left" w:pos="188"/>
              </w:tabs>
              <w:jc w:val="center"/>
              <w:rPr>
                <w:rFonts w:cs="Arial"/>
                <w:szCs w:val="18"/>
                <w:lang w:val="en-US"/>
              </w:rPr>
            </w:pPr>
          </w:p>
        </w:tc>
        <w:tc>
          <w:tcPr>
            <w:tcW w:w="609" w:type="pct"/>
            <w:shd w:val="clear" w:color="auto" w:fill="auto"/>
          </w:tcPr>
          <w:p w14:paraId="3E53EE39" w14:textId="77777777" w:rsidR="00C90DA4" w:rsidRPr="00D870C2" w:rsidRDefault="00C90DA4" w:rsidP="00C90DA4">
            <w:pPr>
              <w:jc w:val="right"/>
              <w:rPr>
                <w:rFonts w:cs="Arial"/>
                <w:b/>
                <w:bCs/>
                <w:szCs w:val="18"/>
                <w:lang w:val="en-US"/>
              </w:rPr>
            </w:pPr>
          </w:p>
        </w:tc>
        <w:tc>
          <w:tcPr>
            <w:tcW w:w="611" w:type="pct"/>
            <w:shd w:val="clear" w:color="auto" w:fill="auto"/>
            <w:noWrap/>
          </w:tcPr>
          <w:p w14:paraId="34E6C963" w14:textId="77777777" w:rsidR="00C90DA4" w:rsidRPr="007014B2" w:rsidRDefault="00C90DA4" w:rsidP="00C90DA4">
            <w:pPr>
              <w:jc w:val="right"/>
              <w:rPr>
                <w:rFonts w:cs="Arial"/>
                <w:bCs/>
                <w:szCs w:val="18"/>
                <w:lang w:val="en-US"/>
              </w:rPr>
            </w:pPr>
          </w:p>
        </w:tc>
        <w:tc>
          <w:tcPr>
            <w:tcW w:w="145" w:type="pct"/>
            <w:gridSpan w:val="2"/>
            <w:shd w:val="clear" w:color="auto" w:fill="auto"/>
          </w:tcPr>
          <w:p w14:paraId="14C8BC26" w14:textId="77777777" w:rsidR="00C90DA4" w:rsidRPr="00D870C2" w:rsidRDefault="00C90DA4" w:rsidP="00C90DA4">
            <w:pPr>
              <w:jc w:val="right"/>
              <w:rPr>
                <w:rFonts w:cs="Arial"/>
                <w:bCs/>
                <w:szCs w:val="18"/>
                <w:lang w:val="en-US"/>
              </w:rPr>
            </w:pPr>
          </w:p>
        </w:tc>
        <w:tc>
          <w:tcPr>
            <w:tcW w:w="550" w:type="pct"/>
            <w:gridSpan w:val="2"/>
            <w:shd w:val="clear" w:color="auto" w:fill="auto"/>
          </w:tcPr>
          <w:p w14:paraId="73E6C7D5" w14:textId="77777777" w:rsidR="00C90DA4" w:rsidRPr="009152E9" w:rsidRDefault="00C90DA4" w:rsidP="00C90DA4">
            <w:pPr>
              <w:jc w:val="right"/>
              <w:rPr>
                <w:rFonts w:cs="Arial"/>
                <w:bCs/>
                <w:szCs w:val="18"/>
                <w:lang w:val="en-US"/>
              </w:rPr>
            </w:pPr>
          </w:p>
        </w:tc>
        <w:tc>
          <w:tcPr>
            <w:tcW w:w="259" w:type="pct"/>
            <w:gridSpan w:val="3"/>
          </w:tcPr>
          <w:p w14:paraId="778D21E6" w14:textId="77777777" w:rsidR="00C90DA4" w:rsidRPr="00D870C2" w:rsidRDefault="00C90DA4" w:rsidP="00C90DA4">
            <w:pPr>
              <w:rPr>
                <w:rFonts w:cs="Arial"/>
                <w:bCs/>
                <w:szCs w:val="18"/>
                <w:lang w:val="en-US"/>
              </w:rPr>
            </w:pPr>
          </w:p>
        </w:tc>
      </w:tr>
      <w:tr w:rsidR="00C90DA4" w:rsidRPr="00D870C2" w14:paraId="1476A34C" w14:textId="77777777" w:rsidTr="002D0665">
        <w:trPr>
          <w:trHeight w:val="227"/>
        </w:trPr>
        <w:tc>
          <w:tcPr>
            <w:tcW w:w="2260" w:type="pct"/>
            <w:shd w:val="clear" w:color="auto" w:fill="auto"/>
            <w:noWrap/>
          </w:tcPr>
          <w:p w14:paraId="33441EFC" w14:textId="77777777" w:rsidR="00C90DA4" w:rsidRPr="00D870C2" w:rsidRDefault="00C90DA4" w:rsidP="00C90DA4">
            <w:pPr>
              <w:rPr>
                <w:rFonts w:cs="Arial"/>
                <w:b/>
                <w:bCs/>
                <w:szCs w:val="18"/>
                <w:lang w:val="en-US"/>
              </w:rPr>
            </w:pPr>
            <w:r w:rsidRPr="00D870C2">
              <w:rPr>
                <w:rFonts w:cs="Arial"/>
                <w:b/>
                <w:bCs/>
                <w:szCs w:val="18"/>
                <w:lang w:val="en-US"/>
              </w:rPr>
              <w:t>Own-source revenue</w:t>
            </w:r>
          </w:p>
        </w:tc>
        <w:tc>
          <w:tcPr>
            <w:tcW w:w="566" w:type="pct"/>
            <w:shd w:val="clear" w:color="auto" w:fill="auto"/>
            <w:noWrap/>
          </w:tcPr>
          <w:p w14:paraId="57658662" w14:textId="77777777" w:rsidR="00C90DA4" w:rsidRPr="00D870C2" w:rsidRDefault="00C90DA4" w:rsidP="00C90DA4">
            <w:pPr>
              <w:tabs>
                <w:tab w:val="left" w:pos="188"/>
              </w:tabs>
              <w:jc w:val="center"/>
              <w:rPr>
                <w:rFonts w:cs="Arial"/>
                <w:szCs w:val="18"/>
                <w:lang w:val="en-US"/>
              </w:rPr>
            </w:pPr>
          </w:p>
        </w:tc>
        <w:tc>
          <w:tcPr>
            <w:tcW w:w="609" w:type="pct"/>
            <w:shd w:val="clear" w:color="auto" w:fill="auto"/>
          </w:tcPr>
          <w:p w14:paraId="6CE13976" w14:textId="77777777" w:rsidR="00C90DA4" w:rsidRPr="00D870C2" w:rsidRDefault="00C90DA4" w:rsidP="00C90DA4">
            <w:pPr>
              <w:jc w:val="right"/>
              <w:rPr>
                <w:rFonts w:cs="Arial"/>
                <w:b/>
                <w:bCs/>
                <w:szCs w:val="18"/>
                <w:lang w:val="en-US"/>
              </w:rPr>
            </w:pPr>
          </w:p>
        </w:tc>
        <w:tc>
          <w:tcPr>
            <w:tcW w:w="611" w:type="pct"/>
            <w:shd w:val="clear" w:color="auto" w:fill="auto"/>
            <w:noWrap/>
          </w:tcPr>
          <w:p w14:paraId="1766583C" w14:textId="77777777" w:rsidR="00C90DA4" w:rsidRPr="007014B2" w:rsidRDefault="00C90DA4" w:rsidP="00C90DA4">
            <w:pPr>
              <w:jc w:val="right"/>
              <w:rPr>
                <w:rFonts w:cs="Arial"/>
                <w:bCs/>
                <w:szCs w:val="18"/>
                <w:lang w:val="en-US"/>
              </w:rPr>
            </w:pPr>
          </w:p>
        </w:tc>
        <w:tc>
          <w:tcPr>
            <w:tcW w:w="145" w:type="pct"/>
            <w:gridSpan w:val="2"/>
            <w:shd w:val="clear" w:color="auto" w:fill="auto"/>
          </w:tcPr>
          <w:p w14:paraId="4C53ACB8" w14:textId="77777777" w:rsidR="00C90DA4" w:rsidRPr="00D870C2" w:rsidRDefault="00C90DA4" w:rsidP="00C90DA4">
            <w:pPr>
              <w:jc w:val="right"/>
              <w:rPr>
                <w:rFonts w:cs="Arial"/>
                <w:bCs/>
                <w:szCs w:val="18"/>
                <w:lang w:val="en-US"/>
              </w:rPr>
            </w:pPr>
          </w:p>
        </w:tc>
        <w:tc>
          <w:tcPr>
            <w:tcW w:w="550" w:type="pct"/>
            <w:gridSpan w:val="2"/>
            <w:shd w:val="clear" w:color="auto" w:fill="auto"/>
          </w:tcPr>
          <w:p w14:paraId="4115EE27" w14:textId="77777777" w:rsidR="00C90DA4" w:rsidRPr="009152E9" w:rsidRDefault="00C90DA4" w:rsidP="00C90DA4">
            <w:pPr>
              <w:jc w:val="right"/>
              <w:rPr>
                <w:rFonts w:cs="Arial"/>
                <w:bCs/>
                <w:szCs w:val="18"/>
                <w:lang w:val="en-US"/>
              </w:rPr>
            </w:pPr>
          </w:p>
        </w:tc>
        <w:tc>
          <w:tcPr>
            <w:tcW w:w="259" w:type="pct"/>
            <w:gridSpan w:val="3"/>
          </w:tcPr>
          <w:p w14:paraId="015E29CF" w14:textId="77777777" w:rsidR="00C90DA4" w:rsidRPr="00D870C2" w:rsidRDefault="00C90DA4" w:rsidP="00C90DA4">
            <w:pPr>
              <w:rPr>
                <w:rFonts w:cs="Arial"/>
                <w:bCs/>
                <w:szCs w:val="18"/>
                <w:lang w:val="en-US"/>
              </w:rPr>
            </w:pPr>
          </w:p>
        </w:tc>
      </w:tr>
      <w:tr w:rsidR="00C90DA4" w:rsidRPr="00D870C2" w14:paraId="19519C33" w14:textId="77777777" w:rsidTr="002D0665">
        <w:trPr>
          <w:trHeight w:val="272"/>
        </w:trPr>
        <w:tc>
          <w:tcPr>
            <w:tcW w:w="2260" w:type="pct"/>
            <w:shd w:val="clear" w:color="auto" w:fill="auto"/>
            <w:noWrap/>
          </w:tcPr>
          <w:p w14:paraId="26635DD3" w14:textId="77777777" w:rsidR="00C90DA4" w:rsidRPr="00D870C2" w:rsidRDefault="00C90DA4" w:rsidP="00C90DA4">
            <w:pPr>
              <w:rPr>
                <w:rFonts w:cs="Arial"/>
                <w:szCs w:val="18"/>
                <w:lang w:val="en-US"/>
              </w:rPr>
            </w:pPr>
            <w:r w:rsidRPr="00D870C2">
              <w:rPr>
                <w:rFonts w:cs="Arial"/>
                <w:szCs w:val="18"/>
                <w:lang w:val="en-US"/>
              </w:rPr>
              <w:t>Rendering of services</w:t>
            </w:r>
          </w:p>
        </w:tc>
        <w:tc>
          <w:tcPr>
            <w:tcW w:w="566" w:type="pct"/>
            <w:shd w:val="clear" w:color="auto" w:fill="auto"/>
            <w:noWrap/>
          </w:tcPr>
          <w:p w14:paraId="4D132402" w14:textId="77777777" w:rsidR="00C90DA4" w:rsidRPr="00D870C2" w:rsidRDefault="00C90DA4" w:rsidP="00C90DA4">
            <w:pPr>
              <w:tabs>
                <w:tab w:val="left" w:pos="188"/>
              </w:tabs>
              <w:jc w:val="center"/>
              <w:rPr>
                <w:rFonts w:cs="Arial"/>
                <w:szCs w:val="18"/>
                <w:lang w:val="en-US"/>
              </w:rPr>
            </w:pPr>
            <w:r w:rsidRPr="00D870C2">
              <w:rPr>
                <w:rFonts w:cs="Arial"/>
                <w:szCs w:val="18"/>
                <w:lang w:val="en-US"/>
              </w:rPr>
              <w:tab/>
            </w:r>
            <w:hyperlink r:id="rId89" w:anchor="'Note 4'!A1#'Note 4'!A1" w:tooltip="Go to Note" w:history="1">
              <w:r>
                <w:rPr>
                  <w:rFonts w:cs="Arial"/>
                  <w:szCs w:val="18"/>
                  <w:lang w:val="en-US"/>
                </w:rPr>
                <w:t>1.2</w:t>
              </w:r>
              <w:r w:rsidRPr="00D870C2">
                <w:rPr>
                  <w:rFonts w:cs="Arial"/>
                  <w:szCs w:val="18"/>
                  <w:lang w:val="en-US"/>
                </w:rPr>
                <w:t>A</w:t>
              </w:r>
            </w:hyperlink>
          </w:p>
        </w:tc>
        <w:tc>
          <w:tcPr>
            <w:tcW w:w="609" w:type="pct"/>
            <w:shd w:val="clear" w:color="auto" w:fill="auto"/>
          </w:tcPr>
          <w:p w14:paraId="72593355" w14:textId="77777777" w:rsidR="00C90DA4" w:rsidRPr="00476FFB" w:rsidRDefault="00C90DA4" w:rsidP="00C90DA4">
            <w:pPr>
              <w:jc w:val="right"/>
              <w:rPr>
                <w:rFonts w:cs="Arial"/>
                <w:b/>
                <w:bCs/>
                <w:szCs w:val="18"/>
                <w:lang w:val="en-US"/>
              </w:rPr>
            </w:pPr>
            <w:r>
              <w:rPr>
                <w:rFonts w:cs="Arial"/>
                <w:b/>
                <w:bCs/>
                <w:szCs w:val="18"/>
                <w:lang w:val="en-US"/>
              </w:rPr>
              <w:t>10,789</w:t>
            </w:r>
            <w:r w:rsidRPr="00476FFB">
              <w:rPr>
                <w:rFonts w:cs="Arial"/>
                <w:b/>
                <w:bCs/>
                <w:szCs w:val="18"/>
                <w:lang w:val="en-US"/>
              </w:rPr>
              <w:t xml:space="preserve"> </w:t>
            </w:r>
          </w:p>
        </w:tc>
        <w:tc>
          <w:tcPr>
            <w:tcW w:w="611" w:type="pct"/>
            <w:shd w:val="clear" w:color="auto" w:fill="auto"/>
            <w:noWrap/>
          </w:tcPr>
          <w:p w14:paraId="63133ADD" w14:textId="77777777" w:rsidR="00C90DA4" w:rsidRPr="007014B2" w:rsidRDefault="00C90DA4" w:rsidP="00C90DA4">
            <w:pPr>
              <w:jc w:val="right"/>
              <w:rPr>
                <w:rFonts w:cs="Arial"/>
                <w:bCs/>
                <w:szCs w:val="18"/>
                <w:lang w:val="en-US"/>
              </w:rPr>
            </w:pPr>
            <w:r w:rsidRPr="007014B2">
              <w:rPr>
                <w:rFonts w:cs="Arial"/>
                <w:bCs/>
                <w:szCs w:val="18"/>
                <w:lang w:val="en-US"/>
              </w:rPr>
              <w:t xml:space="preserve">12,408 </w:t>
            </w:r>
          </w:p>
        </w:tc>
        <w:tc>
          <w:tcPr>
            <w:tcW w:w="145" w:type="pct"/>
            <w:gridSpan w:val="2"/>
            <w:shd w:val="clear" w:color="auto" w:fill="auto"/>
          </w:tcPr>
          <w:p w14:paraId="73C61B34" w14:textId="77777777" w:rsidR="00C90DA4" w:rsidRPr="00D870C2" w:rsidRDefault="00C90DA4" w:rsidP="00C90DA4">
            <w:pPr>
              <w:jc w:val="right"/>
              <w:rPr>
                <w:rFonts w:cs="Arial"/>
                <w:bCs/>
                <w:szCs w:val="18"/>
                <w:lang w:val="en-US"/>
              </w:rPr>
            </w:pPr>
          </w:p>
        </w:tc>
        <w:tc>
          <w:tcPr>
            <w:tcW w:w="550" w:type="pct"/>
            <w:gridSpan w:val="2"/>
            <w:shd w:val="clear" w:color="auto" w:fill="auto"/>
          </w:tcPr>
          <w:p w14:paraId="120EA1D0" w14:textId="77777777" w:rsidR="00C90DA4" w:rsidRPr="009152E9" w:rsidRDefault="00C90DA4" w:rsidP="00C90DA4">
            <w:pPr>
              <w:jc w:val="right"/>
              <w:rPr>
                <w:rFonts w:cs="Arial"/>
                <w:bCs/>
                <w:szCs w:val="18"/>
                <w:lang w:val="en-US"/>
              </w:rPr>
            </w:pPr>
            <w:r>
              <w:rPr>
                <w:rFonts w:cs="Arial"/>
                <w:bCs/>
                <w:szCs w:val="18"/>
                <w:lang w:val="en-US"/>
              </w:rPr>
              <w:t>2</w:t>
            </w:r>
            <w:r w:rsidRPr="009152E9">
              <w:rPr>
                <w:rFonts w:cs="Arial"/>
                <w:bCs/>
                <w:szCs w:val="18"/>
                <w:lang w:val="en-US"/>
              </w:rPr>
              <w:t>,</w:t>
            </w:r>
            <w:r>
              <w:rPr>
                <w:rFonts w:cs="Arial"/>
                <w:bCs/>
                <w:szCs w:val="18"/>
                <w:lang w:val="en-US"/>
              </w:rPr>
              <w:t>906</w:t>
            </w:r>
          </w:p>
        </w:tc>
        <w:tc>
          <w:tcPr>
            <w:tcW w:w="259" w:type="pct"/>
            <w:gridSpan w:val="3"/>
            <w:vAlign w:val="center"/>
          </w:tcPr>
          <w:p w14:paraId="56626F38" w14:textId="77777777" w:rsidR="00C90DA4" w:rsidRDefault="00C90DA4" w:rsidP="00C90DA4">
            <w:pPr>
              <w:rPr>
                <w:rFonts w:cs="Arial"/>
                <w:bCs/>
                <w:szCs w:val="18"/>
                <w:lang w:val="en-US"/>
              </w:rPr>
            </w:pPr>
            <w:r>
              <w:rPr>
                <w:rFonts w:cs="Arial"/>
                <w:bCs/>
                <w:szCs w:val="18"/>
                <w:vertAlign w:val="superscript"/>
                <w:lang w:val="en-US"/>
              </w:rPr>
              <w:t>B,C</w:t>
            </w:r>
          </w:p>
        </w:tc>
      </w:tr>
      <w:tr w:rsidR="00C90DA4" w:rsidRPr="00D870C2" w14:paraId="5B2686A2" w14:textId="77777777" w:rsidTr="002D0665">
        <w:trPr>
          <w:trHeight w:val="255"/>
        </w:trPr>
        <w:tc>
          <w:tcPr>
            <w:tcW w:w="2260" w:type="pct"/>
            <w:shd w:val="clear" w:color="auto" w:fill="auto"/>
            <w:noWrap/>
          </w:tcPr>
          <w:p w14:paraId="6AE216BC" w14:textId="77777777" w:rsidR="00C90DA4" w:rsidRPr="00D870C2" w:rsidRDefault="00C90DA4" w:rsidP="00C90DA4">
            <w:pPr>
              <w:rPr>
                <w:rFonts w:cs="Arial"/>
                <w:szCs w:val="18"/>
                <w:lang w:val="en-US"/>
              </w:rPr>
            </w:pPr>
            <w:r w:rsidRPr="00D870C2">
              <w:rPr>
                <w:rFonts w:cs="Arial"/>
                <w:szCs w:val="18"/>
                <w:lang w:val="en-US"/>
              </w:rPr>
              <w:t>Interest</w:t>
            </w:r>
          </w:p>
        </w:tc>
        <w:tc>
          <w:tcPr>
            <w:tcW w:w="566" w:type="pct"/>
            <w:shd w:val="clear" w:color="auto" w:fill="auto"/>
            <w:noWrap/>
          </w:tcPr>
          <w:p w14:paraId="7E8F0BB3" w14:textId="77777777" w:rsidR="00C90DA4" w:rsidRPr="00D870C2" w:rsidRDefault="00C90DA4" w:rsidP="00C90DA4">
            <w:pPr>
              <w:tabs>
                <w:tab w:val="left" w:pos="188"/>
              </w:tabs>
              <w:jc w:val="center"/>
              <w:rPr>
                <w:rFonts w:cs="Arial"/>
                <w:szCs w:val="18"/>
                <w:lang w:val="en-US"/>
              </w:rPr>
            </w:pPr>
            <w:r w:rsidRPr="00D870C2">
              <w:rPr>
                <w:rFonts w:cs="Arial"/>
                <w:szCs w:val="18"/>
                <w:lang w:val="en-US"/>
              </w:rPr>
              <w:tab/>
            </w:r>
            <w:hyperlink r:id="rId90" w:anchor="'Note 4'!A1#'Note 4'!A1" w:tooltip="Go to Note" w:history="1">
              <w:r>
                <w:rPr>
                  <w:rFonts w:cs="Arial"/>
                  <w:szCs w:val="18"/>
                  <w:lang w:val="en-US"/>
                </w:rPr>
                <w:t>1.2</w:t>
              </w:r>
              <w:r w:rsidRPr="00D870C2">
                <w:rPr>
                  <w:rFonts w:cs="Arial"/>
                  <w:szCs w:val="18"/>
                  <w:lang w:val="en-US"/>
                </w:rPr>
                <w:t>B</w:t>
              </w:r>
            </w:hyperlink>
          </w:p>
        </w:tc>
        <w:tc>
          <w:tcPr>
            <w:tcW w:w="609" w:type="pct"/>
            <w:shd w:val="clear" w:color="auto" w:fill="auto"/>
          </w:tcPr>
          <w:p w14:paraId="50C0D753" w14:textId="77777777" w:rsidR="00C90DA4" w:rsidRPr="00D870C2" w:rsidRDefault="00C90DA4" w:rsidP="00C90DA4">
            <w:pPr>
              <w:jc w:val="right"/>
              <w:rPr>
                <w:rFonts w:cs="Arial"/>
                <w:b/>
                <w:bCs/>
                <w:szCs w:val="18"/>
                <w:lang w:val="en-US"/>
              </w:rPr>
            </w:pPr>
            <w:r>
              <w:rPr>
                <w:rFonts w:cs="Arial"/>
                <w:b/>
                <w:bCs/>
                <w:szCs w:val="18"/>
                <w:lang w:val="en-US"/>
              </w:rPr>
              <w:t>216</w:t>
            </w:r>
            <w:r w:rsidRPr="00D870C2">
              <w:rPr>
                <w:rFonts w:cs="Arial"/>
                <w:b/>
                <w:bCs/>
                <w:szCs w:val="18"/>
                <w:lang w:val="en-US"/>
              </w:rPr>
              <w:t xml:space="preserve"> </w:t>
            </w:r>
          </w:p>
        </w:tc>
        <w:tc>
          <w:tcPr>
            <w:tcW w:w="611" w:type="pct"/>
            <w:shd w:val="clear" w:color="auto" w:fill="auto"/>
            <w:noWrap/>
          </w:tcPr>
          <w:p w14:paraId="11116A64" w14:textId="77777777" w:rsidR="00C90DA4" w:rsidRPr="007014B2" w:rsidRDefault="00C90DA4" w:rsidP="00C90DA4">
            <w:pPr>
              <w:jc w:val="right"/>
              <w:rPr>
                <w:rFonts w:cs="Arial"/>
                <w:bCs/>
                <w:szCs w:val="18"/>
                <w:lang w:val="en-US"/>
              </w:rPr>
            </w:pPr>
            <w:r w:rsidRPr="007014B2">
              <w:rPr>
                <w:rFonts w:cs="Arial"/>
                <w:bCs/>
                <w:szCs w:val="18"/>
                <w:lang w:val="en-US"/>
              </w:rPr>
              <w:t xml:space="preserve">353 </w:t>
            </w:r>
          </w:p>
        </w:tc>
        <w:tc>
          <w:tcPr>
            <w:tcW w:w="145" w:type="pct"/>
            <w:gridSpan w:val="2"/>
            <w:shd w:val="clear" w:color="auto" w:fill="auto"/>
          </w:tcPr>
          <w:p w14:paraId="642B2CA2" w14:textId="77777777" w:rsidR="00C90DA4" w:rsidRPr="00D870C2" w:rsidRDefault="00C90DA4" w:rsidP="00C90DA4">
            <w:pPr>
              <w:jc w:val="right"/>
              <w:rPr>
                <w:rFonts w:cs="Arial"/>
                <w:bCs/>
                <w:szCs w:val="18"/>
                <w:lang w:val="en-US"/>
              </w:rPr>
            </w:pPr>
          </w:p>
        </w:tc>
        <w:tc>
          <w:tcPr>
            <w:tcW w:w="550" w:type="pct"/>
            <w:gridSpan w:val="2"/>
            <w:shd w:val="clear" w:color="auto" w:fill="auto"/>
          </w:tcPr>
          <w:p w14:paraId="675C266E" w14:textId="77777777" w:rsidR="00C90DA4" w:rsidRPr="009152E9" w:rsidRDefault="00C90DA4" w:rsidP="00C90DA4">
            <w:pPr>
              <w:jc w:val="right"/>
              <w:rPr>
                <w:rFonts w:cs="Arial"/>
                <w:bCs/>
                <w:szCs w:val="18"/>
                <w:lang w:val="en-US"/>
              </w:rPr>
            </w:pPr>
            <w:r w:rsidRPr="009152E9">
              <w:rPr>
                <w:rFonts w:cs="Arial"/>
                <w:bCs/>
                <w:szCs w:val="18"/>
                <w:lang w:val="en-US"/>
              </w:rPr>
              <w:t>200</w:t>
            </w:r>
          </w:p>
        </w:tc>
        <w:tc>
          <w:tcPr>
            <w:tcW w:w="259" w:type="pct"/>
            <w:gridSpan w:val="3"/>
          </w:tcPr>
          <w:p w14:paraId="553B3329" w14:textId="77777777" w:rsidR="00C90DA4" w:rsidRPr="00D870C2" w:rsidRDefault="00C90DA4" w:rsidP="00C90DA4">
            <w:pPr>
              <w:rPr>
                <w:rFonts w:cs="Arial"/>
                <w:bCs/>
                <w:szCs w:val="18"/>
                <w:lang w:val="en-US"/>
              </w:rPr>
            </w:pPr>
          </w:p>
        </w:tc>
      </w:tr>
      <w:tr w:rsidR="00C90DA4" w:rsidRPr="00D870C2" w14:paraId="77DC3F60" w14:textId="77777777" w:rsidTr="002D0665">
        <w:trPr>
          <w:trHeight w:val="255"/>
        </w:trPr>
        <w:tc>
          <w:tcPr>
            <w:tcW w:w="2260" w:type="pct"/>
            <w:shd w:val="clear" w:color="auto" w:fill="auto"/>
            <w:noWrap/>
          </w:tcPr>
          <w:p w14:paraId="7007CD6A" w14:textId="77777777" w:rsidR="00C90DA4" w:rsidRPr="00D870C2" w:rsidRDefault="00C90DA4" w:rsidP="00C90DA4">
            <w:pPr>
              <w:rPr>
                <w:rFonts w:cs="Arial"/>
                <w:szCs w:val="18"/>
                <w:lang w:val="en-US"/>
              </w:rPr>
            </w:pPr>
            <w:r w:rsidRPr="00D870C2">
              <w:rPr>
                <w:rFonts w:cs="Arial"/>
                <w:szCs w:val="18"/>
                <w:lang w:val="en-US"/>
              </w:rPr>
              <w:t>External contributions</w:t>
            </w:r>
          </w:p>
        </w:tc>
        <w:tc>
          <w:tcPr>
            <w:tcW w:w="566" w:type="pct"/>
            <w:shd w:val="clear" w:color="auto" w:fill="auto"/>
            <w:noWrap/>
          </w:tcPr>
          <w:p w14:paraId="7660502B" w14:textId="77777777" w:rsidR="00C90DA4" w:rsidRPr="00D870C2" w:rsidRDefault="00C90DA4" w:rsidP="00C90DA4">
            <w:pPr>
              <w:tabs>
                <w:tab w:val="left" w:pos="188"/>
              </w:tabs>
              <w:jc w:val="center"/>
              <w:rPr>
                <w:rFonts w:cs="Arial"/>
                <w:szCs w:val="18"/>
                <w:lang w:val="en-US"/>
              </w:rPr>
            </w:pPr>
            <w:r w:rsidRPr="00D870C2">
              <w:rPr>
                <w:rFonts w:cs="Arial"/>
                <w:szCs w:val="18"/>
                <w:lang w:val="en-US"/>
              </w:rPr>
              <w:tab/>
            </w:r>
            <w:hyperlink r:id="rId91" w:anchor="'Note 4'!A1#'Note 4'!A1" w:tooltip="Go to Note" w:history="1">
              <w:r>
                <w:rPr>
                  <w:rFonts w:cs="Arial"/>
                  <w:szCs w:val="18"/>
                  <w:lang w:val="en-US"/>
                </w:rPr>
                <w:t>1.2</w:t>
              </w:r>
              <w:r w:rsidRPr="00D870C2">
                <w:rPr>
                  <w:rFonts w:cs="Arial"/>
                  <w:szCs w:val="18"/>
                  <w:lang w:val="en-US"/>
                </w:rPr>
                <w:t>C</w:t>
              </w:r>
            </w:hyperlink>
          </w:p>
        </w:tc>
        <w:tc>
          <w:tcPr>
            <w:tcW w:w="609" w:type="pct"/>
            <w:shd w:val="clear" w:color="auto" w:fill="auto"/>
          </w:tcPr>
          <w:p w14:paraId="67F07AC7" w14:textId="77777777" w:rsidR="00C90DA4" w:rsidRPr="00D870C2" w:rsidRDefault="00C90DA4" w:rsidP="00C90DA4">
            <w:pPr>
              <w:jc w:val="right"/>
              <w:rPr>
                <w:rFonts w:cs="Arial"/>
                <w:b/>
                <w:bCs/>
                <w:szCs w:val="18"/>
                <w:lang w:val="en-US"/>
              </w:rPr>
            </w:pPr>
            <w:r>
              <w:rPr>
                <w:rFonts w:cs="Arial"/>
                <w:b/>
                <w:bCs/>
                <w:szCs w:val="18"/>
                <w:lang w:val="en-US"/>
              </w:rPr>
              <w:t>7,406</w:t>
            </w:r>
            <w:r w:rsidRPr="00D870C2">
              <w:rPr>
                <w:rFonts w:cs="Arial"/>
                <w:b/>
                <w:bCs/>
                <w:szCs w:val="18"/>
                <w:lang w:val="en-US"/>
              </w:rPr>
              <w:t xml:space="preserve"> </w:t>
            </w:r>
          </w:p>
        </w:tc>
        <w:tc>
          <w:tcPr>
            <w:tcW w:w="611" w:type="pct"/>
            <w:shd w:val="clear" w:color="auto" w:fill="auto"/>
            <w:noWrap/>
          </w:tcPr>
          <w:p w14:paraId="0FA3198F" w14:textId="77777777" w:rsidR="00C90DA4" w:rsidRPr="007014B2" w:rsidRDefault="00C90DA4" w:rsidP="00C90DA4">
            <w:pPr>
              <w:jc w:val="right"/>
              <w:rPr>
                <w:rFonts w:cs="Arial"/>
                <w:bCs/>
                <w:szCs w:val="18"/>
                <w:lang w:val="en-US"/>
              </w:rPr>
            </w:pPr>
            <w:r w:rsidRPr="007014B2">
              <w:rPr>
                <w:rFonts w:cs="Arial"/>
                <w:bCs/>
                <w:szCs w:val="18"/>
                <w:lang w:val="en-US"/>
              </w:rPr>
              <w:t xml:space="preserve">7,190 </w:t>
            </w:r>
          </w:p>
        </w:tc>
        <w:tc>
          <w:tcPr>
            <w:tcW w:w="145" w:type="pct"/>
            <w:gridSpan w:val="2"/>
            <w:shd w:val="clear" w:color="auto" w:fill="auto"/>
          </w:tcPr>
          <w:p w14:paraId="7F1840B0" w14:textId="77777777" w:rsidR="00C90DA4" w:rsidRPr="00D870C2" w:rsidRDefault="00C90DA4" w:rsidP="00C90DA4">
            <w:pPr>
              <w:jc w:val="right"/>
              <w:rPr>
                <w:rFonts w:cs="Arial"/>
                <w:bCs/>
                <w:szCs w:val="18"/>
                <w:lang w:val="en-US"/>
              </w:rPr>
            </w:pPr>
          </w:p>
        </w:tc>
        <w:tc>
          <w:tcPr>
            <w:tcW w:w="550" w:type="pct"/>
            <w:gridSpan w:val="2"/>
            <w:shd w:val="clear" w:color="auto" w:fill="auto"/>
          </w:tcPr>
          <w:p w14:paraId="6076938D" w14:textId="77777777" w:rsidR="00C90DA4" w:rsidRPr="009152E9" w:rsidRDefault="00C90DA4" w:rsidP="00C90DA4">
            <w:pPr>
              <w:jc w:val="right"/>
              <w:rPr>
                <w:rFonts w:cs="Arial"/>
                <w:bCs/>
                <w:szCs w:val="18"/>
                <w:lang w:val="en-US"/>
              </w:rPr>
            </w:pPr>
            <w:r w:rsidRPr="009152E9">
              <w:rPr>
                <w:rFonts w:cs="Arial"/>
                <w:bCs/>
                <w:szCs w:val="18"/>
                <w:lang w:val="en-US"/>
              </w:rPr>
              <w:t>7,406</w:t>
            </w:r>
          </w:p>
        </w:tc>
        <w:tc>
          <w:tcPr>
            <w:tcW w:w="259" w:type="pct"/>
            <w:gridSpan w:val="3"/>
          </w:tcPr>
          <w:p w14:paraId="40076C8D" w14:textId="77777777" w:rsidR="00C90DA4" w:rsidRPr="00D870C2" w:rsidRDefault="00C90DA4" w:rsidP="00C90DA4">
            <w:pPr>
              <w:rPr>
                <w:rFonts w:cs="Arial"/>
                <w:bCs/>
                <w:szCs w:val="18"/>
                <w:lang w:val="en-US"/>
              </w:rPr>
            </w:pPr>
          </w:p>
        </w:tc>
      </w:tr>
      <w:tr w:rsidR="00C90DA4" w:rsidRPr="00D870C2" w14:paraId="3DEE2912" w14:textId="77777777" w:rsidTr="002D0665">
        <w:trPr>
          <w:trHeight w:val="255"/>
        </w:trPr>
        <w:tc>
          <w:tcPr>
            <w:tcW w:w="2260" w:type="pct"/>
            <w:shd w:val="clear" w:color="auto" w:fill="auto"/>
            <w:noWrap/>
          </w:tcPr>
          <w:p w14:paraId="57784421" w14:textId="77777777" w:rsidR="00C90DA4" w:rsidRPr="00D870C2" w:rsidRDefault="00C90DA4" w:rsidP="00C90DA4">
            <w:pPr>
              <w:rPr>
                <w:rFonts w:cs="Arial"/>
                <w:b/>
                <w:bCs/>
                <w:szCs w:val="18"/>
                <w:lang w:val="en-US"/>
              </w:rPr>
            </w:pPr>
            <w:r w:rsidRPr="00D870C2">
              <w:rPr>
                <w:rFonts w:cs="Arial"/>
                <w:b/>
                <w:bCs/>
                <w:szCs w:val="18"/>
                <w:lang w:val="en-US"/>
              </w:rPr>
              <w:t>Total own-source revenue</w:t>
            </w:r>
          </w:p>
        </w:tc>
        <w:tc>
          <w:tcPr>
            <w:tcW w:w="566" w:type="pct"/>
            <w:shd w:val="clear" w:color="auto" w:fill="auto"/>
            <w:noWrap/>
          </w:tcPr>
          <w:p w14:paraId="3BDA8260" w14:textId="77777777" w:rsidR="00C90DA4" w:rsidRPr="00D870C2" w:rsidRDefault="00924EF8" w:rsidP="00C90DA4">
            <w:pPr>
              <w:tabs>
                <w:tab w:val="left" w:pos="188"/>
              </w:tabs>
              <w:jc w:val="center"/>
              <w:rPr>
                <w:rFonts w:cs="Arial"/>
                <w:szCs w:val="18"/>
                <w:lang w:val="en-US"/>
              </w:rPr>
            </w:pPr>
            <w:hyperlink r:id="rId92" w:anchor="'Note 4'!A1#'Note 4'!A1" w:tooltip="Go to Note" w:history="1"/>
          </w:p>
        </w:tc>
        <w:tc>
          <w:tcPr>
            <w:tcW w:w="609" w:type="pct"/>
            <w:tcBorders>
              <w:top w:val="single" w:sz="4" w:space="0" w:color="auto"/>
              <w:bottom w:val="single" w:sz="4" w:space="0" w:color="auto"/>
            </w:tcBorders>
            <w:shd w:val="clear" w:color="auto" w:fill="auto"/>
            <w:vAlign w:val="bottom"/>
          </w:tcPr>
          <w:p w14:paraId="48C8754A" w14:textId="77777777" w:rsidR="00C90DA4" w:rsidRPr="00D870C2" w:rsidRDefault="00C90DA4" w:rsidP="00C90DA4">
            <w:pPr>
              <w:jc w:val="right"/>
              <w:rPr>
                <w:rFonts w:cs="Arial"/>
                <w:b/>
                <w:bCs/>
                <w:szCs w:val="18"/>
                <w:lang w:val="en-US"/>
              </w:rPr>
            </w:pPr>
            <w:r>
              <w:rPr>
                <w:rFonts w:cs="Arial"/>
                <w:b/>
                <w:bCs/>
                <w:szCs w:val="18"/>
                <w:lang w:val="en-US"/>
              </w:rPr>
              <w:t>18,411</w:t>
            </w:r>
            <w:r w:rsidRPr="00D870C2">
              <w:rPr>
                <w:rFonts w:cs="Arial"/>
                <w:b/>
                <w:bCs/>
                <w:szCs w:val="18"/>
                <w:lang w:val="en-US"/>
              </w:rPr>
              <w:t xml:space="preserve"> </w:t>
            </w:r>
          </w:p>
        </w:tc>
        <w:tc>
          <w:tcPr>
            <w:tcW w:w="611" w:type="pct"/>
            <w:tcBorders>
              <w:top w:val="single" w:sz="4" w:space="0" w:color="auto"/>
              <w:bottom w:val="single" w:sz="4" w:space="0" w:color="auto"/>
            </w:tcBorders>
            <w:shd w:val="clear" w:color="auto" w:fill="auto"/>
            <w:noWrap/>
            <w:vAlign w:val="bottom"/>
          </w:tcPr>
          <w:p w14:paraId="4D487E9C" w14:textId="77777777" w:rsidR="00C90DA4" w:rsidRPr="007014B2" w:rsidRDefault="00C90DA4" w:rsidP="00C90DA4">
            <w:pPr>
              <w:jc w:val="right"/>
              <w:rPr>
                <w:rFonts w:cs="Arial"/>
                <w:bCs/>
                <w:szCs w:val="18"/>
                <w:lang w:val="en-US"/>
              </w:rPr>
            </w:pPr>
            <w:r w:rsidRPr="007014B2">
              <w:rPr>
                <w:rFonts w:cs="Arial"/>
                <w:bCs/>
                <w:szCs w:val="18"/>
                <w:lang w:val="en-US"/>
              </w:rPr>
              <w:t xml:space="preserve">19,951 </w:t>
            </w:r>
          </w:p>
        </w:tc>
        <w:tc>
          <w:tcPr>
            <w:tcW w:w="145" w:type="pct"/>
            <w:gridSpan w:val="2"/>
            <w:shd w:val="clear" w:color="auto" w:fill="auto"/>
          </w:tcPr>
          <w:p w14:paraId="712E01A2" w14:textId="77777777" w:rsidR="00C90DA4" w:rsidRPr="00D870C2" w:rsidRDefault="00C90DA4" w:rsidP="00C90DA4">
            <w:pPr>
              <w:jc w:val="right"/>
              <w:rPr>
                <w:rFonts w:cs="Arial"/>
                <w:bCs/>
                <w:szCs w:val="18"/>
                <w:lang w:val="en-US"/>
              </w:rPr>
            </w:pPr>
          </w:p>
        </w:tc>
        <w:tc>
          <w:tcPr>
            <w:tcW w:w="550" w:type="pct"/>
            <w:gridSpan w:val="2"/>
            <w:tcBorders>
              <w:top w:val="single" w:sz="4" w:space="0" w:color="auto"/>
              <w:bottom w:val="single" w:sz="4" w:space="0" w:color="auto"/>
            </w:tcBorders>
            <w:shd w:val="clear" w:color="auto" w:fill="auto"/>
            <w:vAlign w:val="bottom"/>
          </w:tcPr>
          <w:p w14:paraId="0D019153" w14:textId="77777777" w:rsidR="00C90DA4" w:rsidRPr="009152E9" w:rsidRDefault="00C90DA4" w:rsidP="00C90DA4">
            <w:pPr>
              <w:jc w:val="right"/>
              <w:rPr>
                <w:rFonts w:cs="Arial"/>
                <w:bCs/>
                <w:szCs w:val="18"/>
                <w:lang w:val="en-US"/>
              </w:rPr>
            </w:pPr>
            <w:r w:rsidRPr="009152E9">
              <w:rPr>
                <w:rFonts w:cs="Arial"/>
                <w:bCs/>
                <w:szCs w:val="18"/>
                <w:lang w:val="en-US"/>
              </w:rPr>
              <w:t>1</w:t>
            </w:r>
            <w:r>
              <w:rPr>
                <w:rFonts w:cs="Arial"/>
                <w:bCs/>
                <w:szCs w:val="18"/>
                <w:lang w:val="en-US"/>
              </w:rPr>
              <w:t>0,512</w:t>
            </w:r>
          </w:p>
        </w:tc>
        <w:tc>
          <w:tcPr>
            <w:tcW w:w="259" w:type="pct"/>
            <w:gridSpan w:val="3"/>
          </w:tcPr>
          <w:p w14:paraId="1030DF2B" w14:textId="77777777" w:rsidR="00C90DA4" w:rsidRDefault="00C90DA4" w:rsidP="00C90DA4">
            <w:pPr>
              <w:rPr>
                <w:rFonts w:cs="Arial"/>
                <w:bCs/>
                <w:szCs w:val="18"/>
                <w:lang w:val="en-US"/>
              </w:rPr>
            </w:pPr>
          </w:p>
        </w:tc>
      </w:tr>
      <w:tr w:rsidR="00C90DA4" w:rsidRPr="00D870C2" w14:paraId="1E74E5BD" w14:textId="77777777" w:rsidTr="002D0665">
        <w:trPr>
          <w:trHeight w:val="227"/>
        </w:trPr>
        <w:tc>
          <w:tcPr>
            <w:tcW w:w="2260" w:type="pct"/>
            <w:shd w:val="clear" w:color="auto" w:fill="auto"/>
            <w:noWrap/>
          </w:tcPr>
          <w:p w14:paraId="74AA7712" w14:textId="77777777" w:rsidR="00C90DA4" w:rsidRPr="00D870C2" w:rsidRDefault="00C90DA4" w:rsidP="00C90DA4">
            <w:pPr>
              <w:rPr>
                <w:rFonts w:cs="Arial"/>
                <w:b/>
                <w:bCs/>
                <w:szCs w:val="18"/>
                <w:lang w:val="en-US"/>
              </w:rPr>
            </w:pPr>
            <w:r>
              <w:rPr>
                <w:rFonts w:cs="Arial"/>
                <w:b/>
                <w:bCs/>
                <w:szCs w:val="18"/>
                <w:lang w:val="en-US"/>
              </w:rPr>
              <w:t>Gains</w:t>
            </w:r>
          </w:p>
        </w:tc>
        <w:tc>
          <w:tcPr>
            <w:tcW w:w="566" w:type="pct"/>
            <w:shd w:val="clear" w:color="auto" w:fill="auto"/>
            <w:noWrap/>
          </w:tcPr>
          <w:p w14:paraId="4AA6DE15" w14:textId="77777777" w:rsidR="00C90DA4" w:rsidRPr="00D870C2" w:rsidRDefault="00C90DA4" w:rsidP="00C90DA4">
            <w:pPr>
              <w:tabs>
                <w:tab w:val="left" w:pos="188"/>
              </w:tabs>
              <w:jc w:val="center"/>
              <w:rPr>
                <w:rFonts w:cs="Arial"/>
                <w:szCs w:val="18"/>
                <w:lang w:val="en-US"/>
              </w:rPr>
            </w:pPr>
          </w:p>
        </w:tc>
        <w:tc>
          <w:tcPr>
            <w:tcW w:w="609" w:type="pct"/>
            <w:tcBorders>
              <w:top w:val="single" w:sz="4" w:space="0" w:color="auto"/>
            </w:tcBorders>
            <w:shd w:val="clear" w:color="auto" w:fill="auto"/>
            <w:vAlign w:val="bottom"/>
          </w:tcPr>
          <w:p w14:paraId="7EA29EDF" w14:textId="77777777" w:rsidR="00C90DA4" w:rsidRDefault="00C90DA4" w:rsidP="00C90DA4">
            <w:pPr>
              <w:jc w:val="right"/>
              <w:rPr>
                <w:rFonts w:cs="Arial"/>
                <w:b/>
                <w:bCs/>
                <w:szCs w:val="18"/>
                <w:lang w:val="en-US"/>
              </w:rPr>
            </w:pPr>
          </w:p>
        </w:tc>
        <w:tc>
          <w:tcPr>
            <w:tcW w:w="611" w:type="pct"/>
            <w:tcBorders>
              <w:top w:val="single" w:sz="4" w:space="0" w:color="auto"/>
            </w:tcBorders>
            <w:shd w:val="clear" w:color="auto" w:fill="auto"/>
            <w:noWrap/>
            <w:vAlign w:val="bottom"/>
          </w:tcPr>
          <w:p w14:paraId="3FB5C9A6" w14:textId="77777777" w:rsidR="00C90DA4" w:rsidRPr="007014B2" w:rsidRDefault="00C90DA4" w:rsidP="00C90DA4">
            <w:pPr>
              <w:jc w:val="right"/>
              <w:rPr>
                <w:rFonts w:cs="Arial"/>
                <w:bCs/>
                <w:szCs w:val="18"/>
                <w:lang w:val="en-US"/>
              </w:rPr>
            </w:pPr>
          </w:p>
        </w:tc>
        <w:tc>
          <w:tcPr>
            <w:tcW w:w="145" w:type="pct"/>
            <w:gridSpan w:val="2"/>
            <w:shd w:val="clear" w:color="auto" w:fill="auto"/>
          </w:tcPr>
          <w:p w14:paraId="3C05A9DD" w14:textId="77777777" w:rsidR="00C90DA4" w:rsidRPr="00D870C2" w:rsidRDefault="00C90DA4" w:rsidP="00C90DA4">
            <w:pPr>
              <w:jc w:val="right"/>
              <w:rPr>
                <w:rFonts w:cs="Arial"/>
                <w:bCs/>
                <w:szCs w:val="18"/>
                <w:lang w:val="en-US"/>
              </w:rPr>
            </w:pPr>
          </w:p>
        </w:tc>
        <w:tc>
          <w:tcPr>
            <w:tcW w:w="550" w:type="pct"/>
            <w:gridSpan w:val="2"/>
            <w:tcBorders>
              <w:top w:val="single" w:sz="4" w:space="0" w:color="auto"/>
            </w:tcBorders>
            <w:shd w:val="clear" w:color="auto" w:fill="auto"/>
            <w:vAlign w:val="bottom"/>
          </w:tcPr>
          <w:p w14:paraId="405264D8" w14:textId="77777777" w:rsidR="00C90DA4" w:rsidRPr="009152E9" w:rsidRDefault="00C90DA4" w:rsidP="00C90DA4">
            <w:pPr>
              <w:jc w:val="right"/>
              <w:rPr>
                <w:rFonts w:cs="Arial"/>
                <w:bCs/>
                <w:szCs w:val="18"/>
                <w:lang w:val="en-US"/>
              </w:rPr>
            </w:pPr>
          </w:p>
        </w:tc>
        <w:tc>
          <w:tcPr>
            <w:tcW w:w="259" w:type="pct"/>
            <w:gridSpan w:val="3"/>
          </w:tcPr>
          <w:p w14:paraId="33F378FA" w14:textId="77777777" w:rsidR="00C90DA4" w:rsidRDefault="00C90DA4" w:rsidP="00C90DA4">
            <w:pPr>
              <w:rPr>
                <w:rFonts w:cs="Arial"/>
                <w:bCs/>
                <w:szCs w:val="18"/>
                <w:lang w:val="en-US"/>
              </w:rPr>
            </w:pPr>
          </w:p>
        </w:tc>
      </w:tr>
      <w:tr w:rsidR="00C90DA4" w:rsidRPr="00D870C2" w14:paraId="5D7F6C69" w14:textId="77777777" w:rsidTr="002D0665">
        <w:trPr>
          <w:trHeight w:val="255"/>
        </w:trPr>
        <w:tc>
          <w:tcPr>
            <w:tcW w:w="2260" w:type="pct"/>
            <w:shd w:val="clear" w:color="auto" w:fill="auto"/>
            <w:noWrap/>
          </w:tcPr>
          <w:p w14:paraId="059E521D" w14:textId="77777777" w:rsidR="00C90DA4" w:rsidRPr="00D870C2" w:rsidRDefault="00C90DA4" w:rsidP="00C90DA4">
            <w:pPr>
              <w:rPr>
                <w:rFonts w:cs="Arial"/>
                <w:b/>
                <w:bCs/>
                <w:szCs w:val="18"/>
                <w:lang w:val="en-US"/>
              </w:rPr>
            </w:pPr>
            <w:r>
              <w:rPr>
                <w:rFonts w:cs="Arial"/>
                <w:szCs w:val="18"/>
                <w:lang w:val="en-US"/>
              </w:rPr>
              <w:t>Reversal of provision</w:t>
            </w:r>
          </w:p>
        </w:tc>
        <w:tc>
          <w:tcPr>
            <w:tcW w:w="566" w:type="pct"/>
            <w:shd w:val="clear" w:color="auto" w:fill="auto"/>
            <w:noWrap/>
          </w:tcPr>
          <w:p w14:paraId="25C0DCD5" w14:textId="77777777" w:rsidR="00C90DA4" w:rsidRPr="00D870C2" w:rsidRDefault="00C90DA4" w:rsidP="00C90DA4">
            <w:pPr>
              <w:tabs>
                <w:tab w:val="left" w:pos="188"/>
              </w:tabs>
              <w:ind w:left="188"/>
              <w:jc w:val="center"/>
              <w:rPr>
                <w:rFonts w:cs="Arial"/>
                <w:szCs w:val="18"/>
                <w:lang w:val="en-US"/>
              </w:rPr>
            </w:pPr>
            <w:r>
              <w:rPr>
                <w:rFonts w:cs="Arial"/>
                <w:szCs w:val="18"/>
                <w:lang w:val="en-US"/>
              </w:rPr>
              <w:t>1.2D</w:t>
            </w:r>
          </w:p>
        </w:tc>
        <w:tc>
          <w:tcPr>
            <w:tcW w:w="609" w:type="pct"/>
            <w:shd w:val="clear" w:color="auto" w:fill="auto"/>
          </w:tcPr>
          <w:p w14:paraId="72E496FE" w14:textId="77777777" w:rsidR="00C90DA4" w:rsidRDefault="00C90DA4" w:rsidP="00C90DA4">
            <w:pPr>
              <w:jc w:val="right"/>
              <w:rPr>
                <w:rFonts w:cs="Arial"/>
                <w:b/>
                <w:bCs/>
                <w:szCs w:val="18"/>
                <w:lang w:val="en-US"/>
              </w:rPr>
            </w:pPr>
            <w:r>
              <w:rPr>
                <w:rFonts w:cs="Arial"/>
                <w:b/>
                <w:bCs/>
                <w:szCs w:val="18"/>
                <w:lang w:val="en-US"/>
              </w:rPr>
              <w:t>-</w:t>
            </w:r>
          </w:p>
        </w:tc>
        <w:tc>
          <w:tcPr>
            <w:tcW w:w="611" w:type="pct"/>
            <w:shd w:val="clear" w:color="auto" w:fill="auto"/>
            <w:noWrap/>
          </w:tcPr>
          <w:p w14:paraId="46817048" w14:textId="77777777" w:rsidR="00C90DA4" w:rsidRPr="007014B2" w:rsidRDefault="00C90DA4" w:rsidP="00C90DA4">
            <w:pPr>
              <w:jc w:val="right"/>
              <w:rPr>
                <w:rFonts w:cs="Arial"/>
                <w:bCs/>
                <w:szCs w:val="18"/>
                <w:lang w:val="en-US"/>
              </w:rPr>
            </w:pPr>
            <w:r w:rsidRPr="007014B2">
              <w:rPr>
                <w:rFonts w:cs="Arial"/>
                <w:bCs/>
                <w:szCs w:val="18"/>
                <w:lang w:val="en-US"/>
              </w:rPr>
              <w:t>250</w:t>
            </w:r>
          </w:p>
        </w:tc>
        <w:tc>
          <w:tcPr>
            <w:tcW w:w="145" w:type="pct"/>
            <w:gridSpan w:val="2"/>
            <w:shd w:val="clear" w:color="auto" w:fill="auto"/>
          </w:tcPr>
          <w:p w14:paraId="6EBD441C" w14:textId="77777777" w:rsidR="00C90DA4" w:rsidRPr="00D870C2" w:rsidRDefault="00C90DA4" w:rsidP="00C90DA4">
            <w:pPr>
              <w:jc w:val="right"/>
              <w:rPr>
                <w:rFonts w:cs="Arial"/>
                <w:bCs/>
                <w:szCs w:val="18"/>
                <w:lang w:val="en-US"/>
              </w:rPr>
            </w:pPr>
          </w:p>
        </w:tc>
        <w:tc>
          <w:tcPr>
            <w:tcW w:w="550" w:type="pct"/>
            <w:gridSpan w:val="2"/>
            <w:shd w:val="clear" w:color="auto" w:fill="auto"/>
          </w:tcPr>
          <w:p w14:paraId="6DEACAB9" w14:textId="77777777" w:rsidR="00C90DA4" w:rsidRPr="009152E9" w:rsidRDefault="00C90DA4" w:rsidP="00C90DA4">
            <w:pPr>
              <w:jc w:val="right"/>
              <w:rPr>
                <w:rFonts w:cs="Arial"/>
                <w:bCs/>
                <w:szCs w:val="18"/>
                <w:lang w:val="en-US"/>
              </w:rPr>
            </w:pPr>
            <w:r w:rsidRPr="009152E9">
              <w:rPr>
                <w:rFonts w:cs="Arial"/>
                <w:bCs/>
                <w:szCs w:val="18"/>
                <w:lang w:val="en-US"/>
              </w:rPr>
              <w:t>-</w:t>
            </w:r>
          </w:p>
        </w:tc>
        <w:tc>
          <w:tcPr>
            <w:tcW w:w="259" w:type="pct"/>
            <w:gridSpan w:val="3"/>
          </w:tcPr>
          <w:p w14:paraId="6370126B" w14:textId="77777777" w:rsidR="00C90DA4" w:rsidRDefault="00C90DA4" w:rsidP="00C90DA4">
            <w:pPr>
              <w:rPr>
                <w:rFonts w:cs="Arial"/>
                <w:bCs/>
                <w:szCs w:val="18"/>
                <w:lang w:val="en-US"/>
              </w:rPr>
            </w:pPr>
          </w:p>
        </w:tc>
      </w:tr>
      <w:tr w:rsidR="00C90DA4" w:rsidRPr="00D870C2" w14:paraId="7B205EAC" w14:textId="77777777" w:rsidTr="002D0665">
        <w:trPr>
          <w:trHeight w:val="255"/>
        </w:trPr>
        <w:tc>
          <w:tcPr>
            <w:tcW w:w="2260" w:type="pct"/>
            <w:shd w:val="clear" w:color="auto" w:fill="auto"/>
            <w:noWrap/>
          </w:tcPr>
          <w:p w14:paraId="7C6ED44E" w14:textId="77777777" w:rsidR="00C90DA4" w:rsidRPr="00D870C2" w:rsidRDefault="00C90DA4" w:rsidP="00C90DA4">
            <w:pPr>
              <w:rPr>
                <w:rFonts w:cs="Arial"/>
                <w:b/>
                <w:bCs/>
                <w:szCs w:val="18"/>
                <w:lang w:val="en-US"/>
              </w:rPr>
            </w:pPr>
            <w:r>
              <w:rPr>
                <w:rFonts w:cs="Arial"/>
                <w:szCs w:val="18"/>
                <w:lang w:val="en-US"/>
              </w:rPr>
              <w:t>Resources received free of charge</w:t>
            </w:r>
          </w:p>
        </w:tc>
        <w:tc>
          <w:tcPr>
            <w:tcW w:w="566" w:type="pct"/>
            <w:shd w:val="clear" w:color="auto" w:fill="auto"/>
            <w:noWrap/>
          </w:tcPr>
          <w:p w14:paraId="42D39E36" w14:textId="77777777" w:rsidR="00C90DA4" w:rsidRPr="00D870C2" w:rsidRDefault="00C90DA4" w:rsidP="00C90DA4">
            <w:pPr>
              <w:tabs>
                <w:tab w:val="left" w:pos="188"/>
              </w:tabs>
              <w:ind w:left="188"/>
              <w:jc w:val="center"/>
              <w:rPr>
                <w:rFonts w:cs="Arial"/>
                <w:szCs w:val="18"/>
                <w:lang w:val="en-US"/>
              </w:rPr>
            </w:pPr>
            <w:r>
              <w:rPr>
                <w:rFonts w:cs="Arial"/>
                <w:szCs w:val="18"/>
                <w:lang w:val="en-US"/>
              </w:rPr>
              <w:t>1.2E</w:t>
            </w:r>
          </w:p>
        </w:tc>
        <w:tc>
          <w:tcPr>
            <w:tcW w:w="609" w:type="pct"/>
            <w:tcBorders>
              <w:bottom w:val="single" w:sz="4" w:space="0" w:color="auto"/>
            </w:tcBorders>
            <w:shd w:val="clear" w:color="auto" w:fill="auto"/>
          </w:tcPr>
          <w:p w14:paraId="4B694A6B" w14:textId="77777777" w:rsidR="00C90DA4" w:rsidRDefault="00C90DA4" w:rsidP="00C90DA4">
            <w:pPr>
              <w:jc w:val="right"/>
              <w:rPr>
                <w:rFonts w:cs="Arial"/>
                <w:b/>
                <w:bCs/>
                <w:szCs w:val="18"/>
                <w:lang w:val="en-US"/>
              </w:rPr>
            </w:pPr>
            <w:r>
              <w:rPr>
                <w:rFonts w:cs="Arial"/>
                <w:b/>
                <w:bCs/>
                <w:szCs w:val="18"/>
                <w:lang w:val="en-US"/>
              </w:rPr>
              <w:t>-</w:t>
            </w:r>
          </w:p>
        </w:tc>
        <w:tc>
          <w:tcPr>
            <w:tcW w:w="611" w:type="pct"/>
            <w:tcBorders>
              <w:bottom w:val="single" w:sz="4" w:space="0" w:color="auto"/>
            </w:tcBorders>
            <w:shd w:val="clear" w:color="auto" w:fill="auto"/>
            <w:noWrap/>
          </w:tcPr>
          <w:p w14:paraId="2158CBAE" w14:textId="77777777" w:rsidR="00C90DA4" w:rsidRPr="007014B2" w:rsidRDefault="00C90DA4" w:rsidP="00C90DA4">
            <w:pPr>
              <w:jc w:val="right"/>
              <w:rPr>
                <w:rFonts w:cs="Arial"/>
                <w:bCs/>
                <w:szCs w:val="18"/>
                <w:lang w:val="en-US"/>
              </w:rPr>
            </w:pPr>
            <w:r w:rsidRPr="007014B2">
              <w:rPr>
                <w:rFonts w:cs="Arial"/>
                <w:bCs/>
                <w:szCs w:val="18"/>
                <w:lang w:val="en-US"/>
              </w:rPr>
              <w:t>479</w:t>
            </w:r>
          </w:p>
        </w:tc>
        <w:tc>
          <w:tcPr>
            <w:tcW w:w="145" w:type="pct"/>
            <w:gridSpan w:val="2"/>
            <w:shd w:val="clear" w:color="auto" w:fill="auto"/>
          </w:tcPr>
          <w:p w14:paraId="668A9FC2" w14:textId="77777777" w:rsidR="00C90DA4" w:rsidRPr="00D870C2" w:rsidRDefault="00C90DA4" w:rsidP="00C90DA4">
            <w:pPr>
              <w:jc w:val="right"/>
              <w:rPr>
                <w:rFonts w:cs="Arial"/>
                <w:bCs/>
                <w:szCs w:val="18"/>
                <w:lang w:val="en-US"/>
              </w:rPr>
            </w:pPr>
          </w:p>
        </w:tc>
        <w:tc>
          <w:tcPr>
            <w:tcW w:w="550" w:type="pct"/>
            <w:gridSpan w:val="2"/>
            <w:tcBorders>
              <w:bottom w:val="single" w:sz="4" w:space="0" w:color="auto"/>
            </w:tcBorders>
            <w:shd w:val="clear" w:color="auto" w:fill="auto"/>
          </w:tcPr>
          <w:p w14:paraId="6F1FD59A" w14:textId="77777777" w:rsidR="00C90DA4" w:rsidRPr="009152E9" w:rsidRDefault="00C90DA4" w:rsidP="00C90DA4">
            <w:pPr>
              <w:jc w:val="right"/>
              <w:rPr>
                <w:rFonts w:cs="Arial"/>
                <w:bCs/>
                <w:szCs w:val="18"/>
                <w:lang w:val="en-US"/>
              </w:rPr>
            </w:pPr>
            <w:r w:rsidRPr="009152E9">
              <w:rPr>
                <w:rFonts w:cs="Arial"/>
                <w:bCs/>
                <w:szCs w:val="18"/>
                <w:lang w:val="en-US"/>
              </w:rPr>
              <w:t>-</w:t>
            </w:r>
          </w:p>
        </w:tc>
        <w:tc>
          <w:tcPr>
            <w:tcW w:w="259" w:type="pct"/>
            <w:gridSpan w:val="3"/>
          </w:tcPr>
          <w:p w14:paraId="33526603" w14:textId="77777777" w:rsidR="00C90DA4" w:rsidRDefault="00C90DA4" w:rsidP="00C90DA4">
            <w:pPr>
              <w:rPr>
                <w:rFonts w:cs="Arial"/>
                <w:bCs/>
                <w:szCs w:val="18"/>
                <w:lang w:val="en-US"/>
              </w:rPr>
            </w:pPr>
          </w:p>
        </w:tc>
      </w:tr>
      <w:tr w:rsidR="00C90DA4" w:rsidRPr="00D870C2" w14:paraId="6844349A" w14:textId="77777777" w:rsidTr="002D0665">
        <w:trPr>
          <w:trHeight w:val="255"/>
        </w:trPr>
        <w:tc>
          <w:tcPr>
            <w:tcW w:w="2260" w:type="pct"/>
            <w:shd w:val="clear" w:color="auto" w:fill="auto"/>
            <w:noWrap/>
          </w:tcPr>
          <w:p w14:paraId="23DCE7AB" w14:textId="77777777" w:rsidR="00C90DA4" w:rsidRPr="0059035A" w:rsidRDefault="00C90DA4" w:rsidP="00C90DA4">
            <w:pPr>
              <w:rPr>
                <w:rFonts w:cs="Arial"/>
                <w:b/>
                <w:bCs/>
                <w:szCs w:val="18"/>
                <w:lang w:val="en-US"/>
              </w:rPr>
            </w:pPr>
            <w:r>
              <w:rPr>
                <w:rFonts w:cs="Arial"/>
                <w:b/>
                <w:bCs/>
                <w:szCs w:val="18"/>
                <w:lang w:val="en-US"/>
              </w:rPr>
              <w:t>Total gains</w:t>
            </w:r>
          </w:p>
        </w:tc>
        <w:tc>
          <w:tcPr>
            <w:tcW w:w="566" w:type="pct"/>
            <w:shd w:val="clear" w:color="auto" w:fill="auto"/>
            <w:noWrap/>
          </w:tcPr>
          <w:p w14:paraId="6CB05646" w14:textId="77777777" w:rsidR="00C90DA4" w:rsidRPr="00D870C2" w:rsidRDefault="00C90DA4" w:rsidP="00C90DA4">
            <w:pPr>
              <w:tabs>
                <w:tab w:val="left" w:pos="188"/>
              </w:tabs>
              <w:jc w:val="center"/>
              <w:rPr>
                <w:rFonts w:cs="Arial"/>
                <w:szCs w:val="18"/>
                <w:lang w:val="en-US"/>
              </w:rPr>
            </w:pPr>
          </w:p>
        </w:tc>
        <w:tc>
          <w:tcPr>
            <w:tcW w:w="609" w:type="pct"/>
            <w:tcBorders>
              <w:top w:val="single" w:sz="4" w:space="0" w:color="auto"/>
              <w:bottom w:val="single" w:sz="4" w:space="0" w:color="auto"/>
            </w:tcBorders>
            <w:shd w:val="clear" w:color="auto" w:fill="auto"/>
            <w:vAlign w:val="bottom"/>
          </w:tcPr>
          <w:p w14:paraId="43EA9C63" w14:textId="77777777" w:rsidR="00C90DA4" w:rsidRDefault="00C90DA4" w:rsidP="00C90DA4">
            <w:pPr>
              <w:jc w:val="right"/>
              <w:rPr>
                <w:rFonts w:cs="Arial"/>
                <w:b/>
                <w:bCs/>
                <w:szCs w:val="18"/>
                <w:lang w:val="en-US"/>
              </w:rPr>
            </w:pPr>
            <w:r>
              <w:rPr>
                <w:rFonts w:cs="Arial"/>
                <w:b/>
                <w:bCs/>
                <w:szCs w:val="18"/>
                <w:lang w:val="en-US"/>
              </w:rPr>
              <w:t>-</w:t>
            </w:r>
          </w:p>
        </w:tc>
        <w:tc>
          <w:tcPr>
            <w:tcW w:w="611" w:type="pct"/>
            <w:tcBorders>
              <w:top w:val="single" w:sz="4" w:space="0" w:color="auto"/>
              <w:bottom w:val="single" w:sz="4" w:space="0" w:color="auto"/>
            </w:tcBorders>
            <w:shd w:val="clear" w:color="auto" w:fill="auto"/>
            <w:noWrap/>
            <w:vAlign w:val="bottom"/>
          </w:tcPr>
          <w:p w14:paraId="1A7E5D9B" w14:textId="77777777" w:rsidR="00C90DA4" w:rsidRPr="007014B2" w:rsidRDefault="00C90DA4" w:rsidP="00C90DA4">
            <w:pPr>
              <w:jc w:val="right"/>
              <w:rPr>
                <w:rFonts w:cs="Arial"/>
                <w:bCs/>
                <w:szCs w:val="18"/>
                <w:lang w:val="en-US"/>
              </w:rPr>
            </w:pPr>
            <w:r w:rsidRPr="007014B2">
              <w:rPr>
                <w:rFonts w:cs="Arial"/>
                <w:bCs/>
                <w:szCs w:val="18"/>
                <w:lang w:val="en-US"/>
              </w:rPr>
              <w:t>729</w:t>
            </w:r>
          </w:p>
        </w:tc>
        <w:tc>
          <w:tcPr>
            <w:tcW w:w="145" w:type="pct"/>
            <w:gridSpan w:val="2"/>
            <w:shd w:val="clear" w:color="auto" w:fill="auto"/>
          </w:tcPr>
          <w:p w14:paraId="7CD9BC67" w14:textId="77777777" w:rsidR="00C90DA4" w:rsidRPr="00D870C2" w:rsidRDefault="00C90DA4" w:rsidP="00C90DA4">
            <w:pPr>
              <w:jc w:val="right"/>
              <w:rPr>
                <w:rFonts w:cs="Arial"/>
                <w:bCs/>
                <w:szCs w:val="18"/>
                <w:lang w:val="en-US"/>
              </w:rPr>
            </w:pPr>
          </w:p>
        </w:tc>
        <w:tc>
          <w:tcPr>
            <w:tcW w:w="550" w:type="pct"/>
            <w:gridSpan w:val="2"/>
            <w:tcBorders>
              <w:top w:val="single" w:sz="4" w:space="0" w:color="auto"/>
              <w:bottom w:val="single" w:sz="4" w:space="0" w:color="auto"/>
            </w:tcBorders>
            <w:shd w:val="clear" w:color="auto" w:fill="auto"/>
            <w:vAlign w:val="bottom"/>
          </w:tcPr>
          <w:p w14:paraId="481DA4FE" w14:textId="77777777" w:rsidR="00C90DA4" w:rsidRPr="009152E9" w:rsidRDefault="00C90DA4" w:rsidP="00C90DA4">
            <w:pPr>
              <w:jc w:val="right"/>
              <w:rPr>
                <w:rFonts w:cs="Arial"/>
                <w:bCs/>
                <w:szCs w:val="18"/>
                <w:lang w:val="en-US"/>
              </w:rPr>
            </w:pPr>
            <w:r w:rsidRPr="009152E9">
              <w:rPr>
                <w:rFonts w:cs="Arial"/>
                <w:bCs/>
                <w:szCs w:val="18"/>
                <w:lang w:val="en-US"/>
              </w:rPr>
              <w:t>-</w:t>
            </w:r>
          </w:p>
        </w:tc>
        <w:tc>
          <w:tcPr>
            <w:tcW w:w="259" w:type="pct"/>
            <w:gridSpan w:val="3"/>
          </w:tcPr>
          <w:p w14:paraId="344F7B91" w14:textId="77777777" w:rsidR="00C90DA4" w:rsidRDefault="00C90DA4" w:rsidP="00C90DA4">
            <w:pPr>
              <w:rPr>
                <w:rFonts w:cs="Arial"/>
                <w:bCs/>
                <w:szCs w:val="18"/>
                <w:lang w:val="en-US"/>
              </w:rPr>
            </w:pPr>
          </w:p>
        </w:tc>
      </w:tr>
      <w:tr w:rsidR="00C90DA4" w:rsidRPr="00D870C2" w14:paraId="1E9DF8AD" w14:textId="77777777" w:rsidTr="002D0665">
        <w:trPr>
          <w:trHeight w:val="255"/>
        </w:trPr>
        <w:tc>
          <w:tcPr>
            <w:tcW w:w="2260" w:type="pct"/>
            <w:shd w:val="clear" w:color="auto" w:fill="auto"/>
            <w:noWrap/>
          </w:tcPr>
          <w:p w14:paraId="1BA2EA5D" w14:textId="77777777" w:rsidR="00C90DA4" w:rsidRPr="00D870C2" w:rsidRDefault="00C90DA4" w:rsidP="00C90DA4">
            <w:pPr>
              <w:rPr>
                <w:rFonts w:cs="Arial"/>
                <w:b/>
                <w:bCs/>
                <w:szCs w:val="18"/>
                <w:lang w:val="en-US"/>
              </w:rPr>
            </w:pPr>
            <w:r>
              <w:rPr>
                <w:rFonts w:cs="Arial"/>
                <w:b/>
                <w:bCs/>
                <w:szCs w:val="18"/>
                <w:lang w:val="en-US"/>
              </w:rPr>
              <w:t>Total own-source income</w:t>
            </w:r>
          </w:p>
        </w:tc>
        <w:tc>
          <w:tcPr>
            <w:tcW w:w="566" w:type="pct"/>
            <w:shd w:val="clear" w:color="auto" w:fill="auto"/>
            <w:noWrap/>
          </w:tcPr>
          <w:p w14:paraId="5405B346" w14:textId="77777777" w:rsidR="00C90DA4" w:rsidRPr="00D870C2" w:rsidRDefault="00C90DA4" w:rsidP="00C90DA4">
            <w:pPr>
              <w:tabs>
                <w:tab w:val="left" w:pos="188"/>
              </w:tabs>
              <w:jc w:val="center"/>
              <w:rPr>
                <w:rFonts w:cs="Arial"/>
                <w:szCs w:val="18"/>
                <w:lang w:val="en-US"/>
              </w:rPr>
            </w:pPr>
          </w:p>
        </w:tc>
        <w:tc>
          <w:tcPr>
            <w:tcW w:w="609" w:type="pct"/>
            <w:tcBorders>
              <w:top w:val="single" w:sz="4" w:space="0" w:color="auto"/>
              <w:bottom w:val="single" w:sz="4" w:space="0" w:color="auto"/>
            </w:tcBorders>
            <w:shd w:val="clear" w:color="auto" w:fill="auto"/>
            <w:vAlign w:val="bottom"/>
          </w:tcPr>
          <w:p w14:paraId="79BB54D3" w14:textId="77777777" w:rsidR="00C90DA4" w:rsidRDefault="00C90DA4" w:rsidP="00C90DA4">
            <w:pPr>
              <w:jc w:val="right"/>
              <w:rPr>
                <w:rFonts w:cs="Arial"/>
                <w:b/>
                <w:bCs/>
                <w:szCs w:val="18"/>
                <w:lang w:val="en-US"/>
              </w:rPr>
            </w:pPr>
            <w:r>
              <w:rPr>
                <w:rFonts w:cs="Arial"/>
                <w:b/>
                <w:bCs/>
                <w:szCs w:val="18"/>
                <w:lang w:val="en-US"/>
              </w:rPr>
              <w:t>18,411</w:t>
            </w:r>
          </w:p>
        </w:tc>
        <w:tc>
          <w:tcPr>
            <w:tcW w:w="611" w:type="pct"/>
            <w:tcBorders>
              <w:top w:val="single" w:sz="4" w:space="0" w:color="auto"/>
              <w:bottom w:val="single" w:sz="4" w:space="0" w:color="auto"/>
            </w:tcBorders>
            <w:shd w:val="clear" w:color="auto" w:fill="auto"/>
            <w:noWrap/>
            <w:vAlign w:val="bottom"/>
          </w:tcPr>
          <w:p w14:paraId="22B21F09" w14:textId="77777777" w:rsidR="00C90DA4" w:rsidRPr="007014B2" w:rsidRDefault="00C90DA4" w:rsidP="00C90DA4">
            <w:pPr>
              <w:jc w:val="right"/>
              <w:rPr>
                <w:rFonts w:cs="Arial"/>
                <w:bCs/>
                <w:szCs w:val="18"/>
                <w:lang w:val="en-US"/>
              </w:rPr>
            </w:pPr>
            <w:r w:rsidRPr="007014B2">
              <w:rPr>
                <w:rFonts w:cs="Arial"/>
                <w:bCs/>
                <w:szCs w:val="18"/>
                <w:lang w:val="en-US"/>
              </w:rPr>
              <w:t>20,680</w:t>
            </w:r>
          </w:p>
        </w:tc>
        <w:tc>
          <w:tcPr>
            <w:tcW w:w="145" w:type="pct"/>
            <w:gridSpan w:val="2"/>
            <w:shd w:val="clear" w:color="auto" w:fill="auto"/>
          </w:tcPr>
          <w:p w14:paraId="265D63D4" w14:textId="77777777" w:rsidR="00C90DA4" w:rsidRPr="00D870C2" w:rsidRDefault="00C90DA4" w:rsidP="00C90DA4">
            <w:pPr>
              <w:jc w:val="right"/>
              <w:rPr>
                <w:rFonts w:cs="Arial"/>
                <w:bCs/>
                <w:szCs w:val="18"/>
                <w:lang w:val="en-US"/>
              </w:rPr>
            </w:pPr>
          </w:p>
        </w:tc>
        <w:tc>
          <w:tcPr>
            <w:tcW w:w="550" w:type="pct"/>
            <w:gridSpan w:val="2"/>
            <w:tcBorders>
              <w:top w:val="single" w:sz="4" w:space="0" w:color="auto"/>
              <w:bottom w:val="single" w:sz="4" w:space="0" w:color="auto"/>
            </w:tcBorders>
            <w:shd w:val="clear" w:color="auto" w:fill="auto"/>
            <w:vAlign w:val="bottom"/>
          </w:tcPr>
          <w:p w14:paraId="67CB8166" w14:textId="77777777" w:rsidR="00C90DA4" w:rsidRPr="009152E9" w:rsidRDefault="00C90DA4" w:rsidP="00C90DA4">
            <w:pPr>
              <w:jc w:val="right"/>
              <w:rPr>
                <w:rFonts w:cs="Arial"/>
                <w:bCs/>
                <w:szCs w:val="18"/>
                <w:lang w:val="en-US"/>
              </w:rPr>
            </w:pPr>
            <w:r>
              <w:rPr>
                <w:rFonts w:cs="Arial"/>
                <w:bCs/>
                <w:szCs w:val="18"/>
                <w:lang w:val="en-US"/>
              </w:rPr>
              <w:t>10,512</w:t>
            </w:r>
          </w:p>
        </w:tc>
        <w:tc>
          <w:tcPr>
            <w:tcW w:w="259" w:type="pct"/>
            <w:gridSpan w:val="3"/>
          </w:tcPr>
          <w:p w14:paraId="0530078A" w14:textId="77777777" w:rsidR="00C90DA4" w:rsidRDefault="00C90DA4" w:rsidP="00C90DA4">
            <w:pPr>
              <w:rPr>
                <w:rFonts w:cs="Arial"/>
                <w:bCs/>
                <w:szCs w:val="18"/>
                <w:lang w:val="en-US"/>
              </w:rPr>
            </w:pPr>
          </w:p>
        </w:tc>
      </w:tr>
      <w:tr w:rsidR="00C90DA4" w:rsidRPr="00D870C2" w14:paraId="67A8B7FB" w14:textId="77777777" w:rsidTr="002D0665">
        <w:trPr>
          <w:trHeight w:val="57"/>
        </w:trPr>
        <w:tc>
          <w:tcPr>
            <w:tcW w:w="2260" w:type="pct"/>
            <w:shd w:val="clear" w:color="auto" w:fill="auto"/>
          </w:tcPr>
          <w:p w14:paraId="2D59B986" w14:textId="77777777" w:rsidR="00C90DA4" w:rsidRPr="00D870C2" w:rsidRDefault="00C90DA4" w:rsidP="00C90DA4">
            <w:pPr>
              <w:rPr>
                <w:rFonts w:cs="Arial"/>
                <w:szCs w:val="18"/>
                <w:lang w:val="en-US"/>
              </w:rPr>
            </w:pPr>
            <w:r w:rsidRPr="00D870C2">
              <w:rPr>
                <w:rFonts w:cs="Arial"/>
                <w:szCs w:val="18"/>
                <w:lang w:val="en-US"/>
              </w:rPr>
              <w:t> </w:t>
            </w:r>
          </w:p>
        </w:tc>
        <w:tc>
          <w:tcPr>
            <w:tcW w:w="566" w:type="pct"/>
            <w:shd w:val="clear" w:color="auto" w:fill="auto"/>
            <w:noWrap/>
          </w:tcPr>
          <w:p w14:paraId="662F17C1" w14:textId="77777777" w:rsidR="00C90DA4" w:rsidRPr="00D870C2" w:rsidRDefault="00924EF8" w:rsidP="00C90DA4">
            <w:pPr>
              <w:tabs>
                <w:tab w:val="left" w:pos="188"/>
              </w:tabs>
              <w:jc w:val="center"/>
              <w:rPr>
                <w:rFonts w:cs="Arial"/>
                <w:szCs w:val="18"/>
                <w:lang w:val="en-US"/>
              </w:rPr>
            </w:pPr>
            <w:hyperlink r:id="rId93" w:anchor="'Note 4'!A1#'Note 4'!A1" w:tooltip="Go to Note" w:history="1"/>
          </w:p>
        </w:tc>
        <w:tc>
          <w:tcPr>
            <w:tcW w:w="609" w:type="pct"/>
            <w:tcBorders>
              <w:top w:val="single" w:sz="4" w:space="0" w:color="auto"/>
            </w:tcBorders>
            <w:shd w:val="clear" w:color="auto" w:fill="auto"/>
          </w:tcPr>
          <w:p w14:paraId="37AF2B4B" w14:textId="77777777" w:rsidR="00C90DA4" w:rsidRPr="00D870C2" w:rsidRDefault="00C90DA4" w:rsidP="00C90DA4">
            <w:pPr>
              <w:jc w:val="right"/>
              <w:rPr>
                <w:rFonts w:cs="Arial"/>
                <w:b/>
                <w:bCs/>
                <w:szCs w:val="18"/>
                <w:lang w:val="en-US"/>
              </w:rPr>
            </w:pPr>
          </w:p>
        </w:tc>
        <w:tc>
          <w:tcPr>
            <w:tcW w:w="611" w:type="pct"/>
            <w:tcBorders>
              <w:top w:val="single" w:sz="4" w:space="0" w:color="auto"/>
            </w:tcBorders>
            <w:shd w:val="clear" w:color="auto" w:fill="auto"/>
            <w:noWrap/>
          </w:tcPr>
          <w:p w14:paraId="561CB077" w14:textId="77777777" w:rsidR="00C90DA4" w:rsidRPr="007014B2" w:rsidRDefault="00C90DA4" w:rsidP="00C90DA4">
            <w:pPr>
              <w:jc w:val="right"/>
              <w:rPr>
                <w:rFonts w:cs="Arial"/>
                <w:bCs/>
                <w:szCs w:val="18"/>
                <w:lang w:val="en-US"/>
              </w:rPr>
            </w:pPr>
          </w:p>
        </w:tc>
        <w:tc>
          <w:tcPr>
            <w:tcW w:w="145" w:type="pct"/>
            <w:gridSpan w:val="2"/>
            <w:shd w:val="clear" w:color="auto" w:fill="auto"/>
          </w:tcPr>
          <w:p w14:paraId="25AAA55E" w14:textId="77777777" w:rsidR="00C90DA4" w:rsidRPr="00D870C2" w:rsidRDefault="00C90DA4" w:rsidP="00C90DA4">
            <w:pPr>
              <w:jc w:val="right"/>
              <w:rPr>
                <w:rFonts w:cs="Arial"/>
                <w:bCs/>
                <w:szCs w:val="18"/>
                <w:lang w:val="en-US"/>
              </w:rPr>
            </w:pPr>
          </w:p>
        </w:tc>
        <w:tc>
          <w:tcPr>
            <w:tcW w:w="550" w:type="pct"/>
            <w:gridSpan w:val="2"/>
            <w:tcBorders>
              <w:top w:val="single" w:sz="4" w:space="0" w:color="auto"/>
            </w:tcBorders>
            <w:shd w:val="clear" w:color="auto" w:fill="auto"/>
          </w:tcPr>
          <w:p w14:paraId="1E96BC5A" w14:textId="77777777" w:rsidR="00C90DA4" w:rsidRPr="009152E9" w:rsidRDefault="00C90DA4" w:rsidP="00C90DA4">
            <w:pPr>
              <w:jc w:val="right"/>
              <w:rPr>
                <w:rFonts w:cs="Arial"/>
                <w:bCs/>
                <w:szCs w:val="18"/>
                <w:lang w:val="en-US"/>
              </w:rPr>
            </w:pPr>
          </w:p>
        </w:tc>
        <w:tc>
          <w:tcPr>
            <w:tcW w:w="259" w:type="pct"/>
            <w:gridSpan w:val="3"/>
          </w:tcPr>
          <w:p w14:paraId="17C47AD3" w14:textId="77777777" w:rsidR="00C90DA4" w:rsidRPr="00D870C2" w:rsidRDefault="00C90DA4" w:rsidP="00C90DA4">
            <w:pPr>
              <w:rPr>
                <w:rFonts w:cs="Arial"/>
                <w:bCs/>
                <w:szCs w:val="18"/>
                <w:lang w:val="en-US"/>
              </w:rPr>
            </w:pPr>
          </w:p>
        </w:tc>
      </w:tr>
      <w:tr w:rsidR="00C90DA4" w:rsidRPr="00D870C2" w14:paraId="36D98CF9" w14:textId="77777777" w:rsidTr="002D0665">
        <w:trPr>
          <w:trHeight w:val="272"/>
        </w:trPr>
        <w:tc>
          <w:tcPr>
            <w:tcW w:w="2260" w:type="pct"/>
            <w:shd w:val="clear" w:color="auto" w:fill="auto"/>
          </w:tcPr>
          <w:p w14:paraId="4EA71563" w14:textId="77777777" w:rsidR="00C90DA4" w:rsidRPr="00D870C2" w:rsidRDefault="00C90DA4" w:rsidP="00C90DA4">
            <w:pPr>
              <w:rPr>
                <w:rFonts w:cs="Arial"/>
                <w:b/>
                <w:bCs/>
                <w:szCs w:val="18"/>
                <w:lang w:val="en-US"/>
              </w:rPr>
            </w:pPr>
            <w:r w:rsidRPr="00D870C2">
              <w:rPr>
                <w:rFonts w:cs="Arial"/>
                <w:b/>
                <w:bCs/>
                <w:szCs w:val="18"/>
                <w:lang w:val="en-US"/>
              </w:rPr>
              <w:t>Net cost of services</w:t>
            </w:r>
          </w:p>
        </w:tc>
        <w:tc>
          <w:tcPr>
            <w:tcW w:w="566" w:type="pct"/>
            <w:shd w:val="clear" w:color="auto" w:fill="auto"/>
            <w:noWrap/>
          </w:tcPr>
          <w:p w14:paraId="7AEC64CE" w14:textId="77777777" w:rsidR="00C90DA4" w:rsidRPr="00D870C2" w:rsidRDefault="00C90DA4" w:rsidP="00C90DA4">
            <w:pPr>
              <w:tabs>
                <w:tab w:val="left" w:pos="188"/>
              </w:tabs>
              <w:jc w:val="center"/>
              <w:rPr>
                <w:rFonts w:cs="Arial"/>
                <w:szCs w:val="18"/>
                <w:lang w:val="en-US"/>
              </w:rPr>
            </w:pPr>
          </w:p>
        </w:tc>
        <w:tc>
          <w:tcPr>
            <w:tcW w:w="609" w:type="pct"/>
            <w:tcBorders>
              <w:bottom w:val="single" w:sz="4" w:space="0" w:color="auto"/>
            </w:tcBorders>
            <w:shd w:val="clear" w:color="auto" w:fill="auto"/>
          </w:tcPr>
          <w:p w14:paraId="59E43DFA" w14:textId="77777777" w:rsidR="00C90DA4" w:rsidRPr="00D870C2" w:rsidRDefault="00C90DA4" w:rsidP="00C90DA4">
            <w:pPr>
              <w:jc w:val="right"/>
              <w:rPr>
                <w:rFonts w:cs="Arial"/>
                <w:b/>
                <w:bCs/>
                <w:szCs w:val="18"/>
                <w:lang w:val="en-US"/>
              </w:rPr>
            </w:pPr>
            <w:r>
              <w:rPr>
                <w:rFonts w:cs="Arial"/>
                <w:b/>
                <w:bCs/>
                <w:szCs w:val="18"/>
                <w:lang w:val="en-US"/>
              </w:rPr>
              <w:t>10,632</w:t>
            </w:r>
            <w:r w:rsidRPr="00D870C2">
              <w:rPr>
                <w:rFonts w:cs="Arial"/>
                <w:b/>
                <w:bCs/>
                <w:szCs w:val="18"/>
                <w:lang w:val="en-US"/>
              </w:rPr>
              <w:t xml:space="preserve"> </w:t>
            </w:r>
          </w:p>
        </w:tc>
        <w:tc>
          <w:tcPr>
            <w:tcW w:w="611" w:type="pct"/>
            <w:tcBorders>
              <w:bottom w:val="single" w:sz="4" w:space="0" w:color="auto"/>
            </w:tcBorders>
            <w:shd w:val="clear" w:color="auto" w:fill="auto"/>
            <w:noWrap/>
          </w:tcPr>
          <w:p w14:paraId="242A8580" w14:textId="77777777" w:rsidR="00C90DA4" w:rsidRPr="007014B2" w:rsidRDefault="00C90DA4" w:rsidP="00C90DA4">
            <w:pPr>
              <w:jc w:val="right"/>
              <w:rPr>
                <w:rFonts w:cs="Arial"/>
                <w:bCs/>
                <w:szCs w:val="18"/>
                <w:lang w:val="en-US"/>
              </w:rPr>
            </w:pPr>
            <w:r w:rsidRPr="007014B2">
              <w:rPr>
                <w:rFonts w:cs="Arial"/>
                <w:bCs/>
                <w:szCs w:val="18"/>
                <w:lang w:val="en-US"/>
              </w:rPr>
              <w:t xml:space="preserve">6,512 </w:t>
            </w:r>
          </w:p>
        </w:tc>
        <w:tc>
          <w:tcPr>
            <w:tcW w:w="145" w:type="pct"/>
            <w:gridSpan w:val="2"/>
            <w:shd w:val="clear" w:color="auto" w:fill="auto"/>
          </w:tcPr>
          <w:p w14:paraId="0E5045A3" w14:textId="77777777" w:rsidR="00C90DA4" w:rsidRPr="00D870C2" w:rsidRDefault="00C90DA4" w:rsidP="00C90DA4">
            <w:pPr>
              <w:jc w:val="right"/>
              <w:rPr>
                <w:rFonts w:cs="Arial"/>
                <w:bCs/>
                <w:szCs w:val="18"/>
                <w:lang w:val="en-US"/>
              </w:rPr>
            </w:pPr>
          </w:p>
        </w:tc>
        <w:tc>
          <w:tcPr>
            <w:tcW w:w="550" w:type="pct"/>
            <w:gridSpan w:val="2"/>
            <w:tcBorders>
              <w:bottom w:val="single" w:sz="4" w:space="0" w:color="auto"/>
            </w:tcBorders>
            <w:shd w:val="clear" w:color="auto" w:fill="auto"/>
          </w:tcPr>
          <w:p w14:paraId="388C324A" w14:textId="77777777" w:rsidR="00C90DA4" w:rsidRPr="009152E9" w:rsidRDefault="00C90DA4" w:rsidP="00C90DA4">
            <w:pPr>
              <w:jc w:val="right"/>
              <w:rPr>
                <w:rFonts w:cs="Arial"/>
                <w:bCs/>
                <w:szCs w:val="18"/>
                <w:lang w:val="en-US"/>
              </w:rPr>
            </w:pPr>
            <w:r>
              <w:rPr>
                <w:rFonts w:cs="Arial"/>
                <w:bCs/>
                <w:szCs w:val="18"/>
                <w:lang w:val="en-US"/>
              </w:rPr>
              <w:t>10,920</w:t>
            </w:r>
          </w:p>
        </w:tc>
        <w:tc>
          <w:tcPr>
            <w:tcW w:w="259" w:type="pct"/>
            <w:gridSpan w:val="3"/>
          </w:tcPr>
          <w:p w14:paraId="757223EF" w14:textId="77777777" w:rsidR="00C90DA4" w:rsidRDefault="00C90DA4" w:rsidP="00C90DA4">
            <w:pPr>
              <w:rPr>
                <w:rFonts w:cs="Arial"/>
                <w:bCs/>
                <w:szCs w:val="18"/>
                <w:lang w:val="en-US"/>
              </w:rPr>
            </w:pPr>
            <w:r>
              <w:rPr>
                <w:rFonts w:cs="Arial"/>
                <w:bCs/>
                <w:szCs w:val="18"/>
                <w:vertAlign w:val="superscript"/>
                <w:lang w:val="en-US"/>
              </w:rPr>
              <w:t>C</w:t>
            </w:r>
          </w:p>
        </w:tc>
      </w:tr>
      <w:tr w:rsidR="00C90DA4" w:rsidRPr="00D870C2" w14:paraId="2E112468" w14:textId="77777777" w:rsidTr="002D0665">
        <w:trPr>
          <w:trHeight w:val="113"/>
        </w:trPr>
        <w:tc>
          <w:tcPr>
            <w:tcW w:w="2260" w:type="pct"/>
            <w:shd w:val="clear" w:color="auto" w:fill="auto"/>
          </w:tcPr>
          <w:p w14:paraId="5301FDC1" w14:textId="77777777" w:rsidR="00C90DA4" w:rsidRPr="00D870C2" w:rsidRDefault="00C90DA4" w:rsidP="00C90DA4">
            <w:pPr>
              <w:rPr>
                <w:rFonts w:cs="Arial"/>
                <w:b/>
                <w:bCs/>
                <w:szCs w:val="18"/>
                <w:lang w:val="en-US"/>
              </w:rPr>
            </w:pPr>
            <w:r w:rsidRPr="00D870C2">
              <w:rPr>
                <w:rFonts w:cs="Arial"/>
                <w:b/>
                <w:bCs/>
                <w:szCs w:val="18"/>
                <w:lang w:val="en-US"/>
              </w:rPr>
              <w:t> </w:t>
            </w:r>
          </w:p>
        </w:tc>
        <w:tc>
          <w:tcPr>
            <w:tcW w:w="566" w:type="pct"/>
            <w:shd w:val="clear" w:color="auto" w:fill="auto"/>
            <w:noWrap/>
          </w:tcPr>
          <w:p w14:paraId="0E70B207" w14:textId="77777777" w:rsidR="00C90DA4" w:rsidRPr="00D870C2" w:rsidRDefault="00C90DA4" w:rsidP="00C90DA4">
            <w:pPr>
              <w:tabs>
                <w:tab w:val="left" w:pos="188"/>
              </w:tabs>
              <w:jc w:val="center"/>
              <w:rPr>
                <w:rFonts w:cs="Arial"/>
                <w:szCs w:val="18"/>
                <w:lang w:val="en-US"/>
              </w:rPr>
            </w:pPr>
          </w:p>
        </w:tc>
        <w:tc>
          <w:tcPr>
            <w:tcW w:w="609" w:type="pct"/>
            <w:tcBorders>
              <w:top w:val="single" w:sz="4" w:space="0" w:color="auto"/>
              <w:bottom w:val="single" w:sz="4" w:space="0" w:color="auto"/>
            </w:tcBorders>
            <w:shd w:val="clear" w:color="auto" w:fill="auto"/>
          </w:tcPr>
          <w:p w14:paraId="146A7303" w14:textId="77777777" w:rsidR="00C90DA4" w:rsidRPr="00D870C2" w:rsidRDefault="00C90DA4" w:rsidP="00C90DA4">
            <w:pPr>
              <w:jc w:val="right"/>
              <w:rPr>
                <w:rFonts w:cs="Arial"/>
                <w:b/>
                <w:bCs/>
                <w:szCs w:val="18"/>
                <w:lang w:val="en-US"/>
              </w:rPr>
            </w:pPr>
          </w:p>
        </w:tc>
        <w:tc>
          <w:tcPr>
            <w:tcW w:w="611" w:type="pct"/>
            <w:tcBorders>
              <w:top w:val="single" w:sz="4" w:space="0" w:color="auto"/>
              <w:bottom w:val="single" w:sz="4" w:space="0" w:color="auto"/>
            </w:tcBorders>
            <w:shd w:val="clear" w:color="auto" w:fill="auto"/>
            <w:noWrap/>
          </w:tcPr>
          <w:p w14:paraId="52CB03F8" w14:textId="77777777" w:rsidR="00C90DA4" w:rsidRPr="007014B2" w:rsidRDefault="00C90DA4" w:rsidP="00C90DA4">
            <w:pPr>
              <w:jc w:val="right"/>
              <w:rPr>
                <w:rFonts w:cs="Arial"/>
                <w:bCs/>
                <w:szCs w:val="18"/>
                <w:lang w:val="en-US"/>
              </w:rPr>
            </w:pPr>
          </w:p>
        </w:tc>
        <w:tc>
          <w:tcPr>
            <w:tcW w:w="145" w:type="pct"/>
            <w:gridSpan w:val="2"/>
            <w:shd w:val="clear" w:color="auto" w:fill="auto"/>
          </w:tcPr>
          <w:p w14:paraId="51641EAE" w14:textId="77777777" w:rsidR="00C90DA4" w:rsidRPr="00D870C2" w:rsidRDefault="00C90DA4" w:rsidP="00C90DA4">
            <w:pPr>
              <w:jc w:val="right"/>
              <w:rPr>
                <w:rFonts w:cs="Arial"/>
                <w:bCs/>
                <w:szCs w:val="18"/>
                <w:lang w:val="en-US"/>
              </w:rPr>
            </w:pPr>
          </w:p>
        </w:tc>
        <w:tc>
          <w:tcPr>
            <w:tcW w:w="550" w:type="pct"/>
            <w:gridSpan w:val="2"/>
            <w:tcBorders>
              <w:top w:val="single" w:sz="4" w:space="0" w:color="auto"/>
              <w:bottom w:val="single" w:sz="4" w:space="0" w:color="auto"/>
            </w:tcBorders>
            <w:shd w:val="clear" w:color="auto" w:fill="auto"/>
          </w:tcPr>
          <w:p w14:paraId="08F9CE09" w14:textId="77777777" w:rsidR="00C90DA4" w:rsidRPr="009152E9" w:rsidRDefault="00C90DA4" w:rsidP="00C90DA4">
            <w:pPr>
              <w:jc w:val="right"/>
              <w:rPr>
                <w:rFonts w:cs="Arial"/>
                <w:bCs/>
                <w:szCs w:val="18"/>
                <w:lang w:val="en-US"/>
              </w:rPr>
            </w:pPr>
          </w:p>
        </w:tc>
        <w:tc>
          <w:tcPr>
            <w:tcW w:w="259" w:type="pct"/>
            <w:gridSpan w:val="3"/>
          </w:tcPr>
          <w:p w14:paraId="7261D40E" w14:textId="77777777" w:rsidR="00C90DA4" w:rsidRPr="00D870C2" w:rsidRDefault="00C90DA4" w:rsidP="00C90DA4">
            <w:pPr>
              <w:rPr>
                <w:rFonts w:cs="Arial"/>
                <w:bCs/>
                <w:szCs w:val="18"/>
                <w:lang w:val="en-US"/>
              </w:rPr>
            </w:pPr>
          </w:p>
        </w:tc>
      </w:tr>
      <w:tr w:rsidR="00C90DA4" w:rsidRPr="00D870C2" w14:paraId="1CD7409B" w14:textId="77777777" w:rsidTr="002D0665">
        <w:trPr>
          <w:trHeight w:val="272"/>
        </w:trPr>
        <w:tc>
          <w:tcPr>
            <w:tcW w:w="2260" w:type="pct"/>
            <w:shd w:val="clear" w:color="auto" w:fill="auto"/>
          </w:tcPr>
          <w:p w14:paraId="62AE856B" w14:textId="77777777" w:rsidR="00C90DA4" w:rsidRPr="00D870C2" w:rsidRDefault="00C90DA4" w:rsidP="00C90DA4">
            <w:pPr>
              <w:rPr>
                <w:rFonts w:cs="Arial"/>
                <w:szCs w:val="18"/>
                <w:lang w:val="en-US"/>
              </w:rPr>
            </w:pPr>
            <w:r w:rsidRPr="00D870C2">
              <w:rPr>
                <w:rFonts w:cs="Arial"/>
                <w:szCs w:val="18"/>
                <w:lang w:val="en-US"/>
              </w:rPr>
              <w:t>Revenue from Government</w:t>
            </w:r>
          </w:p>
        </w:tc>
        <w:tc>
          <w:tcPr>
            <w:tcW w:w="566" w:type="pct"/>
            <w:shd w:val="clear" w:color="auto" w:fill="auto"/>
            <w:noWrap/>
          </w:tcPr>
          <w:p w14:paraId="5C413954" w14:textId="77777777" w:rsidR="00C90DA4" w:rsidRPr="00D870C2" w:rsidRDefault="00C90DA4" w:rsidP="00C90DA4">
            <w:pPr>
              <w:tabs>
                <w:tab w:val="left" w:pos="188"/>
              </w:tabs>
              <w:jc w:val="center"/>
              <w:rPr>
                <w:rFonts w:cs="Arial"/>
                <w:szCs w:val="18"/>
                <w:lang w:val="en-US"/>
              </w:rPr>
            </w:pPr>
            <w:r w:rsidRPr="00D870C2">
              <w:rPr>
                <w:rFonts w:cs="Arial"/>
                <w:szCs w:val="18"/>
                <w:lang w:val="en-US"/>
              </w:rPr>
              <w:tab/>
            </w:r>
            <w:r>
              <w:rPr>
                <w:rFonts w:cs="Arial"/>
                <w:szCs w:val="18"/>
                <w:lang w:val="en-US"/>
              </w:rPr>
              <w:t>1.2F</w:t>
            </w:r>
          </w:p>
        </w:tc>
        <w:tc>
          <w:tcPr>
            <w:tcW w:w="609" w:type="pct"/>
            <w:tcBorders>
              <w:top w:val="single" w:sz="4" w:space="0" w:color="auto"/>
              <w:bottom w:val="single" w:sz="4" w:space="0" w:color="auto"/>
            </w:tcBorders>
            <w:shd w:val="clear" w:color="auto" w:fill="auto"/>
            <w:vAlign w:val="bottom"/>
          </w:tcPr>
          <w:p w14:paraId="4D413517" w14:textId="77777777" w:rsidR="00C90DA4" w:rsidRPr="00D870C2" w:rsidRDefault="00C90DA4" w:rsidP="00C90DA4">
            <w:pPr>
              <w:jc w:val="right"/>
              <w:rPr>
                <w:rFonts w:cs="Arial"/>
                <w:b/>
                <w:bCs/>
                <w:szCs w:val="18"/>
                <w:lang w:val="en-US"/>
              </w:rPr>
            </w:pPr>
            <w:r>
              <w:rPr>
                <w:rFonts w:cs="Arial"/>
                <w:b/>
                <w:bCs/>
                <w:szCs w:val="18"/>
                <w:lang w:val="en-US"/>
              </w:rPr>
              <w:t>10,920</w:t>
            </w:r>
            <w:r w:rsidRPr="00D870C2">
              <w:rPr>
                <w:rFonts w:cs="Arial"/>
                <w:b/>
                <w:bCs/>
                <w:szCs w:val="18"/>
                <w:lang w:val="en-US"/>
              </w:rPr>
              <w:t xml:space="preserve"> </w:t>
            </w:r>
          </w:p>
        </w:tc>
        <w:tc>
          <w:tcPr>
            <w:tcW w:w="611" w:type="pct"/>
            <w:tcBorders>
              <w:top w:val="single" w:sz="4" w:space="0" w:color="auto"/>
              <w:bottom w:val="single" w:sz="4" w:space="0" w:color="auto"/>
            </w:tcBorders>
            <w:shd w:val="clear" w:color="auto" w:fill="auto"/>
            <w:noWrap/>
            <w:vAlign w:val="bottom"/>
          </w:tcPr>
          <w:p w14:paraId="599E8A92" w14:textId="77777777" w:rsidR="00C90DA4" w:rsidRPr="007014B2" w:rsidRDefault="00C90DA4" w:rsidP="00C90DA4">
            <w:pPr>
              <w:jc w:val="right"/>
              <w:rPr>
                <w:rFonts w:cs="Arial"/>
                <w:bCs/>
                <w:szCs w:val="18"/>
                <w:lang w:val="en-US"/>
              </w:rPr>
            </w:pPr>
            <w:r w:rsidRPr="007014B2">
              <w:rPr>
                <w:rFonts w:cs="Arial"/>
                <w:bCs/>
                <w:szCs w:val="18"/>
                <w:lang w:val="en-US"/>
              </w:rPr>
              <w:t xml:space="preserve">7,190 </w:t>
            </w:r>
          </w:p>
        </w:tc>
        <w:tc>
          <w:tcPr>
            <w:tcW w:w="145" w:type="pct"/>
            <w:gridSpan w:val="2"/>
            <w:shd w:val="clear" w:color="auto" w:fill="auto"/>
            <w:vAlign w:val="bottom"/>
          </w:tcPr>
          <w:p w14:paraId="3236ED5D" w14:textId="77777777" w:rsidR="00C90DA4" w:rsidRPr="00D870C2" w:rsidRDefault="00C90DA4" w:rsidP="00C90DA4">
            <w:pPr>
              <w:jc w:val="right"/>
              <w:rPr>
                <w:rFonts w:cs="Arial"/>
                <w:bCs/>
                <w:szCs w:val="18"/>
                <w:lang w:val="en-US"/>
              </w:rPr>
            </w:pPr>
          </w:p>
        </w:tc>
        <w:tc>
          <w:tcPr>
            <w:tcW w:w="550" w:type="pct"/>
            <w:gridSpan w:val="2"/>
            <w:tcBorders>
              <w:top w:val="single" w:sz="4" w:space="0" w:color="auto"/>
              <w:bottom w:val="single" w:sz="4" w:space="0" w:color="auto"/>
            </w:tcBorders>
            <w:shd w:val="clear" w:color="auto" w:fill="auto"/>
            <w:vAlign w:val="bottom"/>
          </w:tcPr>
          <w:p w14:paraId="003CD8F6" w14:textId="77777777" w:rsidR="00C90DA4" w:rsidRPr="009152E9" w:rsidRDefault="00C90DA4" w:rsidP="00C90DA4">
            <w:pPr>
              <w:jc w:val="right"/>
              <w:rPr>
                <w:rFonts w:cs="Arial"/>
                <w:bCs/>
                <w:szCs w:val="18"/>
                <w:lang w:val="en-US"/>
              </w:rPr>
            </w:pPr>
            <w:r>
              <w:rPr>
                <w:rFonts w:cs="Arial"/>
                <w:bCs/>
                <w:szCs w:val="18"/>
                <w:lang w:val="en-US"/>
              </w:rPr>
              <w:t>10,920</w:t>
            </w:r>
          </w:p>
        </w:tc>
        <w:tc>
          <w:tcPr>
            <w:tcW w:w="259" w:type="pct"/>
            <w:gridSpan w:val="3"/>
          </w:tcPr>
          <w:p w14:paraId="395C167B" w14:textId="77777777" w:rsidR="00C90DA4" w:rsidRDefault="00C90DA4" w:rsidP="00C90DA4">
            <w:pPr>
              <w:rPr>
                <w:rFonts w:cs="Arial"/>
                <w:bCs/>
                <w:szCs w:val="18"/>
                <w:lang w:val="en-US"/>
              </w:rPr>
            </w:pPr>
            <w:r>
              <w:rPr>
                <w:rFonts w:cs="Arial"/>
                <w:bCs/>
                <w:szCs w:val="18"/>
                <w:vertAlign w:val="superscript"/>
                <w:lang w:val="en-US"/>
              </w:rPr>
              <w:t>C</w:t>
            </w:r>
          </w:p>
        </w:tc>
      </w:tr>
      <w:tr w:rsidR="00C90DA4" w:rsidRPr="00D870C2" w14:paraId="3A9BF5E8" w14:textId="77777777" w:rsidTr="002D0665">
        <w:trPr>
          <w:trHeight w:val="255"/>
        </w:trPr>
        <w:tc>
          <w:tcPr>
            <w:tcW w:w="2260" w:type="pct"/>
            <w:shd w:val="clear" w:color="auto" w:fill="auto"/>
          </w:tcPr>
          <w:p w14:paraId="08D64CF5" w14:textId="77777777" w:rsidR="00C90DA4" w:rsidRPr="00D870C2" w:rsidRDefault="00C90DA4" w:rsidP="00C90DA4">
            <w:pPr>
              <w:rPr>
                <w:rFonts w:cs="Arial"/>
                <w:b/>
                <w:bCs/>
                <w:szCs w:val="18"/>
                <w:lang w:val="en-US"/>
              </w:rPr>
            </w:pPr>
            <w:r w:rsidRPr="00D870C2">
              <w:rPr>
                <w:rFonts w:cs="Arial"/>
                <w:b/>
                <w:bCs/>
                <w:szCs w:val="18"/>
                <w:lang w:val="en-US"/>
              </w:rPr>
              <w:t xml:space="preserve">Surplus </w:t>
            </w:r>
          </w:p>
        </w:tc>
        <w:tc>
          <w:tcPr>
            <w:tcW w:w="566" w:type="pct"/>
            <w:shd w:val="clear" w:color="auto" w:fill="auto"/>
            <w:noWrap/>
          </w:tcPr>
          <w:p w14:paraId="205313E5" w14:textId="77777777" w:rsidR="00C90DA4" w:rsidRPr="00D870C2" w:rsidRDefault="00C90DA4" w:rsidP="00C90DA4">
            <w:pPr>
              <w:tabs>
                <w:tab w:val="left" w:pos="188"/>
              </w:tabs>
              <w:jc w:val="center"/>
              <w:rPr>
                <w:rFonts w:cs="Arial"/>
                <w:szCs w:val="18"/>
                <w:lang w:val="en-US"/>
              </w:rPr>
            </w:pPr>
          </w:p>
        </w:tc>
        <w:tc>
          <w:tcPr>
            <w:tcW w:w="609" w:type="pct"/>
            <w:tcBorders>
              <w:top w:val="single" w:sz="4" w:space="0" w:color="auto"/>
              <w:bottom w:val="single" w:sz="4" w:space="0" w:color="auto"/>
            </w:tcBorders>
            <w:shd w:val="clear" w:color="auto" w:fill="auto"/>
            <w:vAlign w:val="bottom"/>
          </w:tcPr>
          <w:p w14:paraId="2E2EF735" w14:textId="77777777" w:rsidR="00C90DA4" w:rsidRPr="00D870C2" w:rsidRDefault="00C90DA4" w:rsidP="00C90DA4">
            <w:pPr>
              <w:jc w:val="right"/>
              <w:rPr>
                <w:rFonts w:cs="Arial"/>
                <w:b/>
                <w:bCs/>
                <w:szCs w:val="18"/>
                <w:lang w:val="en-US"/>
              </w:rPr>
            </w:pPr>
            <w:r>
              <w:rPr>
                <w:rFonts w:cs="Arial"/>
                <w:b/>
                <w:bCs/>
                <w:szCs w:val="18"/>
                <w:lang w:val="en-US"/>
              </w:rPr>
              <w:t>288</w:t>
            </w:r>
            <w:r w:rsidRPr="00D870C2">
              <w:rPr>
                <w:rFonts w:cs="Arial"/>
                <w:b/>
                <w:bCs/>
                <w:szCs w:val="18"/>
                <w:lang w:val="en-US"/>
              </w:rPr>
              <w:t xml:space="preserve"> </w:t>
            </w:r>
          </w:p>
        </w:tc>
        <w:tc>
          <w:tcPr>
            <w:tcW w:w="611" w:type="pct"/>
            <w:tcBorders>
              <w:top w:val="single" w:sz="4" w:space="0" w:color="auto"/>
              <w:bottom w:val="single" w:sz="4" w:space="0" w:color="auto"/>
            </w:tcBorders>
            <w:shd w:val="clear" w:color="auto" w:fill="auto"/>
            <w:noWrap/>
            <w:vAlign w:val="bottom"/>
          </w:tcPr>
          <w:p w14:paraId="5ACE7CE0" w14:textId="77777777" w:rsidR="00C90DA4" w:rsidRPr="007014B2" w:rsidRDefault="00C90DA4" w:rsidP="00C90DA4">
            <w:pPr>
              <w:jc w:val="right"/>
              <w:rPr>
                <w:rFonts w:cs="Arial"/>
                <w:bCs/>
                <w:szCs w:val="18"/>
                <w:lang w:val="en-US"/>
              </w:rPr>
            </w:pPr>
            <w:r w:rsidRPr="007014B2">
              <w:rPr>
                <w:rFonts w:cs="Arial"/>
                <w:bCs/>
                <w:szCs w:val="18"/>
                <w:lang w:val="en-US"/>
              </w:rPr>
              <w:t xml:space="preserve">678 </w:t>
            </w:r>
          </w:p>
        </w:tc>
        <w:tc>
          <w:tcPr>
            <w:tcW w:w="145" w:type="pct"/>
            <w:gridSpan w:val="2"/>
            <w:shd w:val="clear" w:color="auto" w:fill="auto"/>
            <w:vAlign w:val="bottom"/>
          </w:tcPr>
          <w:p w14:paraId="3E99884C" w14:textId="77777777" w:rsidR="00C90DA4" w:rsidRPr="00D870C2" w:rsidRDefault="00C90DA4" w:rsidP="00C90DA4">
            <w:pPr>
              <w:jc w:val="right"/>
              <w:rPr>
                <w:rFonts w:cs="Arial"/>
                <w:bCs/>
                <w:szCs w:val="18"/>
                <w:lang w:val="en-US"/>
              </w:rPr>
            </w:pPr>
          </w:p>
        </w:tc>
        <w:tc>
          <w:tcPr>
            <w:tcW w:w="550" w:type="pct"/>
            <w:gridSpan w:val="2"/>
            <w:tcBorders>
              <w:top w:val="single" w:sz="4" w:space="0" w:color="auto"/>
              <w:bottom w:val="single" w:sz="4" w:space="0" w:color="auto"/>
            </w:tcBorders>
            <w:shd w:val="clear" w:color="auto" w:fill="auto"/>
            <w:vAlign w:val="bottom"/>
          </w:tcPr>
          <w:p w14:paraId="230EAD2B" w14:textId="77777777" w:rsidR="00C90DA4" w:rsidRPr="009152E9" w:rsidRDefault="00C90DA4" w:rsidP="00C90DA4">
            <w:pPr>
              <w:jc w:val="right"/>
              <w:rPr>
                <w:rFonts w:cs="Arial"/>
                <w:b/>
                <w:bCs/>
                <w:szCs w:val="18"/>
                <w:lang w:val="en-US"/>
              </w:rPr>
            </w:pPr>
            <w:r w:rsidRPr="009152E9">
              <w:rPr>
                <w:rFonts w:cs="Arial"/>
                <w:bCs/>
                <w:szCs w:val="18"/>
                <w:lang w:val="en-US"/>
              </w:rPr>
              <w:t>-</w:t>
            </w:r>
          </w:p>
        </w:tc>
        <w:tc>
          <w:tcPr>
            <w:tcW w:w="259" w:type="pct"/>
            <w:gridSpan w:val="3"/>
          </w:tcPr>
          <w:p w14:paraId="05161122" w14:textId="77777777" w:rsidR="00C90DA4" w:rsidRPr="00D870C2" w:rsidRDefault="00C90DA4" w:rsidP="00C90DA4">
            <w:pPr>
              <w:rPr>
                <w:rFonts w:cs="Arial"/>
                <w:bCs/>
                <w:szCs w:val="18"/>
                <w:lang w:val="en-US"/>
              </w:rPr>
            </w:pPr>
          </w:p>
        </w:tc>
      </w:tr>
      <w:tr w:rsidR="00C90DA4" w:rsidRPr="00D870C2" w14:paraId="6242F701" w14:textId="77777777" w:rsidTr="002D0665">
        <w:trPr>
          <w:trHeight w:val="227"/>
        </w:trPr>
        <w:tc>
          <w:tcPr>
            <w:tcW w:w="2260" w:type="pct"/>
            <w:shd w:val="clear" w:color="auto" w:fill="auto"/>
          </w:tcPr>
          <w:p w14:paraId="0C3593BC" w14:textId="77777777" w:rsidR="00C90DA4" w:rsidRPr="00D870C2" w:rsidRDefault="00C90DA4" w:rsidP="00C90DA4">
            <w:pPr>
              <w:rPr>
                <w:rFonts w:cs="Arial"/>
                <w:b/>
                <w:bCs/>
                <w:szCs w:val="18"/>
                <w:lang w:val="en-US"/>
              </w:rPr>
            </w:pPr>
            <w:r w:rsidRPr="00D870C2">
              <w:rPr>
                <w:rFonts w:cs="Arial"/>
                <w:b/>
                <w:bCs/>
                <w:szCs w:val="18"/>
                <w:lang w:val="en-US"/>
              </w:rPr>
              <w:t>OTHER COMPREHENSIVE INCOME</w:t>
            </w:r>
          </w:p>
        </w:tc>
        <w:tc>
          <w:tcPr>
            <w:tcW w:w="566" w:type="pct"/>
            <w:shd w:val="clear" w:color="auto" w:fill="auto"/>
            <w:noWrap/>
          </w:tcPr>
          <w:p w14:paraId="7E714D96" w14:textId="77777777" w:rsidR="00C90DA4" w:rsidRPr="00D870C2" w:rsidRDefault="00C90DA4" w:rsidP="00C90DA4">
            <w:pPr>
              <w:rPr>
                <w:rFonts w:cs="Arial"/>
                <w:szCs w:val="18"/>
                <w:u w:val="single"/>
                <w:lang w:val="en-US"/>
              </w:rPr>
            </w:pPr>
          </w:p>
        </w:tc>
        <w:tc>
          <w:tcPr>
            <w:tcW w:w="609" w:type="pct"/>
            <w:shd w:val="clear" w:color="auto" w:fill="auto"/>
          </w:tcPr>
          <w:p w14:paraId="5BBA7FD5" w14:textId="77777777" w:rsidR="00C90DA4" w:rsidRPr="00D870C2" w:rsidRDefault="00C90DA4" w:rsidP="00C90DA4">
            <w:pPr>
              <w:jc w:val="right"/>
              <w:rPr>
                <w:rFonts w:cs="Arial"/>
                <w:b/>
                <w:bCs/>
                <w:szCs w:val="18"/>
                <w:lang w:val="en-US"/>
              </w:rPr>
            </w:pPr>
          </w:p>
        </w:tc>
        <w:tc>
          <w:tcPr>
            <w:tcW w:w="611" w:type="pct"/>
            <w:shd w:val="clear" w:color="auto" w:fill="auto"/>
            <w:noWrap/>
          </w:tcPr>
          <w:p w14:paraId="1CC6F076" w14:textId="77777777" w:rsidR="00C90DA4" w:rsidRPr="007014B2" w:rsidRDefault="00C90DA4" w:rsidP="00C90DA4">
            <w:pPr>
              <w:jc w:val="right"/>
              <w:rPr>
                <w:rFonts w:cs="Arial"/>
                <w:bCs/>
                <w:szCs w:val="18"/>
                <w:lang w:val="en-US"/>
              </w:rPr>
            </w:pPr>
          </w:p>
        </w:tc>
        <w:tc>
          <w:tcPr>
            <w:tcW w:w="145" w:type="pct"/>
            <w:gridSpan w:val="2"/>
            <w:shd w:val="clear" w:color="auto" w:fill="auto"/>
          </w:tcPr>
          <w:p w14:paraId="1703AFCB" w14:textId="77777777" w:rsidR="00C90DA4" w:rsidRPr="00D870C2" w:rsidRDefault="00C90DA4" w:rsidP="00C90DA4">
            <w:pPr>
              <w:jc w:val="right"/>
              <w:rPr>
                <w:rFonts w:cs="Arial"/>
                <w:bCs/>
                <w:szCs w:val="18"/>
                <w:lang w:val="en-US"/>
              </w:rPr>
            </w:pPr>
          </w:p>
        </w:tc>
        <w:tc>
          <w:tcPr>
            <w:tcW w:w="550" w:type="pct"/>
            <w:gridSpan w:val="2"/>
            <w:shd w:val="clear" w:color="auto" w:fill="auto"/>
          </w:tcPr>
          <w:p w14:paraId="037BB8D2" w14:textId="77777777" w:rsidR="00C90DA4" w:rsidRPr="009152E9" w:rsidRDefault="00C90DA4" w:rsidP="00C90DA4">
            <w:pPr>
              <w:jc w:val="right"/>
              <w:rPr>
                <w:rFonts w:cs="Arial"/>
                <w:bCs/>
                <w:szCs w:val="18"/>
                <w:lang w:val="en-US"/>
              </w:rPr>
            </w:pPr>
          </w:p>
        </w:tc>
        <w:tc>
          <w:tcPr>
            <w:tcW w:w="259" w:type="pct"/>
            <w:gridSpan w:val="3"/>
          </w:tcPr>
          <w:p w14:paraId="3C6DFB00" w14:textId="77777777" w:rsidR="00C90DA4" w:rsidRPr="00D870C2" w:rsidRDefault="00C90DA4" w:rsidP="00C90DA4">
            <w:pPr>
              <w:rPr>
                <w:rFonts w:cs="Arial"/>
                <w:bCs/>
                <w:szCs w:val="18"/>
                <w:lang w:val="en-US"/>
              </w:rPr>
            </w:pPr>
          </w:p>
        </w:tc>
      </w:tr>
      <w:tr w:rsidR="00C90DA4" w:rsidRPr="00D870C2" w14:paraId="425667F5" w14:textId="77777777" w:rsidTr="002D0665">
        <w:trPr>
          <w:trHeight w:val="255"/>
        </w:trPr>
        <w:tc>
          <w:tcPr>
            <w:tcW w:w="2260" w:type="pct"/>
            <w:shd w:val="clear" w:color="auto" w:fill="auto"/>
            <w:vAlign w:val="bottom"/>
          </w:tcPr>
          <w:p w14:paraId="3E0AD08F" w14:textId="77777777" w:rsidR="00C90DA4" w:rsidRPr="00D870C2" w:rsidRDefault="00C90DA4" w:rsidP="00C90DA4">
            <w:pPr>
              <w:rPr>
                <w:rFonts w:cs="Arial"/>
                <w:b/>
                <w:bCs/>
                <w:szCs w:val="18"/>
                <w:lang w:val="en-US"/>
              </w:rPr>
            </w:pPr>
            <w:r w:rsidRPr="00D870C2">
              <w:rPr>
                <w:rFonts w:cs="Arial"/>
                <w:b/>
                <w:bCs/>
                <w:szCs w:val="18"/>
                <w:lang w:val="en-US"/>
              </w:rPr>
              <w:t>Total other comprehensive income (loss)</w:t>
            </w:r>
          </w:p>
        </w:tc>
        <w:tc>
          <w:tcPr>
            <w:tcW w:w="566" w:type="pct"/>
            <w:shd w:val="clear" w:color="auto" w:fill="auto"/>
            <w:noWrap/>
          </w:tcPr>
          <w:p w14:paraId="3FEFC6B4" w14:textId="77777777" w:rsidR="00C90DA4" w:rsidRPr="00D870C2" w:rsidRDefault="00C90DA4" w:rsidP="00C90DA4">
            <w:pPr>
              <w:rPr>
                <w:rFonts w:cs="Arial"/>
                <w:szCs w:val="18"/>
                <w:u w:val="single"/>
                <w:lang w:val="en-US"/>
              </w:rPr>
            </w:pPr>
          </w:p>
        </w:tc>
        <w:tc>
          <w:tcPr>
            <w:tcW w:w="609" w:type="pct"/>
            <w:tcBorders>
              <w:top w:val="single" w:sz="4" w:space="0" w:color="auto"/>
              <w:bottom w:val="single" w:sz="4" w:space="0" w:color="auto"/>
            </w:tcBorders>
            <w:shd w:val="clear" w:color="auto" w:fill="auto"/>
            <w:vAlign w:val="bottom"/>
          </w:tcPr>
          <w:p w14:paraId="6CA6CF8A" w14:textId="77777777" w:rsidR="00C90DA4" w:rsidRPr="002D41A2" w:rsidRDefault="00C90DA4" w:rsidP="00C90DA4">
            <w:pPr>
              <w:jc w:val="right"/>
              <w:rPr>
                <w:rFonts w:cs="Arial"/>
                <w:b/>
                <w:bCs/>
                <w:szCs w:val="18"/>
                <w:lang w:val="en-US"/>
              </w:rPr>
            </w:pPr>
            <w:r>
              <w:rPr>
                <w:rFonts w:cs="Arial"/>
                <w:b/>
                <w:bCs/>
                <w:szCs w:val="18"/>
                <w:lang w:val="en-US"/>
              </w:rPr>
              <w:t>-</w:t>
            </w:r>
          </w:p>
        </w:tc>
        <w:tc>
          <w:tcPr>
            <w:tcW w:w="611" w:type="pct"/>
            <w:tcBorders>
              <w:top w:val="single" w:sz="4" w:space="0" w:color="auto"/>
              <w:bottom w:val="single" w:sz="4" w:space="0" w:color="auto"/>
            </w:tcBorders>
            <w:shd w:val="clear" w:color="auto" w:fill="auto"/>
            <w:noWrap/>
            <w:vAlign w:val="bottom"/>
          </w:tcPr>
          <w:p w14:paraId="5674CD67" w14:textId="77777777" w:rsidR="00C90DA4" w:rsidRPr="007014B2" w:rsidRDefault="00C90DA4" w:rsidP="00C90DA4">
            <w:pPr>
              <w:jc w:val="right"/>
              <w:rPr>
                <w:rFonts w:cs="Arial"/>
                <w:bCs/>
                <w:szCs w:val="18"/>
                <w:lang w:val="en-US"/>
              </w:rPr>
            </w:pPr>
            <w:r w:rsidRPr="007014B2">
              <w:rPr>
                <w:rFonts w:cs="Arial"/>
                <w:bCs/>
                <w:szCs w:val="18"/>
                <w:lang w:val="en-US"/>
              </w:rPr>
              <w:t>-</w:t>
            </w:r>
          </w:p>
        </w:tc>
        <w:tc>
          <w:tcPr>
            <w:tcW w:w="145" w:type="pct"/>
            <w:gridSpan w:val="2"/>
            <w:shd w:val="clear" w:color="auto" w:fill="auto"/>
          </w:tcPr>
          <w:p w14:paraId="59F8D463" w14:textId="77777777" w:rsidR="00C90DA4" w:rsidRPr="00D870C2" w:rsidRDefault="00C90DA4" w:rsidP="00C90DA4">
            <w:pPr>
              <w:jc w:val="right"/>
              <w:rPr>
                <w:rFonts w:cs="Arial"/>
                <w:bCs/>
                <w:szCs w:val="18"/>
                <w:lang w:val="en-US"/>
              </w:rPr>
            </w:pPr>
          </w:p>
        </w:tc>
        <w:tc>
          <w:tcPr>
            <w:tcW w:w="550" w:type="pct"/>
            <w:gridSpan w:val="2"/>
            <w:tcBorders>
              <w:top w:val="single" w:sz="4" w:space="0" w:color="auto"/>
              <w:bottom w:val="single" w:sz="4" w:space="0" w:color="auto"/>
            </w:tcBorders>
            <w:shd w:val="clear" w:color="auto" w:fill="auto"/>
            <w:vAlign w:val="bottom"/>
          </w:tcPr>
          <w:p w14:paraId="39F8D05A" w14:textId="77777777" w:rsidR="00C90DA4" w:rsidRPr="009152E9" w:rsidRDefault="00C90DA4" w:rsidP="00C90DA4">
            <w:pPr>
              <w:jc w:val="right"/>
              <w:rPr>
                <w:rFonts w:cs="Arial"/>
                <w:bCs/>
                <w:szCs w:val="18"/>
                <w:lang w:val="en-US"/>
              </w:rPr>
            </w:pPr>
            <w:r w:rsidRPr="009152E9">
              <w:rPr>
                <w:rFonts w:cs="Arial"/>
                <w:bCs/>
                <w:szCs w:val="18"/>
                <w:lang w:val="en-US"/>
              </w:rPr>
              <w:t>-</w:t>
            </w:r>
          </w:p>
        </w:tc>
        <w:tc>
          <w:tcPr>
            <w:tcW w:w="259" w:type="pct"/>
            <w:gridSpan w:val="3"/>
          </w:tcPr>
          <w:p w14:paraId="195DE63D" w14:textId="77777777" w:rsidR="00C90DA4" w:rsidRPr="00D870C2" w:rsidRDefault="00C90DA4" w:rsidP="00C90DA4">
            <w:pPr>
              <w:rPr>
                <w:rFonts w:cs="Arial"/>
                <w:bCs/>
                <w:szCs w:val="18"/>
                <w:lang w:val="en-US"/>
              </w:rPr>
            </w:pPr>
          </w:p>
        </w:tc>
      </w:tr>
      <w:tr w:rsidR="00C90DA4" w:rsidRPr="00D870C2" w14:paraId="18AB6BE5" w14:textId="77777777" w:rsidTr="002D0665">
        <w:trPr>
          <w:trHeight w:val="272"/>
        </w:trPr>
        <w:tc>
          <w:tcPr>
            <w:tcW w:w="2260" w:type="pct"/>
            <w:shd w:val="clear" w:color="auto" w:fill="auto"/>
            <w:vAlign w:val="bottom"/>
          </w:tcPr>
          <w:p w14:paraId="07DF0BE2" w14:textId="77777777" w:rsidR="00C90DA4" w:rsidRPr="00D870C2" w:rsidRDefault="00C90DA4" w:rsidP="00C90DA4">
            <w:pPr>
              <w:rPr>
                <w:rFonts w:cs="Arial"/>
                <w:b/>
                <w:bCs/>
                <w:szCs w:val="18"/>
                <w:lang w:val="en-US"/>
              </w:rPr>
            </w:pPr>
            <w:r w:rsidRPr="00D870C2">
              <w:rPr>
                <w:rFonts w:cs="Arial"/>
                <w:b/>
                <w:bCs/>
                <w:szCs w:val="18"/>
                <w:lang w:val="en-US"/>
              </w:rPr>
              <w:t xml:space="preserve">Total comprehensive income (loss) </w:t>
            </w:r>
          </w:p>
        </w:tc>
        <w:tc>
          <w:tcPr>
            <w:tcW w:w="566" w:type="pct"/>
            <w:shd w:val="clear" w:color="auto" w:fill="auto"/>
            <w:noWrap/>
          </w:tcPr>
          <w:p w14:paraId="12D78378" w14:textId="77777777" w:rsidR="00C90DA4" w:rsidRPr="00D870C2" w:rsidRDefault="00C90DA4" w:rsidP="00C90DA4">
            <w:pPr>
              <w:rPr>
                <w:rFonts w:cs="Arial"/>
                <w:szCs w:val="18"/>
                <w:u w:val="single"/>
                <w:lang w:val="en-US"/>
              </w:rPr>
            </w:pPr>
          </w:p>
        </w:tc>
        <w:tc>
          <w:tcPr>
            <w:tcW w:w="609" w:type="pct"/>
            <w:tcBorders>
              <w:top w:val="single" w:sz="4" w:space="0" w:color="auto"/>
              <w:bottom w:val="single" w:sz="4" w:space="0" w:color="auto"/>
            </w:tcBorders>
            <w:shd w:val="clear" w:color="auto" w:fill="auto"/>
            <w:vAlign w:val="bottom"/>
          </w:tcPr>
          <w:p w14:paraId="70DB4611" w14:textId="77777777" w:rsidR="00C90DA4" w:rsidRPr="00D870C2" w:rsidRDefault="00C90DA4" w:rsidP="00C90DA4">
            <w:pPr>
              <w:jc w:val="right"/>
              <w:rPr>
                <w:rFonts w:cs="Arial"/>
                <w:b/>
                <w:bCs/>
                <w:szCs w:val="18"/>
                <w:lang w:val="en-US"/>
              </w:rPr>
            </w:pPr>
            <w:r>
              <w:rPr>
                <w:rFonts w:cs="Arial"/>
                <w:b/>
                <w:bCs/>
                <w:szCs w:val="18"/>
                <w:lang w:val="en-US"/>
              </w:rPr>
              <w:t>288</w:t>
            </w:r>
            <w:r w:rsidRPr="00D870C2">
              <w:rPr>
                <w:rFonts w:cs="Arial"/>
                <w:b/>
                <w:bCs/>
                <w:szCs w:val="18"/>
                <w:lang w:val="en-US"/>
              </w:rPr>
              <w:t xml:space="preserve"> </w:t>
            </w:r>
          </w:p>
        </w:tc>
        <w:tc>
          <w:tcPr>
            <w:tcW w:w="611" w:type="pct"/>
            <w:tcBorders>
              <w:top w:val="single" w:sz="4" w:space="0" w:color="auto"/>
              <w:bottom w:val="single" w:sz="4" w:space="0" w:color="auto"/>
            </w:tcBorders>
            <w:shd w:val="clear" w:color="auto" w:fill="auto"/>
            <w:noWrap/>
            <w:vAlign w:val="bottom"/>
          </w:tcPr>
          <w:p w14:paraId="271BF236" w14:textId="77777777" w:rsidR="00C90DA4" w:rsidRPr="007014B2" w:rsidRDefault="00C90DA4" w:rsidP="00C90DA4">
            <w:pPr>
              <w:jc w:val="right"/>
              <w:rPr>
                <w:rFonts w:cs="Arial"/>
                <w:bCs/>
                <w:szCs w:val="18"/>
                <w:lang w:val="en-US"/>
              </w:rPr>
            </w:pPr>
            <w:r w:rsidRPr="007014B2">
              <w:rPr>
                <w:rFonts w:cs="Arial"/>
                <w:bCs/>
                <w:szCs w:val="18"/>
                <w:lang w:val="en-US"/>
              </w:rPr>
              <w:t xml:space="preserve">678 </w:t>
            </w:r>
          </w:p>
        </w:tc>
        <w:tc>
          <w:tcPr>
            <w:tcW w:w="145" w:type="pct"/>
            <w:gridSpan w:val="2"/>
            <w:shd w:val="clear" w:color="auto" w:fill="auto"/>
          </w:tcPr>
          <w:p w14:paraId="7627DB27" w14:textId="77777777" w:rsidR="00C90DA4" w:rsidRPr="00D870C2" w:rsidRDefault="00C90DA4" w:rsidP="00C90DA4">
            <w:pPr>
              <w:jc w:val="right"/>
              <w:rPr>
                <w:rFonts w:cs="Arial"/>
                <w:bCs/>
                <w:szCs w:val="18"/>
                <w:lang w:val="en-US"/>
              </w:rPr>
            </w:pPr>
          </w:p>
        </w:tc>
        <w:tc>
          <w:tcPr>
            <w:tcW w:w="550" w:type="pct"/>
            <w:gridSpan w:val="2"/>
            <w:tcBorders>
              <w:top w:val="single" w:sz="4" w:space="0" w:color="auto"/>
              <w:bottom w:val="single" w:sz="4" w:space="0" w:color="auto"/>
            </w:tcBorders>
            <w:shd w:val="clear" w:color="auto" w:fill="auto"/>
            <w:vAlign w:val="bottom"/>
          </w:tcPr>
          <w:p w14:paraId="720F69B1" w14:textId="77777777" w:rsidR="00C90DA4" w:rsidRPr="009152E9" w:rsidRDefault="00C90DA4" w:rsidP="00C90DA4">
            <w:pPr>
              <w:jc w:val="right"/>
              <w:rPr>
                <w:rFonts w:cs="Arial"/>
                <w:bCs/>
                <w:szCs w:val="18"/>
                <w:lang w:val="en-US"/>
              </w:rPr>
            </w:pPr>
            <w:r w:rsidRPr="009152E9">
              <w:rPr>
                <w:rFonts w:cs="Arial"/>
                <w:bCs/>
                <w:szCs w:val="18"/>
                <w:lang w:val="en-US"/>
              </w:rPr>
              <w:t>-</w:t>
            </w:r>
          </w:p>
        </w:tc>
        <w:tc>
          <w:tcPr>
            <w:tcW w:w="259" w:type="pct"/>
            <w:gridSpan w:val="3"/>
            <w:vAlign w:val="center"/>
          </w:tcPr>
          <w:p w14:paraId="54569553" w14:textId="77777777" w:rsidR="00C90DA4" w:rsidRPr="00D870C2" w:rsidRDefault="00C90DA4" w:rsidP="00C90DA4">
            <w:pPr>
              <w:rPr>
                <w:rFonts w:cs="Arial"/>
                <w:bCs/>
                <w:szCs w:val="18"/>
                <w:lang w:val="en-US"/>
              </w:rPr>
            </w:pPr>
            <w:r>
              <w:rPr>
                <w:rFonts w:cs="Arial"/>
                <w:bCs/>
                <w:szCs w:val="18"/>
                <w:vertAlign w:val="superscript"/>
                <w:lang w:val="en-US"/>
              </w:rPr>
              <w:t>D</w:t>
            </w:r>
          </w:p>
        </w:tc>
      </w:tr>
      <w:tr w:rsidR="00C90DA4" w:rsidRPr="00D870C2" w14:paraId="301473F2" w14:textId="77777777" w:rsidTr="002D0665">
        <w:trPr>
          <w:trHeight w:val="113"/>
        </w:trPr>
        <w:tc>
          <w:tcPr>
            <w:tcW w:w="2260" w:type="pct"/>
            <w:shd w:val="clear" w:color="auto" w:fill="auto"/>
            <w:noWrap/>
          </w:tcPr>
          <w:p w14:paraId="0356E266" w14:textId="77777777" w:rsidR="00C90DA4" w:rsidRPr="00D870C2" w:rsidRDefault="00C90DA4" w:rsidP="00C90DA4">
            <w:pPr>
              <w:rPr>
                <w:rFonts w:cs="Arial"/>
                <w:szCs w:val="18"/>
                <w:lang w:val="en-US"/>
              </w:rPr>
            </w:pPr>
            <w:r w:rsidRPr="00D870C2">
              <w:rPr>
                <w:rFonts w:cs="Arial"/>
                <w:szCs w:val="18"/>
                <w:lang w:val="en-US"/>
              </w:rPr>
              <w:t> </w:t>
            </w:r>
          </w:p>
        </w:tc>
        <w:tc>
          <w:tcPr>
            <w:tcW w:w="566" w:type="pct"/>
            <w:shd w:val="clear" w:color="auto" w:fill="auto"/>
            <w:noWrap/>
          </w:tcPr>
          <w:p w14:paraId="37380AFE" w14:textId="77777777" w:rsidR="00C90DA4" w:rsidRPr="00D870C2" w:rsidRDefault="00C90DA4" w:rsidP="00C90DA4">
            <w:pPr>
              <w:rPr>
                <w:rFonts w:cs="Arial"/>
                <w:szCs w:val="18"/>
                <w:lang w:val="en-US"/>
              </w:rPr>
            </w:pPr>
          </w:p>
        </w:tc>
        <w:tc>
          <w:tcPr>
            <w:tcW w:w="609" w:type="pct"/>
            <w:tcBorders>
              <w:top w:val="single" w:sz="4" w:space="0" w:color="auto"/>
            </w:tcBorders>
            <w:shd w:val="clear" w:color="auto" w:fill="auto"/>
          </w:tcPr>
          <w:p w14:paraId="7C0A84FE" w14:textId="77777777" w:rsidR="00C90DA4" w:rsidRPr="00D870C2" w:rsidRDefault="00C90DA4" w:rsidP="00C90DA4">
            <w:pPr>
              <w:rPr>
                <w:rFonts w:cs="Arial"/>
                <w:szCs w:val="18"/>
                <w:lang w:val="en-US"/>
              </w:rPr>
            </w:pPr>
          </w:p>
        </w:tc>
        <w:tc>
          <w:tcPr>
            <w:tcW w:w="611" w:type="pct"/>
            <w:tcBorders>
              <w:top w:val="single" w:sz="4" w:space="0" w:color="auto"/>
            </w:tcBorders>
            <w:shd w:val="clear" w:color="auto" w:fill="auto"/>
            <w:noWrap/>
          </w:tcPr>
          <w:p w14:paraId="3A9CF27E" w14:textId="77777777" w:rsidR="00C90DA4" w:rsidRPr="00D870C2" w:rsidRDefault="00C90DA4" w:rsidP="00C90DA4">
            <w:pPr>
              <w:rPr>
                <w:rFonts w:cs="Arial"/>
                <w:szCs w:val="18"/>
                <w:lang w:val="en-US"/>
              </w:rPr>
            </w:pPr>
            <w:r w:rsidRPr="00D870C2">
              <w:rPr>
                <w:rFonts w:cs="Arial"/>
                <w:szCs w:val="18"/>
                <w:lang w:val="en-US"/>
              </w:rPr>
              <w:t> </w:t>
            </w:r>
          </w:p>
        </w:tc>
        <w:tc>
          <w:tcPr>
            <w:tcW w:w="145" w:type="pct"/>
            <w:gridSpan w:val="2"/>
            <w:shd w:val="clear" w:color="auto" w:fill="auto"/>
          </w:tcPr>
          <w:p w14:paraId="320FAD1B" w14:textId="77777777" w:rsidR="00C90DA4" w:rsidRPr="00D870C2" w:rsidRDefault="00C90DA4" w:rsidP="00C90DA4">
            <w:pPr>
              <w:rPr>
                <w:rFonts w:cs="Arial"/>
                <w:szCs w:val="18"/>
                <w:lang w:val="en-US"/>
              </w:rPr>
            </w:pPr>
          </w:p>
        </w:tc>
        <w:tc>
          <w:tcPr>
            <w:tcW w:w="550" w:type="pct"/>
            <w:gridSpan w:val="2"/>
            <w:tcBorders>
              <w:top w:val="single" w:sz="4" w:space="0" w:color="auto"/>
            </w:tcBorders>
            <w:shd w:val="clear" w:color="auto" w:fill="auto"/>
          </w:tcPr>
          <w:p w14:paraId="1E70BCC7" w14:textId="77777777" w:rsidR="00C90DA4" w:rsidRPr="00D870C2" w:rsidRDefault="00C90DA4" w:rsidP="00C90DA4">
            <w:pPr>
              <w:rPr>
                <w:rFonts w:cs="Arial"/>
                <w:szCs w:val="18"/>
                <w:lang w:val="en-US"/>
              </w:rPr>
            </w:pPr>
          </w:p>
        </w:tc>
        <w:tc>
          <w:tcPr>
            <w:tcW w:w="259" w:type="pct"/>
            <w:gridSpan w:val="3"/>
          </w:tcPr>
          <w:p w14:paraId="6606DB35" w14:textId="77777777" w:rsidR="00C90DA4" w:rsidRPr="00D870C2" w:rsidRDefault="00C90DA4" w:rsidP="00C90DA4">
            <w:pPr>
              <w:rPr>
                <w:rFonts w:cs="Arial"/>
                <w:szCs w:val="18"/>
                <w:lang w:val="en-US"/>
              </w:rPr>
            </w:pPr>
          </w:p>
        </w:tc>
      </w:tr>
      <w:tr w:rsidR="00C90DA4" w:rsidRPr="00D870C2" w14:paraId="387D27F3" w14:textId="77777777" w:rsidTr="002D0665">
        <w:trPr>
          <w:gridAfter w:val="1"/>
          <w:wAfter w:w="48" w:type="pct"/>
          <w:trHeight w:val="255"/>
        </w:trPr>
        <w:tc>
          <w:tcPr>
            <w:tcW w:w="4051" w:type="pct"/>
            <w:gridSpan w:val="5"/>
            <w:shd w:val="clear" w:color="auto" w:fill="auto"/>
            <w:noWrap/>
          </w:tcPr>
          <w:p w14:paraId="1BB0CFC7" w14:textId="03266B13" w:rsidR="00C90DA4" w:rsidRPr="00BA2A1F" w:rsidRDefault="00C90DA4" w:rsidP="00F531AA">
            <w:pPr>
              <w:spacing w:before="360"/>
              <w:rPr>
                <w:rFonts w:cs="Arial"/>
                <w:spacing w:val="-4"/>
                <w:szCs w:val="18"/>
                <w:lang w:val="en-US"/>
              </w:rPr>
            </w:pPr>
            <w:r w:rsidRPr="00BA2A1F">
              <w:rPr>
                <w:rFonts w:cs="Arial"/>
                <w:spacing w:val="-4"/>
                <w:szCs w:val="18"/>
                <w:lang w:val="en-US"/>
              </w:rPr>
              <w:t xml:space="preserve">The above statement should be read in conjunction with the accompanying </w:t>
            </w:r>
            <w:r w:rsidR="00F531AA" w:rsidRPr="00BA2A1F">
              <w:rPr>
                <w:rFonts w:cs="Arial"/>
                <w:spacing w:val="-4"/>
                <w:szCs w:val="18"/>
                <w:lang w:val="en-US"/>
              </w:rPr>
              <w:t>n</w:t>
            </w:r>
            <w:r w:rsidRPr="00BA2A1F">
              <w:rPr>
                <w:rFonts w:cs="Arial"/>
                <w:spacing w:val="-4"/>
                <w:szCs w:val="18"/>
                <w:lang w:val="en-US"/>
              </w:rPr>
              <w:t>otes.</w:t>
            </w:r>
          </w:p>
        </w:tc>
        <w:tc>
          <w:tcPr>
            <w:tcW w:w="145" w:type="pct"/>
            <w:gridSpan w:val="2"/>
            <w:shd w:val="clear" w:color="auto" w:fill="auto"/>
          </w:tcPr>
          <w:p w14:paraId="691FB5FF" w14:textId="77777777" w:rsidR="00C90DA4" w:rsidRPr="00D870C2" w:rsidRDefault="00C90DA4" w:rsidP="00C90DA4">
            <w:pPr>
              <w:rPr>
                <w:rFonts w:cs="Arial"/>
                <w:szCs w:val="18"/>
                <w:lang w:val="en-US"/>
              </w:rPr>
            </w:pPr>
          </w:p>
        </w:tc>
        <w:tc>
          <w:tcPr>
            <w:tcW w:w="550" w:type="pct"/>
            <w:gridSpan w:val="2"/>
            <w:shd w:val="clear" w:color="auto" w:fill="auto"/>
          </w:tcPr>
          <w:p w14:paraId="0095D407" w14:textId="77777777" w:rsidR="00C90DA4" w:rsidRPr="00D870C2" w:rsidRDefault="00C90DA4" w:rsidP="00C90DA4">
            <w:pPr>
              <w:rPr>
                <w:rFonts w:cs="Arial"/>
                <w:szCs w:val="18"/>
                <w:lang w:val="en-US"/>
              </w:rPr>
            </w:pPr>
          </w:p>
        </w:tc>
        <w:tc>
          <w:tcPr>
            <w:tcW w:w="206" w:type="pct"/>
          </w:tcPr>
          <w:p w14:paraId="0EF3C299" w14:textId="77777777" w:rsidR="00C90DA4" w:rsidRPr="00D870C2" w:rsidRDefault="00C90DA4" w:rsidP="00C90DA4">
            <w:pPr>
              <w:rPr>
                <w:rFonts w:cs="Arial"/>
                <w:szCs w:val="18"/>
                <w:lang w:val="en-US"/>
              </w:rPr>
            </w:pPr>
          </w:p>
        </w:tc>
      </w:tr>
      <w:tr w:rsidR="00C90DA4" w:rsidRPr="00D870C2" w14:paraId="5CEA0497" w14:textId="77777777" w:rsidTr="002D0665">
        <w:trPr>
          <w:gridAfter w:val="1"/>
          <w:wAfter w:w="48" w:type="pct"/>
          <w:trHeight w:val="255"/>
        </w:trPr>
        <w:tc>
          <w:tcPr>
            <w:tcW w:w="4741" w:type="pct"/>
            <w:gridSpan w:val="8"/>
            <w:shd w:val="clear" w:color="auto" w:fill="auto"/>
            <w:noWrap/>
          </w:tcPr>
          <w:p w14:paraId="34725561" w14:textId="77777777" w:rsidR="00C90DA4" w:rsidRPr="00FB34BD" w:rsidRDefault="00C90DA4" w:rsidP="00C90DA4">
            <w:pPr>
              <w:rPr>
                <w:rFonts w:cs="Arial"/>
                <w:b/>
                <w:szCs w:val="18"/>
                <w:lang w:val="en-US"/>
              </w:rPr>
            </w:pPr>
            <w:r>
              <w:rPr>
                <w:rFonts w:cs="Arial"/>
                <w:b/>
                <w:szCs w:val="18"/>
                <w:lang w:val="en-US"/>
              </w:rPr>
              <w:t>Original Budget Compared to 2017 Actual Variance Commentary</w:t>
            </w:r>
          </w:p>
          <w:p w14:paraId="21423FF5" w14:textId="77777777" w:rsidR="00C90DA4" w:rsidRPr="00FB34BD" w:rsidRDefault="00C90DA4" w:rsidP="00C90DA4">
            <w:pPr>
              <w:rPr>
                <w:rFonts w:cs="Arial"/>
                <w:b/>
                <w:szCs w:val="18"/>
                <w:lang w:val="en-US"/>
              </w:rPr>
            </w:pPr>
            <w:r w:rsidRPr="00FB34BD">
              <w:rPr>
                <w:rFonts w:cs="Arial"/>
                <w:b/>
                <w:szCs w:val="18"/>
                <w:lang w:val="en-US"/>
              </w:rPr>
              <w:t>Statement of Comprehensive Income</w:t>
            </w:r>
          </w:p>
        </w:tc>
        <w:tc>
          <w:tcPr>
            <w:tcW w:w="211" w:type="pct"/>
            <w:gridSpan w:val="2"/>
          </w:tcPr>
          <w:p w14:paraId="059C6C0E" w14:textId="77777777" w:rsidR="00C90DA4" w:rsidRDefault="00C90DA4" w:rsidP="00C90DA4">
            <w:pPr>
              <w:rPr>
                <w:rFonts w:cs="Arial"/>
                <w:b/>
                <w:szCs w:val="18"/>
                <w:lang w:val="en-US"/>
              </w:rPr>
            </w:pPr>
          </w:p>
        </w:tc>
      </w:tr>
      <w:tr w:rsidR="00C90DA4" w14:paraId="0B6D8004" w14:textId="77777777" w:rsidTr="002D0665">
        <w:trPr>
          <w:gridAfter w:val="1"/>
          <w:wAfter w:w="48" w:type="pct"/>
        </w:trPr>
        <w:tc>
          <w:tcPr>
            <w:tcW w:w="4952" w:type="pct"/>
            <w:gridSpan w:val="10"/>
            <w:shd w:val="clear" w:color="auto" w:fill="auto"/>
          </w:tcPr>
          <w:p w14:paraId="18BEF4D7" w14:textId="77777777" w:rsidR="00C90DA4" w:rsidRPr="00C308AF" w:rsidRDefault="00C90DA4" w:rsidP="00C90DA4">
            <w:pPr>
              <w:rPr>
                <w:szCs w:val="18"/>
              </w:rPr>
            </w:pPr>
            <w:r w:rsidRPr="00C308AF">
              <w:rPr>
                <w:szCs w:val="18"/>
                <w:vertAlign w:val="superscript"/>
              </w:rPr>
              <w:t xml:space="preserve">A </w:t>
            </w:r>
            <w:r w:rsidRPr="00506B95">
              <w:rPr>
                <w:spacing w:val="-4"/>
                <w:szCs w:val="18"/>
              </w:rPr>
              <w:t>Variance due to fewer staff transferring from the National Health Performance Authority (NHPA) to the</w:t>
            </w:r>
            <w:r w:rsidRPr="00C308AF">
              <w:rPr>
                <w:szCs w:val="18"/>
              </w:rPr>
              <w:t xml:space="preserve"> Commission and also a reduction </w:t>
            </w:r>
            <w:r>
              <w:rPr>
                <w:szCs w:val="18"/>
              </w:rPr>
              <w:t>due to</w:t>
            </w:r>
            <w:r w:rsidRPr="00C308AF">
              <w:rPr>
                <w:szCs w:val="18"/>
              </w:rPr>
              <w:t xml:space="preserve"> the average staffing level cap imposed by Department of Finance</w:t>
            </w:r>
            <w:r>
              <w:rPr>
                <w:szCs w:val="18"/>
              </w:rPr>
              <w:t>, not</w:t>
            </w:r>
            <w:r w:rsidRPr="00C308AF">
              <w:rPr>
                <w:szCs w:val="18"/>
              </w:rPr>
              <w:t xml:space="preserve"> expected at the time of preparing the </w:t>
            </w:r>
            <w:r>
              <w:rPr>
                <w:szCs w:val="18"/>
              </w:rPr>
              <w:t>Portfolio Budget Statements (PBS)</w:t>
            </w:r>
            <w:r w:rsidRPr="00C308AF">
              <w:rPr>
                <w:szCs w:val="18"/>
              </w:rPr>
              <w:t>.</w:t>
            </w:r>
          </w:p>
          <w:p w14:paraId="70C3A9BB" w14:textId="77777777" w:rsidR="00C90DA4" w:rsidRPr="00C308AF" w:rsidRDefault="00C90DA4" w:rsidP="00C90DA4">
            <w:pPr>
              <w:rPr>
                <w:szCs w:val="18"/>
              </w:rPr>
            </w:pPr>
            <w:r w:rsidRPr="00C308AF">
              <w:rPr>
                <w:szCs w:val="18"/>
                <w:vertAlign w:val="superscript"/>
              </w:rPr>
              <w:t xml:space="preserve">B </w:t>
            </w:r>
            <w:r w:rsidRPr="00506B95">
              <w:rPr>
                <w:spacing w:val="-2"/>
                <w:szCs w:val="18"/>
              </w:rPr>
              <w:t>The budget reflects projects contracted at the time of preparing the PBS. The variance arises due to</w:t>
            </w:r>
            <w:r w:rsidRPr="00C308AF">
              <w:rPr>
                <w:szCs w:val="18"/>
              </w:rPr>
              <w:t xml:space="preserve"> </w:t>
            </w:r>
            <w:r w:rsidRPr="00506B95">
              <w:rPr>
                <w:spacing w:val="-4"/>
                <w:szCs w:val="18"/>
              </w:rPr>
              <w:t>additional 2016-17 funding and project expenditure for projects contracted subsequent to preparation of</w:t>
            </w:r>
            <w:r>
              <w:rPr>
                <w:szCs w:val="18"/>
              </w:rPr>
              <w:t xml:space="preserve"> the PBS</w:t>
            </w:r>
            <w:r w:rsidRPr="00C308AF">
              <w:rPr>
                <w:szCs w:val="18"/>
              </w:rPr>
              <w:t xml:space="preserve">. </w:t>
            </w:r>
          </w:p>
          <w:p w14:paraId="1D534BAB" w14:textId="77777777" w:rsidR="00C90DA4" w:rsidRDefault="00C90DA4" w:rsidP="00C90DA4">
            <w:pPr>
              <w:rPr>
                <w:rFonts w:cs="Arial"/>
                <w:szCs w:val="18"/>
                <w:lang w:val="en-US"/>
              </w:rPr>
            </w:pPr>
            <w:r w:rsidRPr="00C308AF">
              <w:rPr>
                <w:szCs w:val="18"/>
                <w:vertAlign w:val="superscript"/>
              </w:rPr>
              <w:t>C</w:t>
            </w:r>
            <w:r w:rsidRPr="00C308AF">
              <w:rPr>
                <w:szCs w:val="18"/>
              </w:rPr>
              <w:t xml:space="preserve"> </w:t>
            </w:r>
            <w:r w:rsidRPr="00506B95">
              <w:rPr>
                <w:rFonts w:cs="Arial"/>
                <w:spacing w:val="-4"/>
                <w:szCs w:val="18"/>
                <w:lang w:val="en-US"/>
              </w:rPr>
              <w:t>The PBS records a Grants Received total of $13.8m. This is comprised in the financial statements as</w:t>
            </w:r>
            <w:r>
              <w:rPr>
                <w:rFonts w:cs="Arial"/>
                <w:szCs w:val="18"/>
                <w:lang w:val="en-US"/>
              </w:rPr>
              <w:t xml:space="preserve"> </w:t>
            </w:r>
            <w:r w:rsidRPr="00506B95">
              <w:rPr>
                <w:rFonts w:cs="Arial"/>
                <w:spacing w:val="-4"/>
                <w:szCs w:val="18"/>
                <w:lang w:val="en-US"/>
              </w:rPr>
              <w:t>Revenue from Government of $7.4m and $3.5m (see note 1.2) and Rendering of Services $2.9m. The</w:t>
            </w:r>
            <w:r>
              <w:rPr>
                <w:rFonts w:cs="Arial"/>
                <w:szCs w:val="18"/>
                <w:lang w:val="en-US"/>
              </w:rPr>
              <w:t xml:space="preserve"> Original Budget</w:t>
            </w:r>
            <w:r w:rsidRPr="00C308AF">
              <w:rPr>
                <w:rFonts w:cs="Arial"/>
                <w:szCs w:val="18"/>
                <w:lang w:val="en-US"/>
              </w:rPr>
              <w:t xml:space="preserve"> has been restated to reflect this.</w:t>
            </w:r>
          </w:p>
          <w:p w14:paraId="1F8AA5C8" w14:textId="77777777" w:rsidR="00C90DA4" w:rsidRPr="00C308AF" w:rsidRDefault="00C90DA4" w:rsidP="00C90DA4">
            <w:pPr>
              <w:rPr>
                <w:szCs w:val="18"/>
              </w:rPr>
            </w:pPr>
            <w:r w:rsidRPr="00B13E6E">
              <w:rPr>
                <w:rFonts w:cs="Arial"/>
                <w:szCs w:val="18"/>
                <w:vertAlign w:val="superscript"/>
                <w:lang w:val="en-US"/>
              </w:rPr>
              <w:t>D</w:t>
            </w:r>
            <w:r>
              <w:rPr>
                <w:rFonts w:cs="Arial"/>
                <w:szCs w:val="18"/>
                <w:lang w:val="en-US"/>
              </w:rPr>
              <w:t xml:space="preserve"> The budget is derived on a break even assumption.</w:t>
            </w:r>
          </w:p>
          <w:p w14:paraId="2506A826" w14:textId="77777777" w:rsidR="00C90DA4" w:rsidRPr="00FB34BD" w:rsidRDefault="00C90DA4" w:rsidP="00C90DA4">
            <w:pPr>
              <w:rPr>
                <w:szCs w:val="18"/>
                <w:vertAlign w:val="superscript"/>
              </w:rPr>
            </w:pPr>
          </w:p>
        </w:tc>
      </w:tr>
    </w:tbl>
    <w:p w14:paraId="02D4D480" w14:textId="77777777" w:rsidR="00C90DA4" w:rsidRDefault="00C90DA4">
      <w:pPr>
        <w:spacing w:after="160" w:line="259" w:lineRule="auto"/>
      </w:pPr>
    </w:p>
    <w:p w14:paraId="39E8EB12" w14:textId="77777777" w:rsidR="00C90DA4" w:rsidRPr="00C05614" w:rsidRDefault="00C90DA4" w:rsidP="00C90DA4">
      <w:pPr>
        <w:pStyle w:val="Heading2"/>
        <w:pageBreakBefore/>
        <w:spacing w:after="0"/>
        <w:rPr>
          <w:color w:val="auto"/>
        </w:rPr>
      </w:pPr>
      <w:r>
        <w:rPr>
          <w:color w:val="auto"/>
        </w:rPr>
        <w:lastRenderedPageBreak/>
        <w:t>Statement of Financial Position</w:t>
      </w:r>
    </w:p>
    <w:p w14:paraId="378EF0B4" w14:textId="77777777" w:rsidR="00C90DA4" w:rsidRPr="00C05614" w:rsidRDefault="00C90DA4" w:rsidP="00C90DA4">
      <w:r w:rsidRPr="00C05614">
        <w:t xml:space="preserve">as at 30 June </w:t>
      </w:r>
      <w:r>
        <w:t>2017</w:t>
      </w:r>
    </w:p>
    <w:tbl>
      <w:tblPr>
        <w:tblW w:w="4684" w:type="pct"/>
        <w:tblInd w:w="108" w:type="dxa"/>
        <w:tblLook w:val="0000" w:firstRow="0" w:lastRow="0" w:firstColumn="0" w:lastColumn="0" w:noHBand="0" w:noVBand="0"/>
        <w:tblCaption w:val="Statement of Financial Position"/>
      </w:tblPr>
      <w:tblGrid>
        <w:gridCol w:w="3781"/>
        <w:gridCol w:w="856"/>
        <w:gridCol w:w="891"/>
        <w:gridCol w:w="872"/>
        <w:gridCol w:w="222"/>
        <w:gridCol w:w="837"/>
        <w:gridCol w:w="498"/>
      </w:tblGrid>
      <w:tr w:rsidR="00C90DA4" w:rsidRPr="00C05614" w14:paraId="6A5750F1" w14:textId="77777777" w:rsidTr="00C90DA4">
        <w:trPr>
          <w:trHeight w:val="255"/>
        </w:trPr>
        <w:tc>
          <w:tcPr>
            <w:tcW w:w="2380" w:type="pct"/>
            <w:tcBorders>
              <w:top w:val="nil"/>
              <w:left w:val="nil"/>
              <w:bottom w:val="nil"/>
              <w:right w:val="nil"/>
            </w:tcBorders>
            <w:shd w:val="clear" w:color="auto" w:fill="FFFFFF"/>
            <w:noWrap/>
            <w:vAlign w:val="bottom"/>
          </w:tcPr>
          <w:p w14:paraId="01B4E7BC" w14:textId="77777777" w:rsidR="00C90DA4" w:rsidRPr="00F33EB5" w:rsidRDefault="00C90DA4" w:rsidP="00C90DA4">
            <w:pPr>
              <w:rPr>
                <w:rFonts w:cs="Arial"/>
                <w:szCs w:val="18"/>
                <w:lang w:val="en-US"/>
              </w:rPr>
            </w:pPr>
            <w:r w:rsidRPr="00F33EB5">
              <w:rPr>
                <w:rFonts w:cs="Arial"/>
                <w:szCs w:val="18"/>
                <w:lang w:val="en-US"/>
              </w:rPr>
              <w:t> </w:t>
            </w:r>
          </w:p>
        </w:tc>
        <w:tc>
          <w:tcPr>
            <w:tcW w:w="542" w:type="pct"/>
            <w:tcBorders>
              <w:top w:val="nil"/>
              <w:left w:val="nil"/>
              <w:bottom w:val="nil"/>
              <w:right w:val="nil"/>
            </w:tcBorders>
            <w:shd w:val="clear" w:color="auto" w:fill="FFFFFF"/>
            <w:noWrap/>
            <w:vAlign w:val="bottom"/>
          </w:tcPr>
          <w:p w14:paraId="142ACF92" w14:textId="77777777" w:rsidR="00C90DA4" w:rsidRPr="00F33EB5" w:rsidRDefault="00C90DA4" w:rsidP="00C90DA4">
            <w:pPr>
              <w:rPr>
                <w:rFonts w:cs="Arial"/>
                <w:szCs w:val="18"/>
                <w:lang w:val="en-US"/>
              </w:rPr>
            </w:pPr>
            <w:r w:rsidRPr="00F33EB5">
              <w:rPr>
                <w:rFonts w:cs="Arial"/>
                <w:szCs w:val="18"/>
                <w:lang w:val="en-US"/>
              </w:rPr>
              <w:t> </w:t>
            </w:r>
          </w:p>
        </w:tc>
        <w:tc>
          <w:tcPr>
            <w:tcW w:w="564" w:type="pct"/>
            <w:tcBorders>
              <w:top w:val="nil"/>
              <w:left w:val="nil"/>
              <w:bottom w:val="nil"/>
              <w:right w:val="nil"/>
            </w:tcBorders>
            <w:shd w:val="clear" w:color="auto" w:fill="FFFFFF"/>
            <w:vAlign w:val="bottom"/>
          </w:tcPr>
          <w:p w14:paraId="4969D754" w14:textId="77777777" w:rsidR="00C90DA4" w:rsidRPr="00F33EB5" w:rsidRDefault="00C90DA4" w:rsidP="00C90DA4">
            <w:pPr>
              <w:jc w:val="right"/>
              <w:rPr>
                <w:rFonts w:cs="Arial"/>
                <w:b/>
                <w:bCs/>
                <w:szCs w:val="18"/>
                <w:lang w:val="en-US"/>
              </w:rPr>
            </w:pPr>
            <w:r>
              <w:rPr>
                <w:rFonts w:cs="Arial"/>
                <w:b/>
                <w:bCs/>
                <w:szCs w:val="18"/>
                <w:lang w:val="en-US"/>
              </w:rPr>
              <w:t>2017</w:t>
            </w:r>
          </w:p>
        </w:tc>
        <w:tc>
          <w:tcPr>
            <w:tcW w:w="552" w:type="pct"/>
            <w:tcBorders>
              <w:top w:val="nil"/>
              <w:left w:val="nil"/>
              <w:bottom w:val="nil"/>
              <w:right w:val="nil"/>
            </w:tcBorders>
            <w:shd w:val="clear" w:color="auto" w:fill="FFFFFF"/>
            <w:noWrap/>
            <w:vAlign w:val="bottom"/>
          </w:tcPr>
          <w:p w14:paraId="7C768056" w14:textId="77777777" w:rsidR="00C90DA4" w:rsidRPr="00F33EB5" w:rsidRDefault="00C90DA4" w:rsidP="00C90DA4">
            <w:pPr>
              <w:jc w:val="right"/>
              <w:rPr>
                <w:rFonts w:cs="Arial"/>
                <w:bCs/>
                <w:szCs w:val="18"/>
                <w:lang w:val="en-US"/>
              </w:rPr>
            </w:pPr>
            <w:r>
              <w:rPr>
                <w:rFonts w:cs="Arial"/>
                <w:bCs/>
                <w:szCs w:val="18"/>
                <w:lang w:val="en-US"/>
              </w:rPr>
              <w:t>2016</w:t>
            </w:r>
          </w:p>
        </w:tc>
        <w:tc>
          <w:tcPr>
            <w:tcW w:w="135" w:type="pct"/>
            <w:tcBorders>
              <w:top w:val="nil"/>
              <w:left w:val="nil"/>
              <w:bottom w:val="nil"/>
              <w:right w:val="nil"/>
            </w:tcBorders>
            <w:shd w:val="clear" w:color="auto" w:fill="FFFFFF"/>
          </w:tcPr>
          <w:p w14:paraId="692666BD" w14:textId="77777777" w:rsidR="00C90DA4" w:rsidRDefault="00C90DA4" w:rsidP="00C90DA4">
            <w:pPr>
              <w:jc w:val="right"/>
              <w:rPr>
                <w:rFonts w:cs="Arial"/>
                <w:bCs/>
                <w:szCs w:val="18"/>
                <w:lang w:val="en-US"/>
              </w:rPr>
            </w:pPr>
          </w:p>
        </w:tc>
        <w:tc>
          <w:tcPr>
            <w:tcW w:w="509" w:type="pct"/>
            <w:tcBorders>
              <w:top w:val="nil"/>
              <w:left w:val="nil"/>
              <w:bottom w:val="nil"/>
              <w:right w:val="nil"/>
            </w:tcBorders>
            <w:shd w:val="clear" w:color="auto" w:fill="auto"/>
          </w:tcPr>
          <w:p w14:paraId="0140587A" w14:textId="77777777" w:rsidR="00C90DA4" w:rsidRDefault="00C90DA4" w:rsidP="00C90DA4">
            <w:pPr>
              <w:jc w:val="right"/>
              <w:rPr>
                <w:rFonts w:cs="Arial"/>
                <w:bCs/>
                <w:szCs w:val="18"/>
                <w:lang w:val="en-US"/>
              </w:rPr>
            </w:pPr>
          </w:p>
          <w:p w14:paraId="1C8EDE72" w14:textId="77777777" w:rsidR="00C90DA4" w:rsidRDefault="00C90DA4" w:rsidP="00C90DA4">
            <w:pPr>
              <w:jc w:val="right"/>
              <w:rPr>
                <w:rFonts w:cs="Arial"/>
                <w:bCs/>
                <w:szCs w:val="18"/>
                <w:lang w:val="en-US"/>
              </w:rPr>
            </w:pPr>
            <w:r w:rsidRPr="00A84ED4">
              <w:rPr>
                <w:rFonts w:cs="Arial"/>
                <w:bCs/>
                <w:szCs w:val="18"/>
                <w:lang w:val="en-US"/>
              </w:rPr>
              <w:t>Original Budget</w:t>
            </w:r>
          </w:p>
          <w:p w14:paraId="2FF86FA4" w14:textId="77777777" w:rsidR="00C90DA4" w:rsidRPr="00A84ED4" w:rsidRDefault="00C90DA4" w:rsidP="00C90DA4">
            <w:pPr>
              <w:jc w:val="right"/>
              <w:rPr>
                <w:rFonts w:cs="Arial"/>
                <w:bCs/>
                <w:szCs w:val="18"/>
                <w:lang w:val="en-US"/>
              </w:rPr>
            </w:pPr>
            <w:r>
              <w:rPr>
                <w:rFonts w:cs="Arial"/>
                <w:bCs/>
                <w:szCs w:val="18"/>
                <w:lang w:val="en-US"/>
              </w:rPr>
              <w:t>2017</w:t>
            </w:r>
          </w:p>
        </w:tc>
        <w:tc>
          <w:tcPr>
            <w:tcW w:w="317" w:type="pct"/>
            <w:tcBorders>
              <w:top w:val="nil"/>
              <w:left w:val="nil"/>
              <w:bottom w:val="nil"/>
              <w:right w:val="nil"/>
            </w:tcBorders>
            <w:shd w:val="clear" w:color="auto" w:fill="FFFFFF"/>
          </w:tcPr>
          <w:p w14:paraId="68DFBCB5" w14:textId="77777777" w:rsidR="00C90DA4" w:rsidRDefault="00C90DA4" w:rsidP="00C90DA4">
            <w:pPr>
              <w:rPr>
                <w:rFonts w:cs="Arial"/>
                <w:bCs/>
                <w:szCs w:val="18"/>
                <w:lang w:val="en-US"/>
              </w:rPr>
            </w:pPr>
          </w:p>
        </w:tc>
      </w:tr>
      <w:tr w:rsidR="00C90DA4" w:rsidRPr="00C05614" w14:paraId="4D9257F2" w14:textId="77777777" w:rsidTr="00C90DA4">
        <w:trPr>
          <w:trHeight w:val="255"/>
        </w:trPr>
        <w:tc>
          <w:tcPr>
            <w:tcW w:w="2380" w:type="pct"/>
            <w:tcBorders>
              <w:top w:val="nil"/>
              <w:left w:val="nil"/>
              <w:bottom w:val="nil"/>
              <w:right w:val="nil"/>
            </w:tcBorders>
            <w:shd w:val="clear" w:color="auto" w:fill="FFFFFF"/>
            <w:noWrap/>
            <w:vAlign w:val="bottom"/>
          </w:tcPr>
          <w:p w14:paraId="32C92656" w14:textId="77777777" w:rsidR="00C90DA4" w:rsidRPr="00F33EB5" w:rsidRDefault="00C90DA4" w:rsidP="00C90DA4">
            <w:pPr>
              <w:rPr>
                <w:rFonts w:cs="Arial"/>
                <w:szCs w:val="18"/>
                <w:lang w:val="en-US"/>
              </w:rPr>
            </w:pPr>
            <w:r w:rsidRPr="00F33EB5">
              <w:rPr>
                <w:rFonts w:cs="Arial"/>
                <w:szCs w:val="18"/>
                <w:lang w:val="en-US"/>
              </w:rPr>
              <w:t> </w:t>
            </w:r>
          </w:p>
        </w:tc>
        <w:tc>
          <w:tcPr>
            <w:tcW w:w="542" w:type="pct"/>
            <w:tcBorders>
              <w:top w:val="nil"/>
              <w:left w:val="nil"/>
              <w:bottom w:val="nil"/>
              <w:right w:val="nil"/>
            </w:tcBorders>
            <w:shd w:val="clear" w:color="auto" w:fill="FFFFFF"/>
            <w:noWrap/>
            <w:vAlign w:val="bottom"/>
          </w:tcPr>
          <w:p w14:paraId="69D08396" w14:textId="77777777" w:rsidR="00C90DA4" w:rsidRPr="00F33EB5" w:rsidRDefault="00C90DA4" w:rsidP="00C90DA4">
            <w:pPr>
              <w:jc w:val="center"/>
              <w:rPr>
                <w:rFonts w:cs="Arial"/>
                <w:b/>
                <w:bCs/>
                <w:szCs w:val="18"/>
                <w:lang w:val="en-US"/>
              </w:rPr>
            </w:pPr>
            <w:r w:rsidRPr="00F33EB5">
              <w:rPr>
                <w:rFonts w:cs="Arial"/>
                <w:b/>
                <w:bCs/>
                <w:szCs w:val="18"/>
                <w:lang w:val="en-US"/>
              </w:rPr>
              <w:t>Notes</w:t>
            </w:r>
          </w:p>
        </w:tc>
        <w:tc>
          <w:tcPr>
            <w:tcW w:w="564" w:type="pct"/>
            <w:tcBorders>
              <w:top w:val="nil"/>
              <w:left w:val="nil"/>
              <w:bottom w:val="nil"/>
              <w:right w:val="nil"/>
            </w:tcBorders>
            <w:shd w:val="clear" w:color="auto" w:fill="FFFFFF"/>
            <w:vAlign w:val="bottom"/>
          </w:tcPr>
          <w:p w14:paraId="7F55033B" w14:textId="77777777" w:rsidR="00C90DA4" w:rsidRPr="00F33EB5" w:rsidRDefault="00C90DA4" w:rsidP="00C90DA4">
            <w:pPr>
              <w:jc w:val="right"/>
              <w:rPr>
                <w:rFonts w:cs="Arial"/>
                <w:b/>
                <w:bCs/>
                <w:szCs w:val="18"/>
                <w:lang w:val="en-US"/>
              </w:rPr>
            </w:pPr>
            <w:r w:rsidRPr="00F33EB5">
              <w:rPr>
                <w:rFonts w:cs="Arial"/>
                <w:b/>
                <w:bCs/>
                <w:szCs w:val="18"/>
                <w:lang w:val="en-US"/>
              </w:rPr>
              <w:t>$’000</w:t>
            </w:r>
          </w:p>
        </w:tc>
        <w:tc>
          <w:tcPr>
            <w:tcW w:w="552" w:type="pct"/>
            <w:tcBorders>
              <w:top w:val="nil"/>
              <w:left w:val="nil"/>
              <w:bottom w:val="nil"/>
              <w:right w:val="nil"/>
            </w:tcBorders>
            <w:shd w:val="clear" w:color="auto" w:fill="FFFFFF"/>
            <w:noWrap/>
            <w:vAlign w:val="bottom"/>
          </w:tcPr>
          <w:p w14:paraId="7B69E44B" w14:textId="77777777" w:rsidR="00C90DA4" w:rsidRPr="00F33EB5" w:rsidRDefault="00C90DA4" w:rsidP="00C90DA4">
            <w:pPr>
              <w:jc w:val="right"/>
              <w:rPr>
                <w:rFonts w:cs="Arial"/>
                <w:bCs/>
                <w:szCs w:val="18"/>
                <w:lang w:val="en-US"/>
              </w:rPr>
            </w:pPr>
            <w:r w:rsidRPr="00F33EB5">
              <w:rPr>
                <w:rFonts w:cs="Arial"/>
                <w:bCs/>
                <w:szCs w:val="18"/>
                <w:lang w:val="en-US"/>
              </w:rPr>
              <w:t>$’000</w:t>
            </w:r>
          </w:p>
        </w:tc>
        <w:tc>
          <w:tcPr>
            <w:tcW w:w="135" w:type="pct"/>
            <w:tcBorders>
              <w:top w:val="nil"/>
              <w:left w:val="nil"/>
              <w:bottom w:val="nil"/>
              <w:right w:val="nil"/>
            </w:tcBorders>
            <w:shd w:val="clear" w:color="auto" w:fill="FFFFFF"/>
          </w:tcPr>
          <w:p w14:paraId="286806CF" w14:textId="77777777" w:rsidR="00C90DA4" w:rsidRPr="00F33EB5" w:rsidRDefault="00C90DA4" w:rsidP="00C90DA4">
            <w:pPr>
              <w:jc w:val="right"/>
              <w:rPr>
                <w:rFonts w:cs="Arial"/>
                <w:bCs/>
                <w:szCs w:val="18"/>
                <w:lang w:val="en-US"/>
              </w:rPr>
            </w:pPr>
          </w:p>
        </w:tc>
        <w:tc>
          <w:tcPr>
            <w:tcW w:w="509" w:type="pct"/>
            <w:tcBorders>
              <w:top w:val="nil"/>
              <w:left w:val="nil"/>
              <w:bottom w:val="nil"/>
              <w:right w:val="nil"/>
            </w:tcBorders>
            <w:shd w:val="clear" w:color="auto" w:fill="auto"/>
            <w:vAlign w:val="bottom"/>
          </w:tcPr>
          <w:p w14:paraId="39DA0CE4" w14:textId="77777777" w:rsidR="00C90DA4" w:rsidRPr="00A84ED4" w:rsidRDefault="00C90DA4" w:rsidP="00C90DA4">
            <w:pPr>
              <w:jc w:val="right"/>
              <w:rPr>
                <w:rFonts w:cs="Arial"/>
                <w:bCs/>
                <w:szCs w:val="18"/>
                <w:lang w:val="en-US"/>
              </w:rPr>
            </w:pPr>
            <w:r w:rsidRPr="00A84ED4">
              <w:rPr>
                <w:rFonts w:cs="Arial"/>
                <w:bCs/>
                <w:szCs w:val="18"/>
                <w:lang w:val="en-US"/>
              </w:rPr>
              <w:t>$’000</w:t>
            </w:r>
          </w:p>
        </w:tc>
        <w:tc>
          <w:tcPr>
            <w:tcW w:w="317" w:type="pct"/>
            <w:tcBorders>
              <w:top w:val="nil"/>
              <w:left w:val="nil"/>
              <w:bottom w:val="nil"/>
              <w:right w:val="nil"/>
            </w:tcBorders>
            <w:shd w:val="clear" w:color="auto" w:fill="FFFFFF"/>
          </w:tcPr>
          <w:p w14:paraId="7D2D4A8F" w14:textId="77777777" w:rsidR="00C90DA4" w:rsidRPr="00F33EB5" w:rsidRDefault="00C90DA4" w:rsidP="00C90DA4">
            <w:pPr>
              <w:rPr>
                <w:rFonts w:cs="Arial"/>
                <w:bCs/>
                <w:szCs w:val="18"/>
                <w:lang w:val="en-US"/>
              </w:rPr>
            </w:pPr>
          </w:p>
        </w:tc>
      </w:tr>
      <w:tr w:rsidR="00C90DA4" w:rsidRPr="00C05614" w14:paraId="64F14300" w14:textId="77777777" w:rsidTr="00C90DA4">
        <w:trPr>
          <w:trHeight w:val="255"/>
        </w:trPr>
        <w:tc>
          <w:tcPr>
            <w:tcW w:w="2380" w:type="pct"/>
            <w:tcBorders>
              <w:top w:val="nil"/>
              <w:left w:val="nil"/>
              <w:bottom w:val="nil"/>
              <w:right w:val="nil"/>
            </w:tcBorders>
            <w:shd w:val="clear" w:color="auto" w:fill="FFFFFF"/>
            <w:noWrap/>
            <w:vAlign w:val="bottom"/>
          </w:tcPr>
          <w:p w14:paraId="0244AC78" w14:textId="77777777" w:rsidR="00C90DA4" w:rsidRPr="00F33EB5" w:rsidRDefault="00C90DA4" w:rsidP="00C90DA4">
            <w:pPr>
              <w:rPr>
                <w:rFonts w:cs="Arial"/>
                <w:b/>
                <w:bCs/>
                <w:szCs w:val="18"/>
                <w:lang w:val="en-US"/>
              </w:rPr>
            </w:pPr>
            <w:r w:rsidRPr="00F33EB5">
              <w:rPr>
                <w:rFonts w:cs="Arial"/>
                <w:b/>
                <w:bCs/>
                <w:szCs w:val="18"/>
                <w:lang w:val="en-US"/>
              </w:rPr>
              <w:t>ASSETS</w:t>
            </w:r>
          </w:p>
        </w:tc>
        <w:tc>
          <w:tcPr>
            <w:tcW w:w="542" w:type="pct"/>
            <w:tcBorders>
              <w:top w:val="nil"/>
              <w:left w:val="nil"/>
              <w:bottom w:val="nil"/>
              <w:right w:val="nil"/>
            </w:tcBorders>
            <w:shd w:val="clear" w:color="auto" w:fill="FFFFFF"/>
            <w:noWrap/>
            <w:vAlign w:val="bottom"/>
          </w:tcPr>
          <w:p w14:paraId="1F992AFF" w14:textId="77777777" w:rsidR="00C90DA4" w:rsidRPr="00F33EB5" w:rsidRDefault="00C90DA4" w:rsidP="00C90DA4">
            <w:pPr>
              <w:jc w:val="center"/>
              <w:rPr>
                <w:rFonts w:cs="Arial"/>
                <w:szCs w:val="18"/>
                <w:lang w:val="en-US"/>
              </w:rPr>
            </w:pPr>
            <w:r w:rsidRPr="00F33EB5">
              <w:rPr>
                <w:rFonts w:cs="Arial"/>
                <w:szCs w:val="18"/>
                <w:lang w:val="en-US"/>
              </w:rPr>
              <w:t> </w:t>
            </w:r>
          </w:p>
        </w:tc>
        <w:tc>
          <w:tcPr>
            <w:tcW w:w="564" w:type="pct"/>
            <w:tcBorders>
              <w:top w:val="nil"/>
              <w:left w:val="nil"/>
              <w:bottom w:val="nil"/>
              <w:right w:val="nil"/>
            </w:tcBorders>
            <w:shd w:val="clear" w:color="auto" w:fill="FFFFFF"/>
            <w:vAlign w:val="bottom"/>
          </w:tcPr>
          <w:p w14:paraId="52134357" w14:textId="77777777" w:rsidR="00C90DA4" w:rsidRPr="00F33EB5" w:rsidRDefault="00C90DA4" w:rsidP="00C90DA4">
            <w:pPr>
              <w:rPr>
                <w:rFonts w:cs="Arial"/>
                <w:szCs w:val="18"/>
                <w:lang w:val="en-US"/>
              </w:rPr>
            </w:pPr>
            <w:r w:rsidRPr="00F33EB5">
              <w:rPr>
                <w:rFonts w:cs="Arial"/>
                <w:szCs w:val="18"/>
                <w:lang w:val="en-US"/>
              </w:rPr>
              <w:t> </w:t>
            </w:r>
          </w:p>
        </w:tc>
        <w:tc>
          <w:tcPr>
            <w:tcW w:w="552" w:type="pct"/>
            <w:tcBorders>
              <w:top w:val="nil"/>
              <w:left w:val="nil"/>
              <w:bottom w:val="nil"/>
              <w:right w:val="nil"/>
            </w:tcBorders>
            <w:shd w:val="clear" w:color="auto" w:fill="FFFFFF"/>
            <w:noWrap/>
            <w:vAlign w:val="bottom"/>
          </w:tcPr>
          <w:p w14:paraId="480B551E" w14:textId="77777777" w:rsidR="00C90DA4" w:rsidRPr="00F33EB5" w:rsidRDefault="00C90DA4" w:rsidP="00C90DA4">
            <w:pPr>
              <w:rPr>
                <w:rFonts w:cs="Arial"/>
                <w:szCs w:val="18"/>
                <w:lang w:val="en-US"/>
              </w:rPr>
            </w:pPr>
            <w:r w:rsidRPr="00F33EB5">
              <w:rPr>
                <w:rFonts w:cs="Arial"/>
                <w:szCs w:val="18"/>
                <w:lang w:val="en-US"/>
              </w:rPr>
              <w:t> </w:t>
            </w:r>
          </w:p>
        </w:tc>
        <w:tc>
          <w:tcPr>
            <w:tcW w:w="135" w:type="pct"/>
            <w:tcBorders>
              <w:top w:val="nil"/>
              <w:left w:val="nil"/>
              <w:bottom w:val="nil"/>
              <w:right w:val="nil"/>
            </w:tcBorders>
            <w:shd w:val="clear" w:color="auto" w:fill="FFFFFF"/>
          </w:tcPr>
          <w:p w14:paraId="75CD4B0B" w14:textId="77777777" w:rsidR="00C90DA4" w:rsidRPr="00F33EB5" w:rsidRDefault="00C90DA4" w:rsidP="00C90DA4">
            <w:pPr>
              <w:rPr>
                <w:rFonts w:cs="Arial"/>
                <w:szCs w:val="18"/>
                <w:lang w:val="en-US"/>
              </w:rPr>
            </w:pPr>
          </w:p>
        </w:tc>
        <w:tc>
          <w:tcPr>
            <w:tcW w:w="509" w:type="pct"/>
            <w:tcBorders>
              <w:top w:val="nil"/>
              <w:left w:val="nil"/>
              <w:bottom w:val="nil"/>
              <w:right w:val="nil"/>
            </w:tcBorders>
            <w:shd w:val="clear" w:color="auto" w:fill="auto"/>
          </w:tcPr>
          <w:p w14:paraId="5FC4DB75" w14:textId="77777777" w:rsidR="00C90DA4" w:rsidRPr="00A84ED4" w:rsidRDefault="00C90DA4" w:rsidP="00C90DA4">
            <w:pPr>
              <w:rPr>
                <w:rFonts w:cs="Arial"/>
                <w:szCs w:val="18"/>
                <w:lang w:val="en-US"/>
              </w:rPr>
            </w:pPr>
          </w:p>
        </w:tc>
        <w:tc>
          <w:tcPr>
            <w:tcW w:w="317" w:type="pct"/>
            <w:tcBorders>
              <w:top w:val="nil"/>
              <w:left w:val="nil"/>
              <w:bottom w:val="nil"/>
              <w:right w:val="nil"/>
            </w:tcBorders>
            <w:shd w:val="clear" w:color="auto" w:fill="FFFFFF"/>
          </w:tcPr>
          <w:p w14:paraId="1E23F817" w14:textId="77777777" w:rsidR="00C90DA4" w:rsidRPr="00F33EB5" w:rsidRDefault="00C90DA4" w:rsidP="00C90DA4">
            <w:pPr>
              <w:rPr>
                <w:rFonts w:cs="Arial"/>
                <w:szCs w:val="18"/>
                <w:lang w:val="en-US"/>
              </w:rPr>
            </w:pPr>
          </w:p>
        </w:tc>
      </w:tr>
      <w:tr w:rsidR="00C90DA4" w:rsidRPr="00C05614" w14:paraId="3F4BB953" w14:textId="77777777" w:rsidTr="00C90DA4">
        <w:trPr>
          <w:trHeight w:val="255"/>
        </w:trPr>
        <w:tc>
          <w:tcPr>
            <w:tcW w:w="2380" w:type="pct"/>
            <w:tcBorders>
              <w:top w:val="nil"/>
              <w:left w:val="nil"/>
              <w:bottom w:val="nil"/>
              <w:right w:val="nil"/>
            </w:tcBorders>
            <w:shd w:val="clear" w:color="auto" w:fill="FFFFFF"/>
            <w:noWrap/>
            <w:vAlign w:val="bottom"/>
          </w:tcPr>
          <w:p w14:paraId="16A43D21" w14:textId="77777777" w:rsidR="00C90DA4" w:rsidRPr="00F33EB5" w:rsidRDefault="00C90DA4" w:rsidP="00C90DA4">
            <w:pPr>
              <w:rPr>
                <w:rFonts w:cs="Arial"/>
                <w:b/>
                <w:bCs/>
                <w:szCs w:val="18"/>
                <w:lang w:val="en-US"/>
              </w:rPr>
            </w:pPr>
            <w:r w:rsidRPr="00F33EB5">
              <w:rPr>
                <w:rFonts w:cs="Arial"/>
                <w:b/>
                <w:bCs/>
                <w:szCs w:val="18"/>
                <w:lang w:val="en-US"/>
              </w:rPr>
              <w:t>Financial Assets</w:t>
            </w:r>
          </w:p>
        </w:tc>
        <w:tc>
          <w:tcPr>
            <w:tcW w:w="542" w:type="pct"/>
            <w:tcBorders>
              <w:top w:val="nil"/>
              <w:left w:val="nil"/>
              <w:bottom w:val="nil"/>
              <w:right w:val="nil"/>
            </w:tcBorders>
            <w:shd w:val="clear" w:color="auto" w:fill="FFFFFF"/>
            <w:noWrap/>
            <w:vAlign w:val="bottom"/>
          </w:tcPr>
          <w:p w14:paraId="35C9E492" w14:textId="77777777" w:rsidR="00C90DA4" w:rsidRPr="00F33EB5" w:rsidRDefault="00C90DA4" w:rsidP="00C90DA4">
            <w:pPr>
              <w:jc w:val="center"/>
              <w:rPr>
                <w:rFonts w:cs="Arial"/>
                <w:szCs w:val="18"/>
                <w:lang w:val="en-US"/>
              </w:rPr>
            </w:pPr>
            <w:r w:rsidRPr="00F33EB5">
              <w:rPr>
                <w:rFonts w:cs="Arial"/>
                <w:szCs w:val="18"/>
                <w:lang w:val="en-US"/>
              </w:rPr>
              <w:t> </w:t>
            </w:r>
          </w:p>
        </w:tc>
        <w:tc>
          <w:tcPr>
            <w:tcW w:w="564" w:type="pct"/>
            <w:tcBorders>
              <w:top w:val="nil"/>
              <w:left w:val="nil"/>
              <w:bottom w:val="nil"/>
              <w:right w:val="nil"/>
            </w:tcBorders>
            <w:shd w:val="clear" w:color="auto" w:fill="FFFFFF"/>
            <w:vAlign w:val="bottom"/>
          </w:tcPr>
          <w:p w14:paraId="1D5276C1" w14:textId="77777777" w:rsidR="00C90DA4" w:rsidRPr="00F33EB5" w:rsidRDefault="00C90DA4" w:rsidP="00C90DA4">
            <w:pPr>
              <w:jc w:val="right"/>
              <w:rPr>
                <w:rFonts w:cs="Arial"/>
                <w:b/>
                <w:bCs/>
                <w:szCs w:val="18"/>
                <w:lang w:val="en-US"/>
              </w:rPr>
            </w:pPr>
            <w:r w:rsidRPr="00F33EB5">
              <w:rPr>
                <w:rFonts w:cs="Arial"/>
                <w:b/>
                <w:bCs/>
                <w:szCs w:val="18"/>
                <w:lang w:val="en-US"/>
              </w:rPr>
              <w:t> </w:t>
            </w:r>
          </w:p>
        </w:tc>
        <w:tc>
          <w:tcPr>
            <w:tcW w:w="552" w:type="pct"/>
            <w:tcBorders>
              <w:top w:val="nil"/>
              <w:left w:val="nil"/>
              <w:bottom w:val="nil"/>
              <w:right w:val="nil"/>
            </w:tcBorders>
            <w:shd w:val="clear" w:color="auto" w:fill="FFFFFF"/>
            <w:noWrap/>
            <w:vAlign w:val="bottom"/>
          </w:tcPr>
          <w:p w14:paraId="7FA2890D" w14:textId="77777777" w:rsidR="00C90DA4" w:rsidRPr="00F33EB5" w:rsidRDefault="00C90DA4" w:rsidP="00C90DA4">
            <w:pPr>
              <w:jc w:val="right"/>
              <w:rPr>
                <w:rFonts w:cs="Arial"/>
                <w:bCs/>
                <w:szCs w:val="18"/>
                <w:lang w:val="en-US"/>
              </w:rPr>
            </w:pPr>
            <w:r w:rsidRPr="00F33EB5">
              <w:rPr>
                <w:rFonts w:cs="Arial"/>
                <w:bCs/>
                <w:szCs w:val="18"/>
                <w:lang w:val="en-US"/>
              </w:rPr>
              <w:t> </w:t>
            </w:r>
          </w:p>
        </w:tc>
        <w:tc>
          <w:tcPr>
            <w:tcW w:w="135" w:type="pct"/>
            <w:tcBorders>
              <w:top w:val="nil"/>
              <w:left w:val="nil"/>
              <w:bottom w:val="nil"/>
              <w:right w:val="nil"/>
            </w:tcBorders>
            <w:shd w:val="clear" w:color="auto" w:fill="FFFFFF"/>
          </w:tcPr>
          <w:p w14:paraId="1970A7BE" w14:textId="77777777" w:rsidR="00C90DA4" w:rsidRPr="00F33EB5" w:rsidRDefault="00C90DA4" w:rsidP="00C90DA4">
            <w:pPr>
              <w:jc w:val="right"/>
              <w:rPr>
                <w:rFonts w:cs="Arial"/>
                <w:bCs/>
                <w:szCs w:val="18"/>
                <w:lang w:val="en-US"/>
              </w:rPr>
            </w:pPr>
          </w:p>
        </w:tc>
        <w:tc>
          <w:tcPr>
            <w:tcW w:w="509" w:type="pct"/>
            <w:tcBorders>
              <w:top w:val="nil"/>
              <w:left w:val="nil"/>
              <w:bottom w:val="nil"/>
              <w:right w:val="nil"/>
            </w:tcBorders>
            <w:shd w:val="clear" w:color="auto" w:fill="auto"/>
          </w:tcPr>
          <w:p w14:paraId="11DFECC8" w14:textId="77777777" w:rsidR="00C90DA4" w:rsidRPr="00A84ED4" w:rsidRDefault="00C90DA4" w:rsidP="00C90DA4">
            <w:pPr>
              <w:jc w:val="right"/>
              <w:rPr>
                <w:rFonts w:cs="Arial"/>
                <w:bCs/>
                <w:szCs w:val="18"/>
                <w:lang w:val="en-US"/>
              </w:rPr>
            </w:pPr>
          </w:p>
        </w:tc>
        <w:tc>
          <w:tcPr>
            <w:tcW w:w="317" w:type="pct"/>
            <w:tcBorders>
              <w:top w:val="nil"/>
              <w:left w:val="nil"/>
              <w:bottom w:val="nil"/>
              <w:right w:val="nil"/>
            </w:tcBorders>
            <w:shd w:val="clear" w:color="auto" w:fill="FFFFFF"/>
          </w:tcPr>
          <w:p w14:paraId="568B7671" w14:textId="77777777" w:rsidR="00C90DA4" w:rsidRPr="00F33EB5" w:rsidRDefault="00C90DA4" w:rsidP="00C90DA4">
            <w:pPr>
              <w:rPr>
                <w:rFonts w:cs="Arial"/>
                <w:bCs/>
                <w:szCs w:val="18"/>
                <w:lang w:val="en-US"/>
              </w:rPr>
            </w:pPr>
          </w:p>
        </w:tc>
      </w:tr>
      <w:tr w:rsidR="00C90DA4" w:rsidRPr="00922E40" w14:paraId="1BF7EC3C" w14:textId="77777777" w:rsidTr="00C90DA4">
        <w:trPr>
          <w:trHeight w:val="255"/>
        </w:trPr>
        <w:tc>
          <w:tcPr>
            <w:tcW w:w="2380" w:type="pct"/>
            <w:tcBorders>
              <w:top w:val="nil"/>
              <w:left w:val="nil"/>
              <w:bottom w:val="nil"/>
              <w:right w:val="nil"/>
            </w:tcBorders>
            <w:shd w:val="clear" w:color="auto" w:fill="FFFFFF"/>
            <w:noWrap/>
            <w:vAlign w:val="bottom"/>
          </w:tcPr>
          <w:p w14:paraId="57116AAF" w14:textId="77777777" w:rsidR="00C90DA4" w:rsidRPr="00F33EB5" w:rsidRDefault="00C90DA4" w:rsidP="00C90DA4">
            <w:pPr>
              <w:rPr>
                <w:rFonts w:cs="Arial"/>
                <w:szCs w:val="18"/>
                <w:lang w:val="en-US"/>
              </w:rPr>
            </w:pPr>
            <w:r w:rsidRPr="00F33EB5">
              <w:rPr>
                <w:rFonts w:cs="Arial"/>
                <w:szCs w:val="18"/>
                <w:lang w:val="en-US"/>
              </w:rPr>
              <w:t>Cash and cash equivalents</w:t>
            </w:r>
          </w:p>
        </w:tc>
        <w:tc>
          <w:tcPr>
            <w:tcW w:w="542" w:type="pct"/>
            <w:tcBorders>
              <w:top w:val="nil"/>
              <w:left w:val="nil"/>
              <w:bottom w:val="nil"/>
              <w:right w:val="nil"/>
            </w:tcBorders>
            <w:shd w:val="clear" w:color="auto" w:fill="FFFFFF"/>
            <w:noWrap/>
            <w:vAlign w:val="bottom"/>
          </w:tcPr>
          <w:p w14:paraId="5236AAFE" w14:textId="77777777" w:rsidR="00C90DA4" w:rsidRPr="00F33EB5" w:rsidRDefault="00924EF8" w:rsidP="00C90DA4">
            <w:pPr>
              <w:jc w:val="center"/>
              <w:rPr>
                <w:rFonts w:cs="Arial"/>
                <w:szCs w:val="18"/>
                <w:lang w:val="en-US"/>
              </w:rPr>
            </w:pPr>
            <w:hyperlink r:id="rId94" w:anchor="RANGE!_Toc102541826#RANGE!_Toc102541826" w:tooltip="Go to Note" w:history="1">
              <w:r w:rsidR="00C90DA4">
                <w:rPr>
                  <w:rFonts w:cs="Arial"/>
                  <w:szCs w:val="18"/>
                  <w:lang w:val="en-US"/>
                </w:rPr>
                <w:t>2.1</w:t>
              </w:r>
              <w:r w:rsidR="00C90DA4" w:rsidRPr="00F33EB5">
                <w:rPr>
                  <w:rFonts w:cs="Arial"/>
                  <w:szCs w:val="18"/>
                  <w:lang w:val="en-US"/>
                </w:rPr>
                <w:t>A</w:t>
              </w:r>
            </w:hyperlink>
          </w:p>
        </w:tc>
        <w:tc>
          <w:tcPr>
            <w:tcW w:w="564" w:type="pct"/>
            <w:tcBorders>
              <w:top w:val="nil"/>
              <w:left w:val="nil"/>
              <w:bottom w:val="nil"/>
              <w:right w:val="nil"/>
            </w:tcBorders>
            <w:shd w:val="clear" w:color="auto" w:fill="FFFFFF"/>
            <w:vAlign w:val="bottom"/>
          </w:tcPr>
          <w:p w14:paraId="164AAFF0" w14:textId="77777777" w:rsidR="00C90DA4" w:rsidRPr="00F33EB5" w:rsidRDefault="00C90DA4" w:rsidP="00C90DA4">
            <w:pPr>
              <w:jc w:val="right"/>
              <w:rPr>
                <w:rFonts w:cs="Arial"/>
                <w:b/>
                <w:bCs/>
                <w:szCs w:val="18"/>
                <w:lang w:val="en-US"/>
              </w:rPr>
            </w:pPr>
            <w:r>
              <w:rPr>
                <w:rFonts w:cs="Arial"/>
                <w:b/>
                <w:bCs/>
                <w:szCs w:val="18"/>
                <w:lang w:val="en-US"/>
              </w:rPr>
              <w:t>6,333</w:t>
            </w:r>
            <w:r w:rsidRPr="00C51A34">
              <w:rPr>
                <w:rFonts w:cs="Arial"/>
                <w:b/>
                <w:bCs/>
                <w:szCs w:val="18"/>
                <w:lang w:val="en-US"/>
              </w:rPr>
              <w:t xml:space="preserve"> </w:t>
            </w:r>
          </w:p>
        </w:tc>
        <w:tc>
          <w:tcPr>
            <w:tcW w:w="552" w:type="pct"/>
            <w:tcBorders>
              <w:top w:val="nil"/>
              <w:left w:val="nil"/>
              <w:bottom w:val="nil"/>
              <w:right w:val="nil"/>
            </w:tcBorders>
            <w:shd w:val="clear" w:color="auto" w:fill="FFFFFF"/>
            <w:noWrap/>
            <w:vAlign w:val="bottom"/>
          </w:tcPr>
          <w:p w14:paraId="4A4C3F9C" w14:textId="77777777" w:rsidR="00C90DA4" w:rsidRPr="007014B2" w:rsidRDefault="00C90DA4" w:rsidP="00C90DA4">
            <w:pPr>
              <w:jc w:val="right"/>
              <w:rPr>
                <w:rFonts w:cs="Arial"/>
                <w:bCs/>
                <w:szCs w:val="18"/>
                <w:lang w:val="en-US"/>
              </w:rPr>
            </w:pPr>
            <w:r w:rsidRPr="007014B2">
              <w:rPr>
                <w:rFonts w:cs="Arial"/>
                <w:bCs/>
                <w:szCs w:val="18"/>
                <w:lang w:val="en-US"/>
              </w:rPr>
              <w:t xml:space="preserve">10,851 </w:t>
            </w:r>
          </w:p>
        </w:tc>
        <w:tc>
          <w:tcPr>
            <w:tcW w:w="135" w:type="pct"/>
            <w:tcBorders>
              <w:top w:val="nil"/>
              <w:left w:val="nil"/>
              <w:bottom w:val="nil"/>
              <w:right w:val="nil"/>
            </w:tcBorders>
            <w:shd w:val="clear" w:color="auto" w:fill="FFFFFF"/>
          </w:tcPr>
          <w:p w14:paraId="6A313111" w14:textId="77777777" w:rsidR="00C90DA4" w:rsidRPr="00D814E8" w:rsidRDefault="00C90DA4" w:rsidP="00C90DA4">
            <w:pPr>
              <w:jc w:val="right"/>
              <w:rPr>
                <w:rFonts w:cs="Arial"/>
                <w:bCs/>
                <w:szCs w:val="18"/>
                <w:lang w:val="en-US"/>
              </w:rPr>
            </w:pPr>
          </w:p>
        </w:tc>
        <w:tc>
          <w:tcPr>
            <w:tcW w:w="509" w:type="pct"/>
            <w:tcBorders>
              <w:top w:val="nil"/>
              <w:left w:val="nil"/>
              <w:bottom w:val="nil"/>
              <w:right w:val="nil"/>
            </w:tcBorders>
            <w:shd w:val="clear" w:color="auto" w:fill="auto"/>
            <w:vAlign w:val="bottom"/>
          </w:tcPr>
          <w:p w14:paraId="7C343A81" w14:textId="77777777" w:rsidR="00C90DA4" w:rsidRPr="00A84ED4" w:rsidRDefault="00C90DA4" w:rsidP="00C90DA4">
            <w:pPr>
              <w:jc w:val="right"/>
              <w:rPr>
                <w:rFonts w:cs="Arial"/>
                <w:bCs/>
                <w:szCs w:val="18"/>
                <w:lang w:val="en-US"/>
              </w:rPr>
            </w:pPr>
            <w:r w:rsidRPr="00A84ED4">
              <w:rPr>
                <w:rFonts w:cs="Arial"/>
                <w:bCs/>
                <w:szCs w:val="18"/>
                <w:lang w:val="en-US"/>
              </w:rPr>
              <w:t xml:space="preserve">9,089 </w:t>
            </w:r>
          </w:p>
        </w:tc>
        <w:tc>
          <w:tcPr>
            <w:tcW w:w="317" w:type="pct"/>
            <w:tcBorders>
              <w:top w:val="nil"/>
              <w:left w:val="nil"/>
              <w:bottom w:val="nil"/>
              <w:right w:val="nil"/>
            </w:tcBorders>
            <w:shd w:val="clear" w:color="auto" w:fill="FFFFFF"/>
            <w:vAlign w:val="center"/>
          </w:tcPr>
          <w:p w14:paraId="7AB56530" w14:textId="77777777" w:rsidR="00C90DA4" w:rsidRDefault="00C90DA4" w:rsidP="00C90DA4">
            <w:pPr>
              <w:rPr>
                <w:rFonts w:cs="Arial"/>
                <w:bCs/>
                <w:szCs w:val="18"/>
                <w:lang w:val="en-US"/>
              </w:rPr>
            </w:pPr>
            <w:r w:rsidRPr="002E1BBC">
              <w:rPr>
                <w:rFonts w:cs="Arial"/>
                <w:bCs/>
                <w:szCs w:val="18"/>
                <w:vertAlign w:val="superscript"/>
                <w:lang w:val="en-US"/>
              </w:rPr>
              <w:t>A</w:t>
            </w:r>
            <w:r>
              <w:rPr>
                <w:rFonts w:cs="Arial"/>
                <w:bCs/>
                <w:szCs w:val="18"/>
                <w:vertAlign w:val="superscript"/>
                <w:lang w:val="en-US"/>
              </w:rPr>
              <w:t>, B</w:t>
            </w:r>
          </w:p>
        </w:tc>
      </w:tr>
      <w:tr w:rsidR="00C90DA4" w:rsidRPr="00922E40" w14:paraId="4CB1409C" w14:textId="77777777" w:rsidTr="00C90DA4">
        <w:trPr>
          <w:trHeight w:val="272"/>
        </w:trPr>
        <w:tc>
          <w:tcPr>
            <w:tcW w:w="2380" w:type="pct"/>
            <w:tcBorders>
              <w:top w:val="nil"/>
              <w:left w:val="nil"/>
              <w:bottom w:val="nil"/>
              <w:right w:val="nil"/>
            </w:tcBorders>
            <w:shd w:val="clear" w:color="auto" w:fill="FFFFFF"/>
            <w:noWrap/>
            <w:vAlign w:val="bottom"/>
          </w:tcPr>
          <w:p w14:paraId="112E6EC6" w14:textId="77777777" w:rsidR="00C90DA4" w:rsidRPr="00F33EB5" w:rsidRDefault="00C90DA4" w:rsidP="00C90DA4">
            <w:pPr>
              <w:rPr>
                <w:rFonts w:cs="Arial"/>
                <w:szCs w:val="18"/>
                <w:lang w:val="en-US"/>
              </w:rPr>
            </w:pPr>
            <w:r w:rsidRPr="00F33EB5">
              <w:rPr>
                <w:rFonts w:cs="Arial"/>
                <w:szCs w:val="18"/>
                <w:lang w:val="en-US"/>
              </w:rPr>
              <w:t>Trade and other receivables</w:t>
            </w:r>
          </w:p>
        </w:tc>
        <w:tc>
          <w:tcPr>
            <w:tcW w:w="542" w:type="pct"/>
            <w:tcBorders>
              <w:top w:val="nil"/>
              <w:left w:val="nil"/>
              <w:bottom w:val="nil"/>
              <w:right w:val="nil"/>
            </w:tcBorders>
            <w:shd w:val="clear" w:color="auto" w:fill="FFFFFF"/>
            <w:noWrap/>
            <w:vAlign w:val="bottom"/>
          </w:tcPr>
          <w:p w14:paraId="3D5C6584" w14:textId="77777777" w:rsidR="00C90DA4" w:rsidRPr="00F33EB5" w:rsidRDefault="00924EF8" w:rsidP="00C90DA4">
            <w:pPr>
              <w:jc w:val="center"/>
              <w:rPr>
                <w:rFonts w:cs="Arial"/>
                <w:szCs w:val="18"/>
                <w:lang w:val="en-US"/>
              </w:rPr>
            </w:pPr>
            <w:hyperlink r:id="rId95" w:anchor="'Note 7'!A1#'Note 7'!A1" w:tooltip="Go to Note" w:history="1">
              <w:r w:rsidR="00C90DA4">
                <w:rPr>
                  <w:rFonts w:cs="Arial"/>
                  <w:szCs w:val="18"/>
                  <w:lang w:val="en-US"/>
                </w:rPr>
                <w:t>2.1</w:t>
              </w:r>
              <w:r w:rsidR="00C90DA4" w:rsidRPr="00F33EB5">
                <w:rPr>
                  <w:rFonts w:cs="Arial"/>
                  <w:szCs w:val="18"/>
                  <w:lang w:val="en-US"/>
                </w:rPr>
                <w:t>B</w:t>
              </w:r>
            </w:hyperlink>
          </w:p>
        </w:tc>
        <w:tc>
          <w:tcPr>
            <w:tcW w:w="564" w:type="pct"/>
            <w:tcBorders>
              <w:top w:val="nil"/>
              <w:left w:val="nil"/>
              <w:bottom w:val="nil"/>
              <w:right w:val="nil"/>
            </w:tcBorders>
            <w:shd w:val="clear" w:color="auto" w:fill="FFFFFF"/>
            <w:vAlign w:val="bottom"/>
          </w:tcPr>
          <w:p w14:paraId="1CAF4CA7" w14:textId="77777777" w:rsidR="00C90DA4" w:rsidRPr="00F33EB5" w:rsidRDefault="00C90DA4" w:rsidP="00C90DA4">
            <w:pPr>
              <w:jc w:val="right"/>
              <w:rPr>
                <w:rFonts w:cs="Arial"/>
                <w:b/>
                <w:bCs/>
                <w:szCs w:val="18"/>
                <w:lang w:val="en-US"/>
              </w:rPr>
            </w:pPr>
            <w:r>
              <w:rPr>
                <w:rFonts w:cs="Arial"/>
                <w:b/>
                <w:bCs/>
                <w:szCs w:val="18"/>
                <w:lang w:val="en-US"/>
              </w:rPr>
              <w:t>1,858</w:t>
            </w:r>
            <w:r w:rsidRPr="00AD7D08">
              <w:rPr>
                <w:rFonts w:cs="Arial"/>
                <w:b/>
                <w:bCs/>
                <w:szCs w:val="18"/>
                <w:lang w:val="en-US"/>
              </w:rPr>
              <w:t xml:space="preserve"> </w:t>
            </w:r>
          </w:p>
        </w:tc>
        <w:tc>
          <w:tcPr>
            <w:tcW w:w="552" w:type="pct"/>
            <w:tcBorders>
              <w:top w:val="nil"/>
              <w:left w:val="nil"/>
              <w:bottom w:val="nil"/>
              <w:right w:val="nil"/>
            </w:tcBorders>
            <w:shd w:val="clear" w:color="auto" w:fill="FFFFFF"/>
            <w:noWrap/>
            <w:vAlign w:val="bottom"/>
          </w:tcPr>
          <w:p w14:paraId="0C1C5207" w14:textId="77777777" w:rsidR="00C90DA4" w:rsidRPr="007014B2" w:rsidRDefault="00C90DA4" w:rsidP="00C90DA4">
            <w:pPr>
              <w:jc w:val="right"/>
              <w:rPr>
                <w:rFonts w:cs="Arial"/>
                <w:bCs/>
                <w:szCs w:val="18"/>
                <w:lang w:val="en-US"/>
              </w:rPr>
            </w:pPr>
            <w:r w:rsidRPr="007014B2">
              <w:rPr>
                <w:rFonts w:cs="Arial"/>
                <w:bCs/>
                <w:szCs w:val="18"/>
                <w:lang w:val="en-US"/>
              </w:rPr>
              <w:t xml:space="preserve">2,182 </w:t>
            </w:r>
          </w:p>
        </w:tc>
        <w:tc>
          <w:tcPr>
            <w:tcW w:w="135" w:type="pct"/>
            <w:tcBorders>
              <w:top w:val="nil"/>
              <w:left w:val="nil"/>
              <w:bottom w:val="nil"/>
              <w:right w:val="nil"/>
            </w:tcBorders>
            <w:shd w:val="clear" w:color="auto" w:fill="FFFFFF"/>
          </w:tcPr>
          <w:p w14:paraId="3583823A" w14:textId="77777777" w:rsidR="00C90DA4" w:rsidRPr="00D814E8" w:rsidRDefault="00C90DA4" w:rsidP="00C90DA4">
            <w:pPr>
              <w:jc w:val="right"/>
              <w:rPr>
                <w:rFonts w:cs="Arial"/>
                <w:bCs/>
                <w:szCs w:val="18"/>
                <w:lang w:val="en-US"/>
              </w:rPr>
            </w:pPr>
          </w:p>
        </w:tc>
        <w:tc>
          <w:tcPr>
            <w:tcW w:w="509" w:type="pct"/>
            <w:tcBorders>
              <w:top w:val="nil"/>
              <w:left w:val="nil"/>
              <w:bottom w:val="nil"/>
              <w:right w:val="nil"/>
            </w:tcBorders>
            <w:shd w:val="clear" w:color="auto" w:fill="auto"/>
            <w:vAlign w:val="bottom"/>
          </w:tcPr>
          <w:p w14:paraId="1127C0F1" w14:textId="77777777" w:rsidR="00C90DA4" w:rsidRPr="00A84ED4" w:rsidRDefault="00C90DA4" w:rsidP="00C90DA4">
            <w:pPr>
              <w:jc w:val="right"/>
              <w:rPr>
                <w:rFonts w:cs="Arial"/>
                <w:bCs/>
                <w:szCs w:val="18"/>
                <w:lang w:val="en-US"/>
              </w:rPr>
            </w:pPr>
            <w:r w:rsidRPr="00A84ED4">
              <w:rPr>
                <w:rFonts w:cs="Arial"/>
                <w:bCs/>
                <w:szCs w:val="18"/>
                <w:lang w:val="en-US"/>
              </w:rPr>
              <w:t xml:space="preserve">2,838 </w:t>
            </w:r>
          </w:p>
        </w:tc>
        <w:tc>
          <w:tcPr>
            <w:tcW w:w="317" w:type="pct"/>
            <w:tcBorders>
              <w:top w:val="nil"/>
              <w:left w:val="nil"/>
              <w:bottom w:val="nil"/>
              <w:right w:val="nil"/>
            </w:tcBorders>
            <w:shd w:val="clear" w:color="auto" w:fill="FFFFFF"/>
            <w:vAlign w:val="center"/>
          </w:tcPr>
          <w:p w14:paraId="3D21972C" w14:textId="77777777" w:rsidR="00C90DA4" w:rsidRDefault="00C90DA4" w:rsidP="00C90DA4">
            <w:pPr>
              <w:rPr>
                <w:rFonts w:cs="Arial"/>
                <w:bCs/>
                <w:szCs w:val="18"/>
                <w:lang w:val="en-US"/>
              </w:rPr>
            </w:pPr>
            <w:r>
              <w:rPr>
                <w:rFonts w:cs="Arial"/>
                <w:bCs/>
                <w:szCs w:val="18"/>
                <w:vertAlign w:val="superscript"/>
                <w:lang w:val="en-US"/>
              </w:rPr>
              <w:t>A</w:t>
            </w:r>
          </w:p>
        </w:tc>
      </w:tr>
      <w:tr w:rsidR="00C90DA4" w:rsidRPr="00922E40" w14:paraId="0192CC15" w14:textId="77777777" w:rsidTr="00C90DA4">
        <w:trPr>
          <w:trHeight w:val="255"/>
        </w:trPr>
        <w:tc>
          <w:tcPr>
            <w:tcW w:w="2380" w:type="pct"/>
            <w:tcBorders>
              <w:top w:val="nil"/>
              <w:left w:val="nil"/>
              <w:bottom w:val="nil"/>
              <w:right w:val="nil"/>
            </w:tcBorders>
            <w:shd w:val="clear" w:color="auto" w:fill="FFFFFF"/>
            <w:noWrap/>
            <w:vAlign w:val="bottom"/>
          </w:tcPr>
          <w:p w14:paraId="47088167" w14:textId="77777777" w:rsidR="00C90DA4" w:rsidRPr="00F33EB5" w:rsidRDefault="00C90DA4" w:rsidP="00C90DA4">
            <w:pPr>
              <w:rPr>
                <w:rFonts w:cs="Arial"/>
                <w:b/>
                <w:bCs/>
                <w:szCs w:val="18"/>
                <w:lang w:val="en-US"/>
              </w:rPr>
            </w:pPr>
            <w:r w:rsidRPr="00F33EB5">
              <w:rPr>
                <w:rFonts w:cs="Arial"/>
                <w:b/>
                <w:bCs/>
                <w:szCs w:val="18"/>
                <w:lang w:val="en-US"/>
              </w:rPr>
              <w:t>Total financial assets</w:t>
            </w:r>
          </w:p>
        </w:tc>
        <w:tc>
          <w:tcPr>
            <w:tcW w:w="542" w:type="pct"/>
            <w:tcBorders>
              <w:top w:val="nil"/>
              <w:left w:val="nil"/>
              <w:bottom w:val="nil"/>
              <w:right w:val="nil"/>
            </w:tcBorders>
            <w:shd w:val="clear" w:color="auto" w:fill="FFFFFF"/>
            <w:noWrap/>
            <w:vAlign w:val="bottom"/>
          </w:tcPr>
          <w:p w14:paraId="2C59395D" w14:textId="77777777" w:rsidR="00C90DA4" w:rsidRPr="00F33EB5" w:rsidRDefault="00C90DA4" w:rsidP="00C90DA4">
            <w:pPr>
              <w:jc w:val="center"/>
              <w:rPr>
                <w:rFonts w:cs="Arial"/>
                <w:szCs w:val="18"/>
                <w:lang w:val="en-US"/>
              </w:rPr>
            </w:pPr>
          </w:p>
        </w:tc>
        <w:tc>
          <w:tcPr>
            <w:tcW w:w="564" w:type="pct"/>
            <w:tcBorders>
              <w:top w:val="single" w:sz="4" w:space="0" w:color="auto"/>
              <w:left w:val="nil"/>
              <w:bottom w:val="single" w:sz="4" w:space="0" w:color="auto"/>
              <w:right w:val="nil"/>
            </w:tcBorders>
            <w:shd w:val="clear" w:color="auto" w:fill="FFFFFF"/>
            <w:vAlign w:val="bottom"/>
          </w:tcPr>
          <w:p w14:paraId="75FA82AB" w14:textId="77777777" w:rsidR="00C90DA4" w:rsidRPr="00F33EB5" w:rsidRDefault="00C90DA4" w:rsidP="00C90DA4">
            <w:pPr>
              <w:jc w:val="right"/>
              <w:rPr>
                <w:rFonts w:cs="Arial"/>
                <w:b/>
                <w:bCs/>
                <w:szCs w:val="18"/>
                <w:lang w:val="en-US"/>
              </w:rPr>
            </w:pPr>
            <w:r>
              <w:rPr>
                <w:rFonts w:cs="Arial"/>
                <w:b/>
                <w:bCs/>
                <w:szCs w:val="18"/>
                <w:lang w:val="en-US"/>
              </w:rPr>
              <w:t>8,191</w:t>
            </w:r>
            <w:r w:rsidRPr="00C51A34">
              <w:rPr>
                <w:rFonts w:cs="Arial"/>
                <w:b/>
                <w:bCs/>
                <w:szCs w:val="18"/>
                <w:lang w:val="en-US"/>
              </w:rPr>
              <w:t xml:space="preserve"> </w:t>
            </w:r>
          </w:p>
        </w:tc>
        <w:tc>
          <w:tcPr>
            <w:tcW w:w="552" w:type="pct"/>
            <w:tcBorders>
              <w:top w:val="single" w:sz="4" w:space="0" w:color="auto"/>
              <w:left w:val="nil"/>
              <w:bottom w:val="single" w:sz="4" w:space="0" w:color="auto"/>
              <w:right w:val="nil"/>
            </w:tcBorders>
            <w:shd w:val="clear" w:color="auto" w:fill="FFFFFF"/>
            <w:noWrap/>
            <w:vAlign w:val="bottom"/>
          </w:tcPr>
          <w:p w14:paraId="2673CAD1" w14:textId="77777777" w:rsidR="00C90DA4" w:rsidRPr="007014B2" w:rsidRDefault="00C90DA4" w:rsidP="00C90DA4">
            <w:pPr>
              <w:jc w:val="right"/>
              <w:rPr>
                <w:rFonts w:cs="Arial"/>
                <w:bCs/>
                <w:szCs w:val="18"/>
                <w:lang w:val="en-US"/>
              </w:rPr>
            </w:pPr>
            <w:r w:rsidRPr="007014B2">
              <w:rPr>
                <w:rFonts w:cs="Arial"/>
                <w:bCs/>
                <w:szCs w:val="18"/>
                <w:lang w:val="en-US"/>
              </w:rPr>
              <w:t xml:space="preserve">13,033 </w:t>
            </w:r>
          </w:p>
        </w:tc>
        <w:tc>
          <w:tcPr>
            <w:tcW w:w="135" w:type="pct"/>
            <w:tcBorders>
              <w:left w:val="nil"/>
              <w:right w:val="nil"/>
            </w:tcBorders>
            <w:shd w:val="clear" w:color="auto" w:fill="FFFFFF"/>
          </w:tcPr>
          <w:p w14:paraId="43386E98" w14:textId="77777777" w:rsidR="00C90DA4" w:rsidRPr="00D814E8" w:rsidRDefault="00C90DA4" w:rsidP="00C90DA4">
            <w:pPr>
              <w:jc w:val="right"/>
              <w:rPr>
                <w:rFonts w:cs="Arial"/>
                <w:bCs/>
                <w:szCs w:val="18"/>
                <w:lang w:val="en-US"/>
              </w:rPr>
            </w:pPr>
          </w:p>
        </w:tc>
        <w:tc>
          <w:tcPr>
            <w:tcW w:w="509" w:type="pct"/>
            <w:tcBorders>
              <w:top w:val="single" w:sz="4" w:space="0" w:color="auto"/>
              <w:left w:val="nil"/>
              <w:bottom w:val="single" w:sz="4" w:space="0" w:color="auto"/>
              <w:right w:val="nil"/>
            </w:tcBorders>
            <w:shd w:val="clear" w:color="auto" w:fill="auto"/>
            <w:vAlign w:val="bottom"/>
          </w:tcPr>
          <w:p w14:paraId="66F79FAC" w14:textId="77777777" w:rsidR="00C90DA4" w:rsidRPr="00A84ED4" w:rsidRDefault="00C90DA4" w:rsidP="00C90DA4">
            <w:pPr>
              <w:jc w:val="right"/>
              <w:rPr>
                <w:rFonts w:cs="Arial"/>
                <w:bCs/>
                <w:szCs w:val="18"/>
                <w:lang w:val="en-US"/>
              </w:rPr>
            </w:pPr>
            <w:r w:rsidRPr="00A84ED4">
              <w:rPr>
                <w:rFonts w:cs="Arial"/>
                <w:bCs/>
                <w:szCs w:val="18"/>
                <w:lang w:val="en-US"/>
              </w:rPr>
              <w:t xml:space="preserve">11,927 </w:t>
            </w:r>
          </w:p>
        </w:tc>
        <w:tc>
          <w:tcPr>
            <w:tcW w:w="317" w:type="pct"/>
            <w:tcBorders>
              <w:left w:val="nil"/>
              <w:right w:val="nil"/>
            </w:tcBorders>
            <w:shd w:val="clear" w:color="auto" w:fill="FFFFFF"/>
          </w:tcPr>
          <w:p w14:paraId="44B57D40" w14:textId="77777777" w:rsidR="00C90DA4" w:rsidRDefault="00C90DA4" w:rsidP="00C90DA4">
            <w:pPr>
              <w:rPr>
                <w:rFonts w:cs="Arial"/>
                <w:bCs/>
                <w:szCs w:val="18"/>
                <w:lang w:val="en-US"/>
              </w:rPr>
            </w:pPr>
          </w:p>
        </w:tc>
      </w:tr>
      <w:tr w:rsidR="00C90DA4" w:rsidRPr="00922E40" w14:paraId="3010B84A" w14:textId="77777777" w:rsidTr="00C90DA4">
        <w:trPr>
          <w:trHeight w:val="255"/>
        </w:trPr>
        <w:tc>
          <w:tcPr>
            <w:tcW w:w="2380" w:type="pct"/>
            <w:tcBorders>
              <w:top w:val="nil"/>
              <w:left w:val="nil"/>
              <w:bottom w:val="nil"/>
              <w:right w:val="nil"/>
            </w:tcBorders>
            <w:shd w:val="clear" w:color="auto" w:fill="FFFFFF"/>
            <w:noWrap/>
            <w:vAlign w:val="bottom"/>
          </w:tcPr>
          <w:p w14:paraId="77ABEE35" w14:textId="77777777" w:rsidR="00C90DA4" w:rsidRPr="00F33EB5" w:rsidRDefault="00C90DA4" w:rsidP="00C90DA4">
            <w:pPr>
              <w:spacing w:before="120"/>
              <w:rPr>
                <w:rFonts w:cs="Arial"/>
                <w:b/>
                <w:bCs/>
                <w:szCs w:val="18"/>
                <w:lang w:val="en-US"/>
              </w:rPr>
            </w:pPr>
            <w:r w:rsidRPr="00F33EB5">
              <w:rPr>
                <w:rFonts w:cs="Arial"/>
                <w:b/>
                <w:bCs/>
                <w:szCs w:val="18"/>
                <w:lang w:val="en-US"/>
              </w:rPr>
              <w:t>Non-Financial Assets</w:t>
            </w:r>
          </w:p>
        </w:tc>
        <w:tc>
          <w:tcPr>
            <w:tcW w:w="542" w:type="pct"/>
            <w:tcBorders>
              <w:top w:val="nil"/>
              <w:left w:val="nil"/>
              <w:bottom w:val="nil"/>
              <w:right w:val="nil"/>
            </w:tcBorders>
            <w:shd w:val="clear" w:color="auto" w:fill="FFFFFF"/>
            <w:noWrap/>
            <w:vAlign w:val="bottom"/>
          </w:tcPr>
          <w:p w14:paraId="19DE6A62" w14:textId="77777777" w:rsidR="00C90DA4" w:rsidRPr="00F33EB5" w:rsidRDefault="00C90DA4" w:rsidP="00C90DA4">
            <w:pPr>
              <w:jc w:val="center"/>
              <w:rPr>
                <w:rFonts w:cs="Arial"/>
                <w:szCs w:val="18"/>
                <w:lang w:val="en-US"/>
              </w:rPr>
            </w:pPr>
          </w:p>
        </w:tc>
        <w:tc>
          <w:tcPr>
            <w:tcW w:w="564" w:type="pct"/>
            <w:tcBorders>
              <w:top w:val="nil"/>
              <w:left w:val="nil"/>
              <w:bottom w:val="nil"/>
              <w:right w:val="nil"/>
            </w:tcBorders>
            <w:shd w:val="clear" w:color="auto" w:fill="FFFFFF"/>
            <w:vAlign w:val="bottom"/>
          </w:tcPr>
          <w:p w14:paraId="04A3EBAD" w14:textId="77777777" w:rsidR="00C90DA4" w:rsidRPr="00F33EB5" w:rsidRDefault="00C90DA4" w:rsidP="00C90DA4">
            <w:pPr>
              <w:jc w:val="right"/>
              <w:rPr>
                <w:rFonts w:cs="Arial"/>
                <w:b/>
                <w:bCs/>
                <w:szCs w:val="18"/>
                <w:lang w:val="en-US"/>
              </w:rPr>
            </w:pPr>
          </w:p>
        </w:tc>
        <w:tc>
          <w:tcPr>
            <w:tcW w:w="552" w:type="pct"/>
            <w:tcBorders>
              <w:top w:val="nil"/>
              <w:left w:val="nil"/>
              <w:bottom w:val="nil"/>
              <w:right w:val="nil"/>
            </w:tcBorders>
            <w:shd w:val="clear" w:color="auto" w:fill="FFFFFF"/>
            <w:noWrap/>
            <w:vAlign w:val="bottom"/>
          </w:tcPr>
          <w:p w14:paraId="1F94F68F" w14:textId="77777777" w:rsidR="00C90DA4" w:rsidRPr="007014B2" w:rsidRDefault="00C90DA4" w:rsidP="00C90DA4">
            <w:pPr>
              <w:jc w:val="right"/>
              <w:rPr>
                <w:rFonts w:cs="Arial"/>
                <w:bCs/>
                <w:szCs w:val="18"/>
                <w:lang w:val="en-US"/>
              </w:rPr>
            </w:pPr>
          </w:p>
        </w:tc>
        <w:tc>
          <w:tcPr>
            <w:tcW w:w="135" w:type="pct"/>
            <w:tcBorders>
              <w:top w:val="nil"/>
              <w:left w:val="nil"/>
              <w:bottom w:val="nil"/>
              <w:right w:val="nil"/>
            </w:tcBorders>
            <w:shd w:val="clear" w:color="auto" w:fill="FFFFFF"/>
          </w:tcPr>
          <w:p w14:paraId="30C393F5" w14:textId="77777777" w:rsidR="00C90DA4" w:rsidRPr="00D814E8" w:rsidRDefault="00C90DA4" w:rsidP="00C90DA4">
            <w:pPr>
              <w:jc w:val="right"/>
              <w:rPr>
                <w:rFonts w:cs="Arial"/>
                <w:bCs/>
                <w:szCs w:val="18"/>
                <w:lang w:val="en-US"/>
              </w:rPr>
            </w:pPr>
          </w:p>
        </w:tc>
        <w:tc>
          <w:tcPr>
            <w:tcW w:w="509" w:type="pct"/>
            <w:tcBorders>
              <w:top w:val="nil"/>
              <w:left w:val="nil"/>
              <w:bottom w:val="nil"/>
              <w:right w:val="nil"/>
            </w:tcBorders>
            <w:shd w:val="clear" w:color="auto" w:fill="auto"/>
          </w:tcPr>
          <w:p w14:paraId="5A0FE6D5" w14:textId="77777777" w:rsidR="00C90DA4" w:rsidRPr="00A84ED4" w:rsidRDefault="00C90DA4" w:rsidP="00C90DA4">
            <w:pPr>
              <w:jc w:val="right"/>
              <w:rPr>
                <w:rFonts w:cs="Arial"/>
                <w:bCs/>
                <w:szCs w:val="18"/>
                <w:lang w:val="en-US"/>
              </w:rPr>
            </w:pPr>
          </w:p>
        </w:tc>
        <w:tc>
          <w:tcPr>
            <w:tcW w:w="317" w:type="pct"/>
            <w:tcBorders>
              <w:top w:val="nil"/>
              <w:left w:val="nil"/>
              <w:bottom w:val="nil"/>
              <w:right w:val="nil"/>
            </w:tcBorders>
            <w:shd w:val="clear" w:color="auto" w:fill="FFFFFF"/>
          </w:tcPr>
          <w:p w14:paraId="2F176880" w14:textId="77777777" w:rsidR="00C90DA4" w:rsidRPr="00D814E8" w:rsidRDefault="00C90DA4" w:rsidP="00C90DA4">
            <w:pPr>
              <w:rPr>
                <w:rFonts w:cs="Arial"/>
                <w:bCs/>
                <w:szCs w:val="18"/>
                <w:lang w:val="en-US"/>
              </w:rPr>
            </w:pPr>
          </w:p>
        </w:tc>
      </w:tr>
      <w:tr w:rsidR="00C90DA4" w:rsidRPr="00922E40" w14:paraId="432A0E09" w14:textId="77777777" w:rsidTr="00C90DA4">
        <w:trPr>
          <w:trHeight w:val="272"/>
        </w:trPr>
        <w:tc>
          <w:tcPr>
            <w:tcW w:w="2380" w:type="pct"/>
            <w:tcBorders>
              <w:top w:val="nil"/>
              <w:left w:val="nil"/>
              <w:bottom w:val="nil"/>
              <w:right w:val="nil"/>
            </w:tcBorders>
            <w:shd w:val="clear" w:color="auto" w:fill="FFFFFF"/>
            <w:noWrap/>
            <w:vAlign w:val="bottom"/>
          </w:tcPr>
          <w:p w14:paraId="0C7AB4CB" w14:textId="77777777" w:rsidR="00C90DA4" w:rsidRPr="00F33EB5" w:rsidRDefault="00C90DA4" w:rsidP="00C90DA4">
            <w:pPr>
              <w:rPr>
                <w:rFonts w:cs="Arial"/>
                <w:szCs w:val="18"/>
                <w:lang w:val="en-US"/>
              </w:rPr>
            </w:pPr>
            <w:r w:rsidRPr="00F33EB5">
              <w:rPr>
                <w:rFonts w:cs="Arial"/>
                <w:szCs w:val="18"/>
                <w:lang w:val="en-US"/>
              </w:rPr>
              <w:t>Property, plant and equipment</w:t>
            </w:r>
          </w:p>
        </w:tc>
        <w:tc>
          <w:tcPr>
            <w:tcW w:w="542" w:type="pct"/>
            <w:tcBorders>
              <w:top w:val="nil"/>
              <w:left w:val="nil"/>
              <w:bottom w:val="nil"/>
              <w:right w:val="nil"/>
            </w:tcBorders>
            <w:shd w:val="clear" w:color="auto" w:fill="FFFFFF"/>
            <w:noWrap/>
            <w:vAlign w:val="bottom"/>
          </w:tcPr>
          <w:p w14:paraId="5A769547" w14:textId="77777777" w:rsidR="00C90DA4" w:rsidRPr="00F33EB5" w:rsidRDefault="00924EF8" w:rsidP="00C90DA4">
            <w:pPr>
              <w:jc w:val="center"/>
              <w:rPr>
                <w:rFonts w:cs="Arial"/>
                <w:szCs w:val="18"/>
                <w:lang w:val="en-US"/>
              </w:rPr>
            </w:pPr>
            <w:hyperlink r:id="rId96" w:anchor="'Note 8'!A1#'Note 8'!A1" w:tooltip="Go to Note" w:history="1">
              <w:r w:rsidR="00C90DA4">
                <w:rPr>
                  <w:rFonts w:cs="Arial"/>
                  <w:szCs w:val="18"/>
                  <w:lang w:val="en-US"/>
                </w:rPr>
                <w:t>2.2</w:t>
              </w:r>
              <w:r w:rsidR="00C90DA4" w:rsidRPr="00F33EB5">
                <w:rPr>
                  <w:rFonts w:cs="Arial"/>
                  <w:szCs w:val="18"/>
                  <w:lang w:val="en-US"/>
                </w:rPr>
                <w:t>A</w:t>
              </w:r>
            </w:hyperlink>
          </w:p>
        </w:tc>
        <w:tc>
          <w:tcPr>
            <w:tcW w:w="564" w:type="pct"/>
            <w:tcBorders>
              <w:top w:val="nil"/>
              <w:left w:val="nil"/>
              <w:bottom w:val="nil"/>
              <w:right w:val="nil"/>
            </w:tcBorders>
            <w:shd w:val="clear" w:color="auto" w:fill="FFFFFF"/>
            <w:vAlign w:val="bottom"/>
          </w:tcPr>
          <w:p w14:paraId="1249B437" w14:textId="77777777" w:rsidR="00C90DA4" w:rsidRPr="00F33EB5" w:rsidRDefault="00C90DA4" w:rsidP="00C90DA4">
            <w:pPr>
              <w:jc w:val="right"/>
              <w:rPr>
                <w:rFonts w:cs="Arial"/>
                <w:b/>
                <w:bCs/>
                <w:szCs w:val="18"/>
                <w:lang w:val="en-US"/>
              </w:rPr>
            </w:pPr>
            <w:r>
              <w:rPr>
                <w:rFonts w:cs="Arial"/>
                <w:b/>
                <w:bCs/>
                <w:szCs w:val="18"/>
                <w:lang w:val="en-US"/>
              </w:rPr>
              <w:t>138</w:t>
            </w:r>
            <w:r w:rsidRPr="00AD7D08">
              <w:rPr>
                <w:rFonts w:cs="Arial"/>
                <w:b/>
                <w:bCs/>
                <w:szCs w:val="18"/>
                <w:lang w:val="en-US"/>
              </w:rPr>
              <w:t xml:space="preserve"> </w:t>
            </w:r>
          </w:p>
        </w:tc>
        <w:tc>
          <w:tcPr>
            <w:tcW w:w="552" w:type="pct"/>
            <w:tcBorders>
              <w:top w:val="nil"/>
              <w:left w:val="nil"/>
              <w:bottom w:val="nil"/>
              <w:right w:val="nil"/>
            </w:tcBorders>
            <w:shd w:val="clear" w:color="auto" w:fill="FFFFFF"/>
            <w:noWrap/>
            <w:vAlign w:val="bottom"/>
          </w:tcPr>
          <w:p w14:paraId="30935947" w14:textId="77777777" w:rsidR="00C90DA4" w:rsidRPr="007014B2" w:rsidRDefault="00C90DA4" w:rsidP="00C90DA4">
            <w:pPr>
              <w:jc w:val="right"/>
              <w:rPr>
                <w:rFonts w:cs="Arial"/>
                <w:bCs/>
                <w:szCs w:val="18"/>
                <w:lang w:val="en-US"/>
              </w:rPr>
            </w:pPr>
            <w:r w:rsidRPr="007014B2">
              <w:rPr>
                <w:rFonts w:cs="Arial"/>
                <w:bCs/>
                <w:szCs w:val="18"/>
                <w:lang w:val="en-US"/>
              </w:rPr>
              <w:t xml:space="preserve">398 </w:t>
            </w:r>
          </w:p>
        </w:tc>
        <w:tc>
          <w:tcPr>
            <w:tcW w:w="135" w:type="pct"/>
            <w:tcBorders>
              <w:top w:val="nil"/>
              <w:left w:val="nil"/>
              <w:bottom w:val="nil"/>
              <w:right w:val="nil"/>
            </w:tcBorders>
            <w:shd w:val="clear" w:color="auto" w:fill="FFFFFF"/>
          </w:tcPr>
          <w:p w14:paraId="1FD4D495" w14:textId="77777777" w:rsidR="00C90DA4" w:rsidRPr="00D814E8" w:rsidRDefault="00C90DA4" w:rsidP="00C90DA4">
            <w:pPr>
              <w:jc w:val="right"/>
              <w:rPr>
                <w:rFonts w:cs="Arial"/>
                <w:bCs/>
                <w:szCs w:val="18"/>
                <w:lang w:val="en-US"/>
              </w:rPr>
            </w:pPr>
          </w:p>
        </w:tc>
        <w:tc>
          <w:tcPr>
            <w:tcW w:w="509" w:type="pct"/>
            <w:tcBorders>
              <w:top w:val="nil"/>
              <w:left w:val="nil"/>
              <w:bottom w:val="nil"/>
              <w:right w:val="nil"/>
            </w:tcBorders>
            <w:shd w:val="clear" w:color="auto" w:fill="auto"/>
            <w:vAlign w:val="bottom"/>
          </w:tcPr>
          <w:p w14:paraId="42EC1F29" w14:textId="77777777" w:rsidR="00C90DA4" w:rsidRPr="00A84ED4" w:rsidRDefault="00C90DA4" w:rsidP="00C90DA4">
            <w:pPr>
              <w:jc w:val="right"/>
              <w:rPr>
                <w:rFonts w:cs="Arial"/>
                <w:bCs/>
                <w:szCs w:val="18"/>
                <w:lang w:val="en-US"/>
              </w:rPr>
            </w:pPr>
            <w:r w:rsidRPr="00A84ED4">
              <w:rPr>
                <w:rFonts w:cs="Arial"/>
                <w:bCs/>
                <w:szCs w:val="18"/>
                <w:lang w:val="en-US"/>
              </w:rPr>
              <w:t xml:space="preserve">44 </w:t>
            </w:r>
          </w:p>
        </w:tc>
        <w:tc>
          <w:tcPr>
            <w:tcW w:w="317" w:type="pct"/>
            <w:tcBorders>
              <w:top w:val="nil"/>
              <w:left w:val="nil"/>
              <w:bottom w:val="nil"/>
              <w:right w:val="nil"/>
            </w:tcBorders>
            <w:shd w:val="clear" w:color="auto" w:fill="FFFFFF"/>
            <w:vAlign w:val="center"/>
          </w:tcPr>
          <w:p w14:paraId="77744939" w14:textId="77777777" w:rsidR="00C90DA4" w:rsidRPr="00C308AF" w:rsidRDefault="00C90DA4" w:rsidP="00C90DA4">
            <w:pPr>
              <w:rPr>
                <w:rFonts w:cs="Arial"/>
                <w:bCs/>
                <w:szCs w:val="18"/>
                <w:vertAlign w:val="superscript"/>
                <w:lang w:val="en-US"/>
              </w:rPr>
            </w:pPr>
          </w:p>
        </w:tc>
      </w:tr>
      <w:tr w:rsidR="00C90DA4" w:rsidRPr="00922E40" w14:paraId="1CF946DD" w14:textId="77777777" w:rsidTr="00C90DA4">
        <w:trPr>
          <w:trHeight w:val="272"/>
        </w:trPr>
        <w:tc>
          <w:tcPr>
            <w:tcW w:w="2380" w:type="pct"/>
            <w:tcBorders>
              <w:top w:val="nil"/>
              <w:left w:val="nil"/>
              <w:bottom w:val="nil"/>
              <w:right w:val="nil"/>
            </w:tcBorders>
            <w:shd w:val="clear" w:color="auto" w:fill="FFFFFF"/>
            <w:noWrap/>
            <w:vAlign w:val="bottom"/>
          </w:tcPr>
          <w:p w14:paraId="3F6952B3" w14:textId="77777777" w:rsidR="00C90DA4" w:rsidRPr="00F33EB5" w:rsidRDefault="00C90DA4" w:rsidP="00C90DA4">
            <w:pPr>
              <w:rPr>
                <w:rFonts w:cs="Arial"/>
                <w:szCs w:val="18"/>
                <w:lang w:val="en-US"/>
              </w:rPr>
            </w:pPr>
            <w:r w:rsidRPr="00F33EB5">
              <w:rPr>
                <w:rFonts w:cs="Arial"/>
                <w:szCs w:val="18"/>
                <w:lang w:val="en-US"/>
              </w:rPr>
              <w:t>Other non-financial assets</w:t>
            </w:r>
          </w:p>
        </w:tc>
        <w:tc>
          <w:tcPr>
            <w:tcW w:w="542" w:type="pct"/>
            <w:tcBorders>
              <w:top w:val="nil"/>
              <w:left w:val="nil"/>
              <w:bottom w:val="nil"/>
              <w:right w:val="nil"/>
            </w:tcBorders>
            <w:shd w:val="clear" w:color="auto" w:fill="auto"/>
            <w:noWrap/>
            <w:vAlign w:val="bottom"/>
          </w:tcPr>
          <w:p w14:paraId="4696784A" w14:textId="77777777" w:rsidR="00C90DA4" w:rsidRPr="00F33EB5" w:rsidRDefault="00C90DA4" w:rsidP="00C90DA4">
            <w:pPr>
              <w:jc w:val="center"/>
              <w:rPr>
                <w:rFonts w:cs="Arial"/>
                <w:szCs w:val="18"/>
                <w:lang w:val="en-US"/>
              </w:rPr>
            </w:pPr>
            <w:r>
              <w:rPr>
                <w:rFonts w:cs="Arial"/>
                <w:noProof/>
                <w:szCs w:val="18"/>
                <w:lang w:val="en-AU" w:eastAsia="en-AU"/>
              </w:rPr>
              <w:drawing>
                <wp:anchor distT="0" distB="0" distL="114300" distR="114300" simplePos="0" relativeHeight="251660288" behindDoc="0" locked="0" layoutInCell="1" allowOverlap="1" wp14:anchorId="17D60653" wp14:editId="08BD54B4">
                  <wp:simplePos x="0" y="0"/>
                  <wp:positionH relativeFrom="column">
                    <wp:posOffset>47625</wp:posOffset>
                  </wp:positionH>
                  <wp:positionV relativeFrom="paragraph">
                    <wp:posOffset>0</wp:posOffset>
                  </wp:positionV>
                  <wp:extent cx="142875" cy="0"/>
                  <wp:effectExtent l="0" t="0" r="0" b="0"/>
                  <wp:wrapNone/>
                  <wp:docPr id="33" name="Picture 33" descr="clip_image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clip_image001"/>
                          <pic:cNvPicPr preferRelativeResize="0">
                            <a:picLocks noRot="1" noChangeArrowheads="1" noChangeShapeType="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2875" cy="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18"/>
                <w:lang w:val="en-AU" w:eastAsia="en-AU"/>
              </w:rPr>
              <w:drawing>
                <wp:anchor distT="0" distB="0" distL="114300" distR="114300" simplePos="0" relativeHeight="251661312" behindDoc="0" locked="0" layoutInCell="1" allowOverlap="1" wp14:anchorId="626739DB" wp14:editId="2D2376CD">
                  <wp:simplePos x="0" y="0"/>
                  <wp:positionH relativeFrom="column">
                    <wp:posOffset>47625</wp:posOffset>
                  </wp:positionH>
                  <wp:positionV relativeFrom="paragraph">
                    <wp:posOffset>0</wp:posOffset>
                  </wp:positionV>
                  <wp:extent cx="142875" cy="0"/>
                  <wp:effectExtent l="0" t="0" r="0" b="0"/>
                  <wp:wrapNone/>
                  <wp:docPr id="75" name="Picture 75" descr="clip_image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clip_image001"/>
                          <pic:cNvPicPr preferRelativeResize="0">
                            <a:picLocks noRot="1" noChangeArrowheads="1" noChangeShapeType="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2875" cy="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Cs w:val="18"/>
                <w:lang w:val="en-US"/>
              </w:rPr>
              <w:t>2.2B</w:t>
            </w:r>
          </w:p>
        </w:tc>
        <w:tc>
          <w:tcPr>
            <w:tcW w:w="564" w:type="pct"/>
            <w:tcBorders>
              <w:top w:val="nil"/>
              <w:left w:val="nil"/>
              <w:bottom w:val="nil"/>
              <w:right w:val="nil"/>
            </w:tcBorders>
            <w:vAlign w:val="bottom"/>
          </w:tcPr>
          <w:p w14:paraId="159191DE" w14:textId="77777777" w:rsidR="00C90DA4" w:rsidRPr="00F33EB5" w:rsidRDefault="00C90DA4" w:rsidP="00C90DA4">
            <w:pPr>
              <w:jc w:val="right"/>
              <w:rPr>
                <w:rFonts w:cs="Arial"/>
                <w:b/>
                <w:bCs/>
                <w:szCs w:val="18"/>
                <w:lang w:val="en-US"/>
              </w:rPr>
            </w:pPr>
            <w:r>
              <w:rPr>
                <w:rFonts w:cs="Arial"/>
                <w:b/>
                <w:bCs/>
                <w:szCs w:val="18"/>
                <w:lang w:val="en-US"/>
              </w:rPr>
              <w:t>530</w:t>
            </w:r>
          </w:p>
        </w:tc>
        <w:tc>
          <w:tcPr>
            <w:tcW w:w="552" w:type="pct"/>
            <w:tcBorders>
              <w:top w:val="nil"/>
              <w:left w:val="nil"/>
              <w:bottom w:val="nil"/>
              <w:right w:val="nil"/>
            </w:tcBorders>
            <w:shd w:val="clear" w:color="auto" w:fill="FFFFFF"/>
            <w:noWrap/>
            <w:vAlign w:val="bottom"/>
          </w:tcPr>
          <w:p w14:paraId="0C95A31B" w14:textId="77777777" w:rsidR="00C90DA4" w:rsidRPr="007014B2" w:rsidRDefault="00C90DA4" w:rsidP="00C90DA4">
            <w:pPr>
              <w:jc w:val="right"/>
              <w:rPr>
                <w:rFonts w:cs="Arial"/>
                <w:bCs/>
                <w:szCs w:val="18"/>
                <w:lang w:val="en-US"/>
              </w:rPr>
            </w:pPr>
            <w:r w:rsidRPr="007014B2">
              <w:rPr>
                <w:rFonts w:cs="Arial"/>
                <w:bCs/>
                <w:szCs w:val="18"/>
                <w:lang w:val="en-US"/>
              </w:rPr>
              <w:t>391</w:t>
            </w:r>
          </w:p>
        </w:tc>
        <w:tc>
          <w:tcPr>
            <w:tcW w:w="135" w:type="pct"/>
            <w:tcBorders>
              <w:top w:val="nil"/>
              <w:left w:val="nil"/>
              <w:bottom w:val="nil"/>
              <w:right w:val="nil"/>
            </w:tcBorders>
            <w:shd w:val="clear" w:color="auto" w:fill="FFFFFF"/>
          </w:tcPr>
          <w:p w14:paraId="639EF1C9" w14:textId="77777777" w:rsidR="00C90DA4" w:rsidRPr="00D814E8" w:rsidRDefault="00C90DA4" w:rsidP="00C90DA4">
            <w:pPr>
              <w:jc w:val="right"/>
              <w:rPr>
                <w:rFonts w:cs="Arial"/>
                <w:bCs/>
                <w:szCs w:val="18"/>
                <w:lang w:val="en-US"/>
              </w:rPr>
            </w:pPr>
          </w:p>
        </w:tc>
        <w:tc>
          <w:tcPr>
            <w:tcW w:w="509" w:type="pct"/>
            <w:tcBorders>
              <w:top w:val="nil"/>
              <w:left w:val="nil"/>
              <w:bottom w:val="nil"/>
              <w:right w:val="nil"/>
            </w:tcBorders>
            <w:shd w:val="clear" w:color="auto" w:fill="auto"/>
            <w:vAlign w:val="bottom"/>
          </w:tcPr>
          <w:p w14:paraId="63AEA7F3" w14:textId="77777777" w:rsidR="00C90DA4" w:rsidRPr="00A84ED4" w:rsidRDefault="00C90DA4" w:rsidP="00C90DA4">
            <w:pPr>
              <w:jc w:val="right"/>
              <w:rPr>
                <w:rFonts w:cs="Arial"/>
                <w:bCs/>
                <w:szCs w:val="18"/>
                <w:lang w:val="en-US"/>
              </w:rPr>
            </w:pPr>
            <w:r w:rsidRPr="00A84ED4">
              <w:rPr>
                <w:rFonts w:cs="Arial"/>
                <w:bCs/>
                <w:szCs w:val="18"/>
                <w:lang w:val="en-US"/>
              </w:rPr>
              <w:t xml:space="preserve">207 </w:t>
            </w:r>
          </w:p>
        </w:tc>
        <w:tc>
          <w:tcPr>
            <w:tcW w:w="317" w:type="pct"/>
            <w:tcBorders>
              <w:top w:val="nil"/>
              <w:left w:val="nil"/>
              <w:bottom w:val="nil"/>
              <w:right w:val="nil"/>
            </w:tcBorders>
            <w:shd w:val="clear" w:color="auto" w:fill="FFFFFF"/>
            <w:vAlign w:val="center"/>
          </w:tcPr>
          <w:p w14:paraId="3E6DFFC0" w14:textId="77777777" w:rsidR="00C90DA4" w:rsidRPr="00C308AF" w:rsidRDefault="00C90DA4" w:rsidP="00C90DA4">
            <w:pPr>
              <w:rPr>
                <w:rFonts w:cs="Arial"/>
                <w:bCs/>
                <w:szCs w:val="18"/>
                <w:vertAlign w:val="superscript"/>
                <w:lang w:val="en-US"/>
              </w:rPr>
            </w:pPr>
            <w:r>
              <w:rPr>
                <w:rFonts w:cs="Arial"/>
                <w:bCs/>
                <w:szCs w:val="18"/>
                <w:vertAlign w:val="superscript"/>
                <w:lang w:val="en-US"/>
              </w:rPr>
              <w:t>A</w:t>
            </w:r>
          </w:p>
        </w:tc>
      </w:tr>
      <w:tr w:rsidR="00C90DA4" w:rsidRPr="00922E40" w14:paraId="5330F79B" w14:textId="77777777" w:rsidTr="00C90DA4">
        <w:trPr>
          <w:trHeight w:val="255"/>
        </w:trPr>
        <w:tc>
          <w:tcPr>
            <w:tcW w:w="2380" w:type="pct"/>
            <w:tcBorders>
              <w:top w:val="nil"/>
              <w:left w:val="nil"/>
              <w:bottom w:val="nil"/>
              <w:right w:val="nil"/>
            </w:tcBorders>
            <w:shd w:val="clear" w:color="auto" w:fill="FFFFFF"/>
            <w:noWrap/>
            <w:vAlign w:val="bottom"/>
          </w:tcPr>
          <w:p w14:paraId="22204528" w14:textId="77777777" w:rsidR="00C90DA4" w:rsidRPr="00F33EB5" w:rsidRDefault="00C90DA4" w:rsidP="00C90DA4">
            <w:pPr>
              <w:rPr>
                <w:rFonts w:cs="Arial"/>
                <w:b/>
                <w:bCs/>
                <w:szCs w:val="18"/>
                <w:lang w:val="en-US"/>
              </w:rPr>
            </w:pPr>
            <w:r w:rsidRPr="00F33EB5">
              <w:rPr>
                <w:rFonts w:cs="Arial"/>
                <w:b/>
                <w:bCs/>
                <w:szCs w:val="18"/>
                <w:lang w:val="en-US"/>
              </w:rPr>
              <w:t>Total non-financial assets</w:t>
            </w:r>
          </w:p>
        </w:tc>
        <w:tc>
          <w:tcPr>
            <w:tcW w:w="542" w:type="pct"/>
            <w:tcBorders>
              <w:top w:val="nil"/>
              <w:left w:val="nil"/>
              <w:bottom w:val="nil"/>
              <w:right w:val="nil"/>
            </w:tcBorders>
            <w:shd w:val="clear" w:color="auto" w:fill="FFFFFF"/>
            <w:noWrap/>
            <w:vAlign w:val="bottom"/>
          </w:tcPr>
          <w:p w14:paraId="4B09E433" w14:textId="77777777" w:rsidR="00C90DA4" w:rsidRPr="00F33EB5" w:rsidRDefault="00C90DA4" w:rsidP="00C90DA4">
            <w:pPr>
              <w:jc w:val="center"/>
              <w:rPr>
                <w:rFonts w:cs="Arial"/>
                <w:szCs w:val="18"/>
                <w:lang w:val="en-US"/>
              </w:rPr>
            </w:pPr>
          </w:p>
        </w:tc>
        <w:tc>
          <w:tcPr>
            <w:tcW w:w="564" w:type="pct"/>
            <w:tcBorders>
              <w:top w:val="single" w:sz="4" w:space="0" w:color="auto"/>
              <w:left w:val="nil"/>
              <w:bottom w:val="single" w:sz="4" w:space="0" w:color="auto"/>
              <w:right w:val="nil"/>
            </w:tcBorders>
            <w:shd w:val="clear" w:color="auto" w:fill="FFFFFF"/>
            <w:vAlign w:val="bottom"/>
          </w:tcPr>
          <w:p w14:paraId="55845C1B" w14:textId="77777777" w:rsidR="00C90DA4" w:rsidRPr="00F33EB5" w:rsidRDefault="00C90DA4" w:rsidP="00C90DA4">
            <w:pPr>
              <w:jc w:val="right"/>
              <w:rPr>
                <w:rFonts w:cs="Arial"/>
                <w:b/>
                <w:bCs/>
                <w:szCs w:val="18"/>
                <w:lang w:val="en-US"/>
              </w:rPr>
            </w:pPr>
            <w:r>
              <w:rPr>
                <w:rFonts w:cs="Arial"/>
                <w:b/>
                <w:bCs/>
                <w:szCs w:val="18"/>
                <w:lang w:val="en-US"/>
              </w:rPr>
              <w:t>668</w:t>
            </w:r>
            <w:r w:rsidRPr="00AD7D08">
              <w:rPr>
                <w:rFonts w:cs="Arial"/>
                <w:b/>
                <w:bCs/>
                <w:szCs w:val="18"/>
                <w:lang w:val="en-US"/>
              </w:rPr>
              <w:t xml:space="preserve"> </w:t>
            </w:r>
          </w:p>
        </w:tc>
        <w:tc>
          <w:tcPr>
            <w:tcW w:w="552" w:type="pct"/>
            <w:tcBorders>
              <w:top w:val="single" w:sz="4" w:space="0" w:color="auto"/>
              <w:left w:val="nil"/>
              <w:bottom w:val="single" w:sz="4" w:space="0" w:color="auto"/>
              <w:right w:val="nil"/>
            </w:tcBorders>
            <w:shd w:val="clear" w:color="auto" w:fill="FFFFFF"/>
            <w:noWrap/>
            <w:vAlign w:val="bottom"/>
          </w:tcPr>
          <w:p w14:paraId="51CE6102" w14:textId="77777777" w:rsidR="00C90DA4" w:rsidRPr="007014B2" w:rsidRDefault="00C90DA4" w:rsidP="00C90DA4">
            <w:pPr>
              <w:jc w:val="right"/>
              <w:rPr>
                <w:rFonts w:cs="Arial"/>
                <w:bCs/>
                <w:szCs w:val="18"/>
                <w:lang w:val="en-US"/>
              </w:rPr>
            </w:pPr>
            <w:r w:rsidRPr="007014B2">
              <w:rPr>
                <w:rFonts w:cs="Arial"/>
                <w:bCs/>
                <w:szCs w:val="18"/>
                <w:lang w:val="en-US"/>
              </w:rPr>
              <w:t xml:space="preserve">789 </w:t>
            </w:r>
          </w:p>
        </w:tc>
        <w:tc>
          <w:tcPr>
            <w:tcW w:w="135" w:type="pct"/>
            <w:tcBorders>
              <w:left w:val="nil"/>
              <w:right w:val="nil"/>
            </w:tcBorders>
            <w:shd w:val="clear" w:color="auto" w:fill="FFFFFF"/>
          </w:tcPr>
          <w:p w14:paraId="756C6476" w14:textId="77777777" w:rsidR="00C90DA4" w:rsidRPr="00D814E8" w:rsidRDefault="00C90DA4" w:rsidP="00C90DA4">
            <w:pPr>
              <w:jc w:val="right"/>
              <w:rPr>
                <w:rFonts w:cs="Arial"/>
                <w:bCs/>
                <w:szCs w:val="18"/>
                <w:lang w:val="en-US"/>
              </w:rPr>
            </w:pPr>
          </w:p>
        </w:tc>
        <w:tc>
          <w:tcPr>
            <w:tcW w:w="509" w:type="pct"/>
            <w:tcBorders>
              <w:top w:val="single" w:sz="4" w:space="0" w:color="auto"/>
              <w:left w:val="nil"/>
              <w:bottom w:val="single" w:sz="4" w:space="0" w:color="auto"/>
              <w:right w:val="nil"/>
            </w:tcBorders>
            <w:shd w:val="clear" w:color="auto" w:fill="auto"/>
            <w:vAlign w:val="bottom"/>
          </w:tcPr>
          <w:p w14:paraId="5A5701CB" w14:textId="77777777" w:rsidR="00C90DA4" w:rsidRPr="00A84ED4" w:rsidRDefault="00C90DA4" w:rsidP="00C90DA4">
            <w:pPr>
              <w:jc w:val="right"/>
              <w:rPr>
                <w:rFonts w:cs="Arial"/>
                <w:bCs/>
                <w:szCs w:val="18"/>
                <w:lang w:val="en-US"/>
              </w:rPr>
            </w:pPr>
            <w:r w:rsidRPr="00A84ED4">
              <w:rPr>
                <w:rFonts w:cs="Arial"/>
                <w:bCs/>
                <w:szCs w:val="18"/>
                <w:lang w:val="en-US"/>
              </w:rPr>
              <w:t xml:space="preserve">251 </w:t>
            </w:r>
          </w:p>
        </w:tc>
        <w:tc>
          <w:tcPr>
            <w:tcW w:w="317" w:type="pct"/>
            <w:tcBorders>
              <w:left w:val="nil"/>
              <w:right w:val="nil"/>
            </w:tcBorders>
            <w:shd w:val="clear" w:color="auto" w:fill="FFFFFF"/>
            <w:vAlign w:val="center"/>
          </w:tcPr>
          <w:p w14:paraId="56ECBD8F" w14:textId="77777777" w:rsidR="00C90DA4" w:rsidRDefault="00C90DA4" w:rsidP="00C90DA4">
            <w:pPr>
              <w:rPr>
                <w:rFonts w:cs="Arial"/>
                <w:bCs/>
                <w:szCs w:val="18"/>
                <w:lang w:val="en-US"/>
              </w:rPr>
            </w:pPr>
          </w:p>
        </w:tc>
      </w:tr>
      <w:tr w:rsidR="00C90DA4" w:rsidRPr="00922E40" w14:paraId="603C6A11" w14:textId="77777777" w:rsidTr="00C90DA4">
        <w:trPr>
          <w:trHeight w:val="255"/>
        </w:trPr>
        <w:tc>
          <w:tcPr>
            <w:tcW w:w="2380" w:type="pct"/>
            <w:tcBorders>
              <w:top w:val="nil"/>
              <w:left w:val="nil"/>
              <w:bottom w:val="nil"/>
              <w:right w:val="nil"/>
            </w:tcBorders>
            <w:shd w:val="clear" w:color="auto" w:fill="FFFFFF"/>
            <w:noWrap/>
            <w:vAlign w:val="bottom"/>
          </w:tcPr>
          <w:p w14:paraId="1897DB4A" w14:textId="77777777" w:rsidR="00C90DA4" w:rsidRPr="00F33EB5" w:rsidRDefault="00C90DA4" w:rsidP="00C90DA4">
            <w:pPr>
              <w:rPr>
                <w:rFonts w:cs="Arial"/>
                <w:b/>
                <w:bCs/>
                <w:szCs w:val="18"/>
                <w:lang w:val="en-US"/>
              </w:rPr>
            </w:pPr>
            <w:r w:rsidRPr="00F33EB5">
              <w:rPr>
                <w:rFonts w:cs="Arial"/>
                <w:b/>
                <w:bCs/>
                <w:szCs w:val="18"/>
                <w:lang w:val="en-US"/>
              </w:rPr>
              <w:t>Total assets</w:t>
            </w:r>
          </w:p>
        </w:tc>
        <w:tc>
          <w:tcPr>
            <w:tcW w:w="542" w:type="pct"/>
            <w:tcBorders>
              <w:top w:val="nil"/>
              <w:left w:val="nil"/>
              <w:bottom w:val="nil"/>
              <w:right w:val="nil"/>
            </w:tcBorders>
            <w:shd w:val="clear" w:color="auto" w:fill="FFFFFF"/>
            <w:noWrap/>
            <w:vAlign w:val="bottom"/>
          </w:tcPr>
          <w:p w14:paraId="14C46187" w14:textId="77777777" w:rsidR="00C90DA4" w:rsidRPr="00F33EB5" w:rsidRDefault="00C90DA4" w:rsidP="00C90DA4">
            <w:pPr>
              <w:jc w:val="center"/>
              <w:rPr>
                <w:rFonts w:cs="Arial"/>
                <w:szCs w:val="18"/>
                <w:lang w:val="en-US"/>
              </w:rPr>
            </w:pPr>
          </w:p>
        </w:tc>
        <w:tc>
          <w:tcPr>
            <w:tcW w:w="564" w:type="pct"/>
            <w:tcBorders>
              <w:top w:val="nil"/>
              <w:left w:val="nil"/>
              <w:bottom w:val="single" w:sz="4" w:space="0" w:color="auto"/>
              <w:right w:val="nil"/>
            </w:tcBorders>
            <w:shd w:val="clear" w:color="auto" w:fill="FFFFFF"/>
            <w:vAlign w:val="bottom"/>
          </w:tcPr>
          <w:p w14:paraId="4CDE41FF" w14:textId="77777777" w:rsidR="00C90DA4" w:rsidRPr="00F33EB5" w:rsidRDefault="00C90DA4" w:rsidP="00C90DA4">
            <w:pPr>
              <w:jc w:val="right"/>
              <w:rPr>
                <w:rFonts w:cs="Arial"/>
                <w:b/>
                <w:bCs/>
                <w:szCs w:val="18"/>
                <w:lang w:val="en-US"/>
              </w:rPr>
            </w:pPr>
            <w:r>
              <w:rPr>
                <w:rFonts w:cs="Arial"/>
                <w:b/>
                <w:bCs/>
                <w:szCs w:val="18"/>
                <w:lang w:val="en-US"/>
              </w:rPr>
              <w:t>8,859</w:t>
            </w:r>
            <w:r w:rsidRPr="00C51A34">
              <w:rPr>
                <w:rFonts w:cs="Arial"/>
                <w:b/>
                <w:bCs/>
                <w:szCs w:val="18"/>
                <w:lang w:val="en-US"/>
              </w:rPr>
              <w:t xml:space="preserve"> </w:t>
            </w:r>
          </w:p>
        </w:tc>
        <w:tc>
          <w:tcPr>
            <w:tcW w:w="552" w:type="pct"/>
            <w:tcBorders>
              <w:top w:val="nil"/>
              <w:left w:val="nil"/>
              <w:bottom w:val="single" w:sz="4" w:space="0" w:color="auto"/>
              <w:right w:val="nil"/>
            </w:tcBorders>
            <w:shd w:val="clear" w:color="auto" w:fill="FFFFFF"/>
            <w:noWrap/>
            <w:vAlign w:val="bottom"/>
          </w:tcPr>
          <w:p w14:paraId="0596B832" w14:textId="77777777" w:rsidR="00C90DA4" w:rsidRPr="007014B2" w:rsidRDefault="00C90DA4" w:rsidP="00C90DA4">
            <w:pPr>
              <w:jc w:val="right"/>
              <w:rPr>
                <w:rFonts w:cs="Arial"/>
                <w:bCs/>
                <w:szCs w:val="18"/>
                <w:lang w:val="en-US"/>
              </w:rPr>
            </w:pPr>
            <w:r w:rsidRPr="007014B2">
              <w:rPr>
                <w:rFonts w:cs="Arial"/>
                <w:bCs/>
                <w:szCs w:val="18"/>
                <w:lang w:val="en-US"/>
              </w:rPr>
              <w:t xml:space="preserve">13,822 </w:t>
            </w:r>
          </w:p>
        </w:tc>
        <w:tc>
          <w:tcPr>
            <w:tcW w:w="135" w:type="pct"/>
            <w:tcBorders>
              <w:top w:val="nil"/>
              <w:left w:val="nil"/>
              <w:right w:val="nil"/>
            </w:tcBorders>
            <w:shd w:val="clear" w:color="auto" w:fill="FFFFFF"/>
          </w:tcPr>
          <w:p w14:paraId="02250081" w14:textId="77777777" w:rsidR="00C90DA4" w:rsidRPr="00D814E8" w:rsidRDefault="00C90DA4" w:rsidP="00C90DA4">
            <w:pPr>
              <w:jc w:val="right"/>
              <w:rPr>
                <w:rFonts w:cs="Arial"/>
                <w:bCs/>
                <w:szCs w:val="18"/>
                <w:lang w:val="en-US"/>
              </w:rPr>
            </w:pPr>
          </w:p>
        </w:tc>
        <w:tc>
          <w:tcPr>
            <w:tcW w:w="509" w:type="pct"/>
            <w:tcBorders>
              <w:top w:val="nil"/>
              <w:left w:val="nil"/>
              <w:bottom w:val="single" w:sz="4" w:space="0" w:color="auto"/>
              <w:right w:val="nil"/>
            </w:tcBorders>
            <w:shd w:val="clear" w:color="auto" w:fill="auto"/>
            <w:vAlign w:val="bottom"/>
          </w:tcPr>
          <w:p w14:paraId="6090FA07" w14:textId="77777777" w:rsidR="00C90DA4" w:rsidRPr="00A84ED4" w:rsidRDefault="00C90DA4" w:rsidP="00C90DA4">
            <w:pPr>
              <w:jc w:val="right"/>
              <w:rPr>
                <w:rFonts w:cs="Arial"/>
                <w:bCs/>
                <w:szCs w:val="18"/>
                <w:lang w:val="en-US"/>
              </w:rPr>
            </w:pPr>
            <w:r w:rsidRPr="00A84ED4">
              <w:rPr>
                <w:rFonts w:cs="Arial"/>
                <w:bCs/>
                <w:szCs w:val="18"/>
                <w:lang w:val="en-US"/>
              </w:rPr>
              <w:t xml:space="preserve">12,178 </w:t>
            </w:r>
          </w:p>
        </w:tc>
        <w:tc>
          <w:tcPr>
            <w:tcW w:w="317" w:type="pct"/>
            <w:tcBorders>
              <w:top w:val="nil"/>
              <w:left w:val="nil"/>
              <w:right w:val="nil"/>
            </w:tcBorders>
            <w:shd w:val="clear" w:color="auto" w:fill="FFFFFF"/>
            <w:vAlign w:val="center"/>
          </w:tcPr>
          <w:p w14:paraId="34D4BBFB" w14:textId="77777777" w:rsidR="00C90DA4" w:rsidRDefault="00C90DA4" w:rsidP="00C90DA4">
            <w:pPr>
              <w:rPr>
                <w:rFonts w:cs="Arial"/>
                <w:bCs/>
                <w:szCs w:val="18"/>
                <w:lang w:val="en-US"/>
              </w:rPr>
            </w:pPr>
          </w:p>
        </w:tc>
      </w:tr>
      <w:tr w:rsidR="00C90DA4" w:rsidRPr="00922E40" w14:paraId="505E35F6" w14:textId="77777777" w:rsidTr="00C90DA4">
        <w:trPr>
          <w:trHeight w:val="255"/>
        </w:trPr>
        <w:tc>
          <w:tcPr>
            <w:tcW w:w="2380" w:type="pct"/>
            <w:tcBorders>
              <w:top w:val="nil"/>
              <w:left w:val="nil"/>
              <w:bottom w:val="nil"/>
              <w:right w:val="nil"/>
            </w:tcBorders>
            <w:shd w:val="clear" w:color="auto" w:fill="FFFFFF"/>
            <w:noWrap/>
            <w:vAlign w:val="bottom"/>
          </w:tcPr>
          <w:p w14:paraId="08BDFEDF" w14:textId="77777777" w:rsidR="00C90DA4" w:rsidRPr="00F33EB5" w:rsidRDefault="00C90DA4" w:rsidP="00C90DA4">
            <w:pPr>
              <w:spacing w:before="160"/>
              <w:rPr>
                <w:rFonts w:cs="Arial"/>
                <w:b/>
                <w:bCs/>
                <w:szCs w:val="18"/>
                <w:lang w:val="en-US"/>
              </w:rPr>
            </w:pPr>
            <w:r w:rsidRPr="00F33EB5">
              <w:rPr>
                <w:rFonts w:cs="Arial"/>
                <w:b/>
                <w:bCs/>
                <w:szCs w:val="18"/>
                <w:lang w:val="en-US"/>
              </w:rPr>
              <w:t>LIABILITIES</w:t>
            </w:r>
          </w:p>
        </w:tc>
        <w:tc>
          <w:tcPr>
            <w:tcW w:w="542" w:type="pct"/>
            <w:tcBorders>
              <w:top w:val="nil"/>
              <w:left w:val="nil"/>
              <w:bottom w:val="nil"/>
              <w:right w:val="nil"/>
            </w:tcBorders>
            <w:shd w:val="clear" w:color="auto" w:fill="FFFFFF"/>
            <w:noWrap/>
            <w:vAlign w:val="bottom"/>
          </w:tcPr>
          <w:p w14:paraId="7BE76BAD" w14:textId="77777777" w:rsidR="00C90DA4" w:rsidRPr="00F33EB5" w:rsidRDefault="00C90DA4" w:rsidP="00C90DA4">
            <w:pPr>
              <w:jc w:val="center"/>
              <w:rPr>
                <w:rFonts w:cs="Arial"/>
                <w:szCs w:val="18"/>
                <w:lang w:val="en-US"/>
              </w:rPr>
            </w:pPr>
          </w:p>
        </w:tc>
        <w:tc>
          <w:tcPr>
            <w:tcW w:w="564" w:type="pct"/>
            <w:tcBorders>
              <w:top w:val="nil"/>
              <w:left w:val="nil"/>
              <w:bottom w:val="nil"/>
              <w:right w:val="nil"/>
            </w:tcBorders>
            <w:shd w:val="clear" w:color="auto" w:fill="FFFFFF"/>
            <w:vAlign w:val="bottom"/>
          </w:tcPr>
          <w:p w14:paraId="781AD4AA" w14:textId="77777777" w:rsidR="00C90DA4" w:rsidRPr="00F33EB5" w:rsidRDefault="00C90DA4" w:rsidP="00C90DA4">
            <w:pPr>
              <w:jc w:val="right"/>
              <w:rPr>
                <w:rFonts w:cs="Arial"/>
                <w:b/>
                <w:bCs/>
                <w:szCs w:val="18"/>
                <w:lang w:val="en-US"/>
              </w:rPr>
            </w:pPr>
          </w:p>
        </w:tc>
        <w:tc>
          <w:tcPr>
            <w:tcW w:w="552" w:type="pct"/>
            <w:tcBorders>
              <w:top w:val="nil"/>
              <w:left w:val="nil"/>
              <w:bottom w:val="nil"/>
              <w:right w:val="nil"/>
            </w:tcBorders>
            <w:shd w:val="clear" w:color="auto" w:fill="FFFFFF"/>
            <w:noWrap/>
            <w:vAlign w:val="bottom"/>
          </w:tcPr>
          <w:p w14:paraId="385D71AC" w14:textId="77777777" w:rsidR="00C90DA4" w:rsidRPr="007014B2" w:rsidRDefault="00C90DA4" w:rsidP="00C90DA4">
            <w:pPr>
              <w:jc w:val="right"/>
              <w:rPr>
                <w:rFonts w:cs="Arial"/>
                <w:bCs/>
                <w:szCs w:val="18"/>
                <w:lang w:val="en-US"/>
              </w:rPr>
            </w:pPr>
          </w:p>
        </w:tc>
        <w:tc>
          <w:tcPr>
            <w:tcW w:w="135" w:type="pct"/>
            <w:tcBorders>
              <w:top w:val="nil"/>
              <w:left w:val="nil"/>
              <w:bottom w:val="nil"/>
              <w:right w:val="nil"/>
            </w:tcBorders>
            <w:shd w:val="clear" w:color="auto" w:fill="FFFFFF"/>
          </w:tcPr>
          <w:p w14:paraId="73DEAD52" w14:textId="77777777" w:rsidR="00C90DA4" w:rsidRPr="00D814E8" w:rsidRDefault="00C90DA4" w:rsidP="00C90DA4">
            <w:pPr>
              <w:jc w:val="right"/>
              <w:rPr>
                <w:rFonts w:cs="Arial"/>
                <w:bCs/>
                <w:szCs w:val="18"/>
                <w:lang w:val="en-US"/>
              </w:rPr>
            </w:pPr>
          </w:p>
        </w:tc>
        <w:tc>
          <w:tcPr>
            <w:tcW w:w="509" w:type="pct"/>
            <w:tcBorders>
              <w:top w:val="nil"/>
              <w:left w:val="nil"/>
              <w:bottom w:val="nil"/>
              <w:right w:val="nil"/>
            </w:tcBorders>
            <w:shd w:val="clear" w:color="auto" w:fill="auto"/>
            <w:vAlign w:val="bottom"/>
          </w:tcPr>
          <w:p w14:paraId="40AC1AD3" w14:textId="77777777" w:rsidR="00C90DA4" w:rsidRPr="00A84ED4" w:rsidRDefault="00C90DA4" w:rsidP="00C90DA4">
            <w:pPr>
              <w:jc w:val="right"/>
              <w:rPr>
                <w:rFonts w:cs="Arial"/>
                <w:bCs/>
                <w:szCs w:val="18"/>
                <w:lang w:val="en-US"/>
              </w:rPr>
            </w:pPr>
          </w:p>
        </w:tc>
        <w:tc>
          <w:tcPr>
            <w:tcW w:w="317" w:type="pct"/>
            <w:tcBorders>
              <w:top w:val="nil"/>
              <w:left w:val="nil"/>
              <w:bottom w:val="nil"/>
              <w:right w:val="nil"/>
            </w:tcBorders>
            <w:shd w:val="clear" w:color="auto" w:fill="FFFFFF"/>
            <w:vAlign w:val="center"/>
          </w:tcPr>
          <w:p w14:paraId="258DEA32" w14:textId="77777777" w:rsidR="00C90DA4" w:rsidRPr="00D814E8" w:rsidRDefault="00C90DA4" w:rsidP="00C90DA4">
            <w:pPr>
              <w:rPr>
                <w:rFonts w:cs="Arial"/>
                <w:bCs/>
                <w:szCs w:val="18"/>
                <w:lang w:val="en-US"/>
              </w:rPr>
            </w:pPr>
          </w:p>
        </w:tc>
      </w:tr>
      <w:tr w:rsidR="00C90DA4" w:rsidRPr="00922E40" w14:paraId="381F7260" w14:textId="77777777" w:rsidTr="00C90DA4">
        <w:trPr>
          <w:trHeight w:val="255"/>
        </w:trPr>
        <w:tc>
          <w:tcPr>
            <w:tcW w:w="2380" w:type="pct"/>
            <w:tcBorders>
              <w:top w:val="nil"/>
              <w:left w:val="nil"/>
              <w:bottom w:val="nil"/>
              <w:right w:val="nil"/>
            </w:tcBorders>
            <w:shd w:val="clear" w:color="auto" w:fill="FFFFFF"/>
            <w:noWrap/>
            <w:vAlign w:val="bottom"/>
          </w:tcPr>
          <w:p w14:paraId="4949083E" w14:textId="77777777" w:rsidR="00C90DA4" w:rsidRPr="00F33EB5" w:rsidRDefault="00C90DA4" w:rsidP="00C90DA4">
            <w:pPr>
              <w:rPr>
                <w:rFonts w:cs="Arial"/>
                <w:b/>
                <w:bCs/>
                <w:szCs w:val="18"/>
                <w:lang w:val="en-US"/>
              </w:rPr>
            </w:pPr>
            <w:r w:rsidRPr="00F33EB5">
              <w:rPr>
                <w:rFonts w:cs="Arial"/>
                <w:b/>
                <w:bCs/>
                <w:szCs w:val="18"/>
                <w:lang w:val="en-US"/>
              </w:rPr>
              <w:t>Payables</w:t>
            </w:r>
          </w:p>
        </w:tc>
        <w:tc>
          <w:tcPr>
            <w:tcW w:w="542" w:type="pct"/>
            <w:tcBorders>
              <w:top w:val="nil"/>
              <w:left w:val="nil"/>
              <w:bottom w:val="nil"/>
              <w:right w:val="nil"/>
            </w:tcBorders>
            <w:shd w:val="clear" w:color="auto" w:fill="FFFFFF"/>
            <w:noWrap/>
            <w:vAlign w:val="bottom"/>
          </w:tcPr>
          <w:p w14:paraId="11CDFF41" w14:textId="77777777" w:rsidR="00C90DA4" w:rsidRPr="00F33EB5" w:rsidRDefault="00C90DA4" w:rsidP="00C90DA4">
            <w:pPr>
              <w:jc w:val="center"/>
              <w:rPr>
                <w:rFonts w:cs="Arial"/>
                <w:szCs w:val="18"/>
                <w:lang w:val="en-US"/>
              </w:rPr>
            </w:pPr>
          </w:p>
        </w:tc>
        <w:tc>
          <w:tcPr>
            <w:tcW w:w="564" w:type="pct"/>
            <w:tcBorders>
              <w:top w:val="nil"/>
              <w:left w:val="nil"/>
              <w:bottom w:val="nil"/>
              <w:right w:val="nil"/>
            </w:tcBorders>
            <w:shd w:val="clear" w:color="auto" w:fill="FFFFFF"/>
            <w:vAlign w:val="bottom"/>
          </w:tcPr>
          <w:p w14:paraId="26C61417" w14:textId="77777777" w:rsidR="00C90DA4" w:rsidRPr="00F33EB5" w:rsidRDefault="00C90DA4" w:rsidP="00C90DA4">
            <w:pPr>
              <w:jc w:val="right"/>
              <w:rPr>
                <w:rFonts w:cs="Arial"/>
                <w:b/>
                <w:bCs/>
                <w:szCs w:val="18"/>
                <w:lang w:val="en-US"/>
              </w:rPr>
            </w:pPr>
          </w:p>
        </w:tc>
        <w:tc>
          <w:tcPr>
            <w:tcW w:w="552" w:type="pct"/>
            <w:tcBorders>
              <w:top w:val="nil"/>
              <w:left w:val="nil"/>
              <w:bottom w:val="nil"/>
              <w:right w:val="nil"/>
            </w:tcBorders>
            <w:shd w:val="clear" w:color="auto" w:fill="FFFFFF"/>
            <w:noWrap/>
            <w:vAlign w:val="bottom"/>
          </w:tcPr>
          <w:p w14:paraId="17FD8808" w14:textId="77777777" w:rsidR="00C90DA4" w:rsidRPr="007014B2" w:rsidRDefault="00C90DA4" w:rsidP="00C90DA4">
            <w:pPr>
              <w:jc w:val="right"/>
              <w:rPr>
                <w:rFonts w:cs="Arial"/>
                <w:bCs/>
                <w:szCs w:val="18"/>
                <w:lang w:val="en-US"/>
              </w:rPr>
            </w:pPr>
          </w:p>
        </w:tc>
        <w:tc>
          <w:tcPr>
            <w:tcW w:w="135" w:type="pct"/>
            <w:tcBorders>
              <w:top w:val="nil"/>
              <w:left w:val="nil"/>
              <w:bottom w:val="nil"/>
              <w:right w:val="nil"/>
            </w:tcBorders>
            <w:shd w:val="clear" w:color="auto" w:fill="FFFFFF"/>
          </w:tcPr>
          <w:p w14:paraId="74584DEE" w14:textId="77777777" w:rsidR="00C90DA4" w:rsidRPr="00D814E8" w:rsidRDefault="00C90DA4" w:rsidP="00C90DA4">
            <w:pPr>
              <w:jc w:val="right"/>
              <w:rPr>
                <w:rFonts w:cs="Arial"/>
                <w:bCs/>
                <w:szCs w:val="18"/>
                <w:lang w:val="en-US"/>
              </w:rPr>
            </w:pPr>
          </w:p>
        </w:tc>
        <w:tc>
          <w:tcPr>
            <w:tcW w:w="509" w:type="pct"/>
            <w:tcBorders>
              <w:top w:val="nil"/>
              <w:left w:val="nil"/>
              <w:bottom w:val="nil"/>
              <w:right w:val="nil"/>
            </w:tcBorders>
            <w:shd w:val="clear" w:color="auto" w:fill="auto"/>
            <w:vAlign w:val="bottom"/>
          </w:tcPr>
          <w:p w14:paraId="7AB2980C" w14:textId="77777777" w:rsidR="00C90DA4" w:rsidRPr="00A84ED4" w:rsidRDefault="00C90DA4" w:rsidP="00C90DA4">
            <w:pPr>
              <w:jc w:val="right"/>
              <w:rPr>
                <w:rFonts w:cs="Arial"/>
                <w:bCs/>
                <w:szCs w:val="18"/>
                <w:lang w:val="en-US"/>
              </w:rPr>
            </w:pPr>
          </w:p>
        </w:tc>
        <w:tc>
          <w:tcPr>
            <w:tcW w:w="317" w:type="pct"/>
            <w:tcBorders>
              <w:top w:val="nil"/>
              <w:left w:val="nil"/>
              <w:bottom w:val="nil"/>
              <w:right w:val="nil"/>
            </w:tcBorders>
            <w:shd w:val="clear" w:color="auto" w:fill="FFFFFF"/>
            <w:vAlign w:val="center"/>
          </w:tcPr>
          <w:p w14:paraId="307FF67A" w14:textId="77777777" w:rsidR="00C90DA4" w:rsidRPr="00D814E8" w:rsidRDefault="00C90DA4" w:rsidP="00C90DA4">
            <w:pPr>
              <w:rPr>
                <w:rFonts w:cs="Arial"/>
                <w:bCs/>
                <w:szCs w:val="18"/>
                <w:lang w:val="en-US"/>
              </w:rPr>
            </w:pPr>
          </w:p>
        </w:tc>
      </w:tr>
      <w:tr w:rsidR="00C90DA4" w:rsidRPr="00922E40" w14:paraId="507BAB47" w14:textId="77777777" w:rsidTr="00C90DA4">
        <w:trPr>
          <w:trHeight w:val="255"/>
        </w:trPr>
        <w:tc>
          <w:tcPr>
            <w:tcW w:w="2380" w:type="pct"/>
            <w:tcBorders>
              <w:top w:val="nil"/>
              <w:left w:val="nil"/>
              <w:bottom w:val="nil"/>
              <w:right w:val="nil"/>
            </w:tcBorders>
            <w:shd w:val="clear" w:color="auto" w:fill="FFFFFF"/>
            <w:noWrap/>
            <w:vAlign w:val="bottom"/>
          </w:tcPr>
          <w:p w14:paraId="29738E5D" w14:textId="77777777" w:rsidR="00C90DA4" w:rsidRPr="00F33EB5" w:rsidRDefault="00C90DA4" w:rsidP="00C90DA4">
            <w:pPr>
              <w:rPr>
                <w:rFonts w:cs="Arial"/>
                <w:szCs w:val="18"/>
                <w:lang w:val="en-US"/>
              </w:rPr>
            </w:pPr>
            <w:r w:rsidRPr="00F33EB5">
              <w:rPr>
                <w:rFonts w:cs="Arial"/>
                <w:szCs w:val="18"/>
                <w:lang w:val="en-US"/>
              </w:rPr>
              <w:t>Suppliers</w:t>
            </w:r>
          </w:p>
        </w:tc>
        <w:tc>
          <w:tcPr>
            <w:tcW w:w="542" w:type="pct"/>
            <w:tcBorders>
              <w:top w:val="nil"/>
              <w:left w:val="nil"/>
              <w:bottom w:val="nil"/>
              <w:right w:val="nil"/>
            </w:tcBorders>
            <w:shd w:val="clear" w:color="auto" w:fill="FFFFFF"/>
            <w:noWrap/>
            <w:vAlign w:val="bottom"/>
          </w:tcPr>
          <w:p w14:paraId="5129562F" w14:textId="77777777" w:rsidR="00C90DA4" w:rsidRPr="00F33EB5" w:rsidRDefault="00924EF8" w:rsidP="00C90DA4">
            <w:pPr>
              <w:jc w:val="center"/>
              <w:rPr>
                <w:rFonts w:cs="Arial"/>
                <w:szCs w:val="18"/>
                <w:lang w:val="en-US"/>
              </w:rPr>
            </w:pPr>
            <w:hyperlink r:id="rId98" w:anchor="'Note 9'!A1#'Note 9'!A1" w:tooltip="Go to Note" w:history="1">
              <w:r w:rsidR="00C90DA4">
                <w:rPr>
                  <w:rFonts w:cs="Arial"/>
                  <w:szCs w:val="18"/>
                  <w:lang w:val="en-US"/>
                </w:rPr>
                <w:t>2.3</w:t>
              </w:r>
              <w:r w:rsidR="00C90DA4" w:rsidRPr="00F33EB5">
                <w:rPr>
                  <w:rFonts w:cs="Arial"/>
                  <w:szCs w:val="18"/>
                  <w:lang w:val="en-US"/>
                </w:rPr>
                <w:t>A</w:t>
              </w:r>
            </w:hyperlink>
          </w:p>
        </w:tc>
        <w:tc>
          <w:tcPr>
            <w:tcW w:w="564" w:type="pct"/>
            <w:tcBorders>
              <w:top w:val="nil"/>
              <w:left w:val="nil"/>
              <w:bottom w:val="nil"/>
              <w:right w:val="nil"/>
            </w:tcBorders>
            <w:shd w:val="clear" w:color="auto" w:fill="FFFFFF"/>
            <w:vAlign w:val="bottom"/>
          </w:tcPr>
          <w:p w14:paraId="39DC1F18" w14:textId="77777777" w:rsidR="00C90DA4" w:rsidRPr="00F33EB5" w:rsidRDefault="00C90DA4" w:rsidP="00C90DA4">
            <w:pPr>
              <w:jc w:val="right"/>
              <w:rPr>
                <w:rFonts w:cs="Arial"/>
                <w:b/>
                <w:bCs/>
                <w:szCs w:val="18"/>
                <w:lang w:val="en-US"/>
              </w:rPr>
            </w:pPr>
            <w:r>
              <w:rPr>
                <w:rFonts w:cs="Arial"/>
                <w:b/>
                <w:bCs/>
                <w:szCs w:val="18"/>
                <w:lang w:val="en-US"/>
              </w:rPr>
              <w:t>1,796</w:t>
            </w:r>
            <w:r w:rsidRPr="00C51A34">
              <w:rPr>
                <w:rFonts w:cs="Arial"/>
                <w:b/>
                <w:bCs/>
                <w:szCs w:val="18"/>
                <w:lang w:val="en-US"/>
              </w:rPr>
              <w:t xml:space="preserve"> </w:t>
            </w:r>
          </w:p>
        </w:tc>
        <w:tc>
          <w:tcPr>
            <w:tcW w:w="552" w:type="pct"/>
            <w:tcBorders>
              <w:top w:val="nil"/>
              <w:left w:val="nil"/>
              <w:bottom w:val="nil"/>
              <w:right w:val="nil"/>
            </w:tcBorders>
            <w:shd w:val="clear" w:color="auto" w:fill="FFFFFF"/>
            <w:noWrap/>
            <w:vAlign w:val="bottom"/>
          </w:tcPr>
          <w:p w14:paraId="4CA1A346" w14:textId="77777777" w:rsidR="00C90DA4" w:rsidRPr="007014B2" w:rsidRDefault="00C90DA4" w:rsidP="00C90DA4">
            <w:pPr>
              <w:jc w:val="right"/>
              <w:rPr>
                <w:rFonts w:cs="Arial"/>
                <w:bCs/>
                <w:szCs w:val="18"/>
                <w:lang w:val="en-US"/>
              </w:rPr>
            </w:pPr>
            <w:r w:rsidRPr="007014B2">
              <w:rPr>
                <w:rFonts w:cs="Arial"/>
                <w:bCs/>
                <w:szCs w:val="18"/>
                <w:lang w:val="en-US"/>
              </w:rPr>
              <w:t xml:space="preserve">3,031 </w:t>
            </w:r>
          </w:p>
        </w:tc>
        <w:tc>
          <w:tcPr>
            <w:tcW w:w="135" w:type="pct"/>
            <w:tcBorders>
              <w:top w:val="nil"/>
              <w:left w:val="nil"/>
              <w:bottom w:val="nil"/>
              <w:right w:val="nil"/>
            </w:tcBorders>
            <w:shd w:val="clear" w:color="auto" w:fill="FFFFFF"/>
          </w:tcPr>
          <w:p w14:paraId="7001A02D" w14:textId="77777777" w:rsidR="00C90DA4" w:rsidRPr="00D814E8" w:rsidRDefault="00C90DA4" w:rsidP="00C90DA4">
            <w:pPr>
              <w:jc w:val="right"/>
              <w:rPr>
                <w:rFonts w:cs="Arial"/>
                <w:bCs/>
                <w:szCs w:val="18"/>
                <w:lang w:val="en-US"/>
              </w:rPr>
            </w:pPr>
          </w:p>
        </w:tc>
        <w:tc>
          <w:tcPr>
            <w:tcW w:w="509" w:type="pct"/>
            <w:tcBorders>
              <w:top w:val="nil"/>
              <w:left w:val="nil"/>
              <w:bottom w:val="nil"/>
              <w:right w:val="nil"/>
            </w:tcBorders>
            <w:shd w:val="clear" w:color="auto" w:fill="auto"/>
            <w:vAlign w:val="bottom"/>
          </w:tcPr>
          <w:p w14:paraId="096ABFD5" w14:textId="77777777" w:rsidR="00C90DA4" w:rsidRPr="00A84ED4" w:rsidRDefault="00C90DA4" w:rsidP="00C90DA4">
            <w:pPr>
              <w:jc w:val="right"/>
              <w:rPr>
                <w:rFonts w:cs="Arial"/>
                <w:bCs/>
                <w:szCs w:val="18"/>
                <w:lang w:val="en-US"/>
              </w:rPr>
            </w:pPr>
            <w:r w:rsidRPr="00A84ED4">
              <w:rPr>
                <w:rFonts w:cs="Arial"/>
                <w:bCs/>
                <w:szCs w:val="18"/>
                <w:lang w:val="en-US"/>
              </w:rPr>
              <w:t>738</w:t>
            </w:r>
          </w:p>
        </w:tc>
        <w:tc>
          <w:tcPr>
            <w:tcW w:w="317" w:type="pct"/>
            <w:tcBorders>
              <w:top w:val="nil"/>
              <w:left w:val="nil"/>
              <w:bottom w:val="nil"/>
              <w:right w:val="nil"/>
            </w:tcBorders>
            <w:shd w:val="clear" w:color="auto" w:fill="FFFFFF"/>
            <w:vAlign w:val="center"/>
          </w:tcPr>
          <w:p w14:paraId="5F4E0DFE" w14:textId="77777777" w:rsidR="00C90DA4" w:rsidRDefault="00C90DA4" w:rsidP="00C90DA4">
            <w:pPr>
              <w:rPr>
                <w:rFonts w:cs="Arial"/>
                <w:bCs/>
                <w:szCs w:val="18"/>
                <w:lang w:val="en-US"/>
              </w:rPr>
            </w:pPr>
            <w:r>
              <w:rPr>
                <w:rFonts w:cs="Arial"/>
                <w:bCs/>
                <w:szCs w:val="18"/>
                <w:vertAlign w:val="superscript"/>
                <w:lang w:val="en-US"/>
              </w:rPr>
              <w:t>A</w:t>
            </w:r>
          </w:p>
        </w:tc>
      </w:tr>
      <w:tr w:rsidR="00C90DA4" w:rsidRPr="00922E40" w14:paraId="750FA99F" w14:textId="77777777" w:rsidTr="00C90DA4">
        <w:trPr>
          <w:trHeight w:val="255"/>
        </w:trPr>
        <w:tc>
          <w:tcPr>
            <w:tcW w:w="2380" w:type="pct"/>
            <w:tcBorders>
              <w:top w:val="nil"/>
              <w:left w:val="nil"/>
              <w:bottom w:val="nil"/>
              <w:right w:val="nil"/>
            </w:tcBorders>
            <w:shd w:val="clear" w:color="auto" w:fill="FFFFFF"/>
            <w:noWrap/>
            <w:vAlign w:val="bottom"/>
          </w:tcPr>
          <w:p w14:paraId="3366B31D" w14:textId="77777777" w:rsidR="00C90DA4" w:rsidRPr="00F33EB5" w:rsidRDefault="00C90DA4" w:rsidP="00C90DA4">
            <w:pPr>
              <w:rPr>
                <w:rFonts w:cs="Arial"/>
                <w:szCs w:val="18"/>
                <w:lang w:val="en-US"/>
              </w:rPr>
            </w:pPr>
            <w:r w:rsidRPr="00F33EB5">
              <w:rPr>
                <w:rFonts w:cs="Arial"/>
                <w:szCs w:val="18"/>
                <w:lang w:val="en-US"/>
              </w:rPr>
              <w:t>Other payables</w:t>
            </w:r>
          </w:p>
        </w:tc>
        <w:tc>
          <w:tcPr>
            <w:tcW w:w="542" w:type="pct"/>
            <w:tcBorders>
              <w:top w:val="nil"/>
              <w:left w:val="nil"/>
              <w:bottom w:val="nil"/>
              <w:right w:val="nil"/>
            </w:tcBorders>
            <w:shd w:val="clear" w:color="auto" w:fill="auto"/>
            <w:noWrap/>
            <w:vAlign w:val="bottom"/>
          </w:tcPr>
          <w:p w14:paraId="05F21DBB" w14:textId="77777777" w:rsidR="00C90DA4" w:rsidRPr="00F33EB5" w:rsidRDefault="00C90DA4" w:rsidP="00C90DA4">
            <w:pPr>
              <w:jc w:val="center"/>
              <w:rPr>
                <w:rFonts w:cs="Arial"/>
                <w:szCs w:val="18"/>
                <w:lang w:val="en-US"/>
              </w:rPr>
            </w:pPr>
            <w:r>
              <w:rPr>
                <w:rFonts w:cs="Arial"/>
                <w:noProof/>
                <w:szCs w:val="18"/>
                <w:lang w:val="en-AU" w:eastAsia="en-AU"/>
              </w:rPr>
              <w:drawing>
                <wp:anchor distT="0" distB="0" distL="114300" distR="114300" simplePos="0" relativeHeight="251659264" behindDoc="0" locked="0" layoutInCell="1" allowOverlap="1" wp14:anchorId="4491740F" wp14:editId="1B1E3845">
                  <wp:simplePos x="0" y="0"/>
                  <wp:positionH relativeFrom="column">
                    <wp:posOffset>47625</wp:posOffset>
                  </wp:positionH>
                  <wp:positionV relativeFrom="paragraph">
                    <wp:posOffset>0</wp:posOffset>
                  </wp:positionV>
                  <wp:extent cx="142875" cy="0"/>
                  <wp:effectExtent l="0" t="0" r="0" b="0"/>
                  <wp:wrapNone/>
                  <wp:docPr id="77" name="Picture 77" descr="clip_image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clip_image001"/>
                          <pic:cNvPicPr preferRelativeResize="0">
                            <a:picLocks noRot="1" noChangeArrowheads="1" noChangeShapeType="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2875" cy="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18"/>
                <w:lang w:val="en-AU" w:eastAsia="en-AU"/>
              </w:rPr>
              <w:drawing>
                <wp:anchor distT="0" distB="0" distL="114300" distR="114300" simplePos="0" relativeHeight="251662336" behindDoc="0" locked="0" layoutInCell="1" allowOverlap="1" wp14:anchorId="71617A37" wp14:editId="439A974D">
                  <wp:simplePos x="0" y="0"/>
                  <wp:positionH relativeFrom="column">
                    <wp:posOffset>47625</wp:posOffset>
                  </wp:positionH>
                  <wp:positionV relativeFrom="paragraph">
                    <wp:posOffset>0</wp:posOffset>
                  </wp:positionV>
                  <wp:extent cx="142875" cy="0"/>
                  <wp:effectExtent l="0" t="0" r="0" b="0"/>
                  <wp:wrapNone/>
                  <wp:docPr id="79" name="Picture 79" descr="clip_image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clip_image001"/>
                          <pic:cNvPicPr preferRelativeResize="0">
                            <a:picLocks noRot="1" noChangeArrowheads="1" noChangeShapeType="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2875" cy="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18"/>
                <w:lang w:val="en-AU" w:eastAsia="en-AU"/>
              </w:rPr>
              <w:drawing>
                <wp:anchor distT="0" distB="0" distL="114300" distR="114300" simplePos="0" relativeHeight="251663360" behindDoc="0" locked="0" layoutInCell="1" allowOverlap="1" wp14:anchorId="1CAB409D" wp14:editId="70DA8021">
                  <wp:simplePos x="0" y="0"/>
                  <wp:positionH relativeFrom="column">
                    <wp:posOffset>47625</wp:posOffset>
                  </wp:positionH>
                  <wp:positionV relativeFrom="paragraph">
                    <wp:posOffset>0</wp:posOffset>
                  </wp:positionV>
                  <wp:extent cx="142875" cy="0"/>
                  <wp:effectExtent l="0" t="0" r="0" b="0"/>
                  <wp:wrapNone/>
                  <wp:docPr id="80" name="Picture 80" descr="clip_image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clip_image001"/>
                          <pic:cNvPicPr preferRelativeResize="0">
                            <a:picLocks noRot="1" noChangeArrowheads="1" noChangeShapeType="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2875" cy="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Cs w:val="18"/>
                <w:lang w:val="en-US"/>
              </w:rPr>
              <w:t>2.3</w:t>
            </w:r>
            <w:r w:rsidRPr="00F33EB5">
              <w:rPr>
                <w:rFonts w:cs="Arial"/>
                <w:szCs w:val="18"/>
                <w:lang w:val="en-US"/>
              </w:rPr>
              <w:t>B</w:t>
            </w:r>
          </w:p>
        </w:tc>
        <w:tc>
          <w:tcPr>
            <w:tcW w:w="564" w:type="pct"/>
            <w:tcBorders>
              <w:top w:val="nil"/>
              <w:left w:val="nil"/>
              <w:bottom w:val="nil"/>
              <w:right w:val="nil"/>
            </w:tcBorders>
            <w:vAlign w:val="bottom"/>
          </w:tcPr>
          <w:p w14:paraId="346B3945" w14:textId="77777777" w:rsidR="00C90DA4" w:rsidRPr="00F33EB5" w:rsidRDefault="00C90DA4" w:rsidP="00C90DA4">
            <w:pPr>
              <w:jc w:val="right"/>
              <w:rPr>
                <w:rFonts w:cs="Arial"/>
                <w:b/>
                <w:bCs/>
                <w:szCs w:val="18"/>
                <w:lang w:val="en-US"/>
              </w:rPr>
            </w:pPr>
            <w:r>
              <w:rPr>
                <w:rFonts w:cs="Arial"/>
                <w:b/>
                <w:bCs/>
                <w:szCs w:val="18"/>
                <w:lang w:val="en-US"/>
              </w:rPr>
              <w:t>1,773</w:t>
            </w:r>
          </w:p>
        </w:tc>
        <w:tc>
          <w:tcPr>
            <w:tcW w:w="552" w:type="pct"/>
            <w:tcBorders>
              <w:top w:val="nil"/>
              <w:left w:val="nil"/>
              <w:bottom w:val="nil"/>
              <w:right w:val="nil"/>
            </w:tcBorders>
            <w:shd w:val="clear" w:color="auto" w:fill="FFFFFF"/>
            <w:noWrap/>
            <w:vAlign w:val="bottom"/>
          </w:tcPr>
          <w:p w14:paraId="1080D799" w14:textId="77777777" w:rsidR="00C90DA4" w:rsidRPr="007014B2" w:rsidRDefault="00C90DA4" w:rsidP="00C90DA4">
            <w:pPr>
              <w:jc w:val="right"/>
              <w:rPr>
                <w:rFonts w:cs="Arial"/>
                <w:bCs/>
                <w:szCs w:val="18"/>
                <w:lang w:val="en-US"/>
              </w:rPr>
            </w:pPr>
            <w:r w:rsidRPr="007014B2">
              <w:rPr>
                <w:rFonts w:cs="Arial"/>
                <w:bCs/>
                <w:szCs w:val="18"/>
                <w:lang w:val="en-US"/>
              </w:rPr>
              <w:t>5,827</w:t>
            </w:r>
          </w:p>
        </w:tc>
        <w:tc>
          <w:tcPr>
            <w:tcW w:w="135" w:type="pct"/>
            <w:tcBorders>
              <w:top w:val="nil"/>
              <w:left w:val="nil"/>
              <w:bottom w:val="nil"/>
              <w:right w:val="nil"/>
            </w:tcBorders>
            <w:shd w:val="clear" w:color="auto" w:fill="FFFFFF"/>
          </w:tcPr>
          <w:p w14:paraId="39DBBFA8" w14:textId="77777777" w:rsidR="00C90DA4" w:rsidRPr="00D814E8" w:rsidRDefault="00C90DA4" w:rsidP="00C90DA4">
            <w:pPr>
              <w:jc w:val="right"/>
              <w:rPr>
                <w:rFonts w:cs="Arial"/>
                <w:bCs/>
                <w:szCs w:val="18"/>
                <w:lang w:val="en-US"/>
              </w:rPr>
            </w:pPr>
          </w:p>
        </w:tc>
        <w:tc>
          <w:tcPr>
            <w:tcW w:w="509" w:type="pct"/>
            <w:tcBorders>
              <w:top w:val="nil"/>
              <w:left w:val="nil"/>
              <w:bottom w:val="nil"/>
              <w:right w:val="nil"/>
            </w:tcBorders>
            <w:shd w:val="clear" w:color="auto" w:fill="auto"/>
            <w:vAlign w:val="bottom"/>
          </w:tcPr>
          <w:p w14:paraId="3E5456EA" w14:textId="77777777" w:rsidR="00C90DA4" w:rsidRPr="00A84ED4" w:rsidRDefault="00C90DA4" w:rsidP="00C90DA4">
            <w:pPr>
              <w:jc w:val="right"/>
              <w:rPr>
                <w:rFonts w:cs="Arial"/>
                <w:bCs/>
                <w:szCs w:val="18"/>
                <w:lang w:val="en-US"/>
              </w:rPr>
            </w:pPr>
            <w:r w:rsidRPr="00A84ED4">
              <w:rPr>
                <w:rFonts w:cs="Arial"/>
                <w:bCs/>
                <w:szCs w:val="18"/>
                <w:lang w:val="en-US"/>
              </w:rPr>
              <w:t xml:space="preserve">7,565 </w:t>
            </w:r>
          </w:p>
        </w:tc>
        <w:tc>
          <w:tcPr>
            <w:tcW w:w="317" w:type="pct"/>
            <w:tcBorders>
              <w:top w:val="nil"/>
              <w:left w:val="nil"/>
              <w:bottom w:val="nil"/>
              <w:right w:val="nil"/>
            </w:tcBorders>
            <w:shd w:val="clear" w:color="auto" w:fill="FFFFFF"/>
            <w:vAlign w:val="center"/>
          </w:tcPr>
          <w:p w14:paraId="44972267" w14:textId="77777777" w:rsidR="00C90DA4" w:rsidRDefault="00C90DA4" w:rsidP="00C90DA4">
            <w:pPr>
              <w:rPr>
                <w:rFonts w:cs="Arial"/>
                <w:bCs/>
                <w:szCs w:val="18"/>
                <w:lang w:val="en-US"/>
              </w:rPr>
            </w:pPr>
            <w:r w:rsidRPr="002E1BBC">
              <w:rPr>
                <w:rFonts w:cs="Arial"/>
                <w:bCs/>
                <w:szCs w:val="18"/>
                <w:vertAlign w:val="superscript"/>
                <w:lang w:val="en-US"/>
              </w:rPr>
              <w:t>A</w:t>
            </w:r>
            <w:r>
              <w:rPr>
                <w:rFonts w:cs="Arial"/>
                <w:bCs/>
                <w:szCs w:val="18"/>
                <w:vertAlign w:val="superscript"/>
                <w:lang w:val="en-US"/>
              </w:rPr>
              <w:t>, B</w:t>
            </w:r>
          </w:p>
        </w:tc>
      </w:tr>
      <w:tr w:rsidR="00C90DA4" w:rsidRPr="00922E40" w14:paraId="4CE2FE08" w14:textId="77777777" w:rsidTr="00C90DA4">
        <w:trPr>
          <w:trHeight w:val="255"/>
        </w:trPr>
        <w:tc>
          <w:tcPr>
            <w:tcW w:w="2380" w:type="pct"/>
            <w:tcBorders>
              <w:top w:val="nil"/>
              <w:left w:val="nil"/>
              <w:bottom w:val="nil"/>
              <w:right w:val="nil"/>
            </w:tcBorders>
            <w:shd w:val="clear" w:color="auto" w:fill="FFFFFF"/>
            <w:noWrap/>
            <w:vAlign w:val="bottom"/>
          </w:tcPr>
          <w:p w14:paraId="74EB41A7" w14:textId="77777777" w:rsidR="00C90DA4" w:rsidRPr="00F33EB5" w:rsidRDefault="00C90DA4" w:rsidP="00C90DA4">
            <w:pPr>
              <w:rPr>
                <w:rFonts w:cs="Arial"/>
                <w:b/>
                <w:bCs/>
                <w:szCs w:val="18"/>
                <w:lang w:val="en-US"/>
              </w:rPr>
            </w:pPr>
            <w:r w:rsidRPr="00F33EB5">
              <w:rPr>
                <w:rFonts w:cs="Arial"/>
                <w:b/>
                <w:bCs/>
                <w:szCs w:val="18"/>
                <w:lang w:val="en-US"/>
              </w:rPr>
              <w:t>Total payables</w:t>
            </w:r>
          </w:p>
        </w:tc>
        <w:tc>
          <w:tcPr>
            <w:tcW w:w="542" w:type="pct"/>
            <w:tcBorders>
              <w:top w:val="nil"/>
              <w:left w:val="nil"/>
              <w:bottom w:val="nil"/>
              <w:right w:val="nil"/>
            </w:tcBorders>
            <w:shd w:val="clear" w:color="auto" w:fill="FFFFFF"/>
            <w:noWrap/>
            <w:vAlign w:val="bottom"/>
          </w:tcPr>
          <w:p w14:paraId="00429E7B" w14:textId="77777777" w:rsidR="00C90DA4" w:rsidRPr="00F33EB5" w:rsidRDefault="00C90DA4" w:rsidP="00C90DA4">
            <w:pPr>
              <w:jc w:val="center"/>
              <w:rPr>
                <w:rFonts w:cs="Arial"/>
                <w:szCs w:val="18"/>
                <w:lang w:val="en-US"/>
              </w:rPr>
            </w:pPr>
          </w:p>
        </w:tc>
        <w:tc>
          <w:tcPr>
            <w:tcW w:w="564" w:type="pct"/>
            <w:tcBorders>
              <w:top w:val="single" w:sz="4" w:space="0" w:color="auto"/>
              <w:left w:val="nil"/>
              <w:bottom w:val="single" w:sz="4" w:space="0" w:color="auto"/>
              <w:right w:val="nil"/>
            </w:tcBorders>
            <w:shd w:val="clear" w:color="auto" w:fill="FFFFFF"/>
            <w:vAlign w:val="bottom"/>
          </w:tcPr>
          <w:p w14:paraId="16C67D13" w14:textId="77777777" w:rsidR="00C90DA4" w:rsidRPr="00F33EB5" w:rsidRDefault="00C90DA4" w:rsidP="00C90DA4">
            <w:pPr>
              <w:jc w:val="right"/>
              <w:rPr>
                <w:rFonts w:cs="Arial"/>
                <w:b/>
                <w:bCs/>
                <w:szCs w:val="18"/>
                <w:lang w:val="en-US"/>
              </w:rPr>
            </w:pPr>
            <w:r>
              <w:rPr>
                <w:rFonts w:cs="Arial"/>
                <w:b/>
                <w:bCs/>
                <w:szCs w:val="18"/>
                <w:lang w:val="en-US"/>
              </w:rPr>
              <w:t>3,569</w:t>
            </w:r>
            <w:r w:rsidRPr="00C51A34">
              <w:rPr>
                <w:rFonts w:cs="Arial"/>
                <w:b/>
                <w:bCs/>
                <w:szCs w:val="18"/>
                <w:lang w:val="en-US"/>
              </w:rPr>
              <w:t xml:space="preserve"> </w:t>
            </w:r>
            <w:r w:rsidRPr="00AD7D08">
              <w:rPr>
                <w:rFonts w:cs="Arial"/>
                <w:b/>
                <w:bCs/>
                <w:szCs w:val="18"/>
                <w:lang w:val="en-US"/>
              </w:rPr>
              <w:t xml:space="preserve"> </w:t>
            </w:r>
          </w:p>
        </w:tc>
        <w:tc>
          <w:tcPr>
            <w:tcW w:w="552" w:type="pct"/>
            <w:tcBorders>
              <w:top w:val="single" w:sz="4" w:space="0" w:color="auto"/>
              <w:left w:val="nil"/>
              <w:bottom w:val="single" w:sz="4" w:space="0" w:color="auto"/>
              <w:right w:val="nil"/>
            </w:tcBorders>
            <w:shd w:val="clear" w:color="auto" w:fill="FFFFFF"/>
            <w:noWrap/>
            <w:vAlign w:val="bottom"/>
          </w:tcPr>
          <w:p w14:paraId="57B8F1B5" w14:textId="77777777" w:rsidR="00C90DA4" w:rsidRPr="007014B2" w:rsidRDefault="00C90DA4" w:rsidP="00C90DA4">
            <w:pPr>
              <w:jc w:val="right"/>
              <w:rPr>
                <w:rFonts w:cs="Arial"/>
                <w:bCs/>
                <w:szCs w:val="18"/>
                <w:lang w:val="en-US"/>
              </w:rPr>
            </w:pPr>
            <w:r w:rsidRPr="007014B2">
              <w:rPr>
                <w:rFonts w:cs="Arial"/>
                <w:bCs/>
                <w:szCs w:val="18"/>
                <w:lang w:val="en-US"/>
              </w:rPr>
              <w:t xml:space="preserve">8,858  </w:t>
            </w:r>
          </w:p>
        </w:tc>
        <w:tc>
          <w:tcPr>
            <w:tcW w:w="135" w:type="pct"/>
            <w:tcBorders>
              <w:left w:val="nil"/>
              <w:right w:val="nil"/>
            </w:tcBorders>
            <w:shd w:val="clear" w:color="auto" w:fill="FFFFFF"/>
          </w:tcPr>
          <w:p w14:paraId="6D1D909D" w14:textId="77777777" w:rsidR="00C90DA4" w:rsidRPr="00D814E8" w:rsidRDefault="00C90DA4" w:rsidP="00C90DA4">
            <w:pPr>
              <w:jc w:val="right"/>
              <w:rPr>
                <w:rFonts w:cs="Arial"/>
                <w:bCs/>
                <w:szCs w:val="18"/>
                <w:lang w:val="en-US"/>
              </w:rPr>
            </w:pPr>
          </w:p>
        </w:tc>
        <w:tc>
          <w:tcPr>
            <w:tcW w:w="509" w:type="pct"/>
            <w:tcBorders>
              <w:top w:val="single" w:sz="4" w:space="0" w:color="auto"/>
              <w:left w:val="nil"/>
              <w:bottom w:val="single" w:sz="4" w:space="0" w:color="auto"/>
              <w:right w:val="nil"/>
            </w:tcBorders>
            <w:shd w:val="clear" w:color="auto" w:fill="auto"/>
            <w:vAlign w:val="bottom"/>
          </w:tcPr>
          <w:p w14:paraId="2241BD9D" w14:textId="77777777" w:rsidR="00C90DA4" w:rsidRPr="00A84ED4" w:rsidRDefault="00C90DA4" w:rsidP="00C90DA4">
            <w:pPr>
              <w:jc w:val="right"/>
              <w:rPr>
                <w:rFonts w:cs="Arial"/>
                <w:bCs/>
                <w:szCs w:val="18"/>
                <w:lang w:val="en-US"/>
              </w:rPr>
            </w:pPr>
            <w:r w:rsidRPr="00A84ED4">
              <w:rPr>
                <w:rFonts w:cs="Arial"/>
                <w:bCs/>
                <w:szCs w:val="18"/>
                <w:lang w:val="en-US"/>
              </w:rPr>
              <w:t xml:space="preserve">8,303 </w:t>
            </w:r>
          </w:p>
        </w:tc>
        <w:tc>
          <w:tcPr>
            <w:tcW w:w="317" w:type="pct"/>
            <w:tcBorders>
              <w:left w:val="nil"/>
              <w:right w:val="nil"/>
            </w:tcBorders>
            <w:shd w:val="clear" w:color="auto" w:fill="FFFFFF"/>
            <w:vAlign w:val="center"/>
          </w:tcPr>
          <w:p w14:paraId="4F13FD23" w14:textId="77777777" w:rsidR="00C90DA4" w:rsidRDefault="00C90DA4" w:rsidP="00C90DA4">
            <w:pPr>
              <w:rPr>
                <w:rFonts w:cs="Arial"/>
                <w:bCs/>
                <w:szCs w:val="18"/>
                <w:lang w:val="en-US"/>
              </w:rPr>
            </w:pPr>
          </w:p>
        </w:tc>
      </w:tr>
      <w:tr w:rsidR="00C90DA4" w:rsidRPr="00922E40" w14:paraId="1C0F35C1" w14:textId="77777777" w:rsidTr="00C90DA4">
        <w:trPr>
          <w:trHeight w:val="255"/>
        </w:trPr>
        <w:tc>
          <w:tcPr>
            <w:tcW w:w="2380" w:type="pct"/>
            <w:tcBorders>
              <w:top w:val="nil"/>
              <w:left w:val="nil"/>
              <w:bottom w:val="nil"/>
              <w:right w:val="nil"/>
            </w:tcBorders>
            <w:shd w:val="clear" w:color="auto" w:fill="FFFFFF"/>
            <w:noWrap/>
            <w:vAlign w:val="bottom"/>
          </w:tcPr>
          <w:p w14:paraId="3B385C56" w14:textId="77777777" w:rsidR="00C90DA4" w:rsidRPr="00F33EB5" w:rsidRDefault="00C90DA4" w:rsidP="00C90DA4">
            <w:pPr>
              <w:spacing w:before="120"/>
              <w:rPr>
                <w:rFonts w:cs="Arial"/>
                <w:b/>
                <w:bCs/>
                <w:szCs w:val="18"/>
                <w:lang w:val="en-US"/>
              </w:rPr>
            </w:pPr>
            <w:r w:rsidRPr="00F33EB5">
              <w:rPr>
                <w:rFonts w:cs="Arial"/>
                <w:b/>
                <w:bCs/>
                <w:szCs w:val="18"/>
                <w:lang w:val="en-US"/>
              </w:rPr>
              <w:t>Provisions</w:t>
            </w:r>
          </w:p>
        </w:tc>
        <w:tc>
          <w:tcPr>
            <w:tcW w:w="542" w:type="pct"/>
            <w:tcBorders>
              <w:top w:val="nil"/>
              <w:left w:val="nil"/>
              <w:bottom w:val="nil"/>
              <w:right w:val="nil"/>
            </w:tcBorders>
            <w:shd w:val="clear" w:color="auto" w:fill="FFFFFF"/>
            <w:noWrap/>
            <w:vAlign w:val="bottom"/>
          </w:tcPr>
          <w:p w14:paraId="7C3B2A80" w14:textId="77777777" w:rsidR="00C90DA4" w:rsidRPr="00F33EB5" w:rsidRDefault="00C90DA4" w:rsidP="00C90DA4">
            <w:pPr>
              <w:jc w:val="center"/>
              <w:rPr>
                <w:rFonts w:cs="Arial"/>
                <w:szCs w:val="18"/>
                <w:lang w:val="en-US"/>
              </w:rPr>
            </w:pPr>
          </w:p>
        </w:tc>
        <w:tc>
          <w:tcPr>
            <w:tcW w:w="564" w:type="pct"/>
            <w:tcBorders>
              <w:top w:val="nil"/>
              <w:left w:val="nil"/>
              <w:bottom w:val="nil"/>
              <w:right w:val="nil"/>
            </w:tcBorders>
            <w:shd w:val="clear" w:color="auto" w:fill="FFFFFF"/>
            <w:vAlign w:val="bottom"/>
          </w:tcPr>
          <w:p w14:paraId="04DA79D9" w14:textId="77777777" w:rsidR="00C90DA4" w:rsidRPr="00F33EB5" w:rsidRDefault="00C90DA4" w:rsidP="00C90DA4">
            <w:pPr>
              <w:jc w:val="right"/>
              <w:rPr>
                <w:rFonts w:cs="Arial"/>
                <w:b/>
                <w:bCs/>
                <w:szCs w:val="18"/>
                <w:lang w:val="en-US"/>
              </w:rPr>
            </w:pPr>
          </w:p>
        </w:tc>
        <w:tc>
          <w:tcPr>
            <w:tcW w:w="552" w:type="pct"/>
            <w:tcBorders>
              <w:top w:val="nil"/>
              <w:left w:val="nil"/>
              <w:bottom w:val="nil"/>
              <w:right w:val="nil"/>
            </w:tcBorders>
            <w:shd w:val="clear" w:color="auto" w:fill="FFFFFF"/>
            <w:noWrap/>
            <w:vAlign w:val="bottom"/>
          </w:tcPr>
          <w:p w14:paraId="4C812B5C" w14:textId="77777777" w:rsidR="00C90DA4" w:rsidRPr="007014B2" w:rsidRDefault="00C90DA4" w:rsidP="00C90DA4">
            <w:pPr>
              <w:jc w:val="right"/>
              <w:rPr>
                <w:rFonts w:cs="Arial"/>
                <w:bCs/>
                <w:szCs w:val="18"/>
                <w:lang w:val="en-US"/>
              </w:rPr>
            </w:pPr>
          </w:p>
        </w:tc>
        <w:tc>
          <w:tcPr>
            <w:tcW w:w="135" w:type="pct"/>
            <w:tcBorders>
              <w:top w:val="nil"/>
              <w:left w:val="nil"/>
              <w:bottom w:val="nil"/>
              <w:right w:val="nil"/>
            </w:tcBorders>
            <w:shd w:val="clear" w:color="auto" w:fill="FFFFFF"/>
          </w:tcPr>
          <w:p w14:paraId="126944BD" w14:textId="77777777" w:rsidR="00C90DA4" w:rsidRPr="00D814E8" w:rsidRDefault="00C90DA4" w:rsidP="00C90DA4">
            <w:pPr>
              <w:jc w:val="right"/>
              <w:rPr>
                <w:rFonts w:cs="Arial"/>
                <w:bCs/>
                <w:szCs w:val="18"/>
                <w:lang w:val="en-US"/>
              </w:rPr>
            </w:pPr>
          </w:p>
        </w:tc>
        <w:tc>
          <w:tcPr>
            <w:tcW w:w="509" w:type="pct"/>
            <w:tcBorders>
              <w:top w:val="nil"/>
              <w:left w:val="nil"/>
              <w:bottom w:val="nil"/>
              <w:right w:val="nil"/>
            </w:tcBorders>
            <w:shd w:val="clear" w:color="auto" w:fill="auto"/>
            <w:vAlign w:val="bottom"/>
          </w:tcPr>
          <w:p w14:paraId="6B7EB1BE" w14:textId="77777777" w:rsidR="00C90DA4" w:rsidRPr="00A84ED4" w:rsidRDefault="00C90DA4" w:rsidP="00C90DA4">
            <w:pPr>
              <w:jc w:val="right"/>
              <w:rPr>
                <w:rFonts w:cs="Arial"/>
                <w:bCs/>
                <w:szCs w:val="18"/>
                <w:lang w:val="en-US"/>
              </w:rPr>
            </w:pPr>
          </w:p>
        </w:tc>
        <w:tc>
          <w:tcPr>
            <w:tcW w:w="317" w:type="pct"/>
            <w:tcBorders>
              <w:top w:val="nil"/>
              <w:left w:val="nil"/>
              <w:bottom w:val="nil"/>
              <w:right w:val="nil"/>
            </w:tcBorders>
            <w:shd w:val="clear" w:color="auto" w:fill="FFFFFF"/>
            <w:vAlign w:val="center"/>
          </w:tcPr>
          <w:p w14:paraId="7675B0DE" w14:textId="77777777" w:rsidR="00C90DA4" w:rsidRPr="00D814E8" w:rsidRDefault="00C90DA4" w:rsidP="00C90DA4">
            <w:pPr>
              <w:rPr>
                <w:rFonts w:cs="Arial"/>
                <w:bCs/>
                <w:szCs w:val="18"/>
                <w:lang w:val="en-US"/>
              </w:rPr>
            </w:pPr>
          </w:p>
        </w:tc>
      </w:tr>
      <w:tr w:rsidR="00C90DA4" w:rsidRPr="00922E40" w14:paraId="24083B8B" w14:textId="77777777" w:rsidTr="00C90DA4">
        <w:trPr>
          <w:trHeight w:val="255"/>
        </w:trPr>
        <w:tc>
          <w:tcPr>
            <w:tcW w:w="2380" w:type="pct"/>
            <w:tcBorders>
              <w:top w:val="nil"/>
              <w:left w:val="nil"/>
              <w:bottom w:val="nil"/>
              <w:right w:val="nil"/>
            </w:tcBorders>
            <w:shd w:val="clear" w:color="auto" w:fill="FFFFFF"/>
            <w:noWrap/>
            <w:vAlign w:val="bottom"/>
          </w:tcPr>
          <w:p w14:paraId="0E8DDF65" w14:textId="77777777" w:rsidR="00C90DA4" w:rsidRPr="00F33EB5" w:rsidRDefault="00C90DA4" w:rsidP="00C90DA4">
            <w:pPr>
              <w:rPr>
                <w:rFonts w:cs="Arial"/>
                <w:szCs w:val="18"/>
                <w:lang w:val="en-US"/>
              </w:rPr>
            </w:pPr>
            <w:r w:rsidRPr="00F33EB5">
              <w:rPr>
                <w:rFonts w:cs="Arial"/>
                <w:szCs w:val="18"/>
                <w:lang w:val="en-US"/>
              </w:rPr>
              <w:t>Employee provisions</w:t>
            </w:r>
          </w:p>
        </w:tc>
        <w:tc>
          <w:tcPr>
            <w:tcW w:w="542" w:type="pct"/>
            <w:tcBorders>
              <w:top w:val="nil"/>
              <w:left w:val="nil"/>
              <w:bottom w:val="nil"/>
              <w:right w:val="nil"/>
            </w:tcBorders>
            <w:shd w:val="clear" w:color="auto" w:fill="FFFFFF"/>
            <w:noWrap/>
            <w:vAlign w:val="bottom"/>
          </w:tcPr>
          <w:p w14:paraId="73BFD498" w14:textId="77777777" w:rsidR="00C90DA4" w:rsidRPr="00F33EB5" w:rsidRDefault="00C90DA4" w:rsidP="00C90DA4">
            <w:pPr>
              <w:jc w:val="center"/>
              <w:rPr>
                <w:rFonts w:cs="Arial"/>
                <w:szCs w:val="18"/>
                <w:lang w:val="en-US"/>
              </w:rPr>
            </w:pPr>
            <w:r>
              <w:rPr>
                <w:rFonts w:cs="Arial"/>
                <w:szCs w:val="18"/>
                <w:lang w:val="en-US"/>
              </w:rPr>
              <w:t>3.1</w:t>
            </w:r>
          </w:p>
        </w:tc>
        <w:tc>
          <w:tcPr>
            <w:tcW w:w="564" w:type="pct"/>
            <w:tcBorders>
              <w:top w:val="nil"/>
              <w:left w:val="nil"/>
              <w:bottom w:val="nil"/>
              <w:right w:val="nil"/>
            </w:tcBorders>
            <w:shd w:val="clear" w:color="auto" w:fill="FFFFFF"/>
            <w:vAlign w:val="bottom"/>
          </w:tcPr>
          <w:p w14:paraId="214BC02F" w14:textId="77777777" w:rsidR="00C90DA4" w:rsidRPr="00F33EB5" w:rsidRDefault="00C90DA4" w:rsidP="00C90DA4">
            <w:pPr>
              <w:jc w:val="right"/>
              <w:rPr>
                <w:rFonts w:cs="Arial"/>
                <w:b/>
                <w:bCs/>
                <w:szCs w:val="18"/>
                <w:lang w:val="en-US"/>
              </w:rPr>
            </w:pPr>
            <w:r>
              <w:rPr>
                <w:rFonts w:cs="Arial"/>
                <w:b/>
                <w:bCs/>
                <w:szCs w:val="18"/>
                <w:lang w:val="en-US"/>
              </w:rPr>
              <w:t>2,576</w:t>
            </w:r>
            <w:r w:rsidRPr="00AD7D08">
              <w:rPr>
                <w:rFonts w:cs="Arial"/>
                <w:b/>
                <w:bCs/>
                <w:szCs w:val="18"/>
                <w:lang w:val="en-US"/>
              </w:rPr>
              <w:t xml:space="preserve"> </w:t>
            </w:r>
          </w:p>
        </w:tc>
        <w:tc>
          <w:tcPr>
            <w:tcW w:w="552" w:type="pct"/>
            <w:tcBorders>
              <w:top w:val="nil"/>
              <w:left w:val="nil"/>
              <w:bottom w:val="nil"/>
              <w:right w:val="nil"/>
            </w:tcBorders>
            <w:shd w:val="clear" w:color="auto" w:fill="FFFFFF"/>
            <w:noWrap/>
            <w:vAlign w:val="bottom"/>
          </w:tcPr>
          <w:p w14:paraId="72189361" w14:textId="77777777" w:rsidR="00C90DA4" w:rsidRPr="007014B2" w:rsidRDefault="00C90DA4" w:rsidP="00C90DA4">
            <w:pPr>
              <w:jc w:val="right"/>
              <w:rPr>
                <w:rFonts w:cs="Arial"/>
                <w:bCs/>
                <w:szCs w:val="18"/>
                <w:lang w:val="en-US"/>
              </w:rPr>
            </w:pPr>
            <w:r w:rsidRPr="007014B2">
              <w:rPr>
                <w:rFonts w:cs="Arial"/>
                <w:bCs/>
                <w:szCs w:val="18"/>
                <w:lang w:val="en-US"/>
              </w:rPr>
              <w:t xml:space="preserve">2,538 </w:t>
            </w:r>
          </w:p>
        </w:tc>
        <w:tc>
          <w:tcPr>
            <w:tcW w:w="135" w:type="pct"/>
            <w:tcBorders>
              <w:top w:val="nil"/>
              <w:left w:val="nil"/>
              <w:bottom w:val="nil"/>
              <w:right w:val="nil"/>
            </w:tcBorders>
            <w:shd w:val="clear" w:color="auto" w:fill="FFFFFF"/>
          </w:tcPr>
          <w:p w14:paraId="33DAD4F1" w14:textId="77777777" w:rsidR="00C90DA4" w:rsidRPr="00D814E8" w:rsidRDefault="00C90DA4" w:rsidP="00C90DA4">
            <w:pPr>
              <w:jc w:val="right"/>
              <w:rPr>
                <w:rFonts w:cs="Arial"/>
                <w:bCs/>
                <w:szCs w:val="18"/>
                <w:lang w:val="en-US"/>
              </w:rPr>
            </w:pPr>
          </w:p>
        </w:tc>
        <w:tc>
          <w:tcPr>
            <w:tcW w:w="509" w:type="pct"/>
            <w:tcBorders>
              <w:top w:val="nil"/>
              <w:left w:val="nil"/>
              <w:bottom w:val="nil"/>
              <w:right w:val="nil"/>
            </w:tcBorders>
            <w:shd w:val="clear" w:color="auto" w:fill="auto"/>
            <w:vAlign w:val="bottom"/>
          </w:tcPr>
          <w:p w14:paraId="6D28002F" w14:textId="77777777" w:rsidR="00C90DA4" w:rsidRPr="00A84ED4" w:rsidRDefault="00C90DA4" w:rsidP="00C90DA4">
            <w:pPr>
              <w:jc w:val="right"/>
              <w:rPr>
                <w:rFonts w:cs="Arial"/>
                <w:bCs/>
                <w:szCs w:val="18"/>
                <w:lang w:val="en-US"/>
              </w:rPr>
            </w:pPr>
            <w:r w:rsidRPr="00A84ED4">
              <w:rPr>
                <w:rFonts w:cs="Arial"/>
                <w:bCs/>
                <w:szCs w:val="18"/>
                <w:lang w:val="en-US"/>
              </w:rPr>
              <w:t>1,731</w:t>
            </w:r>
          </w:p>
        </w:tc>
        <w:tc>
          <w:tcPr>
            <w:tcW w:w="317" w:type="pct"/>
            <w:tcBorders>
              <w:top w:val="nil"/>
              <w:left w:val="nil"/>
              <w:bottom w:val="nil"/>
              <w:right w:val="nil"/>
            </w:tcBorders>
            <w:shd w:val="clear" w:color="auto" w:fill="FFFFFF"/>
            <w:vAlign w:val="center"/>
          </w:tcPr>
          <w:p w14:paraId="329BF4B9" w14:textId="77777777" w:rsidR="00C90DA4" w:rsidRPr="00B35925" w:rsidRDefault="00C90DA4" w:rsidP="00C90DA4">
            <w:pPr>
              <w:rPr>
                <w:rFonts w:cs="Arial"/>
                <w:bCs/>
                <w:szCs w:val="18"/>
                <w:vertAlign w:val="superscript"/>
                <w:lang w:val="en-US"/>
              </w:rPr>
            </w:pPr>
            <w:r>
              <w:rPr>
                <w:rFonts w:cs="Arial"/>
                <w:bCs/>
                <w:szCs w:val="18"/>
                <w:vertAlign w:val="superscript"/>
                <w:lang w:val="en-US"/>
              </w:rPr>
              <w:t>A</w:t>
            </w:r>
          </w:p>
        </w:tc>
      </w:tr>
      <w:tr w:rsidR="00C90DA4" w:rsidRPr="00922E40" w14:paraId="09460BA4" w14:textId="77777777" w:rsidTr="00C90DA4">
        <w:trPr>
          <w:trHeight w:val="255"/>
        </w:trPr>
        <w:tc>
          <w:tcPr>
            <w:tcW w:w="2380" w:type="pct"/>
            <w:tcBorders>
              <w:top w:val="nil"/>
              <w:left w:val="nil"/>
              <w:bottom w:val="nil"/>
              <w:right w:val="nil"/>
            </w:tcBorders>
            <w:shd w:val="clear" w:color="auto" w:fill="FFFFFF"/>
            <w:noWrap/>
            <w:vAlign w:val="bottom"/>
          </w:tcPr>
          <w:p w14:paraId="6AE11145" w14:textId="77777777" w:rsidR="00C90DA4" w:rsidRPr="00F33EB5" w:rsidRDefault="00C90DA4" w:rsidP="00C90DA4">
            <w:pPr>
              <w:rPr>
                <w:rFonts w:cs="Arial"/>
                <w:szCs w:val="18"/>
                <w:lang w:val="en-US"/>
              </w:rPr>
            </w:pPr>
            <w:r w:rsidRPr="00F33EB5">
              <w:rPr>
                <w:rFonts w:cs="Arial"/>
                <w:szCs w:val="18"/>
                <w:lang w:val="en-US"/>
              </w:rPr>
              <w:t>Other provisions</w:t>
            </w:r>
          </w:p>
        </w:tc>
        <w:tc>
          <w:tcPr>
            <w:tcW w:w="542" w:type="pct"/>
            <w:tcBorders>
              <w:top w:val="nil"/>
              <w:left w:val="nil"/>
              <w:bottom w:val="nil"/>
              <w:right w:val="nil"/>
            </w:tcBorders>
            <w:shd w:val="clear" w:color="auto" w:fill="FFFFFF"/>
            <w:noWrap/>
            <w:vAlign w:val="bottom"/>
          </w:tcPr>
          <w:p w14:paraId="576072BC" w14:textId="77777777" w:rsidR="00C90DA4" w:rsidRPr="00F33EB5" w:rsidRDefault="00C90DA4" w:rsidP="00C90DA4">
            <w:pPr>
              <w:jc w:val="center"/>
              <w:rPr>
                <w:rFonts w:cs="Arial"/>
                <w:szCs w:val="18"/>
                <w:lang w:val="en-US"/>
              </w:rPr>
            </w:pPr>
          </w:p>
        </w:tc>
        <w:tc>
          <w:tcPr>
            <w:tcW w:w="564" w:type="pct"/>
            <w:tcBorders>
              <w:top w:val="nil"/>
              <w:left w:val="nil"/>
              <w:bottom w:val="nil"/>
              <w:right w:val="nil"/>
            </w:tcBorders>
            <w:shd w:val="clear" w:color="auto" w:fill="FFFFFF"/>
            <w:vAlign w:val="bottom"/>
          </w:tcPr>
          <w:p w14:paraId="2A1E7B14" w14:textId="77777777" w:rsidR="00C90DA4" w:rsidRPr="00F33EB5" w:rsidRDefault="00C90DA4" w:rsidP="00C90DA4">
            <w:pPr>
              <w:jc w:val="right"/>
              <w:rPr>
                <w:rFonts w:cs="Arial"/>
                <w:b/>
                <w:bCs/>
                <w:szCs w:val="18"/>
                <w:lang w:val="en-US"/>
              </w:rPr>
            </w:pPr>
            <w:r>
              <w:rPr>
                <w:rFonts w:cs="Arial"/>
                <w:b/>
                <w:bCs/>
                <w:szCs w:val="18"/>
                <w:lang w:val="en-US"/>
              </w:rPr>
              <w:t>-</w:t>
            </w:r>
            <w:r w:rsidRPr="00AD7D08">
              <w:rPr>
                <w:rFonts w:cs="Arial"/>
                <w:b/>
                <w:bCs/>
                <w:szCs w:val="18"/>
                <w:lang w:val="en-US"/>
              </w:rPr>
              <w:t xml:space="preserve"> </w:t>
            </w:r>
          </w:p>
        </w:tc>
        <w:tc>
          <w:tcPr>
            <w:tcW w:w="552" w:type="pct"/>
            <w:tcBorders>
              <w:top w:val="nil"/>
              <w:left w:val="nil"/>
              <w:bottom w:val="nil"/>
              <w:right w:val="nil"/>
            </w:tcBorders>
            <w:shd w:val="clear" w:color="auto" w:fill="FFFFFF"/>
            <w:noWrap/>
            <w:vAlign w:val="bottom"/>
          </w:tcPr>
          <w:p w14:paraId="6E646D81" w14:textId="77777777" w:rsidR="00C90DA4" w:rsidRPr="007014B2" w:rsidRDefault="00C90DA4" w:rsidP="00C90DA4">
            <w:pPr>
              <w:jc w:val="right"/>
              <w:rPr>
                <w:rFonts w:cs="Arial"/>
                <w:bCs/>
                <w:szCs w:val="18"/>
                <w:lang w:val="en-US"/>
              </w:rPr>
            </w:pPr>
            <w:r w:rsidRPr="007014B2">
              <w:rPr>
                <w:rFonts w:cs="Arial"/>
                <w:bCs/>
                <w:szCs w:val="18"/>
                <w:lang w:val="en-US"/>
              </w:rPr>
              <w:t xml:space="preserve">- </w:t>
            </w:r>
          </w:p>
        </w:tc>
        <w:tc>
          <w:tcPr>
            <w:tcW w:w="135" w:type="pct"/>
            <w:tcBorders>
              <w:top w:val="nil"/>
              <w:left w:val="nil"/>
              <w:bottom w:val="nil"/>
              <w:right w:val="nil"/>
            </w:tcBorders>
            <w:shd w:val="clear" w:color="auto" w:fill="FFFFFF"/>
          </w:tcPr>
          <w:p w14:paraId="1DC9D365" w14:textId="77777777" w:rsidR="00C90DA4" w:rsidRPr="00D814E8" w:rsidRDefault="00C90DA4" w:rsidP="00C90DA4">
            <w:pPr>
              <w:jc w:val="right"/>
              <w:rPr>
                <w:rFonts w:cs="Arial"/>
                <w:bCs/>
                <w:szCs w:val="18"/>
                <w:lang w:val="en-US"/>
              </w:rPr>
            </w:pPr>
          </w:p>
        </w:tc>
        <w:tc>
          <w:tcPr>
            <w:tcW w:w="509" w:type="pct"/>
            <w:tcBorders>
              <w:top w:val="nil"/>
              <w:left w:val="nil"/>
              <w:bottom w:val="nil"/>
              <w:right w:val="nil"/>
            </w:tcBorders>
            <w:shd w:val="clear" w:color="auto" w:fill="auto"/>
            <w:vAlign w:val="bottom"/>
          </w:tcPr>
          <w:p w14:paraId="62BF81F6" w14:textId="77777777" w:rsidR="00C90DA4" w:rsidRPr="00A84ED4" w:rsidRDefault="00C90DA4" w:rsidP="00C90DA4">
            <w:pPr>
              <w:jc w:val="right"/>
              <w:rPr>
                <w:rFonts w:cs="Arial"/>
                <w:bCs/>
                <w:szCs w:val="18"/>
                <w:lang w:val="en-US"/>
              </w:rPr>
            </w:pPr>
            <w:r w:rsidRPr="00A84ED4">
              <w:rPr>
                <w:rFonts w:cs="Arial"/>
                <w:bCs/>
                <w:szCs w:val="18"/>
                <w:lang w:val="en-US"/>
              </w:rPr>
              <w:t>250</w:t>
            </w:r>
          </w:p>
        </w:tc>
        <w:tc>
          <w:tcPr>
            <w:tcW w:w="317" w:type="pct"/>
            <w:tcBorders>
              <w:top w:val="nil"/>
              <w:left w:val="nil"/>
              <w:bottom w:val="nil"/>
              <w:right w:val="nil"/>
            </w:tcBorders>
            <w:shd w:val="clear" w:color="auto" w:fill="FFFFFF"/>
            <w:vAlign w:val="center"/>
          </w:tcPr>
          <w:p w14:paraId="67E9A404" w14:textId="77777777" w:rsidR="00C90DA4" w:rsidRDefault="00C90DA4" w:rsidP="00C90DA4">
            <w:pPr>
              <w:rPr>
                <w:rFonts w:cs="Arial"/>
                <w:bCs/>
                <w:szCs w:val="18"/>
                <w:lang w:val="en-US"/>
              </w:rPr>
            </w:pPr>
          </w:p>
        </w:tc>
      </w:tr>
      <w:tr w:rsidR="00C90DA4" w:rsidRPr="00922E40" w14:paraId="312B1DE0" w14:textId="77777777" w:rsidTr="00C90DA4">
        <w:trPr>
          <w:trHeight w:val="255"/>
        </w:trPr>
        <w:tc>
          <w:tcPr>
            <w:tcW w:w="2380" w:type="pct"/>
            <w:tcBorders>
              <w:top w:val="nil"/>
              <w:left w:val="nil"/>
              <w:bottom w:val="nil"/>
              <w:right w:val="nil"/>
            </w:tcBorders>
            <w:shd w:val="clear" w:color="auto" w:fill="FFFFFF"/>
            <w:noWrap/>
            <w:vAlign w:val="bottom"/>
          </w:tcPr>
          <w:p w14:paraId="5F39526A" w14:textId="77777777" w:rsidR="00C90DA4" w:rsidRPr="00F33EB5" w:rsidRDefault="00C90DA4" w:rsidP="00C90DA4">
            <w:pPr>
              <w:rPr>
                <w:rFonts w:cs="Arial"/>
                <w:b/>
                <w:bCs/>
                <w:szCs w:val="18"/>
                <w:lang w:val="en-US"/>
              </w:rPr>
            </w:pPr>
            <w:r w:rsidRPr="00F33EB5">
              <w:rPr>
                <w:rFonts w:cs="Arial"/>
                <w:b/>
                <w:bCs/>
                <w:szCs w:val="18"/>
                <w:lang w:val="en-US"/>
              </w:rPr>
              <w:t>Total provisions</w:t>
            </w:r>
          </w:p>
        </w:tc>
        <w:tc>
          <w:tcPr>
            <w:tcW w:w="542" w:type="pct"/>
            <w:tcBorders>
              <w:top w:val="nil"/>
              <w:left w:val="nil"/>
              <w:bottom w:val="nil"/>
              <w:right w:val="nil"/>
            </w:tcBorders>
            <w:shd w:val="clear" w:color="auto" w:fill="FFFFFF"/>
            <w:noWrap/>
            <w:vAlign w:val="bottom"/>
          </w:tcPr>
          <w:p w14:paraId="351BA36C" w14:textId="77777777" w:rsidR="00C90DA4" w:rsidRPr="00F33EB5" w:rsidRDefault="00C90DA4" w:rsidP="00C90DA4">
            <w:pPr>
              <w:jc w:val="center"/>
              <w:rPr>
                <w:rFonts w:cs="Arial"/>
                <w:i/>
                <w:iCs/>
                <w:szCs w:val="18"/>
                <w:lang w:val="en-US"/>
              </w:rPr>
            </w:pPr>
            <w:r w:rsidRPr="00F33EB5">
              <w:rPr>
                <w:rFonts w:cs="Arial"/>
                <w:i/>
                <w:iCs/>
                <w:szCs w:val="18"/>
                <w:lang w:val="en-US"/>
              </w:rPr>
              <w:t> </w:t>
            </w:r>
          </w:p>
        </w:tc>
        <w:tc>
          <w:tcPr>
            <w:tcW w:w="564" w:type="pct"/>
            <w:tcBorders>
              <w:top w:val="single" w:sz="4" w:space="0" w:color="auto"/>
              <w:left w:val="nil"/>
              <w:bottom w:val="single" w:sz="4" w:space="0" w:color="auto"/>
              <w:right w:val="nil"/>
            </w:tcBorders>
            <w:shd w:val="clear" w:color="auto" w:fill="FFFFFF"/>
            <w:vAlign w:val="bottom"/>
          </w:tcPr>
          <w:p w14:paraId="005923D4" w14:textId="77777777" w:rsidR="00C90DA4" w:rsidRPr="00F33EB5" w:rsidRDefault="00C90DA4" w:rsidP="00C90DA4">
            <w:pPr>
              <w:jc w:val="right"/>
              <w:rPr>
                <w:rFonts w:cs="Arial"/>
                <w:b/>
                <w:bCs/>
                <w:szCs w:val="18"/>
                <w:lang w:val="en-US"/>
              </w:rPr>
            </w:pPr>
            <w:r>
              <w:rPr>
                <w:rFonts w:cs="Arial"/>
                <w:b/>
                <w:bCs/>
                <w:szCs w:val="18"/>
                <w:lang w:val="en-US"/>
              </w:rPr>
              <w:t>2,576</w:t>
            </w:r>
          </w:p>
        </w:tc>
        <w:tc>
          <w:tcPr>
            <w:tcW w:w="552" w:type="pct"/>
            <w:tcBorders>
              <w:top w:val="single" w:sz="4" w:space="0" w:color="auto"/>
              <w:left w:val="nil"/>
              <w:bottom w:val="single" w:sz="4" w:space="0" w:color="auto"/>
              <w:right w:val="nil"/>
            </w:tcBorders>
            <w:shd w:val="clear" w:color="auto" w:fill="FFFFFF"/>
            <w:noWrap/>
            <w:vAlign w:val="bottom"/>
          </w:tcPr>
          <w:p w14:paraId="76C03B54" w14:textId="77777777" w:rsidR="00C90DA4" w:rsidRPr="007014B2" w:rsidRDefault="00C90DA4" w:rsidP="00C90DA4">
            <w:pPr>
              <w:jc w:val="right"/>
              <w:rPr>
                <w:rFonts w:cs="Arial"/>
                <w:bCs/>
                <w:szCs w:val="18"/>
                <w:lang w:val="en-US"/>
              </w:rPr>
            </w:pPr>
            <w:r w:rsidRPr="007014B2">
              <w:rPr>
                <w:rFonts w:cs="Arial"/>
                <w:bCs/>
                <w:szCs w:val="18"/>
                <w:lang w:val="en-US"/>
              </w:rPr>
              <w:t>2,538</w:t>
            </w:r>
          </w:p>
        </w:tc>
        <w:tc>
          <w:tcPr>
            <w:tcW w:w="135" w:type="pct"/>
            <w:tcBorders>
              <w:left w:val="nil"/>
              <w:right w:val="nil"/>
            </w:tcBorders>
            <w:shd w:val="clear" w:color="auto" w:fill="FFFFFF"/>
          </w:tcPr>
          <w:p w14:paraId="47B0F203" w14:textId="77777777" w:rsidR="00C90DA4" w:rsidRPr="00D814E8" w:rsidRDefault="00C90DA4" w:rsidP="00C90DA4">
            <w:pPr>
              <w:jc w:val="right"/>
              <w:rPr>
                <w:rFonts w:cs="Arial"/>
                <w:bCs/>
                <w:szCs w:val="18"/>
                <w:lang w:val="en-US"/>
              </w:rPr>
            </w:pPr>
          </w:p>
        </w:tc>
        <w:tc>
          <w:tcPr>
            <w:tcW w:w="509" w:type="pct"/>
            <w:tcBorders>
              <w:top w:val="single" w:sz="4" w:space="0" w:color="auto"/>
              <w:left w:val="nil"/>
              <w:bottom w:val="single" w:sz="4" w:space="0" w:color="auto"/>
              <w:right w:val="nil"/>
            </w:tcBorders>
            <w:shd w:val="clear" w:color="auto" w:fill="auto"/>
            <w:vAlign w:val="bottom"/>
          </w:tcPr>
          <w:p w14:paraId="6A4145EA" w14:textId="77777777" w:rsidR="00C90DA4" w:rsidRPr="00A84ED4" w:rsidRDefault="00C90DA4" w:rsidP="00C90DA4">
            <w:pPr>
              <w:jc w:val="right"/>
              <w:rPr>
                <w:rFonts w:cs="Arial"/>
                <w:bCs/>
                <w:szCs w:val="18"/>
                <w:lang w:val="en-US"/>
              </w:rPr>
            </w:pPr>
            <w:r w:rsidRPr="00A84ED4">
              <w:rPr>
                <w:rFonts w:cs="Arial"/>
                <w:bCs/>
                <w:szCs w:val="18"/>
                <w:lang w:val="en-US"/>
              </w:rPr>
              <w:t>1,981</w:t>
            </w:r>
          </w:p>
        </w:tc>
        <w:tc>
          <w:tcPr>
            <w:tcW w:w="317" w:type="pct"/>
            <w:tcBorders>
              <w:left w:val="nil"/>
              <w:right w:val="nil"/>
            </w:tcBorders>
            <w:shd w:val="clear" w:color="auto" w:fill="FFFFFF"/>
            <w:vAlign w:val="center"/>
          </w:tcPr>
          <w:p w14:paraId="65240044" w14:textId="77777777" w:rsidR="00C90DA4" w:rsidRDefault="00C90DA4" w:rsidP="00C90DA4">
            <w:pPr>
              <w:rPr>
                <w:rFonts w:cs="Arial"/>
                <w:bCs/>
                <w:szCs w:val="18"/>
                <w:lang w:val="en-US"/>
              </w:rPr>
            </w:pPr>
          </w:p>
        </w:tc>
      </w:tr>
      <w:tr w:rsidR="00C90DA4" w:rsidRPr="00922E40" w14:paraId="4882449F" w14:textId="77777777" w:rsidTr="00C90DA4">
        <w:trPr>
          <w:trHeight w:val="255"/>
        </w:trPr>
        <w:tc>
          <w:tcPr>
            <w:tcW w:w="2380" w:type="pct"/>
            <w:tcBorders>
              <w:top w:val="nil"/>
              <w:left w:val="nil"/>
              <w:bottom w:val="nil"/>
              <w:right w:val="nil"/>
            </w:tcBorders>
            <w:shd w:val="clear" w:color="auto" w:fill="FFFFFF"/>
            <w:noWrap/>
            <w:vAlign w:val="bottom"/>
          </w:tcPr>
          <w:p w14:paraId="5E25E6CD" w14:textId="77777777" w:rsidR="00C90DA4" w:rsidRPr="00F33EB5" w:rsidRDefault="00C90DA4" w:rsidP="00C90DA4">
            <w:pPr>
              <w:rPr>
                <w:rFonts w:cs="Arial"/>
                <w:b/>
                <w:bCs/>
                <w:szCs w:val="18"/>
                <w:lang w:val="en-US"/>
              </w:rPr>
            </w:pPr>
            <w:r w:rsidRPr="00F33EB5">
              <w:rPr>
                <w:rFonts w:cs="Arial"/>
                <w:b/>
                <w:bCs/>
                <w:szCs w:val="18"/>
                <w:lang w:val="en-US"/>
              </w:rPr>
              <w:t>Total liabilities</w:t>
            </w:r>
          </w:p>
        </w:tc>
        <w:tc>
          <w:tcPr>
            <w:tcW w:w="542" w:type="pct"/>
            <w:tcBorders>
              <w:top w:val="nil"/>
              <w:left w:val="nil"/>
              <w:bottom w:val="nil"/>
              <w:right w:val="nil"/>
            </w:tcBorders>
            <w:shd w:val="clear" w:color="auto" w:fill="FFFFFF"/>
            <w:noWrap/>
            <w:vAlign w:val="bottom"/>
          </w:tcPr>
          <w:p w14:paraId="6F142ACD" w14:textId="77777777" w:rsidR="00C90DA4" w:rsidRPr="00F33EB5" w:rsidRDefault="00C90DA4" w:rsidP="00C90DA4">
            <w:pPr>
              <w:rPr>
                <w:rFonts w:cs="Arial"/>
                <w:szCs w:val="18"/>
                <w:lang w:val="en-US"/>
              </w:rPr>
            </w:pPr>
            <w:r w:rsidRPr="00F33EB5">
              <w:rPr>
                <w:rFonts w:cs="Arial"/>
                <w:szCs w:val="18"/>
                <w:lang w:val="en-US"/>
              </w:rPr>
              <w:t> </w:t>
            </w:r>
          </w:p>
        </w:tc>
        <w:tc>
          <w:tcPr>
            <w:tcW w:w="564" w:type="pct"/>
            <w:tcBorders>
              <w:top w:val="nil"/>
              <w:left w:val="nil"/>
              <w:bottom w:val="single" w:sz="4" w:space="0" w:color="auto"/>
              <w:right w:val="nil"/>
            </w:tcBorders>
            <w:shd w:val="clear" w:color="auto" w:fill="FFFFFF"/>
            <w:vAlign w:val="bottom"/>
          </w:tcPr>
          <w:p w14:paraId="73BADCA0" w14:textId="77777777" w:rsidR="00C90DA4" w:rsidRPr="00F33EB5" w:rsidRDefault="00C90DA4" w:rsidP="00C90DA4">
            <w:pPr>
              <w:jc w:val="right"/>
              <w:rPr>
                <w:rFonts w:cs="Arial"/>
                <w:b/>
                <w:bCs/>
                <w:szCs w:val="18"/>
                <w:lang w:val="en-US"/>
              </w:rPr>
            </w:pPr>
            <w:r>
              <w:rPr>
                <w:rFonts w:cs="Arial"/>
                <w:b/>
                <w:bCs/>
                <w:szCs w:val="18"/>
                <w:lang w:val="en-US"/>
              </w:rPr>
              <w:t>6,145</w:t>
            </w:r>
            <w:r w:rsidRPr="00C51A34">
              <w:rPr>
                <w:rFonts w:cs="Arial"/>
                <w:b/>
                <w:bCs/>
                <w:szCs w:val="18"/>
                <w:lang w:val="en-US"/>
              </w:rPr>
              <w:t xml:space="preserve"> </w:t>
            </w:r>
          </w:p>
        </w:tc>
        <w:tc>
          <w:tcPr>
            <w:tcW w:w="552" w:type="pct"/>
            <w:tcBorders>
              <w:top w:val="nil"/>
              <w:left w:val="nil"/>
              <w:bottom w:val="single" w:sz="4" w:space="0" w:color="auto"/>
              <w:right w:val="nil"/>
            </w:tcBorders>
            <w:shd w:val="clear" w:color="auto" w:fill="FFFFFF"/>
            <w:noWrap/>
            <w:vAlign w:val="bottom"/>
          </w:tcPr>
          <w:p w14:paraId="62AEE487" w14:textId="77777777" w:rsidR="00C90DA4" w:rsidRPr="007014B2" w:rsidRDefault="00C90DA4" w:rsidP="00C90DA4">
            <w:pPr>
              <w:jc w:val="right"/>
              <w:rPr>
                <w:rFonts w:cs="Arial"/>
                <w:bCs/>
                <w:szCs w:val="18"/>
                <w:lang w:val="en-US"/>
              </w:rPr>
            </w:pPr>
            <w:r w:rsidRPr="007014B2">
              <w:rPr>
                <w:rFonts w:cs="Arial"/>
                <w:bCs/>
                <w:szCs w:val="18"/>
                <w:lang w:val="en-US"/>
              </w:rPr>
              <w:t xml:space="preserve">11,396 </w:t>
            </w:r>
          </w:p>
        </w:tc>
        <w:tc>
          <w:tcPr>
            <w:tcW w:w="135" w:type="pct"/>
            <w:tcBorders>
              <w:top w:val="nil"/>
              <w:left w:val="nil"/>
              <w:right w:val="nil"/>
            </w:tcBorders>
            <w:shd w:val="clear" w:color="auto" w:fill="FFFFFF"/>
          </w:tcPr>
          <w:p w14:paraId="6A81F95D" w14:textId="77777777" w:rsidR="00C90DA4" w:rsidRPr="00D814E8" w:rsidRDefault="00C90DA4" w:rsidP="00C90DA4">
            <w:pPr>
              <w:jc w:val="right"/>
              <w:rPr>
                <w:rFonts w:cs="Arial"/>
                <w:bCs/>
                <w:szCs w:val="18"/>
                <w:lang w:val="en-US"/>
              </w:rPr>
            </w:pPr>
          </w:p>
        </w:tc>
        <w:tc>
          <w:tcPr>
            <w:tcW w:w="509" w:type="pct"/>
            <w:tcBorders>
              <w:top w:val="nil"/>
              <w:left w:val="nil"/>
              <w:bottom w:val="single" w:sz="4" w:space="0" w:color="auto"/>
              <w:right w:val="nil"/>
            </w:tcBorders>
            <w:shd w:val="clear" w:color="auto" w:fill="auto"/>
            <w:vAlign w:val="bottom"/>
          </w:tcPr>
          <w:p w14:paraId="17485B53" w14:textId="77777777" w:rsidR="00C90DA4" w:rsidRPr="00A84ED4" w:rsidRDefault="00C90DA4" w:rsidP="00C90DA4">
            <w:pPr>
              <w:jc w:val="right"/>
              <w:rPr>
                <w:rFonts w:cs="Arial"/>
                <w:bCs/>
                <w:szCs w:val="18"/>
                <w:lang w:val="en-US"/>
              </w:rPr>
            </w:pPr>
            <w:r w:rsidRPr="00A84ED4">
              <w:rPr>
                <w:rFonts w:cs="Arial"/>
                <w:bCs/>
                <w:szCs w:val="18"/>
                <w:lang w:val="en-US"/>
              </w:rPr>
              <w:t xml:space="preserve">10,284 </w:t>
            </w:r>
          </w:p>
        </w:tc>
        <w:tc>
          <w:tcPr>
            <w:tcW w:w="317" w:type="pct"/>
            <w:tcBorders>
              <w:top w:val="nil"/>
              <w:left w:val="nil"/>
              <w:right w:val="nil"/>
            </w:tcBorders>
            <w:shd w:val="clear" w:color="auto" w:fill="FFFFFF"/>
            <w:vAlign w:val="center"/>
          </w:tcPr>
          <w:p w14:paraId="4DE44044" w14:textId="77777777" w:rsidR="00C90DA4" w:rsidRDefault="00C90DA4" w:rsidP="00C90DA4">
            <w:pPr>
              <w:rPr>
                <w:rFonts w:cs="Arial"/>
                <w:bCs/>
                <w:szCs w:val="18"/>
                <w:lang w:val="en-US"/>
              </w:rPr>
            </w:pPr>
          </w:p>
        </w:tc>
      </w:tr>
      <w:tr w:rsidR="00C90DA4" w:rsidRPr="00922E40" w14:paraId="318903D1" w14:textId="77777777" w:rsidTr="00C90DA4">
        <w:trPr>
          <w:trHeight w:val="255"/>
        </w:trPr>
        <w:tc>
          <w:tcPr>
            <w:tcW w:w="2380" w:type="pct"/>
            <w:tcBorders>
              <w:top w:val="nil"/>
              <w:left w:val="nil"/>
              <w:bottom w:val="nil"/>
              <w:right w:val="nil"/>
            </w:tcBorders>
            <w:shd w:val="clear" w:color="auto" w:fill="FFFFFF"/>
            <w:noWrap/>
            <w:vAlign w:val="bottom"/>
          </w:tcPr>
          <w:p w14:paraId="488F7262" w14:textId="77777777" w:rsidR="00C90DA4" w:rsidRPr="00F33EB5" w:rsidRDefault="00C90DA4" w:rsidP="00C90DA4">
            <w:pPr>
              <w:rPr>
                <w:rFonts w:cs="Arial"/>
                <w:b/>
                <w:bCs/>
                <w:szCs w:val="18"/>
                <w:lang w:val="en-US"/>
              </w:rPr>
            </w:pPr>
            <w:r w:rsidRPr="00F33EB5">
              <w:rPr>
                <w:rFonts w:cs="Arial"/>
                <w:b/>
                <w:bCs/>
                <w:szCs w:val="18"/>
                <w:lang w:val="en-US"/>
              </w:rPr>
              <w:t>Net assets</w:t>
            </w:r>
          </w:p>
        </w:tc>
        <w:tc>
          <w:tcPr>
            <w:tcW w:w="542" w:type="pct"/>
            <w:tcBorders>
              <w:top w:val="nil"/>
              <w:left w:val="nil"/>
              <w:bottom w:val="nil"/>
              <w:right w:val="nil"/>
            </w:tcBorders>
            <w:shd w:val="clear" w:color="auto" w:fill="FFFFFF"/>
            <w:noWrap/>
            <w:vAlign w:val="bottom"/>
          </w:tcPr>
          <w:p w14:paraId="422405A6" w14:textId="77777777" w:rsidR="00C90DA4" w:rsidRPr="00F33EB5" w:rsidRDefault="00C90DA4" w:rsidP="00C90DA4">
            <w:pPr>
              <w:rPr>
                <w:rFonts w:cs="Arial"/>
                <w:szCs w:val="18"/>
                <w:lang w:val="en-US"/>
              </w:rPr>
            </w:pPr>
            <w:r w:rsidRPr="00F33EB5">
              <w:rPr>
                <w:rFonts w:cs="Arial"/>
                <w:szCs w:val="18"/>
                <w:lang w:val="en-US"/>
              </w:rPr>
              <w:t> </w:t>
            </w:r>
          </w:p>
        </w:tc>
        <w:tc>
          <w:tcPr>
            <w:tcW w:w="564" w:type="pct"/>
            <w:tcBorders>
              <w:top w:val="nil"/>
              <w:left w:val="nil"/>
              <w:bottom w:val="single" w:sz="4" w:space="0" w:color="auto"/>
              <w:right w:val="nil"/>
            </w:tcBorders>
            <w:shd w:val="clear" w:color="auto" w:fill="FFFFFF"/>
            <w:vAlign w:val="bottom"/>
          </w:tcPr>
          <w:p w14:paraId="7AF9884B" w14:textId="77777777" w:rsidR="00C90DA4" w:rsidRPr="00F33EB5" w:rsidRDefault="00C90DA4" w:rsidP="00C90DA4">
            <w:pPr>
              <w:jc w:val="right"/>
              <w:rPr>
                <w:rFonts w:cs="Arial"/>
                <w:b/>
                <w:bCs/>
                <w:szCs w:val="18"/>
                <w:lang w:val="en-US"/>
              </w:rPr>
            </w:pPr>
            <w:r>
              <w:rPr>
                <w:rFonts w:cs="Arial"/>
                <w:b/>
                <w:bCs/>
                <w:szCs w:val="18"/>
                <w:lang w:val="en-US"/>
              </w:rPr>
              <w:t>2,714</w:t>
            </w:r>
            <w:r w:rsidRPr="00AD7D08">
              <w:rPr>
                <w:rFonts w:cs="Arial"/>
                <w:b/>
                <w:bCs/>
                <w:szCs w:val="18"/>
                <w:lang w:val="en-US"/>
              </w:rPr>
              <w:t xml:space="preserve"> </w:t>
            </w:r>
          </w:p>
        </w:tc>
        <w:tc>
          <w:tcPr>
            <w:tcW w:w="552" w:type="pct"/>
            <w:tcBorders>
              <w:top w:val="nil"/>
              <w:left w:val="nil"/>
              <w:bottom w:val="single" w:sz="4" w:space="0" w:color="auto"/>
              <w:right w:val="nil"/>
            </w:tcBorders>
            <w:shd w:val="clear" w:color="auto" w:fill="FFFFFF"/>
            <w:noWrap/>
            <w:vAlign w:val="bottom"/>
          </w:tcPr>
          <w:p w14:paraId="51EEA107" w14:textId="77777777" w:rsidR="00C90DA4" w:rsidRPr="007014B2" w:rsidRDefault="00C90DA4" w:rsidP="00C90DA4">
            <w:pPr>
              <w:jc w:val="right"/>
              <w:rPr>
                <w:rFonts w:cs="Arial"/>
                <w:bCs/>
                <w:szCs w:val="18"/>
                <w:lang w:val="en-US"/>
              </w:rPr>
            </w:pPr>
            <w:r w:rsidRPr="007014B2">
              <w:rPr>
                <w:rFonts w:cs="Arial"/>
                <w:bCs/>
                <w:szCs w:val="18"/>
                <w:lang w:val="en-US"/>
              </w:rPr>
              <w:t xml:space="preserve">2,426 </w:t>
            </w:r>
          </w:p>
        </w:tc>
        <w:tc>
          <w:tcPr>
            <w:tcW w:w="135" w:type="pct"/>
            <w:tcBorders>
              <w:top w:val="nil"/>
              <w:left w:val="nil"/>
              <w:right w:val="nil"/>
            </w:tcBorders>
            <w:shd w:val="clear" w:color="auto" w:fill="FFFFFF"/>
          </w:tcPr>
          <w:p w14:paraId="4AA46614" w14:textId="77777777" w:rsidR="00C90DA4" w:rsidRPr="00D814E8" w:rsidRDefault="00C90DA4" w:rsidP="00C90DA4">
            <w:pPr>
              <w:jc w:val="right"/>
              <w:rPr>
                <w:rFonts w:cs="Arial"/>
                <w:bCs/>
                <w:szCs w:val="18"/>
                <w:lang w:val="en-US"/>
              </w:rPr>
            </w:pPr>
          </w:p>
        </w:tc>
        <w:tc>
          <w:tcPr>
            <w:tcW w:w="509" w:type="pct"/>
            <w:tcBorders>
              <w:top w:val="nil"/>
              <w:left w:val="nil"/>
              <w:bottom w:val="single" w:sz="4" w:space="0" w:color="auto"/>
              <w:right w:val="nil"/>
            </w:tcBorders>
            <w:shd w:val="clear" w:color="auto" w:fill="auto"/>
            <w:vAlign w:val="bottom"/>
          </w:tcPr>
          <w:p w14:paraId="1FECF39F" w14:textId="77777777" w:rsidR="00C90DA4" w:rsidRPr="00A84ED4" w:rsidRDefault="00C90DA4" w:rsidP="00C90DA4">
            <w:pPr>
              <w:jc w:val="right"/>
              <w:rPr>
                <w:rFonts w:cs="Arial"/>
                <w:bCs/>
                <w:szCs w:val="18"/>
                <w:lang w:val="en-US"/>
              </w:rPr>
            </w:pPr>
            <w:r w:rsidRPr="00A84ED4">
              <w:rPr>
                <w:rFonts w:cs="Arial"/>
                <w:bCs/>
                <w:szCs w:val="18"/>
                <w:lang w:val="en-US"/>
              </w:rPr>
              <w:t xml:space="preserve">1,894 </w:t>
            </w:r>
          </w:p>
        </w:tc>
        <w:tc>
          <w:tcPr>
            <w:tcW w:w="317" w:type="pct"/>
            <w:tcBorders>
              <w:top w:val="nil"/>
              <w:left w:val="nil"/>
              <w:right w:val="nil"/>
            </w:tcBorders>
            <w:shd w:val="clear" w:color="auto" w:fill="FFFFFF"/>
            <w:vAlign w:val="center"/>
          </w:tcPr>
          <w:p w14:paraId="604AD2E2" w14:textId="77777777" w:rsidR="00C90DA4" w:rsidRDefault="00C90DA4" w:rsidP="00C90DA4">
            <w:pPr>
              <w:rPr>
                <w:rFonts w:cs="Arial"/>
                <w:bCs/>
                <w:szCs w:val="18"/>
                <w:lang w:val="en-US"/>
              </w:rPr>
            </w:pPr>
          </w:p>
        </w:tc>
      </w:tr>
      <w:tr w:rsidR="00C90DA4" w:rsidRPr="00922E40" w14:paraId="7C804BD2" w14:textId="77777777" w:rsidTr="00C90DA4">
        <w:trPr>
          <w:trHeight w:val="255"/>
        </w:trPr>
        <w:tc>
          <w:tcPr>
            <w:tcW w:w="2380" w:type="pct"/>
            <w:tcBorders>
              <w:top w:val="nil"/>
              <w:left w:val="nil"/>
              <w:bottom w:val="nil"/>
              <w:right w:val="nil"/>
            </w:tcBorders>
            <w:shd w:val="clear" w:color="auto" w:fill="FFFFFF"/>
            <w:noWrap/>
            <w:vAlign w:val="bottom"/>
          </w:tcPr>
          <w:p w14:paraId="706428FD" w14:textId="77777777" w:rsidR="00C90DA4" w:rsidRPr="00F33EB5" w:rsidRDefault="00C90DA4" w:rsidP="00C90DA4">
            <w:pPr>
              <w:spacing w:before="160"/>
              <w:rPr>
                <w:rFonts w:cs="Arial"/>
                <w:b/>
                <w:bCs/>
                <w:szCs w:val="18"/>
                <w:lang w:val="en-US"/>
              </w:rPr>
            </w:pPr>
            <w:r w:rsidRPr="00F33EB5">
              <w:rPr>
                <w:rFonts w:cs="Arial"/>
                <w:b/>
                <w:bCs/>
                <w:szCs w:val="18"/>
                <w:lang w:val="en-US"/>
              </w:rPr>
              <w:t>EQUITY</w:t>
            </w:r>
          </w:p>
        </w:tc>
        <w:tc>
          <w:tcPr>
            <w:tcW w:w="542" w:type="pct"/>
            <w:tcBorders>
              <w:top w:val="nil"/>
              <w:left w:val="nil"/>
              <w:bottom w:val="nil"/>
              <w:right w:val="nil"/>
            </w:tcBorders>
            <w:shd w:val="clear" w:color="auto" w:fill="FFFFFF"/>
            <w:noWrap/>
            <w:vAlign w:val="bottom"/>
          </w:tcPr>
          <w:p w14:paraId="4D85575D" w14:textId="77777777" w:rsidR="00C90DA4" w:rsidRPr="00F33EB5" w:rsidRDefault="00C90DA4" w:rsidP="00C90DA4">
            <w:pPr>
              <w:rPr>
                <w:rFonts w:cs="Arial"/>
                <w:szCs w:val="18"/>
                <w:lang w:val="en-US"/>
              </w:rPr>
            </w:pPr>
            <w:r w:rsidRPr="00F33EB5">
              <w:rPr>
                <w:rFonts w:cs="Arial"/>
                <w:szCs w:val="18"/>
                <w:lang w:val="en-US"/>
              </w:rPr>
              <w:t> </w:t>
            </w:r>
          </w:p>
        </w:tc>
        <w:tc>
          <w:tcPr>
            <w:tcW w:w="564" w:type="pct"/>
            <w:tcBorders>
              <w:top w:val="nil"/>
              <w:left w:val="nil"/>
              <w:bottom w:val="nil"/>
              <w:right w:val="nil"/>
            </w:tcBorders>
            <w:shd w:val="clear" w:color="auto" w:fill="FFFFFF"/>
            <w:vAlign w:val="bottom"/>
          </w:tcPr>
          <w:p w14:paraId="0F756288" w14:textId="77777777" w:rsidR="00C90DA4" w:rsidRPr="00F33EB5" w:rsidRDefault="00C90DA4" w:rsidP="00C90DA4">
            <w:pPr>
              <w:rPr>
                <w:rFonts w:cs="Arial"/>
                <w:szCs w:val="18"/>
                <w:lang w:val="en-US"/>
              </w:rPr>
            </w:pPr>
          </w:p>
        </w:tc>
        <w:tc>
          <w:tcPr>
            <w:tcW w:w="552" w:type="pct"/>
            <w:tcBorders>
              <w:top w:val="nil"/>
              <w:left w:val="nil"/>
              <w:bottom w:val="nil"/>
              <w:right w:val="nil"/>
            </w:tcBorders>
            <w:shd w:val="clear" w:color="auto" w:fill="FFFFFF"/>
            <w:noWrap/>
            <w:vAlign w:val="bottom"/>
          </w:tcPr>
          <w:p w14:paraId="2551A36B" w14:textId="77777777" w:rsidR="00C90DA4" w:rsidRPr="007014B2" w:rsidRDefault="00C90DA4" w:rsidP="00C90DA4">
            <w:pPr>
              <w:rPr>
                <w:rFonts w:cs="Arial"/>
                <w:szCs w:val="18"/>
                <w:lang w:val="en-US"/>
              </w:rPr>
            </w:pPr>
          </w:p>
        </w:tc>
        <w:tc>
          <w:tcPr>
            <w:tcW w:w="135" w:type="pct"/>
            <w:tcBorders>
              <w:top w:val="nil"/>
              <w:left w:val="nil"/>
              <w:bottom w:val="nil"/>
              <w:right w:val="nil"/>
            </w:tcBorders>
            <w:shd w:val="clear" w:color="auto" w:fill="FFFFFF"/>
          </w:tcPr>
          <w:p w14:paraId="47F7198F" w14:textId="77777777" w:rsidR="00C90DA4" w:rsidRPr="00D814E8" w:rsidRDefault="00C90DA4" w:rsidP="00C90DA4">
            <w:pPr>
              <w:rPr>
                <w:rFonts w:cs="Arial"/>
                <w:szCs w:val="18"/>
                <w:lang w:val="en-US"/>
              </w:rPr>
            </w:pPr>
          </w:p>
        </w:tc>
        <w:tc>
          <w:tcPr>
            <w:tcW w:w="509" w:type="pct"/>
            <w:tcBorders>
              <w:top w:val="nil"/>
              <w:left w:val="nil"/>
              <w:bottom w:val="nil"/>
              <w:right w:val="nil"/>
            </w:tcBorders>
            <w:shd w:val="clear" w:color="auto" w:fill="auto"/>
            <w:vAlign w:val="bottom"/>
          </w:tcPr>
          <w:p w14:paraId="6D9C6D0C" w14:textId="77777777" w:rsidR="00C90DA4" w:rsidRPr="00A84ED4" w:rsidRDefault="00C90DA4" w:rsidP="00C90DA4">
            <w:pPr>
              <w:rPr>
                <w:rFonts w:cs="Arial"/>
                <w:szCs w:val="18"/>
                <w:lang w:val="en-US"/>
              </w:rPr>
            </w:pPr>
          </w:p>
        </w:tc>
        <w:tc>
          <w:tcPr>
            <w:tcW w:w="317" w:type="pct"/>
            <w:tcBorders>
              <w:top w:val="nil"/>
              <w:left w:val="nil"/>
              <w:bottom w:val="nil"/>
              <w:right w:val="nil"/>
            </w:tcBorders>
            <w:shd w:val="clear" w:color="auto" w:fill="FFFFFF"/>
            <w:vAlign w:val="center"/>
          </w:tcPr>
          <w:p w14:paraId="251046FE" w14:textId="77777777" w:rsidR="00C90DA4" w:rsidRPr="00D814E8" w:rsidRDefault="00C90DA4" w:rsidP="00C90DA4">
            <w:pPr>
              <w:rPr>
                <w:rFonts w:cs="Arial"/>
                <w:szCs w:val="18"/>
                <w:lang w:val="en-US"/>
              </w:rPr>
            </w:pPr>
          </w:p>
        </w:tc>
      </w:tr>
      <w:tr w:rsidR="00C90DA4" w:rsidRPr="00922E40" w14:paraId="7D71DF26" w14:textId="77777777" w:rsidTr="00C90DA4">
        <w:trPr>
          <w:trHeight w:val="255"/>
        </w:trPr>
        <w:tc>
          <w:tcPr>
            <w:tcW w:w="2380" w:type="pct"/>
            <w:tcBorders>
              <w:top w:val="nil"/>
              <w:left w:val="nil"/>
              <w:bottom w:val="nil"/>
              <w:right w:val="nil"/>
            </w:tcBorders>
            <w:shd w:val="clear" w:color="auto" w:fill="FFFFFF"/>
            <w:noWrap/>
            <w:vAlign w:val="bottom"/>
          </w:tcPr>
          <w:p w14:paraId="60E9B76A" w14:textId="77777777" w:rsidR="00C90DA4" w:rsidRPr="00F33EB5" w:rsidRDefault="00C90DA4" w:rsidP="00C90DA4">
            <w:pPr>
              <w:rPr>
                <w:rFonts w:cs="Arial"/>
                <w:szCs w:val="18"/>
                <w:lang w:val="en-US"/>
              </w:rPr>
            </w:pPr>
            <w:r w:rsidRPr="00F33EB5">
              <w:rPr>
                <w:rFonts w:cs="Arial"/>
                <w:szCs w:val="18"/>
                <w:lang w:val="en-US"/>
              </w:rPr>
              <w:t>Contributed equity</w:t>
            </w:r>
          </w:p>
        </w:tc>
        <w:tc>
          <w:tcPr>
            <w:tcW w:w="542" w:type="pct"/>
            <w:tcBorders>
              <w:top w:val="nil"/>
              <w:left w:val="nil"/>
              <w:bottom w:val="nil"/>
              <w:right w:val="nil"/>
            </w:tcBorders>
            <w:shd w:val="clear" w:color="auto" w:fill="FFFFFF"/>
            <w:noWrap/>
            <w:vAlign w:val="bottom"/>
          </w:tcPr>
          <w:p w14:paraId="012E4EBB" w14:textId="77777777" w:rsidR="00C90DA4" w:rsidRPr="00F33EB5" w:rsidRDefault="00C90DA4" w:rsidP="00C90DA4">
            <w:pPr>
              <w:rPr>
                <w:rFonts w:cs="Arial"/>
                <w:szCs w:val="18"/>
                <w:lang w:val="en-US"/>
              </w:rPr>
            </w:pPr>
            <w:r w:rsidRPr="00F33EB5">
              <w:rPr>
                <w:rFonts w:cs="Arial"/>
                <w:szCs w:val="18"/>
                <w:lang w:val="en-US"/>
              </w:rPr>
              <w:t> </w:t>
            </w:r>
          </w:p>
        </w:tc>
        <w:tc>
          <w:tcPr>
            <w:tcW w:w="564" w:type="pct"/>
            <w:tcBorders>
              <w:top w:val="nil"/>
              <w:left w:val="nil"/>
              <w:bottom w:val="nil"/>
              <w:right w:val="nil"/>
            </w:tcBorders>
            <w:shd w:val="clear" w:color="auto" w:fill="FFFFFF"/>
            <w:vAlign w:val="bottom"/>
          </w:tcPr>
          <w:p w14:paraId="688EFAA7" w14:textId="77777777" w:rsidR="00C90DA4" w:rsidRPr="00F33EB5" w:rsidRDefault="00C90DA4" w:rsidP="00C90DA4">
            <w:pPr>
              <w:jc w:val="right"/>
              <w:rPr>
                <w:rFonts w:cs="Arial"/>
                <w:b/>
                <w:bCs/>
                <w:szCs w:val="18"/>
                <w:lang w:val="en-US"/>
              </w:rPr>
            </w:pPr>
            <w:r>
              <w:rPr>
                <w:rFonts w:cs="Arial"/>
                <w:b/>
                <w:bCs/>
                <w:szCs w:val="18"/>
                <w:lang w:val="en-US"/>
              </w:rPr>
              <w:t>1,836</w:t>
            </w:r>
          </w:p>
        </w:tc>
        <w:tc>
          <w:tcPr>
            <w:tcW w:w="552" w:type="pct"/>
            <w:tcBorders>
              <w:top w:val="nil"/>
              <w:left w:val="nil"/>
              <w:bottom w:val="nil"/>
              <w:right w:val="nil"/>
            </w:tcBorders>
            <w:shd w:val="clear" w:color="auto" w:fill="FFFFFF"/>
            <w:noWrap/>
            <w:vAlign w:val="bottom"/>
          </w:tcPr>
          <w:p w14:paraId="5032C4A4" w14:textId="77777777" w:rsidR="00C90DA4" w:rsidRPr="007014B2" w:rsidRDefault="00C90DA4" w:rsidP="00C90DA4">
            <w:pPr>
              <w:jc w:val="right"/>
              <w:rPr>
                <w:rFonts w:cs="Arial"/>
                <w:bCs/>
                <w:szCs w:val="18"/>
                <w:lang w:val="en-US"/>
              </w:rPr>
            </w:pPr>
            <w:r w:rsidRPr="007014B2">
              <w:rPr>
                <w:rFonts w:cs="Arial"/>
                <w:bCs/>
                <w:szCs w:val="18"/>
                <w:lang w:val="en-US"/>
              </w:rPr>
              <w:t>1,836</w:t>
            </w:r>
          </w:p>
        </w:tc>
        <w:tc>
          <w:tcPr>
            <w:tcW w:w="135" w:type="pct"/>
            <w:tcBorders>
              <w:top w:val="nil"/>
              <w:left w:val="nil"/>
              <w:bottom w:val="nil"/>
              <w:right w:val="nil"/>
            </w:tcBorders>
            <w:shd w:val="clear" w:color="auto" w:fill="FFFFFF"/>
          </w:tcPr>
          <w:p w14:paraId="46AEA311" w14:textId="77777777" w:rsidR="00C90DA4" w:rsidRPr="00D814E8" w:rsidRDefault="00C90DA4" w:rsidP="00C90DA4">
            <w:pPr>
              <w:jc w:val="right"/>
              <w:rPr>
                <w:rFonts w:cs="Arial"/>
                <w:bCs/>
                <w:szCs w:val="18"/>
                <w:lang w:val="en-US"/>
              </w:rPr>
            </w:pPr>
          </w:p>
        </w:tc>
        <w:tc>
          <w:tcPr>
            <w:tcW w:w="509" w:type="pct"/>
            <w:tcBorders>
              <w:top w:val="nil"/>
              <w:left w:val="nil"/>
              <w:bottom w:val="nil"/>
              <w:right w:val="nil"/>
            </w:tcBorders>
            <w:shd w:val="clear" w:color="auto" w:fill="auto"/>
            <w:vAlign w:val="bottom"/>
          </w:tcPr>
          <w:p w14:paraId="34B294B3" w14:textId="77777777" w:rsidR="00C90DA4" w:rsidRPr="00A84ED4" w:rsidRDefault="00C90DA4" w:rsidP="00C90DA4">
            <w:pPr>
              <w:jc w:val="right"/>
              <w:rPr>
                <w:rFonts w:cs="Arial"/>
                <w:bCs/>
                <w:szCs w:val="18"/>
                <w:lang w:val="en-US"/>
              </w:rPr>
            </w:pPr>
            <w:r w:rsidRPr="00A84ED4">
              <w:rPr>
                <w:rFonts w:cs="Arial"/>
                <w:bCs/>
                <w:szCs w:val="18"/>
                <w:lang w:val="en-US"/>
              </w:rPr>
              <w:t>1,836</w:t>
            </w:r>
          </w:p>
        </w:tc>
        <w:tc>
          <w:tcPr>
            <w:tcW w:w="317" w:type="pct"/>
            <w:tcBorders>
              <w:top w:val="nil"/>
              <w:left w:val="nil"/>
              <w:bottom w:val="nil"/>
              <w:right w:val="nil"/>
            </w:tcBorders>
            <w:shd w:val="clear" w:color="auto" w:fill="FFFFFF"/>
            <w:vAlign w:val="center"/>
          </w:tcPr>
          <w:p w14:paraId="41FF627B" w14:textId="77777777" w:rsidR="00C90DA4" w:rsidRPr="00D814E8" w:rsidRDefault="00C90DA4" w:rsidP="00C90DA4">
            <w:pPr>
              <w:rPr>
                <w:rFonts w:cs="Arial"/>
                <w:bCs/>
                <w:szCs w:val="18"/>
                <w:lang w:val="en-US"/>
              </w:rPr>
            </w:pPr>
          </w:p>
        </w:tc>
      </w:tr>
      <w:tr w:rsidR="00C90DA4" w:rsidRPr="00922E40" w14:paraId="1721A5F4" w14:textId="77777777" w:rsidTr="00C90DA4">
        <w:trPr>
          <w:trHeight w:val="255"/>
        </w:trPr>
        <w:tc>
          <w:tcPr>
            <w:tcW w:w="2380" w:type="pct"/>
            <w:tcBorders>
              <w:top w:val="nil"/>
              <w:left w:val="nil"/>
              <w:bottom w:val="nil"/>
              <w:right w:val="nil"/>
            </w:tcBorders>
            <w:shd w:val="clear" w:color="auto" w:fill="FFFFFF"/>
            <w:noWrap/>
            <w:vAlign w:val="bottom"/>
          </w:tcPr>
          <w:p w14:paraId="148AA62D" w14:textId="77777777" w:rsidR="00C90DA4" w:rsidRPr="00F33EB5" w:rsidRDefault="00C90DA4" w:rsidP="00C90DA4">
            <w:pPr>
              <w:rPr>
                <w:rFonts w:cs="Arial"/>
                <w:szCs w:val="18"/>
                <w:lang w:val="en-US"/>
              </w:rPr>
            </w:pPr>
            <w:r w:rsidRPr="00F33EB5">
              <w:rPr>
                <w:rFonts w:cs="Arial"/>
                <w:szCs w:val="18"/>
                <w:lang w:val="en-US"/>
              </w:rPr>
              <w:t>Reserves</w:t>
            </w:r>
          </w:p>
        </w:tc>
        <w:tc>
          <w:tcPr>
            <w:tcW w:w="542" w:type="pct"/>
            <w:tcBorders>
              <w:top w:val="nil"/>
              <w:left w:val="nil"/>
              <w:bottom w:val="nil"/>
              <w:right w:val="nil"/>
            </w:tcBorders>
            <w:shd w:val="clear" w:color="auto" w:fill="FFFFFF"/>
            <w:noWrap/>
            <w:vAlign w:val="bottom"/>
          </w:tcPr>
          <w:p w14:paraId="2615B915" w14:textId="77777777" w:rsidR="00C90DA4" w:rsidRPr="00F33EB5" w:rsidRDefault="00C90DA4" w:rsidP="00C90DA4">
            <w:pPr>
              <w:rPr>
                <w:rFonts w:cs="Arial"/>
                <w:szCs w:val="18"/>
                <w:lang w:val="en-US"/>
              </w:rPr>
            </w:pPr>
            <w:r w:rsidRPr="00F33EB5">
              <w:rPr>
                <w:rFonts w:cs="Arial"/>
                <w:szCs w:val="18"/>
                <w:lang w:val="en-US"/>
              </w:rPr>
              <w:t> </w:t>
            </w:r>
          </w:p>
        </w:tc>
        <w:tc>
          <w:tcPr>
            <w:tcW w:w="564" w:type="pct"/>
            <w:tcBorders>
              <w:top w:val="nil"/>
              <w:left w:val="nil"/>
              <w:bottom w:val="nil"/>
              <w:right w:val="nil"/>
            </w:tcBorders>
            <w:shd w:val="clear" w:color="auto" w:fill="FFFFFF"/>
            <w:vAlign w:val="bottom"/>
          </w:tcPr>
          <w:p w14:paraId="2A6A1EF7" w14:textId="77777777" w:rsidR="00C90DA4" w:rsidRPr="00F33EB5" w:rsidRDefault="00C90DA4" w:rsidP="00C90DA4">
            <w:pPr>
              <w:jc w:val="right"/>
              <w:rPr>
                <w:rFonts w:cs="Arial"/>
                <w:b/>
                <w:bCs/>
                <w:szCs w:val="18"/>
                <w:lang w:val="en-US"/>
              </w:rPr>
            </w:pPr>
            <w:r>
              <w:rPr>
                <w:rFonts w:cs="Arial"/>
                <w:b/>
                <w:bCs/>
                <w:szCs w:val="18"/>
                <w:lang w:val="en-US"/>
              </w:rPr>
              <w:t>5</w:t>
            </w:r>
          </w:p>
        </w:tc>
        <w:tc>
          <w:tcPr>
            <w:tcW w:w="552" w:type="pct"/>
            <w:tcBorders>
              <w:top w:val="nil"/>
              <w:left w:val="nil"/>
              <w:bottom w:val="nil"/>
              <w:right w:val="nil"/>
            </w:tcBorders>
            <w:shd w:val="clear" w:color="auto" w:fill="FFFFFF"/>
            <w:noWrap/>
            <w:vAlign w:val="bottom"/>
          </w:tcPr>
          <w:p w14:paraId="4432B662" w14:textId="77777777" w:rsidR="00C90DA4" w:rsidRPr="007014B2" w:rsidRDefault="00C90DA4" w:rsidP="00C90DA4">
            <w:pPr>
              <w:jc w:val="right"/>
              <w:rPr>
                <w:rFonts w:cs="Arial"/>
                <w:bCs/>
                <w:szCs w:val="18"/>
                <w:lang w:val="en-US"/>
              </w:rPr>
            </w:pPr>
            <w:r w:rsidRPr="007014B2">
              <w:rPr>
                <w:rFonts w:cs="Arial"/>
                <w:bCs/>
                <w:szCs w:val="18"/>
                <w:lang w:val="en-US"/>
              </w:rPr>
              <w:t>5</w:t>
            </w:r>
          </w:p>
        </w:tc>
        <w:tc>
          <w:tcPr>
            <w:tcW w:w="135" w:type="pct"/>
            <w:tcBorders>
              <w:top w:val="nil"/>
              <w:left w:val="nil"/>
              <w:bottom w:val="nil"/>
              <w:right w:val="nil"/>
            </w:tcBorders>
            <w:shd w:val="clear" w:color="auto" w:fill="FFFFFF"/>
          </w:tcPr>
          <w:p w14:paraId="688BA078" w14:textId="77777777" w:rsidR="00C90DA4" w:rsidRPr="00D814E8" w:rsidRDefault="00C90DA4" w:rsidP="00C90DA4">
            <w:pPr>
              <w:jc w:val="right"/>
              <w:rPr>
                <w:rFonts w:cs="Arial"/>
                <w:bCs/>
                <w:szCs w:val="18"/>
                <w:lang w:val="en-US"/>
              </w:rPr>
            </w:pPr>
          </w:p>
        </w:tc>
        <w:tc>
          <w:tcPr>
            <w:tcW w:w="509" w:type="pct"/>
            <w:tcBorders>
              <w:top w:val="nil"/>
              <w:left w:val="nil"/>
              <w:bottom w:val="nil"/>
              <w:right w:val="nil"/>
            </w:tcBorders>
            <w:shd w:val="clear" w:color="auto" w:fill="auto"/>
            <w:vAlign w:val="bottom"/>
          </w:tcPr>
          <w:p w14:paraId="4F9817C0" w14:textId="77777777" w:rsidR="00C90DA4" w:rsidRPr="00A84ED4" w:rsidRDefault="00C90DA4" w:rsidP="00C90DA4">
            <w:pPr>
              <w:jc w:val="right"/>
              <w:rPr>
                <w:rFonts w:cs="Arial"/>
                <w:bCs/>
                <w:szCs w:val="18"/>
                <w:lang w:val="en-US"/>
              </w:rPr>
            </w:pPr>
            <w:r w:rsidRPr="00A84ED4">
              <w:rPr>
                <w:rFonts w:cs="Arial"/>
                <w:bCs/>
                <w:szCs w:val="18"/>
                <w:lang w:val="en-US"/>
              </w:rPr>
              <w:t>5</w:t>
            </w:r>
          </w:p>
        </w:tc>
        <w:tc>
          <w:tcPr>
            <w:tcW w:w="317" w:type="pct"/>
            <w:tcBorders>
              <w:top w:val="nil"/>
              <w:left w:val="nil"/>
              <w:bottom w:val="nil"/>
              <w:right w:val="nil"/>
            </w:tcBorders>
            <w:shd w:val="clear" w:color="auto" w:fill="FFFFFF"/>
            <w:vAlign w:val="center"/>
          </w:tcPr>
          <w:p w14:paraId="18D3F9C4" w14:textId="77777777" w:rsidR="00C90DA4" w:rsidRPr="00D814E8" w:rsidRDefault="00C90DA4" w:rsidP="00C90DA4">
            <w:pPr>
              <w:rPr>
                <w:rFonts w:cs="Arial"/>
                <w:bCs/>
                <w:szCs w:val="18"/>
                <w:lang w:val="en-US"/>
              </w:rPr>
            </w:pPr>
          </w:p>
        </w:tc>
      </w:tr>
      <w:tr w:rsidR="00C90DA4" w:rsidRPr="00922E40" w14:paraId="6AD546B5" w14:textId="77777777" w:rsidTr="00C90DA4">
        <w:trPr>
          <w:trHeight w:val="255"/>
        </w:trPr>
        <w:tc>
          <w:tcPr>
            <w:tcW w:w="2380" w:type="pct"/>
            <w:tcBorders>
              <w:top w:val="nil"/>
              <w:left w:val="nil"/>
              <w:bottom w:val="nil"/>
              <w:right w:val="nil"/>
            </w:tcBorders>
            <w:shd w:val="clear" w:color="auto" w:fill="FFFFFF"/>
            <w:noWrap/>
            <w:vAlign w:val="bottom"/>
          </w:tcPr>
          <w:p w14:paraId="00E83BA4" w14:textId="77777777" w:rsidR="00C90DA4" w:rsidRPr="00F33EB5" w:rsidRDefault="00C90DA4" w:rsidP="00C90DA4">
            <w:pPr>
              <w:rPr>
                <w:rFonts w:cs="Arial"/>
                <w:szCs w:val="18"/>
                <w:lang w:val="en-US"/>
              </w:rPr>
            </w:pPr>
            <w:r>
              <w:rPr>
                <w:rFonts w:cs="Arial"/>
                <w:szCs w:val="18"/>
                <w:lang w:val="en-US"/>
              </w:rPr>
              <w:t>Retained</w:t>
            </w:r>
            <w:r w:rsidRPr="00F33EB5">
              <w:rPr>
                <w:rFonts w:cs="Arial"/>
                <w:szCs w:val="18"/>
                <w:lang w:val="en-US"/>
              </w:rPr>
              <w:t xml:space="preserve"> </w:t>
            </w:r>
            <w:r>
              <w:rPr>
                <w:rFonts w:cs="Arial"/>
                <w:szCs w:val="18"/>
                <w:lang w:val="en-US"/>
              </w:rPr>
              <w:t xml:space="preserve">surplus </w:t>
            </w:r>
          </w:p>
        </w:tc>
        <w:tc>
          <w:tcPr>
            <w:tcW w:w="542" w:type="pct"/>
            <w:tcBorders>
              <w:top w:val="nil"/>
              <w:left w:val="nil"/>
              <w:bottom w:val="nil"/>
              <w:right w:val="nil"/>
            </w:tcBorders>
            <w:shd w:val="clear" w:color="auto" w:fill="FFFFFF"/>
            <w:noWrap/>
            <w:vAlign w:val="bottom"/>
          </w:tcPr>
          <w:p w14:paraId="6844A651" w14:textId="77777777" w:rsidR="00C90DA4" w:rsidRPr="00F33EB5" w:rsidRDefault="00C90DA4" w:rsidP="00C90DA4">
            <w:pPr>
              <w:rPr>
                <w:rFonts w:cs="Arial"/>
                <w:szCs w:val="18"/>
                <w:lang w:val="en-US"/>
              </w:rPr>
            </w:pPr>
            <w:r w:rsidRPr="00F33EB5">
              <w:rPr>
                <w:rFonts w:cs="Arial"/>
                <w:szCs w:val="18"/>
                <w:lang w:val="en-US"/>
              </w:rPr>
              <w:t> </w:t>
            </w:r>
          </w:p>
        </w:tc>
        <w:tc>
          <w:tcPr>
            <w:tcW w:w="564" w:type="pct"/>
            <w:tcBorders>
              <w:top w:val="nil"/>
              <w:left w:val="nil"/>
              <w:bottom w:val="nil"/>
              <w:right w:val="nil"/>
            </w:tcBorders>
            <w:shd w:val="clear" w:color="auto" w:fill="FFFFFF"/>
            <w:vAlign w:val="bottom"/>
          </w:tcPr>
          <w:p w14:paraId="2CAD63EB" w14:textId="77777777" w:rsidR="00C90DA4" w:rsidRPr="00F33EB5" w:rsidRDefault="00C90DA4" w:rsidP="00C90DA4">
            <w:pPr>
              <w:jc w:val="right"/>
              <w:rPr>
                <w:rFonts w:cs="Arial"/>
                <w:b/>
                <w:bCs/>
                <w:szCs w:val="18"/>
                <w:lang w:val="en-US"/>
              </w:rPr>
            </w:pPr>
            <w:r>
              <w:rPr>
                <w:rFonts w:cs="Arial"/>
                <w:b/>
                <w:bCs/>
                <w:szCs w:val="18"/>
                <w:lang w:val="en-US"/>
              </w:rPr>
              <w:t>873</w:t>
            </w:r>
          </w:p>
        </w:tc>
        <w:tc>
          <w:tcPr>
            <w:tcW w:w="552" w:type="pct"/>
            <w:tcBorders>
              <w:top w:val="nil"/>
              <w:left w:val="nil"/>
              <w:bottom w:val="nil"/>
              <w:right w:val="nil"/>
            </w:tcBorders>
            <w:shd w:val="clear" w:color="auto" w:fill="FFFFFF"/>
            <w:noWrap/>
            <w:vAlign w:val="bottom"/>
          </w:tcPr>
          <w:p w14:paraId="12DF024B" w14:textId="77777777" w:rsidR="00C90DA4" w:rsidRPr="007014B2" w:rsidRDefault="00C90DA4" w:rsidP="00C90DA4">
            <w:pPr>
              <w:jc w:val="right"/>
              <w:rPr>
                <w:rFonts w:cs="Arial"/>
                <w:bCs/>
                <w:szCs w:val="18"/>
                <w:lang w:val="en-US"/>
              </w:rPr>
            </w:pPr>
            <w:r w:rsidRPr="007014B2">
              <w:rPr>
                <w:rFonts w:cs="Arial"/>
                <w:bCs/>
                <w:szCs w:val="18"/>
                <w:lang w:val="en-US"/>
              </w:rPr>
              <w:t>585</w:t>
            </w:r>
          </w:p>
        </w:tc>
        <w:tc>
          <w:tcPr>
            <w:tcW w:w="135" w:type="pct"/>
            <w:tcBorders>
              <w:top w:val="nil"/>
              <w:left w:val="nil"/>
              <w:bottom w:val="nil"/>
              <w:right w:val="nil"/>
            </w:tcBorders>
            <w:shd w:val="clear" w:color="auto" w:fill="FFFFFF"/>
          </w:tcPr>
          <w:p w14:paraId="1067BB82" w14:textId="77777777" w:rsidR="00C90DA4" w:rsidRPr="00D814E8" w:rsidRDefault="00C90DA4" w:rsidP="00C90DA4">
            <w:pPr>
              <w:jc w:val="right"/>
              <w:rPr>
                <w:rFonts w:cs="Arial"/>
                <w:bCs/>
                <w:szCs w:val="18"/>
                <w:lang w:val="en-US"/>
              </w:rPr>
            </w:pPr>
          </w:p>
        </w:tc>
        <w:tc>
          <w:tcPr>
            <w:tcW w:w="509" w:type="pct"/>
            <w:tcBorders>
              <w:top w:val="nil"/>
              <w:left w:val="nil"/>
              <w:bottom w:val="nil"/>
              <w:right w:val="nil"/>
            </w:tcBorders>
            <w:shd w:val="clear" w:color="auto" w:fill="auto"/>
            <w:vAlign w:val="bottom"/>
          </w:tcPr>
          <w:p w14:paraId="76912FE8" w14:textId="77777777" w:rsidR="00C90DA4" w:rsidRPr="00A84ED4" w:rsidRDefault="00C90DA4" w:rsidP="00C90DA4">
            <w:pPr>
              <w:jc w:val="right"/>
              <w:rPr>
                <w:rFonts w:cs="Arial"/>
                <w:bCs/>
                <w:szCs w:val="18"/>
                <w:lang w:val="en-US"/>
              </w:rPr>
            </w:pPr>
            <w:r w:rsidRPr="00A84ED4">
              <w:rPr>
                <w:rFonts w:cs="Arial"/>
                <w:bCs/>
                <w:szCs w:val="18"/>
                <w:lang w:val="en-US"/>
              </w:rPr>
              <w:t>53</w:t>
            </w:r>
          </w:p>
        </w:tc>
        <w:tc>
          <w:tcPr>
            <w:tcW w:w="317" w:type="pct"/>
            <w:tcBorders>
              <w:top w:val="nil"/>
              <w:left w:val="nil"/>
              <w:bottom w:val="nil"/>
              <w:right w:val="nil"/>
            </w:tcBorders>
            <w:shd w:val="clear" w:color="auto" w:fill="FFFFFF"/>
            <w:vAlign w:val="center"/>
          </w:tcPr>
          <w:p w14:paraId="3AE7D4A3" w14:textId="77777777" w:rsidR="00C90DA4" w:rsidRPr="00B35925" w:rsidRDefault="00C90DA4" w:rsidP="00C90DA4">
            <w:pPr>
              <w:rPr>
                <w:rFonts w:cs="Arial"/>
                <w:bCs/>
                <w:szCs w:val="18"/>
                <w:vertAlign w:val="superscript"/>
                <w:lang w:val="en-US"/>
              </w:rPr>
            </w:pPr>
            <w:r>
              <w:rPr>
                <w:rFonts w:cs="Arial"/>
                <w:bCs/>
                <w:szCs w:val="18"/>
                <w:vertAlign w:val="superscript"/>
                <w:lang w:val="en-US"/>
              </w:rPr>
              <w:t>C</w:t>
            </w:r>
          </w:p>
        </w:tc>
      </w:tr>
      <w:tr w:rsidR="00C90DA4" w:rsidRPr="00922E40" w14:paraId="679666B1" w14:textId="77777777" w:rsidTr="00C90DA4">
        <w:trPr>
          <w:trHeight w:val="300"/>
        </w:trPr>
        <w:tc>
          <w:tcPr>
            <w:tcW w:w="2380" w:type="pct"/>
            <w:tcBorders>
              <w:top w:val="nil"/>
              <w:left w:val="nil"/>
              <w:bottom w:val="nil"/>
              <w:right w:val="nil"/>
            </w:tcBorders>
            <w:shd w:val="clear" w:color="auto" w:fill="FFFFFF"/>
            <w:noWrap/>
            <w:vAlign w:val="bottom"/>
          </w:tcPr>
          <w:p w14:paraId="13067143" w14:textId="77777777" w:rsidR="00C90DA4" w:rsidRPr="00287F78" w:rsidRDefault="00C90DA4" w:rsidP="00C90DA4">
            <w:pPr>
              <w:rPr>
                <w:rFonts w:cs="Arial"/>
                <w:b/>
                <w:szCs w:val="18"/>
                <w:lang w:val="en-US"/>
              </w:rPr>
            </w:pPr>
            <w:r w:rsidRPr="00287F78">
              <w:rPr>
                <w:rFonts w:cs="Arial"/>
                <w:b/>
                <w:szCs w:val="18"/>
                <w:lang w:val="en-US"/>
              </w:rPr>
              <w:t>Total equity</w:t>
            </w:r>
          </w:p>
        </w:tc>
        <w:tc>
          <w:tcPr>
            <w:tcW w:w="542" w:type="pct"/>
            <w:tcBorders>
              <w:top w:val="nil"/>
              <w:left w:val="nil"/>
              <w:bottom w:val="nil"/>
              <w:right w:val="nil"/>
            </w:tcBorders>
            <w:shd w:val="clear" w:color="auto" w:fill="FFFFFF"/>
            <w:noWrap/>
            <w:vAlign w:val="bottom"/>
          </w:tcPr>
          <w:p w14:paraId="7933D334" w14:textId="77777777" w:rsidR="00C90DA4" w:rsidRPr="00F33EB5" w:rsidRDefault="00C90DA4" w:rsidP="00C90DA4">
            <w:pPr>
              <w:rPr>
                <w:rFonts w:cs="Arial"/>
                <w:szCs w:val="18"/>
                <w:lang w:val="en-US"/>
              </w:rPr>
            </w:pPr>
            <w:r w:rsidRPr="00F33EB5">
              <w:rPr>
                <w:rFonts w:cs="Arial"/>
                <w:szCs w:val="18"/>
                <w:lang w:val="en-US"/>
              </w:rPr>
              <w:t> </w:t>
            </w:r>
          </w:p>
        </w:tc>
        <w:tc>
          <w:tcPr>
            <w:tcW w:w="564" w:type="pct"/>
            <w:tcBorders>
              <w:top w:val="single" w:sz="4" w:space="0" w:color="auto"/>
              <w:left w:val="nil"/>
              <w:bottom w:val="single" w:sz="4" w:space="0" w:color="auto"/>
              <w:right w:val="nil"/>
            </w:tcBorders>
            <w:shd w:val="clear" w:color="auto" w:fill="FFFFFF"/>
            <w:vAlign w:val="bottom"/>
          </w:tcPr>
          <w:p w14:paraId="543A771D" w14:textId="77777777" w:rsidR="00C90DA4" w:rsidRPr="00F33EB5" w:rsidRDefault="00C90DA4" w:rsidP="00C90DA4">
            <w:pPr>
              <w:jc w:val="right"/>
              <w:rPr>
                <w:rFonts w:cs="Arial"/>
                <w:b/>
                <w:bCs/>
                <w:szCs w:val="18"/>
                <w:lang w:val="en-US"/>
              </w:rPr>
            </w:pPr>
            <w:r>
              <w:rPr>
                <w:rFonts w:cs="Arial"/>
                <w:b/>
                <w:bCs/>
                <w:szCs w:val="18"/>
                <w:lang w:val="en-US"/>
              </w:rPr>
              <w:t>2,714</w:t>
            </w:r>
          </w:p>
        </w:tc>
        <w:tc>
          <w:tcPr>
            <w:tcW w:w="552" w:type="pct"/>
            <w:tcBorders>
              <w:top w:val="single" w:sz="4" w:space="0" w:color="auto"/>
              <w:left w:val="nil"/>
              <w:bottom w:val="single" w:sz="4" w:space="0" w:color="auto"/>
              <w:right w:val="nil"/>
            </w:tcBorders>
            <w:shd w:val="clear" w:color="auto" w:fill="FFFFFF"/>
            <w:noWrap/>
            <w:vAlign w:val="bottom"/>
          </w:tcPr>
          <w:p w14:paraId="61F86BE0" w14:textId="77777777" w:rsidR="00C90DA4" w:rsidRPr="007014B2" w:rsidRDefault="00C90DA4" w:rsidP="00C90DA4">
            <w:pPr>
              <w:jc w:val="right"/>
              <w:rPr>
                <w:rFonts w:cs="Arial"/>
                <w:bCs/>
                <w:szCs w:val="18"/>
                <w:lang w:val="en-US"/>
              </w:rPr>
            </w:pPr>
            <w:r w:rsidRPr="007014B2">
              <w:rPr>
                <w:rFonts w:cs="Arial"/>
                <w:bCs/>
                <w:szCs w:val="18"/>
                <w:lang w:val="en-US"/>
              </w:rPr>
              <w:t>2,426</w:t>
            </w:r>
          </w:p>
        </w:tc>
        <w:tc>
          <w:tcPr>
            <w:tcW w:w="135" w:type="pct"/>
            <w:tcBorders>
              <w:left w:val="nil"/>
              <w:right w:val="nil"/>
            </w:tcBorders>
            <w:shd w:val="clear" w:color="auto" w:fill="FFFFFF"/>
          </w:tcPr>
          <w:p w14:paraId="124F5023" w14:textId="77777777" w:rsidR="00C90DA4" w:rsidRPr="00D814E8" w:rsidRDefault="00C90DA4" w:rsidP="00C90DA4">
            <w:pPr>
              <w:jc w:val="right"/>
              <w:rPr>
                <w:rFonts w:cs="Arial"/>
                <w:bCs/>
                <w:szCs w:val="18"/>
                <w:lang w:val="en-US"/>
              </w:rPr>
            </w:pPr>
          </w:p>
        </w:tc>
        <w:tc>
          <w:tcPr>
            <w:tcW w:w="509" w:type="pct"/>
            <w:tcBorders>
              <w:top w:val="single" w:sz="4" w:space="0" w:color="auto"/>
              <w:left w:val="nil"/>
              <w:bottom w:val="single" w:sz="4" w:space="0" w:color="auto"/>
              <w:right w:val="nil"/>
            </w:tcBorders>
            <w:shd w:val="clear" w:color="auto" w:fill="auto"/>
            <w:vAlign w:val="bottom"/>
          </w:tcPr>
          <w:p w14:paraId="07C20770" w14:textId="77777777" w:rsidR="00C90DA4" w:rsidRPr="00A84ED4" w:rsidRDefault="00C90DA4" w:rsidP="00C90DA4">
            <w:pPr>
              <w:jc w:val="right"/>
              <w:rPr>
                <w:rFonts w:cs="Arial"/>
                <w:bCs/>
                <w:szCs w:val="18"/>
                <w:lang w:val="en-US"/>
              </w:rPr>
            </w:pPr>
            <w:r w:rsidRPr="00A84ED4">
              <w:rPr>
                <w:rFonts w:cs="Arial"/>
                <w:bCs/>
                <w:szCs w:val="18"/>
                <w:lang w:val="en-US"/>
              </w:rPr>
              <w:t>1,894</w:t>
            </w:r>
          </w:p>
        </w:tc>
        <w:tc>
          <w:tcPr>
            <w:tcW w:w="317" w:type="pct"/>
            <w:tcBorders>
              <w:left w:val="nil"/>
              <w:right w:val="nil"/>
            </w:tcBorders>
            <w:shd w:val="clear" w:color="auto" w:fill="FFFFFF"/>
          </w:tcPr>
          <w:p w14:paraId="39A41A6C" w14:textId="77777777" w:rsidR="00C90DA4" w:rsidRDefault="00C90DA4" w:rsidP="00C90DA4">
            <w:pPr>
              <w:rPr>
                <w:rFonts w:cs="Arial"/>
                <w:bCs/>
                <w:szCs w:val="18"/>
                <w:lang w:val="en-US"/>
              </w:rPr>
            </w:pPr>
          </w:p>
        </w:tc>
      </w:tr>
      <w:tr w:rsidR="00C90DA4" w:rsidRPr="00C05614" w14:paraId="3F6D0A5D" w14:textId="77777777" w:rsidTr="00C90DA4">
        <w:trPr>
          <w:trHeight w:val="20"/>
        </w:trPr>
        <w:tc>
          <w:tcPr>
            <w:tcW w:w="2380" w:type="pct"/>
            <w:tcBorders>
              <w:top w:val="nil"/>
              <w:left w:val="nil"/>
              <w:right w:val="nil"/>
            </w:tcBorders>
            <w:shd w:val="clear" w:color="auto" w:fill="FFFFFF"/>
            <w:noWrap/>
            <w:vAlign w:val="bottom"/>
          </w:tcPr>
          <w:p w14:paraId="0FEE7CC1" w14:textId="77777777" w:rsidR="00C90DA4" w:rsidRPr="00F33EB5" w:rsidRDefault="00C90DA4" w:rsidP="00C90DA4">
            <w:pPr>
              <w:rPr>
                <w:rFonts w:cs="Arial"/>
                <w:b/>
                <w:bCs/>
                <w:szCs w:val="18"/>
                <w:lang w:val="en-US"/>
              </w:rPr>
            </w:pPr>
            <w:r w:rsidRPr="00F33EB5">
              <w:rPr>
                <w:rFonts w:cs="Arial"/>
                <w:b/>
                <w:bCs/>
                <w:szCs w:val="18"/>
                <w:lang w:val="en-US"/>
              </w:rPr>
              <w:t> </w:t>
            </w:r>
          </w:p>
        </w:tc>
        <w:tc>
          <w:tcPr>
            <w:tcW w:w="542" w:type="pct"/>
            <w:tcBorders>
              <w:top w:val="nil"/>
              <w:left w:val="nil"/>
              <w:right w:val="nil"/>
            </w:tcBorders>
            <w:shd w:val="clear" w:color="auto" w:fill="FFFFFF"/>
            <w:noWrap/>
            <w:vAlign w:val="bottom"/>
          </w:tcPr>
          <w:p w14:paraId="4B34B388" w14:textId="77777777" w:rsidR="00C90DA4" w:rsidRPr="00F33EB5" w:rsidRDefault="00C90DA4" w:rsidP="00C90DA4">
            <w:pPr>
              <w:rPr>
                <w:rFonts w:cs="Arial"/>
                <w:szCs w:val="18"/>
                <w:lang w:val="en-US"/>
              </w:rPr>
            </w:pPr>
            <w:r w:rsidRPr="00F33EB5">
              <w:rPr>
                <w:rFonts w:cs="Arial"/>
                <w:szCs w:val="18"/>
                <w:lang w:val="en-US"/>
              </w:rPr>
              <w:t> </w:t>
            </w:r>
          </w:p>
        </w:tc>
        <w:tc>
          <w:tcPr>
            <w:tcW w:w="564" w:type="pct"/>
            <w:tcBorders>
              <w:top w:val="nil"/>
              <w:left w:val="nil"/>
              <w:right w:val="nil"/>
            </w:tcBorders>
            <w:shd w:val="clear" w:color="auto" w:fill="FFFFFF"/>
          </w:tcPr>
          <w:p w14:paraId="3FD843D2" w14:textId="77777777" w:rsidR="00C90DA4" w:rsidRPr="00F33EB5" w:rsidRDefault="00C90DA4" w:rsidP="00C90DA4">
            <w:pPr>
              <w:rPr>
                <w:rFonts w:cs="Arial"/>
                <w:szCs w:val="18"/>
                <w:lang w:val="en-US"/>
              </w:rPr>
            </w:pPr>
          </w:p>
        </w:tc>
        <w:tc>
          <w:tcPr>
            <w:tcW w:w="552" w:type="pct"/>
            <w:tcBorders>
              <w:top w:val="nil"/>
              <w:left w:val="nil"/>
              <w:right w:val="nil"/>
            </w:tcBorders>
            <w:shd w:val="clear" w:color="auto" w:fill="FFFFFF"/>
            <w:noWrap/>
            <w:vAlign w:val="bottom"/>
          </w:tcPr>
          <w:p w14:paraId="66AE99D7" w14:textId="77777777" w:rsidR="00C90DA4" w:rsidRPr="00F33EB5" w:rsidRDefault="00C90DA4" w:rsidP="00C90DA4">
            <w:pPr>
              <w:rPr>
                <w:rFonts w:cs="Arial"/>
                <w:szCs w:val="18"/>
                <w:lang w:val="en-US"/>
              </w:rPr>
            </w:pPr>
            <w:r w:rsidRPr="00F33EB5">
              <w:rPr>
                <w:rFonts w:cs="Arial"/>
                <w:szCs w:val="18"/>
                <w:lang w:val="en-US"/>
              </w:rPr>
              <w:t> </w:t>
            </w:r>
          </w:p>
        </w:tc>
        <w:tc>
          <w:tcPr>
            <w:tcW w:w="135" w:type="pct"/>
            <w:tcBorders>
              <w:top w:val="nil"/>
              <w:left w:val="nil"/>
              <w:right w:val="nil"/>
            </w:tcBorders>
            <w:shd w:val="clear" w:color="auto" w:fill="FFFFFF"/>
          </w:tcPr>
          <w:p w14:paraId="5350C30B" w14:textId="77777777" w:rsidR="00C90DA4" w:rsidRPr="00F33EB5" w:rsidRDefault="00C90DA4" w:rsidP="00C90DA4">
            <w:pPr>
              <w:rPr>
                <w:rFonts w:cs="Arial"/>
                <w:szCs w:val="18"/>
                <w:lang w:val="en-US"/>
              </w:rPr>
            </w:pPr>
          </w:p>
        </w:tc>
        <w:tc>
          <w:tcPr>
            <w:tcW w:w="509" w:type="pct"/>
            <w:tcBorders>
              <w:top w:val="nil"/>
              <w:left w:val="nil"/>
              <w:right w:val="nil"/>
            </w:tcBorders>
            <w:shd w:val="clear" w:color="auto" w:fill="FFFFFF"/>
          </w:tcPr>
          <w:p w14:paraId="5C575316" w14:textId="77777777" w:rsidR="00C90DA4" w:rsidRPr="00F33EB5" w:rsidRDefault="00C90DA4" w:rsidP="00C90DA4">
            <w:pPr>
              <w:rPr>
                <w:rFonts w:cs="Arial"/>
                <w:szCs w:val="18"/>
                <w:lang w:val="en-US"/>
              </w:rPr>
            </w:pPr>
          </w:p>
        </w:tc>
        <w:tc>
          <w:tcPr>
            <w:tcW w:w="317" w:type="pct"/>
            <w:tcBorders>
              <w:top w:val="nil"/>
              <w:left w:val="nil"/>
              <w:right w:val="nil"/>
            </w:tcBorders>
            <w:shd w:val="clear" w:color="auto" w:fill="FFFFFF"/>
          </w:tcPr>
          <w:p w14:paraId="1D1B67E2" w14:textId="77777777" w:rsidR="00C90DA4" w:rsidRPr="00F33EB5" w:rsidRDefault="00C90DA4" w:rsidP="00C90DA4">
            <w:pPr>
              <w:rPr>
                <w:rFonts w:cs="Arial"/>
                <w:szCs w:val="18"/>
                <w:lang w:val="en-US"/>
              </w:rPr>
            </w:pPr>
          </w:p>
        </w:tc>
      </w:tr>
      <w:tr w:rsidR="00C90DA4" w:rsidRPr="00C05614" w14:paraId="35776FCD" w14:textId="77777777" w:rsidTr="00C90DA4">
        <w:trPr>
          <w:trHeight w:val="255"/>
        </w:trPr>
        <w:tc>
          <w:tcPr>
            <w:tcW w:w="4683" w:type="pct"/>
            <w:gridSpan w:val="6"/>
            <w:shd w:val="clear" w:color="auto" w:fill="FFFFFF"/>
            <w:noWrap/>
          </w:tcPr>
          <w:p w14:paraId="553373A4" w14:textId="77777777" w:rsidR="00C90DA4" w:rsidRPr="00F33EB5" w:rsidRDefault="00C90DA4" w:rsidP="00C90DA4">
            <w:pPr>
              <w:rPr>
                <w:rFonts w:cs="Arial"/>
                <w:szCs w:val="18"/>
                <w:lang w:val="en-US"/>
              </w:rPr>
            </w:pPr>
            <w:r w:rsidRPr="00F33EB5">
              <w:rPr>
                <w:rFonts w:cs="Arial"/>
                <w:szCs w:val="18"/>
                <w:lang w:val="en-US"/>
              </w:rPr>
              <w:t>The above statement should be read in conjunction with the accompanying notes.</w:t>
            </w:r>
          </w:p>
        </w:tc>
        <w:tc>
          <w:tcPr>
            <w:tcW w:w="317" w:type="pct"/>
            <w:shd w:val="clear" w:color="auto" w:fill="FFFFFF"/>
          </w:tcPr>
          <w:p w14:paraId="31E83CF6" w14:textId="77777777" w:rsidR="00C90DA4" w:rsidRPr="00F33EB5" w:rsidRDefault="00C90DA4" w:rsidP="00C90DA4">
            <w:pPr>
              <w:rPr>
                <w:rFonts w:cs="Arial"/>
                <w:szCs w:val="18"/>
                <w:lang w:val="en-US"/>
              </w:rPr>
            </w:pPr>
          </w:p>
        </w:tc>
      </w:tr>
    </w:tbl>
    <w:p w14:paraId="4208DB6C" w14:textId="77777777" w:rsidR="00C90DA4" w:rsidRPr="00847E9B" w:rsidRDefault="00C90DA4" w:rsidP="00C90DA4">
      <w:pPr>
        <w:rPr>
          <w:sz w:val="2"/>
          <w:szCs w:val="2"/>
        </w:rPr>
      </w:pPr>
    </w:p>
    <w:tbl>
      <w:tblPr>
        <w:tblW w:w="8787" w:type="dxa"/>
        <w:tblInd w:w="142" w:type="dxa"/>
        <w:tblLayout w:type="fixed"/>
        <w:tblLook w:val="0000" w:firstRow="0" w:lastRow="0" w:firstColumn="0" w:lastColumn="0" w:noHBand="0" w:noVBand="0"/>
      </w:tblPr>
      <w:tblGrid>
        <w:gridCol w:w="8787"/>
      </w:tblGrid>
      <w:tr w:rsidR="00C90DA4" w:rsidRPr="00C05614" w14:paraId="4759831E" w14:textId="77777777" w:rsidTr="00C90DA4">
        <w:trPr>
          <w:trHeight w:val="1597"/>
        </w:trPr>
        <w:tc>
          <w:tcPr>
            <w:tcW w:w="8787" w:type="dxa"/>
            <w:shd w:val="clear" w:color="auto" w:fill="FFFFFF"/>
            <w:noWrap/>
          </w:tcPr>
          <w:p w14:paraId="68D690CE" w14:textId="77777777" w:rsidR="00C90DA4" w:rsidRPr="00FB34BD" w:rsidRDefault="00C90DA4" w:rsidP="00C90DA4">
            <w:pPr>
              <w:rPr>
                <w:rFonts w:cs="Arial"/>
                <w:b/>
                <w:szCs w:val="18"/>
                <w:lang w:val="en-US"/>
              </w:rPr>
            </w:pPr>
            <w:r>
              <w:rPr>
                <w:rFonts w:cs="Arial"/>
                <w:b/>
                <w:szCs w:val="18"/>
                <w:lang w:val="en-US"/>
              </w:rPr>
              <w:t>Original Budget Compared to 2017 Actual Variance Commentary</w:t>
            </w:r>
          </w:p>
          <w:p w14:paraId="0A7E0F1F" w14:textId="77777777" w:rsidR="00C90DA4" w:rsidRPr="00B35925" w:rsidRDefault="00C90DA4" w:rsidP="00C90DA4">
            <w:pPr>
              <w:rPr>
                <w:rFonts w:cs="Arial"/>
                <w:b/>
                <w:szCs w:val="18"/>
                <w:lang w:val="en-US"/>
              </w:rPr>
            </w:pPr>
            <w:r w:rsidRPr="00B35925">
              <w:rPr>
                <w:rFonts w:cs="Arial"/>
                <w:b/>
                <w:szCs w:val="18"/>
                <w:lang w:val="en-US"/>
              </w:rPr>
              <w:t>Statement of Financial Position</w:t>
            </w:r>
          </w:p>
          <w:p w14:paraId="2116DB66" w14:textId="77777777" w:rsidR="00C90DA4" w:rsidRDefault="00C90DA4" w:rsidP="00C90DA4">
            <w:pPr>
              <w:rPr>
                <w:rFonts w:cs="Arial"/>
                <w:szCs w:val="18"/>
                <w:lang w:val="en-US"/>
              </w:rPr>
            </w:pPr>
            <w:r w:rsidRPr="00B35925">
              <w:rPr>
                <w:rFonts w:cs="Arial"/>
                <w:szCs w:val="18"/>
                <w:vertAlign w:val="superscript"/>
                <w:lang w:val="en-US"/>
              </w:rPr>
              <w:t>A</w:t>
            </w:r>
            <w:r w:rsidRPr="00B35925">
              <w:rPr>
                <w:rFonts w:cs="Arial"/>
                <w:szCs w:val="18"/>
                <w:lang w:val="en-US"/>
              </w:rPr>
              <w:t xml:space="preserve"> </w:t>
            </w:r>
            <w:r w:rsidRPr="00C308AF">
              <w:rPr>
                <w:szCs w:val="18"/>
              </w:rPr>
              <w:t>The budget reflects projects</w:t>
            </w:r>
            <w:r>
              <w:rPr>
                <w:szCs w:val="18"/>
              </w:rPr>
              <w:t xml:space="preserve"> </w:t>
            </w:r>
            <w:r w:rsidRPr="00C308AF">
              <w:rPr>
                <w:szCs w:val="18"/>
              </w:rPr>
              <w:t xml:space="preserve">contracted </w:t>
            </w:r>
            <w:r>
              <w:rPr>
                <w:szCs w:val="18"/>
              </w:rPr>
              <w:t xml:space="preserve">at the time of preparing </w:t>
            </w:r>
            <w:r w:rsidRPr="00C308AF">
              <w:rPr>
                <w:szCs w:val="18"/>
              </w:rPr>
              <w:t xml:space="preserve">the </w:t>
            </w:r>
            <w:r>
              <w:rPr>
                <w:szCs w:val="18"/>
              </w:rPr>
              <w:t>PBS</w:t>
            </w:r>
            <w:r w:rsidRPr="00B35925">
              <w:rPr>
                <w:rFonts w:cs="Arial"/>
                <w:szCs w:val="18"/>
                <w:lang w:val="en-US"/>
              </w:rPr>
              <w:t xml:space="preserve">. </w:t>
            </w:r>
            <w:r>
              <w:rPr>
                <w:rFonts w:cs="Arial"/>
                <w:szCs w:val="18"/>
                <w:lang w:val="en-US"/>
              </w:rPr>
              <w:t>The variance is due to the increase in actual activity compared to when the PBS was prepared.</w:t>
            </w:r>
          </w:p>
          <w:p w14:paraId="04EBA84F" w14:textId="77777777" w:rsidR="00C90DA4" w:rsidRPr="00B13E6E" w:rsidRDefault="00C90DA4" w:rsidP="00C90DA4">
            <w:pPr>
              <w:rPr>
                <w:rFonts w:cs="Arial"/>
                <w:szCs w:val="18"/>
                <w:vertAlign w:val="superscript"/>
                <w:lang w:val="en-US"/>
              </w:rPr>
            </w:pPr>
            <w:r w:rsidRPr="00B13E6E">
              <w:rPr>
                <w:rFonts w:cs="Arial"/>
                <w:szCs w:val="18"/>
                <w:vertAlign w:val="superscript"/>
                <w:lang w:val="en-US"/>
              </w:rPr>
              <w:t>B</w:t>
            </w:r>
            <w:r>
              <w:rPr>
                <w:rFonts w:cs="Arial"/>
                <w:szCs w:val="18"/>
                <w:vertAlign w:val="superscript"/>
                <w:lang w:val="en-US"/>
              </w:rPr>
              <w:t xml:space="preserve"> </w:t>
            </w:r>
            <w:r>
              <w:rPr>
                <w:rFonts w:cs="Arial"/>
                <w:szCs w:val="18"/>
                <w:lang w:val="en-US"/>
              </w:rPr>
              <w:t>The variance arises due to the completion in 2016-17 of project work for which funding was received in advance. The completion of projects in 2016-17 has reduced the balance of cash and unearned income.</w:t>
            </w:r>
          </w:p>
          <w:p w14:paraId="5FA4806A" w14:textId="77777777" w:rsidR="00C90DA4" w:rsidRPr="0080176B" w:rsidRDefault="00C90DA4" w:rsidP="00C90DA4">
            <w:pPr>
              <w:rPr>
                <w:rFonts w:cs="Arial"/>
                <w:szCs w:val="18"/>
                <w:lang w:val="en-US"/>
              </w:rPr>
            </w:pPr>
            <w:r w:rsidRPr="0080176B">
              <w:rPr>
                <w:rFonts w:cs="Arial"/>
                <w:szCs w:val="18"/>
                <w:vertAlign w:val="superscript"/>
                <w:lang w:val="en-US"/>
              </w:rPr>
              <w:t>C</w:t>
            </w:r>
            <w:r>
              <w:rPr>
                <w:rFonts w:cs="Arial"/>
                <w:szCs w:val="18"/>
                <w:vertAlign w:val="superscript"/>
                <w:lang w:val="en-US"/>
              </w:rPr>
              <w:t xml:space="preserve"> </w:t>
            </w:r>
            <w:r>
              <w:rPr>
                <w:rFonts w:cs="Arial"/>
                <w:szCs w:val="18"/>
                <w:lang w:val="en-US"/>
              </w:rPr>
              <w:t xml:space="preserve">The 2016-17 </w:t>
            </w:r>
            <w:proofErr w:type="gramStart"/>
            <w:r>
              <w:rPr>
                <w:rFonts w:cs="Arial"/>
                <w:szCs w:val="18"/>
                <w:lang w:val="en-US"/>
              </w:rPr>
              <w:t>budget</w:t>
            </w:r>
            <w:proofErr w:type="gramEnd"/>
            <w:r>
              <w:rPr>
                <w:rFonts w:cs="Arial"/>
                <w:szCs w:val="18"/>
                <w:lang w:val="en-US"/>
              </w:rPr>
              <w:t xml:space="preserve"> was derived on a break even assumption and an estimated carried forward surplus at the time of budget preparation.</w:t>
            </w:r>
          </w:p>
          <w:p w14:paraId="44DF58AB" w14:textId="77777777" w:rsidR="00C90DA4" w:rsidRPr="00F33EB5" w:rsidRDefault="00C90DA4" w:rsidP="00C90DA4">
            <w:pPr>
              <w:rPr>
                <w:rFonts w:cs="Arial"/>
                <w:szCs w:val="18"/>
                <w:lang w:val="en-US"/>
              </w:rPr>
            </w:pPr>
          </w:p>
        </w:tc>
      </w:tr>
    </w:tbl>
    <w:p w14:paraId="5007FE6C" w14:textId="77777777" w:rsidR="00195E07" w:rsidRDefault="00195E07">
      <w:pPr>
        <w:spacing w:after="160" w:line="259" w:lineRule="auto"/>
      </w:pPr>
      <w:r>
        <w:br w:type="page"/>
      </w:r>
    </w:p>
    <w:p w14:paraId="5DB85DFC" w14:textId="77777777" w:rsidR="00C90DA4" w:rsidRPr="00C05614" w:rsidRDefault="00C90DA4" w:rsidP="00C90DA4">
      <w:pPr>
        <w:pStyle w:val="Heading2"/>
        <w:pageBreakBefore/>
        <w:spacing w:before="120" w:after="0"/>
        <w:rPr>
          <w:color w:val="auto"/>
        </w:rPr>
      </w:pPr>
      <w:r>
        <w:rPr>
          <w:color w:val="auto"/>
        </w:rPr>
        <w:lastRenderedPageBreak/>
        <w:t>Statement of Changes in Equity</w:t>
      </w:r>
    </w:p>
    <w:p w14:paraId="04FA63D8" w14:textId="77777777" w:rsidR="00C90DA4" w:rsidRPr="00C05614" w:rsidRDefault="00C90DA4" w:rsidP="00C90DA4">
      <w:r>
        <w:t>for the period ended</w:t>
      </w:r>
      <w:r w:rsidRPr="00C05614">
        <w:t xml:space="preserve"> 30 June </w:t>
      </w:r>
      <w:r>
        <w:t>2017</w:t>
      </w:r>
    </w:p>
    <w:tbl>
      <w:tblPr>
        <w:tblW w:w="4680" w:type="pct"/>
        <w:tblLayout w:type="fixed"/>
        <w:tblLook w:val="0000" w:firstRow="0" w:lastRow="0" w:firstColumn="0" w:lastColumn="0" w:noHBand="0" w:noVBand="0"/>
        <w:tblCaption w:val="Statement of Changes in Equity"/>
      </w:tblPr>
      <w:tblGrid>
        <w:gridCol w:w="4761"/>
        <w:gridCol w:w="259"/>
        <w:gridCol w:w="789"/>
        <w:gridCol w:w="790"/>
        <w:gridCol w:w="242"/>
        <w:gridCol w:w="867"/>
        <w:gridCol w:w="242"/>
      </w:tblGrid>
      <w:tr w:rsidR="00C90DA4" w:rsidRPr="00C05614" w14:paraId="2FC35CBE" w14:textId="77777777" w:rsidTr="00F531AA">
        <w:trPr>
          <w:trHeight w:val="255"/>
        </w:trPr>
        <w:tc>
          <w:tcPr>
            <w:tcW w:w="2994" w:type="pct"/>
            <w:shd w:val="clear" w:color="auto" w:fill="FFFFFF"/>
            <w:noWrap/>
            <w:vAlign w:val="bottom"/>
          </w:tcPr>
          <w:p w14:paraId="14D4FA09" w14:textId="77777777" w:rsidR="00C90DA4" w:rsidRPr="00F33EB5" w:rsidRDefault="00C90DA4" w:rsidP="00C90DA4">
            <w:pPr>
              <w:rPr>
                <w:rFonts w:cs="Arial"/>
                <w:szCs w:val="18"/>
                <w:lang w:val="en-US"/>
              </w:rPr>
            </w:pPr>
            <w:r w:rsidRPr="00F33EB5">
              <w:rPr>
                <w:rFonts w:cs="Arial"/>
                <w:szCs w:val="18"/>
                <w:lang w:val="en-US"/>
              </w:rPr>
              <w:t> </w:t>
            </w:r>
          </w:p>
        </w:tc>
        <w:tc>
          <w:tcPr>
            <w:tcW w:w="163" w:type="pct"/>
            <w:shd w:val="clear" w:color="auto" w:fill="FFFFFF"/>
            <w:noWrap/>
            <w:vAlign w:val="bottom"/>
          </w:tcPr>
          <w:p w14:paraId="4988F752" w14:textId="77777777" w:rsidR="00C90DA4" w:rsidRPr="00F33EB5" w:rsidRDefault="00C90DA4" w:rsidP="00C90DA4">
            <w:pPr>
              <w:rPr>
                <w:rFonts w:cs="Arial"/>
                <w:szCs w:val="18"/>
                <w:lang w:val="en-US"/>
              </w:rPr>
            </w:pPr>
          </w:p>
        </w:tc>
        <w:tc>
          <w:tcPr>
            <w:tcW w:w="496" w:type="pct"/>
            <w:shd w:val="clear" w:color="auto" w:fill="FFFFFF"/>
            <w:vAlign w:val="bottom"/>
          </w:tcPr>
          <w:p w14:paraId="2684ECA4" w14:textId="77777777" w:rsidR="00C90DA4" w:rsidRPr="00F33EB5" w:rsidRDefault="00C90DA4" w:rsidP="00C90DA4">
            <w:pPr>
              <w:jc w:val="right"/>
              <w:rPr>
                <w:rFonts w:cs="Arial"/>
                <w:b/>
                <w:bCs/>
                <w:szCs w:val="18"/>
                <w:lang w:val="en-US"/>
              </w:rPr>
            </w:pPr>
            <w:r>
              <w:rPr>
                <w:rFonts w:cs="Arial"/>
                <w:b/>
                <w:bCs/>
                <w:szCs w:val="18"/>
                <w:lang w:val="en-US"/>
              </w:rPr>
              <w:t>2017</w:t>
            </w:r>
          </w:p>
        </w:tc>
        <w:tc>
          <w:tcPr>
            <w:tcW w:w="497" w:type="pct"/>
            <w:shd w:val="clear" w:color="auto" w:fill="FFFFFF"/>
            <w:noWrap/>
            <w:vAlign w:val="bottom"/>
          </w:tcPr>
          <w:p w14:paraId="54771FFA" w14:textId="77777777" w:rsidR="00C90DA4" w:rsidRPr="00F33EB5" w:rsidRDefault="00C90DA4" w:rsidP="00C90DA4">
            <w:pPr>
              <w:jc w:val="right"/>
              <w:rPr>
                <w:rFonts w:cs="Arial"/>
                <w:bCs/>
                <w:szCs w:val="18"/>
                <w:lang w:val="en-US"/>
              </w:rPr>
            </w:pPr>
            <w:r>
              <w:rPr>
                <w:rFonts w:cs="Arial"/>
                <w:bCs/>
                <w:szCs w:val="18"/>
                <w:lang w:val="en-US"/>
              </w:rPr>
              <w:t>2016</w:t>
            </w:r>
          </w:p>
        </w:tc>
        <w:tc>
          <w:tcPr>
            <w:tcW w:w="152" w:type="pct"/>
            <w:shd w:val="clear" w:color="auto" w:fill="FFFFFF"/>
          </w:tcPr>
          <w:p w14:paraId="79128FD6" w14:textId="77777777" w:rsidR="00C90DA4" w:rsidRDefault="00C90DA4" w:rsidP="00C90DA4">
            <w:pPr>
              <w:jc w:val="right"/>
              <w:rPr>
                <w:rFonts w:cs="Arial"/>
                <w:bCs/>
                <w:szCs w:val="18"/>
                <w:lang w:val="en-US"/>
              </w:rPr>
            </w:pPr>
          </w:p>
        </w:tc>
        <w:tc>
          <w:tcPr>
            <w:tcW w:w="545" w:type="pct"/>
            <w:shd w:val="clear" w:color="auto" w:fill="FFFFFF"/>
          </w:tcPr>
          <w:p w14:paraId="5824F2A9" w14:textId="77777777" w:rsidR="00C90DA4" w:rsidRDefault="00C90DA4" w:rsidP="00C90DA4">
            <w:pPr>
              <w:jc w:val="right"/>
              <w:rPr>
                <w:rFonts w:cs="Arial"/>
                <w:bCs/>
                <w:szCs w:val="18"/>
                <w:lang w:val="en-US"/>
              </w:rPr>
            </w:pPr>
            <w:r w:rsidRPr="00A84ED4">
              <w:rPr>
                <w:rFonts w:cs="Arial"/>
                <w:bCs/>
                <w:szCs w:val="18"/>
                <w:lang w:val="en-US"/>
              </w:rPr>
              <w:t>Original Budget</w:t>
            </w:r>
          </w:p>
          <w:p w14:paraId="1C7E2938" w14:textId="77777777" w:rsidR="00C90DA4" w:rsidRPr="00A84ED4" w:rsidRDefault="00C90DA4" w:rsidP="00C90DA4">
            <w:pPr>
              <w:jc w:val="right"/>
              <w:rPr>
                <w:rFonts w:cs="Arial"/>
                <w:bCs/>
                <w:szCs w:val="18"/>
                <w:lang w:val="en-US"/>
              </w:rPr>
            </w:pPr>
            <w:r>
              <w:rPr>
                <w:rFonts w:cs="Arial"/>
                <w:bCs/>
                <w:szCs w:val="18"/>
                <w:lang w:val="en-US"/>
              </w:rPr>
              <w:t>2017</w:t>
            </w:r>
          </w:p>
        </w:tc>
        <w:tc>
          <w:tcPr>
            <w:tcW w:w="152" w:type="pct"/>
            <w:shd w:val="clear" w:color="auto" w:fill="FFFFFF"/>
          </w:tcPr>
          <w:p w14:paraId="2F000B6F" w14:textId="77777777" w:rsidR="00C90DA4" w:rsidRDefault="00C90DA4" w:rsidP="00C90DA4">
            <w:pPr>
              <w:rPr>
                <w:rFonts w:cs="Arial"/>
                <w:bCs/>
                <w:szCs w:val="18"/>
                <w:lang w:val="en-US"/>
              </w:rPr>
            </w:pPr>
          </w:p>
        </w:tc>
      </w:tr>
      <w:tr w:rsidR="00C90DA4" w:rsidRPr="00C05614" w14:paraId="7B335231" w14:textId="77777777" w:rsidTr="00F531AA">
        <w:trPr>
          <w:trHeight w:val="255"/>
        </w:trPr>
        <w:tc>
          <w:tcPr>
            <w:tcW w:w="2994" w:type="pct"/>
            <w:shd w:val="clear" w:color="auto" w:fill="FFFFFF"/>
            <w:noWrap/>
            <w:vAlign w:val="bottom"/>
          </w:tcPr>
          <w:p w14:paraId="74C9C06F" w14:textId="77777777" w:rsidR="00C90DA4" w:rsidRPr="00F33EB5" w:rsidRDefault="00C90DA4" w:rsidP="00C90DA4">
            <w:pPr>
              <w:rPr>
                <w:rFonts w:cs="Arial"/>
                <w:szCs w:val="18"/>
                <w:lang w:val="en-US"/>
              </w:rPr>
            </w:pPr>
            <w:r w:rsidRPr="00F33EB5">
              <w:rPr>
                <w:rFonts w:cs="Arial"/>
                <w:szCs w:val="18"/>
                <w:lang w:val="en-US"/>
              </w:rPr>
              <w:t> </w:t>
            </w:r>
          </w:p>
        </w:tc>
        <w:tc>
          <w:tcPr>
            <w:tcW w:w="163" w:type="pct"/>
            <w:shd w:val="clear" w:color="auto" w:fill="FFFFFF"/>
            <w:noWrap/>
            <w:vAlign w:val="bottom"/>
          </w:tcPr>
          <w:p w14:paraId="7AE8533D" w14:textId="77777777" w:rsidR="00C90DA4" w:rsidRPr="00F33EB5" w:rsidRDefault="00C90DA4" w:rsidP="00C90DA4">
            <w:pPr>
              <w:jc w:val="center"/>
              <w:rPr>
                <w:rFonts w:cs="Arial"/>
                <w:b/>
                <w:bCs/>
                <w:szCs w:val="18"/>
                <w:lang w:val="en-US"/>
              </w:rPr>
            </w:pPr>
          </w:p>
        </w:tc>
        <w:tc>
          <w:tcPr>
            <w:tcW w:w="496" w:type="pct"/>
            <w:shd w:val="clear" w:color="auto" w:fill="FFFFFF"/>
            <w:vAlign w:val="bottom"/>
          </w:tcPr>
          <w:p w14:paraId="3DCE412C" w14:textId="77777777" w:rsidR="00C90DA4" w:rsidRPr="00F33EB5" w:rsidRDefault="00C90DA4" w:rsidP="00C90DA4">
            <w:pPr>
              <w:jc w:val="right"/>
              <w:rPr>
                <w:rFonts w:cs="Arial"/>
                <w:b/>
                <w:bCs/>
                <w:szCs w:val="18"/>
                <w:lang w:val="en-US"/>
              </w:rPr>
            </w:pPr>
            <w:r w:rsidRPr="00F33EB5">
              <w:rPr>
                <w:rFonts w:cs="Arial"/>
                <w:b/>
                <w:bCs/>
                <w:szCs w:val="18"/>
                <w:lang w:val="en-US"/>
              </w:rPr>
              <w:t>$’000</w:t>
            </w:r>
          </w:p>
        </w:tc>
        <w:tc>
          <w:tcPr>
            <w:tcW w:w="497" w:type="pct"/>
            <w:shd w:val="clear" w:color="auto" w:fill="FFFFFF"/>
            <w:noWrap/>
            <w:vAlign w:val="bottom"/>
          </w:tcPr>
          <w:p w14:paraId="2CA7121F" w14:textId="77777777" w:rsidR="00C90DA4" w:rsidRPr="00F33EB5" w:rsidRDefault="00C90DA4" w:rsidP="00C90DA4">
            <w:pPr>
              <w:jc w:val="right"/>
              <w:rPr>
                <w:rFonts w:cs="Arial"/>
                <w:bCs/>
                <w:szCs w:val="18"/>
                <w:lang w:val="en-US"/>
              </w:rPr>
            </w:pPr>
            <w:r w:rsidRPr="00F33EB5">
              <w:rPr>
                <w:rFonts w:cs="Arial"/>
                <w:bCs/>
                <w:szCs w:val="18"/>
                <w:lang w:val="en-US"/>
              </w:rPr>
              <w:t>$’000</w:t>
            </w:r>
          </w:p>
        </w:tc>
        <w:tc>
          <w:tcPr>
            <w:tcW w:w="152" w:type="pct"/>
            <w:shd w:val="clear" w:color="auto" w:fill="FFFFFF"/>
          </w:tcPr>
          <w:p w14:paraId="206F00A3" w14:textId="77777777" w:rsidR="00C90DA4" w:rsidRPr="00F33EB5" w:rsidRDefault="00C90DA4" w:rsidP="00C90DA4">
            <w:pPr>
              <w:jc w:val="right"/>
              <w:rPr>
                <w:rFonts w:cs="Arial"/>
                <w:bCs/>
                <w:szCs w:val="18"/>
                <w:lang w:val="en-US"/>
              </w:rPr>
            </w:pPr>
          </w:p>
        </w:tc>
        <w:tc>
          <w:tcPr>
            <w:tcW w:w="545" w:type="pct"/>
            <w:shd w:val="clear" w:color="auto" w:fill="FFFFFF"/>
            <w:vAlign w:val="bottom"/>
          </w:tcPr>
          <w:p w14:paraId="5D782ABB" w14:textId="77777777" w:rsidR="00C90DA4" w:rsidRPr="00A84ED4" w:rsidRDefault="00C90DA4" w:rsidP="00C90DA4">
            <w:pPr>
              <w:jc w:val="right"/>
              <w:rPr>
                <w:rFonts w:cs="Arial"/>
                <w:bCs/>
                <w:szCs w:val="18"/>
                <w:lang w:val="en-US"/>
              </w:rPr>
            </w:pPr>
            <w:r w:rsidRPr="00A84ED4">
              <w:rPr>
                <w:rFonts w:cs="Arial"/>
                <w:bCs/>
                <w:szCs w:val="18"/>
                <w:lang w:val="en-US"/>
              </w:rPr>
              <w:t>$’000</w:t>
            </w:r>
          </w:p>
        </w:tc>
        <w:tc>
          <w:tcPr>
            <w:tcW w:w="152" w:type="pct"/>
            <w:shd w:val="clear" w:color="auto" w:fill="FFFFFF"/>
          </w:tcPr>
          <w:p w14:paraId="660C26A4" w14:textId="77777777" w:rsidR="00C90DA4" w:rsidRPr="00F33EB5" w:rsidRDefault="00C90DA4" w:rsidP="00C90DA4">
            <w:pPr>
              <w:rPr>
                <w:rFonts w:cs="Arial"/>
                <w:bCs/>
                <w:szCs w:val="18"/>
                <w:lang w:val="en-US"/>
              </w:rPr>
            </w:pPr>
          </w:p>
        </w:tc>
      </w:tr>
      <w:tr w:rsidR="00C90DA4" w:rsidRPr="00C05614" w14:paraId="6D791078" w14:textId="77777777" w:rsidTr="00F531AA">
        <w:trPr>
          <w:trHeight w:val="255"/>
        </w:trPr>
        <w:tc>
          <w:tcPr>
            <w:tcW w:w="2994" w:type="pct"/>
            <w:shd w:val="clear" w:color="auto" w:fill="FFFFFF"/>
            <w:noWrap/>
            <w:vAlign w:val="bottom"/>
          </w:tcPr>
          <w:p w14:paraId="7AE5223A" w14:textId="77777777" w:rsidR="00C90DA4" w:rsidRPr="00F33EB5" w:rsidRDefault="00C90DA4" w:rsidP="00C90DA4">
            <w:pPr>
              <w:rPr>
                <w:rFonts w:cs="Arial"/>
                <w:b/>
                <w:bCs/>
                <w:szCs w:val="18"/>
                <w:lang w:val="en-US"/>
              </w:rPr>
            </w:pPr>
            <w:r>
              <w:rPr>
                <w:rFonts w:cs="Arial"/>
                <w:b/>
                <w:bCs/>
                <w:szCs w:val="18"/>
                <w:lang w:val="en-US"/>
              </w:rPr>
              <w:t>CONTRIBUTED EQUITY</w:t>
            </w:r>
          </w:p>
        </w:tc>
        <w:tc>
          <w:tcPr>
            <w:tcW w:w="163" w:type="pct"/>
            <w:shd w:val="clear" w:color="auto" w:fill="FFFFFF"/>
            <w:noWrap/>
            <w:vAlign w:val="bottom"/>
          </w:tcPr>
          <w:p w14:paraId="435EF1CC" w14:textId="77777777" w:rsidR="00C90DA4" w:rsidRPr="00F33EB5" w:rsidRDefault="00C90DA4" w:rsidP="00C90DA4">
            <w:pPr>
              <w:jc w:val="center"/>
              <w:rPr>
                <w:rFonts w:cs="Arial"/>
                <w:szCs w:val="18"/>
                <w:lang w:val="en-US"/>
              </w:rPr>
            </w:pPr>
          </w:p>
        </w:tc>
        <w:tc>
          <w:tcPr>
            <w:tcW w:w="496" w:type="pct"/>
            <w:shd w:val="clear" w:color="auto" w:fill="FFFFFF"/>
            <w:vAlign w:val="bottom"/>
          </w:tcPr>
          <w:p w14:paraId="2C6EFA26" w14:textId="77777777" w:rsidR="00C90DA4" w:rsidRPr="00F33EB5" w:rsidRDefault="00C90DA4" w:rsidP="00C90DA4">
            <w:pPr>
              <w:rPr>
                <w:rFonts w:cs="Arial"/>
                <w:szCs w:val="18"/>
                <w:lang w:val="en-US"/>
              </w:rPr>
            </w:pPr>
            <w:r w:rsidRPr="00F33EB5">
              <w:rPr>
                <w:rFonts w:cs="Arial"/>
                <w:szCs w:val="18"/>
                <w:lang w:val="en-US"/>
              </w:rPr>
              <w:t> </w:t>
            </w:r>
          </w:p>
        </w:tc>
        <w:tc>
          <w:tcPr>
            <w:tcW w:w="497" w:type="pct"/>
            <w:shd w:val="clear" w:color="auto" w:fill="FFFFFF"/>
            <w:noWrap/>
            <w:vAlign w:val="bottom"/>
          </w:tcPr>
          <w:p w14:paraId="387F51E1" w14:textId="77777777" w:rsidR="00C90DA4" w:rsidRPr="00F33EB5" w:rsidRDefault="00C90DA4" w:rsidP="00C90DA4">
            <w:pPr>
              <w:rPr>
                <w:rFonts w:cs="Arial"/>
                <w:szCs w:val="18"/>
                <w:lang w:val="en-US"/>
              </w:rPr>
            </w:pPr>
            <w:r w:rsidRPr="00F33EB5">
              <w:rPr>
                <w:rFonts w:cs="Arial"/>
                <w:szCs w:val="18"/>
                <w:lang w:val="en-US"/>
              </w:rPr>
              <w:t> </w:t>
            </w:r>
          </w:p>
        </w:tc>
        <w:tc>
          <w:tcPr>
            <w:tcW w:w="152" w:type="pct"/>
            <w:shd w:val="clear" w:color="auto" w:fill="FFFFFF"/>
          </w:tcPr>
          <w:p w14:paraId="077508EC" w14:textId="77777777" w:rsidR="00C90DA4" w:rsidRPr="00F33EB5" w:rsidRDefault="00C90DA4" w:rsidP="00C90DA4">
            <w:pPr>
              <w:rPr>
                <w:rFonts w:cs="Arial"/>
                <w:szCs w:val="18"/>
                <w:lang w:val="en-US"/>
              </w:rPr>
            </w:pPr>
          </w:p>
        </w:tc>
        <w:tc>
          <w:tcPr>
            <w:tcW w:w="545" w:type="pct"/>
            <w:shd w:val="clear" w:color="auto" w:fill="FFFFFF"/>
          </w:tcPr>
          <w:p w14:paraId="2FE3F398" w14:textId="77777777" w:rsidR="00C90DA4" w:rsidRPr="00A84ED4" w:rsidRDefault="00C90DA4" w:rsidP="00C90DA4">
            <w:pPr>
              <w:rPr>
                <w:rFonts w:cs="Arial"/>
                <w:szCs w:val="18"/>
                <w:lang w:val="en-US"/>
              </w:rPr>
            </w:pPr>
          </w:p>
        </w:tc>
        <w:tc>
          <w:tcPr>
            <w:tcW w:w="152" w:type="pct"/>
            <w:shd w:val="clear" w:color="auto" w:fill="FFFFFF"/>
          </w:tcPr>
          <w:p w14:paraId="5704C7FD" w14:textId="77777777" w:rsidR="00C90DA4" w:rsidRPr="00F33EB5" w:rsidRDefault="00C90DA4" w:rsidP="00C90DA4">
            <w:pPr>
              <w:rPr>
                <w:rFonts w:cs="Arial"/>
                <w:szCs w:val="18"/>
                <w:lang w:val="en-US"/>
              </w:rPr>
            </w:pPr>
          </w:p>
        </w:tc>
      </w:tr>
      <w:tr w:rsidR="00C90DA4" w:rsidRPr="00C05614" w14:paraId="4E2823FE" w14:textId="77777777" w:rsidTr="00F531AA">
        <w:trPr>
          <w:trHeight w:val="255"/>
        </w:trPr>
        <w:tc>
          <w:tcPr>
            <w:tcW w:w="2994" w:type="pct"/>
            <w:shd w:val="clear" w:color="auto" w:fill="FFFFFF"/>
            <w:noWrap/>
            <w:vAlign w:val="bottom"/>
          </w:tcPr>
          <w:p w14:paraId="5879CA72" w14:textId="77777777" w:rsidR="00C90DA4" w:rsidRPr="00686994" w:rsidRDefault="00C90DA4" w:rsidP="00C90DA4">
            <w:pPr>
              <w:rPr>
                <w:rFonts w:cs="Arial"/>
                <w:b/>
                <w:bCs/>
                <w:szCs w:val="18"/>
                <w:lang w:val="en-US"/>
              </w:rPr>
            </w:pPr>
            <w:r w:rsidRPr="00686994">
              <w:rPr>
                <w:rFonts w:cs="Arial"/>
                <w:b/>
                <w:bCs/>
                <w:szCs w:val="18"/>
                <w:lang w:val="en-US"/>
              </w:rPr>
              <w:t>Opening balance</w:t>
            </w:r>
          </w:p>
        </w:tc>
        <w:tc>
          <w:tcPr>
            <w:tcW w:w="163" w:type="pct"/>
            <w:shd w:val="clear" w:color="auto" w:fill="FFFFFF"/>
            <w:noWrap/>
            <w:vAlign w:val="bottom"/>
          </w:tcPr>
          <w:p w14:paraId="5358652F" w14:textId="77777777" w:rsidR="00C90DA4" w:rsidRPr="00F33EB5" w:rsidRDefault="00C90DA4" w:rsidP="00C90DA4">
            <w:pPr>
              <w:jc w:val="center"/>
              <w:rPr>
                <w:rFonts w:cs="Arial"/>
                <w:szCs w:val="18"/>
                <w:lang w:val="en-US"/>
              </w:rPr>
            </w:pPr>
          </w:p>
        </w:tc>
        <w:tc>
          <w:tcPr>
            <w:tcW w:w="496" w:type="pct"/>
            <w:shd w:val="clear" w:color="auto" w:fill="FFFFFF"/>
            <w:vAlign w:val="bottom"/>
          </w:tcPr>
          <w:p w14:paraId="012E99E3" w14:textId="77777777" w:rsidR="00C90DA4" w:rsidRPr="00F33EB5" w:rsidRDefault="00C90DA4" w:rsidP="00C90DA4">
            <w:pPr>
              <w:jc w:val="right"/>
              <w:rPr>
                <w:rFonts w:cs="Arial"/>
                <w:b/>
                <w:bCs/>
                <w:szCs w:val="18"/>
                <w:lang w:val="en-US"/>
              </w:rPr>
            </w:pPr>
            <w:r>
              <w:rPr>
                <w:rFonts w:cs="Arial"/>
                <w:b/>
                <w:bCs/>
                <w:szCs w:val="18"/>
                <w:lang w:val="en-US"/>
              </w:rPr>
              <w:t>1,836</w:t>
            </w:r>
          </w:p>
        </w:tc>
        <w:tc>
          <w:tcPr>
            <w:tcW w:w="497" w:type="pct"/>
            <w:shd w:val="clear" w:color="auto" w:fill="FFFFFF"/>
            <w:noWrap/>
            <w:vAlign w:val="bottom"/>
          </w:tcPr>
          <w:p w14:paraId="73D25CD3" w14:textId="77777777" w:rsidR="00C90DA4" w:rsidRPr="007014B2" w:rsidRDefault="00C90DA4" w:rsidP="00C90DA4">
            <w:pPr>
              <w:jc w:val="right"/>
              <w:rPr>
                <w:rFonts w:cs="Arial"/>
                <w:bCs/>
                <w:szCs w:val="18"/>
                <w:lang w:val="en-US"/>
              </w:rPr>
            </w:pPr>
            <w:r w:rsidRPr="007014B2">
              <w:rPr>
                <w:rFonts w:cs="Arial"/>
                <w:bCs/>
                <w:szCs w:val="18"/>
                <w:lang w:val="en-US"/>
              </w:rPr>
              <w:t>1,836</w:t>
            </w:r>
          </w:p>
        </w:tc>
        <w:tc>
          <w:tcPr>
            <w:tcW w:w="152" w:type="pct"/>
            <w:shd w:val="clear" w:color="auto" w:fill="FFFFFF"/>
            <w:vAlign w:val="bottom"/>
          </w:tcPr>
          <w:p w14:paraId="683FEFCE" w14:textId="77777777" w:rsidR="00C90DA4" w:rsidRPr="00F33EB5" w:rsidRDefault="00C90DA4" w:rsidP="00C90DA4">
            <w:pPr>
              <w:jc w:val="right"/>
              <w:rPr>
                <w:rFonts w:cs="Arial"/>
                <w:bCs/>
                <w:szCs w:val="18"/>
                <w:lang w:val="en-US"/>
              </w:rPr>
            </w:pPr>
          </w:p>
        </w:tc>
        <w:tc>
          <w:tcPr>
            <w:tcW w:w="545" w:type="pct"/>
            <w:shd w:val="clear" w:color="auto" w:fill="FFFFFF"/>
            <w:vAlign w:val="bottom"/>
          </w:tcPr>
          <w:p w14:paraId="77DF9F74" w14:textId="77777777" w:rsidR="00C90DA4" w:rsidRPr="00A84ED4" w:rsidRDefault="00C90DA4" w:rsidP="00C90DA4">
            <w:pPr>
              <w:jc w:val="right"/>
              <w:rPr>
                <w:rFonts w:cs="Arial"/>
                <w:bCs/>
                <w:szCs w:val="18"/>
                <w:lang w:val="en-US"/>
              </w:rPr>
            </w:pPr>
            <w:r w:rsidRPr="00A84ED4">
              <w:rPr>
                <w:rFonts w:cs="Arial"/>
                <w:bCs/>
                <w:szCs w:val="18"/>
                <w:lang w:val="en-US"/>
              </w:rPr>
              <w:t>1,836</w:t>
            </w:r>
          </w:p>
        </w:tc>
        <w:tc>
          <w:tcPr>
            <w:tcW w:w="152" w:type="pct"/>
            <w:shd w:val="clear" w:color="auto" w:fill="FFFFFF"/>
          </w:tcPr>
          <w:p w14:paraId="58F51B60" w14:textId="77777777" w:rsidR="00C90DA4" w:rsidRDefault="00C90DA4" w:rsidP="00C90DA4">
            <w:pPr>
              <w:rPr>
                <w:rFonts w:cs="Arial"/>
                <w:bCs/>
                <w:szCs w:val="18"/>
                <w:lang w:val="en-US"/>
              </w:rPr>
            </w:pPr>
          </w:p>
        </w:tc>
      </w:tr>
      <w:tr w:rsidR="00C90DA4" w:rsidRPr="00C05614" w14:paraId="38B4A3EB" w14:textId="77777777" w:rsidTr="00F531AA">
        <w:trPr>
          <w:trHeight w:val="255"/>
        </w:trPr>
        <w:tc>
          <w:tcPr>
            <w:tcW w:w="2994" w:type="pct"/>
            <w:shd w:val="clear" w:color="auto" w:fill="FFFFFF"/>
            <w:noWrap/>
            <w:vAlign w:val="bottom"/>
          </w:tcPr>
          <w:p w14:paraId="74F9933F" w14:textId="77777777" w:rsidR="00C90DA4" w:rsidRPr="00686994" w:rsidRDefault="00C90DA4" w:rsidP="00C90DA4">
            <w:pPr>
              <w:rPr>
                <w:rFonts w:cs="Arial"/>
                <w:b/>
                <w:bCs/>
                <w:szCs w:val="18"/>
                <w:lang w:val="en-US"/>
              </w:rPr>
            </w:pPr>
            <w:r w:rsidRPr="00686994">
              <w:rPr>
                <w:rFonts w:cs="Arial"/>
                <w:b/>
                <w:bCs/>
                <w:szCs w:val="18"/>
                <w:lang w:val="en-US"/>
              </w:rPr>
              <w:t>Closing balance as at 30 June</w:t>
            </w:r>
          </w:p>
        </w:tc>
        <w:tc>
          <w:tcPr>
            <w:tcW w:w="163" w:type="pct"/>
            <w:shd w:val="clear" w:color="auto" w:fill="FFFFFF"/>
            <w:noWrap/>
            <w:vAlign w:val="bottom"/>
          </w:tcPr>
          <w:p w14:paraId="2592DF22" w14:textId="77777777" w:rsidR="00C90DA4" w:rsidRPr="00F33EB5" w:rsidRDefault="00C90DA4" w:rsidP="00C90DA4">
            <w:pPr>
              <w:jc w:val="center"/>
              <w:rPr>
                <w:rFonts w:cs="Arial"/>
                <w:szCs w:val="18"/>
                <w:lang w:val="en-US"/>
              </w:rPr>
            </w:pPr>
          </w:p>
        </w:tc>
        <w:tc>
          <w:tcPr>
            <w:tcW w:w="496" w:type="pct"/>
            <w:tcBorders>
              <w:top w:val="single" w:sz="4" w:space="0" w:color="auto"/>
              <w:bottom w:val="single" w:sz="4" w:space="0" w:color="auto"/>
            </w:tcBorders>
            <w:shd w:val="clear" w:color="auto" w:fill="FFFFFF"/>
            <w:vAlign w:val="bottom"/>
          </w:tcPr>
          <w:p w14:paraId="0E86EFF3" w14:textId="77777777" w:rsidR="00C90DA4" w:rsidRPr="00F33EB5" w:rsidRDefault="00C90DA4" w:rsidP="00C90DA4">
            <w:pPr>
              <w:jc w:val="right"/>
              <w:rPr>
                <w:rFonts w:cs="Arial"/>
                <w:b/>
                <w:bCs/>
                <w:szCs w:val="18"/>
                <w:lang w:val="en-US"/>
              </w:rPr>
            </w:pPr>
            <w:r>
              <w:rPr>
                <w:rFonts w:cs="Arial"/>
                <w:b/>
                <w:bCs/>
                <w:szCs w:val="18"/>
                <w:lang w:val="en-US"/>
              </w:rPr>
              <w:t>1,836</w:t>
            </w:r>
          </w:p>
        </w:tc>
        <w:tc>
          <w:tcPr>
            <w:tcW w:w="497" w:type="pct"/>
            <w:tcBorders>
              <w:top w:val="single" w:sz="4" w:space="0" w:color="auto"/>
              <w:bottom w:val="single" w:sz="4" w:space="0" w:color="auto"/>
            </w:tcBorders>
            <w:shd w:val="clear" w:color="auto" w:fill="FFFFFF"/>
            <w:noWrap/>
            <w:vAlign w:val="bottom"/>
          </w:tcPr>
          <w:p w14:paraId="69AFF386" w14:textId="77777777" w:rsidR="00C90DA4" w:rsidRPr="007014B2" w:rsidRDefault="00C90DA4" w:rsidP="00C90DA4">
            <w:pPr>
              <w:jc w:val="right"/>
              <w:rPr>
                <w:rFonts w:cs="Arial"/>
                <w:bCs/>
                <w:szCs w:val="18"/>
                <w:lang w:val="en-US"/>
              </w:rPr>
            </w:pPr>
            <w:r w:rsidRPr="007014B2">
              <w:rPr>
                <w:rFonts w:cs="Arial"/>
                <w:bCs/>
                <w:szCs w:val="18"/>
                <w:lang w:val="en-US"/>
              </w:rPr>
              <w:t>1,836</w:t>
            </w:r>
          </w:p>
        </w:tc>
        <w:tc>
          <w:tcPr>
            <w:tcW w:w="152" w:type="pct"/>
            <w:shd w:val="clear" w:color="auto" w:fill="FFFFFF"/>
            <w:vAlign w:val="bottom"/>
          </w:tcPr>
          <w:p w14:paraId="1E1E4901" w14:textId="77777777" w:rsidR="00C90DA4" w:rsidRPr="00D814E8" w:rsidRDefault="00C90DA4" w:rsidP="00C90DA4">
            <w:pPr>
              <w:jc w:val="right"/>
              <w:rPr>
                <w:rFonts w:cs="Arial"/>
                <w:bCs/>
                <w:szCs w:val="18"/>
                <w:lang w:val="en-US"/>
              </w:rPr>
            </w:pPr>
          </w:p>
        </w:tc>
        <w:tc>
          <w:tcPr>
            <w:tcW w:w="545" w:type="pct"/>
            <w:tcBorders>
              <w:top w:val="single" w:sz="4" w:space="0" w:color="auto"/>
              <w:bottom w:val="single" w:sz="4" w:space="0" w:color="auto"/>
            </w:tcBorders>
            <w:shd w:val="clear" w:color="auto" w:fill="FFFFFF"/>
            <w:vAlign w:val="bottom"/>
          </w:tcPr>
          <w:p w14:paraId="0AE35F5E" w14:textId="77777777" w:rsidR="00C90DA4" w:rsidRPr="00A84ED4" w:rsidRDefault="00C90DA4" w:rsidP="00C90DA4">
            <w:pPr>
              <w:jc w:val="right"/>
              <w:rPr>
                <w:rFonts w:cs="Arial"/>
                <w:bCs/>
                <w:szCs w:val="18"/>
                <w:lang w:val="en-US"/>
              </w:rPr>
            </w:pPr>
            <w:r w:rsidRPr="00A84ED4">
              <w:rPr>
                <w:rFonts w:cs="Arial"/>
                <w:bCs/>
                <w:szCs w:val="18"/>
                <w:lang w:val="en-US"/>
              </w:rPr>
              <w:t>1,836</w:t>
            </w:r>
          </w:p>
        </w:tc>
        <w:tc>
          <w:tcPr>
            <w:tcW w:w="152" w:type="pct"/>
            <w:shd w:val="clear" w:color="auto" w:fill="FFFFFF"/>
          </w:tcPr>
          <w:p w14:paraId="4FCE4EDF" w14:textId="77777777" w:rsidR="00C90DA4" w:rsidRDefault="00C90DA4" w:rsidP="00C90DA4">
            <w:pPr>
              <w:rPr>
                <w:rFonts w:cs="Arial"/>
                <w:bCs/>
                <w:szCs w:val="18"/>
                <w:lang w:val="en-US"/>
              </w:rPr>
            </w:pPr>
          </w:p>
        </w:tc>
      </w:tr>
      <w:tr w:rsidR="00C90DA4" w:rsidRPr="00C05614" w14:paraId="28411EF5" w14:textId="77777777" w:rsidTr="00F531AA">
        <w:trPr>
          <w:trHeight w:val="57"/>
        </w:trPr>
        <w:tc>
          <w:tcPr>
            <w:tcW w:w="2994" w:type="pct"/>
            <w:shd w:val="clear" w:color="auto" w:fill="FFFFFF"/>
            <w:noWrap/>
            <w:vAlign w:val="bottom"/>
          </w:tcPr>
          <w:p w14:paraId="05013F39" w14:textId="77777777" w:rsidR="00C90DA4" w:rsidRPr="00686994" w:rsidRDefault="00C90DA4" w:rsidP="00C90DA4">
            <w:pPr>
              <w:rPr>
                <w:rFonts w:cs="Arial"/>
                <w:b/>
                <w:bCs/>
                <w:szCs w:val="18"/>
                <w:lang w:val="en-US"/>
              </w:rPr>
            </w:pPr>
          </w:p>
        </w:tc>
        <w:tc>
          <w:tcPr>
            <w:tcW w:w="163" w:type="pct"/>
            <w:shd w:val="clear" w:color="auto" w:fill="FFFFFF"/>
            <w:noWrap/>
            <w:vAlign w:val="bottom"/>
          </w:tcPr>
          <w:p w14:paraId="1BE320D0" w14:textId="77777777" w:rsidR="00C90DA4" w:rsidRPr="00F33EB5" w:rsidRDefault="00C90DA4" w:rsidP="00C90DA4">
            <w:pPr>
              <w:jc w:val="center"/>
              <w:rPr>
                <w:rFonts w:cs="Arial"/>
                <w:szCs w:val="18"/>
                <w:lang w:val="en-US"/>
              </w:rPr>
            </w:pPr>
          </w:p>
        </w:tc>
        <w:tc>
          <w:tcPr>
            <w:tcW w:w="496" w:type="pct"/>
            <w:tcBorders>
              <w:top w:val="single" w:sz="4" w:space="0" w:color="auto"/>
            </w:tcBorders>
            <w:shd w:val="clear" w:color="auto" w:fill="FFFFFF"/>
            <w:vAlign w:val="bottom"/>
          </w:tcPr>
          <w:p w14:paraId="736E7A64" w14:textId="77777777" w:rsidR="00C90DA4" w:rsidRPr="00F33EB5" w:rsidRDefault="00C90DA4" w:rsidP="00C90DA4">
            <w:pPr>
              <w:jc w:val="right"/>
              <w:rPr>
                <w:rFonts w:cs="Arial"/>
                <w:b/>
                <w:bCs/>
                <w:szCs w:val="18"/>
                <w:lang w:val="en-US"/>
              </w:rPr>
            </w:pPr>
          </w:p>
        </w:tc>
        <w:tc>
          <w:tcPr>
            <w:tcW w:w="497" w:type="pct"/>
            <w:tcBorders>
              <w:top w:val="single" w:sz="4" w:space="0" w:color="auto"/>
            </w:tcBorders>
            <w:shd w:val="clear" w:color="auto" w:fill="FFFFFF"/>
            <w:noWrap/>
            <w:vAlign w:val="bottom"/>
          </w:tcPr>
          <w:p w14:paraId="705A3C52" w14:textId="77777777" w:rsidR="00C90DA4" w:rsidRPr="007014B2" w:rsidRDefault="00C90DA4" w:rsidP="00C90DA4">
            <w:pPr>
              <w:jc w:val="right"/>
              <w:rPr>
                <w:rFonts w:cs="Arial"/>
                <w:bCs/>
                <w:szCs w:val="18"/>
                <w:lang w:val="en-US"/>
              </w:rPr>
            </w:pPr>
          </w:p>
        </w:tc>
        <w:tc>
          <w:tcPr>
            <w:tcW w:w="152" w:type="pct"/>
            <w:shd w:val="clear" w:color="auto" w:fill="FFFFFF"/>
            <w:vAlign w:val="bottom"/>
          </w:tcPr>
          <w:p w14:paraId="50C90881" w14:textId="77777777" w:rsidR="00C90DA4" w:rsidRPr="00D814E8" w:rsidRDefault="00C90DA4" w:rsidP="00C90DA4">
            <w:pPr>
              <w:jc w:val="right"/>
              <w:rPr>
                <w:rFonts w:cs="Arial"/>
                <w:bCs/>
                <w:szCs w:val="18"/>
                <w:lang w:val="en-US"/>
              </w:rPr>
            </w:pPr>
          </w:p>
        </w:tc>
        <w:tc>
          <w:tcPr>
            <w:tcW w:w="545" w:type="pct"/>
            <w:tcBorders>
              <w:top w:val="single" w:sz="4" w:space="0" w:color="auto"/>
            </w:tcBorders>
            <w:shd w:val="clear" w:color="auto" w:fill="FFFFFF"/>
            <w:vAlign w:val="bottom"/>
          </w:tcPr>
          <w:p w14:paraId="4B581A4C" w14:textId="77777777" w:rsidR="00C90DA4" w:rsidRPr="00A84ED4" w:rsidRDefault="00C90DA4" w:rsidP="00C90DA4">
            <w:pPr>
              <w:jc w:val="right"/>
              <w:rPr>
                <w:rFonts w:cs="Arial"/>
                <w:bCs/>
                <w:szCs w:val="18"/>
                <w:lang w:val="en-US"/>
              </w:rPr>
            </w:pPr>
          </w:p>
        </w:tc>
        <w:tc>
          <w:tcPr>
            <w:tcW w:w="152" w:type="pct"/>
            <w:shd w:val="clear" w:color="auto" w:fill="FFFFFF"/>
          </w:tcPr>
          <w:p w14:paraId="0DF5C2DC" w14:textId="77777777" w:rsidR="00C90DA4" w:rsidRPr="00D814E8" w:rsidRDefault="00C90DA4" w:rsidP="00C90DA4">
            <w:pPr>
              <w:rPr>
                <w:rFonts w:cs="Arial"/>
                <w:bCs/>
                <w:szCs w:val="18"/>
                <w:lang w:val="en-US"/>
              </w:rPr>
            </w:pPr>
          </w:p>
        </w:tc>
      </w:tr>
      <w:tr w:rsidR="00C90DA4" w:rsidRPr="00C05614" w14:paraId="61D506D4" w14:textId="77777777" w:rsidTr="00F531AA">
        <w:trPr>
          <w:trHeight w:val="255"/>
        </w:trPr>
        <w:tc>
          <w:tcPr>
            <w:tcW w:w="2994" w:type="pct"/>
            <w:shd w:val="clear" w:color="auto" w:fill="FFFFFF"/>
            <w:noWrap/>
            <w:vAlign w:val="bottom"/>
          </w:tcPr>
          <w:p w14:paraId="654D56D9" w14:textId="77777777" w:rsidR="00C90DA4" w:rsidRPr="00686994" w:rsidRDefault="00C90DA4" w:rsidP="00C90DA4">
            <w:pPr>
              <w:rPr>
                <w:rFonts w:cs="Arial"/>
                <w:b/>
                <w:bCs/>
                <w:szCs w:val="18"/>
                <w:lang w:val="en-US"/>
              </w:rPr>
            </w:pPr>
            <w:r w:rsidRPr="00686994">
              <w:rPr>
                <w:rFonts w:cs="Arial"/>
                <w:b/>
                <w:bCs/>
                <w:szCs w:val="18"/>
                <w:lang w:val="en-US"/>
              </w:rPr>
              <w:t>RETAINED EARNINGS</w:t>
            </w:r>
            <w:r>
              <w:rPr>
                <w:rFonts w:cs="Arial"/>
                <w:b/>
                <w:bCs/>
                <w:szCs w:val="18"/>
                <w:lang w:val="en-US"/>
              </w:rPr>
              <w:t xml:space="preserve"> / (ACCUMULATED LOSSES)</w:t>
            </w:r>
          </w:p>
        </w:tc>
        <w:tc>
          <w:tcPr>
            <w:tcW w:w="163" w:type="pct"/>
            <w:shd w:val="clear" w:color="auto" w:fill="FFFFFF"/>
            <w:noWrap/>
            <w:vAlign w:val="bottom"/>
          </w:tcPr>
          <w:p w14:paraId="6309A55C" w14:textId="77777777" w:rsidR="00C90DA4" w:rsidRPr="00F33EB5" w:rsidRDefault="00C90DA4" w:rsidP="00C90DA4">
            <w:pPr>
              <w:jc w:val="center"/>
              <w:rPr>
                <w:rFonts w:cs="Arial"/>
                <w:szCs w:val="18"/>
                <w:lang w:val="en-US"/>
              </w:rPr>
            </w:pPr>
          </w:p>
        </w:tc>
        <w:tc>
          <w:tcPr>
            <w:tcW w:w="496" w:type="pct"/>
            <w:shd w:val="clear" w:color="auto" w:fill="FFFFFF"/>
            <w:vAlign w:val="bottom"/>
          </w:tcPr>
          <w:p w14:paraId="0419B529" w14:textId="77777777" w:rsidR="00C90DA4" w:rsidRPr="00F33EB5" w:rsidRDefault="00C90DA4" w:rsidP="00C90DA4">
            <w:pPr>
              <w:jc w:val="right"/>
              <w:rPr>
                <w:rFonts w:cs="Arial"/>
                <w:b/>
                <w:bCs/>
                <w:szCs w:val="18"/>
                <w:lang w:val="en-US"/>
              </w:rPr>
            </w:pPr>
          </w:p>
        </w:tc>
        <w:tc>
          <w:tcPr>
            <w:tcW w:w="497" w:type="pct"/>
            <w:shd w:val="clear" w:color="auto" w:fill="FFFFFF"/>
            <w:noWrap/>
            <w:vAlign w:val="bottom"/>
          </w:tcPr>
          <w:p w14:paraId="6947873C" w14:textId="77777777" w:rsidR="00C90DA4" w:rsidRPr="007014B2" w:rsidRDefault="00C90DA4" w:rsidP="00C90DA4">
            <w:pPr>
              <w:jc w:val="right"/>
              <w:rPr>
                <w:rFonts w:cs="Arial"/>
                <w:bCs/>
                <w:szCs w:val="18"/>
                <w:lang w:val="en-US"/>
              </w:rPr>
            </w:pPr>
          </w:p>
        </w:tc>
        <w:tc>
          <w:tcPr>
            <w:tcW w:w="152" w:type="pct"/>
            <w:shd w:val="clear" w:color="auto" w:fill="FFFFFF"/>
            <w:vAlign w:val="bottom"/>
          </w:tcPr>
          <w:p w14:paraId="781C027A" w14:textId="77777777" w:rsidR="00C90DA4" w:rsidRPr="00D814E8" w:rsidRDefault="00C90DA4" w:rsidP="00C90DA4">
            <w:pPr>
              <w:jc w:val="right"/>
              <w:rPr>
                <w:rFonts w:cs="Arial"/>
                <w:bCs/>
                <w:szCs w:val="18"/>
                <w:lang w:val="en-US"/>
              </w:rPr>
            </w:pPr>
          </w:p>
        </w:tc>
        <w:tc>
          <w:tcPr>
            <w:tcW w:w="545" w:type="pct"/>
            <w:shd w:val="clear" w:color="auto" w:fill="FFFFFF"/>
            <w:vAlign w:val="bottom"/>
          </w:tcPr>
          <w:p w14:paraId="659801EC" w14:textId="77777777" w:rsidR="00C90DA4" w:rsidRPr="00A84ED4" w:rsidRDefault="00C90DA4" w:rsidP="00C90DA4">
            <w:pPr>
              <w:jc w:val="right"/>
              <w:rPr>
                <w:rFonts w:cs="Arial"/>
                <w:bCs/>
                <w:szCs w:val="18"/>
                <w:lang w:val="en-US"/>
              </w:rPr>
            </w:pPr>
          </w:p>
        </w:tc>
        <w:tc>
          <w:tcPr>
            <w:tcW w:w="152" w:type="pct"/>
            <w:shd w:val="clear" w:color="auto" w:fill="FFFFFF"/>
          </w:tcPr>
          <w:p w14:paraId="138EA177" w14:textId="77777777" w:rsidR="00C90DA4" w:rsidRPr="00D814E8" w:rsidRDefault="00C90DA4" w:rsidP="00C90DA4">
            <w:pPr>
              <w:rPr>
                <w:rFonts w:cs="Arial"/>
                <w:bCs/>
                <w:szCs w:val="18"/>
                <w:lang w:val="en-US"/>
              </w:rPr>
            </w:pPr>
          </w:p>
        </w:tc>
      </w:tr>
      <w:tr w:rsidR="00C90DA4" w:rsidRPr="00C05614" w14:paraId="06328A3A" w14:textId="77777777" w:rsidTr="00F531AA">
        <w:trPr>
          <w:trHeight w:val="255"/>
        </w:trPr>
        <w:tc>
          <w:tcPr>
            <w:tcW w:w="2994" w:type="pct"/>
            <w:shd w:val="clear" w:color="auto" w:fill="FFFFFF"/>
            <w:noWrap/>
            <w:vAlign w:val="bottom"/>
          </w:tcPr>
          <w:p w14:paraId="4473E07C" w14:textId="77777777" w:rsidR="00C90DA4" w:rsidRPr="00686994" w:rsidRDefault="00C90DA4" w:rsidP="00C90DA4">
            <w:pPr>
              <w:rPr>
                <w:rFonts w:cs="Arial"/>
                <w:b/>
                <w:bCs/>
                <w:szCs w:val="18"/>
                <w:lang w:val="en-US"/>
              </w:rPr>
            </w:pPr>
            <w:r w:rsidRPr="00686994">
              <w:rPr>
                <w:rFonts w:cs="Arial"/>
                <w:b/>
                <w:bCs/>
                <w:szCs w:val="18"/>
                <w:lang w:val="en-US"/>
              </w:rPr>
              <w:t>Opening balance</w:t>
            </w:r>
          </w:p>
        </w:tc>
        <w:tc>
          <w:tcPr>
            <w:tcW w:w="163" w:type="pct"/>
            <w:shd w:val="clear" w:color="auto" w:fill="FFFFFF"/>
            <w:noWrap/>
            <w:vAlign w:val="bottom"/>
          </w:tcPr>
          <w:p w14:paraId="2C77DD59" w14:textId="77777777" w:rsidR="00C90DA4" w:rsidRPr="00F33EB5" w:rsidRDefault="00C90DA4" w:rsidP="00C90DA4">
            <w:pPr>
              <w:jc w:val="center"/>
              <w:rPr>
                <w:rFonts w:cs="Arial"/>
                <w:szCs w:val="18"/>
                <w:lang w:val="en-US"/>
              </w:rPr>
            </w:pPr>
          </w:p>
        </w:tc>
        <w:tc>
          <w:tcPr>
            <w:tcW w:w="496" w:type="pct"/>
            <w:shd w:val="clear" w:color="auto" w:fill="FFFFFF"/>
            <w:vAlign w:val="bottom"/>
          </w:tcPr>
          <w:p w14:paraId="0D73732E" w14:textId="77777777" w:rsidR="00C90DA4" w:rsidRPr="00F33EB5" w:rsidRDefault="00C90DA4" w:rsidP="00C90DA4">
            <w:pPr>
              <w:jc w:val="right"/>
              <w:rPr>
                <w:rFonts w:cs="Arial"/>
                <w:b/>
                <w:bCs/>
                <w:szCs w:val="18"/>
                <w:lang w:val="en-US"/>
              </w:rPr>
            </w:pPr>
            <w:r>
              <w:rPr>
                <w:rFonts w:cs="Arial"/>
                <w:b/>
                <w:bCs/>
                <w:szCs w:val="18"/>
                <w:lang w:val="en-US"/>
              </w:rPr>
              <w:t>585</w:t>
            </w:r>
          </w:p>
        </w:tc>
        <w:tc>
          <w:tcPr>
            <w:tcW w:w="497" w:type="pct"/>
            <w:shd w:val="clear" w:color="auto" w:fill="FFFFFF"/>
            <w:noWrap/>
            <w:vAlign w:val="bottom"/>
          </w:tcPr>
          <w:p w14:paraId="21166901" w14:textId="77777777" w:rsidR="00C90DA4" w:rsidRPr="007014B2" w:rsidRDefault="00C90DA4" w:rsidP="00C90DA4">
            <w:pPr>
              <w:jc w:val="right"/>
              <w:rPr>
                <w:rFonts w:cs="Arial"/>
                <w:bCs/>
                <w:szCs w:val="18"/>
                <w:lang w:val="en-US"/>
              </w:rPr>
            </w:pPr>
            <w:r w:rsidRPr="007014B2">
              <w:rPr>
                <w:rFonts w:cs="Arial"/>
                <w:bCs/>
                <w:szCs w:val="18"/>
                <w:lang w:val="en-US"/>
              </w:rPr>
              <w:t>(93)</w:t>
            </w:r>
          </w:p>
        </w:tc>
        <w:tc>
          <w:tcPr>
            <w:tcW w:w="152" w:type="pct"/>
            <w:shd w:val="clear" w:color="auto" w:fill="FFFFFF"/>
            <w:vAlign w:val="bottom"/>
          </w:tcPr>
          <w:p w14:paraId="73C7152A" w14:textId="77777777" w:rsidR="00C90DA4" w:rsidRPr="00D814E8" w:rsidRDefault="00C90DA4" w:rsidP="00C90DA4">
            <w:pPr>
              <w:jc w:val="right"/>
              <w:rPr>
                <w:rFonts w:cs="Arial"/>
                <w:bCs/>
                <w:szCs w:val="18"/>
                <w:lang w:val="en-US"/>
              </w:rPr>
            </w:pPr>
          </w:p>
        </w:tc>
        <w:tc>
          <w:tcPr>
            <w:tcW w:w="545" w:type="pct"/>
            <w:shd w:val="clear" w:color="auto" w:fill="FFFFFF"/>
            <w:vAlign w:val="bottom"/>
          </w:tcPr>
          <w:p w14:paraId="3783E93D" w14:textId="77777777" w:rsidR="00C90DA4" w:rsidRPr="00A84ED4" w:rsidRDefault="00C90DA4" w:rsidP="00C90DA4">
            <w:pPr>
              <w:jc w:val="right"/>
              <w:rPr>
                <w:rFonts w:cs="Arial"/>
                <w:bCs/>
                <w:szCs w:val="18"/>
                <w:lang w:val="en-US"/>
              </w:rPr>
            </w:pPr>
            <w:r w:rsidRPr="00A84ED4">
              <w:rPr>
                <w:rFonts w:cs="Arial"/>
                <w:bCs/>
                <w:szCs w:val="18"/>
                <w:lang w:val="en-US"/>
              </w:rPr>
              <w:t>53</w:t>
            </w:r>
          </w:p>
        </w:tc>
        <w:tc>
          <w:tcPr>
            <w:tcW w:w="152" w:type="pct"/>
            <w:shd w:val="clear" w:color="auto" w:fill="FFFFFF"/>
            <w:vAlign w:val="center"/>
          </w:tcPr>
          <w:p w14:paraId="5A97A219" w14:textId="77777777" w:rsidR="00C90DA4" w:rsidRDefault="00C90DA4" w:rsidP="00C90DA4">
            <w:pPr>
              <w:rPr>
                <w:rFonts w:cs="Arial"/>
                <w:bCs/>
                <w:szCs w:val="18"/>
                <w:lang w:val="en-US"/>
              </w:rPr>
            </w:pPr>
            <w:r w:rsidRPr="00B2117B">
              <w:rPr>
                <w:rFonts w:cs="Arial"/>
                <w:bCs/>
                <w:szCs w:val="18"/>
                <w:vertAlign w:val="superscript"/>
                <w:lang w:val="en-US"/>
              </w:rPr>
              <w:t>A</w:t>
            </w:r>
          </w:p>
        </w:tc>
      </w:tr>
      <w:tr w:rsidR="00C90DA4" w:rsidRPr="00C05614" w14:paraId="73E9BFDC" w14:textId="77777777" w:rsidTr="00F531AA">
        <w:trPr>
          <w:trHeight w:val="255"/>
        </w:trPr>
        <w:tc>
          <w:tcPr>
            <w:tcW w:w="2994" w:type="pct"/>
            <w:shd w:val="clear" w:color="auto" w:fill="FFFFFF"/>
            <w:noWrap/>
            <w:vAlign w:val="bottom"/>
          </w:tcPr>
          <w:p w14:paraId="5BED912F" w14:textId="77777777" w:rsidR="00C90DA4" w:rsidRPr="00686994" w:rsidRDefault="00C90DA4" w:rsidP="00C90DA4">
            <w:pPr>
              <w:rPr>
                <w:rFonts w:cs="Arial"/>
                <w:b/>
                <w:bCs/>
                <w:szCs w:val="18"/>
                <w:lang w:val="en-US"/>
              </w:rPr>
            </w:pPr>
            <w:r w:rsidRPr="00686994">
              <w:rPr>
                <w:rFonts w:cs="Arial"/>
                <w:b/>
                <w:bCs/>
                <w:szCs w:val="18"/>
                <w:lang w:val="en-US"/>
              </w:rPr>
              <w:t>Comprehensive income</w:t>
            </w:r>
          </w:p>
        </w:tc>
        <w:tc>
          <w:tcPr>
            <w:tcW w:w="163" w:type="pct"/>
            <w:shd w:val="clear" w:color="auto" w:fill="auto"/>
            <w:noWrap/>
            <w:vAlign w:val="bottom"/>
          </w:tcPr>
          <w:p w14:paraId="43E7A82B" w14:textId="77777777" w:rsidR="00C90DA4" w:rsidRPr="00F33EB5" w:rsidRDefault="00C90DA4" w:rsidP="00C90DA4">
            <w:pPr>
              <w:jc w:val="center"/>
              <w:rPr>
                <w:rFonts w:cs="Arial"/>
                <w:szCs w:val="18"/>
                <w:lang w:val="en-US"/>
              </w:rPr>
            </w:pPr>
          </w:p>
        </w:tc>
        <w:tc>
          <w:tcPr>
            <w:tcW w:w="496" w:type="pct"/>
            <w:vAlign w:val="bottom"/>
          </w:tcPr>
          <w:p w14:paraId="292B4946" w14:textId="77777777" w:rsidR="00C90DA4" w:rsidRPr="00F33EB5" w:rsidRDefault="00C90DA4" w:rsidP="00C90DA4">
            <w:pPr>
              <w:jc w:val="right"/>
              <w:rPr>
                <w:rFonts w:cs="Arial"/>
                <w:b/>
                <w:bCs/>
                <w:szCs w:val="18"/>
                <w:lang w:val="en-US"/>
              </w:rPr>
            </w:pPr>
          </w:p>
        </w:tc>
        <w:tc>
          <w:tcPr>
            <w:tcW w:w="497" w:type="pct"/>
            <w:shd w:val="clear" w:color="auto" w:fill="FFFFFF"/>
            <w:noWrap/>
            <w:vAlign w:val="bottom"/>
          </w:tcPr>
          <w:p w14:paraId="7CA6B920" w14:textId="77777777" w:rsidR="00C90DA4" w:rsidRPr="007014B2" w:rsidRDefault="00C90DA4" w:rsidP="00C90DA4">
            <w:pPr>
              <w:jc w:val="right"/>
              <w:rPr>
                <w:rFonts w:cs="Arial"/>
                <w:bCs/>
                <w:szCs w:val="18"/>
                <w:lang w:val="en-US"/>
              </w:rPr>
            </w:pPr>
          </w:p>
        </w:tc>
        <w:tc>
          <w:tcPr>
            <w:tcW w:w="152" w:type="pct"/>
            <w:shd w:val="clear" w:color="auto" w:fill="FFFFFF"/>
            <w:vAlign w:val="bottom"/>
          </w:tcPr>
          <w:p w14:paraId="2318F165" w14:textId="77777777" w:rsidR="00C90DA4" w:rsidRPr="00D814E8" w:rsidRDefault="00C90DA4" w:rsidP="00C90DA4">
            <w:pPr>
              <w:jc w:val="right"/>
              <w:rPr>
                <w:rFonts w:cs="Arial"/>
                <w:bCs/>
                <w:szCs w:val="18"/>
                <w:lang w:val="en-US"/>
              </w:rPr>
            </w:pPr>
          </w:p>
        </w:tc>
        <w:tc>
          <w:tcPr>
            <w:tcW w:w="545" w:type="pct"/>
            <w:shd w:val="clear" w:color="auto" w:fill="FFFFFF"/>
            <w:vAlign w:val="bottom"/>
          </w:tcPr>
          <w:p w14:paraId="0EF17168" w14:textId="77777777" w:rsidR="00C90DA4" w:rsidRPr="00A84ED4" w:rsidRDefault="00C90DA4" w:rsidP="00C90DA4">
            <w:pPr>
              <w:jc w:val="right"/>
              <w:rPr>
                <w:rFonts w:cs="Arial"/>
                <w:bCs/>
                <w:szCs w:val="18"/>
                <w:lang w:val="en-US"/>
              </w:rPr>
            </w:pPr>
          </w:p>
        </w:tc>
        <w:tc>
          <w:tcPr>
            <w:tcW w:w="152" w:type="pct"/>
            <w:shd w:val="clear" w:color="auto" w:fill="FFFFFF"/>
          </w:tcPr>
          <w:p w14:paraId="5F9861B8" w14:textId="77777777" w:rsidR="00C90DA4" w:rsidRPr="00D814E8" w:rsidRDefault="00C90DA4" w:rsidP="00C90DA4">
            <w:pPr>
              <w:rPr>
                <w:rFonts w:cs="Arial"/>
                <w:bCs/>
                <w:szCs w:val="18"/>
                <w:lang w:val="en-US"/>
              </w:rPr>
            </w:pPr>
          </w:p>
        </w:tc>
      </w:tr>
      <w:tr w:rsidR="00C90DA4" w:rsidRPr="00C05614" w14:paraId="4B9457F3" w14:textId="77777777" w:rsidTr="00F531AA">
        <w:trPr>
          <w:trHeight w:val="255"/>
        </w:trPr>
        <w:tc>
          <w:tcPr>
            <w:tcW w:w="2994" w:type="pct"/>
            <w:shd w:val="clear" w:color="auto" w:fill="FFFFFF"/>
            <w:noWrap/>
            <w:vAlign w:val="bottom"/>
          </w:tcPr>
          <w:p w14:paraId="697249F7" w14:textId="77777777" w:rsidR="00C90DA4" w:rsidRPr="00686994" w:rsidRDefault="00C90DA4" w:rsidP="00C90DA4">
            <w:pPr>
              <w:rPr>
                <w:rFonts w:cs="Arial"/>
                <w:szCs w:val="18"/>
                <w:lang w:val="en-US"/>
              </w:rPr>
            </w:pPr>
            <w:r w:rsidRPr="00686994">
              <w:rPr>
                <w:rFonts w:cs="Arial"/>
                <w:szCs w:val="18"/>
                <w:lang w:val="en-US"/>
              </w:rPr>
              <w:t xml:space="preserve">Surplus </w:t>
            </w:r>
            <w:r>
              <w:rPr>
                <w:rFonts w:cs="Arial"/>
                <w:szCs w:val="18"/>
                <w:lang w:val="en-US"/>
              </w:rPr>
              <w:t xml:space="preserve">/ </w:t>
            </w:r>
            <w:r w:rsidRPr="00686994">
              <w:rPr>
                <w:rFonts w:cs="Arial"/>
                <w:szCs w:val="18"/>
                <w:lang w:val="en-US"/>
              </w:rPr>
              <w:t>(Deficit) for the period</w:t>
            </w:r>
          </w:p>
        </w:tc>
        <w:tc>
          <w:tcPr>
            <w:tcW w:w="163" w:type="pct"/>
            <w:shd w:val="clear" w:color="auto" w:fill="FFFFFF"/>
            <w:noWrap/>
            <w:vAlign w:val="bottom"/>
          </w:tcPr>
          <w:p w14:paraId="608C6A10" w14:textId="77777777" w:rsidR="00C90DA4" w:rsidRPr="00F33EB5" w:rsidRDefault="00C90DA4" w:rsidP="00C90DA4">
            <w:pPr>
              <w:jc w:val="center"/>
              <w:rPr>
                <w:rFonts w:cs="Arial"/>
                <w:szCs w:val="18"/>
                <w:lang w:val="en-US"/>
              </w:rPr>
            </w:pPr>
          </w:p>
        </w:tc>
        <w:tc>
          <w:tcPr>
            <w:tcW w:w="496" w:type="pct"/>
            <w:tcBorders>
              <w:bottom w:val="single" w:sz="4" w:space="0" w:color="auto"/>
            </w:tcBorders>
            <w:shd w:val="clear" w:color="auto" w:fill="FFFFFF"/>
            <w:vAlign w:val="bottom"/>
          </w:tcPr>
          <w:p w14:paraId="05CDBFC8" w14:textId="77777777" w:rsidR="00C90DA4" w:rsidRPr="00F33EB5" w:rsidRDefault="00C90DA4" w:rsidP="00C90DA4">
            <w:pPr>
              <w:jc w:val="right"/>
              <w:rPr>
                <w:rFonts w:cs="Arial"/>
                <w:b/>
                <w:bCs/>
                <w:szCs w:val="18"/>
                <w:lang w:val="en-US"/>
              </w:rPr>
            </w:pPr>
            <w:r>
              <w:rPr>
                <w:rFonts w:cs="Arial"/>
                <w:b/>
                <w:bCs/>
                <w:szCs w:val="18"/>
                <w:lang w:val="en-US"/>
              </w:rPr>
              <w:t>288</w:t>
            </w:r>
          </w:p>
        </w:tc>
        <w:tc>
          <w:tcPr>
            <w:tcW w:w="497" w:type="pct"/>
            <w:tcBorders>
              <w:bottom w:val="single" w:sz="4" w:space="0" w:color="auto"/>
            </w:tcBorders>
            <w:shd w:val="clear" w:color="auto" w:fill="FFFFFF"/>
            <w:noWrap/>
            <w:vAlign w:val="bottom"/>
          </w:tcPr>
          <w:p w14:paraId="41431893" w14:textId="77777777" w:rsidR="00C90DA4" w:rsidRPr="007014B2" w:rsidRDefault="00C90DA4" w:rsidP="00C90DA4">
            <w:pPr>
              <w:jc w:val="right"/>
              <w:rPr>
                <w:rFonts w:cs="Arial"/>
                <w:bCs/>
                <w:szCs w:val="18"/>
                <w:lang w:val="en-US"/>
              </w:rPr>
            </w:pPr>
            <w:r w:rsidRPr="007014B2">
              <w:rPr>
                <w:rFonts w:cs="Arial"/>
                <w:bCs/>
                <w:szCs w:val="18"/>
                <w:lang w:val="en-US"/>
              </w:rPr>
              <w:t>678</w:t>
            </w:r>
          </w:p>
        </w:tc>
        <w:tc>
          <w:tcPr>
            <w:tcW w:w="152" w:type="pct"/>
            <w:shd w:val="clear" w:color="auto" w:fill="FFFFFF"/>
            <w:vAlign w:val="bottom"/>
          </w:tcPr>
          <w:p w14:paraId="46128CBA" w14:textId="77777777" w:rsidR="00C90DA4" w:rsidRPr="00D814E8" w:rsidRDefault="00C90DA4" w:rsidP="00C90DA4">
            <w:pPr>
              <w:jc w:val="right"/>
              <w:rPr>
                <w:rFonts w:cs="Arial"/>
                <w:bCs/>
                <w:szCs w:val="18"/>
                <w:lang w:val="en-US"/>
              </w:rPr>
            </w:pPr>
          </w:p>
        </w:tc>
        <w:tc>
          <w:tcPr>
            <w:tcW w:w="545" w:type="pct"/>
            <w:tcBorders>
              <w:bottom w:val="single" w:sz="4" w:space="0" w:color="auto"/>
            </w:tcBorders>
            <w:shd w:val="clear" w:color="auto" w:fill="FFFFFF"/>
            <w:vAlign w:val="bottom"/>
          </w:tcPr>
          <w:p w14:paraId="50ADA6CB" w14:textId="77777777" w:rsidR="00C90DA4" w:rsidRPr="00A84ED4" w:rsidRDefault="00C90DA4" w:rsidP="00C90DA4">
            <w:pPr>
              <w:jc w:val="right"/>
              <w:rPr>
                <w:rFonts w:cs="Arial"/>
                <w:bCs/>
                <w:szCs w:val="18"/>
                <w:lang w:val="en-US"/>
              </w:rPr>
            </w:pPr>
            <w:r w:rsidRPr="00A84ED4">
              <w:rPr>
                <w:rFonts w:cs="Arial"/>
                <w:bCs/>
                <w:szCs w:val="18"/>
                <w:lang w:val="en-US"/>
              </w:rPr>
              <w:t>-</w:t>
            </w:r>
          </w:p>
        </w:tc>
        <w:tc>
          <w:tcPr>
            <w:tcW w:w="152" w:type="pct"/>
            <w:shd w:val="clear" w:color="auto" w:fill="FFFFFF"/>
            <w:vAlign w:val="center"/>
          </w:tcPr>
          <w:p w14:paraId="30E490D0" w14:textId="77777777" w:rsidR="00C90DA4" w:rsidRDefault="00C90DA4" w:rsidP="00C90DA4">
            <w:pPr>
              <w:rPr>
                <w:rFonts w:cs="Arial"/>
                <w:bCs/>
                <w:szCs w:val="18"/>
                <w:lang w:val="en-US"/>
              </w:rPr>
            </w:pPr>
            <w:r w:rsidRPr="001D019D">
              <w:rPr>
                <w:rFonts w:cs="Arial"/>
                <w:bCs/>
                <w:szCs w:val="18"/>
                <w:vertAlign w:val="superscript"/>
                <w:lang w:val="en-US"/>
              </w:rPr>
              <w:t>A</w:t>
            </w:r>
          </w:p>
        </w:tc>
      </w:tr>
      <w:tr w:rsidR="00C90DA4" w:rsidRPr="00C05614" w14:paraId="0488E755" w14:textId="77777777" w:rsidTr="00F531AA">
        <w:trPr>
          <w:trHeight w:val="255"/>
        </w:trPr>
        <w:tc>
          <w:tcPr>
            <w:tcW w:w="2994" w:type="pct"/>
            <w:shd w:val="clear" w:color="auto" w:fill="FFFFFF"/>
            <w:noWrap/>
            <w:vAlign w:val="bottom"/>
          </w:tcPr>
          <w:p w14:paraId="14FEDDB2" w14:textId="77777777" w:rsidR="00C90DA4" w:rsidRPr="00686994" w:rsidRDefault="00C90DA4" w:rsidP="00C90DA4">
            <w:pPr>
              <w:rPr>
                <w:rFonts w:cs="Arial"/>
                <w:b/>
                <w:bCs/>
                <w:szCs w:val="18"/>
                <w:lang w:val="en-US"/>
              </w:rPr>
            </w:pPr>
            <w:r w:rsidRPr="00686994">
              <w:rPr>
                <w:rFonts w:cs="Arial"/>
                <w:b/>
                <w:bCs/>
                <w:szCs w:val="18"/>
                <w:lang w:val="en-US"/>
              </w:rPr>
              <w:t>Total comprehensive income</w:t>
            </w:r>
          </w:p>
        </w:tc>
        <w:tc>
          <w:tcPr>
            <w:tcW w:w="163" w:type="pct"/>
            <w:shd w:val="clear" w:color="auto" w:fill="FFFFFF"/>
            <w:noWrap/>
            <w:vAlign w:val="bottom"/>
          </w:tcPr>
          <w:p w14:paraId="108BB608" w14:textId="77777777" w:rsidR="00C90DA4" w:rsidRPr="00F33EB5" w:rsidRDefault="00C90DA4" w:rsidP="00C90DA4">
            <w:pPr>
              <w:jc w:val="center"/>
              <w:rPr>
                <w:rFonts w:cs="Arial"/>
                <w:szCs w:val="18"/>
                <w:lang w:val="en-US"/>
              </w:rPr>
            </w:pPr>
          </w:p>
        </w:tc>
        <w:tc>
          <w:tcPr>
            <w:tcW w:w="496" w:type="pct"/>
            <w:tcBorders>
              <w:top w:val="single" w:sz="4" w:space="0" w:color="auto"/>
              <w:bottom w:val="single" w:sz="4" w:space="0" w:color="auto"/>
            </w:tcBorders>
            <w:shd w:val="clear" w:color="auto" w:fill="FFFFFF"/>
            <w:vAlign w:val="bottom"/>
          </w:tcPr>
          <w:p w14:paraId="5AD30581" w14:textId="77777777" w:rsidR="00C90DA4" w:rsidRPr="00F34187" w:rsidRDefault="00C90DA4" w:rsidP="00C90DA4">
            <w:pPr>
              <w:jc w:val="right"/>
              <w:rPr>
                <w:rFonts w:cs="Arial"/>
                <w:b/>
                <w:bCs/>
                <w:szCs w:val="18"/>
                <w:highlight w:val="yellow"/>
                <w:lang w:val="en-US"/>
              </w:rPr>
            </w:pPr>
            <w:r>
              <w:rPr>
                <w:rFonts w:cs="Arial"/>
                <w:b/>
                <w:bCs/>
                <w:szCs w:val="18"/>
                <w:lang w:val="en-US"/>
              </w:rPr>
              <w:t>873</w:t>
            </w:r>
          </w:p>
        </w:tc>
        <w:tc>
          <w:tcPr>
            <w:tcW w:w="497" w:type="pct"/>
            <w:tcBorders>
              <w:top w:val="single" w:sz="4" w:space="0" w:color="auto"/>
              <w:bottom w:val="single" w:sz="4" w:space="0" w:color="auto"/>
            </w:tcBorders>
            <w:shd w:val="clear" w:color="auto" w:fill="FFFFFF"/>
            <w:noWrap/>
            <w:vAlign w:val="bottom"/>
          </w:tcPr>
          <w:p w14:paraId="6C871355" w14:textId="77777777" w:rsidR="00C90DA4" w:rsidRPr="007014B2" w:rsidRDefault="00C90DA4" w:rsidP="00C90DA4">
            <w:pPr>
              <w:jc w:val="right"/>
              <w:rPr>
                <w:rFonts w:cs="Arial"/>
                <w:bCs/>
                <w:szCs w:val="18"/>
                <w:highlight w:val="yellow"/>
                <w:lang w:val="en-US"/>
              </w:rPr>
            </w:pPr>
            <w:r w:rsidRPr="007014B2">
              <w:rPr>
                <w:rFonts w:cs="Arial"/>
                <w:bCs/>
                <w:szCs w:val="18"/>
                <w:lang w:val="en-US"/>
              </w:rPr>
              <w:t>585</w:t>
            </w:r>
          </w:p>
        </w:tc>
        <w:tc>
          <w:tcPr>
            <w:tcW w:w="152" w:type="pct"/>
            <w:shd w:val="clear" w:color="auto" w:fill="FFFFFF"/>
            <w:vAlign w:val="bottom"/>
          </w:tcPr>
          <w:p w14:paraId="14FD8C2F" w14:textId="77777777" w:rsidR="00C90DA4" w:rsidRPr="00D814E8" w:rsidRDefault="00C90DA4" w:rsidP="00C90DA4">
            <w:pPr>
              <w:jc w:val="right"/>
              <w:rPr>
                <w:rFonts w:cs="Arial"/>
                <w:bCs/>
                <w:szCs w:val="18"/>
                <w:lang w:val="en-US"/>
              </w:rPr>
            </w:pPr>
          </w:p>
        </w:tc>
        <w:tc>
          <w:tcPr>
            <w:tcW w:w="545" w:type="pct"/>
            <w:tcBorders>
              <w:top w:val="single" w:sz="4" w:space="0" w:color="auto"/>
              <w:bottom w:val="single" w:sz="4" w:space="0" w:color="auto"/>
            </w:tcBorders>
            <w:shd w:val="clear" w:color="auto" w:fill="FFFFFF"/>
            <w:vAlign w:val="bottom"/>
          </w:tcPr>
          <w:p w14:paraId="5DF7948E" w14:textId="77777777" w:rsidR="00C90DA4" w:rsidRPr="00A84ED4" w:rsidRDefault="00C90DA4" w:rsidP="00C90DA4">
            <w:pPr>
              <w:jc w:val="right"/>
              <w:rPr>
                <w:rFonts w:cs="Arial"/>
                <w:bCs/>
                <w:szCs w:val="18"/>
                <w:lang w:val="en-US"/>
              </w:rPr>
            </w:pPr>
            <w:r w:rsidRPr="00A84ED4">
              <w:rPr>
                <w:rFonts w:cs="Arial"/>
                <w:bCs/>
                <w:szCs w:val="18"/>
                <w:lang w:val="en-US"/>
              </w:rPr>
              <w:t>53</w:t>
            </w:r>
            <w:r w:rsidRPr="00A84ED4">
              <w:rPr>
                <w:rFonts w:cs="Arial"/>
                <w:bCs/>
                <w:szCs w:val="18"/>
                <w:vertAlign w:val="superscript"/>
                <w:lang w:val="en-US"/>
              </w:rPr>
              <w:t xml:space="preserve"> </w:t>
            </w:r>
          </w:p>
        </w:tc>
        <w:tc>
          <w:tcPr>
            <w:tcW w:w="152" w:type="pct"/>
            <w:shd w:val="clear" w:color="auto" w:fill="FFFFFF"/>
            <w:vAlign w:val="center"/>
          </w:tcPr>
          <w:p w14:paraId="7E0AEF3D" w14:textId="77777777" w:rsidR="00C90DA4" w:rsidRDefault="00C90DA4" w:rsidP="00C90DA4">
            <w:pPr>
              <w:rPr>
                <w:rFonts w:cs="Arial"/>
                <w:bCs/>
                <w:szCs w:val="18"/>
                <w:lang w:val="en-US"/>
              </w:rPr>
            </w:pPr>
            <w:r w:rsidRPr="00B2117B">
              <w:rPr>
                <w:rFonts w:cs="Arial"/>
                <w:bCs/>
                <w:szCs w:val="18"/>
                <w:vertAlign w:val="superscript"/>
                <w:lang w:val="en-US"/>
              </w:rPr>
              <w:t>A</w:t>
            </w:r>
          </w:p>
        </w:tc>
      </w:tr>
      <w:tr w:rsidR="00C90DA4" w:rsidRPr="00C05614" w14:paraId="08A1621B" w14:textId="77777777" w:rsidTr="00F531AA">
        <w:trPr>
          <w:trHeight w:val="255"/>
        </w:trPr>
        <w:tc>
          <w:tcPr>
            <w:tcW w:w="2994" w:type="pct"/>
            <w:shd w:val="clear" w:color="auto" w:fill="FFFFFF"/>
            <w:noWrap/>
            <w:vAlign w:val="bottom"/>
          </w:tcPr>
          <w:p w14:paraId="131F5836" w14:textId="77777777" w:rsidR="00C90DA4" w:rsidRPr="00686994" w:rsidRDefault="00C90DA4" w:rsidP="00C90DA4">
            <w:pPr>
              <w:rPr>
                <w:rFonts w:cs="Arial"/>
                <w:b/>
                <w:bCs/>
                <w:szCs w:val="18"/>
                <w:lang w:val="en-US"/>
              </w:rPr>
            </w:pPr>
            <w:r w:rsidRPr="00686994">
              <w:rPr>
                <w:rFonts w:cs="Arial"/>
                <w:b/>
                <w:bCs/>
                <w:szCs w:val="18"/>
                <w:lang w:val="en-US"/>
              </w:rPr>
              <w:t>Closing balance as at 30 June</w:t>
            </w:r>
          </w:p>
        </w:tc>
        <w:tc>
          <w:tcPr>
            <w:tcW w:w="163" w:type="pct"/>
            <w:shd w:val="clear" w:color="auto" w:fill="FFFFFF"/>
            <w:noWrap/>
            <w:vAlign w:val="bottom"/>
          </w:tcPr>
          <w:p w14:paraId="3487C92A" w14:textId="77777777" w:rsidR="00C90DA4" w:rsidRPr="00F33EB5" w:rsidRDefault="00C90DA4" w:rsidP="00C90DA4">
            <w:pPr>
              <w:jc w:val="center"/>
              <w:rPr>
                <w:rFonts w:cs="Arial"/>
                <w:szCs w:val="18"/>
                <w:lang w:val="en-US"/>
              </w:rPr>
            </w:pPr>
          </w:p>
        </w:tc>
        <w:tc>
          <w:tcPr>
            <w:tcW w:w="496" w:type="pct"/>
            <w:tcBorders>
              <w:top w:val="single" w:sz="4" w:space="0" w:color="auto"/>
              <w:bottom w:val="single" w:sz="4" w:space="0" w:color="auto"/>
            </w:tcBorders>
            <w:shd w:val="clear" w:color="auto" w:fill="auto"/>
            <w:vAlign w:val="bottom"/>
          </w:tcPr>
          <w:p w14:paraId="583D16EA" w14:textId="77777777" w:rsidR="00C90DA4" w:rsidRPr="00F34187" w:rsidRDefault="00C90DA4" w:rsidP="00C90DA4">
            <w:pPr>
              <w:jc w:val="right"/>
              <w:rPr>
                <w:rFonts w:cs="Arial"/>
                <w:b/>
                <w:bCs/>
                <w:szCs w:val="18"/>
                <w:highlight w:val="yellow"/>
                <w:lang w:val="en-US"/>
              </w:rPr>
            </w:pPr>
            <w:r>
              <w:rPr>
                <w:rFonts w:cs="Arial"/>
                <w:b/>
                <w:bCs/>
                <w:szCs w:val="18"/>
                <w:lang w:val="en-US"/>
              </w:rPr>
              <w:t>873</w:t>
            </w:r>
          </w:p>
        </w:tc>
        <w:tc>
          <w:tcPr>
            <w:tcW w:w="497" w:type="pct"/>
            <w:tcBorders>
              <w:top w:val="single" w:sz="4" w:space="0" w:color="auto"/>
              <w:bottom w:val="single" w:sz="4" w:space="0" w:color="auto"/>
            </w:tcBorders>
            <w:shd w:val="clear" w:color="auto" w:fill="FFFFFF"/>
            <w:noWrap/>
            <w:vAlign w:val="bottom"/>
          </w:tcPr>
          <w:p w14:paraId="3AA4F3DD" w14:textId="77777777" w:rsidR="00C90DA4" w:rsidRPr="007014B2" w:rsidRDefault="00C90DA4" w:rsidP="00C90DA4">
            <w:pPr>
              <w:jc w:val="right"/>
              <w:rPr>
                <w:rFonts w:cs="Arial"/>
                <w:bCs/>
                <w:szCs w:val="18"/>
                <w:highlight w:val="yellow"/>
                <w:lang w:val="en-US"/>
              </w:rPr>
            </w:pPr>
            <w:r w:rsidRPr="007014B2">
              <w:rPr>
                <w:rFonts w:cs="Arial"/>
                <w:bCs/>
                <w:szCs w:val="18"/>
                <w:lang w:val="en-US"/>
              </w:rPr>
              <w:t>585</w:t>
            </w:r>
          </w:p>
        </w:tc>
        <w:tc>
          <w:tcPr>
            <w:tcW w:w="152" w:type="pct"/>
            <w:shd w:val="clear" w:color="auto" w:fill="FFFFFF"/>
            <w:vAlign w:val="bottom"/>
          </w:tcPr>
          <w:p w14:paraId="652C2B7E" w14:textId="77777777" w:rsidR="00C90DA4" w:rsidRPr="00D814E8" w:rsidRDefault="00C90DA4" w:rsidP="00C90DA4">
            <w:pPr>
              <w:jc w:val="right"/>
              <w:rPr>
                <w:rFonts w:cs="Arial"/>
                <w:bCs/>
                <w:szCs w:val="18"/>
                <w:lang w:val="en-US"/>
              </w:rPr>
            </w:pPr>
          </w:p>
        </w:tc>
        <w:tc>
          <w:tcPr>
            <w:tcW w:w="545" w:type="pct"/>
            <w:tcBorders>
              <w:top w:val="single" w:sz="4" w:space="0" w:color="auto"/>
              <w:bottom w:val="single" w:sz="4" w:space="0" w:color="auto"/>
            </w:tcBorders>
            <w:shd w:val="clear" w:color="auto" w:fill="FFFFFF"/>
            <w:vAlign w:val="bottom"/>
          </w:tcPr>
          <w:p w14:paraId="6A8D622E" w14:textId="77777777" w:rsidR="00C90DA4" w:rsidRPr="00A84ED4" w:rsidRDefault="00C90DA4" w:rsidP="00C90DA4">
            <w:pPr>
              <w:jc w:val="right"/>
              <w:rPr>
                <w:rFonts w:cs="Arial"/>
                <w:bCs/>
                <w:szCs w:val="18"/>
                <w:lang w:val="en-US"/>
              </w:rPr>
            </w:pPr>
            <w:r w:rsidRPr="00A84ED4">
              <w:rPr>
                <w:rFonts w:cs="Arial"/>
                <w:bCs/>
                <w:szCs w:val="18"/>
                <w:lang w:val="en-US"/>
              </w:rPr>
              <w:t>53</w:t>
            </w:r>
            <w:r w:rsidRPr="00A84ED4">
              <w:rPr>
                <w:rFonts w:cs="Arial"/>
                <w:bCs/>
                <w:szCs w:val="18"/>
                <w:vertAlign w:val="superscript"/>
                <w:lang w:val="en-US"/>
              </w:rPr>
              <w:t xml:space="preserve"> </w:t>
            </w:r>
          </w:p>
        </w:tc>
        <w:tc>
          <w:tcPr>
            <w:tcW w:w="152" w:type="pct"/>
            <w:shd w:val="clear" w:color="auto" w:fill="FFFFFF"/>
            <w:vAlign w:val="center"/>
          </w:tcPr>
          <w:p w14:paraId="4CFC5DA5" w14:textId="77777777" w:rsidR="00C90DA4" w:rsidRDefault="00C90DA4" w:rsidP="00C90DA4">
            <w:pPr>
              <w:rPr>
                <w:rFonts w:cs="Arial"/>
                <w:bCs/>
                <w:szCs w:val="18"/>
                <w:lang w:val="en-US"/>
              </w:rPr>
            </w:pPr>
            <w:r w:rsidRPr="00B2117B">
              <w:rPr>
                <w:rFonts w:cs="Arial"/>
                <w:bCs/>
                <w:szCs w:val="18"/>
                <w:vertAlign w:val="superscript"/>
                <w:lang w:val="en-US"/>
              </w:rPr>
              <w:t>A</w:t>
            </w:r>
          </w:p>
        </w:tc>
      </w:tr>
      <w:tr w:rsidR="00C90DA4" w:rsidRPr="00C05614" w14:paraId="43BB7138" w14:textId="77777777" w:rsidTr="00F531AA">
        <w:trPr>
          <w:trHeight w:val="57"/>
        </w:trPr>
        <w:tc>
          <w:tcPr>
            <w:tcW w:w="2994" w:type="pct"/>
            <w:shd w:val="clear" w:color="auto" w:fill="FFFFFF"/>
            <w:noWrap/>
            <w:vAlign w:val="bottom"/>
          </w:tcPr>
          <w:p w14:paraId="323D4D26" w14:textId="77777777" w:rsidR="00C90DA4" w:rsidRPr="00686994" w:rsidRDefault="00C90DA4" w:rsidP="00C90DA4">
            <w:pPr>
              <w:rPr>
                <w:rFonts w:cs="Arial"/>
                <w:b/>
                <w:bCs/>
                <w:szCs w:val="18"/>
                <w:lang w:val="en-US"/>
              </w:rPr>
            </w:pPr>
          </w:p>
        </w:tc>
        <w:tc>
          <w:tcPr>
            <w:tcW w:w="163" w:type="pct"/>
            <w:shd w:val="clear" w:color="auto" w:fill="FFFFFF"/>
            <w:noWrap/>
            <w:vAlign w:val="bottom"/>
          </w:tcPr>
          <w:p w14:paraId="74C56C24" w14:textId="77777777" w:rsidR="00C90DA4" w:rsidRPr="00F33EB5" w:rsidRDefault="00C90DA4" w:rsidP="00C90DA4">
            <w:pPr>
              <w:jc w:val="center"/>
              <w:rPr>
                <w:rFonts w:cs="Arial"/>
                <w:szCs w:val="18"/>
                <w:lang w:val="en-US"/>
              </w:rPr>
            </w:pPr>
          </w:p>
        </w:tc>
        <w:tc>
          <w:tcPr>
            <w:tcW w:w="496" w:type="pct"/>
            <w:tcBorders>
              <w:top w:val="single" w:sz="4" w:space="0" w:color="auto"/>
            </w:tcBorders>
            <w:shd w:val="clear" w:color="auto" w:fill="FFFFFF"/>
            <w:vAlign w:val="bottom"/>
          </w:tcPr>
          <w:p w14:paraId="54D289E7" w14:textId="77777777" w:rsidR="00C90DA4" w:rsidRPr="00F33EB5" w:rsidRDefault="00C90DA4" w:rsidP="00C90DA4">
            <w:pPr>
              <w:jc w:val="right"/>
              <w:rPr>
                <w:rFonts w:cs="Arial"/>
                <w:szCs w:val="18"/>
                <w:lang w:val="en-US"/>
              </w:rPr>
            </w:pPr>
          </w:p>
        </w:tc>
        <w:tc>
          <w:tcPr>
            <w:tcW w:w="497" w:type="pct"/>
            <w:tcBorders>
              <w:top w:val="single" w:sz="4" w:space="0" w:color="auto"/>
            </w:tcBorders>
            <w:shd w:val="clear" w:color="auto" w:fill="FFFFFF"/>
            <w:noWrap/>
            <w:vAlign w:val="bottom"/>
          </w:tcPr>
          <w:p w14:paraId="2C014141" w14:textId="77777777" w:rsidR="00C90DA4" w:rsidRPr="007014B2" w:rsidRDefault="00C90DA4" w:rsidP="00C90DA4">
            <w:pPr>
              <w:jc w:val="right"/>
              <w:rPr>
                <w:rFonts w:cs="Arial"/>
                <w:szCs w:val="18"/>
                <w:lang w:val="en-US"/>
              </w:rPr>
            </w:pPr>
          </w:p>
        </w:tc>
        <w:tc>
          <w:tcPr>
            <w:tcW w:w="152" w:type="pct"/>
            <w:shd w:val="clear" w:color="auto" w:fill="FFFFFF"/>
            <w:vAlign w:val="bottom"/>
          </w:tcPr>
          <w:p w14:paraId="47312864" w14:textId="77777777" w:rsidR="00C90DA4" w:rsidRPr="00D814E8" w:rsidRDefault="00C90DA4" w:rsidP="00C90DA4">
            <w:pPr>
              <w:jc w:val="right"/>
              <w:rPr>
                <w:rFonts w:cs="Arial"/>
                <w:szCs w:val="18"/>
                <w:lang w:val="en-US"/>
              </w:rPr>
            </w:pPr>
          </w:p>
        </w:tc>
        <w:tc>
          <w:tcPr>
            <w:tcW w:w="545" w:type="pct"/>
            <w:tcBorders>
              <w:top w:val="single" w:sz="4" w:space="0" w:color="auto"/>
            </w:tcBorders>
            <w:shd w:val="clear" w:color="auto" w:fill="FFFFFF"/>
            <w:vAlign w:val="bottom"/>
          </w:tcPr>
          <w:p w14:paraId="43E74CA2" w14:textId="77777777" w:rsidR="00C90DA4" w:rsidRPr="00A84ED4" w:rsidRDefault="00C90DA4" w:rsidP="00C90DA4">
            <w:pPr>
              <w:jc w:val="right"/>
              <w:rPr>
                <w:rFonts w:cs="Arial"/>
                <w:szCs w:val="18"/>
                <w:lang w:val="en-US"/>
              </w:rPr>
            </w:pPr>
          </w:p>
        </w:tc>
        <w:tc>
          <w:tcPr>
            <w:tcW w:w="152" w:type="pct"/>
            <w:shd w:val="clear" w:color="auto" w:fill="FFFFFF"/>
          </w:tcPr>
          <w:p w14:paraId="1B73C78F" w14:textId="77777777" w:rsidR="00C90DA4" w:rsidRPr="00D814E8" w:rsidRDefault="00C90DA4" w:rsidP="00C90DA4">
            <w:pPr>
              <w:rPr>
                <w:rFonts w:cs="Arial"/>
                <w:szCs w:val="18"/>
                <w:lang w:val="en-US"/>
              </w:rPr>
            </w:pPr>
          </w:p>
        </w:tc>
      </w:tr>
      <w:tr w:rsidR="00C90DA4" w:rsidRPr="00C05614" w14:paraId="031133D2" w14:textId="77777777" w:rsidTr="00F531AA">
        <w:trPr>
          <w:trHeight w:val="255"/>
        </w:trPr>
        <w:tc>
          <w:tcPr>
            <w:tcW w:w="2994" w:type="pct"/>
            <w:shd w:val="clear" w:color="auto" w:fill="FFFFFF"/>
            <w:noWrap/>
            <w:vAlign w:val="bottom"/>
          </w:tcPr>
          <w:p w14:paraId="08F35AFF" w14:textId="77777777" w:rsidR="00C90DA4" w:rsidRPr="00686994" w:rsidRDefault="00C90DA4" w:rsidP="00C90DA4">
            <w:pPr>
              <w:rPr>
                <w:rFonts w:cs="Arial"/>
                <w:szCs w:val="18"/>
                <w:lang w:val="en-US"/>
              </w:rPr>
            </w:pPr>
            <w:r w:rsidRPr="00686994">
              <w:rPr>
                <w:rFonts w:cs="Arial"/>
                <w:b/>
                <w:bCs/>
                <w:szCs w:val="18"/>
                <w:lang w:val="en-US"/>
              </w:rPr>
              <w:t>ASSET REVALUATION RESERVE</w:t>
            </w:r>
          </w:p>
        </w:tc>
        <w:tc>
          <w:tcPr>
            <w:tcW w:w="163" w:type="pct"/>
            <w:shd w:val="clear" w:color="auto" w:fill="FFFFFF"/>
            <w:noWrap/>
            <w:vAlign w:val="bottom"/>
          </w:tcPr>
          <w:p w14:paraId="7AF6A074" w14:textId="77777777" w:rsidR="00C90DA4" w:rsidRPr="00F33EB5" w:rsidRDefault="00C90DA4" w:rsidP="00C90DA4">
            <w:pPr>
              <w:jc w:val="center"/>
              <w:rPr>
                <w:rFonts w:cs="Arial"/>
                <w:szCs w:val="18"/>
                <w:lang w:val="en-US"/>
              </w:rPr>
            </w:pPr>
          </w:p>
        </w:tc>
        <w:tc>
          <w:tcPr>
            <w:tcW w:w="496" w:type="pct"/>
            <w:shd w:val="clear" w:color="auto" w:fill="FFFFFF"/>
            <w:vAlign w:val="bottom"/>
          </w:tcPr>
          <w:p w14:paraId="62768EB4" w14:textId="77777777" w:rsidR="00C90DA4" w:rsidRPr="00F33EB5" w:rsidRDefault="00C90DA4" w:rsidP="00C90DA4">
            <w:pPr>
              <w:jc w:val="right"/>
              <w:rPr>
                <w:rFonts w:cs="Arial"/>
                <w:b/>
                <w:bCs/>
                <w:szCs w:val="18"/>
                <w:lang w:val="en-US"/>
              </w:rPr>
            </w:pPr>
          </w:p>
        </w:tc>
        <w:tc>
          <w:tcPr>
            <w:tcW w:w="497" w:type="pct"/>
            <w:shd w:val="clear" w:color="auto" w:fill="FFFFFF"/>
            <w:noWrap/>
            <w:vAlign w:val="bottom"/>
          </w:tcPr>
          <w:p w14:paraId="794D864C" w14:textId="77777777" w:rsidR="00C90DA4" w:rsidRPr="007014B2" w:rsidRDefault="00C90DA4" w:rsidP="00C90DA4">
            <w:pPr>
              <w:jc w:val="right"/>
              <w:rPr>
                <w:rFonts w:cs="Arial"/>
                <w:bCs/>
                <w:szCs w:val="18"/>
                <w:lang w:val="en-US"/>
              </w:rPr>
            </w:pPr>
          </w:p>
        </w:tc>
        <w:tc>
          <w:tcPr>
            <w:tcW w:w="152" w:type="pct"/>
            <w:shd w:val="clear" w:color="auto" w:fill="FFFFFF"/>
            <w:vAlign w:val="bottom"/>
          </w:tcPr>
          <w:p w14:paraId="2E261BEE" w14:textId="77777777" w:rsidR="00C90DA4" w:rsidRPr="00D814E8" w:rsidRDefault="00C90DA4" w:rsidP="00C90DA4">
            <w:pPr>
              <w:jc w:val="right"/>
              <w:rPr>
                <w:rFonts w:cs="Arial"/>
                <w:bCs/>
                <w:szCs w:val="18"/>
                <w:lang w:val="en-US"/>
              </w:rPr>
            </w:pPr>
          </w:p>
        </w:tc>
        <w:tc>
          <w:tcPr>
            <w:tcW w:w="545" w:type="pct"/>
            <w:shd w:val="clear" w:color="auto" w:fill="FFFFFF"/>
            <w:vAlign w:val="bottom"/>
          </w:tcPr>
          <w:p w14:paraId="070A38EE" w14:textId="77777777" w:rsidR="00C90DA4" w:rsidRPr="00A84ED4" w:rsidRDefault="00C90DA4" w:rsidP="00C90DA4">
            <w:pPr>
              <w:jc w:val="right"/>
              <w:rPr>
                <w:rFonts w:cs="Arial"/>
                <w:bCs/>
                <w:szCs w:val="18"/>
                <w:lang w:val="en-US"/>
              </w:rPr>
            </w:pPr>
          </w:p>
        </w:tc>
        <w:tc>
          <w:tcPr>
            <w:tcW w:w="152" w:type="pct"/>
            <w:shd w:val="clear" w:color="auto" w:fill="FFFFFF"/>
          </w:tcPr>
          <w:p w14:paraId="2E36B02B" w14:textId="77777777" w:rsidR="00C90DA4" w:rsidRPr="00D814E8" w:rsidRDefault="00C90DA4" w:rsidP="00C90DA4">
            <w:pPr>
              <w:rPr>
                <w:rFonts w:cs="Arial"/>
                <w:bCs/>
                <w:szCs w:val="18"/>
                <w:lang w:val="en-US"/>
              </w:rPr>
            </w:pPr>
          </w:p>
        </w:tc>
      </w:tr>
      <w:tr w:rsidR="00C90DA4" w:rsidRPr="00C05614" w14:paraId="79B16688" w14:textId="77777777" w:rsidTr="00F531AA">
        <w:trPr>
          <w:trHeight w:val="255"/>
        </w:trPr>
        <w:tc>
          <w:tcPr>
            <w:tcW w:w="2994" w:type="pct"/>
            <w:shd w:val="clear" w:color="auto" w:fill="FFFFFF"/>
            <w:noWrap/>
            <w:vAlign w:val="bottom"/>
          </w:tcPr>
          <w:p w14:paraId="45FDBCBB" w14:textId="77777777" w:rsidR="00C90DA4" w:rsidRPr="00686994" w:rsidRDefault="00C90DA4" w:rsidP="00C90DA4">
            <w:pPr>
              <w:rPr>
                <w:rFonts w:cs="Arial"/>
                <w:b/>
                <w:bCs/>
                <w:szCs w:val="18"/>
                <w:lang w:val="en-US"/>
              </w:rPr>
            </w:pPr>
            <w:r w:rsidRPr="00686994">
              <w:rPr>
                <w:rFonts w:cs="Arial"/>
                <w:b/>
                <w:bCs/>
                <w:szCs w:val="18"/>
                <w:lang w:val="en-US"/>
              </w:rPr>
              <w:t>Opening balance</w:t>
            </w:r>
          </w:p>
        </w:tc>
        <w:tc>
          <w:tcPr>
            <w:tcW w:w="163" w:type="pct"/>
            <w:shd w:val="clear" w:color="auto" w:fill="FFFFFF"/>
            <w:noWrap/>
            <w:vAlign w:val="bottom"/>
          </w:tcPr>
          <w:p w14:paraId="323E29AE" w14:textId="77777777" w:rsidR="00C90DA4" w:rsidRPr="00F33EB5" w:rsidRDefault="00C90DA4" w:rsidP="00C90DA4">
            <w:pPr>
              <w:jc w:val="center"/>
              <w:rPr>
                <w:rFonts w:cs="Arial"/>
                <w:szCs w:val="18"/>
                <w:lang w:val="en-US"/>
              </w:rPr>
            </w:pPr>
          </w:p>
        </w:tc>
        <w:tc>
          <w:tcPr>
            <w:tcW w:w="496" w:type="pct"/>
            <w:shd w:val="clear" w:color="auto" w:fill="FFFFFF"/>
            <w:vAlign w:val="bottom"/>
          </w:tcPr>
          <w:p w14:paraId="15D1B73B" w14:textId="77777777" w:rsidR="00C90DA4" w:rsidRPr="00F33EB5" w:rsidRDefault="00C90DA4" w:rsidP="00C90DA4">
            <w:pPr>
              <w:jc w:val="right"/>
              <w:rPr>
                <w:rFonts w:cs="Arial"/>
                <w:b/>
                <w:bCs/>
                <w:szCs w:val="18"/>
                <w:lang w:val="en-US"/>
              </w:rPr>
            </w:pPr>
            <w:r>
              <w:rPr>
                <w:rFonts w:cs="Arial"/>
                <w:b/>
                <w:bCs/>
                <w:szCs w:val="18"/>
                <w:lang w:val="en-US"/>
              </w:rPr>
              <w:t>5</w:t>
            </w:r>
          </w:p>
        </w:tc>
        <w:tc>
          <w:tcPr>
            <w:tcW w:w="497" w:type="pct"/>
            <w:shd w:val="clear" w:color="auto" w:fill="FFFFFF"/>
            <w:noWrap/>
            <w:vAlign w:val="bottom"/>
          </w:tcPr>
          <w:p w14:paraId="296EFCB2" w14:textId="77777777" w:rsidR="00C90DA4" w:rsidRPr="007014B2" w:rsidRDefault="00C90DA4" w:rsidP="00C90DA4">
            <w:pPr>
              <w:jc w:val="right"/>
              <w:rPr>
                <w:rFonts w:cs="Arial"/>
                <w:bCs/>
                <w:szCs w:val="18"/>
                <w:lang w:val="en-US"/>
              </w:rPr>
            </w:pPr>
            <w:r w:rsidRPr="007014B2">
              <w:rPr>
                <w:rFonts w:cs="Arial"/>
                <w:bCs/>
                <w:szCs w:val="18"/>
                <w:lang w:val="en-US"/>
              </w:rPr>
              <w:t>5</w:t>
            </w:r>
          </w:p>
        </w:tc>
        <w:tc>
          <w:tcPr>
            <w:tcW w:w="152" w:type="pct"/>
            <w:shd w:val="clear" w:color="auto" w:fill="FFFFFF"/>
            <w:vAlign w:val="bottom"/>
          </w:tcPr>
          <w:p w14:paraId="21E0FD3A" w14:textId="77777777" w:rsidR="00C90DA4" w:rsidRPr="00D814E8" w:rsidRDefault="00C90DA4" w:rsidP="00C90DA4">
            <w:pPr>
              <w:jc w:val="right"/>
              <w:rPr>
                <w:rFonts w:cs="Arial"/>
                <w:bCs/>
                <w:szCs w:val="18"/>
                <w:lang w:val="en-US"/>
              </w:rPr>
            </w:pPr>
          </w:p>
        </w:tc>
        <w:tc>
          <w:tcPr>
            <w:tcW w:w="545" w:type="pct"/>
            <w:shd w:val="clear" w:color="auto" w:fill="FFFFFF"/>
            <w:vAlign w:val="bottom"/>
          </w:tcPr>
          <w:p w14:paraId="4F5F5543" w14:textId="77777777" w:rsidR="00C90DA4" w:rsidRPr="00A84ED4" w:rsidRDefault="00C90DA4" w:rsidP="00C90DA4">
            <w:pPr>
              <w:jc w:val="right"/>
              <w:rPr>
                <w:rFonts w:cs="Arial"/>
                <w:bCs/>
                <w:szCs w:val="18"/>
                <w:lang w:val="en-US"/>
              </w:rPr>
            </w:pPr>
            <w:r w:rsidRPr="00A84ED4">
              <w:rPr>
                <w:rFonts w:cs="Arial"/>
                <w:bCs/>
                <w:szCs w:val="18"/>
                <w:lang w:val="en-US"/>
              </w:rPr>
              <w:t>5</w:t>
            </w:r>
          </w:p>
        </w:tc>
        <w:tc>
          <w:tcPr>
            <w:tcW w:w="152" w:type="pct"/>
            <w:shd w:val="clear" w:color="auto" w:fill="FFFFFF"/>
          </w:tcPr>
          <w:p w14:paraId="1756D837" w14:textId="77777777" w:rsidR="00C90DA4" w:rsidRDefault="00C90DA4" w:rsidP="00C90DA4">
            <w:pPr>
              <w:rPr>
                <w:rFonts w:cs="Arial"/>
                <w:bCs/>
                <w:szCs w:val="18"/>
                <w:lang w:val="en-US"/>
              </w:rPr>
            </w:pPr>
          </w:p>
        </w:tc>
      </w:tr>
      <w:tr w:rsidR="00C90DA4" w:rsidRPr="00C05614" w14:paraId="41338D0C" w14:textId="77777777" w:rsidTr="00F531AA">
        <w:trPr>
          <w:trHeight w:val="255"/>
        </w:trPr>
        <w:tc>
          <w:tcPr>
            <w:tcW w:w="2994" w:type="pct"/>
            <w:shd w:val="clear" w:color="auto" w:fill="FFFFFF"/>
            <w:noWrap/>
            <w:vAlign w:val="bottom"/>
          </w:tcPr>
          <w:p w14:paraId="25B76439" w14:textId="77777777" w:rsidR="00C90DA4" w:rsidRPr="00686994" w:rsidRDefault="00C90DA4" w:rsidP="00C90DA4">
            <w:pPr>
              <w:rPr>
                <w:rFonts w:cs="Arial"/>
                <w:b/>
                <w:bCs/>
                <w:szCs w:val="18"/>
                <w:lang w:val="en-US"/>
              </w:rPr>
            </w:pPr>
            <w:r w:rsidRPr="00686994">
              <w:rPr>
                <w:rFonts w:cs="Arial"/>
                <w:b/>
                <w:bCs/>
                <w:szCs w:val="18"/>
                <w:lang w:val="en-US"/>
              </w:rPr>
              <w:t>Total comprehensive income</w:t>
            </w:r>
          </w:p>
        </w:tc>
        <w:tc>
          <w:tcPr>
            <w:tcW w:w="163" w:type="pct"/>
            <w:shd w:val="clear" w:color="auto" w:fill="FFFFFF"/>
            <w:noWrap/>
            <w:vAlign w:val="bottom"/>
          </w:tcPr>
          <w:p w14:paraId="078C9914" w14:textId="77777777" w:rsidR="00C90DA4" w:rsidRPr="00F33EB5" w:rsidRDefault="00C90DA4" w:rsidP="00C90DA4">
            <w:pPr>
              <w:jc w:val="center"/>
              <w:rPr>
                <w:rFonts w:cs="Arial"/>
                <w:szCs w:val="18"/>
                <w:lang w:val="en-US"/>
              </w:rPr>
            </w:pPr>
          </w:p>
        </w:tc>
        <w:tc>
          <w:tcPr>
            <w:tcW w:w="496" w:type="pct"/>
            <w:tcBorders>
              <w:top w:val="single" w:sz="4" w:space="0" w:color="auto"/>
              <w:bottom w:val="single" w:sz="4" w:space="0" w:color="auto"/>
            </w:tcBorders>
            <w:shd w:val="clear" w:color="auto" w:fill="FFFFFF"/>
            <w:vAlign w:val="bottom"/>
          </w:tcPr>
          <w:p w14:paraId="37D95AD9" w14:textId="77777777" w:rsidR="00C90DA4" w:rsidRPr="001D019D" w:rsidRDefault="00C90DA4" w:rsidP="00C90DA4">
            <w:pPr>
              <w:jc w:val="right"/>
              <w:rPr>
                <w:rFonts w:cs="Arial"/>
                <w:b/>
                <w:szCs w:val="18"/>
                <w:lang w:val="en-US"/>
              </w:rPr>
            </w:pPr>
            <w:r>
              <w:rPr>
                <w:rFonts w:cs="Arial"/>
                <w:b/>
                <w:szCs w:val="18"/>
                <w:lang w:val="en-US"/>
              </w:rPr>
              <w:t>5</w:t>
            </w:r>
          </w:p>
        </w:tc>
        <w:tc>
          <w:tcPr>
            <w:tcW w:w="497" w:type="pct"/>
            <w:tcBorders>
              <w:top w:val="single" w:sz="4" w:space="0" w:color="auto"/>
              <w:bottom w:val="single" w:sz="4" w:space="0" w:color="auto"/>
            </w:tcBorders>
            <w:shd w:val="clear" w:color="auto" w:fill="FFFFFF"/>
            <w:noWrap/>
            <w:vAlign w:val="bottom"/>
          </w:tcPr>
          <w:p w14:paraId="287F14B8" w14:textId="77777777" w:rsidR="00C90DA4" w:rsidRPr="007014B2" w:rsidRDefault="00C90DA4" w:rsidP="00C90DA4">
            <w:pPr>
              <w:jc w:val="right"/>
              <w:rPr>
                <w:rFonts w:cs="Arial"/>
                <w:szCs w:val="18"/>
                <w:lang w:val="en-US"/>
              </w:rPr>
            </w:pPr>
            <w:r w:rsidRPr="007014B2">
              <w:rPr>
                <w:rFonts w:cs="Arial"/>
                <w:szCs w:val="18"/>
                <w:lang w:val="en-US"/>
              </w:rPr>
              <w:t>5</w:t>
            </w:r>
          </w:p>
        </w:tc>
        <w:tc>
          <w:tcPr>
            <w:tcW w:w="152" w:type="pct"/>
            <w:shd w:val="clear" w:color="auto" w:fill="FFFFFF"/>
            <w:vAlign w:val="bottom"/>
          </w:tcPr>
          <w:p w14:paraId="2E4AA12D" w14:textId="77777777" w:rsidR="00C90DA4" w:rsidRPr="00F33EB5" w:rsidRDefault="00C90DA4" w:rsidP="00C90DA4">
            <w:pPr>
              <w:jc w:val="right"/>
              <w:rPr>
                <w:rFonts w:cs="Arial"/>
                <w:szCs w:val="18"/>
                <w:lang w:val="en-US"/>
              </w:rPr>
            </w:pPr>
          </w:p>
        </w:tc>
        <w:tc>
          <w:tcPr>
            <w:tcW w:w="545" w:type="pct"/>
            <w:tcBorders>
              <w:top w:val="single" w:sz="4" w:space="0" w:color="auto"/>
              <w:bottom w:val="single" w:sz="4" w:space="0" w:color="auto"/>
            </w:tcBorders>
            <w:shd w:val="clear" w:color="auto" w:fill="FFFFFF"/>
            <w:vAlign w:val="bottom"/>
          </w:tcPr>
          <w:p w14:paraId="0015F605" w14:textId="77777777" w:rsidR="00C90DA4" w:rsidRPr="00A84ED4" w:rsidRDefault="00C90DA4" w:rsidP="00C90DA4">
            <w:pPr>
              <w:jc w:val="right"/>
              <w:rPr>
                <w:rFonts w:cs="Arial"/>
                <w:szCs w:val="18"/>
                <w:lang w:val="en-US"/>
              </w:rPr>
            </w:pPr>
            <w:r w:rsidRPr="00A84ED4">
              <w:rPr>
                <w:rFonts w:cs="Arial"/>
                <w:szCs w:val="18"/>
                <w:lang w:val="en-US"/>
              </w:rPr>
              <w:t>-</w:t>
            </w:r>
          </w:p>
        </w:tc>
        <w:tc>
          <w:tcPr>
            <w:tcW w:w="152" w:type="pct"/>
            <w:shd w:val="clear" w:color="auto" w:fill="FFFFFF"/>
          </w:tcPr>
          <w:p w14:paraId="658BD9E8" w14:textId="77777777" w:rsidR="00C90DA4" w:rsidRDefault="00C90DA4" w:rsidP="00C90DA4">
            <w:pPr>
              <w:rPr>
                <w:rFonts w:cs="Arial"/>
                <w:szCs w:val="18"/>
                <w:lang w:val="en-US"/>
              </w:rPr>
            </w:pPr>
          </w:p>
        </w:tc>
      </w:tr>
      <w:tr w:rsidR="00C90DA4" w:rsidRPr="00C05614" w14:paraId="32691BE2" w14:textId="77777777" w:rsidTr="00F531AA">
        <w:trPr>
          <w:trHeight w:val="255"/>
        </w:trPr>
        <w:tc>
          <w:tcPr>
            <w:tcW w:w="2994" w:type="pct"/>
            <w:shd w:val="clear" w:color="auto" w:fill="FFFFFF"/>
            <w:noWrap/>
            <w:vAlign w:val="bottom"/>
          </w:tcPr>
          <w:p w14:paraId="71B6DED2" w14:textId="77777777" w:rsidR="00C90DA4" w:rsidRPr="00686994" w:rsidRDefault="00C90DA4" w:rsidP="00C90DA4">
            <w:pPr>
              <w:rPr>
                <w:rFonts w:cs="Arial"/>
                <w:b/>
                <w:bCs/>
                <w:szCs w:val="18"/>
                <w:lang w:val="en-US"/>
              </w:rPr>
            </w:pPr>
            <w:r w:rsidRPr="00686994">
              <w:rPr>
                <w:rFonts w:cs="Arial"/>
                <w:b/>
                <w:bCs/>
                <w:szCs w:val="18"/>
                <w:lang w:val="en-US"/>
              </w:rPr>
              <w:t>Closing balance as at 30 June</w:t>
            </w:r>
          </w:p>
        </w:tc>
        <w:tc>
          <w:tcPr>
            <w:tcW w:w="163" w:type="pct"/>
            <w:shd w:val="clear" w:color="auto" w:fill="FFFFFF"/>
            <w:noWrap/>
            <w:vAlign w:val="bottom"/>
          </w:tcPr>
          <w:p w14:paraId="0F8F19D9" w14:textId="77777777" w:rsidR="00C90DA4" w:rsidRPr="00F33EB5" w:rsidRDefault="00C90DA4" w:rsidP="00C90DA4">
            <w:pPr>
              <w:jc w:val="center"/>
              <w:rPr>
                <w:rFonts w:cs="Arial"/>
                <w:szCs w:val="18"/>
                <w:lang w:val="en-US"/>
              </w:rPr>
            </w:pPr>
          </w:p>
        </w:tc>
        <w:tc>
          <w:tcPr>
            <w:tcW w:w="496" w:type="pct"/>
            <w:tcBorders>
              <w:top w:val="single" w:sz="4" w:space="0" w:color="auto"/>
              <w:bottom w:val="single" w:sz="4" w:space="0" w:color="auto"/>
            </w:tcBorders>
            <w:shd w:val="clear" w:color="auto" w:fill="FFFFFF"/>
            <w:vAlign w:val="bottom"/>
          </w:tcPr>
          <w:p w14:paraId="7FDF6189" w14:textId="77777777" w:rsidR="00C90DA4" w:rsidRPr="00F43282" w:rsidRDefault="00C90DA4" w:rsidP="00C90DA4">
            <w:pPr>
              <w:jc w:val="right"/>
              <w:rPr>
                <w:rFonts w:cs="Arial"/>
                <w:b/>
                <w:szCs w:val="18"/>
                <w:lang w:val="en-US"/>
              </w:rPr>
            </w:pPr>
            <w:r>
              <w:rPr>
                <w:rFonts w:cs="Arial"/>
                <w:b/>
                <w:szCs w:val="18"/>
                <w:lang w:val="en-US"/>
              </w:rPr>
              <w:t>5</w:t>
            </w:r>
          </w:p>
        </w:tc>
        <w:tc>
          <w:tcPr>
            <w:tcW w:w="497" w:type="pct"/>
            <w:tcBorders>
              <w:top w:val="single" w:sz="4" w:space="0" w:color="auto"/>
              <w:bottom w:val="single" w:sz="4" w:space="0" w:color="auto"/>
            </w:tcBorders>
            <w:shd w:val="clear" w:color="auto" w:fill="FFFFFF"/>
            <w:noWrap/>
            <w:vAlign w:val="bottom"/>
          </w:tcPr>
          <w:p w14:paraId="37ADBE74" w14:textId="77777777" w:rsidR="00C90DA4" w:rsidRPr="007014B2" w:rsidRDefault="00C90DA4" w:rsidP="00C90DA4">
            <w:pPr>
              <w:jc w:val="right"/>
              <w:rPr>
                <w:rFonts w:cs="Arial"/>
                <w:szCs w:val="18"/>
                <w:lang w:val="en-US"/>
              </w:rPr>
            </w:pPr>
            <w:r w:rsidRPr="007014B2">
              <w:rPr>
                <w:rFonts w:cs="Arial"/>
                <w:szCs w:val="18"/>
                <w:lang w:val="en-US"/>
              </w:rPr>
              <w:t>5</w:t>
            </w:r>
          </w:p>
        </w:tc>
        <w:tc>
          <w:tcPr>
            <w:tcW w:w="152" w:type="pct"/>
            <w:shd w:val="clear" w:color="auto" w:fill="FFFFFF"/>
            <w:vAlign w:val="bottom"/>
          </w:tcPr>
          <w:p w14:paraId="1F704162" w14:textId="77777777" w:rsidR="00C90DA4" w:rsidRPr="00F33EB5" w:rsidRDefault="00C90DA4" w:rsidP="00C90DA4">
            <w:pPr>
              <w:jc w:val="right"/>
              <w:rPr>
                <w:rFonts w:cs="Arial"/>
                <w:szCs w:val="18"/>
                <w:lang w:val="en-US"/>
              </w:rPr>
            </w:pPr>
          </w:p>
        </w:tc>
        <w:tc>
          <w:tcPr>
            <w:tcW w:w="545" w:type="pct"/>
            <w:tcBorders>
              <w:top w:val="single" w:sz="4" w:space="0" w:color="auto"/>
              <w:bottom w:val="single" w:sz="4" w:space="0" w:color="auto"/>
            </w:tcBorders>
            <w:shd w:val="clear" w:color="auto" w:fill="FFFFFF"/>
            <w:vAlign w:val="bottom"/>
          </w:tcPr>
          <w:p w14:paraId="30890CE4" w14:textId="77777777" w:rsidR="00C90DA4" w:rsidRPr="00A84ED4" w:rsidRDefault="00C90DA4" w:rsidP="00C90DA4">
            <w:pPr>
              <w:jc w:val="right"/>
              <w:rPr>
                <w:rFonts w:cs="Arial"/>
                <w:szCs w:val="18"/>
                <w:lang w:val="en-US"/>
              </w:rPr>
            </w:pPr>
            <w:r w:rsidRPr="00A84ED4">
              <w:rPr>
                <w:rFonts w:cs="Arial"/>
                <w:szCs w:val="18"/>
                <w:lang w:val="en-US"/>
              </w:rPr>
              <w:t>5</w:t>
            </w:r>
          </w:p>
        </w:tc>
        <w:tc>
          <w:tcPr>
            <w:tcW w:w="152" w:type="pct"/>
            <w:shd w:val="clear" w:color="auto" w:fill="FFFFFF"/>
          </w:tcPr>
          <w:p w14:paraId="14C05AD3" w14:textId="77777777" w:rsidR="00C90DA4" w:rsidRDefault="00C90DA4" w:rsidP="00C90DA4">
            <w:pPr>
              <w:rPr>
                <w:rFonts w:cs="Arial"/>
                <w:szCs w:val="18"/>
                <w:lang w:val="en-US"/>
              </w:rPr>
            </w:pPr>
          </w:p>
        </w:tc>
      </w:tr>
    </w:tbl>
    <w:tbl>
      <w:tblPr>
        <w:tblpPr w:leftFromText="180" w:rightFromText="180" w:vertAnchor="text" w:horzAnchor="margin" w:tblpY="1"/>
        <w:tblW w:w="4736" w:type="pct"/>
        <w:tblLayout w:type="fixed"/>
        <w:tblLook w:val="0000" w:firstRow="0" w:lastRow="0" w:firstColumn="0" w:lastColumn="0" w:noHBand="0" w:noVBand="0"/>
        <w:tblCaption w:val="Statement of Changes in Equity"/>
      </w:tblPr>
      <w:tblGrid>
        <w:gridCol w:w="4796"/>
        <w:gridCol w:w="241"/>
        <w:gridCol w:w="821"/>
        <w:gridCol w:w="832"/>
        <w:gridCol w:w="241"/>
        <w:gridCol w:w="750"/>
        <w:gridCol w:w="121"/>
        <w:gridCol w:w="122"/>
        <w:gridCol w:w="122"/>
      </w:tblGrid>
      <w:tr w:rsidR="00C90DA4" w:rsidRPr="00C05614" w14:paraId="571982D5" w14:textId="77777777" w:rsidTr="00F531AA">
        <w:trPr>
          <w:trHeight w:val="255"/>
        </w:trPr>
        <w:tc>
          <w:tcPr>
            <w:tcW w:w="2980" w:type="pct"/>
            <w:shd w:val="clear" w:color="auto" w:fill="FFFFFF"/>
            <w:noWrap/>
            <w:vAlign w:val="bottom"/>
          </w:tcPr>
          <w:p w14:paraId="055F6EAB" w14:textId="77777777" w:rsidR="00C90DA4" w:rsidRDefault="00C90DA4" w:rsidP="00C90DA4">
            <w:pPr>
              <w:rPr>
                <w:rFonts w:cs="Arial"/>
                <w:b/>
                <w:bCs/>
                <w:szCs w:val="18"/>
                <w:lang w:val="en-US"/>
              </w:rPr>
            </w:pPr>
          </w:p>
        </w:tc>
        <w:tc>
          <w:tcPr>
            <w:tcW w:w="150" w:type="pct"/>
            <w:shd w:val="clear" w:color="auto" w:fill="FFFFFF"/>
            <w:noWrap/>
            <w:vAlign w:val="bottom"/>
          </w:tcPr>
          <w:p w14:paraId="39254720" w14:textId="77777777" w:rsidR="00C90DA4" w:rsidRPr="00F33EB5" w:rsidRDefault="00C90DA4" w:rsidP="00C90DA4">
            <w:pPr>
              <w:jc w:val="center"/>
              <w:rPr>
                <w:rFonts w:cs="Arial"/>
                <w:szCs w:val="18"/>
                <w:lang w:val="en-US"/>
              </w:rPr>
            </w:pPr>
          </w:p>
        </w:tc>
        <w:tc>
          <w:tcPr>
            <w:tcW w:w="510" w:type="pct"/>
            <w:shd w:val="clear" w:color="auto" w:fill="FFFFFF"/>
            <w:vAlign w:val="bottom"/>
          </w:tcPr>
          <w:p w14:paraId="66266885" w14:textId="77777777" w:rsidR="00C90DA4" w:rsidRPr="00F33EB5" w:rsidRDefault="00C90DA4" w:rsidP="00C90DA4">
            <w:pPr>
              <w:rPr>
                <w:rFonts w:cs="Arial"/>
                <w:szCs w:val="18"/>
                <w:lang w:val="en-US"/>
              </w:rPr>
            </w:pPr>
          </w:p>
        </w:tc>
        <w:tc>
          <w:tcPr>
            <w:tcW w:w="517" w:type="pct"/>
            <w:shd w:val="clear" w:color="auto" w:fill="FFFFFF"/>
            <w:noWrap/>
            <w:vAlign w:val="bottom"/>
          </w:tcPr>
          <w:p w14:paraId="6A84A49C" w14:textId="77777777" w:rsidR="00C90DA4" w:rsidRPr="00F33EB5" w:rsidRDefault="00C90DA4" w:rsidP="00C90DA4">
            <w:pPr>
              <w:rPr>
                <w:rFonts w:cs="Arial"/>
                <w:szCs w:val="18"/>
                <w:lang w:val="en-US"/>
              </w:rPr>
            </w:pPr>
          </w:p>
        </w:tc>
        <w:tc>
          <w:tcPr>
            <w:tcW w:w="150" w:type="pct"/>
            <w:shd w:val="clear" w:color="auto" w:fill="FFFFFF"/>
          </w:tcPr>
          <w:p w14:paraId="7DABDCE5" w14:textId="77777777" w:rsidR="00C90DA4" w:rsidRPr="00F33EB5" w:rsidRDefault="00C90DA4" w:rsidP="00C90DA4">
            <w:pPr>
              <w:rPr>
                <w:rFonts w:cs="Arial"/>
                <w:szCs w:val="18"/>
                <w:lang w:val="en-US"/>
              </w:rPr>
            </w:pPr>
          </w:p>
        </w:tc>
        <w:tc>
          <w:tcPr>
            <w:tcW w:w="541" w:type="pct"/>
            <w:gridSpan w:val="2"/>
            <w:shd w:val="clear" w:color="auto" w:fill="FFFFFF"/>
          </w:tcPr>
          <w:p w14:paraId="4546306E" w14:textId="77777777" w:rsidR="00C90DA4" w:rsidRPr="00A84ED4" w:rsidRDefault="00C90DA4" w:rsidP="00C90DA4">
            <w:pPr>
              <w:rPr>
                <w:rFonts w:cs="Arial"/>
                <w:szCs w:val="18"/>
                <w:lang w:val="en-US"/>
              </w:rPr>
            </w:pPr>
          </w:p>
        </w:tc>
        <w:tc>
          <w:tcPr>
            <w:tcW w:w="150" w:type="pct"/>
            <w:gridSpan w:val="2"/>
            <w:shd w:val="clear" w:color="auto" w:fill="FFFFFF"/>
          </w:tcPr>
          <w:p w14:paraId="30BCD3E3" w14:textId="77777777" w:rsidR="00C90DA4" w:rsidRPr="00F33EB5" w:rsidRDefault="00C90DA4" w:rsidP="00C90DA4">
            <w:pPr>
              <w:rPr>
                <w:rFonts w:cs="Arial"/>
                <w:szCs w:val="18"/>
                <w:lang w:val="en-US"/>
              </w:rPr>
            </w:pPr>
          </w:p>
        </w:tc>
      </w:tr>
      <w:tr w:rsidR="00C90DA4" w:rsidRPr="00C05614" w14:paraId="63B5CB39" w14:textId="77777777" w:rsidTr="00F531AA">
        <w:trPr>
          <w:trHeight w:val="255"/>
        </w:trPr>
        <w:tc>
          <w:tcPr>
            <w:tcW w:w="2980" w:type="pct"/>
            <w:shd w:val="clear" w:color="auto" w:fill="FFFFFF"/>
            <w:noWrap/>
            <w:vAlign w:val="bottom"/>
          </w:tcPr>
          <w:p w14:paraId="08BCF747" w14:textId="77777777" w:rsidR="00C90DA4" w:rsidRPr="00F33EB5" w:rsidRDefault="00C90DA4" w:rsidP="00C90DA4">
            <w:pPr>
              <w:rPr>
                <w:rFonts w:cs="Arial"/>
                <w:b/>
                <w:bCs/>
                <w:szCs w:val="18"/>
                <w:lang w:val="en-US"/>
              </w:rPr>
            </w:pPr>
            <w:r>
              <w:rPr>
                <w:rFonts w:cs="Arial"/>
                <w:b/>
                <w:bCs/>
                <w:szCs w:val="18"/>
                <w:lang w:val="en-US"/>
              </w:rPr>
              <w:t>TOTAL EQUITY</w:t>
            </w:r>
          </w:p>
        </w:tc>
        <w:tc>
          <w:tcPr>
            <w:tcW w:w="150" w:type="pct"/>
            <w:shd w:val="clear" w:color="auto" w:fill="FFFFFF"/>
            <w:noWrap/>
            <w:vAlign w:val="bottom"/>
          </w:tcPr>
          <w:p w14:paraId="546726B9" w14:textId="77777777" w:rsidR="00C90DA4" w:rsidRPr="00F33EB5" w:rsidRDefault="00C90DA4" w:rsidP="00C90DA4">
            <w:pPr>
              <w:jc w:val="center"/>
              <w:rPr>
                <w:rFonts w:cs="Arial"/>
                <w:szCs w:val="18"/>
                <w:lang w:val="en-US"/>
              </w:rPr>
            </w:pPr>
          </w:p>
        </w:tc>
        <w:tc>
          <w:tcPr>
            <w:tcW w:w="510" w:type="pct"/>
            <w:shd w:val="clear" w:color="auto" w:fill="FFFFFF"/>
            <w:vAlign w:val="bottom"/>
          </w:tcPr>
          <w:p w14:paraId="14456F6F" w14:textId="77777777" w:rsidR="00C90DA4" w:rsidRPr="00F33EB5" w:rsidRDefault="00C90DA4" w:rsidP="00C90DA4">
            <w:pPr>
              <w:rPr>
                <w:rFonts w:cs="Arial"/>
                <w:szCs w:val="18"/>
                <w:lang w:val="en-US"/>
              </w:rPr>
            </w:pPr>
            <w:r w:rsidRPr="00F33EB5">
              <w:rPr>
                <w:rFonts w:cs="Arial"/>
                <w:szCs w:val="18"/>
                <w:lang w:val="en-US"/>
              </w:rPr>
              <w:t> </w:t>
            </w:r>
          </w:p>
        </w:tc>
        <w:tc>
          <w:tcPr>
            <w:tcW w:w="517" w:type="pct"/>
            <w:shd w:val="clear" w:color="auto" w:fill="FFFFFF"/>
            <w:noWrap/>
            <w:vAlign w:val="bottom"/>
          </w:tcPr>
          <w:p w14:paraId="46D0C233" w14:textId="77777777" w:rsidR="00C90DA4" w:rsidRPr="00F33EB5" w:rsidRDefault="00C90DA4" w:rsidP="00C90DA4">
            <w:pPr>
              <w:rPr>
                <w:rFonts w:cs="Arial"/>
                <w:szCs w:val="18"/>
                <w:lang w:val="en-US"/>
              </w:rPr>
            </w:pPr>
            <w:r w:rsidRPr="00F33EB5">
              <w:rPr>
                <w:rFonts w:cs="Arial"/>
                <w:szCs w:val="18"/>
                <w:lang w:val="en-US"/>
              </w:rPr>
              <w:t> </w:t>
            </w:r>
          </w:p>
        </w:tc>
        <w:tc>
          <w:tcPr>
            <w:tcW w:w="150" w:type="pct"/>
            <w:shd w:val="clear" w:color="auto" w:fill="FFFFFF"/>
          </w:tcPr>
          <w:p w14:paraId="51B7064D" w14:textId="77777777" w:rsidR="00C90DA4" w:rsidRPr="00F33EB5" w:rsidRDefault="00C90DA4" w:rsidP="00C90DA4">
            <w:pPr>
              <w:rPr>
                <w:rFonts w:cs="Arial"/>
                <w:szCs w:val="18"/>
                <w:lang w:val="en-US"/>
              </w:rPr>
            </w:pPr>
          </w:p>
        </w:tc>
        <w:tc>
          <w:tcPr>
            <w:tcW w:w="541" w:type="pct"/>
            <w:gridSpan w:val="2"/>
            <w:shd w:val="clear" w:color="auto" w:fill="FFFFFF"/>
          </w:tcPr>
          <w:p w14:paraId="7579A7C3" w14:textId="77777777" w:rsidR="00C90DA4" w:rsidRPr="00A84ED4" w:rsidRDefault="00C90DA4" w:rsidP="00C90DA4">
            <w:pPr>
              <w:rPr>
                <w:rFonts w:cs="Arial"/>
                <w:szCs w:val="18"/>
                <w:lang w:val="en-US"/>
              </w:rPr>
            </w:pPr>
          </w:p>
        </w:tc>
        <w:tc>
          <w:tcPr>
            <w:tcW w:w="150" w:type="pct"/>
            <w:gridSpan w:val="2"/>
            <w:shd w:val="clear" w:color="auto" w:fill="FFFFFF"/>
          </w:tcPr>
          <w:p w14:paraId="5725E457" w14:textId="77777777" w:rsidR="00C90DA4" w:rsidRPr="00F33EB5" w:rsidRDefault="00C90DA4" w:rsidP="00C90DA4">
            <w:pPr>
              <w:rPr>
                <w:rFonts w:cs="Arial"/>
                <w:szCs w:val="18"/>
                <w:lang w:val="en-US"/>
              </w:rPr>
            </w:pPr>
          </w:p>
        </w:tc>
      </w:tr>
      <w:tr w:rsidR="00C90DA4" w:rsidRPr="00C05614" w14:paraId="2A8A4DBF" w14:textId="77777777" w:rsidTr="00F531AA">
        <w:trPr>
          <w:trHeight w:val="255"/>
        </w:trPr>
        <w:tc>
          <w:tcPr>
            <w:tcW w:w="2980" w:type="pct"/>
            <w:shd w:val="clear" w:color="auto" w:fill="FFFFFF"/>
            <w:noWrap/>
            <w:vAlign w:val="bottom"/>
          </w:tcPr>
          <w:p w14:paraId="50423FF1" w14:textId="77777777" w:rsidR="00C90DA4" w:rsidRPr="00686994" w:rsidRDefault="00C90DA4" w:rsidP="00C90DA4">
            <w:pPr>
              <w:rPr>
                <w:rFonts w:cs="Arial"/>
                <w:b/>
                <w:bCs/>
                <w:szCs w:val="18"/>
                <w:lang w:val="en-US"/>
              </w:rPr>
            </w:pPr>
            <w:r w:rsidRPr="00686994">
              <w:rPr>
                <w:rFonts w:cs="Arial"/>
                <w:b/>
                <w:bCs/>
                <w:szCs w:val="18"/>
                <w:lang w:val="en-US"/>
              </w:rPr>
              <w:t>Opening balance</w:t>
            </w:r>
          </w:p>
        </w:tc>
        <w:tc>
          <w:tcPr>
            <w:tcW w:w="150" w:type="pct"/>
            <w:shd w:val="clear" w:color="auto" w:fill="FFFFFF"/>
            <w:noWrap/>
            <w:vAlign w:val="bottom"/>
          </w:tcPr>
          <w:p w14:paraId="189BF285" w14:textId="77777777" w:rsidR="00C90DA4" w:rsidRPr="00F33EB5" w:rsidRDefault="00C90DA4" w:rsidP="00C90DA4">
            <w:pPr>
              <w:jc w:val="center"/>
              <w:rPr>
                <w:rFonts w:cs="Arial"/>
                <w:szCs w:val="18"/>
                <w:lang w:val="en-US"/>
              </w:rPr>
            </w:pPr>
          </w:p>
        </w:tc>
        <w:tc>
          <w:tcPr>
            <w:tcW w:w="510" w:type="pct"/>
            <w:shd w:val="clear" w:color="auto" w:fill="FFFFFF"/>
            <w:vAlign w:val="bottom"/>
          </w:tcPr>
          <w:p w14:paraId="31B3965C" w14:textId="77777777" w:rsidR="00C90DA4" w:rsidRPr="00F33EB5" w:rsidRDefault="00C90DA4" w:rsidP="00C90DA4">
            <w:pPr>
              <w:jc w:val="right"/>
              <w:rPr>
                <w:rFonts w:cs="Arial"/>
                <w:b/>
                <w:bCs/>
                <w:szCs w:val="18"/>
                <w:lang w:val="en-US"/>
              </w:rPr>
            </w:pPr>
            <w:r>
              <w:rPr>
                <w:rFonts w:cs="Arial"/>
                <w:b/>
                <w:bCs/>
                <w:szCs w:val="18"/>
                <w:lang w:val="en-US"/>
              </w:rPr>
              <w:t>2,426</w:t>
            </w:r>
          </w:p>
        </w:tc>
        <w:tc>
          <w:tcPr>
            <w:tcW w:w="517" w:type="pct"/>
            <w:shd w:val="clear" w:color="auto" w:fill="FFFFFF"/>
            <w:noWrap/>
            <w:vAlign w:val="bottom"/>
          </w:tcPr>
          <w:p w14:paraId="519C0A2F" w14:textId="77777777" w:rsidR="00C90DA4" w:rsidRPr="00342337" w:rsidRDefault="00C90DA4" w:rsidP="00C90DA4">
            <w:pPr>
              <w:jc w:val="right"/>
              <w:rPr>
                <w:rFonts w:cs="Arial"/>
                <w:bCs/>
                <w:szCs w:val="18"/>
                <w:lang w:val="en-US"/>
              </w:rPr>
            </w:pPr>
            <w:r w:rsidRPr="00342337">
              <w:rPr>
                <w:rFonts w:cs="Arial"/>
                <w:bCs/>
                <w:szCs w:val="18"/>
                <w:lang w:val="en-US"/>
              </w:rPr>
              <w:t>1,748</w:t>
            </w:r>
          </w:p>
        </w:tc>
        <w:tc>
          <w:tcPr>
            <w:tcW w:w="150" w:type="pct"/>
            <w:shd w:val="clear" w:color="auto" w:fill="FFFFFF"/>
          </w:tcPr>
          <w:p w14:paraId="6A3F80D8" w14:textId="77777777" w:rsidR="00C90DA4" w:rsidRPr="00F33EB5" w:rsidRDefault="00C90DA4" w:rsidP="00C90DA4">
            <w:pPr>
              <w:jc w:val="right"/>
              <w:rPr>
                <w:rFonts w:cs="Arial"/>
                <w:bCs/>
                <w:szCs w:val="18"/>
                <w:lang w:val="en-US"/>
              </w:rPr>
            </w:pPr>
          </w:p>
        </w:tc>
        <w:tc>
          <w:tcPr>
            <w:tcW w:w="541" w:type="pct"/>
            <w:gridSpan w:val="2"/>
            <w:shd w:val="clear" w:color="auto" w:fill="FFFFFF"/>
            <w:vAlign w:val="bottom"/>
          </w:tcPr>
          <w:p w14:paraId="213EBB28" w14:textId="77777777" w:rsidR="00C90DA4" w:rsidRPr="00A84ED4" w:rsidRDefault="00C90DA4" w:rsidP="00C90DA4">
            <w:pPr>
              <w:jc w:val="right"/>
              <w:rPr>
                <w:rFonts w:cs="Arial"/>
                <w:bCs/>
                <w:szCs w:val="18"/>
                <w:lang w:val="en-US"/>
              </w:rPr>
            </w:pPr>
            <w:r w:rsidRPr="00A84ED4">
              <w:rPr>
                <w:rFonts w:cs="Arial"/>
                <w:bCs/>
                <w:szCs w:val="18"/>
                <w:lang w:val="en-US"/>
              </w:rPr>
              <w:t>1,894</w:t>
            </w:r>
          </w:p>
        </w:tc>
        <w:tc>
          <w:tcPr>
            <w:tcW w:w="150" w:type="pct"/>
            <w:gridSpan w:val="2"/>
            <w:shd w:val="clear" w:color="auto" w:fill="FFFFFF"/>
          </w:tcPr>
          <w:p w14:paraId="7E9EBB74" w14:textId="77777777" w:rsidR="00C90DA4" w:rsidRDefault="00C90DA4" w:rsidP="00C90DA4">
            <w:pPr>
              <w:rPr>
                <w:rFonts w:cs="Arial"/>
                <w:bCs/>
                <w:szCs w:val="18"/>
                <w:lang w:val="en-US"/>
              </w:rPr>
            </w:pPr>
            <w:r w:rsidRPr="00B2117B">
              <w:rPr>
                <w:rFonts w:cs="Arial"/>
                <w:bCs/>
                <w:szCs w:val="18"/>
                <w:vertAlign w:val="superscript"/>
                <w:lang w:val="en-US"/>
              </w:rPr>
              <w:t>A</w:t>
            </w:r>
          </w:p>
        </w:tc>
      </w:tr>
      <w:tr w:rsidR="00C90DA4" w:rsidRPr="00C05614" w14:paraId="0CE6C366" w14:textId="77777777" w:rsidTr="00F531AA">
        <w:trPr>
          <w:trHeight w:val="255"/>
        </w:trPr>
        <w:tc>
          <w:tcPr>
            <w:tcW w:w="2980" w:type="pct"/>
            <w:shd w:val="clear" w:color="auto" w:fill="FFFFFF"/>
            <w:noWrap/>
            <w:vAlign w:val="bottom"/>
          </w:tcPr>
          <w:p w14:paraId="16D574ED" w14:textId="77777777" w:rsidR="00C90DA4" w:rsidRPr="00686994" w:rsidRDefault="00C90DA4" w:rsidP="00C90DA4">
            <w:pPr>
              <w:rPr>
                <w:rFonts w:cs="Arial"/>
                <w:b/>
                <w:bCs/>
                <w:szCs w:val="18"/>
                <w:lang w:val="en-US"/>
              </w:rPr>
            </w:pPr>
            <w:r w:rsidRPr="00686994">
              <w:rPr>
                <w:rFonts w:cs="Arial"/>
                <w:b/>
                <w:bCs/>
                <w:szCs w:val="18"/>
                <w:lang w:val="en-US"/>
              </w:rPr>
              <w:t>Comprehensive income</w:t>
            </w:r>
          </w:p>
        </w:tc>
        <w:tc>
          <w:tcPr>
            <w:tcW w:w="150" w:type="pct"/>
            <w:shd w:val="clear" w:color="auto" w:fill="FFFFFF"/>
            <w:noWrap/>
            <w:vAlign w:val="bottom"/>
          </w:tcPr>
          <w:p w14:paraId="15F36817" w14:textId="77777777" w:rsidR="00C90DA4" w:rsidRPr="00F33EB5" w:rsidRDefault="00C90DA4" w:rsidP="00C90DA4">
            <w:pPr>
              <w:jc w:val="center"/>
              <w:rPr>
                <w:rFonts w:cs="Arial"/>
                <w:szCs w:val="18"/>
                <w:lang w:val="en-US"/>
              </w:rPr>
            </w:pPr>
          </w:p>
        </w:tc>
        <w:tc>
          <w:tcPr>
            <w:tcW w:w="510" w:type="pct"/>
            <w:shd w:val="clear" w:color="auto" w:fill="FFFFFF"/>
            <w:vAlign w:val="bottom"/>
          </w:tcPr>
          <w:p w14:paraId="35ECF27A" w14:textId="77777777" w:rsidR="00C90DA4" w:rsidRPr="00F33EB5" w:rsidRDefault="00C90DA4" w:rsidP="00C90DA4">
            <w:pPr>
              <w:jc w:val="right"/>
              <w:rPr>
                <w:rFonts w:cs="Arial"/>
                <w:b/>
                <w:bCs/>
                <w:szCs w:val="18"/>
                <w:lang w:val="en-US"/>
              </w:rPr>
            </w:pPr>
          </w:p>
        </w:tc>
        <w:tc>
          <w:tcPr>
            <w:tcW w:w="517" w:type="pct"/>
            <w:shd w:val="clear" w:color="auto" w:fill="FFFFFF"/>
            <w:noWrap/>
            <w:vAlign w:val="bottom"/>
          </w:tcPr>
          <w:p w14:paraId="5E1F0E08" w14:textId="77777777" w:rsidR="00C90DA4" w:rsidRPr="00342337" w:rsidRDefault="00C90DA4" w:rsidP="00C90DA4">
            <w:pPr>
              <w:jc w:val="right"/>
              <w:rPr>
                <w:rFonts w:cs="Arial"/>
                <w:bCs/>
                <w:szCs w:val="18"/>
                <w:lang w:val="en-US"/>
              </w:rPr>
            </w:pPr>
          </w:p>
        </w:tc>
        <w:tc>
          <w:tcPr>
            <w:tcW w:w="150" w:type="pct"/>
            <w:shd w:val="clear" w:color="auto" w:fill="FFFFFF"/>
          </w:tcPr>
          <w:p w14:paraId="686A2F55" w14:textId="77777777" w:rsidR="00C90DA4" w:rsidRPr="00D814E8" w:rsidRDefault="00C90DA4" w:rsidP="00C90DA4">
            <w:pPr>
              <w:jc w:val="right"/>
              <w:rPr>
                <w:rFonts w:cs="Arial"/>
                <w:bCs/>
                <w:szCs w:val="18"/>
                <w:lang w:val="en-US"/>
              </w:rPr>
            </w:pPr>
          </w:p>
        </w:tc>
        <w:tc>
          <w:tcPr>
            <w:tcW w:w="541" w:type="pct"/>
            <w:gridSpan w:val="2"/>
            <w:shd w:val="clear" w:color="auto" w:fill="FFFFFF"/>
            <w:vAlign w:val="bottom"/>
          </w:tcPr>
          <w:p w14:paraId="4CA6B555" w14:textId="77777777" w:rsidR="00C90DA4" w:rsidRPr="00A84ED4" w:rsidRDefault="00C90DA4" w:rsidP="00C90DA4">
            <w:pPr>
              <w:jc w:val="right"/>
              <w:rPr>
                <w:rFonts w:cs="Arial"/>
                <w:bCs/>
                <w:szCs w:val="18"/>
                <w:lang w:val="en-US"/>
              </w:rPr>
            </w:pPr>
          </w:p>
        </w:tc>
        <w:tc>
          <w:tcPr>
            <w:tcW w:w="150" w:type="pct"/>
            <w:gridSpan w:val="2"/>
            <w:shd w:val="clear" w:color="auto" w:fill="FFFFFF"/>
          </w:tcPr>
          <w:p w14:paraId="32875579" w14:textId="77777777" w:rsidR="00C90DA4" w:rsidRPr="00D814E8" w:rsidRDefault="00C90DA4" w:rsidP="00C90DA4">
            <w:pPr>
              <w:rPr>
                <w:rFonts w:cs="Arial"/>
                <w:bCs/>
                <w:szCs w:val="18"/>
                <w:lang w:val="en-US"/>
              </w:rPr>
            </w:pPr>
          </w:p>
        </w:tc>
      </w:tr>
      <w:tr w:rsidR="00C90DA4" w:rsidRPr="00C05614" w14:paraId="096F7343" w14:textId="77777777" w:rsidTr="00F531AA">
        <w:trPr>
          <w:trHeight w:val="255"/>
        </w:trPr>
        <w:tc>
          <w:tcPr>
            <w:tcW w:w="2980" w:type="pct"/>
            <w:shd w:val="clear" w:color="auto" w:fill="FFFFFF"/>
            <w:noWrap/>
            <w:vAlign w:val="bottom"/>
          </w:tcPr>
          <w:p w14:paraId="0BE2DBA0" w14:textId="77777777" w:rsidR="00C90DA4" w:rsidRPr="00686994" w:rsidRDefault="00C90DA4" w:rsidP="00C90DA4">
            <w:pPr>
              <w:rPr>
                <w:rFonts w:cs="Arial"/>
                <w:szCs w:val="18"/>
                <w:lang w:val="en-US"/>
              </w:rPr>
            </w:pPr>
            <w:r w:rsidRPr="00686994">
              <w:rPr>
                <w:rFonts w:cs="Arial"/>
                <w:szCs w:val="18"/>
                <w:lang w:val="en-US"/>
              </w:rPr>
              <w:t>Surplus for the period</w:t>
            </w:r>
          </w:p>
        </w:tc>
        <w:tc>
          <w:tcPr>
            <w:tcW w:w="150" w:type="pct"/>
            <w:shd w:val="clear" w:color="auto" w:fill="FFFFFF"/>
            <w:noWrap/>
            <w:vAlign w:val="bottom"/>
          </w:tcPr>
          <w:p w14:paraId="19104C1D" w14:textId="77777777" w:rsidR="00C90DA4" w:rsidRPr="00F33EB5" w:rsidRDefault="00C90DA4" w:rsidP="00C90DA4">
            <w:pPr>
              <w:jc w:val="center"/>
              <w:rPr>
                <w:rFonts w:cs="Arial"/>
                <w:szCs w:val="18"/>
                <w:lang w:val="en-US"/>
              </w:rPr>
            </w:pPr>
          </w:p>
        </w:tc>
        <w:tc>
          <w:tcPr>
            <w:tcW w:w="510" w:type="pct"/>
            <w:tcBorders>
              <w:bottom w:val="single" w:sz="4" w:space="0" w:color="auto"/>
            </w:tcBorders>
            <w:shd w:val="clear" w:color="auto" w:fill="FFFFFF"/>
            <w:vAlign w:val="bottom"/>
          </w:tcPr>
          <w:p w14:paraId="2144B6D9" w14:textId="77777777" w:rsidR="00C90DA4" w:rsidRPr="00F33EB5" w:rsidRDefault="00C90DA4" w:rsidP="00C90DA4">
            <w:pPr>
              <w:jc w:val="right"/>
              <w:rPr>
                <w:rFonts w:cs="Arial"/>
                <w:b/>
                <w:bCs/>
                <w:szCs w:val="18"/>
                <w:lang w:val="en-US"/>
              </w:rPr>
            </w:pPr>
            <w:r>
              <w:rPr>
                <w:rFonts w:cs="Arial"/>
                <w:b/>
                <w:bCs/>
                <w:szCs w:val="18"/>
                <w:lang w:val="en-US"/>
              </w:rPr>
              <w:t>288</w:t>
            </w:r>
          </w:p>
        </w:tc>
        <w:tc>
          <w:tcPr>
            <w:tcW w:w="517" w:type="pct"/>
            <w:tcBorders>
              <w:bottom w:val="single" w:sz="4" w:space="0" w:color="auto"/>
            </w:tcBorders>
            <w:shd w:val="clear" w:color="auto" w:fill="FFFFFF"/>
            <w:noWrap/>
            <w:vAlign w:val="bottom"/>
          </w:tcPr>
          <w:p w14:paraId="64277327" w14:textId="77777777" w:rsidR="00C90DA4" w:rsidRPr="00342337" w:rsidRDefault="00C90DA4" w:rsidP="00C90DA4">
            <w:pPr>
              <w:jc w:val="right"/>
              <w:rPr>
                <w:rFonts w:cs="Arial"/>
                <w:bCs/>
                <w:szCs w:val="18"/>
                <w:lang w:val="en-US"/>
              </w:rPr>
            </w:pPr>
            <w:r w:rsidRPr="00342337">
              <w:rPr>
                <w:rFonts w:cs="Arial"/>
                <w:bCs/>
                <w:szCs w:val="18"/>
                <w:lang w:val="en-US"/>
              </w:rPr>
              <w:t>678</w:t>
            </w:r>
          </w:p>
        </w:tc>
        <w:tc>
          <w:tcPr>
            <w:tcW w:w="150" w:type="pct"/>
            <w:shd w:val="clear" w:color="auto" w:fill="FFFFFF"/>
          </w:tcPr>
          <w:p w14:paraId="58799494" w14:textId="77777777" w:rsidR="00C90DA4" w:rsidRPr="00D814E8" w:rsidRDefault="00C90DA4" w:rsidP="00C90DA4">
            <w:pPr>
              <w:jc w:val="right"/>
              <w:rPr>
                <w:rFonts w:cs="Arial"/>
                <w:bCs/>
                <w:szCs w:val="18"/>
                <w:lang w:val="en-US"/>
              </w:rPr>
            </w:pPr>
          </w:p>
        </w:tc>
        <w:tc>
          <w:tcPr>
            <w:tcW w:w="541" w:type="pct"/>
            <w:gridSpan w:val="2"/>
            <w:tcBorders>
              <w:bottom w:val="single" w:sz="4" w:space="0" w:color="auto"/>
            </w:tcBorders>
            <w:shd w:val="clear" w:color="auto" w:fill="FFFFFF"/>
            <w:vAlign w:val="bottom"/>
          </w:tcPr>
          <w:p w14:paraId="4B45E3CE" w14:textId="77777777" w:rsidR="00C90DA4" w:rsidRPr="00A84ED4" w:rsidRDefault="00C90DA4" w:rsidP="00C90DA4">
            <w:pPr>
              <w:jc w:val="right"/>
              <w:rPr>
                <w:rFonts w:cs="Arial"/>
                <w:bCs/>
                <w:szCs w:val="18"/>
                <w:lang w:val="en-US"/>
              </w:rPr>
            </w:pPr>
            <w:r w:rsidRPr="00A84ED4">
              <w:rPr>
                <w:rFonts w:cs="Arial"/>
                <w:bCs/>
                <w:szCs w:val="18"/>
                <w:lang w:val="en-US"/>
              </w:rPr>
              <w:t>-</w:t>
            </w:r>
          </w:p>
        </w:tc>
        <w:tc>
          <w:tcPr>
            <w:tcW w:w="150" w:type="pct"/>
            <w:gridSpan w:val="2"/>
            <w:shd w:val="clear" w:color="auto" w:fill="FFFFFF"/>
          </w:tcPr>
          <w:p w14:paraId="53414135" w14:textId="77777777" w:rsidR="00C90DA4" w:rsidRDefault="00C90DA4" w:rsidP="00C90DA4">
            <w:pPr>
              <w:rPr>
                <w:rFonts w:cs="Arial"/>
                <w:bCs/>
                <w:szCs w:val="18"/>
                <w:lang w:val="en-US"/>
              </w:rPr>
            </w:pPr>
            <w:r w:rsidRPr="00B2117B">
              <w:rPr>
                <w:rFonts w:cs="Arial"/>
                <w:bCs/>
                <w:szCs w:val="18"/>
                <w:vertAlign w:val="superscript"/>
                <w:lang w:val="en-US"/>
              </w:rPr>
              <w:t>A</w:t>
            </w:r>
          </w:p>
        </w:tc>
      </w:tr>
      <w:tr w:rsidR="00C90DA4" w:rsidRPr="00C05614" w14:paraId="23593B79" w14:textId="77777777" w:rsidTr="00F531AA">
        <w:trPr>
          <w:trHeight w:val="255"/>
        </w:trPr>
        <w:tc>
          <w:tcPr>
            <w:tcW w:w="2980" w:type="pct"/>
            <w:shd w:val="clear" w:color="auto" w:fill="FFFFFF"/>
            <w:noWrap/>
            <w:vAlign w:val="bottom"/>
          </w:tcPr>
          <w:p w14:paraId="13A57F20" w14:textId="77777777" w:rsidR="00C90DA4" w:rsidRPr="00686994" w:rsidRDefault="00C90DA4" w:rsidP="00C90DA4">
            <w:pPr>
              <w:rPr>
                <w:rFonts w:cs="Arial"/>
                <w:b/>
                <w:bCs/>
                <w:szCs w:val="18"/>
                <w:lang w:val="en-US"/>
              </w:rPr>
            </w:pPr>
            <w:r w:rsidRPr="00686994">
              <w:rPr>
                <w:rFonts w:cs="Arial"/>
                <w:b/>
                <w:bCs/>
                <w:szCs w:val="18"/>
                <w:lang w:val="en-US"/>
              </w:rPr>
              <w:t>Total comprehensive income</w:t>
            </w:r>
          </w:p>
        </w:tc>
        <w:tc>
          <w:tcPr>
            <w:tcW w:w="150" w:type="pct"/>
            <w:shd w:val="clear" w:color="auto" w:fill="FFFFFF"/>
            <w:noWrap/>
            <w:vAlign w:val="bottom"/>
          </w:tcPr>
          <w:p w14:paraId="4F0AA16D" w14:textId="77777777" w:rsidR="00C90DA4" w:rsidRPr="00F33EB5" w:rsidRDefault="00C90DA4" w:rsidP="00C90DA4">
            <w:pPr>
              <w:jc w:val="center"/>
              <w:rPr>
                <w:rFonts w:cs="Arial"/>
                <w:szCs w:val="18"/>
                <w:lang w:val="en-US"/>
              </w:rPr>
            </w:pPr>
          </w:p>
        </w:tc>
        <w:tc>
          <w:tcPr>
            <w:tcW w:w="510" w:type="pct"/>
            <w:tcBorders>
              <w:top w:val="single" w:sz="4" w:space="0" w:color="auto"/>
              <w:bottom w:val="single" w:sz="4" w:space="0" w:color="auto"/>
            </w:tcBorders>
            <w:shd w:val="clear" w:color="auto" w:fill="FFFFFF"/>
            <w:vAlign w:val="bottom"/>
          </w:tcPr>
          <w:p w14:paraId="65DFB247" w14:textId="77777777" w:rsidR="00C90DA4" w:rsidRPr="00F33EB5" w:rsidRDefault="00C90DA4" w:rsidP="00C90DA4">
            <w:pPr>
              <w:jc w:val="right"/>
              <w:rPr>
                <w:rFonts w:cs="Arial"/>
                <w:b/>
                <w:bCs/>
                <w:szCs w:val="18"/>
                <w:lang w:val="en-US"/>
              </w:rPr>
            </w:pPr>
            <w:r>
              <w:rPr>
                <w:rFonts w:cs="Arial"/>
                <w:b/>
                <w:bCs/>
                <w:szCs w:val="18"/>
                <w:lang w:val="en-US"/>
              </w:rPr>
              <w:t>2,714</w:t>
            </w:r>
          </w:p>
        </w:tc>
        <w:tc>
          <w:tcPr>
            <w:tcW w:w="517" w:type="pct"/>
            <w:tcBorders>
              <w:top w:val="single" w:sz="4" w:space="0" w:color="auto"/>
              <w:bottom w:val="single" w:sz="4" w:space="0" w:color="auto"/>
            </w:tcBorders>
            <w:shd w:val="clear" w:color="auto" w:fill="FFFFFF"/>
            <w:noWrap/>
            <w:vAlign w:val="bottom"/>
          </w:tcPr>
          <w:p w14:paraId="51C74C45" w14:textId="77777777" w:rsidR="00C90DA4" w:rsidRPr="00342337" w:rsidRDefault="00C90DA4" w:rsidP="00C90DA4">
            <w:pPr>
              <w:jc w:val="right"/>
              <w:rPr>
                <w:rFonts w:cs="Arial"/>
                <w:bCs/>
                <w:szCs w:val="18"/>
                <w:lang w:val="en-US"/>
              </w:rPr>
            </w:pPr>
            <w:r w:rsidRPr="00342337">
              <w:rPr>
                <w:rFonts w:cs="Arial"/>
                <w:bCs/>
                <w:szCs w:val="18"/>
                <w:lang w:val="en-US"/>
              </w:rPr>
              <w:t>678</w:t>
            </w:r>
          </w:p>
        </w:tc>
        <w:tc>
          <w:tcPr>
            <w:tcW w:w="150" w:type="pct"/>
            <w:shd w:val="clear" w:color="auto" w:fill="FFFFFF"/>
          </w:tcPr>
          <w:p w14:paraId="65C5E448" w14:textId="77777777" w:rsidR="00C90DA4" w:rsidRPr="00D814E8" w:rsidRDefault="00C90DA4" w:rsidP="00C90DA4">
            <w:pPr>
              <w:jc w:val="right"/>
              <w:rPr>
                <w:rFonts w:cs="Arial"/>
                <w:bCs/>
                <w:szCs w:val="18"/>
                <w:lang w:val="en-US"/>
              </w:rPr>
            </w:pPr>
          </w:p>
        </w:tc>
        <w:tc>
          <w:tcPr>
            <w:tcW w:w="541" w:type="pct"/>
            <w:gridSpan w:val="2"/>
            <w:tcBorders>
              <w:top w:val="single" w:sz="4" w:space="0" w:color="auto"/>
              <w:bottom w:val="single" w:sz="4" w:space="0" w:color="auto"/>
            </w:tcBorders>
            <w:shd w:val="clear" w:color="auto" w:fill="FFFFFF"/>
            <w:vAlign w:val="bottom"/>
          </w:tcPr>
          <w:p w14:paraId="73D3899A" w14:textId="77777777" w:rsidR="00C90DA4" w:rsidRPr="00A84ED4" w:rsidRDefault="00C90DA4" w:rsidP="00C90DA4">
            <w:pPr>
              <w:jc w:val="right"/>
              <w:rPr>
                <w:rFonts w:cs="Arial"/>
                <w:bCs/>
                <w:szCs w:val="18"/>
                <w:lang w:val="en-US"/>
              </w:rPr>
            </w:pPr>
            <w:r w:rsidRPr="00A84ED4">
              <w:rPr>
                <w:rFonts w:cs="Arial"/>
                <w:bCs/>
                <w:szCs w:val="18"/>
                <w:lang w:val="en-US"/>
              </w:rPr>
              <w:t>-</w:t>
            </w:r>
          </w:p>
        </w:tc>
        <w:tc>
          <w:tcPr>
            <w:tcW w:w="150" w:type="pct"/>
            <w:gridSpan w:val="2"/>
            <w:shd w:val="clear" w:color="auto" w:fill="FFFFFF"/>
          </w:tcPr>
          <w:p w14:paraId="1552C4EB" w14:textId="77777777" w:rsidR="00C90DA4" w:rsidRDefault="00C90DA4" w:rsidP="00C90DA4">
            <w:pPr>
              <w:rPr>
                <w:rFonts w:cs="Arial"/>
                <w:bCs/>
                <w:szCs w:val="18"/>
                <w:lang w:val="en-US"/>
              </w:rPr>
            </w:pPr>
          </w:p>
        </w:tc>
      </w:tr>
      <w:tr w:rsidR="00C90DA4" w:rsidRPr="00C05614" w14:paraId="362E29AB" w14:textId="77777777" w:rsidTr="00F531AA">
        <w:trPr>
          <w:trHeight w:val="255"/>
        </w:trPr>
        <w:tc>
          <w:tcPr>
            <w:tcW w:w="2980" w:type="pct"/>
            <w:shd w:val="clear" w:color="auto" w:fill="FFFFFF"/>
            <w:noWrap/>
            <w:vAlign w:val="bottom"/>
          </w:tcPr>
          <w:p w14:paraId="314B4B1A" w14:textId="77777777" w:rsidR="00C90DA4" w:rsidRPr="00686994" w:rsidRDefault="00C90DA4" w:rsidP="00C90DA4">
            <w:pPr>
              <w:rPr>
                <w:rFonts w:cs="Arial"/>
                <w:b/>
                <w:bCs/>
                <w:szCs w:val="18"/>
                <w:lang w:val="en-US"/>
              </w:rPr>
            </w:pPr>
            <w:r w:rsidRPr="00686994">
              <w:rPr>
                <w:rFonts w:cs="Arial"/>
                <w:b/>
                <w:bCs/>
                <w:szCs w:val="18"/>
                <w:lang w:val="en-US"/>
              </w:rPr>
              <w:t>Transactions with owners</w:t>
            </w:r>
          </w:p>
        </w:tc>
        <w:tc>
          <w:tcPr>
            <w:tcW w:w="150" w:type="pct"/>
            <w:shd w:val="clear" w:color="auto" w:fill="FFFFFF"/>
            <w:noWrap/>
            <w:vAlign w:val="bottom"/>
          </w:tcPr>
          <w:p w14:paraId="308CFC7D" w14:textId="77777777" w:rsidR="00C90DA4" w:rsidRPr="00F33EB5" w:rsidRDefault="00C90DA4" w:rsidP="00C90DA4">
            <w:pPr>
              <w:jc w:val="center"/>
              <w:rPr>
                <w:rFonts w:cs="Arial"/>
                <w:szCs w:val="18"/>
                <w:lang w:val="en-US"/>
              </w:rPr>
            </w:pPr>
          </w:p>
        </w:tc>
        <w:tc>
          <w:tcPr>
            <w:tcW w:w="510" w:type="pct"/>
            <w:tcBorders>
              <w:top w:val="single" w:sz="4" w:space="0" w:color="auto"/>
            </w:tcBorders>
            <w:shd w:val="clear" w:color="auto" w:fill="FFFFFF"/>
            <w:vAlign w:val="bottom"/>
          </w:tcPr>
          <w:p w14:paraId="2BBF0B4C" w14:textId="77777777" w:rsidR="00C90DA4" w:rsidRPr="00F33EB5" w:rsidRDefault="00C90DA4" w:rsidP="00C90DA4">
            <w:pPr>
              <w:jc w:val="right"/>
              <w:rPr>
                <w:rFonts w:cs="Arial"/>
                <w:b/>
                <w:bCs/>
                <w:szCs w:val="18"/>
                <w:lang w:val="en-US"/>
              </w:rPr>
            </w:pPr>
          </w:p>
        </w:tc>
        <w:tc>
          <w:tcPr>
            <w:tcW w:w="517" w:type="pct"/>
            <w:tcBorders>
              <w:top w:val="single" w:sz="4" w:space="0" w:color="auto"/>
            </w:tcBorders>
            <w:shd w:val="clear" w:color="auto" w:fill="FFFFFF"/>
            <w:noWrap/>
            <w:vAlign w:val="bottom"/>
          </w:tcPr>
          <w:p w14:paraId="5B212BD0" w14:textId="77777777" w:rsidR="00C90DA4" w:rsidRPr="00342337" w:rsidRDefault="00C90DA4" w:rsidP="00C90DA4">
            <w:pPr>
              <w:jc w:val="right"/>
              <w:rPr>
                <w:rFonts w:cs="Arial"/>
                <w:bCs/>
                <w:szCs w:val="18"/>
                <w:lang w:val="en-US"/>
              </w:rPr>
            </w:pPr>
          </w:p>
        </w:tc>
        <w:tc>
          <w:tcPr>
            <w:tcW w:w="150" w:type="pct"/>
            <w:shd w:val="clear" w:color="auto" w:fill="FFFFFF"/>
          </w:tcPr>
          <w:p w14:paraId="229AB629" w14:textId="77777777" w:rsidR="00C90DA4" w:rsidRPr="00D814E8" w:rsidRDefault="00C90DA4" w:rsidP="00C90DA4">
            <w:pPr>
              <w:jc w:val="right"/>
              <w:rPr>
                <w:rFonts w:cs="Arial"/>
                <w:bCs/>
                <w:szCs w:val="18"/>
                <w:lang w:val="en-US"/>
              </w:rPr>
            </w:pPr>
          </w:p>
        </w:tc>
        <w:tc>
          <w:tcPr>
            <w:tcW w:w="541" w:type="pct"/>
            <w:gridSpan w:val="2"/>
            <w:tcBorders>
              <w:top w:val="single" w:sz="4" w:space="0" w:color="auto"/>
            </w:tcBorders>
            <w:shd w:val="clear" w:color="auto" w:fill="FFFFFF"/>
            <w:vAlign w:val="bottom"/>
          </w:tcPr>
          <w:p w14:paraId="244B1671" w14:textId="77777777" w:rsidR="00C90DA4" w:rsidRPr="00A84ED4" w:rsidRDefault="00C90DA4" w:rsidP="00C90DA4">
            <w:pPr>
              <w:jc w:val="right"/>
              <w:rPr>
                <w:rFonts w:cs="Arial"/>
                <w:bCs/>
                <w:szCs w:val="18"/>
                <w:lang w:val="en-US"/>
              </w:rPr>
            </w:pPr>
          </w:p>
        </w:tc>
        <w:tc>
          <w:tcPr>
            <w:tcW w:w="150" w:type="pct"/>
            <w:gridSpan w:val="2"/>
            <w:shd w:val="clear" w:color="auto" w:fill="FFFFFF"/>
          </w:tcPr>
          <w:p w14:paraId="6FA8B4D4" w14:textId="77777777" w:rsidR="00C90DA4" w:rsidRPr="00D814E8" w:rsidRDefault="00C90DA4" w:rsidP="00C90DA4">
            <w:pPr>
              <w:rPr>
                <w:rFonts w:cs="Arial"/>
                <w:bCs/>
                <w:szCs w:val="18"/>
                <w:lang w:val="en-US"/>
              </w:rPr>
            </w:pPr>
          </w:p>
        </w:tc>
      </w:tr>
      <w:tr w:rsidR="00C90DA4" w:rsidRPr="00C05614" w14:paraId="6D8F005A" w14:textId="77777777" w:rsidTr="00F531AA">
        <w:trPr>
          <w:trHeight w:val="255"/>
        </w:trPr>
        <w:tc>
          <w:tcPr>
            <w:tcW w:w="2980" w:type="pct"/>
            <w:shd w:val="clear" w:color="auto" w:fill="FFFFFF"/>
            <w:noWrap/>
            <w:vAlign w:val="bottom"/>
          </w:tcPr>
          <w:p w14:paraId="24015A51" w14:textId="77777777" w:rsidR="00C90DA4" w:rsidRPr="00686994" w:rsidRDefault="00C90DA4" w:rsidP="00C90DA4">
            <w:pPr>
              <w:rPr>
                <w:rFonts w:cs="Arial"/>
                <w:b/>
                <w:bCs/>
                <w:szCs w:val="18"/>
                <w:lang w:val="en-US"/>
              </w:rPr>
            </w:pPr>
            <w:r w:rsidRPr="00686994">
              <w:rPr>
                <w:rFonts w:cs="Arial"/>
                <w:b/>
                <w:bCs/>
                <w:szCs w:val="18"/>
                <w:lang w:val="en-US"/>
              </w:rPr>
              <w:t>Contributions by owners</w:t>
            </w:r>
          </w:p>
        </w:tc>
        <w:tc>
          <w:tcPr>
            <w:tcW w:w="150" w:type="pct"/>
            <w:shd w:val="clear" w:color="auto" w:fill="FFFFFF"/>
            <w:noWrap/>
            <w:vAlign w:val="bottom"/>
          </w:tcPr>
          <w:p w14:paraId="62F29D0E" w14:textId="77777777" w:rsidR="00C90DA4" w:rsidRPr="00F33EB5" w:rsidRDefault="00C90DA4" w:rsidP="00C90DA4">
            <w:pPr>
              <w:jc w:val="center"/>
              <w:rPr>
                <w:rFonts w:cs="Arial"/>
                <w:szCs w:val="18"/>
                <w:lang w:val="en-US"/>
              </w:rPr>
            </w:pPr>
          </w:p>
        </w:tc>
        <w:tc>
          <w:tcPr>
            <w:tcW w:w="510" w:type="pct"/>
            <w:shd w:val="clear" w:color="auto" w:fill="FFFFFF"/>
            <w:vAlign w:val="bottom"/>
          </w:tcPr>
          <w:p w14:paraId="108014CE" w14:textId="77777777" w:rsidR="00C90DA4" w:rsidRPr="00F33EB5" w:rsidRDefault="00C90DA4" w:rsidP="00C90DA4">
            <w:pPr>
              <w:jc w:val="right"/>
              <w:rPr>
                <w:rFonts w:cs="Arial"/>
                <w:b/>
                <w:bCs/>
                <w:szCs w:val="18"/>
                <w:lang w:val="en-US"/>
              </w:rPr>
            </w:pPr>
          </w:p>
        </w:tc>
        <w:tc>
          <w:tcPr>
            <w:tcW w:w="517" w:type="pct"/>
            <w:shd w:val="clear" w:color="auto" w:fill="FFFFFF"/>
            <w:noWrap/>
            <w:vAlign w:val="bottom"/>
          </w:tcPr>
          <w:p w14:paraId="1CAAD9D6" w14:textId="77777777" w:rsidR="00C90DA4" w:rsidRPr="00342337" w:rsidRDefault="00C90DA4" w:rsidP="00C90DA4">
            <w:pPr>
              <w:jc w:val="right"/>
              <w:rPr>
                <w:rFonts w:cs="Arial"/>
                <w:bCs/>
                <w:szCs w:val="18"/>
                <w:lang w:val="en-US"/>
              </w:rPr>
            </w:pPr>
          </w:p>
        </w:tc>
        <w:tc>
          <w:tcPr>
            <w:tcW w:w="150" w:type="pct"/>
            <w:shd w:val="clear" w:color="auto" w:fill="FFFFFF"/>
          </w:tcPr>
          <w:p w14:paraId="6173A6A8" w14:textId="77777777" w:rsidR="00C90DA4" w:rsidRPr="00D814E8" w:rsidRDefault="00C90DA4" w:rsidP="00C90DA4">
            <w:pPr>
              <w:jc w:val="right"/>
              <w:rPr>
                <w:rFonts w:cs="Arial"/>
                <w:bCs/>
                <w:szCs w:val="18"/>
                <w:lang w:val="en-US"/>
              </w:rPr>
            </w:pPr>
          </w:p>
        </w:tc>
        <w:tc>
          <w:tcPr>
            <w:tcW w:w="541" w:type="pct"/>
            <w:gridSpan w:val="2"/>
            <w:shd w:val="clear" w:color="auto" w:fill="FFFFFF"/>
            <w:vAlign w:val="bottom"/>
          </w:tcPr>
          <w:p w14:paraId="2CCD528D" w14:textId="77777777" w:rsidR="00C90DA4" w:rsidRPr="00A84ED4" w:rsidRDefault="00C90DA4" w:rsidP="00C90DA4">
            <w:pPr>
              <w:jc w:val="right"/>
              <w:rPr>
                <w:rFonts w:cs="Arial"/>
                <w:bCs/>
                <w:szCs w:val="18"/>
                <w:lang w:val="en-US"/>
              </w:rPr>
            </w:pPr>
          </w:p>
        </w:tc>
        <w:tc>
          <w:tcPr>
            <w:tcW w:w="150" w:type="pct"/>
            <w:gridSpan w:val="2"/>
            <w:shd w:val="clear" w:color="auto" w:fill="FFFFFF"/>
          </w:tcPr>
          <w:p w14:paraId="5BE4A4B1" w14:textId="77777777" w:rsidR="00C90DA4" w:rsidRPr="00D814E8" w:rsidRDefault="00C90DA4" w:rsidP="00C90DA4">
            <w:pPr>
              <w:rPr>
                <w:rFonts w:cs="Arial"/>
                <w:bCs/>
                <w:szCs w:val="18"/>
                <w:lang w:val="en-US"/>
              </w:rPr>
            </w:pPr>
          </w:p>
        </w:tc>
      </w:tr>
      <w:tr w:rsidR="00C90DA4" w:rsidRPr="00C05614" w14:paraId="2DB2A036" w14:textId="77777777" w:rsidTr="00F531AA">
        <w:trPr>
          <w:trHeight w:val="255"/>
        </w:trPr>
        <w:tc>
          <w:tcPr>
            <w:tcW w:w="2980" w:type="pct"/>
            <w:shd w:val="clear" w:color="auto" w:fill="FFFFFF"/>
            <w:noWrap/>
            <w:vAlign w:val="bottom"/>
          </w:tcPr>
          <w:p w14:paraId="220D65AC" w14:textId="77777777" w:rsidR="00C90DA4" w:rsidRPr="00686994" w:rsidRDefault="00C90DA4" w:rsidP="00C90DA4">
            <w:pPr>
              <w:rPr>
                <w:rFonts w:cs="Arial"/>
                <w:szCs w:val="18"/>
                <w:lang w:val="en-US"/>
              </w:rPr>
            </w:pPr>
            <w:r w:rsidRPr="00686994">
              <w:rPr>
                <w:rFonts w:cs="Arial"/>
                <w:szCs w:val="18"/>
                <w:lang w:val="en-US"/>
              </w:rPr>
              <w:t>Equity injection</w:t>
            </w:r>
          </w:p>
        </w:tc>
        <w:tc>
          <w:tcPr>
            <w:tcW w:w="150" w:type="pct"/>
            <w:shd w:val="clear" w:color="auto" w:fill="auto"/>
            <w:noWrap/>
            <w:vAlign w:val="bottom"/>
          </w:tcPr>
          <w:p w14:paraId="77023D64" w14:textId="77777777" w:rsidR="00C90DA4" w:rsidRPr="00F33EB5" w:rsidRDefault="00C90DA4" w:rsidP="00C90DA4">
            <w:pPr>
              <w:jc w:val="center"/>
              <w:rPr>
                <w:rFonts w:cs="Arial"/>
                <w:szCs w:val="18"/>
                <w:lang w:val="en-US"/>
              </w:rPr>
            </w:pPr>
          </w:p>
        </w:tc>
        <w:tc>
          <w:tcPr>
            <w:tcW w:w="510" w:type="pct"/>
            <w:tcBorders>
              <w:bottom w:val="single" w:sz="4" w:space="0" w:color="auto"/>
            </w:tcBorders>
            <w:vAlign w:val="bottom"/>
          </w:tcPr>
          <w:p w14:paraId="2BFA113A" w14:textId="77777777" w:rsidR="00C90DA4" w:rsidRPr="00F33EB5" w:rsidRDefault="00C90DA4" w:rsidP="00C90DA4">
            <w:pPr>
              <w:jc w:val="right"/>
              <w:rPr>
                <w:rFonts w:cs="Arial"/>
                <w:b/>
                <w:bCs/>
                <w:szCs w:val="18"/>
                <w:lang w:val="en-US"/>
              </w:rPr>
            </w:pPr>
            <w:r>
              <w:rPr>
                <w:rFonts w:cs="Arial"/>
                <w:b/>
                <w:bCs/>
                <w:szCs w:val="18"/>
                <w:lang w:val="en-US"/>
              </w:rPr>
              <w:t>-</w:t>
            </w:r>
          </w:p>
        </w:tc>
        <w:tc>
          <w:tcPr>
            <w:tcW w:w="517" w:type="pct"/>
            <w:tcBorders>
              <w:bottom w:val="single" w:sz="4" w:space="0" w:color="auto"/>
            </w:tcBorders>
            <w:shd w:val="clear" w:color="auto" w:fill="FFFFFF"/>
            <w:noWrap/>
            <w:vAlign w:val="bottom"/>
          </w:tcPr>
          <w:p w14:paraId="3373A720" w14:textId="77777777" w:rsidR="00C90DA4" w:rsidRPr="00342337" w:rsidRDefault="00C90DA4" w:rsidP="00C90DA4">
            <w:pPr>
              <w:jc w:val="right"/>
              <w:rPr>
                <w:rFonts w:cs="Arial"/>
                <w:bCs/>
                <w:szCs w:val="18"/>
                <w:lang w:val="en-US"/>
              </w:rPr>
            </w:pPr>
            <w:r w:rsidRPr="00342337">
              <w:rPr>
                <w:rFonts w:cs="Arial"/>
                <w:bCs/>
                <w:szCs w:val="18"/>
                <w:lang w:val="en-US"/>
              </w:rPr>
              <w:t>-</w:t>
            </w:r>
          </w:p>
        </w:tc>
        <w:tc>
          <w:tcPr>
            <w:tcW w:w="150" w:type="pct"/>
            <w:shd w:val="clear" w:color="auto" w:fill="FFFFFF"/>
          </w:tcPr>
          <w:p w14:paraId="76DF5448" w14:textId="77777777" w:rsidR="00C90DA4" w:rsidRPr="00D814E8" w:rsidRDefault="00C90DA4" w:rsidP="00C90DA4">
            <w:pPr>
              <w:jc w:val="right"/>
              <w:rPr>
                <w:rFonts w:cs="Arial"/>
                <w:bCs/>
                <w:szCs w:val="18"/>
                <w:lang w:val="en-US"/>
              </w:rPr>
            </w:pPr>
          </w:p>
        </w:tc>
        <w:tc>
          <w:tcPr>
            <w:tcW w:w="541" w:type="pct"/>
            <w:gridSpan w:val="2"/>
            <w:tcBorders>
              <w:bottom w:val="single" w:sz="4" w:space="0" w:color="auto"/>
            </w:tcBorders>
            <w:shd w:val="clear" w:color="auto" w:fill="FFFFFF"/>
            <w:vAlign w:val="bottom"/>
          </w:tcPr>
          <w:p w14:paraId="70B1504E" w14:textId="77777777" w:rsidR="00C90DA4" w:rsidRPr="00A84ED4" w:rsidRDefault="00C90DA4" w:rsidP="00C90DA4">
            <w:pPr>
              <w:jc w:val="right"/>
              <w:rPr>
                <w:rFonts w:cs="Arial"/>
                <w:bCs/>
                <w:szCs w:val="18"/>
                <w:lang w:val="en-US"/>
              </w:rPr>
            </w:pPr>
            <w:r w:rsidRPr="00A84ED4">
              <w:rPr>
                <w:rFonts w:cs="Arial"/>
                <w:bCs/>
                <w:szCs w:val="18"/>
                <w:lang w:val="en-US"/>
              </w:rPr>
              <w:t>-</w:t>
            </w:r>
          </w:p>
        </w:tc>
        <w:tc>
          <w:tcPr>
            <w:tcW w:w="150" w:type="pct"/>
            <w:gridSpan w:val="2"/>
            <w:shd w:val="clear" w:color="auto" w:fill="FFFFFF"/>
          </w:tcPr>
          <w:p w14:paraId="5D62ADCE" w14:textId="77777777" w:rsidR="00C90DA4" w:rsidRDefault="00C90DA4" w:rsidP="00C90DA4">
            <w:pPr>
              <w:rPr>
                <w:rFonts w:cs="Arial"/>
                <w:bCs/>
                <w:szCs w:val="18"/>
                <w:lang w:val="en-US"/>
              </w:rPr>
            </w:pPr>
          </w:p>
        </w:tc>
      </w:tr>
      <w:tr w:rsidR="00C90DA4" w:rsidRPr="00C05614" w14:paraId="64CD7F00" w14:textId="77777777" w:rsidTr="00F531AA">
        <w:trPr>
          <w:trHeight w:val="255"/>
        </w:trPr>
        <w:tc>
          <w:tcPr>
            <w:tcW w:w="2980" w:type="pct"/>
            <w:shd w:val="clear" w:color="auto" w:fill="FFFFFF"/>
            <w:noWrap/>
            <w:vAlign w:val="bottom"/>
          </w:tcPr>
          <w:p w14:paraId="38B9126E" w14:textId="77777777" w:rsidR="00C90DA4" w:rsidRPr="00686994" w:rsidRDefault="00C90DA4" w:rsidP="00C90DA4">
            <w:pPr>
              <w:rPr>
                <w:rFonts w:cs="Arial"/>
                <w:b/>
                <w:bCs/>
                <w:szCs w:val="18"/>
                <w:lang w:val="en-US"/>
              </w:rPr>
            </w:pPr>
            <w:r>
              <w:rPr>
                <w:rFonts w:cs="Arial"/>
                <w:b/>
                <w:bCs/>
                <w:szCs w:val="18"/>
                <w:lang w:val="en-US"/>
              </w:rPr>
              <w:t>T</w:t>
            </w:r>
            <w:r w:rsidRPr="00686994">
              <w:rPr>
                <w:rFonts w:cs="Arial"/>
                <w:b/>
                <w:bCs/>
                <w:szCs w:val="18"/>
                <w:lang w:val="en-US"/>
              </w:rPr>
              <w:t>otal transactions with owners</w:t>
            </w:r>
          </w:p>
        </w:tc>
        <w:tc>
          <w:tcPr>
            <w:tcW w:w="150" w:type="pct"/>
            <w:shd w:val="clear" w:color="auto" w:fill="FFFFFF"/>
            <w:noWrap/>
            <w:vAlign w:val="bottom"/>
          </w:tcPr>
          <w:p w14:paraId="2F04E57F" w14:textId="77777777" w:rsidR="00C90DA4" w:rsidRPr="00F33EB5" w:rsidRDefault="00C90DA4" w:rsidP="00C90DA4">
            <w:pPr>
              <w:jc w:val="center"/>
              <w:rPr>
                <w:rFonts w:cs="Arial"/>
                <w:szCs w:val="18"/>
                <w:lang w:val="en-US"/>
              </w:rPr>
            </w:pPr>
          </w:p>
        </w:tc>
        <w:tc>
          <w:tcPr>
            <w:tcW w:w="510" w:type="pct"/>
            <w:tcBorders>
              <w:top w:val="single" w:sz="4" w:space="0" w:color="auto"/>
              <w:bottom w:val="single" w:sz="4" w:space="0" w:color="auto"/>
            </w:tcBorders>
            <w:shd w:val="clear" w:color="auto" w:fill="FFFFFF"/>
            <w:vAlign w:val="bottom"/>
          </w:tcPr>
          <w:p w14:paraId="69E50350" w14:textId="77777777" w:rsidR="00C90DA4" w:rsidRPr="00F33EB5" w:rsidRDefault="00C90DA4" w:rsidP="00C90DA4">
            <w:pPr>
              <w:jc w:val="right"/>
              <w:rPr>
                <w:rFonts w:cs="Arial"/>
                <w:b/>
                <w:bCs/>
                <w:szCs w:val="18"/>
                <w:lang w:val="en-US"/>
              </w:rPr>
            </w:pPr>
            <w:r>
              <w:rPr>
                <w:rFonts w:cs="Arial"/>
                <w:b/>
                <w:bCs/>
                <w:szCs w:val="18"/>
                <w:lang w:val="en-US"/>
              </w:rPr>
              <w:t>-</w:t>
            </w:r>
          </w:p>
        </w:tc>
        <w:tc>
          <w:tcPr>
            <w:tcW w:w="517" w:type="pct"/>
            <w:tcBorders>
              <w:top w:val="single" w:sz="4" w:space="0" w:color="auto"/>
              <w:bottom w:val="single" w:sz="4" w:space="0" w:color="auto"/>
            </w:tcBorders>
            <w:shd w:val="clear" w:color="auto" w:fill="FFFFFF"/>
            <w:noWrap/>
            <w:vAlign w:val="bottom"/>
          </w:tcPr>
          <w:p w14:paraId="11BD0D86" w14:textId="77777777" w:rsidR="00C90DA4" w:rsidRPr="00342337" w:rsidRDefault="00C90DA4" w:rsidP="00C90DA4">
            <w:pPr>
              <w:jc w:val="right"/>
              <w:rPr>
                <w:rFonts w:cs="Arial"/>
                <w:bCs/>
                <w:szCs w:val="18"/>
                <w:lang w:val="en-US"/>
              </w:rPr>
            </w:pPr>
            <w:r w:rsidRPr="00342337">
              <w:rPr>
                <w:rFonts w:cs="Arial"/>
                <w:bCs/>
                <w:szCs w:val="18"/>
                <w:lang w:val="en-US"/>
              </w:rPr>
              <w:t>-</w:t>
            </w:r>
          </w:p>
        </w:tc>
        <w:tc>
          <w:tcPr>
            <w:tcW w:w="150" w:type="pct"/>
            <w:shd w:val="clear" w:color="auto" w:fill="FFFFFF"/>
          </w:tcPr>
          <w:p w14:paraId="1CBC9204" w14:textId="77777777" w:rsidR="00C90DA4" w:rsidRPr="00D814E8" w:rsidRDefault="00C90DA4" w:rsidP="00C90DA4">
            <w:pPr>
              <w:jc w:val="right"/>
              <w:rPr>
                <w:rFonts w:cs="Arial"/>
                <w:bCs/>
                <w:szCs w:val="18"/>
                <w:lang w:val="en-US"/>
              </w:rPr>
            </w:pPr>
          </w:p>
        </w:tc>
        <w:tc>
          <w:tcPr>
            <w:tcW w:w="541" w:type="pct"/>
            <w:gridSpan w:val="2"/>
            <w:tcBorders>
              <w:top w:val="single" w:sz="4" w:space="0" w:color="auto"/>
              <w:bottom w:val="single" w:sz="4" w:space="0" w:color="auto"/>
            </w:tcBorders>
            <w:shd w:val="clear" w:color="auto" w:fill="FFFFFF"/>
            <w:vAlign w:val="bottom"/>
          </w:tcPr>
          <w:p w14:paraId="093A701C" w14:textId="77777777" w:rsidR="00C90DA4" w:rsidRPr="00A84ED4" w:rsidRDefault="00C90DA4" w:rsidP="00C90DA4">
            <w:pPr>
              <w:jc w:val="right"/>
              <w:rPr>
                <w:rFonts w:cs="Arial"/>
                <w:bCs/>
                <w:szCs w:val="18"/>
                <w:lang w:val="en-US"/>
              </w:rPr>
            </w:pPr>
            <w:r w:rsidRPr="00A84ED4">
              <w:rPr>
                <w:rFonts w:cs="Arial"/>
                <w:bCs/>
                <w:szCs w:val="18"/>
                <w:lang w:val="en-US"/>
              </w:rPr>
              <w:t>-</w:t>
            </w:r>
          </w:p>
        </w:tc>
        <w:tc>
          <w:tcPr>
            <w:tcW w:w="150" w:type="pct"/>
            <w:gridSpan w:val="2"/>
            <w:shd w:val="clear" w:color="auto" w:fill="FFFFFF"/>
          </w:tcPr>
          <w:p w14:paraId="21EB8EAE" w14:textId="77777777" w:rsidR="00C90DA4" w:rsidRDefault="00C90DA4" w:rsidP="00C90DA4">
            <w:pPr>
              <w:rPr>
                <w:rFonts w:cs="Arial"/>
                <w:bCs/>
                <w:szCs w:val="18"/>
                <w:lang w:val="en-US"/>
              </w:rPr>
            </w:pPr>
          </w:p>
        </w:tc>
      </w:tr>
      <w:tr w:rsidR="00C90DA4" w:rsidRPr="00C05614" w14:paraId="460B5D41" w14:textId="77777777" w:rsidTr="00F531AA">
        <w:trPr>
          <w:trHeight w:val="255"/>
        </w:trPr>
        <w:tc>
          <w:tcPr>
            <w:tcW w:w="2980" w:type="pct"/>
            <w:shd w:val="clear" w:color="auto" w:fill="FFFFFF"/>
            <w:noWrap/>
            <w:vAlign w:val="bottom"/>
          </w:tcPr>
          <w:p w14:paraId="3A8E2261" w14:textId="77777777" w:rsidR="00C90DA4" w:rsidRPr="00686994" w:rsidRDefault="00C90DA4" w:rsidP="00C90DA4">
            <w:pPr>
              <w:rPr>
                <w:rFonts w:cs="Arial"/>
                <w:b/>
                <w:bCs/>
                <w:szCs w:val="18"/>
                <w:lang w:val="en-US"/>
              </w:rPr>
            </w:pPr>
            <w:r w:rsidRPr="00686994">
              <w:rPr>
                <w:rFonts w:cs="Arial"/>
                <w:b/>
                <w:bCs/>
                <w:szCs w:val="18"/>
                <w:lang w:val="en-US"/>
              </w:rPr>
              <w:t>Closing balance as at 30 June</w:t>
            </w:r>
          </w:p>
        </w:tc>
        <w:tc>
          <w:tcPr>
            <w:tcW w:w="150" w:type="pct"/>
            <w:shd w:val="clear" w:color="auto" w:fill="FFFFFF"/>
            <w:noWrap/>
            <w:vAlign w:val="bottom"/>
          </w:tcPr>
          <w:p w14:paraId="79C9B4FB" w14:textId="77777777" w:rsidR="00C90DA4" w:rsidRPr="00F33EB5" w:rsidRDefault="00C90DA4" w:rsidP="00C90DA4">
            <w:pPr>
              <w:jc w:val="center"/>
              <w:rPr>
                <w:rFonts w:cs="Arial"/>
                <w:szCs w:val="18"/>
                <w:lang w:val="en-US"/>
              </w:rPr>
            </w:pPr>
          </w:p>
        </w:tc>
        <w:tc>
          <w:tcPr>
            <w:tcW w:w="510" w:type="pct"/>
            <w:tcBorders>
              <w:top w:val="single" w:sz="4" w:space="0" w:color="auto"/>
              <w:bottom w:val="single" w:sz="4" w:space="0" w:color="auto"/>
            </w:tcBorders>
            <w:shd w:val="clear" w:color="auto" w:fill="FFFFFF"/>
            <w:vAlign w:val="bottom"/>
          </w:tcPr>
          <w:p w14:paraId="4A3107E8" w14:textId="77777777" w:rsidR="00C90DA4" w:rsidRPr="00F33EB5" w:rsidRDefault="00C90DA4" w:rsidP="00C90DA4">
            <w:pPr>
              <w:jc w:val="right"/>
              <w:rPr>
                <w:rFonts w:cs="Arial"/>
                <w:b/>
                <w:bCs/>
                <w:szCs w:val="18"/>
                <w:lang w:val="en-US"/>
              </w:rPr>
            </w:pPr>
            <w:r>
              <w:rPr>
                <w:rFonts w:cs="Arial"/>
                <w:b/>
                <w:bCs/>
                <w:szCs w:val="18"/>
                <w:lang w:val="en-US"/>
              </w:rPr>
              <w:t>2,714</w:t>
            </w:r>
          </w:p>
        </w:tc>
        <w:tc>
          <w:tcPr>
            <w:tcW w:w="517" w:type="pct"/>
            <w:tcBorders>
              <w:top w:val="single" w:sz="4" w:space="0" w:color="auto"/>
              <w:bottom w:val="single" w:sz="4" w:space="0" w:color="auto"/>
            </w:tcBorders>
            <w:shd w:val="clear" w:color="auto" w:fill="FFFFFF"/>
            <w:noWrap/>
            <w:vAlign w:val="bottom"/>
          </w:tcPr>
          <w:p w14:paraId="56091989" w14:textId="77777777" w:rsidR="00C90DA4" w:rsidRPr="00342337" w:rsidRDefault="00C90DA4" w:rsidP="00C90DA4">
            <w:pPr>
              <w:jc w:val="right"/>
              <w:rPr>
                <w:rFonts w:cs="Arial"/>
                <w:bCs/>
                <w:szCs w:val="18"/>
                <w:lang w:val="en-US"/>
              </w:rPr>
            </w:pPr>
            <w:r w:rsidRPr="00342337">
              <w:rPr>
                <w:rFonts w:cs="Arial"/>
                <w:bCs/>
                <w:szCs w:val="18"/>
                <w:lang w:val="en-US"/>
              </w:rPr>
              <w:t>2,426</w:t>
            </w:r>
          </w:p>
        </w:tc>
        <w:tc>
          <w:tcPr>
            <w:tcW w:w="150" w:type="pct"/>
            <w:shd w:val="clear" w:color="auto" w:fill="FFFFFF"/>
          </w:tcPr>
          <w:p w14:paraId="362576D6" w14:textId="77777777" w:rsidR="00C90DA4" w:rsidRPr="00D814E8" w:rsidRDefault="00C90DA4" w:rsidP="00C90DA4">
            <w:pPr>
              <w:jc w:val="right"/>
              <w:rPr>
                <w:rFonts w:cs="Arial"/>
                <w:bCs/>
                <w:szCs w:val="18"/>
                <w:lang w:val="en-US"/>
              </w:rPr>
            </w:pPr>
          </w:p>
        </w:tc>
        <w:tc>
          <w:tcPr>
            <w:tcW w:w="541" w:type="pct"/>
            <w:gridSpan w:val="2"/>
            <w:tcBorders>
              <w:top w:val="single" w:sz="4" w:space="0" w:color="auto"/>
              <w:bottom w:val="single" w:sz="4" w:space="0" w:color="auto"/>
            </w:tcBorders>
            <w:shd w:val="clear" w:color="auto" w:fill="FFFFFF"/>
            <w:vAlign w:val="bottom"/>
          </w:tcPr>
          <w:p w14:paraId="564CAFF4" w14:textId="77777777" w:rsidR="00C90DA4" w:rsidRPr="00A84ED4" w:rsidRDefault="00C90DA4" w:rsidP="00C90DA4">
            <w:pPr>
              <w:jc w:val="right"/>
              <w:rPr>
                <w:rFonts w:cs="Arial"/>
                <w:bCs/>
                <w:szCs w:val="18"/>
                <w:lang w:val="en-US"/>
              </w:rPr>
            </w:pPr>
            <w:r w:rsidRPr="00A84ED4">
              <w:rPr>
                <w:rFonts w:cs="Arial"/>
                <w:bCs/>
                <w:szCs w:val="18"/>
                <w:lang w:val="en-US"/>
              </w:rPr>
              <w:t>1,894</w:t>
            </w:r>
          </w:p>
        </w:tc>
        <w:tc>
          <w:tcPr>
            <w:tcW w:w="150" w:type="pct"/>
            <w:gridSpan w:val="2"/>
            <w:shd w:val="clear" w:color="auto" w:fill="FFFFFF"/>
          </w:tcPr>
          <w:p w14:paraId="57071707" w14:textId="77777777" w:rsidR="00C90DA4" w:rsidRDefault="00C90DA4" w:rsidP="00C90DA4">
            <w:pPr>
              <w:rPr>
                <w:rFonts w:cs="Arial"/>
                <w:bCs/>
                <w:szCs w:val="18"/>
                <w:lang w:val="en-US"/>
              </w:rPr>
            </w:pPr>
            <w:r w:rsidRPr="00B2117B">
              <w:rPr>
                <w:rFonts w:cs="Arial"/>
                <w:bCs/>
                <w:szCs w:val="18"/>
                <w:vertAlign w:val="superscript"/>
                <w:lang w:val="en-US"/>
              </w:rPr>
              <w:t>A</w:t>
            </w:r>
          </w:p>
        </w:tc>
      </w:tr>
      <w:tr w:rsidR="00C90DA4" w:rsidRPr="00C05614" w14:paraId="7A598B59" w14:textId="77777777" w:rsidTr="00F531AA">
        <w:trPr>
          <w:trHeight w:val="57"/>
        </w:trPr>
        <w:tc>
          <w:tcPr>
            <w:tcW w:w="2980" w:type="pct"/>
            <w:shd w:val="clear" w:color="auto" w:fill="FFFFFF"/>
            <w:noWrap/>
            <w:vAlign w:val="bottom"/>
          </w:tcPr>
          <w:p w14:paraId="3D056E2A" w14:textId="77777777" w:rsidR="00C90DA4" w:rsidRPr="00F33EB5" w:rsidRDefault="00C90DA4" w:rsidP="00C90DA4">
            <w:pPr>
              <w:rPr>
                <w:rFonts w:cs="Arial"/>
                <w:b/>
                <w:bCs/>
                <w:szCs w:val="18"/>
                <w:lang w:val="en-US"/>
              </w:rPr>
            </w:pPr>
          </w:p>
        </w:tc>
        <w:tc>
          <w:tcPr>
            <w:tcW w:w="150" w:type="pct"/>
            <w:shd w:val="clear" w:color="auto" w:fill="FFFFFF"/>
            <w:noWrap/>
            <w:vAlign w:val="bottom"/>
          </w:tcPr>
          <w:p w14:paraId="14601C26" w14:textId="77777777" w:rsidR="00C90DA4" w:rsidRPr="00F33EB5" w:rsidRDefault="00C90DA4" w:rsidP="00C90DA4">
            <w:pPr>
              <w:jc w:val="center"/>
              <w:rPr>
                <w:rFonts w:cs="Arial"/>
                <w:szCs w:val="18"/>
                <w:lang w:val="en-US"/>
              </w:rPr>
            </w:pPr>
          </w:p>
        </w:tc>
        <w:tc>
          <w:tcPr>
            <w:tcW w:w="510" w:type="pct"/>
            <w:tcBorders>
              <w:top w:val="single" w:sz="4" w:space="0" w:color="auto"/>
            </w:tcBorders>
            <w:shd w:val="clear" w:color="auto" w:fill="FFFFFF"/>
            <w:vAlign w:val="bottom"/>
          </w:tcPr>
          <w:p w14:paraId="46249DF1" w14:textId="77777777" w:rsidR="00C90DA4" w:rsidRPr="00F33EB5" w:rsidRDefault="00C90DA4" w:rsidP="00C90DA4">
            <w:pPr>
              <w:jc w:val="right"/>
              <w:rPr>
                <w:rFonts w:cs="Arial"/>
                <w:b/>
                <w:bCs/>
                <w:szCs w:val="18"/>
                <w:lang w:val="en-US"/>
              </w:rPr>
            </w:pPr>
          </w:p>
        </w:tc>
        <w:tc>
          <w:tcPr>
            <w:tcW w:w="517" w:type="pct"/>
            <w:tcBorders>
              <w:top w:val="single" w:sz="4" w:space="0" w:color="auto"/>
            </w:tcBorders>
            <w:shd w:val="clear" w:color="auto" w:fill="FFFFFF"/>
            <w:noWrap/>
            <w:vAlign w:val="bottom"/>
          </w:tcPr>
          <w:p w14:paraId="05CC12FA" w14:textId="77777777" w:rsidR="00C90DA4" w:rsidRPr="00D814E8" w:rsidRDefault="00C90DA4" w:rsidP="00C90DA4">
            <w:pPr>
              <w:jc w:val="right"/>
              <w:rPr>
                <w:rFonts w:cs="Arial"/>
                <w:bCs/>
                <w:szCs w:val="18"/>
                <w:lang w:val="en-US"/>
              </w:rPr>
            </w:pPr>
          </w:p>
        </w:tc>
        <w:tc>
          <w:tcPr>
            <w:tcW w:w="150" w:type="pct"/>
            <w:shd w:val="clear" w:color="auto" w:fill="FFFFFF"/>
          </w:tcPr>
          <w:p w14:paraId="0100ADEE" w14:textId="77777777" w:rsidR="00C90DA4" w:rsidRPr="00D814E8" w:rsidRDefault="00C90DA4" w:rsidP="00C90DA4">
            <w:pPr>
              <w:jc w:val="right"/>
              <w:rPr>
                <w:rFonts w:cs="Arial"/>
                <w:bCs/>
                <w:szCs w:val="18"/>
                <w:lang w:val="en-US"/>
              </w:rPr>
            </w:pPr>
          </w:p>
        </w:tc>
        <w:tc>
          <w:tcPr>
            <w:tcW w:w="541" w:type="pct"/>
            <w:gridSpan w:val="2"/>
            <w:tcBorders>
              <w:top w:val="single" w:sz="4" w:space="0" w:color="auto"/>
            </w:tcBorders>
            <w:shd w:val="clear" w:color="auto" w:fill="FFFFFF"/>
          </w:tcPr>
          <w:p w14:paraId="121D4447" w14:textId="77777777" w:rsidR="00C90DA4" w:rsidRPr="00D814E8" w:rsidRDefault="00C90DA4" w:rsidP="00C90DA4">
            <w:pPr>
              <w:jc w:val="right"/>
              <w:rPr>
                <w:rFonts w:cs="Arial"/>
                <w:bCs/>
                <w:szCs w:val="18"/>
                <w:lang w:val="en-US"/>
              </w:rPr>
            </w:pPr>
          </w:p>
        </w:tc>
        <w:tc>
          <w:tcPr>
            <w:tcW w:w="150" w:type="pct"/>
            <w:gridSpan w:val="2"/>
            <w:shd w:val="clear" w:color="auto" w:fill="FFFFFF"/>
          </w:tcPr>
          <w:p w14:paraId="07D10FD8" w14:textId="77777777" w:rsidR="00C90DA4" w:rsidRPr="00D814E8" w:rsidRDefault="00C90DA4" w:rsidP="00C90DA4">
            <w:pPr>
              <w:rPr>
                <w:rFonts w:cs="Arial"/>
                <w:bCs/>
                <w:szCs w:val="18"/>
                <w:lang w:val="en-US"/>
              </w:rPr>
            </w:pPr>
          </w:p>
        </w:tc>
      </w:tr>
      <w:tr w:rsidR="00C90DA4" w:rsidRPr="00C05614" w14:paraId="6F3E1D99" w14:textId="77777777" w:rsidTr="00F531AA">
        <w:trPr>
          <w:gridAfter w:val="1"/>
          <w:wAfter w:w="76" w:type="pct"/>
          <w:trHeight w:val="57"/>
        </w:trPr>
        <w:tc>
          <w:tcPr>
            <w:tcW w:w="4773" w:type="pct"/>
            <w:gridSpan w:val="6"/>
            <w:shd w:val="clear" w:color="auto" w:fill="FFFFFF"/>
            <w:noWrap/>
          </w:tcPr>
          <w:p w14:paraId="5843CE87" w14:textId="77777777" w:rsidR="00C90DA4" w:rsidRPr="00F33EB5" w:rsidRDefault="00C90DA4" w:rsidP="00C90DA4">
            <w:pPr>
              <w:rPr>
                <w:rFonts w:cs="Arial"/>
                <w:szCs w:val="18"/>
                <w:lang w:val="en-US"/>
              </w:rPr>
            </w:pPr>
            <w:r w:rsidRPr="00F33EB5">
              <w:rPr>
                <w:rFonts w:cs="Arial"/>
                <w:szCs w:val="18"/>
                <w:lang w:val="en-US"/>
              </w:rPr>
              <w:t>The above statement should be read in conjunction with the accompanying notes.</w:t>
            </w:r>
          </w:p>
        </w:tc>
        <w:tc>
          <w:tcPr>
            <w:tcW w:w="151" w:type="pct"/>
            <w:gridSpan w:val="2"/>
            <w:shd w:val="clear" w:color="auto" w:fill="FFFFFF"/>
          </w:tcPr>
          <w:p w14:paraId="3C56F692" w14:textId="77777777" w:rsidR="00C90DA4" w:rsidRPr="00F33EB5" w:rsidRDefault="00C90DA4" w:rsidP="00C90DA4">
            <w:pPr>
              <w:rPr>
                <w:rFonts w:cs="Arial"/>
                <w:szCs w:val="18"/>
                <w:lang w:val="en-US"/>
              </w:rPr>
            </w:pPr>
          </w:p>
        </w:tc>
      </w:tr>
      <w:tr w:rsidR="00C90DA4" w:rsidRPr="00C05614" w14:paraId="63111CA3" w14:textId="77777777" w:rsidTr="00F531AA">
        <w:trPr>
          <w:gridAfter w:val="1"/>
          <w:wAfter w:w="76" w:type="pct"/>
          <w:trHeight w:val="57"/>
        </w:trPr>
        <w:tc>
          <w:tcPr>
            <w:tcW w:w="4773" w:type="pct"/>
            <w:gridSpan w:val="6"/>
            <w:shd w:val="clear" w:color="auto" w:fill="FFFFFF"/>
            <w:noWrap/>
          </w:tcPr>
          <w:p w14:paraId="3D025943" w14:textId="77777777" w:rsidR="00C90DA4" w:rsidRPr="00F33EB5" w:rsidRDefault="00C90DA4" w:rsidP="00C90DA4">
            <w:pPr>
              <w:rPr>
                <w:rFonts w:cs="Arial"/>
                <w:szCs w:val="18"/>
                <w:lang w:val="en-US"/>
              </w:rPr>
            </w:pPr>
          </w:p>
        </w:tc>
        <w:tc>
          <w:tcPr>
            <w:tcW w:w="151" w:type="pct"/>
            <w:gridSpan w:val="2"/>
            <w:shd w:val="clear" w:color="auto" w:fill="FFFFFF"/>
          </w:tcPr>
          <w:p w14:paraId="1E2741B9" w14:textId="77777777" w:rsidR="00C90DA4" w:rsidRPr="00F33EB5" w:rsidRDefault="00C90DA4" w:rsidP="00C90DA4">
            <w:pPr>
              <w:rPr>
                <w:rFonts w:cs="Arial"/>
                <w:szCs w:val="18"/>
                <w:lang w:val="en-US"/>
              </w:rPr>
            </w:pPr>
          </w:p>
        </w:tc>
      </w:tr>
      <w:tr w:rsidR="00C90DA4" w:rsidRPr="00C05614" w14:paraId="4950DF4E" w14:textId="77777777" w:rsidTr="00F531AA">
        <w:trPr>
          <w:gridAfter w:val="1"/>
          <w:wAfter w:w="76" w:type="pct"/>
          <w:trHeight w:val="57"/>
        </w:trPr>
        <w:tc>
          <w:tcPr>
            <w:tcW w:w="4773" w:type="pct"/>
            <w:gridSpan w:val="6"/>
            <w:shd w:val="clear" w:color="auto" w:fill="FFFFFF"/>
            <w:noWrap/>
            <w:vAlign w:val="bottom"/>
          </w:tcPr>
          <w:p w14:paraId="22848F87" w14:textId="77777777" w:rsidR="00C90DA4" w:rsidRPr="00FB34BD" w:rsidRDefault="00C90DA4" w:rsidP="00C90DA4">
            <w:pPr>
              <w:rPr>
                <w:rFonts w:cs="Arial"/>
                <w:b/>
                <w:szCs w:val="18"/>
                <w:lang w:val="en-US"/>
              </w:rPr>
            </w:pPr>
            <w:r>
              <w:rPr>
                <w:rFonts w:cs="Arial"/>
                <w:b/>
                <w:szCs w:val="18"/>
                <w:lang w:val="en-US"/>
              </w:rPr>
              <w:t>Original Budget Compared to 2017 Actual Variance Commentary</w:t>
            </w:r>
          </w:p>
          <w:p w14:paraId="5283009D" w14:textId="77777777" w:rsidR="00C90DA4" w:rsidRPr="00B2117B" w:rsidRDefault="00C90DA4" w:rsidP="00C90DA4">
            <w:pPr>
              <w:rPr>
                <w:rFonts w:cs="Arial"/>
                <w:b/>
                <w:szCs w:val="18"/>
                <w:lang w:val="en-US"/>
              </w:rPr>
            </w:pPr>
            <w:r>
              <w:rPr>
                <w:rFonts w:cs="Arial"/>
                <w:b/>
                <w:szCs w:val="18"/>
                <w:lang w:val="en-US"/>
              </w:rPr>
              <w:t>Statement of Changes in Equity</w:t>
            </w:r>
          </w:p>
          <w:p w14:paraId="06BB6752" w14:textId="77777777" w:rsidR="00C90DA4" w:rsidRDefault="00C90DA4" w:rsidP="00C90DA4">
            <w:pPr>
              <w:rPr>
                <w:szCs w:val="18"/>
              </w:rPr>
            </w:pPr>
            <w:proofErr w:type="gramStart"/>
            <w:r w:rsidRPr="00B2117B">
              <w:rPr>
                <w:rFonts w:cs="Arial"/>
                <w:szCs w:val="18"/>
                <w:vertAlign w:val="superscript"/>
                <w:lang w:val="en-US"/>
              </w:rPr>
              <w:t>A</w:t>
            </w:r>
            <w:r w:rsidRPr="00B2117B">
              <w:rPr>
                <w:rFonts w:cs="Arial"/>
                <w:szCs w:val="18"/>
                <w:lang w:val="en-US"/>
              </w:rPr>
              <w:t xml:space="preserve"> </w:t>
            </w:r>
            <w:r w:rsidRPr="00506B95">
              <w:rPr>
                <w:rFonts w:cs="Arial"/>
                <w:spacing w:val="-6"/>
                <w:szCs w:val="18"/>
                <w:lang w:val="en-US"/>
              </w:rPr>
              <w:t>The</w:t>
            </w:r>
            <w:proofErr w:type="gramEnd"/>
            <w:r w:rsidRPr="00506B95">
              <w:rPr>
                <w:rFonts w:cs="Arial"/>
                <w:spacing w:val="-6"/>
                <w:szCs w:val="18"/>
                <w:lang w:val="en-US"/>
              </w:rPr>
              <w:t xml:space="preserve"> 2016-17 budget was derived on a break even assumption and an estimated carried forward </w:t>
            </w:r>
            <w:r>
              <w:rPr>
                <w:rFonts w:cs="Arial"/>
                <w:szCs w:val="18"/>
                <w:lang w:val="en-US"/>
              </w:rPr>
              <w:t>surplus at the time of budget preparation.</w:t>
            </w:r>
          </w:p>
          <w:p w14:paraId="5E7777EC" w14:textId="77777777" w:rsidR="00C90DA4" w:rsidRPr="00FB34BD" w:rsidRDefault="00C90DA4" w:rsidP="00C90DA4">
            <w:pPr>
              <w:spacing w:after="120"/>
              <w:rPr>
                <w:szCs w:val="18"/>
              </w:rPr>
            </w:pPr>
          </w:p>
          <w:p w14:paraId="28408F59" w14:textId="77777777" w:rsidR="00C90DA4" w:rsidRPr="00D814E8" w:rsidRDefault="00C90DA4" w:rsidP="00C90DA4">
            <w:pPr>
              <w:jc w:val="right"/>
              <w:rPr>
                <w:rFonts w:cs="Arial"/>
                <w:bCs/>
                <w:szCs w:val="18"/>
                <w:lang w:val="en-US"/>
              </w:rPr>
            </w:pPr>
          </w:p>
        </w:tc>
        <w:tc>
          <w:tcPr>
            <w:tcW w:w="151" w:type="pct"/>
            <w:gridSpan w:val="2"/>
            <w:shd w:val="clear" w:color="auto" w:fill="FFFFFF"/>
          </w:tcPr>
          <w:p w14:paraId="4FC8116A" w14:textId="77777777" w:rsidR="00C90DA4" w:rsidRDefault="00C90DA4" w:rsidP="00C90DA4">
            <w:pPr>
              <w:rPr>
                <w:rFonts w:cs="Arial"/>
                <w:b/>
                <w:szCs w:val="18"/>
                <w:lang w:val="en-US"/>
              </w:rPr>
            </w:pPr>
          </w:p>
        </w:tc>
      </w:tr>
    </w:tbl>
    <w:p w14:paraId="3E939E55" w14:textId="77777777" w:rsidR="008768B0" w:rsidRDefault="008768B0" w:rsidP="005E0AFC">
      <w:pPr>
        <w:pStyle w:val="BodyText"/>
      </w:pPr>
    </w:p>
    <w:p w14:paraId="402E0B67" w14:textId="77777777" w:rsidR="00195E07" w:rsidRDefault="00195E07">
      <w:pPr>
        <w:spacing w:after="160" w:line="259" w:lineRule="auto"/>
      </w:pPr>
      <w:r>
        <w:br w:type="page"/>
      </w:r>
    </w:p>
    <w:p w14:paraId="4178572B" w14:textId="77777777" w:rsidR="00C90DA4" w:rsidRPr="00C05614" w:rsidRDefault="00C90DA4" w:rsidP="00C90DA4">
      <w:pPr>
        <w:pStyle w:val="Heading2"/>
        <w:pageBreakBefore/>
        <w:spacing w:before="120" w:after="0"/>
        <w:ind w:firstLine="284"/>
        <w:rPr>
          <w:color w:val="auto"/>
        </w:rPr>
      </w:pPr>
      <w:r w:rsidRPr="00C05614">
        <w:rPr>
          <w:color w:val="auto"/>
        </w:rPr>
        <w:lastRenderedPageBreak/>
        <w:t xml:space="preserve">Cash </w:t>
      </w:r>
      <w:r>
        <w:rPr>
          <w:color w:val="auto"/>
        </w:rPr>
        <w:t>F</w:t>
      </w:r>
      <w:r w:rsidRPr="00C05614">
        <w:rPr>
          <w:color w:val="auto"/>
        </w:rPr>
        <w:t xml:space="preserve">low </w:t>
      </w:r>
      <w:r>
        <w:rPr>
          <w:color w:val="auto"/>
        </w:rPr>
        <w:t>S</w:t>
      </w:r>
      <w:r w:rsidRPr="00C05614">
        <w:rPr>
          <w:color w:val="auto"/>
        </w:rPr>
        <w:t>tatement</w:t>
      </w:r>
    </w:p>
    <w:p w14:paraId="40B4E3EA" w14:textId="77777777" w:rsidR="00C90DA4" w:rsidRPr="00C05614" w:rsidRDefault="00C90DA4" w:rsidP="00C90DA4">
      <w:pPr>
        <w:ind w:firstLine="284"/>
      </w:pPr>
      <w:r w:rsidRPr="00C05614">
        <w:t xml:space="preserve">for the period ended 30 June </w:t>
      </w:r>
      <w:r>
        <w:t>2017</w:t>
      </w:r>
    </w:p>
    <w:tbl>
      <w:tblPr>
        <w:tblW w:w="4851" w:type="pct"/>
        <w:tblLayout w:type="fixed"/>
        <w:tblLook w:val="0000" w:firstRow="0" w:lastRow="0" w:firstColumn="0" w:lastColumn="0" w:noHBand="0" w:noVBand="0"/>
        <w:tblCaption w:val="Cash Flow Statement"/>
      </w:tblPr>
      <w:tblGrid>
        <w:gridCol w:w="3914"/>
        <w:gridCol w:w="761"/>
        <w:gridCol w:w="1000"/>
        <w:gridCol w:w="1019"/>
        <w:gridCol w:w="244"/>
        <w:gridCol w:w="620"/>
        <w:gridCol w:w="43"/>
        <w:gridCol w:w="232"/>
        <w:gridCol w:w="134"/>
        <w:gridCol w:w="43"/>
        <w:gridCol w:w="231"/>
      </w:tblGrid>
      <w:tr w:rsidR="00F531AA" w:rsidRPr="00C05614" w14:paraId="7D4C8339" w14:textId="77777777" w:rsidTr="00506B95">
        <w:trPr>
          <w:trHeight w:val="255"/>
        </w:trPr>
        <w:tc>
          <w:tcPr>
            <w:tcW w:w="2375" w:type="pct"/>
            <w:tcBorders>
              <w:top w:val="nil"/>
              <w:left w:val="nil"/>
              <w:bottom w:val="nil"/>
              <w:right w:val="nil"/>
            </w:tcBorders>
            <w:shd w:val="clear" w:color="auto" w:fill="FFFFFF"/>
            <w:noWrap/>
            <w:vAlign w:val="bottom"/>
          </w:tcPr>
          <w:p w14:paraId="769852EF" w14:textId="77777777" w:rsidR="00C90DA4" w:rsidRPr="00C05614" w:rsidRDefault="00C90DA4" w:rsidP="00C90DA4">
            <w:pPr>
              <w:ind w:left="284"/>
              <w:rPr>
                <w:szCs w:val="18"/>
                <w:lang w:val="en-US"/>
              </w:rPr>
            </w:pPr>
            <w:r w:rsidRPr="00C05614">
              <w:rPr>
                <w:szCs w:val="18"/>
                <w:lang w:val="en-US"/>
              </w:rPr>
              <w:t> </w:t>
            </w:r>
          </w:p>
        </w:tc>
        <w:tc>
          <w:tcPr>
            <w:tcW w:w="462" w:type="pct"/>
            <w:tcBorders>
              <w:top w:val="nil"/>
              <w:left w:val="nil"/>
              <w:bottom w:val="nil"/>
              <w:right w:val="nil"/>
            </w:tcBorders>
            <w:shd w:val="clear" w:color="auto" w:fill="FFFFFF"/>
            <w:noWrap/>
            <w:vAlign w:val="bottom"/>
          </w:tcPr>
          <w:p w14:paraId="4CB28D3D" w14:textId="77777777" w:rsidR="00C90DA4" w:rsidRPr="00C05614" w:rsidRDefault="00C90DA4" w:rsidP="00C90DA4">
            <w:pPr>
              <w:jc w:val="center"/>
              <w:rPr>
                <w:b/>
                <w:bCs/>
                <w:szCs w:val="18"/>
                <w:lang w:val="en-US"/>
              </w:rPr>
            </w:pPr>
            <w:r w:rsidRPr="00C05614">
              <w:rPr>
                <w:b/>
                <w:bCs/>
                <w:szCs w:val="18"/>
                <w:lang w:val="en-US"/>
              </w:rPr>
              <w:t> </w:t>
            </w:r>
          </w:p>
        </w:tc>
        <w:tc>
          <w:tcPr>
            <w:tcW w:w="607" w:type="pct"/>
            <w:tcBorders>
              <w:top w:val="nil"/>
              <w:left w:val="nil"/>
              <w:bottom w:val="nil"/>
              <w:right w:val="nil"/>
            </w:tcBorders>
            <w:shd w:val="clear" w:color="auto" w:fill="FFFFFF"/>
            <w:vAlign w:val="bottom"/>
          </w:tcPr>
          <w:p w14:paraId="78E14515" w14:textId="77777777" w:rsidR="00C90DA4" w:rsidRPr="00C05614" w:rsidRDefault="00C90DA4" w:rsidP="00C90DA4">
            <w:pPr>
              <w:jc w:val="right"/>
              <w:rPr>
                <w:b/>
                <w:bCs/>
                <w:szCs w:val="18"/>
                <w:lang w:val="en-US"/>
              </w:rPr>
            </w:pPr>
            <w:r>
              <w:rPr>
                <w:b/>
                <w:bCs/>
                <w:szCs w:val="18"/>
                <w:lang w:val="en-US"/>
              </w:rPr>
              <w:t>2017</w:t>
            </w:r>
          </w:p>
        </w:tc>
        <w:tc>
          <w:tcPr>
            <w:tcW w:w="618" w:type="pct"/>
            <w:tcBorders>
              <w:top w:val="nil"/>
              <w:left w:val="nil"/>
              <w:bottom w:val="nil"/>
              <w:right w:val="nil"/>
            </w:tcBorders>
            <w:shd w:val="clear" w:color="auto" w:fill="FFFFFF"/>
            <w:noWrap/>
            <w:vAlign w:val="bottom"/>
          </w:tcPr>
          <w:p w14:paraId="7524345B" w14:textId="77777777" w:rsidR="00C90DA4" w:rsidRPr="00C05614" w:rsidRDefault="00C90DA4" w:rsidP="00C90DA4">
            <w:pPr>
              <w:jc w:val="right"/>
              <w:rPr>
                <w:bCs/>
                <w:szCs w:val="18"/>
                <w:lang w:val="en-US"/>
              </w:rPr>
            </w:pPr>
            <w:r>
              <w:rPr>
                <w:bCs/>
                <w:szCs w:val="18"/>
                <w:lang w:val="en-US"/>
              </w:rPr>
              <w:t>2016</w:t>
            </w:r>
          </w:p>
        </w:tc>
        <w:tc>
          <w:tcPr>
            <w:tcW w:w="148" w:type="pct"/>
            <w:tcBorders>
              <w:top w:val="nil"/>
              <w:left w:val="nil"/>
              <w:bottom w:val="nil"/>
              <w:right w:val="nil"/>
            </w:tcBorders>
            <w:shd w:val="clear" w:color="auto" w:fill="FFFFFF"/>
          </w:tcPr>
          <w:p w14:paraId="08F97F79" w14:textId="77777777" w:rsidR="00C90DA4" w:rsidRDefault="00C90DA4" w:rsidP="00C90DA4">
            <w:pPr>
              <w:jc w:val="right"/>
              <w:rPr>
                <w:bCs/>
                <w:szCs w:val="18"/>
                <w:lang w:val="en-US"/>
              </w:rPr>
            </w:pPr>
          </w:p>
        </w:tc>
        <w:tc>
          <w:tcPr>
            <w:tcW w:w="543" w:type="pct"/>
            <w:gridSpan w:val="3"/>
            <w:tcBorders>
              <w:top w:val="nil"/>
              <w:left w:val="nil"/>
              <w:bottom w:val="nil"/>
              <w:right w:val="nil"/>
            </w:tcBorders>
            <w:shd w:val="clear" w:color="auto" w:fill="FFFFFF"/>
          </w:tcPr>
          <w:p w14:paraId="669BF489" w14:textId="77777777" w:rsidR="00C90DA4" w:rsidRDefault="00C90DA4" w:rsidP="00C90DA4">
            <w:pPr>
              <w:jc w:val="right"/>
              <w:rPr>
                <w:bCs/>
                <w:szCs w:val="18"/>
                <w:lang w:val="en-US"/>
              </w:rPr>
            </w:pPr>
            <w:r w:rsidRPr="00A84ED4">
              <w:rPr>
                <w:bCs/>
                <w:szCs w:val="18"/>
                <w:lang w:val="en-US"/>
              </w:rPr>
              <w:t>Original Budget</w:t>
            </w:r>
          </w:p>
          <w:p w14:paraId="080112BA" w14:textId="77777777" w:rsidR="00C90DA4" w:rsidRPr="00A84ED4" w:rsidRDefault="00C90DA4" w:rsidP="00C90DA4">
            <w:pPr>
              <w:jc w:val="right"/>
              <w:rPr>
                <w:bCs/>
                <w:szCs w:val="18"/>
                <w:lang w:val="en-US"/>
              </w:rPr>
            </w:pPr>
            <w:r>
              <w:rPr>
                <w:bCs/>
                <w:szCs w:val="18"/>
                <w:lang w:val="en-US"/>
              </w:rPr>
              <w:t>2017</w:t>
            </w:r>
          </w:p>
        </w:tc>
        <w:tc>
          <w:tcPr>
            <w:tcW w:w="247" w:type="pct"/>
            <w:gridSpan w:val="3"/>
            <w:tcBorders>
              <w:top w:val="nil"/>
              <w:left w:val="nil"/>
              <w:bottom w:val="nil"/>
              <w:right w:val="nil"/>
            </w:tcBorders>
            <w:shd w:val="clear" w:color="auto" w:fill="FFFFFF"/>
          </w:tcPr>
          <w:p w14:paraId="2C380CB7" w14:textId="77777777" w:rsidR="00C90DA4" w:rsidRDefault="00C90DA4" w:rsidP="00C90DA4">
            <w:pPr>
              <w:rPr>
                <w:bCs/>
                <w:szCs w:val="18"/>
                <w:lang w:val="en-US"/>
              </w:rPr>
            </w:pPr>
          </w:p>
        </w:tc>
      </w:tr>
      <w:tr w:rsidR="00F531AA" w:rsidRPr="00C05614" w14:paraId="0C2F275E" w14:textId="77777777" w:rsidTr="00506B95">
        <w:trPr>
          <w:trHeight w:val="255"/>
        </w:trPr>
        <w:tc>
          <w:tcPr>
            <w:tcW w:w="2375" w:type="pct"/>
            <w:tcBorders>
              <w:top w:val="nil"/>
              <w:left w:val="nil"/>
              <w:bottom w:val="nil"/>
              <w:right w:val="nil"/>
            </w:tcBorders>
            <w:shd w:val="clear" w:color="auto" w:fill="FFFFFF"/>
            <w:noWrap/>
            <w:vAlign w:val="bottom"/>
          </w:tcPr>
          <w:p w14:paraId="7B530B21" w14:textId="77777777" w:rsidR="00C90DA4" w:rsidRPr="00C05614" w:rsidRDefault="00C90DA4" w:rsidP="00C90DA4">
            <w:pPr>
              <w:ind w:left="284"/>
              <w:rPr>
                <w:szCs w:val="18"/>
                <w:lang w:val="en-US"/>
              </w:rPr>
            </w:pPr>
            <w:r w:rsidRPr="00C05614">
              <w:rPr>
                <w:szCs w:val="18"/>
                <w:lang w:val="en-US"/>
              </w:rPr>
              <w:t> </w:t>
            </w:r>
          </w:p>
        </w:tc>
        <w:tc>
          <w:tcPr>
            <w:tcW w:w="462" w:type="pct"/>
            <w:tcBorders>
              <w:top w:val="nil"/>
              <w:left w:val="nil"/>
              <w:bottom w:val="nil"/>
              <w:right w:val="nil"/>
            </w:tcBorders>
            <w:shd w:val="clear" w:color="auto" w:fill="FFFFFF"/>
            <w:noWrap/>
            <w:vAlign w:val="bottom"/>
          </w:tcPr>
          <w:p w14:paraId="3BDEE0B5" w14:textId="77777777" w:rsidR="00C90DA4" w:rsidRPr="00C05614" w:rsidRDefault="00C90DA4" w:rsidP="00C90DA4">
            <w:pPr>
              <w:jc w:val="center"/>
              <w:rPr>
                <w:b/>
                <w:bCs/>
                <w:szCs w:val="18"/>
                <w:lang w:val="en-US"/>
              </w:rPr>
            </w:pPr>
            <w:r w:rsidRPr="00C05614">
              <w:rPr>
                <w:b/>
                <w:bCs/>
                <w:szCs w:val="18"/>
                <w:lang w:val="en-US"/>
              </w:rPr>
              <w:t>Notes</w:t>
            </w:r>
          </w:p>
        </w:tc>
        <w:tc>
          <w:tcPr>
            <w:tcW w:w="607" w:type="pct"/>
            <w:tcBorders>
              <w:top w:val="nil"/>
              <w:left w:val="nil"/>
              <w:bottom w:val="nil"/>
              <w:right w:val="nil"/>
            </w:tcBorders>
            <w:shd w:val="clear" w:color="auto" w:fill="FFFFFF"/>
            <w:vAlign w:val="bottom"/>
          </w:tcPr>
          <w:p w14:paraId="705F52FF" w14:textId="77777777" w:rsidR="00C90DA4" w:rsidRPr="00C05614" w:rsidRDefault="00C90DA4" w:rsidP="00C90DA4">
            <w:pPr>
              <w:jc w:val="right"/>
              <w:rPr>
                <w:b/>
                <w:bCs/>
                <w:szCs w:val="18"/>
                <w:lang w:val="en-US"/>
              </w:rPr>
            </w:pPr>
            <w:r w:rsidRPr="00C05614">
              <w:rPr>
                <w:b/>
                <w:bCs/>
                <w:szCs w:val="18"/>
                <w:lang w:val="en-US"/>
              </w:rPr>
              <w:t>$’000</w:t>
            </w:r>
          </w:p>
        </w:tc>
        <w:tc>
          <w:tcPr>
            <w:tcW w:w="618" w:type="pct"/>
            <w:tcBorders>
              <w:top w:val="nil"/>
              <w:left w:val="nil"/>
              <w:bottom w:val="nil"/>
              <w:right w:val="nil"/>
            </w:tcBorders>
            <w:shd w:val="clear" w:color="auto" w:fill="FFFFFF"/>
            <w:noWrap/>
            <w:vAlign w:val="bottom"/>
          </w:tcPr>
          <w:p w14:paraId="13FFF946" w14:textId="77777777" w:rsidR="00C90DA4" w:rsidRPr="00C05614" w:rsidRDefault="00C90DA4" w:rsidP="00C90DA4">
            <w:pPr>
              <w:jc w:val="right"/>
              <w:rPr>
                <w:bCs/>
                <w:szCs w:val="18"/>
                <w:lang w:val="en-US"/>
              </w:rPr>
            </w:pPr>
            <w:r w:rsidRPr="00C05614">
              <w:rPr>
                <w:bCs/>
                <w:szCs w:val="18"/>
                <w:lang w:val="en-US"/>
              </w:rPr>
              <w:t>$’000</w:t>
            </w:r>
          </w:p>
        </w:tc>
        <w:tc>
          <w:tcPr>
            <w:tcW w:w="148" w:type="pct"/>
            <w:tcBorders>
              <w:top w:val="nil"/>
              <w:left w:val="nil"/>
              <w:bottom w:val="nil"/>
              <w:right w:val="nil"/>
            </w:tcBorders>
            <w:shd w:val="clear" w:color="auto" w:fill="FFFFFF"/>
          </w:tcPr>
          <w:p w14:paraId="5E0AB6FD" w14:textId="77777777" w:rsidR="00C90DA4" w:rsidRPr="00C05614" w:rsidRDefault="00C90DA4" w:rsidP="00C90DA4">
            <w:pPr>
              <w:jc w:val="right"/>
              <w:rPr>
                <w:bCs/>
                <w:szCs w:val="18"/>
                <w:lang w:val="en-US"/>
              </w:rPr>
            </w:pPr>
          </w:p>
        </w:tc>
        <w:tc>
          <w:tcPr>
            <w:tcW w:w="543" w:type="pct"/>
            <w:gridSpan w:val="3"/>
            <w:tcBorders>
              <w:top w:val="nil"/>
              <w:left w:val="nil"/>
              <w:bottom w:val="nil"/>
              <w:right w:val="nil"/>
            </w:tcBorders>
            <w:shd w:val="clear" w:color="auto" w:fill="FFFFFF"/>
            <w:vAlign w:val="bottom"/>
          </w:tcPr>
          <w:p w14:paraId="5C1AE977" w14:textId="77777777" w:rsidR="00C90DA4" w:rsidRPr="00A84ED4" w:rsidRDefault="00C90DA4" w:rsidP="00C90DA4">
            <w:pPr>
              <w:jc w:val="right"/>
              <w:rPr>
                <w:bCs/>
                <w:szCs w:val="18"/>
                <w:lang w:val="en-US"/>
              </w:rPr>
            </w:pPr>
            <w:r w:rsidRPr="00A84ED4">
              <w:rPr>
                <w:bCs/>
                <w:szCs w:val="18"/>
                <w:lang w:val="en-US"/>
              </w:rPr>
              <w:t>$’000</w:t>
            </w:r>
          </w:p>
        </w:tc>
        <w:tc>
          <w:tcPr>
            <w:tcW w:w="247" w:type="pct"/>
            <w:gridSpan w:val="3"/>
            <w:tcBorders>
              <w:top w:val="nil"/>
              <w:left w:val="nil"/>
              <w:bottom w:val="nil"/>
              <w:right w:val="nil"/>
            </w:tcBorders>
            <w:shd w:val="clear" w:color="auto" w:fill="FFFFFF"/>
          </w:tcPr>
          <w:p w14:paraId="0F7B671B" w14:textId="77777777" w:rsidR="00C90DA4" w:rsidRPr="00C05614" w:rsidRDefault="00C90DA4" w:rsidP="00C90DA4">
            <w:pPr>
              <w:rPr>
                <w:bCs/>
                <w:szCs w:val="18"/>
                <w:lang w:val="en-US"/>
              </w:rPr>
            </w:pPr>
          </w:p>
        </w:tc>
      </w:tr>
      <w:tr w:rsidR="00F531AA" w:rsidRPr="00C05614" w14:paraId="379BF238" w14:textId="77777777" w:rsidTr="00506B95">
        <w:trPr>
          <w:trHeight w:val="255"/>
        </w:trPr>
        <w:tc>
          <w:tcPr>
            <w:tcW w:w="2375" w:type="pct"/>
            <w:tcBorders>
              <w:top w:val="nil"/>
              <w:left w:val="nil"/>
              <w:bottom w:val="nil"/>
              <w:right w:val="nil"/>
            </w:tcBorders>
            <w:shd w:val="clear" w:color="auto" w:fill="FFFFFF"/>
            <w:noWrap/>
            <w:vAlign w:val="bottom"/>
          </w:tcPr>
          <w:p w14:paraId="0805E93D" w14:textId="77777777" w:rsidR="00C90DA4" w:rsidRPr="00C05614" w:rsidRDefault="00C90DA4" w:rsidP="00C90DA4">
            <w:pPr>
              <w:ind w:left="284"/>
              <w:rPr>
                <w:szCs w:val="18"/>
                <w:lang w:val="en-US"/>
              </w:rPr>
            </w:pPr>
            <w:r w:rsidRPr="00C05614">
              <w:rPr>
                <w:szCs w:val="18"/>
                <w:lang w:val="en-US"/>
              </w:rPr>
              <w:t> </w:t>
            </w:r>
          </w:p>
        </w:tc>
        <w:tc>
          <w:tcPr>
            <w:tcW w:w="462" w:type="pct"/>
            <w:tcBorders>
              <w:top w:val="nil"/>
              <w:left w:val="nil"/>
              <w:bottom w:val="nil"/>
              <w:right w:val="nil"/>
            </w:tcBorders>
            <w:shd w:val="clear" w:color="auto" w:fill="FFFFFF"/>
            <w:noWrap/>
            <w:vAlign w:val="bottom"/>
          </w:tcPr>
          <w:p w14:paraId="65D18374" w14:textId="77777777" w:rsidR="00C90DA4" w:rsidRPr="00C05614" w:rsidRDefault="00C90DA4" w:rsidP="00C90DA4">
            <w:pPr>
              <w:rPr>
                <w:szCs w:val="18"/>
                <w:lang w:val="en-US"/>
              </w:rPr>
            </w:pPr>
            <w:r w:rsidRPr="00C05614">
              <w:rPr>
                <w:szCs w:val="18"/>
                <w:lang w:val="en-US"/>
              </w:rPr>
              <w:t> </w:t>
            </w:r>
          </w:p>
        </w:tc>
        <w:tc>
          <w:tcPr>
            <w:tcW w:w="607" w:type="pct"/>
            <w:tcBorders>
              <w:top w:val="nil"/>
              <w:left w:val="nil"/>
              <w:bottom w:val="nil"/>
              <w:right w:val="nil"/>
            </w:tcBorders>
            <w:shd w:val="clear" w:color="auto" w:fill="FFFFFF"/>
            <w:vAlign w:val="bottom"/>
          </w:tcPr>
          <w:p w14:paraId="31ACDF1F" w14:textId="77777777" w:rsidR="00C90DA4" w:rsidRPr="00C05614" w:rsidRDefault="00C90DA4" w:rsidP="00C90DA4">
            <w:pPr>
              <w:jc w:val="right"/>
              <w:rPr>
                <w:b/>
                <w:bCs/>
                <w:szCs w:val="18"/>
                <w:lang w:val="en-US"/>
              </w:rPr>
            </w:pPr>
            <w:r w:rsidRPr="00C05614">
              <w:rPr>
                <w:b/>
                <w:bCs/>
                <w:szCs w:val="18"/>
                <w:lang w:val="en-US"/>
              </w:rPr>
              <w:t> </w:t>
            </w:r>
          </w:p>
        </w:tc>
        <w:tc>
          <w:tcPr>
            <w:tcW w:w="618" w:type="pct"/>
            <w:tcBorders>
              <w:top w:val="nil"/>
              <w:left w:val="nil"/>
              <w:bottom w:val="nil"/>
              <w:right w:val="nil"/>
            </w:tcBorders>
            <w:shd w:val="clear" w:color="auto" w:fill="FFFFFF"/>
            <w:noWrap/>
            <w:vAlign w:val="bottom"/>
          </w:tcPr>
          <w:p w14:paraId="4FF863E7" w14:textId="77777777" w:rsidR="00C90DA4" w:rsidRPr="00C05614" w:rsidRDefault="00C90DA4" w:rsidP="00C90DA4">
            <w:pPr>
              <w:jc w:val="right"/>
              <w:rPr>
                <w:bCs/>
                <w:szCs w:val="18"/>
                <w:lang w:val="en-US"/>
              </w:rPr>
            </w:pPr>
            <w:r w:rsidRPr="00C05614">
              <w:rPr>
                <w:bCs/>
                <w:szCs w:val="18"/>
                <w:lang w:val="en-US"/>
              </w:rPr>
              <w:t> </w:t>
            </w:r>
          </w:p>
        </w:tc>
        <w:tc>
          <w:tcPr>
            <w:tcW w:w="148" w:type="pct"/>
            <w:tcBorders>
              <w:top w:val="nil"/>
              <w:left w:val="nil"/>
              <w:bottom w:val="nil"/>
              <w:right w:val="nil"/>
            </w:tcBorders>
            <w:shd w:val="clear" w:color="auto" w:fill="FFFFFF"/>
          </w:tcPr>
          <w:p w14:paraId="071D853D" w14:textId="77777777" w:rsidR="00C90DA4" w:rsidRPr="00C05614" w:rsidRDefault="00C90DA4" w:rsidP="00C90DA4">
            <w:pPr>
              <w:jc w:val="right"/>
              <w:rPr>
                <w:bCs/>
                <w:szCs w:val="18"/>
                <w:lang w:val="en-US"/>
              </w:rPr>
            </w:pPr>
          </w:p>
        </w:tc>
        <w:tc>
          <w:tcPr>
            <w:tcW w:w="543" w:type="pct"/>
            <w:gridSpan w:val="3"/>
            <w:tcBorders>
              <w:top w:val="nil"/>
              <w:left w:val="nil"/>
              <w:bottom w:val="nil"/>
              <w:right w:val="nil"/>
            </w:tcBorders>
            <w:shd w:val="clear" w:color="auto" w:fill="FFFFFF"/>
          </w:tcPr>
          <w:p w14:paraId="128D335B" w14:textId="77777777" w:rsidR="00C90DA4" w:rsidRPr="00A84ED4" w:rsidRDefault="00C90DA4" w:rsidP="00C90DA4">
            <w:pPr>
              <w:jc w:val="right"/>
              <w:rPr>
                <w:bCs/>
                <w:szCs w:val="18"/>
                <w:lang w:val="en-US"/>
              </w:rPr>
            </w:pPr>
          </w:p>
        </w:tc>
        <w:tc>
          <w:tcPr>
            <w:tcW w:w="247" w:type="pct"/>
            <w:gridSpan w:val="3"/>
            <w:tcBorders>
              <w:top w:val="nil"/>
              <w:left w:val="nil"/>
              <w:bottom w:val="nil"/>
              <w:right w:val="nil"/>
            </w:tcBorders>
            <w:shd w:val="clear" w:color="auto" w:fill="FFFFFF"/>
          </w:tcPr>
          <w:p w14:paraId="4DF7D464" w14:textId="77777777" w:rsidR="00C90DA4" w:rsidRPr="00C05614" w:rsidRDefault="00C90DA4" w:rsidP="00C90DA4">
            <w:pPr>
              <w:rPr>
                <w:bCs/>
                <w:szCs w:val="18"/>
                <w:lang w:val="en-US"/>
              </w:rPr>
            </w:pPr>
          </w:p>
        </w:tc>
      </w:tr>
      <w:tr w:rsidR="00F531AA" w:rsidRPr="00C05614" w14:paraId="758C9788" w14:textId="77777777" w:rsidTr="00506B95">
        <w:trPr>
          <w:trHeight w:val="255"/>
        </w:trPr>
        <w:tc>
          <w:tcPr>
            <w:tcW w:w="2375" w:type="pct"/>
            <w:tcBorders>
              <w:top w:val="nil"/>
              <w:left w:val="nil"/>
              <w:bottom w:val="nil"/>
              <w:right w:val="nil"/>
            </w:tcBorders>
            <w:shd w:val="clear" w:color="auto" w:fill="FFFFFF"/>
            <w:noWrap/>
            <w:vAlign w:val="bottom"/>
          </w:tcPr>
          <w:p w14:paraId="74A82BC7" w14:textId="77777777" w:rsidR="00C90DA4" w:rsidRPr="00C05614" w:rsidRDefault="00C90DA4" w:rsidP="00C90DA4">
            <w:pPr>
              <w:ind w:left="284"/>
              <w:rPr>
                <w:b/>
                <w:bCs/>
                <w:szCs w:val="18"/>
                <w:lang w:val="en-US"/>
              </w:rPr>
            </w:pPr>
            <w:r w:rsidRPr="00C05614">
              <w:rPr>
                <w:b/>
                <w:bCs/>
                <w:szCs w:val="18"/>
                <w:lang w:val="en-US"/>
              </w:rPr>
              <w:t>OPERATING ACTIVITIES</w:t>
            </w:r>
          </w:p>
        </w:tc>
        <w:tc>
          <w:tcPr>
            <w:tcW w:w="462" w:type="pct"/>
            <w:tcBorders>
              <w:top w:val="nil"/>
              <w:left w:val="nil"/>
              <w:bottom w:val="nil"/>
              <w:right w:val="nil"/>
            </w:tcBorders>
            <w:shd w:val="clear" w:color="auto" w:fill="FFFFFF"/>
            <w:noWrap/>
            <w:vAlign w:val="bottom"/>
          </w:tcPr>
          <w:p w14:paraId="72A45E89" w14:textId="77777777" w:rsidR="00C90DA4" w:rsidRPr="00C05614" w:rsidRDefault="00C90DA4" w:rsidP="00C90DA4">
            <w:pPr>
              <w:rPr>
                <w:b/>
                <w:bCs/>
                <w:szCs w:val="18"/>
                <w:lang w:val="en-US"/>
              </w:rPr>
            </w:pPr>
            <w:r w:rsidRPr="00C05614">
              <w:rPr>
                <w:b/>
                <w:bCs/>
                <w:szCs w:val="18"/>
                <w:lang w:val="en-US"/>
              </w:rPr>
              <w:t> </w:t>
            </w:r>
          </w:p>
        </w:tc>
        <w:tc>
          <w:tcPr>
            <w:tcW w:w="607" w:type="pct"/>
            <w:tcBorders>
              <w:top w:val="nil"/>
              <w:left w:val="nil"/>
              <w:bottom w:val="nil"/>
              <w:right w:val="nil"/>
            </w:tcBorders>
            <w:shd w:val="clear" w:color="auto" w:fill="FFFFFF"/>
            <w:vAlign w:val="bottom"/>
          </w:tcPr>
          <w:p w14:paraId="26CBA7AE" w14:textId="77777777" w:rsidR="00C90DA4" w:rsidRPr="00C05614" w:rsidRDefault="00C90DA4" w:rsidP="00C90DA4">
            <w:pPr>
              <w:jc w:val="right"/>
              <w:rPr>
                <w:b/>
                <w:bCs/>
                <w:szCs w:val="18"/>
                <w:lang w:val="en-US"/>
              </w:rPr>
            </w:pPr>
            <w:r w:rsidRPr="00C05614">
              <w:rPr>
                <w:b/>
                <w:bCs/>
                <w:szCs w:val="18"/>
                <w:lang w:val="en-US"/>
              </w:rPr>
              <w:t> </w:t>
            </w:r>
          </w:p>
        </w:tc>
        <w:tc>
          <w:tcPr>
            <w:tcW w:w="618" w:type="pct"/>
            <w:tcBorders>
              <w:top w:val="nil"/>
              <w:left w:val="nil"/>
              <w:bottom w:val="nil"/>
              <w:right w:val="nil"/>
            </w:tcBorders>
            <w:shd w:val="clear" w:color="auto" w:fill="FFFFFF"/>
            <w:noWrap/>
            <w:vAlign w:val="bottom"/>
          </w:tcPr>
          <w:p w14:paraId="6DEC8611" w14:textId="77777777" w:rsidR="00C90DA4" w:rsidRPr="00C05614" w:rsidRDefault="00C90DA4" w:rsidP="00C90DA4">
            <w:pPr>
              <w:jc w:val="right"/>
              <w:rPr>
                <w:bCs/>
                <w:szCs w:val="18"/>
                <w:lang w:val="en-US"/>
              </w:rPr>
            </w:pPr>
            <w:r w:rsidRPr="00C05614">
              <w:rPr>
                <w:bCs/>
                <w:szCs w:val="18"/>
                <w:lang w:val="en-US"/>
              </w:rPr>
              <w:t> </w:t>
            </w:r>
          </w:p>
        </w:tc>
        <w:tc>
          <w:tcPr>
            <w:tcW w:w="148" w:type="pct"/>
            <w:tcBorders>
              <w:top w:val="nil"/>
              <w:left w:val="nil"/>
              <w:bottom w:val="nil"/>
              <w:right w:val="nil"/>
            </w:tcBorders>
            <w:shd w:val="clear" w:color="auto" w:fill="FFFFFF"/>
          </w:tcPr>
          <w:p w14:paraId="25E01B6F" w14:textId="77777777" w:rsidR="00C90DA4" w:rsidRPr="00C05614" w:rsidRDefault="00C90DA4" w:rsidP="00C90DA4">
            <w:pPr>
              <w:jc w:val="right"/>
              <w:rPr>
                <w:bCs/>
                <w:szCs w:val="18"/>
                <w:lang w:val="en-US"/>
              </w:rPr>
            </w:pPr>
          </w:p>
        </w:tc>
        <w:tc>
          <w:tcPr>
            <w:tcW w:w="543" w:type="pct"/>
            <w:gridSpan w:val="3"/>
            <w:tcBorders>
              <w:top w:val="nil"/>
              <w:left w:val="nil"/>
              <w:bottom w:val="nil"/>
              <w:right w:val="nil"/>
            </w:tcBorders>
            <w:shd w:val="clear" w:color="auto" w:fill="FFFFFF"/>
          </w:tcPr>
          <w:p w14:paraId="21894279" w14:textId="77777777" w:rsidR="00C90DA4" w:rsidRPr="00A84ED4" w:rsidRDefault="00C90DA4" w:rsidP="00C90DA4">
            <w:pPr>
              <w:jc w:val="right"/>
              <w:rPr>
                <w:bCs/>
                <w:szCs w:val="18"/>
                <w:lang w:val="en-US"/>
              </w:rPr>
            </w:pPr>
          </w:p>
        </w:tc>
        <w:tc>
          <w:tcPr>
            <w:tcW w:w="247" w:type="pct"/>
            <w:gridSpan w:val="3"/>
            <w:tcBorders>
              <w:top w:val="nil"/>
              <w:left w:val="nil"/>
              <w:bottom w:val="nil"/>
              <w:right w:val="nil"/>
            </w:tcBorders>
            <w:shd w:val="clear" w:color="auto" w:fill="FFFFFF"/>
          </w:tcPr>
          <w:p w14:paraId="29C7EAEF" w14:textId="77777777" w:rsidR="00C90DA4" w:rsidRPr="00C05614" w:rsidRDefault="00C90DA4" w:rsidP="00C90DA4">
            <w:pPr>
              <w:rPr>
                <w:bCs/>
                <w:szCs w:val="18"/>
                <w:lang w:val="en-US"/>
              </w:rPr>
            </w:pPr>
          </w:p>
        </w:tc>
      </w:tr>
      <w:tr w:rsidR="00F531AA" w:rsidRPr="00C05614" w14:paraId="53F7A85A" w14:textId="77777777" w:rsidTr="00506B95">
        <w:trPr>
          <w:trHeight w:val="255"/>
        </w:trPr>
        <w:tc>
          <w:tcPr>
            <w:tcW w:w="2375" w:type="pct"/>
            <w:tcBorders>
              <w:top w:val="nil"/>
              <w:left w:val="nil"/>
              <w:bottom w:val="nil"/>
              <w:right w:val="nil"/>
            </w:tcBorders>
            <w:shd w:val="clear" w:color="auto" w:fill="FFFFFF"/>
            <w:noWrap/>
            <w:vAlign w:val="bottom"/>
          </w:tcPr>
          <w:p w14:paraId="2D9E2BE7" w14:textId="77777777" w:rsidR="00C90DA4" w:rsidRPr="00C05614" w:rsidRDefault="00C90DA4" w:rsidP="00C90DA4">
            <w:pPr>
              <w:ind w:left="284"/>
              <w:rPr>
                <w:b/>
                <w:bCs/>
                <w:szCs w:val="18"/>
                <w:lang w:val="en-US"/>
              </w:rPr>
            </w:pPr>
            <w:r w:rsidRPr="00C05614">
              <w:rPr>
                <w:b/>
                <w:bCs/>
                <w:szCs w:val="18"/>
                <w:lang w:val="en-US"/>
              </w:rPr>
              <w:t>Cash received</w:t>
            </w:r>
          </w:p>
        </w:tc>
        <w:tc>
          <w:tcPr>
            <w:tcW w:w="462" w:type="pct"/>
            <w:tcBorders>
              <w:top w:val="nil"/>
              <w:left w:val="nil"/>
              <w:bottom w:val="nil"/>
              <w:right w:val="nil"/>
            </w:tcBorders>
            <w:shd w:val="clear" w:color="auto" w:fill="FFFFFF"/>
            <w:noWrap/>
            <w:vAlign w:val="bottom"/>
          </w:tcPr>
          <w:p w14:paraId="2806FB2F" w14:textId="77777777" w:rsidR="00C90DA4" w:rsidRPr="00C05614" w:rsidRDefault="00C90DA4" w:rsidP="00C90DA4">
            <w:pPr>
              <w:rPr>
                <w:b/>
                <w:bCs/>
                <w:szCs w:val="18"/>
                <w:lang w:val="en-US"/>
              </w:rPr>
            </w:pPr>
            <w:r w:rsidRPr="00C05614">
              <w:rPr>
                <w:b/>
                <w:bCs/>
                <w:szCs w:val="18"/>
                <w:lang w:val="en-US"/>
              </w:rPr>
              <w:t> </w:t>
            </w:r>
          </w:p>
        </w:tc>
        <w:tc>
          <w:tcPr>
            <w:tcW w:w="607" w:type="pct"/>
            <w:tcBorders>
              <w:top w:val="nil"/>
              <w:left w:val="nil"/>
              <w:bottom w:val="nil"/>
              <w:right w:val="nil"/>
            </w:tcBorders>
            <w:shd w:val="clear" w:color="auto" w:fill="FFFFFF"/>
            <w:vAlign w:val="bottom"/>
          </w:tcPr>
          <w:p w14:paraId="2EDF11BE" w14:textId="77777777" w:rsidR="00C90DA4" w:rsidRPr="00C05614" w:rsidRDefault="00C90DA4" w:rsidP="00C90DA4">
            <w:pPr>
              <w:jc w:val="right"/>
              <w:rPr>
                <w:b/>
                <w:bCs/>
                <w:szCs w:val="18"/>
                <w:lang w:val="en-US"/>
              </w:rPr>
            </w:pPr>
            <w:r w:rsidRPr="00C05614">
              <w:rPr>
                <w:b/>
                <w:bCs/>
                <w:szCs w:val="18"/>
                <w:lang w:val="en-US"/>
              </w:rPr>
              <w:t> </w:t>
            </w:r>
          </w:p>
        </w:tc>
        <w:tc>
          <w:tcPr>
            <w:tcW w:w="618" w:type="pct"/>
            <w:tcBorders>
              <w:top w:val="nil"/>
              <w:left w:val="nil"/>
              <w:bottom w:val="nil"/>
              <w:right w:val="nil"/>
            </w:tcBorders>
            <w:shd w:val="clear" w:color="auto" w:fill="FFFFFF"/>
            <w:noWrap/>
            <w:vAlign w:val="bottom"/>
          </w:tcPr>
          <w:p w14:paraId="3EB86D6E" w14:textId="77777777" w:rsidR="00C90DA4" w:rsidRPr="00C05614" w:rsidRDefault="00C90DA4" w:rsidP="00C90DA4">
            <w:pPr>
              <w:jc w:val="right"/>
              <w:rPr>
                <w:bCs/>
                <w:szCs w:val="18"/>
                <w:lang w:val="en-US"/>
              </w:rPr>
            </w:pPr>
            <w:r w:rsidRPr="00C05614">
              <w:rPr>
                <w:bCs/>
                <w:szCs w:val="18"/>
                <w:lang w:val="en-US"/>
              </w:rPr>
              <w:t> </w:t>
            </w:r>
          </w:p>
        </w:tc>
        <w:tc>
          <w:tcPr>
            <w:tcW w:w="148" w:type="pct"/>
            <w:tcBorders>
              <w:top w:val="nil"/>
              <w:left w:val="nil"/>
              <w:bottom w:val="nil"/>
              <w:right w:val="nil"/>
            </w:tcBorders>
            <w:shd w:val="clear" w:color="auto" w:fill="FFFFFF"/>
          </w:tcPr>
          <w:p w14:paraId="444AF2C5" w14:textId="77777777" w:rsidR="00C90DA4" w:rsidRPr="00C05614" w:rsidRDefault="00C90DA4" w:rsidP="00C90DA4">
            <w:pPr>
              <w:jc w:val="right"/>
              <w:rPr>
                <w:bCs/>
                <w:szCs w:val="18"/>
                <w:lang w:val="en-US"/>
              </w:rPr>
            </w:pPr>
          </w:p>
        </w:tc>
        <w:tc>
          <w:tcPr>
            <w:tcW w:w="543" w:type="pct"/>
            <w:gridSpan w:val="3"/>
            <w:tcBorders>
              <w:top w:val="nil"/>
              <w:left w:val="nil"/>
              <w:bottom w:val="nil"/>
              <w:right w:val="nil"/>
            </w:tcBorders>
            <w:shd w:val="clear" w:color="auto" w:fill="FFFFFF"/>
          </w:tcPr>
          <w:p w14:paraId="0A50594B" w14:textId="77777777" w:rsidR="00C90DA4" w:rsidRPr="00A84ED4" w:rsidRDefault="00C90DA4" w:rsidP="00C90DA4">
            <w:pPr>
              <w:jc w:val="right"/>
              <w:rPr>
                <w:bCs/>
                <w:szCs w:val="18"/>
                <w:lang w:val="en-US"/>
              </w:rPr>
            </w:pPr>
          </w:p>
        </w:tc>
        <w:tc>
          <w:tcPr>
            <w:tcW w:w="247" w:type="pct"/>
            <w:gridSpan w:val="3"/>
            <w:tcBorders>
              <w:top w:val="nil"/>
              <w:left w:val="nil"/>
              <w:bottom w:val="nil"/>
              <w:right w:val="nil"/>
            </w:tcBorders>
            <w:shd w:val="clear" w:color="auto" w:fill="FFFFFF"/>
          </w:tcPr>
          <w:p w14:paraId="477E5109" w14:textId="77777777" w:rsidR="00C90DA4" w:rsidRPr="00C05614" w:rsidRDefault="00C90DA4" w:rsidP="00C90DA4">
            <w:pPr>
              <w:rPr>
                <w:bCs/>
                <w:szCs w:val="18"/>
                <w:lang w:val="en-US"/>
              </w:rPr>
            </w:pPr>
          </w:p>
        </w:tc>
      </w:tr>
      <w:tr w:rsidR="00F531AA" w:rsidRPr="00C05614" w14:paraId="3EC96267" w14:textId="77777777" w:rsidTr="00506B95">
        <w:trPr>
          <w:trHeight w:val="255"/>
        </w:trPr>
        <w:tc>
          <w:tcPr>
            <w:tcW w:w="2375" w:type="pct"/>
            <w:tcBorders>
              <w:top w:val="nil"/>
              <w:left w:val="nil"/>
              <w:bottom w:val="nil"/>
              <w:right w:val="nil"/>
            </w:tcBorders>
            <w:shd w:val="clear" w:color="auto" w:fill="FFFFFF"/>
            <w:noWrap/>
            <w:vAlign w:val="bottom"/>
          </w:tcPr>
          <w:p w14:paraId="5F02559E" w14:textId="77777777" w:rsidR="00C90DA4" w:rsidRPr="00C05614" w:rsidRDefault="00C90DA4" w:rsidP="00C90DA4">
            <w:pPr>
              <w:ind w:left="284"/>
              <w:rPr>
                <w:szCs w:val="18"/>
                <w:lang w:val="en-US"/>
              </w:rPr>
            </w:pPr>
            <w:r w:rsidRPr="00C05614">
              <w:rPr>
                <w:szCs w:val="18"/>
                <w:lang w:val="en-US"/>
              </w:rPr>
              <w:t>Receipts from Government</w:t>
            </w:r>
          </w:p>
        </w:tc>
        <w:tc>
          <w:tcPr>
            <w:tcW w:w="462" w:type="pct"/>
            <w:tcBorders>
              <w:top w:val="nil"/>
              <w:left w:val="nil"/>
              <w:bottom w:val="nil"/>
              <w:right w:val="nil"/>
            </w:tcBorders>
            <w:shd w:val="clear" w:color="auto" w:fill="FFFFFF"/>
            <w:noWrap/>
            <w:vAlign w:val="bottom"/>
          </w:tcPr>
          <w:p w14:paraId="779B6ED4" w14:textId="77777777" w:rsidR="00C90DA4" w:rsidRPr="00C05614" w:rsidRDefault="00C90DA4" w:rsidP="00C90DA4">
            <w:pPr>
              <w:rPr>
                <w:b/>
                <w:bCs/>
                <w:szCs w:val="18"/>
                <w:lang w:val="en-US"/>
              </w:rPr>
            </w:pPr>
            <w:r w:rsidRPr="00C05614">
              <w:rPr>
                <w:b/>
                <w:bCs/>
                <w:szCs w:val="18"/>
                <w:lang w:val="en-US"/>
              </w:rPr>
              <w:t> </w:t>
            </w:r>
          </w:p>
        </w:tc>
        <w:tc>
          <w:tcPr>
            <w:tcW w:w="607" w:type="pct"/>
            <w:tcBorders>
              <w:top w:val="nil"/>
              <w:left w:val="nil"/>
              <w:bottom w:val="nil"/>
              <w:right w:val="nil"/>
            </w:tcBorders>
            <w:shd w:val="clear" w:color="auto" w:fill="FFFFFF"/>
            <w:vAlign w:val="bottom"/>
          </w:tcPr>
          <w:p w14:paraId="20F7B274" w14:textId="77777777" w:rsidR="00C90DA4" w:rsidRPr="00C05614" w:rsidRDefault="00C90DA4" w:rsidP="00C90DA4">
            <w:pPr>
              <w:jc w:val="right"/>
              <w:rPr>
                <w:b/>
                <w:bCs/>
                <w:szCs w:val="18"/>
                <w:lang w:val="en-US"/>
              </w:rPr>
            </w:pPr>
            <w:r>
              <w:rPr>
                <w:b/>
                <w:bCs/>
                <w:szCs w:val="18"/>
                <w:lang w:val="en-US"/>
              </w:rPr>
              <w:t>10,920</w:t>
            </w:r>
            <w:r w:rsidRPr="00CA2BE2">
              <w:rPr>
                <w:b/>
                <w:bCs/>
                <w:szCs w:val="18"/>
                <w:lang w:val="en-US"/>
              </w:rPr>
              <w:t xml:space="preserve"> </w:t>
            </w:r>
          </w:p>
        </w:tc>
        <w:tc>
          <w:tcPr>
            <w:tcW w:w="618" w:type="pct"/>
            <w:tcBorders>
              <w:top w:val="nil"/>
              <w:left w:val="nil"/>
              <w:bottom w:val="nil"/>
              <w:right w:val="nil"/>
            </w:tcBorders>
            <w:shd w:val="clear" w:color="auto" w:fill="FFFFFF"/>
            <w:noWrap/>
            <w:vAlign w:val="bottom"/>
          </w:tcPr>
          <w:p w14:paraId="5985D44C" w14:textId="77777777" w:rsidR="00C90DA4" w:rsidRPr="00B6422B" w:rsidRDefault="00C90DA4" w:rsidP="00C90DA4">
            <w:pPr>
              <w:jc w:val="right"/>
              <w:rPr>
                <w:bCs/>
                <w:szCs w:val="18"/>
                <w:lang w:val="en-US"/>
              </w:rPr>
            </w:pPr>
            <w:r w:rsidRPr="00B6422B">
              <w:rPr>
                <w:bCs/>
                <w:szCs w:val="18"/>
                <w:lang w:val="en-US"/>
              </w:rPr>
              <w:t xml:space="preserve">7,190 </w:t>
            </w:r>
          </w:p>
        </w:tc>
        <w:tc>
          <w:tcPr>
            <w:tcW w:w="148" w:type="pct"/>
            <w:tcBorders>
              <w:top w:val="nil"/>
              <w:left w:val="nil"/>
              <w:bottom w:val="nil"/>
              <w:right w:val="nil"/>
            </w:tcBorders>
            <w:shd w:val="clear" w:color="auto" w:fill="FFFFFF"/>
          </w:tcPr>
          <w:p w14:paraId="7E2E3E5F" w14:textId="77777777" w:rsidR="00C90DA4" w:rsidRPr="00D814E8" w:rsidRDefault="00C90DA4" w:rsidP="00C90DA4">
            <w:pPr>
              <w:jc w:val="right"/>
              <w:rPr>
                <w:bCs/>
                <w:szCs w:val="18"/>
                <w:lang w:val="en-US"/>
              </w:rPr>
            </w:pPr>
          </w:p>
        </w:tc>
        <w:tc>
          <w:tcPr>
            <w:tcW w:w="543" w:type="pct"/>
            <w:gridSpan w:val="3"/>
            <w:tcBorders>
              <w:top w:val="nil"/>
              <w:left w:val="nil"/>
              <w:bottom w:val="nil"/>
              <w:right w:val="nil"/>
            </w:tcBorders>
            <w:shd w:val="clear" w:color="auto" w:fill="FFFFFF"/>
            <w:vAlign w:val="bottom"/>
          </w:tcPr>
          <w:p w14:paraId="4F1BCFC0" w14:textId="77777777" w:rsidR="00C90DA4" w:rsidRPr="00A84ED4" w:rsidRDefault="00C90DA4" w:rsidP="00C90DA4">
            <w:pPr>
              <w:jc w:val="right"/>
              <w:rPr>
                <w:bCs/>
                <w:szCs w:val="18"/>
                <w:lang w:val="en-US"/>
              </w:rPr>
            </w:pPr>
            <w:r w:rsidRPr="00A84ED4">
              <w:rPr>
                <w:bCs/>
                <w:szCs w:val="18"/>
                <w:lang w:val="en-US"/>
              </w:rPr>
              <w:t xml:space="preserve">10,930 </w:t>
            </w:r>
          </w:p>
        </w:tc>
        <w:tc>
          <w:tcPr>
            <w:tcW w:w="247" w:type="pct"/>
            <w:gridSpan w:val="3"/>
            <w:tcBorders>
              <w:top w:val="nil"/>
              <w:left w:val="nil"/>
              <w:bottom w:val="nil"/>
              <w:right w:val="nil"/>
            </w:tcBorders>
            <w:shd w:val="clear" w:color="auto" w:fill="FFFFFF"/>
          </w:tcPr>
          <w:p w14:paraId="78FDE1B9" w14:textId="77777777" w:rsidR="00C90DA4" w:rsidRDefault="00C90DA4" w:rsidP="00C90DA4">
            <w:pPr>
              <w:rPr>
                <w:bCs/>
                <w:szCs w:val="18"/>
                <w:lang w:val="en-US"/>
              </w:rPr>
            </w:pPr>
          </w:p>
        </w:tc>
      </w:tr>
      <w:tr w:rsidR="00F531AA" w:rsidRPr="00C05614" w14:paraId="5F442870" w14:textId="77777777" w:rsidTr="00506B95">
        <w:trPr>
          <w:trHeight w:val="255"/>
        </w:trPr>
        <w:tc>
          <w:tcPr>
            <w:tcW w:w="2375" w:type="pct"/>
            <w:tcBorders>
              <w:top w:val="nil"/>
              <w:left w:val="nil"/>
              <w:bottom w:val="nil"/>
              <w:right w:val="nil"/>
            </w:tcBorders>
            <w:shd w:val="clear" w:color="auto" w:fill="FFFFFF"/>
            <w:noWrap/>
            <w:vAlign w:val="bottom"/>
          </w:tcPr>
          <w:p w14:paraId="4ED0EE59" w14:textId="77777777" w:rsidR="00C90DA4" w:rsidRPr="00C05614" w:rsidRDefault="00C90DA4" w:rsidP="00C90DA4">
            <w:pPr>
              <w:ind w:left="284"/>
              <w:rPr>
                <w:szCs w:val="18"/>
                <w:lang w:val="en-US"/>
              </w:rPr>
            </w:pPr>
            <w:r>
              <w:rPr>
                <w:szCs w:val="18"/>
                <w:lang w:val="en-US"/>
              </w:rPr>
              <w:t>State and Territory</w:t>
            </w:r>
            <w:r w:rsidRPr="00C05614">
              <w:rPr>
                <w:szCs w:val="18"/>
                <w:lang w:val="en-US"/>
              </w:rPr>
              <w:t xml:space="preserve"> contributions</w:t>
            </w:r>
          </w:p>
        </w:tc>
        <w:tc>
          <w:tcPr>
            <w:tcW w:w="462" w:type="pct"/>
            <w:tcBorders>
              <w:top w:val="nil"/>
              <w:left w:val="nil"/>
              <w:bottom w:val="nil"/>
              <w:right w:val="nil"/>
            </w:tcBorders>
            <w:shd w:val="clear" w:color="auto" w:fill="FFFFFF"/>
            <w:noWrap/>
            <w:vAlign w:val="bottom"/>
          </w:tcPr>
          <w:p w14:paraId="40549982" w14:textId="77777777" w:rsidR="00C90DA4" w:rsidRPr="00C05614" w:rsidRDefault="00C90DA4" w:rsidP="00C90DA4">
            <w:pPr>
              <w:rPr>
                <w:b/>
                <w:bCs/>
                <w:szCs w:val="18"/>
                <w:lang w:val="en-US"/>
              </w:rPr>
            </w:pPr>
            <w:r w:rsidRPr="00C05614">
              <w:rPr>
                <w:b/>
                <w:bCs/>
                <w:szCs w:val="18"/>
                <w:lang w:val="en-US"/>
              </w:rPr>
              <w:t> </w:t>
            </w:r>
          </w:p>
        </w:tc>
        <w:tc>
          <w:tcPr>
            <w:tcW w:w="607" w:type="pct"/>
            <w:tcBorders>
              <w:top w:val="nil"/>
              <w:left w:val="nil"/>
              <w:bottom w:val="nil"/>
              <w:right w:val="nil"/>
            </w:tcBorders>
            <w:shd w:val="clear" w:color="auto" w:fill="FFFFFF"/>
            <w:vAlign w:val="bottom"/>
          </w:tcPr>
          <w:p w14:paraId="0891ED84" w14:textId="77777777" w:rsidR="00C90DA4" w:rsidRPr="00C05614" w:rsidRDefault="00C90DA4" w:rsidP="00C90DA4">
            <w:pPr>
              <w:jc w:val="right"/>
              <w:rPr>
                <w:b/>
                <w:bCs/>
                <w:szCs w:val="18"/>
                <w:lang w:val="en-US"/>
              </w:rPr>
            </w:pPr>
            <w:r>
              <w:rPr>
                <w:b/>
                <w:bCs/>
                <w:szCs w:val="18"/>
                <w:lang w:val="en-US"/>
              </w:rPr>
              <w:t>7,406</w:t>
            </w:r>
            <w:r w:rsidRPr="00C51A34">
              <w:rPr>
                <w:b/>
                <w:bCs/>
                <w:szCs w:val="18"/>
                <w:lang w:val="en-US"/>
              </w:rPr>
              <w:t xml:space="preserve"> </w:t>
            </w:r>
          </w:p>
        </w:tc>
        <w:tc>
          <w:tcPr>
            <w:tcW w:w="618" w:type="pct"/>
            <w:tcBorders>
              <w:top w:val="nil"/>
              <w:left w:val="nil"/>
              <w:bottom w:val="nil"/>
              <w:right w:val="nil"/>
            </w:tcBorders>
            <w:shd w:val="clear" w:color="auto" w:fill="FFFFFF"/>
            <w:noWrap/>
            <w:vAlign w:val="bottom"/>
          </w:tcPr>
          <w:p w14:paraId="615199E6" w14:textId="77777777" w:rsidR="00C90DA4" w:rsidRPr="00B6422B" w:rsidRDefault="00C90DA4" w:rsidP="00C90DA4">
            <w:pPr>
              <w:jc w:val="right"/>
              <w:rPr>
                <w:bCs/>
                <w:szCs w:val="18"/>
                <w:lang w:val="en-US"/>
              </w:rPr>
            </w:pPr>
            <w:r w:rsidRPr="00B6422B">
              <w:rPr>
                <w:bCs/>
                <w:szCs w:val="18"/>
                <w:lang w:val="en-US"/>
              </w:rPr>
              <w:t xml:space="preserve">7,190 </w:t>
            </w:r>
          </w:p>
        </w:tc>
        <w:tc>
          <w:tcPr>
            <w:tcW w:w="148" w:type="pct"/>
            <w:tcBorders>
              <w:top w:val="nil"/>
              <w:left w:val="nil"/>
              <w:bottom w:val="nil"/>
              <w:right w:val="nil"/>
            </w:tcBorders>
            <w:shd w:val="clear" w:color="auto" w:fill="FFFFFF"/>
          </w:tcPr>
          <w:p w14:paraId="1289E832" w14:textId="77777777" w:rsidR="00C90DA4" w:rsidRPr="00D814E8" w:rsidRDefault="00C90DA4" w:rsidP="00C90DA4">
            <w:pPr>
              <w:jc w:val="right"/>
              <w:rPr>
                <w:bCs/>
                <w:szCs w:val="18"/>
                <w:lang w:val="en-US"/>
              </w:rPr>
            </w:pPr>
          </w:p>
        </w:tc>
        <w:tc>
          <w:tcPr>
            <w:tcW w:w="543" w:type="pct"/>
            <w:gridSpan w:val="3"/>
            <w:tcBorders>
              <w:top w:val="nil"/>
              <w:left w:val="nil"/>
              <w:bottom w:val="nil"/>
              <w:right w:val="nil"/>
            </w:tcBorders>
            <w:shd w:val="clear" w:color="auto" w:fill="FFFFFF"/>
            <w:vAlign w:val="bottom"/>
          </w:tcPr>
          <w:p w14:paraId="4F9D7F42" w14:textId="77777777" w:rsidR="00C90DA4" w:rsidRPr="00A84ED4" w:rsidRDefault="00C90DA4" w:rsidP="00C90DA4">
            <w:pPr>
              <w:jc w:val="right"/>
              <w:rPr>
                <w:bCs/>
                <w:szCs w:val="18"/>
                <w:lang w:val="en-US"/>
              </w:rPr>
            </w:pPr>
            <w:r w:rsidRPr="00A84ED4">
              <w:rPr>
                <w:bCs/>
                <w:szCs w:val="18"/>
                <w:lang w:val="en-US"/>
              </w:rPr>
              <w:t xml:space="preserve">7,406 </w:t>
            </w:r>
          </w:p>
        </w:tc>
        <w:tc>
          <w:tcPr>
            <w:tcW w:w="247" w:type="pct"/>
            <w:gridSpan w:val="3"/>
            <w:tcBorders>
              <w:top w:val="nil"/>
              <w:left w:val="nil"/>
              <w:bottom w:val="nil"/>
              <w:right w:val="nil"/>
            </w:tcBorders>
            <w:shd w:val="clear" w:color="auto" w:fill="FFFFFF"/>
          </w:tcPr>
          <w:p w14:paraId="6827F08C" w14:textId="77777777" w:rsidR="00C90DA4" w:rsidRDefault="00C90DA4" w:rsidP="00C90DA4">
            <w:pPr>
              <w:rPr>
                <w:bCs/>
                <w:szCs w:val="18"/>
                <w:lang w:val="en-US"/>
              </w:rPr>
            </w:pPr>
          </w:p>
        </w:tc>
      </w:tr>
      <w:tr w:rsidR="00F531AA" w:rsidRPr="00C05614" w14:paraId="701BEE8F" w14:textId="77777777" w:rsidTr="00506B95">
        <w:trPr>
          <w:trHeight w:val="255"/>
        </w:trPr>
        <w:tc>
          <w:tcPr>
            <w:tcW w:w="2375" w:type="pct"/>
            <w:tcBorders>
              <w:top w:val="nil"/>
              <w:left w:val="nil"/>
              <w:bottom w:val="nil"/>
              <w:right w:val="nil"/>
            </w:tcBorders>
            <w:shd w:val="clear" w:color="auto" w:fill="FFFFFF"/>
            <w:noWrap/>
            <w:vAlign w:val="bottom"/>
          </w:tcPr>
          <w:p w14:paraId="54D03B03" w14:textId="77777777" w:rsidR="00C90DA4" w:rsidRPr="00C05614" w:rsidRDefault="00C90DA4" w:rsidP="00C90DA4">
            <w:pPr>
              <w:ind w:left="284"/>
              <w:rPr>
                <w:szCs w:val="18"/>
                <w:lang w:val="en-US"/>
              </w:rPr>
            </w:pPr>
            <w:r w:rsidRPr="00C05614">
              <w:rPr>
                <w:szCs w:val="18"/>
                <w:lang w:val="en-US"/>
              </w:rPr>
              <w:t>Rendering of services</w:t>
            </w:r>
          </w:p>
        </w:tc>
        <w:tc>
          <w:tcPr>
            <w:tcW w:w="462" w:type="pct"/>
            <w:tcBorders>
              <w:top w:val="nil"/>
              <w:left w:val="nil"/>
              <w:bottom w:val="nil"/>
              <w:right w:val="nil"/>
            </w:tcBorders>
            <w:shd w:val="clear" w:color="auto" w:fill="FFFFFF"/>
            <w:noWrap/>
            <w:vAlign w:val="bottom"/>
          </w:tcPr>
          <w:p w14:paraId="5374B243" w14:textId="77777777" w:rsidR="00C90DA4" w:rsidRPr="00C05614" w:rsidRDefault="00C90DA4" w:rsidP="00C90DA4">
            <w:pPr>
              <w:rPr>
                <w:b/>
                <w:bCs/>
                <w:szCs w:val="18"/>
                <w:lang w:val="en-US"/>
              </w:rPr>
            </w:pPr>
            <w:r w:rsidRPr="00C05614">
              <w:rPr>
                <w:b/>
                <w:bCs/>
                <w:szCs w:val="18"/>
                <w:lang w:val="en-US"/>
              </w:rPr>
              <w:t> </w:t>
            </w:r>
          </w:p>
        </w:tc>
        <w:tc>
          <w:tcPr>
            <w:tcW w:w="607" w:type="pct"/>
            <w:tcBorders>
              <w:top w:val="nil"/>
              <w:left w:val="nil"/>
              <w:right w:val="nil"/>
            </w:tcBorders>
            <w:shd w:val="clear" w:color="auto" w:fill="FFFFFF"/>
            <w:vAlign w:val="bottom"/>
          </w:tcPr>
          <w:p w14:paraId="3EE79BD1" w14:textId="77777777" w:rsidR="00C90DA4" w:rsidRPr="00C05614" w:rsidRDefault="00C90DA4" w:rsidP="00C90DA4">
            <w:pPr>
              <w:jc w:val="right"/>
              <w:rPr>
                <w:b/>
                <w:bCs/>
                <w:szCs w:val="18"/>
                <w:lang w:val="en-US"/>
              </w:rPr>
            </w:pPr>
            <w:r>
              <w:rPr>
                <w:b/>
                <w:bCs/>
                <w:szCs w:val="18"/>
                <w:lang w:val="en-US"/>
              </w:rPr>
              <w:t>7,078</w:t>
            </w:r>
            <w:r w:rsidRPr="00C51A34">
              <w:rPr>
                <w:b/>
                <w:bCs/>
                <w:szCs w:val="18"/>
                <w:lang w:val="en-US"/>
              </w:rPr>
              <w:t xml:space="preserve"> </w:t>
            </w:r>
          </w:p>
        </w:tc>
        <w:tc>
          <w:tcPr>
            <w:tcW w:w="618" w:type="pct"/>
            <w:tcBorders>
              <w:top w:val="nil"/>
              <w:left w:val="nil"/>
              <w:bottom w:val="nil"/>
              <w:right w:val="nil"/>
            </w:tcBorders>
            <w:shd w:val="clear" w:color="auto" w:fill="FFFFFF"/>
            <w:noWrap/>
            <w:vAlign w:val="bottom"/>
          </w:tcPr>
          <w:p w14:paraId="565174D8" w14:textId="77777777" w:rsidR="00C90DA4" w:rsidRPr="00B6422B" w:rsidRDefault="00C90DA4" w:rsidP="00C90DA4">
            <w:pPr>
              <w:jc w:val="right"/>
              <w:rPr>
                <w:bCs/>
                <w:szCs w:val="18"/>
                <w:lang w:val="en-US"/>
              </w:rPr>
            </w:pPr>
            <w:r w:rsidRPr="00B6422B">
              <w:rPr>
                <w:bCs/>
                <w:szCs w:val="18"/>
                <w:lang w:val="en-US"/>
              </w:rPr>
              <w:t xml:space="preserve">9,843 </w:t>
            </w:r>
          </w:p>
        </w:tc>
        <w:tc>
          <w:tcPr>
            <w:tcW w:w="148" w:type="pct"/>
            <w:tcBorders>
              <w:top w:val="nil"/>
              <w:left w:val="nil"/>
              <w:bottom w:val="nil"/>
              <w:right w:val="nil"/>
            </w:tcBorders>
            <w:shd w:val="clear" w:color="auto" w:fill="FFFFFF"/>
          </w:tcPr>
          <w:p w14:paraId="0DFC6D18" w14:textId="77777777" w:rsidR="00C90DA4" w:rsidRPr="00D814E8" w:rsidRDefault="00C90DA4" w:rsidP="00C90DA4">
            <w:pPr>
              <w:jc w:val="right"/>
              <w:rPr>
                <w:bCs/>
                <w:szCs w:val="18"/>
                <w:lang w:val="en-US"/>
              </w:rPr>
            </w:pPr>
          </w:p>
        </w:tc>
        <w:tc>
          <w:tcPr>
            <w:tcW w:w="543" w:type="pct"/>
            <w:gridSpan w:val="3"/>
            <w:tcBorders>
              <w:top w:val="nil"/>
              <w:left w:val="nil"/>
              <w:bottom w:val="nil"/>
              <w:right w:val="nil"/>
            </w:tcBorders>
            <w:shd w:val="clear" w:color="auto" w:fill="FFFFFF"/>
            <w:vAlign w:val="bottom"/>
          </w:tcPr>
          <w:p w14:paraId="27F1F767" w14:textId="77777777" w:rsidR="00C90DA4" w:rsidRPr="00A84ED4" w:rsidRDefault="00C90DA4" w:rsidP="00C90DA4">
            <w:pPr>
              <w:jc w:val="right"/>
              <w:rPr>
                <w:bCs/>
                <w:szCs w:val="18"/>
                <w:lang w:val="en-US"/>
              </w:rPr>
            </w:pPr>
            <w:r w:rsidRPr="00A84ED4">
              <w:rPr>
                <w:bCs/>
                <w:szCs w:val="18"/>
                <w:lang w:val="en-US"/>
              </w:rPr>
              <w:t xml:space="preserve">818 </w:t>
            </w:r>
          </w:p>
        </w:tc>
        <w:tc>
          <w:tcPr>
            <w:tcW w:w="247" w:type="pct"/>
            <w:gridSpan w:val="3"/>
            <w:tcBorders>
              <w:top w:val="nil"/>
              <w:left w:val="nil"/>
              <w:bottom w:val="nil"/>
              <w:right w:val="nil"/>
            </w:tcBorders>
            <w:shd w:val="clear" w:color="auto" w:fill="FFFFFF"/>
            <w:vAlign w:val="center"/>
          </w:tcPr>
          <w:p w14:paraId="08AD016A" w14:textId="77777777" w:rsidR="00C90DA4" w:rsidRDefault="00C90DA4" w:rsidP="00C90DA4">
            <w:pPr>
              <w:rPr>
                <w:bCs/>
                <w:szCs w:val="18"/>
                <w:lang w:val="en-US"/>
              </w:rPr>
            </w:pPr>
            <w:r>
              <w:rPr>
                <w:bCs/>
                <w:szCs w:val="18"/>
                <w:vertAlign w:val="superscript"/>
                <w:lang w:val="en-US"/>
              </w:rPr>
              <w:t>A</w:t>
            </w:r>
          </w:p>
        </w:tc>
      </w:tr>
      <w:tr w:rsidR="00F531AA" w:rsidRPr="00C05614" w14:paraId="285141E6" w14:textId="77777777" w:rsidTr="00506B95">
        <w:trPr>
          <w:trHeight w:val="255"/>
        </w:trPr>
        <w:tc>
          <w:tcPr>
            <w:tcW w:w="2375" w:type="pct"/>
            <w:tcBorders>
              <w:top w:val="nil"/>
              <w:left w:val="nil"/>
              <w:bottom w:val="nil"/>
              <w:right w:val="nil"/>
            </w:tcBorders>
            <w:shd w:val="clear" w:color="auto" w:fill="FFFFFF"/>
            <w:noWrap/>
            <w:vAlign w:val="bottom"/>
          </w:tcPr>
          <w:p w14:paraId="7A9BE6D8" w14:textId="77777777" w:rsidR="00C90DA4" w:rsidRPr="00C05614" w:rsidRDefault="00C90DA4" w:rsidP="00C90DA4">
            <w:pPr>
              <w:ind w:left="284"/>
              <w:rPr>
                <w:szCs w:val="18"/>
                <w:lang w:val="en-US"/>
              </w:rPr>
            </w:pPr>
            <w:r w:rsidRPr="00C05614">
              <w:rPr>
                <w:szCs w:val="18"/>
                <w:lang w:val="en-US"/>
              </w:rPr>
              <w:t>Interest</w:t>
            </w:r>
          </w:p>
        </w:tc>
        <w:tc>
          <w:tcPr>
            <w:tcW w:w="462" w:type="pct"/>
            <w:tcBorders>
              <w:top w:val="nil"/>
              <w:left w:val="nil"/>
              <w:bottom w:val="nil"/>
              <w:right w:val="nil"/>
            </w:tcBorders>
            <w:shd w:val="clear" w:color="auto" w:fill="FFFFFF"/>
            <w:noWrap/>
            <w:vAlign w:val="bottom"/>
          </w:tcPr>
          <w:p w14:paraId="49F3F942" w14:textId="77777777" w:rsidR="00C90DA4" w:rsidRPr="00C05614" w:rsidRDefault="00C90DA4" w:rsidP="00C90DA4">
            <w:pPr>
              <w:rPr>
                <w:b/>
                <w:bCs/>
                <w:szCs w:val="18"/>
                <w:lang w:val="en-US"/>
              </w:rPr>
            </w:pPr>
            <w:r w:rsidRPr="00C05614">
              <w:rPr>
                <w:b/>
                <w:bCs/>
                <w:szCs w:val="18"/>
                <w:lang w:val="en-US"/>
              </w:rPr>
              <w:t> </w:t>
            </w:r>
          </w:p>
        </w:tc>
        <w:tc>
          <w:tcPr>
            <w:tcW w:w="607" w:type="pct"/>
            <w:tcBorders>
              <w:top w:val="nil"/>
              <w:left w:val="nil"/>
              <w:right w:val="nil"/>
            </w:tcBorders>
            <w:shd w:val="clear" w:color="auto" w:fill="FFFFFF"/>
            <w:vAlign w:val="bottom"/>
          </w:tcPr>
          <w:p w14:paraId="2FAE3E81" w14:textId="77777777" w:rsidR="00C90DA4" w:rsidRPr="00C05614" w:rsidRDefault="00C90DA4" w:rsidP="00C90DA4">
            <w:pPr>
              <w:jc w:val="right"/>
              <w:rPr>
                <w:b/>
                <w:bCs/>
                <w:szCs w:val="18"/>
                <w:lang w:val="en-US"/>
              </w:rPr>
            </w:pPr>
            <w:r>
              <w:rPr>
                <w:b/>
                <w:bCs/>
                <w:szCs w:val="18"/>
                <w:lang w:val="en-US"/>
              </w:rPr>
              <w:t>249</w:t>
            </w:r>
            <w:r w:rsidRPr="00CA2BE2">
              <w:rPr>
                <w:b/>
                <w:bCs/>
                <w:szCs w:val="18"/>
                <w:lang w:val="en-US"/>
              </w:rPr>
              <w:t xml:space="preserve"> </w:t>
            </w:r>
          </w:p>
        </w:tc>
        <w:tc>
          <w:tcPr>
            <w:tcW w:w="618" w:type="pct"/>
            <w:tcBorders>
              <w:top w:val="nil"/>
              <w:left w:val="nil"/>
              <w:right w:val="nil"/>
            </w:tcBorders>
            <w:shd w:val="clear" w:color="auto" w:fill="FFFFFF"/>
            <w:noWrap/>
            <w:vAlign w:val="bottom"/>
          </w:tcPr>
          <w:p w14:paraId="4AA0B96C" w14:textId="77777777" w:rsidR="00C90DA4" w:rsidRPr="00B6422B" w:rsidRDefault="00C90DA4" w:rsidP="00C90DA4">
            <w:pPr>
              <w:jc w:val="right"/>
              <w:rPr>
                <w:bCs/>
                <w:szCs w:val="18"/>
                <w:lang w:val="en-US"/>
              </w:rPr>
            </w:pPr>
            <w:r w:rsidRPr="00B6422B">
              <w:rPr>
                <w:bCs/>
                <w:szCs w:val="18"/>
                <w:lang w:val="en-US"/>
              </w:rPr>
              <w:t xml:space="preserve">353 </w:t>
            </w:r>
          </w:p>
        </w:tc>
        <w:tc>
          <w:tcPr>
            <w:tcW w:w="148" w:type="pct"/>
            <w:tcBorders>
              <w:top w:val="nil"/>
              <w:left w:val="nil"/>
              <w:right w:val="nil"/>
            </w:tcBorders>
            <w:shd w:val="clear" w:color="auto" w:fill="FFFFFF"/>
          </w:tcPr>
          <w:p w14:paraId="12F646EB" w14:textId="77777777" w:rsidR="00C90DA4" w:rsidRPr="00D814E8" w:rsidRDefault="00C90DA4" w:rsidP="00C90DA4">
            <w:pPr>
              <w:jc w:val="right"/>
              <w:rPr>
                <w:bCs/>
                <w:szCs w:val="18"/>
                <w:lang w:val="en-US"/>
              </w:rPr>
            </w:pPr>
          </w:p>
        </w:tc>
        <w:tc>
          <w:tcPr>
            <w:tcW w:w="543" w:type="pct"/>
            <w:gridSpan w:val="3"/>
            <w:tcBorders>
              <w:top w:val="nil"/>
              <w:left w:val="nil"/>
              <w:right w:val="nil"/>
            </w:tcBorders>
            <w:shd w:val="clear" w:color="auto" w:fill="FFFFFF"/>
            <w:vAlign w:val="bottom"/>
          </w:tcPr>
          <w:p w14:paraId="0D0B6151" w14:textId="77777777" w:rsidR="00C90DA4" w:rsidRPr="00A84ED4" w:rsidRDefault="00C90DA4" w:rsidP="00C90DA4">
            <w:pPr>
              <w:jc w:val="right"/>
              <w:rPr>
                <w:bCs/>
                <w:szCs w:val="18"/>
                <w:lang w:val="en-US"/>
              </w:rPr>
            </w:pPr>
            <w:r w:rsidRPr="00A84ED4">
              <w:rPr>
                <w:bCs/>
                <w:szCs w:val="18"/>
                <w:lang w:val="en-US"/>
              </w:rPr>
              <w:t xml:space="preserve">200 </w:t>
            </w:r>
          </w:p>
        </w:tc>
        <w:tc>
          <w:tcPr>
            <w:tcW w:w="247" w:type="pct"/>
            <w:gridSpan w:val="3"/>
            <w:tcBorders>
              <w:top w:val="nil"/>
              <w:left w:val="nil"/>
              <w:right w:val="nil"/>
            </w:tcBorders>
            <w:shd w:val="clear" w:color="auto" w:fill="FFFFFF"/>
            <w:vAlign w:val="center"/>
          </w:tcPr>
          <w:p w14:paraId="08A11FE5" w14:textId="77777777" w:rsidR="00C90DA4" w:rsidRDefault="00C90DA4" w:rsidP="00C90DA4">
            <w:pPr>
              <w:rPr>
                <w:bCs/>
                <w:szCs w:val="18"/>
                <w:lang w:val="en-US"/>
              </w:rPr>
            </w:pPr>
          </w:p>
        </w:tc>
      </w:tr>
      <w:tr w:rsidR="00F531AA" w:rsidRPr="00C05614" w14:paraId="29230089" w14:textId="77777777" w:rsidTr="00506B95">
        <w:trPr>
          <w:trHeight w:val="255"/>
        </w:trPr>
        <w:tc>
          <w:tcPr>
            <w:tcW w:w="2375" w:type="pct"/>
            <w:tcBorders>
              <w:top w:val="nil"/>
              <w:left w:val="nil"/>
              <w:bottom w:val="nil"/>
              <w:right w:val="nil"/>
            </w:tcBorders>
            <w:shd w:val="clear" w:color="auto" w:fill="FFFFFF"/>
            <w:noWrap/>
            <w:vAlign w:val="bottom"/>
          </w:tcPr>
          <w:p w14:paraId="5059E6C0" w14:textId="77777777" w:rsidR="00C90DA4" w:rsidRPr="00C05614" w:rsidRDefault="00C90DA4" w:rsidP="00C90DA4">
            <w:pPr>
              <w:ind w:left="284"/>
              <w:rPr>
                <w:bCs/>
                <w:szCs w:val="18"/>
                <w:lang w:val="en-US"/>
              </w:rPr>
            </w:pPr>
            <w:r w:rsidRPr="00C05614">
              <w:rPr>
                <w:bCs/>
                <w:szCs w:val="18"/>
                <w:lang w:val="en-US"/>
              </w:rPr>
              <w:t>Net GST received</w:t>
            </w:r>
          </w:p>
        </w:tc>
        <w:tc>
          <w:tcPr>
            <w:tcW w:w="462" w:type="pct"/>
            <w:tcBorders>
              <w:top w:val="nil"/>
              <w:left w:val="nil"/>
              <w:bottom w:val="nil"/>
              <w:right w:val="nil"/>
            </w:tcBorders>
            <w:shd w:val="clear" w:color="auto" w:fill="FFFFFF"/>
            <w:noWrap/>
            <w:vAlign w:val="bottom"/>
          </w:tcPr>
          <w:p w14:paraId="23F6378E" w14:textId="77777777" w:rsidR="00C90DA4" w:rsidRPr="00C05614" w:rsidRDefault="00C90DA4" w:rsidP="00C90DA4">
            <w:pPr>
              <w:rPr>
                <w:b/>
                <w:bCs/>
                <w:szCs w:val="18"/>
                <w:lang w:val="en-US"/>
              </w:rPr>
            </w:pPr>
          </w:p>
        </w:tc>
        <w:tc>
          <w:tcPr>
            <w:tcW w:w="607" w:type="pct"/>
            <w:tcBorders>
              <w:left w:val="nil"/>
              <w:right w:val="nil"/>
            </w:tcBorders>
            <w:shd w:val="clear" w:color="auto" w:fill="FFFFFF"/>
            <w:vAlign w:val="bottom"/>
          </w:tcPr>
          <w:p w14:paraId="37BE1A54" w14:textId="77777777" w:rsidR="00C90DA4" w:rsidRPr="00C05614" w:rsidRDefault="00C90DA4" w:rsidP="00C90DA4">
            <w:pPr>
              <w:jc w:val="right"/>
              <w:rPr>
                <w:b/>
                <w:bCs/>
                <w:szCs w:val="18"/>
                <w:lang w:val="en-US"/>
              </w:rPr>
            </w:pPr>
            <w:r>
              <w:rPr>
                <w:b/>
                <w:bCs/>
                <w:szCs w:val="18"/>
                <w:lang w:val="en-US"/>
              </w:rPr>
              <w:t>1,076</w:t>
            </w:r>
            <w:r w:rsidRPr="00C51A34">
              <w:rPr>
                <w:b/>
                <w:bCs/>
                <w:szCs w:val="18"/>
                <w:lang w:val="en-US"/>
              </w:rPr>
              <w:t xml:space="preserve"> </w:t>
            </w:r>
          </w:p>
        </w:tc>
        <w:tc>
          <w:tcPr>
            <w:tcW w:w="618" w:type="pct"/>
            <w:tcBorders>
              <w:left w:val="nil"/>
              <w:right w:val="nil"/>
            </w:tcBorders>
            <w:shd w:val="clear" w:color="auto" w:fill="FFFFFF"/>
            <w:noWrap/>
            <w:vAlign w:val="bottom"/>
          </w:tcPr>
          <w:p w14:paraId="1304D6E5" w14:textId="77777777" w:rsidR="00C90DA4" w:rsidRPr="00B6422B" w:rsidRDefault="00C90DA4" w:rsidP="00C90DA4">
            <w:pPr>
              <w:jc w:val="right"/>
              <w:rPr>
                <w:bCs/>
                <w:szCs w:val="18"/>
                <w:lang w:val="en-US"/>
              </w:rPr>
            </w:pPr>
            <w:r w:rsidRPr="00B6422B">
              <w:rPr>
                <w:bCs/>
                <w:szCs w:val="18"/>
                <w:lang w:val="en-US"/>
              </w:rPr>
              <w:t xml:space="preserve">818 </w:t>
            </w:r>
          </w:p>
        </w:tc>
        <w:tc>
          <w:tcPr>
            <w:tcW w:w="148" w:type="pct"/>
            <w:tcBorders>
              <w:left w:val="nil"/>
              <w:right w:val="nil"/>
            </w:tcBorders>
            <w:shd w:val="clear" w:color="auto" w:fill="FFFFFF"/>
          </w:tcPr>
          <w:p w14:paraId="3BB4C285" w14:textId="77777777" w:rsidR="00C90DA4" w:rsidRPr="00D814E8" w:rsidRDefault="00C90DA4" w:rsidP="00C90DA4">
            <w:pPr>
              <w:jc w:val="right"/>
              <w:rPr>
                <w:bCs/>
                <w:szCs w:val="18"/>
                <w:lang w:val="en-US"/>
              </w:rPr>
            </w:pPr>
          </w:p>
        </w:tc>
        <w:tc>
          <w:tcPr>
            <w:tcW w:w="543" w:type="pct"/>
            <w:gridSpan w:val="3"/>
            <w:tcBorders>
              <w:left w:val="nil"/>
              <w:right w:val="nil"/>
            </w:tcBorders>
            <w:shd w:val="clear" w:color="auto" w:fill="FFFFFF"/>
            <w:vAlign w:val="bottom"/>
          </w:tcPr>
          <w:p w14:paraId="20972C0E" w14:textId="77777777" w:rsidR="00C90DA4" w:rsidRPr="00A84ED4" w:rsidRDefault="00C90DA4" w:rsidP="00C90DA4">
            <w:pPr>
              <w:jc w:val="right"/>
              <w:rPr>
                <w:bCs/>
                <w:szCs w:val="18"/>
                <w:lang w:val="en-US"/>
              </w:rPr>
            </w:pPr>
            <w:r w:rsidRPr="00A84ED4">
              <w:rPr>
                <w:bCs/>
                <w:szCs w:val="18"/>
                <w:lang w:val="en-US"/>
              </w:rPr>
              <w:t xml:space="preserve">500 </w:t>
            </w:r>
          </w:p>
        </w:tc>
        <w:tc>
          <w:tcPr>
            <w:tcW w:w="247" w:type="pct"/>
            <w:gridSpan w:val="3"/>
            <w:tcBorders>
              <w:left w:val="nil"/>
              <w:right w:val="nil"/>
            </w:tcBorders>
            <w:shd w:val="clear" w:color="auto" w:fill="FFFFFF"/>
            <w:vAlign w:val="center"/>
          </w:tcPr>
          <w:p w14:paraId="6281D05A" w14:textId="77777777" w:rsidR="00C90DA4" w:rsidRPr="002A7DFA" w:rsidRDefault="00C90DA4" w:rsidP="00C90DA4">
            <w:pPr>
              <w:rPr>
                <w:bCs/>
                <w:szCs w:val="18"/>
                <w:vertAlign w:val="superscript"/>
                <w:lang w:val="en-US"/>
              </w:rPr>
            </w:pPr>
            <w:r>
              <w:rPr>
                <w:bCs/>
                <w:szCs w:val="18"/>
                <w:vertAlign w:val="superscript"/>
                <w:lang w:val="en-US"/>
              </w:rPr>
              <w:t>A</w:t>
            </w:r>
          </w:p>
        </w:tc>
      </w:tr>
      <w:tr w:rsidR="00F531AA" w:rsidRPr="00C05614" w14:paraId="020DD46F" w14:textId="77777777" w:rsidTr="00506B95">
        <w:trPr>
          <w:trHeight w:val="255"/>
        </w:trPr>
        <w:tc>
          <w:tcPr>
            <w:tcW w:w="2375" w:type="pct"/>
            <w:tcBorders>
              <w:top w:val="nil"/>
              <w:left w:val="nil"/>
              <w:bottom w:val="nil"/>
              <w:right w:val="nil"/>
            </w:tcBorders>
            <w:shd w:val="clear" w:color="auto" w:fill="FFFFFF"/>
            <w:noWrap/>
            <w:vAlign w:val="bottom"/>
          </w:tcPr>
          <w:p w14:paraId="3ED85A91" w14:textId="77777777" w:rsidR="00C90DA4" w:rsidRPr="00C05614" w:rsidRDefault="00C90DA4" w:rsidP="00C90DA4">
            <w:pPr>
              <w:ind w:left="284"/>
              <w:rPr>
                <w:b/>
                <w:bCs/>
                <w:szCs w:val="18"/>
                <w:lang w:val="en-US"/>
              </w:rPr>
            </w:pPr>
            <w:r w:rsidRPr="00C05614">
              <w:rPr>
                <w:b/>
                <w:bCs/>
                <w:szCs w:val="18"/>
                <w:lang w:val="en-US"/>
              </w:rPr>
              <w:t>Total cash received</w:t>
            </w:r>
          </w:p>
        </w:tc>
        <w:tc>
          <w:tcPr>
            <w:tcW w:w="462" w:type="pct"/>
            <w:tcBorders>
              <w:top w:val="nil"/>
              <w:left w:val="nil"/>
              <w:bottom w:val="nil"/>
              <w:right w:val="nil"/>
            </w:tcBorders>
            <w:shd w:val="clear" w:color="auto" w:fill="FFFFFF"/>
            <w:noWrap/>
            <w:vAlign w:val="bottom"/>
          </w:tcPr>
          <w:p w14:paraId="0D173B81" w14:textId="77777777" w:rsidR="00C90DA4" w:rsidRPr="00C05614" w:rsidRDefault="00C90DA4" w:rsidP="00C90DA4">
            <w:pPr>
              <w:rPr>
                <w:b/>
                <w:bCs/>
                <w:szCs w:val="18"/>
                <w:lang w:val="en-US"/>
              </w:rPr>
            </w:pPr>
            <w:r w:rsidRPr="00C05614">
              <w:rPr>
                <w:b/>
                <w:bCs/>
                <w:szCs w:val="18"/>
                <w:lang w:val="en-US"/>
              </w:rPr>
              <w:t> </w:t>
            </w:r>
          </w:p>
        </w:tc>
        <w:tc>
          <w:tcPr>
            <w:tcW w:w="607" w:type="pct"/>
            <w:tcBorders>
              <w:top w:val="single" w:sz="4" w:space="0" w:color="auto"/>
              <w:left w:val="nil"/>
              <w:bottom w:val="single" w:sz="4" w:space="0" w:color="auto"/>
              <w:right w:val="nil"/>
            </w:tcBorders>
            <w:shd w:val="clear" w:color="auto" w:fill="FFFFFF"/>
            <w:vAlign w:val="bottom"/>
          </w:tcPr>
          <w:p w14:paraId="4F527AA3" w14:textId="77777777" w:rsidR="00C90DA4" w:rsidRPr="00C05614" w:rsidRDefault="00C90DA4" w:rsidP="00C90DA4">
            <w:pPr>
              <w:jc w:val="right"/>
              <w:rPr>
                <w:b/>
                <w:bCs/>
                <w:szCs w:val="18"/>
                <w:lang w:val="en-US"/>
              </w:rPr>
            </w:pPr>
            <w:r>
              <w:rPr>
                <w:b/>
                <w:bCs/>
                <w:szCs w:val="18"/>
                <w:lang w:val="en-US"/>
              </w:rPr>
              <w:t>26,729</w:t>
            </w:r>
            <w:r w:rsidRPr="00C51A34">
              <w:rPr>
                <w:b/>
                <w:bCs/>
                <w:szCs w:val="18"/>
                <w:lang w:val="en-US"/>
              </w:rPr>
              <w:t xml:space="preserve"> </w:t>
            </w:r>
          </w:p>
        </w:tc>
        <w:tc>
          <w:tcPr>
            <w:tcW w:w="618" w:type="pct"/>
            <w:tcBorders>
              <w:top w:val="single" w:sz="4" w:space="0" w:color="auto"/>
              <w:left w:val="nil"/>
              <w:bottom w:val="single" w:sz="4" w:space="0" w:color="auto"/>
              <w:right w:val="nil"/>
            </w:tcBorders>
            <w:shd w:val="clear" w:color="auto" w:fill="FFFFFF"/>
            <w:noWrap/>
            <w:vAlign w:val="bottom"/>
          </w:tcPr>
          <w:p w14:paraId="2A379097" w14:textId="77777777" w:rsidR="00C90DA4" w:rsidRPr="00B6422B" w:rsidRDefault="00C90DA4" w:rsidP="00C90DA4">
            <w:pPr>
              <w:jc w:val="right"/>
              <w:rPr>
                <w:bCs/>
                <w:szCs w:val="18"/>
                <w:lang w:val="en-US"/>
              </w:rPr>
            </w:pPr>
            <w:r w:rsidRPr="00B6422B">
              <w:rPr>
                <w:bCs/>
                <w:szCs w:val="18"/>
                <w:lang w:val="en-US"/>
              </w:rPr>
              <w:t xml:space="preserve">25,394 </w:t>
            </w:r>
          </w:p>
        </w:tc>
        <w:tc>
          <w:tcPr>
            <w:tcW w:w="148" w:type="pct"/>
            <w:tcBorders>
              <w:left w:val="nil"/>
              <w:right w:val="nil"/>
            </w:tcBorders>
            <w:shd w:val="clear" w:color="auto" w:fill="FFFFFF"/>
          </w:tcPr>
          <w:p w14:paraId="30B2AE5F" w14:textId="77777777" w:rsidR="00C90DA4" w:rsidRPr="00D814E8" w:rsidRDefault="00C90DA4" w:rsidP="00C90DA4">
            <w:pPr>
              <w:jc w:val="right"/>
              <w:rPr>
                <w:bCs/>
                <w:szCs w:val="18"/>
                <w:lang w:val="en-US"/>
              </w:rPr>
            </w:pPr>
          </w:p>
        </w:tc>
        <w:tc>
          <w:tcPr>
            <w:tcW w:w="543" w:type="pct"/>
            <w:gridSpan w:val="3"/>
            <w:tcBorders>
              <w:top w:val="single" w:sz="4" w:space="0" w:color="auto"/>
              <w:left w:val="nil"/>
              <w:bottom w:val="single" w:sz="4" w:space="0" w:color="auto"/>
              <w:right w:val="nil"/>
            </w:tcBorders>
            <w:shd w:val="clear" w:color="auto" w:fill="FFFFFF"/>
            <w:vAlign w:val="bottom"/>
          </w:tcPr>
          <w:p w14:paraId="51D85138" w14:textId="77777777" w:rsidR="00C90DA4" w:rsidRPr="00A84ED4" w:rsidRDefault="00C90DA4" w:rsidP="00C90DA4">
            <w:pPr>
              <w:jc w:val="right"/>
              <w:rPr>
                <w:bCs/>
                <w:szCs w:val="18"/>
                <w:lang w:val="en-US"/>
              </w:rPr>
            </w:pPr>
            <w:r w:rsidRPr="00A84ED4">
              <w:rPr>
                <w:bCs/>
                <w:szCs w:val="18"/>
                <w:lang w:val="en-US"/>
              </w:rPr>
              <w:t xml:space="preserve">19,854 </w:t>
            </w:r>
          </w:p>
        </w:tc>
        <w:tc>
          <w:tcPr>
            <w:tcW w:w="247" w:type="pct"/>
            <w:gridSpan w:val="3"/>
            <w:tcBorders>
              <w:left w:val="nil"/>
              <w:right w:val="nil"/>
            </w:tcBorders>
            <w:shd w:val="clear" w:color="auto" w:fill="FFFFFF"/>
            <w:vAlign w:val="center"/>
          </w:tcPr>
          <w:p w14:paraId="72B0C1F5" w14:textId="77777777" w:rsidR="00C90DA4" w:rsidRDefault="00C90DA4" w:rsidP="00C90DA4">
            <w:pPr>
              <w:rPr>
                <w:bCs/>
                <w:szCs w:val="18"/>
                <w:lang w:val="en-US"/>
              </w:rPr>
            </w:pPr>
          </w:p>
        </w:tc>
      </w:tr>
      <w:tr w:rsidR="00F531AA" w:rsidRPr="00C05614" w14:paraId="4A5B897A" w14:textId="77777777" w:rsidTr="00506B95">
        <w:trPr>
          <w:trHeight w:val="255"/>
        </w:trPr>
        <w:tc>
          <w:tcPr>
            <w:tcW w:w="2375" w:type="pct"/>
            <w:tcBorders>
              <w:top w:val="nil"/>
              <w:left w:val="nil"/>
              <w:bottom w:val="nil"/>
              <w:right w:val="nil"/>
            </w:tcBorders>
            <w:shd w:val="clear" w:color="auto" w:fill="FFFFFF"/>
            <w:noWrap/>
            <w:vAlign w:val="bottom"/>
          </w:tcPr>
          <w:p w14:paraId="679B66AF" w14:textId="77777777" w:rsidR="00C90DA4" w:rsidRPr="00C05614" w:rsidRDefault="00C90DA4" w:rsidP="00C90DA4">
            <w:pPr>
              <w:ind w:left="284"/>
              <w:rPr>
                <w:b/>
                <w:bCs/>
                <w:szCs w:val="18"/>
                <w:lang w:val="en-US"/>
              </w:rPr>
            </w:pPr>
            <w:r w:rsidRPr="00C05614">
              <w:rPr>
                <w:b/>
                <w:bCs/>
                <w:szCs w:val="18"/>
                <w:lang w:val="en-US"/>
              </w:rPr>
              <w:t> </w:t>
            </w:r>
          </w:p>
        </w:tc>
        <w:tc>
          <w:tcPr>
            <w:tcW w:w="462" w:type="pct"/>
            <w:tcBorders>
              <w:top w:val="nil"/>
              <w:left w:val="nil"/>
              <w:bottom w:val="nil"/>
              <w:right w:val="nil"/>
            </w:tcBorders>
            <w:shd w:val="clear" w:color="auto" w:fill="FFFFFF"/>
            <w:noWrap/>
            <w:vAlign w:val="bottom"/>
          </w:tcPr>
          <w:p w14:paraId="4FBF48E7" w14:textId="77777777" w:rsidR="00C90DA4" w:rsidRPr="00C05614" w:rsidRDefault="00C90DA4" w:rsidP="00C90DA4">
            <w:pPr>
              <w:rPr>
                <w:b/>
                <w:bCs/>
                <w:szCs w:val="18"/>
                <w:lang w:val="en-US"/>
              </w:rPr>
            </w:pPr>
            <w:r w:rsidRPr="00C05614">
              <w:rPr>
                <w:b/>
                <w:bCs/>
                <w:szCs w:val="18"/>
                <w:lang w:val="en-US"/>
              </w:rPr>
              <w:t> </w:t>
            </w:r>
          </w:p>
        </w:tc>
        <w:tc>
          <w:tcPr>
            <w:tcW w:w="607" w:type="pct"/>
            <w:tcBorders>
              <w:top w:val="nil"/>
              <w:left w:val="nil"/>
              <w:bottom w:val="nil"/>
              <w:right w:val="nil"/>
            </w:tcBorders>
            <w:shd w:val="clear" w:color="auto" w:fill="FFFFFF"/>
            <w:vAlign w:val="bottom"/>
          </w:tcPr>
          <w:p w14:paraId="785CA406" w14:textId="77777777" w:rsidR="00C90DA4" w:rsidRPr="00C05614" w:rsidRDefault="00C90DA4" w:rsidP="00C90DA4">
            <w:pPr>
              <w:jc w:val="right"/>
              <w:rPr>
                <w:b/>
                <w:bCs/>
                <w:szCs w:val="18"/>
                <w:lang w:val="en-US"/>
              </w:rPr>
            </w:pPr>
          </w:p>
        </w:tc>
        <w:tc>
          <w:tcPr>
            <w:tcW w:w="618" w:type="pct"/>
            <w:tcBorders>
              <w:top w:val="nil"/>
              <w:left w:val="nil"/>
              <w:bottom w:val="nil"/>
              <w:right w:val="nil"/>
            </w:tcBorders>
            <w:shd w:val="clear" w:color="auto" w:fill="FFFFFF"/>
            <w:noWrap/>
            <w:vAlign w:val="bottom"/>
          </w:tcPr>
          <w:p w14:paraId="150D7FC8" w14:textId="77777777" w:rsidR="00C90DA4" w:rsidRPr="00B6422B" w:rsidRDefault="00C90DA4" w:rsidP="00C90DA4">
            <w:pPr>
              <w:jc w:val="right"/>
              <w:rPr>
                <w:bCs/>
                <w:szCs w:val="18"/>
                <w:lang w:val="en-US"/>
              </w:rPr>
            </w:pPr>
          </w:p>
        </w:tc>
        <w:tc>
          <w:tcPr>
            <w:tcW w:w="148" w:type="pct"/>
            <w:tcBorders>
              <w:top w:val="nil"/>
              <w:left w:val="nil"/>
              <w:bottom w:val="nil"/>
              <w:right w:val="nil"/>
            </w:tcBorders>
            <w:shd w:val="clear" w:color="auto" w:fill="FFFFFF"/>
          </w:tcPr>
          <w:p w14:paraId="41EBCA09" w14:textId="77777777" w:rsidR="00C90DA4" w:rsidRPr="00D814E8" w:rsidRDefault="00C90DA4" w:rsidP="00C90DA4">
            <w:pPr>
              <w:jc w:val="right"/>
              <w:rPr>
                <w:bCs/>
                <w:szCs w:val="18"/>
                <w:lang w:val="en-US"/>
              </w:rPr>
            </w:pPr>
          </w:p>
        </w:tc>
        <w:tc>
          <w:tcPr>
            <w:tcW w:w="543" w:type="pct"/>
            <w:gridSpan w:val="3"/>
            <w:tcBorders>
              <w:top w:val="nil"/>
              <w:left w:val="nil"/>
              <w:bottom w:val="nil"/>
              <w:right w:val="nil"/>
            </w:tcBorders>
            <w:shd w:val="clear" w:color="auto" w:fill="FFFFFF"/>
            <w:vAlign w:val="bottom"/>
          </w:tcPr>
          <w:p w14:paraId="0DB2A5D2" w14:textId="77777777" w:rsidR="00C90DA4" w:rsidRPr="00A84ED4" w:rsidRDefault="00C90DA4" w:rsidP="00C90DA4">
            <w:pPr>
              <w:jc w:val="right"/>
              <w:rPr>
                <w:bCs/>
                <w:szCs w:val="18"/>
                <w:lang w:val="en-US"/>
              </w:rPr>
            </w:pPr>
          </w:p>
        </w:tc>
        <w:tc>
          <w:tcPr>
            <w:tcW w:w="247" w:type="pct"/>
            <w:gridSpan w:val="3"/>
            <w:tcBorders>
              <w:top w:val="nil"/>
              <w:left w:val="nil"/>
              <w:bottom w:val="nil"/>
              <w:right w:val="nil"/>
            </w:tcBorders>
            <w:shd w:val="clear" w:color="auto" w:fill="FFFFFF"/>
            <w:vAlign w:val="center"/>
          </w:tcPr>
          <w:p w14:paraId="19902802" w14:textId="77777777" w:rsidR="00C90DA4" w:rsidRPr="00D814E8" w:rsidRDefault="00C90DA4" w:rsidP="00C90DA4">
            <w:pPr>
              <w:rPr>
                <w:bCs/>
                <w:szCs w:val="18"/>
                <w:lang w:val="en-US"/>
              </w:rPr>
            </w:pPr>
          </w:p>
        </w:tc>
      </w:tr>
      <w:tr w:rsidR="00F531AA" w:rsidRPr="00C05614" w14:paraId="30C6A6B2" w14:textId="77777777" w:rsidTr="00506B95">
        <w:trPr>
          <w:trHeight w:val="255"/>
        </w:trPr>
        <w:tc>
          <w:tcPr>
            <w:tcW w:w="2375" w:type="pct"/>
            <w:tcBorders>
              <w:top w:val="nil"/>
              <w:left w:val="nil"/>
              <w:bottom w:val="nil"/>
              <w:right w:val="nil"/>
            </w:tcBorders>
            <w:shd w:val="clear" w:color="auto" w:fill="FFFFFF"/>
            <w:noWrap/>
            <w:vAlign w:val="bottom"/>
          </w:tcPr>
          <w:p w14:paraId="34B5E25D" w14:textId="77777777" w:rsidR="00C90DA4" w:rsidRPr="00C05614" w:rsidRDefault="00C90DA4" w:rsidP="00C90DA4">
            <w:pPr>
              <w:ind w:left="284"/>
              <w:rPr>
                <w:b/>
                <w:bCs/>
                <w:szCs w:val="18"/>
                <w:lang w:val="en-US"/>
              </w:rPr>
            </w:pPr>
            <w:r w:rsidRPr="00C05614">
              <w:rPr>
                <w:b/>
                <w:bCs/>
                <w:szCs w:val="18"/>
                <w:lang w:val="en-US"/>
              </w:rPr>
              <w:t>Cash used</w:t>
            </w:r>
          </w:p>
        </w:tc>
        <w:tc>
          <w:tcPr>
            <w:tcW w:w="462" w:type="pct"/>
            <w:tcBorders>
              <w:top w:val="nil"/>
              <w:left w:val="nil"/>
              <w:bottom w:val="nil"/>
              <w:right w:val="nil"/>
            </w:tcBorders>
            <w:shd w:val="clear" w:color="auto" w:fill="FFFFFF"/>
            <w:noWrap/>
            <w:vAlign w:val="bottom"/>
          </w:tcPr>
          <w:p w14:paraId="40B9E9D8" w14:textId="77777777" w:rsidR="00C90DA4" w:rsidRPr="00C05614" w:rsidRDefault="00C90DA4" w:rsidP="00C90DA4">
            <w:pPr>
              <w:rPr>
                <w:b/>
                <w:bCs/>
                <w:szCs w:val="18"/>
                <w:lang w:val="en-US"/>
              </w:rPr>
            </w:pPr>
            <w:r w:rsidRPr="00C05614">
              <w:rPr>
                <w:b/>
                <w:bCs/>
                <w:szCs w:val="18"/>
                <w:lang w:val="en-US"/>
              </w:rPr>
              <w:t> </w:t>
            </w:r>
          </w:p>
        </w:tc>
        <w:tc>
          <w:tcPr>
            <w:tcW w:w="607" w:type="pct"/>
            <w:tcBorders>
              <w:top w:val="nil"/>
              <w:left w:val="nil"/>
              <w:bottom w:val="nil"/>
              <w:right w:val="nil"/>
            </w:tcBorders>
            <w:shd w:val="clear" w:color="auto" w:fill="FFFFFF"/>
            <w:vAlign w:val="bottom"/>
          </w:tcPr>
          <w:p w14:paraId="374CD810" w14:textId="77777777" w:rsidR="00C90DA4" w:rsidRPr="00C05614" w:rsidRDefault="00C90DA4" w:rsidP="00C90DA4">
            <w:pPr>
              <w:jc w:val="right"/>
              <w:rPr>
                <w:b/>
                <w:bCs/>
                <w:szCs w:val="18"/>
                <w:lang w:val="en-US"/>
              </w:rPr>
            </w:pPr>
          </w:p>
        </w:tc>
        <w:tc>
          <w:tcPr>
            <w:tcW w:w="618" w:type="pct"/>
            <w:tcBorders>
              <w:top w:val="nil"/>
              <w:left w:val="nil"/>
              <w:bottom w:val="nil"/>
              <w:right w:val="nil"/>
            </w:tcBorders>
            <w:shd w:val="clear" w:color="auto" w:fill="FFFFFF"/>
            <w:noWrap/>
            <w:vAlign w:val="bottom"/>
          </w:tcPr>
          <w:p w14:paraId="1A09BA6D" w14:textId="77777777" w:rsidR="00C90DA4" w:rsidRPr="00B6422B" w:rsidRDefault="00C90DA4" w:rsidP="00C90DA4">
            <w:pPr>
              <w:jc w:val="right"/>
              <w:rPr>
                <w:bCs/>
                <w:szCs w:val="18"/>
                <w:lang w:val="en-US"/>
              </w:rPr>
            </w:pPr>
          </w:p>
        </w:tc>
        <w:tc>
          <w:tcPr>
            <w:tcW w:w="148" w:type="pct"/>
            <w:tcBorders>
              <w:top w:val="nil"/>
              <w:left w:val="nil"/>
              <w:bottom w:val="nil"/>
              <w:right w:val="nil"/>
            </w:tcBorders>
            <w:shd w:val="clear" w:color="auto" w:fill="FFFFFF"/>
          </w:tcPr>
          <w:p w14:paraId="0241AE8F" w14:textId="77777777" w:rsidR="00C90DA4" w:rsidRPr="00D814E8" w:rsidRDefault="00C90DA4" w:rsidP="00C90DA4">
            <w:pPr>
              <w:jc w:val="right"/>
              <w:rPr>
                <w:bCs/>
                <w:szCs w:val="18"/>
                <w:lang w:val="en-US"/>
              </w:rPr>
            </w:pPr>
          </w:p>
        </w:tc>
        <w:tc>
          <w:tcPr>
            <w:tcW w:w="543" w:type="pct"/>
            <w:gridSpan w:val="3"/>
            <w:tcBorders>
              <w:top w:val="nil"/>
              <w:left w:val="nil"/>
              <w:bottom w:val="nil"/>
              <w:right w:val="nil"/>
            </w:tcBorders>
            <w:shd w:val="clear" w:color="auto" w:fill="FFFFFF"/>
            <w:vAlign w:val="bottom"/>
          </w:tcPr>
          <w:p w14:paraId="2CD257F3" w14:textId="77777777" w:rsidR="00C90DA4" w:rsidRPr="00A84ED4" w:rsidRDefault="00C90DA4" w:rsidP="00C90DA4">
            <w:pPr>
              <w:jc w:val="right"/>
              <w:rPr>
                <w:bCs/>
                <w:szCs w:val="18"/>
                <w:lang w:val="en-US"/>
              </w:rPr>
            </w:pPr>
          </w:p>
        </w:tc>
        <w:tc>
          <w:tcPr>
            <w:tcW w:w="247" w:type="pct"/>
            <w:gridSpan w:val="3"/>
            <w:tcBorders>
              <w:top w:val="nil"/>
              <w:left w:val="nil"/>
              <w:bottom w:val="nil"/>
              <w:right w:val="nil"/>
            </w:tcBorders>
            <w:shd w:val="clear" w:color="auto" w:fill="FFFFFF"/>
            <w:vAlign w:val="center"/>
          </w:tcPr>
          <w:p w14:paraId="1C84E15E" w14:textId="77777777" w:rsidR="00C90DA4" w:rsidRPr="00D814E8" w:rsidRDefault="00C90DA4" w:rsidP="00C90DA4">
            <w:pPr>
              <w:rPr>
                <w:bCs/>
                <w:szCs w:val="18"/>
                <w:lang w:val="en-US"/>
              </w:rPr>
            </w:pPr>
          </w:p>
        </w:tc>
      </w:tr>
      <w:tr w:rsidR="00F531AA" w:rsidRPr="00C05614" w14:paraId="056F8078" w14:textId="77777777" w:rsidTr="00506B95">
        <w:trPr>
          <w:trHeight w:val="255"/>
        </w:trPr>
        <w:tc>
          <w:tcPr>
            <w:tcW w:w="2375" w:type="pct"/>
            <w:tcBorders>
              <w:top w:val="nil"/>
              <w:left w:val="nil"/>
              <w:bottom w:val="nil"/>
              <w:right w:val="nil"/>
            </w:tcBorders>
            <w:shd w:val="clear" w:color="auto" w:fill="FFFFFF"/>
            <w:noWrap/>
            <w:vAlign w:val="bottom"/>
          </w:tcPr>
          <w:p w14:paraId="4FF5C272" w14:textId="77777777" w:rsidR="00C90DA4" w:rsidRPr="00C05614" w:rsidRDefault="00C90DA4" w:rsidP="00C90DA4">
            <w:pPr>
              <w:ind w:left="284"/>
              <w:rPr>
                <w:szCs w:val="18"/>
                <w:lang w:val="en-US"/>
              </w:rPr>
            </w:pPr>
            <w:r w:rsidRPr="00C05614">
              <w:rPr>
                <w:szCs w:val="18"/>
                <w:lang w:val="en-US"/>
              </w:rPr>
              <w:t>Employees</w:t>
            </w:r>
          </w:p>
        </w:tc>
        <w:tc>
          <w:tcPr>
            <w:tcW w:w="462" w:type="pct"/>
            <w:tcBorders>
              <w:top w:val="nil"/>
              <w:left w:val="nil"/>
              <w:bottom w:val="nil"/>
              <w:right w:val="nil"/>
            </w:tcBorders>
            <w:shd w:val="clear" w:color="auto" w:fill="FFFFFF"/>
            <w:noWrap/>
            <w:vAlign w:val="bottom"/>
          </w:tcPr>
          <w:p w14:paraId="223169B4" w14:textId="77777777" w:rsidR="00C90DA4" w:rsidRPr="00C05614" w:rsidRDefault="00C90DA4" w:rsidP="00C90DA4">
            <w:pPr>
              <w:rPr>
                <w:b/>
                <w:bCs/>
                <w:szCs w:val="18"/>
                <w:lang w:val="en-US"/>
              </w:rPr>
            </w:pPr>
            <w:r w:rsidRPr="00C05614">
              <w:rPr>
                <w:b/>
                <w:bCs/>
                <w:szCs w:val="18"/>
                <w:lang w:val="en-US"/>
              </w:rPr>
              <w:t> </w:t>
            </w:r>
          </w:p>
        </w:tc>
        <w:tc>
          <w:tcPr>
            <w:tcW w:w="607" w:type="pct"/>
            <w:tcBorders>
              <w:top w:val="nil"/>
              <w:left w:val="nil"/>
              <w:bottom w:val="nil"/>
              <w:right w:val="nil"/>
            </w:tcBorders>
            <w:shd w:val="clear" w:color="auto" w:fill="FFFFFF"/>
            <w:vAlign w:val="bottom"/>
          </w:tcPr>
          <w:p w14:paraId="5CB0F382" w14:textId="77777777" w:rsidR="00C90DA4" w:rsidRPr="00C05614" w:rsidRDefault="00C90DA4" w:rsidP="00C90DA4">
            <w:pPr>
              <w:jc w:val="right"/>
              <w:rPr>
                <w:b/>
                <w:bCs/>
                <w:szCs w:val="18"/>
                <w:lang w:val="en-US"/>
              </w:rPr>
            </w:pPr>
            <w:r w:rsidRPr="00CA2BE2">
              <w:rPr>
                <w:b/>
                <w:bCs/>
                <w:szCs w:val="18"/>
                <w:lang w:val="en-US"/>
              </w:rPr>
              <w:t>(</w:t>
            </w:r>
            <w:r>
              <w:rPr>
                <w:b/>
                <w:bCs/>
                <w:szCs w:val="18"/>
                <w:lang w:val="en-US"/>
              </w:rPr>
              <w:t>12,137</w:t>
            </w:r>
            <w:r w:rsidRPr="00CA2BE2">
              <w:rPr>
                <w:b/>
                <w:bCs/>
                <w:szCs w:val="18"/>
                <w:lang w:val="en-US"/>
              </w:rPr>
              <w:t>)</w:t>
            </w:r>
          </w:p>
        </w:tc>
        <w:tc>
          <w:tcPr>
            <w:tcW w:w="618" w:type="pct"/>
            <w:tcBorders>
              <w:top w:val="nil"/>
              <w:left w:val="nil"/>
              <w:bottom w:val="nil"/>
              <w:right w:val="nil"/>
            </w:tcBorders>
            <w:shd w:val="clear" w:color="auto" w:fill="FFFFFF"/>
            <w:noWrap/>
            <w:vAlign w:val="bottom"/>
          </w:tcPr>
          <w:p w14:paraId="0B7AA942" w14:textId="77777777" w:rsidR="00C90DA4" w:rsidRPr="00B6422B" w:rsidRDefault="00C90DA4" w:rsidP="00C90DA4">
            <w:pPr>
              <w:jc w:val="right"/>
              <w:rPr>
                <w:bCs/>
                <w:szCs w:val="18"/>
                <w:lang w:val="en-US"/>
              </w:rPr>
            </w:pPr>
            <w:r w:rsidRPr="00B6422B">
              <w:rPr>
                <w:bCs/>
                <w:szCs w:val="18"/>
                <w:lang w:val="en-US"/>
              </w:rPr>
              <w:t>(11,972)</w:t>
            </w:r>
          </w:p>
        </w:tc>
        <w:tc>
          <w:tcPr>
            <w:tcW w:w="148" w:type="pct"/>
            <w:tcBorders>
              <w:top w:val="nil"/>
              <w:left w:val="nil"/>
              <w:bottom w:val="nil"/>
              <w:right w:val="nil"/>
            </w:tcBorders>
            <w:shd w:val="clear" w:color="auto" w:fill="FFFFFF"/>
          </w:tcPr>
          <w:p w14:paraId="7BBBF315" w14:textId="77777777" w:rsidR="00C90DA4" w:rsidRPr="00D814E8" w:rsidRDefault="00C90DA4" w:rsidP="00C90DA4">
            <w:pPr>
              <w:jc w:val="right"/>
              <w:rPr>
                <w:bCs/>
                <w:szCs w:val="18"/>
                <w:lang w:val="en-US"/>
              </w:rPr>
            </w:pPr>
          </w:p>
        </w:tc>
        <w:tc>
          <w:tcPr>
            <w:tcW w:w="543" w:type="pct"/>
            <w:gridSpan w:val="3"/>
            <w:tcBorders>
              <w:top w:val="nil"/>
              <w:left w:val="nil"/>
              <w:bottom w:val="nil"/>
              <w:right w:val="nil"/>
            </w:tcBorders>
            <w:shd w:val="clear" w:color="auto" w:fill="FFFFFF"/>
            <w:vAlign w:val="bottom"/>
          </w:tcPr>
          <w:p w14:paraId="74696FFA" w14:textId="77777777" w:rsidR="00C90DA4" w:rsidRPr="00A84ED4" w:rsidRDefault="00C90DA4" w:rsidP="00C90DA4">
            <w:pPr>
              <w:jc w:val="right"/>
              <w:rPr>
                <w:bCs/>
                <w:szCs w:val="18"/>
                <w:lang w:val="en-US"/>
              </w:rPr>
            </w:pPr>
            <w:r w:rsidRPr="00A84ED4">
              <w:rPr>
                <w:bCs/>
                <w:szCs w:val="18"/>
                <w:lang w:val="en-US"/>
              </w:rPr>
              <w:t>(1</w:t>
            </w:r>
            <w:r>
              <w:rPr>
                <w:bCs/>
                <w:szCs w:val="18"/>
                <w:lang w:val="en-US"/>
              </w:rPr>
              <w:t>3,705</w:t>
            </w:r>
            <w:r w:rsidRPr="00A84ED4">
              <w:rPr>
                <w:bCs/>
                <w:szCs w:val="18"/>
                <w:lang w:val="en-US"/>
              </w:rPr>
              <w:t>)</w:t>
            </w:r>
          </w:p>
        </w:tc>
        <w:tc>
          <w:tcPr>
            <w:tcW w:w="247" w:type="pct"/>
            <w:gridSpan w:val="3"/>
            <w:tcBorders>
              <w:top w:val="nil"/>
              <w:left w:val="nil"/>
              <w:bottom w:val="nil"/>
              <w:right w:val="nil"/>
            </w:tcBorders>
            <w:shd w:val="clear" w:color="auto" w:fill="FFFFFF"/>
            <w:vAlign w:val="center"/>
          </w:tcPr>
          <w:p w14:paraId="0BF9B3B3" w14:textId="77777777" w:rsidR="00C90DA4" w:rsidRDefault="00C90DA4" w:rsidP="00C90DA4">
            <w:pPr>
              <w:rPr>
                <w:bCs/>
                <w:szCs w:val="18"/>
                <w:lang w:val="en-US"/>
              </w:rPr>
            </w:pPr>
            <w:r>
              <w:rPr>
                <w:bCs/>
                <w:szCs w:val="18"/>
                <w:vertAlign w:val="superscript"/>
                <w:lang w:val="en-US"/>
              </w:rPr>
              <w:t>B</w:t>
            </w:r>
          </w:p>
        </w:tc>
      </w:tr>
      <w:tr w:rsidR="00F531AA" w:rsidRPr="00C05614" w14:paraId="3A4C69E2" w14:textId="77777777" w:rsidTr="00506B95">
        <w:trPr>
          <w:trHeight w:val="255"/>
        </w:trPr>
        <w:tc>
          <w:tcPr>
            <w:tcW w:w="2375" w:type="pct"/>
            <w:tcBorders>
              <w:top w:val="nil"/>
              <w:left w:val="nil"/>
              <w:bottom w:val="nil"/>
              <w:right w:val="nil"/>
            </w:tcBorders>
            <w:shd w:val="clear" w:color="auto" w:fill="FFFFFF"/>
            <w:noWrap/>
            <w:vAlign w:val="bottom"/>
          </w:tcPr>
          <w:p w14:paraId="21A0360A" w14:textId="77777777" w:rsidR="00C90DA4" w:rsidRPr="00C05614" w:rsidRDefault="00C90DA4" w:rsidP="00C90DA4">
            <w:pPr>
              <w:ind w:left="284"/>
              <w:rPr>
                <w:szCs w:val="18"/>
                <w:lang w:val="en-US"/>
              </w:rPr>
            </w:pPr>
            <w:r w:rsidRPr="00C05614">
              <w:rPr>
                <w:szCs w:val="18"/>
                <w:lang w:val="en-US"/>
              </w:rPr>
              <w:t>Suppliers</w:t>
            </w:r>
          </w:p>
        </w:tc>
        <w:tc>
          <w:tcPr>
            <w:tcW w:w="462" w:type="pct"/>
            <w:tcBorders>
              <w:top w:val="nil"/>
              <w:left w:val="nil"/>
              <w:bottom w:val="nil"/>
              <w:right w:val="nil"/>
            </w:tcBorders>
            <w:shd w:val="clear" w:color="auto" w:fill="FFFFFF"/>
            <w:noWrap/>
            <w:vAlign w:val="bottom"/>
          </w:tcPr>
          <w:p w14:paraId="1A45EB30" w14:textId="77777777" w:rsidR="00C90DA4" w:rsidRPr="00C05614" w:rsidRDefault="00C90DA4" w:rsidP="00C90DA4">
            <w:pPr>
              <w:rPr>
                <w:b/>
                <w:bCs/>
                <w:szCs w:val="18"/>
                <w:lang w:val="en-US"/>
              </w:rPr>
            </w:pPr>
            <w:r w:rsidRPr="00C05614">
              <w:rPr>
                <w:b/>
                <w:bCs/>
                <w:szCs w:val="18"/>
                <w:lang w:val="en-US"/>
              </w:rPr>
              <w:t> </w:t>
            </w:r>
          </w:p>
        </w:tc>
        <w:tc>
          <w:tcPr>
            <w:tcW w:w="607" w:type="pct"/>
            <w:tcBorders>
              <w:top w:val="nil"/>
              <w:left w:val="nil"/>
              <w:bottom w:val="nil"/>
              <w:right w:val="nil"/>
            </w:tcBorders>
            <w:shd w:val="clear" w:color="auto" w:fill="FFFFFF"/>
            <w:vAlign w:val="bottom"/>
          </w:tcPr>
          <w:p w14:paraId="075C43D8" w14:textId="77777777" w:rsidR="00C90DA4" w:rsidRPr="00C05614" w:rsidRDefault="00C90DA4" w:rsidP="00C90DA4">
            <w:pPr>
              <w:jc w:val="right"/>
              <w:rPr>
                <w:b/>
                <w:bCs/>
                <w:szCs w:val="18"/>
                <w:lang w:val="en-US"/>
              </w:rPr>
            </w:pPr>
            <w:r>
              <w:rPr>
                <w:b/>
                <w:bCs/>
                <w:szCs w:val="18"/>
                <w:lang w:val="en-US"/>
              </w:rPr>
              <w:t>(19,110</w:t>
            </w:r>
            <w:r w:rsidRPr="00C51A34">
              <w:rPr>
                <w:b/>
                <w:bCs/>
                <w:szCs w:val="18"/>
                <w:lang w:val="en-US"/>
              </w:rPr>
              <w:t>)</w:t>
            </w:r>
            <w:r w:rsidRPr="00C51A34" w:rsidDel="00CA2BE2">
              <w:rPr>
                <w:b/>
                <w:bCs/>
                <w:szCs w:val="18"/>
                <w:lang w:val="en-US"/>
              </w:rPr>
              <w:t xml:space="preserve"> </w:t>
            </w:r>
          </w:p>
        </w:tc>
        <w:tc>
          <w:tcPr>
            <w:tcW w:w="618" w:type="pct"/>
            <w:tcBorders>
              <w:top w:val="nil"/>
              <w:left w:val="nil"/>
              <w:bottom w:val="nil"/>
              <w:right w:val="nil"/>
            </w:tcBorders>
            <w:shd w:val="clear" w:color="auto" w:fill="FFFFFF"/>
            <w:noWrap/>
            <w:vAlign w:val="bottom"/>
          </w:tcPr>
          <w:p w14:paraId="79A359CE" w14:textId="77777777" w:rsidR="00C90DA4" w:rsidRPr="00B6422B" w:rsidRDefault="00C90DA4" w:rsidP="00C90DA4">
            <w:pPr>
              <w:jc w:val="right"/>
              <w:rPr>
                <w:bCs/>
                <w:szCs w:val="18"/>
                <w:lang w:val="en-US"/>
              </w:rPr>
            </w:pPr>
            <w:r w:rsidRPr="00B6422B">
              <w:rPr>
                <w:bCs/>
                <w:szCs w:val="18"/>
                <w:lang w:val="en-US"/>
              </w:rPr>
              <w:t>(16,812)</w:t>
            </w:r>
            <w:r w:rsidRPr="00B6422B" w:rsidDel="00CA2BE2">
              <w:rPr>
                <w:bCs/>
                <w:szCs w:val="18"/>
                <w:lang w:val="en-US"/>
              </w:rPr>
              <w:t xml:space="preserve"> </w:t>
            </w:r>
          </w:p>
        </w:tc>
        <w:tc>
          <w:tcPr>
            <w:tcW w:w="148" w:type="pct"/>
            <w:tcBorders>
              <w:top w:val="nil"/>
              <w:left w:val="nil"/>
              <w:bottom w:val="nil"/>
              <w:right w:val="nil"/>
            </w:tcBorders>
            <w:shd w:val="clear" w:color="auto" w:fill="FFFFFF"/>
          </w:tcPr>
          <w:p w14:paraId="0AB937B7" w14:textId="77777777" w:rsidR="00C90DA4" w:rsidRPr="00D814E8" w:rsidRDefault="00C90DA4" w:rsidP="00C90DA4">
            <w:pPr>
              <w:jc w:val="right"/>
              <w:rPr>
                <w:bCs/>
                <w:szCs w:val="18"/>
                <w:lang w:val="en-US"/>
              </w:rPr>
            </w:pPr>
          </w:p>
        </w:tc>
        <w:tc>
          <w:tcPr>
            <w:tcW w:w="543" w:type="pct"/>
            <w:gridSpan w:val="3"/>
            <w:tcBorders>
              <w:top w:val="nil"/>
              <w:left w:val="nil"/>
              <w:bottom w:val="nil"/>
              <w:right w:val="nil"/>
            </w:tcBorders>
            <w:shd w:val="clear" w:color="auto" w:fill="FFFFFF"/>
            <w:vAlign w:val="bottom"/>
          </w:tcPr>
          <w:p w14:paraId="7E9B0EF7" w14:textId="77777777" w:rsidR="00C90DA4" w:rsidRPr="00A84ED4" w:rsidRDefault="00C90DA4" w:rsidP="00C90DA4">
            <w:pPr>
              <w:jc w:val="right"/>
              <w:rPr>
                <w:bCs/>
                <w:szCs w:val="18"/>
                <w:lang w:val="en-US"/>
              </w:rPr>
            </w:pPr>
            <w:r w:rsidRPr="00A84ED4">
              <w:rPr>
                <w:bCs/>
                <w:szCs w:val="18"/>
                <w:lang w:val="en-US"/>
              </w:rPr>
              <w:t>(8,149)</w:t>
            </w:r>
            <w:r w:rsidRPr="00A84ED4" w:rsidDel="00CA2BE2">
              <w:rPr>
                <w:bCs/>
                <w:szCs w:val="18"/>
                <w:lang w:val="en-US"/>
              </w:rPr>
              <w:t xml:space="preserve"> </w:t>
            </w:r>
          </w:p>
        </w:tc>
        <w:tc>
          <w:tcPr>
            <w:tcW w:w="247" w:type="pct"/>
            <w:gridSpan w:val="3"/>
            <w:tcBorders>
              <w:top w:val="nil"/>
              <w:left w:val="nil"/>
              <w:bottom w:val="nil"/>
              <w:right w:val="nil"/>
            </w:tcBorders>
            <w:shd w:val="clear" w:color="auto" w:fill="FFFFFF"/>
            <w:vAlign w:val="center"/>
          </w:tcPr>
          <w:p w14:paraId="1D9A0F5F" w14:textId="77777777" w:rsidR="00C90DA4" w:rsidRPr="002A7DFA" w:rsidRDefault="00C90DA4" w:rsidP="00C90DA4">
            <w:pPr>
              <w:rPr>
                <w:bCs/>
                <w:szCs w:val="18"/>
                <w:vertAlign w:val="superscript"/>
                <w:lang w:val="en-US"/>
              </w:rPr>
            </w:pPr>
            <w:r>
              <w:rPr>
                <w:bCs/>
                <w:szCs w:val="18"/>
                <w:vertAlign w:val="superscript"/>
                <w:lang w:val="en-US"/>
              </w:rPr>
              <w:t>A</w:t>
            </w:r>
          </w:p>
        </w:tc>
      </w:tr>
      <w:tr w:rsidR="00F531AA" w:rsidRPr="00C05614" w14:paraId="3681C697" w14:textId="77777777" w:rsidTr="00506B95">
        <w:trPr>
          <w:trHeight w:val="255"/>
        </w:trPr>
        <w:tc>
          <w:tcPr>
            <w:tcW w:w="2375" w:type="pct"/>
            <w:tcBorders>
              <w:top w:val="nil"/>
              <w:left w:val="nil"/>
              <w:bottom w:val="nil"/>
              <w:right w:val="nil"/>
            </w:tcBorders>
            <w:shd w:val="clear" w:color="auto" w:fill="FFFFFF"/>
            <w:noWrap/>
            <w:vAlign w:val="bottom"/>
          </w:tcPr>
          <w:p w14:paraId="2086C9B0" w14:textId="77777777" w:rsidR="00C90DA4" w:rsidRPr="00C05614" w:rsidRDefault="00C90DA4" w:rsidP="00C90DA4">
            <w:pPr>
              <w:ind w:left="284"/>
              <w:rPr>
                <w:b/>
                <w:bCs/>
                <w:szCs w:val="18"/>
                <w:lang w:val="en-US"/>
              </w:rPr>
            </w:pPr>
            <w:r w:rsidRPr="00C05614">
              <w:rPr>
                <w:b/>
                <w:bCs/>
                <w:szCs w:val="18"/>
                <w:lang w:val="en-US"/>
              </w:rPr>
              <w:t>Total cash used</w:t>
            </w:r>
          </w:p>
        </w:tc>
        <w:tc>
          <w:tcPr>
            <w:tcW w:w="462" w:type="pct"/>
            <w:tcBorders>
              <w:top w:val="nil"/>
              <w:left w:val="nil"/>
              <w:bottom w:val="nil"/>
              <w:right w:val="nil"/>
            </w:tcBorders>
            <w:shd w:val="clear" w:color="auto" w:fill="FFFFFF"/>
            <w:noWrap/>
            <w:vAlign w:val="bottom"/>
          </w:tcPr>
          <w:p w14:paraId="6DF41C75" w14:textId="77777777" w:rsidR="00C90DA4" w:rsidRPr="00C05614" w:rsidRDefault="00C90DA4" w:rsidP="00C90DA4">
            <w:pPr>
              <w:jc w:val="center"/>
              <w:rPr>
                <w:b/>
                <w:bCs/>
                <w:szCs w:val="18"/>
                <w:u w:val="single"/>
                <w:lang w:val="en-US"/>
              </w:rPr>
            </w:pPr>
          </w:p>
        </w:tc>
        <w:tc>
          <w:tcPr>
            <w:tcW w:w="607" w:type="pct"/>
            <w:tcBorders>
              <w:top w:val="single" w:sz="4" w:space="0" w:color="auto"/>
              <w:left w:val="nil"/>
              <w:bottom w:val="nil"/>
              <w:right w:val="nil"/>
            </w:tcBorders>
            <w:shd w:val="clear" w:color="auto" w:fill="FFFFFF"/>
            <w:vAlign w:val="bottom"/>
          </w:tcPr>
          <w:p w14:paraId="48F4A532" w14:textId="77777777" w:rsidR="00C90DA4" w:rsidRPr="00C05614" w:rsidRDefault="00C90DA4" w:rsidP="00C90DA4">
            <w:pPr>
              <w:jc w:val="right"/>
              <w:rPr>
                <w:b/>
                <w:bCs/>
                <w:szCs w:val="18"/>
                <w:lang w:val="en-US"/>
              </w:rPr>
            </w:pPr>
            <w:r>
              <w:rPr>
                <w:b/>
                <w:bCs/>
                <w:szCs w:val="18"/>
                <w:lang w:val="en-US"/>
              </w:rPr>
              <w:t>(31,247</w:t>
            </w:r>
            <w:r w:rsidRPr="00C51A34">
              <w:rPr>
                <w:b/>
                <w:bCs/>
                <w:szCs w:val="18"/>
                <w:lang w:val="en-US"/>
              </w:rPr>
              <w:t>)</w:t>
            </w:r>
            <w:r w:rsidRPr="00C51A34" w:rsidDel="00CA2BE2">
              <w:rPr>
                <w:b/>
                <w:bCs/>
                <w:szCs w:val="18"/>
                <w:lang w:val="en-US"/>
              </w:rPr>
              <w:t xml:space="preserve"> </w:t>
            </w:r>
          </w:p>
        </w:tc>
        <w:tc>
          <w:tcPr>
            <w:tcW w:w="618" w:type="pct"/>
            <w:tcBorders>
              <w:top w:val="single" w:sz="4" w:space="0" w:color="auto"/>
              <w:left w:val="nil"/>
              <w:bottom w:val="nil"/>
              <w:right w:val="nil"/>
            </w:tcBorders>
            <w:shd w:val="clear" w:color="auto" w:fill="FFFFFF"/>
            <w:noWrap/>
            <w:vAlign w:val="bottom"/>
          </w:tcPr>
          <w:p w14:paraId="6C725032" w14:textId="77777777" w:rsidR="00C90DA4" w:rsidRPr="00B6422B" w:rsidRDefault="00C90DA4" w:rsidP="00C90DA4">
            <w:pPr>
              <w:jc w:val="right"/>
              <w:rPr>
                <w:bCs/>
                <w:szCs w:val="18"/>
                <w:lang w:val="en-US"/>
              </w:rPr>
            </w:pPr>
            <w:r w:rsidRPr="00B6422B">
              <w:rPr>
                <w:bCs/>
                <w:szCs w:val="18"/>
                <w:lang w:val="en-US"/>
              </w:rPr>
              <w:t>(28,784)</w:t>
            </w:r>
            <w:r w:rsidRPr="00B6422B" w:rsidDel="00CA2BE2">
              <w:rPr>
                <w:bCs/>
                <w:szCs w:val="18"/>
                <w:lang w:val="en-US"/>
              </w:rPr>
              <w:t xml:space="preserve"> </w:t>
            </w:r>
          </w:p>
        </w:tc>
        <w:tc>
          <w:tcPr>
            <w:tcW w:w="148" w:type="pct"/>
            <w:tcBorders>
              <w:left w:val="nil"/>
              <w:bottom w:val="nil"/>
              <w:right w:val="nil"/>
            </w:tcBorders>
            <w:shd w:val="clear" w:color="auto" w:fill="FFFFFF"/>
          </w:tcPr>
          <w:p w14:paraId="787B709E" w14:textId="77777777" w:rsidR="00C90DA4" w:rsidRPr="00D814E8" w:rsidRDefault="00C90DA4" w:rsidP="00C90DA4">
            <w:pPr>
              <w:jc w:val="right"/>
              <w:rPr>
                <w:bCs/>
                <w:szCs w:val="18"/>
                <w:lang w:val="en-US"/>
              </w:rPr>
            </w:pPr>
          </w:p>
        </w:tc>
        <w:tc>
          <w:tcPr>
            <w:tcW w:w="543" w:type="pct"/>
            <w:gridSpan w:val="3"/>
            <w:tcBorders>
              <w:top w:val="single" w:sz="4" w:space="0" w:color="auto"/>
              <w:left w:val="nil"/>
              <w:bottom w:val="nil"/>
              <w:right w:val="nil"/>
            </w:tcBorders>
            <w:shd w:val="clear" w:color="auto" w:fill="FFFFFF"/>
            <w:vAlign w:val="bottom"/>
          </w:tcPr>
          <w:p w14:paraId="329C5150" w14:textId="77777777" w:rsidR="00C90DA4" w:rsidRPr="00A84ED4" w:rsidRDefault="00C90DA4" w:rsidP="00C90DA4">
            <w:pPr>
              <w:jc w:val="right"/>
              <w:rPr>
                <w:bCs/>
                <w:szCs w:val="18"/>
                <w:lang w:val="en-US"/>
              </w:rPr>
            </w:pPr>
            <w:r w:rsidRPr="00A84ED4">
              <w:rPr>
                <w:bCs/>
                <w:szCs w:val="18"/>
                <w:lang w:val="en-US"/>
              </w:rPr>
              <w:t>(21,854)</w:t>
            </w:r>
            <w:r w:rsidRPr="00A84ED4" w:rsidDel="00CA2BE2">
              <w:rPr>
                <w:bCs/>
                <w:szCs w:val="18"/>
                <w:lang w:val="en-US"/>
              </w:rPr>
              <w:t xml:space="preserve"> </w:t>
            </w:r>
          </w:p>
        </w:tc>
        <w:tc>
          <w:tcPr>
            <w:tcW w:w="247" w:type="pct"/>
            <w:gridSpan w:val="3"/>
            <w:tcBorders>
              <w:left w:val="nil"/>
              <w:bottom w:val="nil"/>
              <w:right w:val="nil"/>
            </w:tcBorders>
            <w:shd w:val="clear" w:color="auto" w:fill="FFFFFF"/>
          </w:tcPr>
          <w:p w14:paraId="31E843E7" w14:textId="77777777" w:rsidR="00C90DA4" w:rsidRPr="00D814E8" w:rsidRDefault="00C90DA4" w:rsidP="00C90DA4">
            <w:pPr>
              <w:rPr>
                <w:bCs/>
                <w:szCs w:val="18"/>
                <w:lang w:val="en-US"/>
              </w:rPr>
            </w:pPr>
          </w:p>
        </w:tc>
      </w:tr>
      <w:tr w:rsidR="00F531AA" w:rsidRPr="00C05614" w14:paraId="2A4C0E5C" w14:textId="77777777" w:rsidTr="00506B95">
        <w:trPr>
          <w:trHeight w:val="255"/>
        </w:trPr>
        <w:tc>
          <w:tcPr>
            <w:tcW w:w="2375" w:type="pct"/>
            <w:tcBorders>
              <w:top w:val="nil"/>
              <w:left w:val="nil"/>
              <w:bottom w:val="nil"/>
              <w:right w:val="nil"/>
            </w:tcBorders>
            <w:shd w:val="clear" w:color="auto" w:fill="FFFFFF"/>
            <w:noWrap/>
            <w:vAlign w:val="bottom"/>
          </w:tcPr>
          <w:p w14:paraId="2BAC683F" w14:textId="77777777" w:rsidR="00C90DA4" w:rsidRPr="00C05614" w:rsidRDefault="00C90DA4" w:rsidP="00C90DA4">
            <w:pPr>
              <w:ind w:left="284"/>
              <w:rPr>
                <w:b/>
                <w:bCs/>
                <w:szCs w:val="18"/>
                <w:lang w:val="en-US"/>
              </w:rPr>
            </w:pPr>
            <w:r>
              <w:rPr>
                <w:b/>
                <w:bCs/>
                <w:szCs w:val="18"/>
                <w:lang w:val="en-US"/>
              </w:rPr>
              <w:t>Net cash used by</w:t>
            </w:r>
            <w:r w:rsidRPr="00C05614">
              <w:rPr>
                <w:b/>
                <w:bCs/>
                <w:szCs w:val="18"/>
                <w:lang w:val="en-US"/>
              </w:rPr>
              <w:t xml:space="preserve"> operating activities</w:t>
            </w:r>
          </w:p>
        </w:tc>
        <w:tc>
          <w:tcPr>
            <w:tcW w:w="462" w:type="pct"/>
            <w:tcBorders>
              <w:top w:val="nil"/>
              <w:left w:val="nil"/>
              <w:bottom w:val="nil"/>
              <w:right w:val="nil"/>
            </w:tcBorders>
            <w:shd w:val="clear" w:color="auto" w:fill="FFFFFF"/>
            <w:noWrap/>
            <w:vAlign w:val="bottom"/>
          </w:tcPr>
          <w:p w14:paraId="1028071D" w14:textId="77777777" w:rsidR="00C90DA4" w:rsidRPr="00C05614" w:rsidRDefault="00924EF8" w:rsidP="00C90DA4">
            <w:pPr>
              <w:jc w:val="center"/>
              <w:rPr>
                <w:szCs w:val="18"/>
                <w:lang w:val="en-US"/>
              </w:rPr>
            </w:pPr>
            <w:hyperlink r:id="rId99" w:anchor="RANGE!A1#RANGE!A1" w:tooltip="Go to Note" w:history="1">
              <w:r w:rsidR="00C90DA4" w:rsidRPr="00C05614">
                <w:rPr>
                  <w:lang w:val="en-US"/>
                </w:rPr>
                <w:t xml:space="preserve"> </w:t>
              </w:r>
            </w:hyperlink>
          </w:p>
        </w:tc>
        <w:tc>
          <w:tcPr>
            <w:tcW w:w="607" w:type="pct"/>
            <w:tcBorders>
              <w:top w:val="single" w:sz="4" w:space="0" w:color="auto"/>
              <w:left w:val="nil"/>
              <w:bottom w:val="single" w:sz="4" w:space="0" w:color="auto"/>
              <w:right w:val="nil"/>
            </w:tcBorders>
            <w:shd w:val="clear" w:color="auto" w:fill="FFFFFF"/>
            <w:vAlign w:val="bottom"/>
          </w:tcPr>
          <w:p w14:paraId="6AA5AF49" w14:textId="77777777" w:rsidR="00C90DA4" w:rsidRPr="00C05614" w:rsidRDefault="00C90DA4" w:rsidP="00C90DA4">
            <w:pPr>
              <w:jc w:val="right"/>
              <w:rPr>
                <w:b/>
                <w:bCs/>
                <w:szCs w:val="18"/>
                <w:lang w:val="en-US"/>
              </w:rPr>
            </w:pPr>
            <w:r>
              <w:rPr>
                <w:b/>
                <w:bCs/>
                <w:szCs w:val="18"/>
                <w:lang w:val="en-US"/>
              </w:rPr>
              <w:t>(4,518)</w:t>
            </w:r>
            <w:r w:rsidRPr="00C51A34">
              <w:rPr>
                <w:b/>
                <w:bCs/>
                <w:szCs w:val="18"/>
                <w:lang w:val="en-US"/>
              </w:rPr>
              <w:t xml:space="preserve"> </w:t>
            </w:r>
          </w:p>
        </w:tc>
        <w:tc>
          <w:tcPr>
            <w:tcW w:w="618" w:type="pct"/>
            <w:tcBorders>
              <w:top w:val="single" w:sz="4" w:space="0" w:color="auto"/>
              <w:left w:val="nil"/>
              <w:bottom w:val="single" w:sz="4" w:space="0" w:color="auto"/>
              <w:right w:val="nil"/>
            </w:tcBorders>
            <w:shd w:val="clear" w:color="auto" w:fill="FFFFFF"/>
            <w:noWrap/>
            <w:vAlign w:val="bottom"/>
          </w:tcPr>
          <w:p w14:paraId="714275DB" w14:textId="77777777" w:rsidR="00C90DA4" w:rsidRPr="00B6422B" w:rsidRDefault="00C90DA4" w:rsidP="00C90DA4">
            <w:pPr>
              <w:jc w:val="right"/>
              <w:rPr>
                <w:bCs/>
                <w:szCs w:val="18"/>
                <w:lang w:val="en-US"/>
              </w:rPr>
            </w:pPr>
            <w:r w:rsidRPr="00B6422B">
              <w:rPr>
                <w:bCs/>
                <w:szCs w:val="18"/>
                <w:lang w:val="en-US"/>
              </w:rPr>
              <w:t xml:space="preserve">(3,390) </w:t>
            </w:r>
          </w:p>
        </w:tc>
        <w:tc>
          <w:tcPr>
            <w:tcW w:w="148" w:type="pct"/>
            <w:tcBorders>
              <w:left w:val="nil"/>
              <w:right w:val="nil"/>
            </w:tcBorders>
            <w:shd w:val="clear" w:color="auto" w:fill="FFFFFF"/>
          </w:tcPr>
          <w:p w14:paraId="1DB059CE" w14:textId="77777777" w:rsidR="00C90DA4" w:rsidRPr="00D814E8" w:rsidRDefault="00C90DA4" w:rsidP="00C90DA4">
            <w:pPr>
              <w:jc w:val="right"/>
              <w:rPr>
                <w:bCs/>
                <w:szCs w:val="18"/>
                <w:lang w:val="en-US"/>
              </w:rPr>
            </w:pPr>
          </w:p>
        </w:tc>
        <w:tc>
          <w:tcPr>
            <w:tcW w:w="543" w:type="pct"/>
            <w:gridSpan w:val="3"/>
            <w:tcBorders>
              <w:top w:val="single" w:sz="4" w:space="0" w:color="auto"/>
              <w:left w:val="nil"/>
              <w:bottom w:val="single" w:sz="4" w:space="0" w:color="auto"/>
              <w:right w:val="nil"/>
            </w:tcBorders>
            <w:shd w:val="clear" w:color="auto" w:fill="FFFFFF"/>
            <w:vAlign w:val="bottom"/>
          </w:tcPr>
          <w:p w14:paraId="1172086F" w14:textId="77777777" w:rsidR="00C90DA4" w:rsidRPr="00A84ED4" w:rsidRDefault="00C90DA4" w:rsidP="00C90DA4">
            <w:pPr>
              <w:jc w:val="right"/>
              <w:rPr>
                <w:bCs/>
                <w:szCs w:val="18"/>
                <w:lang w:val="en-US"/>
              </w:rPr>
            </w:pPr>
            <w:r w:rsidRPr="00A84ED4">
              <w:rPr>
                <w:bCs/>
                <w:szCs w:val="18"/>
                <w:lang w:val="en-US"/>
              </w:rPr>
              <w:t xml:space="preserve">(2,000) </w:t>
            </w:r>
          </w:p>
        </w:tc>
        <w:tc>
          <w:tcPr>
            <w:tcW w:w="247" w:type="pct"/>
            <w:gridSpan w:val="3"/>
            <w:tcBorders>
              <w:left w:val="nil"/>
              <w:right w:val="nil"/>
            </w:tcBorders>
            <w:shd w:val="clear" w:color="auto" w:fill="FFFFFF"/>
          </w:tcPr>
          <w:p w14:paraId="5EBA4092" w14:textId="77777777" w:rsidR="00C90DA4" w:rsidRDefault="00C90DA4" w:rsidP="00C90DA4">
            <w:pPr>
              <w:rPr>
                <w:bCs/>
                <w:szCs w:val="18"/>
                <w:lang w:val="en-US"/>
              </w:rPr>
            </w:pPr>
          </w:p>
        </w:tc>
      </w:tr>
      <w:tr w:rsidR="00F531AA" w:rsidRPr="00C05614" w14:paraId="5916A73C" w14:textId="77777777" w:rsidTr="00506B95">
        <w:trPr>
          <w:trHeight w:val="255"/>
        </w:trPr>
        <w:tc>
          <w:tcPr>
            <w:tcW w:w="2375" w:type="pct"/>
            <w:tcBorders>
              <w:top w:val="nil"/>
              <w:left w:val="nil"/>
              <w:bottom w:val="nil"/>
              <w:right w:val="nil"/>
            </w:tcBorders>
            <w:shd w:val="clear" w:color="auto" w:fill="FFFFFF"/>
            <w:noWrap/>
            <w:vAlign w:val="bottom"/>
          </w:tcPr>
          <w:p w14:paraId="42CFB9C9" w14:textId="77777777" w:rsidR="00C90DA4" w:rsidRPr="00C05614" w:rsidRDefault="00C90DA4" w:rsidP="00C90DA4">
            <w:pPr>
              <w:ind w:left="284"/>
              <w:rPr>
                <w:b/>
                <w:bCs/>
                <w:szCs w:val="18"/>
                <w:lang w:val="en-US"/>
              </w:rPr>
            </w:pPr>
            <w:r w:rsidRPr="00C05614">
              <w:rPr>
                <w:b/>
                <w:bCs/>
                <w:szCs w:val="18"/>
                <w:lang w:val="en-US"/>
              </w:rPr>
              <w:t> </w:t>
            </w:r>
          </w:p>
        </w:tc>
        <w:tc>
          <w:tcPr>
            <w:tcW w:w="462" w:type="pct"/>
            <w:tcBorders>
              <w:top w:val="nil"/>
              <w:left w:val="nil"/>
              <w:bottom w:val="nil"/>
              <w:right w:val="nil"/>
            </w:tcBorders>
            <w:shd w:val="clear" w:color="auto" w:fill="FFFFFF"/>
            <w:noWrap/>
            <w:vAlign w:val="bottom"/>
          </w:tcPr>
          <w:p w14:paraId="3617301B" w14:textId="77777777" w:rsidR="00C90DA4" w:rsidRPr="00C05614" w:rsidRDefault="00C90DA4" w:rsidP="00C90DA4">
            <w:pPr>
              <w:jc w:val="center"/>
              <w:rPr>
                <w:szCs w:val="18"/>
                <w:lang w:val="en-US"/>
              </w:rPr>
            </w:pPr>
            <w:r w:rsidRPr="00C05614">
              <w:rPr>
                <w:szCs w:val="18"/>
                <w:lang w:val="en-US"/>
              </w:rPr>
              <w:t> </w:t>
            </w:r>
          </w:p>
        </w:tc>
        <w:tc>
          <w:tcPr>
            <w:tcW w:w="607" w:type="pct"/>
            <w:tcBorders>
              <w:top w:val="nil"/>
              <w:left w:val="nil"/>
              <w:bottom w:val="nil"/>
              <w:right w:val="nil"/>
            </w:tcBorders>
            <w:shd w:val="clear" w:color="auto" w:fill="FFFFFF"/>
            <w:vAlign w:val="bottom"/>
          </w:tcPr>
          <w:p w14:paraId="329D5EB7" w14:textId="77777777" w:rsidR="00C90DA4" w:rsidRPr="00C05614" w:rsidRDefault="00C90DA4" w:rsidP="00C90DA4">
            <w:pPr>
              <w:jc w:val="right"/>
              <w:rPr>
                <w:b/>
                <w:bCs/>
                <w:szCs w:val="18"/>
                <w:lang w:val="en-US"/>
              </w:rPr>
            </w:pPr>
          </w:p>
        </w:tc>
        <w:tc>
          <w:tcPr>
            <w:tcW w:w="618" w:type="pct"/>
            <w:tcBorders>
              <w:top w:val="nil"/>
              <w:left w:val="nil"/>
              <w:bottom w:val="nil"/>
              <w:right w:val="nil"/>
            </w:tcBorders>
            <w:shd w:val="clear" w:color="auto" w:fill="FFFFFF"/>
            <w:noWrap/>
            <w:vAlign w:val="bottom"/>
          </w:tcPr>
          <w:p w14:paraId="5A476354" w14:textId="77777777" w:rsidR="00C90DA4" w:rsidRPr="00B6422B" w:rsidRDefault="00C90DA4" w:rsidP="00C90DA4">
            <w:pPr>
              <w:jc w:val="right"/>
              <w:rPr>
                <w:bCs/>
                <w:szCs w:val="18"/>
                <w:lang w:val="en-US"/>
              </w:rPr>
            </w:pPr>
          </w:p>
        </w:tc>
        <w:tc>
          <w:tcPr>
            <w:tcW w:w="148" w:type="pct"/>
            <w:tcBorders>
              <w:top w:val="nil"/>
              <w:left w:val="nil"/>
              <w:bottom w:val="nil"/>
              <w:right w:val="nil"/>
            </w:tcBorders>
            <w:shd w:val="clear" w:color="auto" w:fill="FFFFFF"/>
          </w:tcPr>
          <w:p w14:paraId="7FBA66FA" w14:textId="77777777" w:rsidR="00C90DA4" w:rsidRPr="00D814E8" w:rsidRDefault="00C90DA4" w:rsidP="00C90DA4">
            <w:pPr>
              <w:jc w:val="right"/>
              <w:rPr>
                <w:bCs/>
                <w:szCs w:val="18"/>
                <w:lang w:val="en-US"/>
              </w:rPr>
            </w:pPr>
          </w:p>
        </w:tc>
        <w:tc>
          <w:tcPr>
            <w:tcW w:w="543" w:type="pct"/>
            <w:gridSpan w:val="3"/>
            <w:tcBorders>
              <w:top w:val="nil"/>
              <w:left w:val="nil"/>
              <w:bottom w:val="nil"/>
              <w:right w:val="nil"/>
            </w:tcBorders>
            <w:shd w:val="clear" w:color="auto" w:fill="FFFFFF"/>
            <w:vAlign w:val="bottom"/>
          </w:tcPr>
          <w:p w14:paraId="2D0D8061" w14:textId="77777777" w:rsidR="00C90DA4" w:rsidRPr="00A84ED4" w:rsidRDefault="00C90DA4" w:rsidP="00C90DA4">
            <w:pPr>
              <w:jc w:val="right"/>
              <w:rPr>
                <w:bCs/>
                <w:szCs w:val="18"/>
                <w:lang w:val="en-US"/>
              </w:rPr>
            </w:pPr>
          </w:p>
        </w:tc>
        <w:tc>
          <w:tcPr>
            <w:tcW w:w="247" w:type="pct"/>
            <w:gridSpan w:val="3"/>
            <w:tcBorders>
              <w:top w:val="nil"/>
              <w:left w:val="nil"/>
              <w:bottom w:val="nil"/>
              <w:right w:val="nil"/>
            </w:tcBorders>
            <w:shd w:val="clear" w:color="auto" w:fill="FFFFFF"/>
          </w:tcPr>
          <w:p w14:paraId="7A02D0F1" w14:textId="77777777" w:rsidR="00C90DA4" w:rsidRPr="00D814E8" w:rsidRDefault="00C90DA4" w:rsidP="00C90DA4">
            <w:pPr>
              <w:rPr>
                <w:bCs/>
                <w:szCs w:val="18"/>
                <w:lang w:val="en-US"/>
              </w:rPr>
            </w:pPr>
          </w:p>
        </w:tc>
      </w:tr>
      <w:tr w:rsidR="00F531AA" w:rsidRPr="00C05614" w14:paraId="0FA63BCE" w14:textId="77777777" w:rsidTr="00506B95">
        <w:trPr>
          <w:trHeight w:val="255"/>
        </w:trPr>
        <w:tc>
          <w:tcPr>
            <w:tcW w:w="2375" w:type="pct"/>
            <w:tcBorders>
              <w:top w:val="nil"/>
              <w:left w:val="nil"/>
              <w:bottom w:val="nil"/>
              <w:right w:val="nil"/>
            </w:tcBorders>
            <w:shd w:val="clear" w:color="auto" w:fill="FFFFFF"/>
            <w:noWrap/>
            <w:vAlign w:val="bottom"/>
          </w:tcPr>
          <w:p w14:paraId="551A8209" w14:textId="77777777" w:rsidR="00C90DA4" w:rsidRPr="00C05614" w:rsidRDefault="00C90DA4" w:rsidP="00C90DA4">
            <w:pPr>
              <w:ind w:left="284"/>
              <w:rPr>
                <w:b/>
                <w:bCs/>
                <w:szCs w:val="18"/>
                <w:lang w:val="en-US"/>
              </w:rPr>
            </w:pPr>
            <w:r w:rsidRPr="00C05614">
              <w:rPr>
                <w:b/>
                <w:bCs/>
                <w:szCs w:val="18"/>
                <w:lang w:val="en-US"/>
              </w:rPr>
              <w:t>INVESTING ACTIVITIES</w:t>
            </w:r>
          </w:p>
        </w:tc>
        <w:tc>
          <w:tcPr>
            <w:tcW w:w="462" w:type="pct"/>
            <w:tcBorders>
              <w:top w:val="nil"/>
              <w:left w:val="nil"/>
              <w:bottom w:val="nil"/>
              <w:right w:val="nil"/>
            </w:tcBorders>
            <w:shd w:val="clear" w:color="auto" w:fill="FFFFFF"/>
            <w:noWrap/>
            <w:vAlign w:val="bottom"/>
          </w:tcPr>
          <w:p w14:paraId="74FB79EB" w14:textId="77777777" w:rsidR="00C90DA4" w:rsidRPr="00C05614" w:rsidRDefault="00C90DA4" w:rsidP="00C90DA4">
            <w:pPr>
              <w:rPr>
                <w:szCs w:val="18"/>
                <w:lang w:val="en-US"/>
              </w:rPr>
            </w:pPr>
            <w:r w:rsidRPr="00C05614">
              <w:rPr>
                <w:szCs w:val="18"/>
                <w:lang w:val="en-US"/>
              </w:rPr>
              <w:t> </w:t>
            </w:r>
          </w:p>
        </w:tc>
        <w:tc>
          <w:tcPr>
            <w:tcW w:w="607" w:type="pct"/>
            <w:tcBorders>
              <w:top w:val="nil"/>
              <w:left w:val="nil"/>
              <w:bottom w:val="nil"/>
              <w:right w:val="nil"/>
            </w:tcBorders>
            <w:shd w:val="clear" w:color="auto" w:fill="FFFFFF"/>
            <w:vAlign w:val="bottom"/>
          </w:tcPr>
          <w:p w14:paraId="6E8126BA" w14:textId="77777777" w:rsidR="00C90DA4" w:rsidRPr="00C05614" w:rsidRDefault="00C90DA4" w:rsidP="00C90DA4">
            <w:pPr>
              <w:jc w:val="right"/>
              <w:rPr>
                <w:b/>
                <w:bCs/>
                <w:szCs w:val="18"/>
                <w:lang w:val="en-US"/>
              </w:rPr>
            </w:pPr>
          </w:p>
        </w:tc>
        <w:tc>
          <w:tcPr>
            <w:tcW w:w="618" w:type="pct"/>
            <w:tcBorders>
              <w:top w:val="nil"/>
              <w:left w:val="nil"/>
              <w:bottom w:val="nil"/>
              <w:right w:val="nil"/>
            </w:tcBorders>
            <w:shd w:val="clear" w:color="auto" w:fill="FFFFFF"/>
            <w:noWrap/>
            <w:vAlign w:val="bottom"/>
          </w:tcPr>
          <w:p w14:paraId="6BB79F3C" w14:textId="77777777" w:rsidR="00C90DA4" w:rsidRPr="00B6422B" w:rsidRDefault="00C90DA4" w:rsidP="00C90DA4">
            <w:pPr>
              <w:jc w:val="right"/>
              <w:rPr>
                <w:bCs/>
                <w:szCs w:val="18"/>
                <w:lang w:val="en-US"/>
              </w:rPr>
            </w:pPr>
          </w:p>
        </w:tc>
        <w:tc>
          <w:tcPr>
            <w:tcW w:w="148" w:type="pct"/>
            <w:tcBorders>
              <w:top w:val="nil"/>
              <w:left w:val="nil"/>
              <w:bottom w:val="nil"/>
              <w:right w:val="nil"/>
            </w:tcBorders>
            <w:shd w:val="clear" w:color="auto" w:fill="FFFFFF"/>
          </w:tcPr>
          <w:p w14:paraId="7E64AFC3" w14:textId="77777777" w:rsidR="00C90DA4" w:rsidRPr="00D814E8" w:rsidRDefault="00C90DA4" w:rsidP="00C90DA4">
            <w:pPr>
              <w:jc w:val="right"/>
              <w:rPr>
                <w:bCs/>
                <w:szCs w:val="18"/>
                <w:lang w:val="en-US"/>
              </w:rPr>
            </w:pPr>
          </w:p>
        </w:tc>
        <w:tc>
          <w:tcPr>
            <w:tcW w:w="543" w:type="pct"/>
            <w:gridSpan w:val="3"/>
            <w:tcBorders>
              <w:top w:val="nil"/>
              <w:left w:val="nil"/>
              <w:bottom w:val="nil"/>
              <w:right w:val="nil"/>
            </w:tcBorders>
            <w:shd w:val="clear" w:color="auto" w:fill="FFFFFF"/>
            <w:vAlign w:val="bottom"/>
          </w:tcPr>
          <w:p w14:paraId="77B7CC7D" w14:textId="77777777" w:rsidR="00C90DA4" w:rsidRPr="00A84ED4" w:rsidRDefault="00C90DA4" w:rsidP="00C90DA4">
            <w:pPr>
              <w:jc w:val="right"/>
              <w:rPr>
                <w:bCs/>
                <w:szCs w:val="18"/>
                <w:lang w:val="en-US"/>
              </w:rPr>
            </w:pPr>
          </w:p>
        </w:tc>
        <w:tc>
          <w:tcPr>
            <w:tcW w:w="247" w:type="pct"/>
            <w:gridSpan w:val="3"/>
            <w:tcBorders>
              <w:top w:val="nil"/>
              <w:left w:val="nil"/>
              <w:bottom w:val="nil"/>
              <w:right w:val="nil"/>
            </w:tcBorders>
            <w:shd w:val="clear" w:color="auto" w:fill="FFFFFF"/>
          </w:tcPr>
          <w:p w14:paraId="612CD2F7" w14:textId="77777777" w:rsidR="00C90DA4" w:rsidRPr="00D814E8" w:rsidRDefault="00C90DA4" w:rsidP="00C90DA4">
            <w:pPr>
              <w:rPr>
                <w:bCs/>
                <w:szCs w:val="18"/>
                <w:lang w:val="en-US"/>
              </w:rPr>
            </w:pPr>
          </w:p>
        </w:tc>
      </w:tr>
      <w:tr w:rsidR="00F531AA" w:rsidRPr="00C05614" w14:paraId="67B04EEF" w14:textId="77777777" w:rsidTr="00506B95">
        <w:trPr>
          <w:trHeight w:val="255"/>
        </w:trPr>
        <w:tc>
          <w:tcPr>
            <w:tcW w:w="2375" w:type="pct"/>
            <w:tcBorders>
              <w:top w:val="nil"/>
              <w:left w:val="nil"/>
              <w:bottom w:val="nil"/>
              <w:right w:val="nil"/>
            </w:tcBorders>
            <w:shd w:val="clear" w:color="auto" w:fill="FFFFFF"/>
            <w:noWrap/>
            <w:vAlign w:val="bottom"/>
          </w:tcPr>
          <w:p w14:paraId="7750FACA" w14:textId="77777777" w:rsidR="00C90DA4" w:rsidRPr="00C05614" w:rsidRDefault="00C90DA4" w:rsidP="00C90DA4">
            <w:pPr>
              <w:ind w:left="284"/>
              <w:rPr>
                <w:b/>
                <w:bCs/>
                <w:szCs w:val="18"/>
                <w:lang w:val="en-US"/>
              </w:rPr>
            </w:pPr>
            <w:r w:rsidRPr="00C05614">
              <w:rPr>
                <w:b/>
                <w:bCs/>
                <w:szCs w:val="18"/>
                <w:lang w:val="en-US"/>
              </w:rPr>
              <w:t>Cash used</w:t>
            </w:r>
          </w:p>
        </w:tc>
        <w:tc>
          <w:tcPr>
            <w:tcW w:w="462" w:type="pct"/>
            <w:tcBorders>
              <w:top w:val="nil"/>
              <w:left w:val="nil"/>
              <w:bottom w:val="nil"/>
              <w:right w:val="nil"/>
            </w:tcBorders>
            <w:shd w:val="clear" w:color="auto" w:fill="FFFFFF"/>
            <w:noWrap/>
            <w:vAlign w:val="bottom"/>
          </w:tcPr>
          <w:p w14:paraId="78B216FC" w14:textId="77777777" w:rsidR="00C90DA4" w:rsidRPr="00C05614" w:rsidRDefault="00C90DA4" w:rsidP="00C90DA4">
            <w:pPr>
              <w:rPr>
                <w:szCs w:val="18"/>
                <w:lang w:val="en-US"/>
              </w:rPr>
            </w:pPr>
            <w:r w:rsidRPr="00C05614">
              <w:rPr>
                <w:szCs w:val="18"/>
                <w:lang w:val="en-US"/>
              </w:rPr>
              <w:t> </w:t>
            </w:r>
          </w:p>
        </w:tc>
        <w:tc>
          <w:tcPr>
            <w:tcW w:w="607" w:type="pct"/>
            <w:tcBorders>
              <w:top w:val="nil"/>
              <w:left w:val="nil"/>
              <w:bottom w:val="nil"/>
              <w:right w:val="nil"/>
            </w:tcBorders>
            <w:shd w:val="clear" w:color="auto" w:fill="FFFFFF"/>
            <w:vAlign w:val="bottom"/>
          </w:tcPr>
          <w:p w14:paraId="6328A846" w14:textId="77777777" w:rsidR="00C90DA4" w:rsidRPr="00C05614" w:rsidRDefault="00C90DA4" w:rsidP="00C90DA4">
            <w:pPr>
              <w:jc w:val="right"/>
              <w:rPr>
                <w:b/>
                <w:bCs/>
                <w:szCs w:val="18"/>
                <w:lang w:val="en-US"/>
              </w:rPr>
            </w:pPr>
          </w:p>
        </w:tc>
        <w:tc>
          <w:tcPr>
            <w:tcW w:w="618" w:type="pct"/>
            <w:tcBorders>
              <w:top w:val="nil"/>
              <w:left w:val="nil"/>
              <w:bottom w:val="nil"/>
              <w:right w:val="nil"/>
            </w:tcBorders>
            <w:shd w:val="clear" w:color="auto" w:fill="FFFFFF"/>
            <w:noWrap/>
            <w:vAlign w:val="bottom"/>
          </w:tcPr>
          <w:p w14:paraId="29CC6078" w14:textId="77777777" w:rsidR="00C90DA4" w:rsidRPr="00B6422B" w:rsidRDefault="00C90DA4" w:rsidP="00C90DA4">
            <w:pPr>
              <w:jc w:val="right"/>
              <w:rPr>
                <w:bCs/>
                <w:szCs w:val="18"/>
                <w:lang w:val="en-US"/>
              </w:rPr>
            </w:pPr>
          </w:p>
        </w:tc>
        <w:tc>
          <w:tcPr>
            <w:tcW w:w="148" w:type="pct"/>
            <w:tcBorders>
              <w:top w:val="nil"/>
              <w:left w:val="nil"/>
              <w:bottom w:val="nil"/>
              <w:right w:val="nil"/>
            </w:tcBorders>
            <w:shd w:val="clear" w:color="auto" w:fill="FFFFFF"/>
          </w:tcPr>
          <w:p w14:paraId="209DA9AC" w14:textId="77777777" w:rsidR="00C90DA4" w:rsidRPr="00D814E8" w:rsidRDefault="00C90DA4" w:rsidP="00C90DA4">
            <w:pPr>
              <w:jc w:val="right"/>
              <w:rPr>
                <w:bCs/>
                <w:szCs w:val="18"/>
                <w:lang w:val="en-US"/>
              </w:rPr>
            </w:pPr>
          </w:p>
        </w:tc>
        <w:tc>
          <w:tcPr>
            <w:tcW w:w="543" w:type="pct"/>
            <w:gridSpan w:val="3"/>
            <w:tcBorders>
              <w:top w:val="nil"/>
              <w:left w:val="nil"/>
              <w:bottom w:val="nil"/>
              <w:right w:val="nil"/>
            </w:tcBorders>
            <w:shd w:val="clear" w:color="auto" w:fill="FFFFFF"/>
            <w:vAlign w:val="bottom"/>
          </w:tcPr>
          <w:p w14:paraId="5B82E94D" w14:textId="77777777" w:rsidR="00C90DA4" w:rsidRPr="00A84ED4" w:rsidRDefault="00C90DA4" w:rsidP="00C90DA4">
            <w:pPr>
              <w:jc w:val="right"/>
              <w:rPr>
                <w:bCs/>
                <w:szCs w:val="18"/>
                <w:lang w:val="en-US"/>
              </w:rPr>
            </w:pPr>
          </w:p>
        </w:tc>
        <w:tc>
          <w:tcPr>
            <w:tcW w:w="247" w:type="pct"/>
            <w:gridSpan w:val="3"/>
            <w:tcBorders>
              <w:top w:val="nil"/>
              <w:left w:val="nil"/>
              <w:bottom w:val="nil"/>
              <w:right w:val="nil"/>
            </w:tcBorders>
            <w:shd w:val="clear" w:color="auto" w:fill="FFFFFF"/>
          </w:tcPr>
          <w:p w14:paraId="483D0331" w14:textId="77777777" w:rsidR="00C90DA4" w:rsidRPr="00D814E8" w:rsidRDefault="00C90DA4" w:rsidP="00C90DA4">
            <w:pPr>
              <w:rPr>
                <w:bCs/>
                <w:szCs w:val="18"/>
                <w:lang w:val="en-US"/>
              </w:rPr>
            </w:pPr>
          </w:p>
        </w:tc>
      </w:tr>
      <w:tr w:rsidR="00F531AA" w:rsidRPr="00C05614" w14:paraId="4BB954DC" w14:textId="77777777" w:rsidTr="00506B95">
        <w:trPr>
          <w:trHeight w:val="255"/>
        </w:trPr>
        <w:tc>
          <w:tcPr>
            <w:tcW w:w="2375" w:type="pct"/>
            <w:tcBorders>
              <w:top w:val="nil"/>
              <w:left w:val="nil"/>
              <w:bottom w:val="nil"/>
              <w:right w:val="nil"/>
            </w:tcBorders>
            <w:shd w:val="clear" w:color="auto" w:fill="FFFFFF"/>
            <w:noWrap/>
            <w:vAlign w:val="bottom"/>
          </w:tcPr>
          <w:p w14:paraId="71D10262" w14:textId="77777777" w:rsidR="00C90DA4" w:rsidRPr="00C05614" w:rsidRDefault="00C90DA4" w:rsidP="00C90DA4">
            <w:pPr>
              <w:ind w:left="284"/>
              <w:rPr>
                <w:szCs w:val="18"/>
                <w:lang w:val="en-US"/>
              </w:rPr>
            </w:pPr>
            <w:r w:rsidRPr="00C05614">
              <w:rPr>
                <w:szCs w:val="18"/>
                <w:lang w:val="en-US"/>
              </w:rPr>
              <w:t>Purchase of property, plant and equipment</w:t>
            </w:r>
          </w:p>
        </w:tc>
        <w:tc>
          <w:tcPr>
            <w:tcW w:w="462" w:type="pct"/>
            <w:tcBorders>
              <w:top w:val="nil"/>
              <w:left w:val="nil"/>
              <w:bottom w:val="nil"/>
              <w:right w:val="nil"/>
            </w:tcBorders>
            <w:shd w:val="clear" w:color="auto" w:fill="FFFFFF"/>
            <w:noWrap/>
            <w:vAlign w:val="bottom"/>
          </w:tcPr>
          <w:p w14:paraId="7A556874" w14:textId="77777777" w:rsidR="00C90DA4" w:rsidRPr="00C05614" w:rsidRDefault="00C90DA4" w:rsidP="00C90DA4">
            <w:pPr>
              <w:rPr>
                <w:szCs w:val="18"/>
                <w:lang w:val="en-US"/>
              </w:rPr>
            </w:pPr>
            <w:r w:rsidRPr="00C05614">
              <w:rPr>
                <w:szCs w:val="18"/>
                <w:lang w:val="en-US"/>
              </w:rPr>
              <w:t> </w:t>
            </w:r>
          </w:p>
        </w:tc>
        <w:tc>
          <w:tcPr>
            <w:tcW w:w="607" w:type="pct"/>
            <w:tcBorders>
              <w:top w:val="nil"/>
              <w:left w:val="nil"/>
              <w:bottom w:val="nil"/>
              <w:right w:val="nil"/>
            </w:tcBorders>
            <w:shd w:val="clear" w:color="auto" w:fill="FFFFFF"/>
            <w:vAlign w:val="bottom"/>
          </w:tcPr>
          <w:p w14:paraId="399517E9" w14:textId="77777777" w:rsidR="00C90DA4" w:rsidRPr="00C05614" w:rsidRDefault="00C90DA4" w:rsidP="00C90DA4">
            <w:pPr>
              <w:jc w:val="right"/>
              <w:rPr>
                <w:b/>
                <w:bCs/>
                <w:szCs w:val="18"/>
                <w:lang w:val="en-US"/>
              </w:rPr>
            </w:pPr>
            <w:r>
              <w:rPr>
                <w:b/>
                <w:bCs/>
                <w:szCs w:val="18"/>
                <w:lang w:val="en-US"/>
              </w:rPr>
              <w:t>-</w:t>
            </w:r>
          </w:p>
        </w:tc>
        <w:tc>
          <w:tcPr>
            <w:tcW w:w="618" w:type="pct"/>
            <w:tcBorders>
              <w:top w:val="nil"/>
              <w:left w:val="nil"/>
              <w:bottom w:val="nil"/>
              <w:right w:val="nil"/>
            </w:tcBorders>
            <w:shd w:val="clear" w:color="auto" w:fill="FFFFFF"/>
            <w:noWrap/>
            <w:vAlign w:val="bottom"/>
          </w:tcPr>
          <w:p w14:paraId="27C32388" w14:textId="77777777" w:rsidR="00C90DA4" w:rsidRPr="00B6422B" w:rsidRDefault="00C90DA4" w:rsidP="00C90DA4">
            <w:pPr>
              <w:jc w:val="right"/>
              <w:rPr>
                <w:bCs/>
                <w:szCs w:val="18"/>
                <w:lang w:val="en-US"/>
              </w:rPr>
            </w:pPr>
            <w:r w:rsidRPr="00B6422B">
              <w:rPr>
                <w:bCs/>
                <w:szCs w:val="18"/>
                <w:lang w:val="en-US"/>
              </w:rPr>
              <w:t>(13)</w:t>
            </w:r>
          </w:p>
        </w:tc>
        <w:tc>
          <w:tcPr>
            <w:tcW w:w="148" w:type="pct"/>
            <w:tcBorders>
              <w:top w:val="nil"/>
              <w:left w:val="nil"/>
              <w:bottom w:val="nil"/>
              <w:right w:val="nil"/>
            </w:tcBorders>
            <w:shd w:val="clear" w:color="auto" w:fill="FFFFFF"/>
          </w:tcPr>
          <w:p w14:paraId="0436E2BD" w14:textId="77777777" w:rsidR="00C90DA4" w:rsidRPr="00D814E8" w:rsidRDefault="00C90DA4" w:rsidP="00C90DA4">
            <w:pPr>
              <w:jc w:val="right"/>
              <w:rPr>
                <w:bCs/>
                <w:szCs w:val="18"/>
                <w:lang w:val="en-US"/>
              </w:rPr>
            </w:pPr>
          </w:p>
        </w:tc>
        <w:tc>
          <w:tcPr>
            <w:tcW w:w="543" w:type="pct"/>
            <w:gridSpan w:val="3"/>
            <w:tcBorders>
              <w:top w:val="nil"/>
              <w:left w:val="nil"/>
              <w:bottom w:val="nil"/>
              <w:right w:val="nil"/>
            </w:tcBorders>
            <w:shd w:val="clear" w:color="auto" w:fill="FFFFFF"/>
            <w:vAlign w:val="bottom"/>
          </w:tcPr>
          <w:p w14:paraId="48A52754" w14:textId="77777777" w:rsidR="00C90DA4" w:rsidRPr="00A84ED4" w:rsidRDefault="00C90DA4" w:rsidP="00C90DA4">
            <w:pPr>
              <w:jc w:val="right"/>
              <w:rPr>
                <w:bCs/>
                <w:szCs w:val="18"/>
                <w:lang w:val="en-US"/>
              </w:rPr>
            </w:pPr>
            <w:r w:rsidRPr="00A84ED4">
              <w:rPr>
                <w:bCs/>
                <w:szCs w:val="18"/>
                <w:lang w:val="en-US"/>
              </w:rPr>
              <w:t>-</w:t>
            </w:r>
          </w:p>
        </w:tc>
        <w:tc>
          <w:tcPr>
            <w:tcW w:w="247" w:type="pct"/>
            <w:gridSpan w:val="3"/>
            <w:tcBorders>
              <w:top w:val="nil"/>
              <w:left w:val="nil"/>
              <w:bottom w:val="nil"/>
              <w:right w:val="nil"/>
            </w:tcBorders>
            <w:shd w:val="clear" w:color="auto" w:fill="FFFFFF"/>
          </w:tcPr>
          <w:p w14:paraId="02E2A3FA" w14:textId="77777777" w:rsidR="00C90DA4" w:rsidRDefault="00C90DA4" w:rsidP="00C90DA4">
            <w:pPr>
              <w:rPr>
                <w:bCs/>
                <w:szCs w:val="18"/>
                <w:lang w:val="en-US"/>
              </w:rPr>
            </w:pPr>
          </w:p>
        </w:tc>
      </w:tr>
      <w:tr w:rsidR="00F531AA" w:rsidRPr="00C05614" w14:paraId="4CCA8246" w14:textId="77777777" w:rsidTr="00506B95">
        <w:trPr>
          <w:trHeight w:val="255"/>
        </w:trPr>
        <w:tc>
          <w:tcPr>
            <w:tcW w:w="2375" w:type="pct"/>
            <w:tcBorders>
              <w:top w:val="nil"/>
              <w:left w:val="nil"/>
              <w:bottom w:val="nil"/>
              <w:right w:val="nil"/>
            </w:tcBorders>
            <w:shd w:val="clear" w:color="auto" w:fill="FFFFFF"/>
            <w:noWrap/>
            <w:vAlign w:val="bottom"/>
          </w:tcPr>
          <w:p w14:paraId="1FF947C1" w14:textId="77777777" w:rsidR="00C90DA4" w:rsidRPr="00C05614" w:rsidRDefault="00C90DA4" w:rsidP="00C90DA4">
            <w:pPr>
              <w:ind w:left="284"/>
              <w:rPr>
                <w:b/>
                <w:bCs/>
                <w:szCs w:val="18"/>
                <w:lang w:val="en-US"/>
              </w:rPr>
            </w:pPr>
            <w:r w:rsidRPr="00C05614">
              <w:rPr>
                <w:b/>
                <w:bCs/>
                <w:szCs w:val="18"/>
                <w:lang w:val="en-US"/>
              </w:rPr>
              <w:t>Total cash used</w:t>
            </w:r>
          </w:p>
        </w:tc>
        <w:tc>
          <w:tcPr>
            <w:tcW w:w="462" w:type="pct"/>
            <w:tcBorders>
              <w:top w:val="nil"/>
              <w:left w:val="nil"/>
              <w:bottom w:val="nil"/>
              <w:right w:val="nil"/>
            </w:tcBorders>
            <w:shd w:val="clear" w:color="auto" w:fill="FFFFFF"/>
            <w:noWrap/>
            <w:vAlign w:val="bottom"/>
          </w:tcPr>
          <w:p w14:paraId="39427AB3" w14:textId="77777777" w:rsidR="00C90DA4" w:rsidRPr="00C05614" w:rsidRDefault="00C90DA4" w:rsidP="00C90DA4">
            <w:pPr>
              <w:rPr>
                <w:szCs w:val="18"/>
                <w:lang w:val="en-US"/>
              </w:rPr>
            </w:pPr>
            <w:r w:rsidRPr="00C05614">
              <w:rPr>
                <w:szCs w:val="18"/>
                <w:lang w:val="en-US"/>
              </w:rPr>
              <w:t> </w:t>
            </w:r>
          </w:p>
        </w:tc>
        <w:tc>
          <w:tcPr>
            <w:tcW w:w="607" w:type="pct"/>
            <w:tcBorders>
              <w:top w:val="single" w:sz="4" w:space="0" w:color="auto"/>
              <w:left w:val="nil"/>
              <w:bottom w:val="single" w:sz="4" w:space="0" w:color="auto"/>
              <w:right w:val="nil"/>
            </w:tcBorders>
            <w:shd w:val="clear" w:color="auto" w:fill="FFFFFF"/>
            <w:vAlign w:val="bottom"/>
          </w:tcPr>
          <w:p w14:paraId="4669F8B9" w14:textId="77777777" w:rsidR="00C90DA4" w:rsidRPr="00C05614" w:rsidRDefault="00C90DA4" w:rsidP="00C90DA4">
            <w:pPr>
              <w:jc w:val="right"/>
              <w:rPr>
                <w:b/>
                <w:bCs/>
                <w:szCs w:val="18"/>
                <w:lang w:val="en-US"/>
              </w:rPr>
            </w:pPr>
            <w:r>
              <w:rPr>
                <w:b/>
                <w:bCs/>
                <w:szCs w:val="18"/>
                <w:lang w:val="en-US"/>
              </w:rPr>
              <w:t>-</w:t>
            </w:r>
          </w:p>
        </w:tc>
        <w:tc>
          <w:tcPr>
            <w:tcW w:w="618" w:type="pct"/>
            <w:tcBorders>
              <w:top w:val="single" w:sz="4" w:space="0" w:color="auto"/>
              <w:left w:val="nil"/>
              <w:bottom w:val="single" w:sz="4" w:space="0" w:color="auto"/>
              <w:right w:val="nil"/>
            </w:tcBorders>
            <w:shd w:val="clear" w:color="auto" w:fill="FFFFFF"/>
            <w:noWrap/>
            <w:vAlign w:val="bottom"/>
          </w:tcPr>
          <w:p w14:paraId="6A77A6EC" w14:textId="77777777" w:rsidR="00C90DA4" w:rsidRPr="00B6422B" w:rsidRDefault="00C90DA4" w:rsidP="00C90DA4">
            <w:pPr>
              <w:jc w:val="right"/>
              <w:rPr>
                <w:bCs/>
                <w:szCs w:val="18"/>
                <w:lang w:val="en-US"/>
              </w:rPr>
            </w:pPr>
            <w:r w:rsidRPr="00B6422B">
              <w:rPr>
                <w:bCs/>
                <w:szCs w:val="18"/>
                <w:lang w:val="en-US"/>
              </w:rPr>
              <w:t>(13)</w:t>
            </w:r>
          </w:p>
        </w:tc>
        <w:tc>
          <w:tcPr>
            <w:tcW w:w="148" w:type="pct"/>
            <w:tcBorders>
              <w:left w:val="nil"/>
              <w:right w:val="nil"/>
            </w:tcBorders>
            <w:shd w:val="clear" w:color="auto" w:fill="FFFFFF"/>
          </w:tcPr>
          <w:p w14:paraId="0B4BA426" w14:textId="77777777" w:rsidR="00C90DA4" w:rsidRPr="00D814E8" w:rsidRDefault="00C90DA4" w:rsidP="00C90DA4">
            <w:pPr>
              <w:jc w:val="right"/>
              <w:rPr>
                <w:bCs/>
                <w:szCs w:val="18"/>
                <w:lang w:val="en-US"/>
              </w:rPr>
            </w:pPr>
          </w:p>
        </w:tc>
        <w:tc>
          <w:tcPr>
            <w:tcW w:w="543" w:type="pct"/>
            <w:gridSpan w:val="3"/>
            <w:tcBorders>
              <w:top w:val="single" w:sz="4" w:space="0" w:color="auto"/>
              <w:left w:val="nil"/>
              <w:bottom w:val="single" w:sz="4" w:space="0" w:color="auto"/>
              <w:right w:val="nil"/>
            </w:tcBorders>
            <w:shd w:val="clear" w:color="auto" w:fill="FFFFFF"/>
            <w:vAlign w:val="bottom"/>
          </w:tcPr>
          <w:p w14:paraId="6FE4F54E" w14:textId="77777777" w:rsidR="00C90DA4" w:rsidRPr="00A84ED4" w:rsidRDefault="00C90DA4" w:rsidP="00C90DA4">
            <w:pPr>
              <w:jc w:val="right"/>
              <w:rPr>
                <w:bCs/>
                <w:szCs w:val="18"/>
                <w:lang w:val="en-US"/>
              </w:rPr>
            </w:pPr>
            <w:r w:rsidRPr="00A84ED4">
              <w:rPr>
                <w:bCs/>
                <w:szCs w:val="18"/>
                <w:lang w:val="en-US"/>
              </w:rPr>
              <w:t>-</w:t>
            </w:r>
          </w:p>
        </w:tc>
        <w:tc>
          <w:tcPr>
            <w:tcW w:w="247" w:type="pct"/>
            <w:gridSpan w:val="3"/>
            <w:tcBorders>
              <w:left w:val="nil"/>
              <w:right w:val="nil"/>
            </w:tcBorders>
            <w:shd w:val="clear" w:color="auto" w:fill="FFFFFF"/>
          </w:tcPr>
          <w:p w14:paraId="3DA3B7AF" w14:textId="77777777" w:rsidR="00C90DA4" w:rsidRDefault="00C90DA4" w:rsidP="00C90DA4">
            <w:pPr>
              <w:rPr>
                <w:bCs/>
                <w:szCs w:val="18"/>
                <w:lang w:val="en-US"/>
              </w:rPr>
            </w:pPr>
          </w:p>
        </w:tc>
      </w:tr>
      <w:tr w:rsidR="00F531AA" w:rsidRPr="00C05614" w14:paraId="0FA859D8" w14:textId="77777777" w:rsidTr="00506B95">
        <w:trPr>
          <w:trHeight w:val="255"/>
        </w:trPr>
        <w:tc>
          <w:tcPr>
            <w:tcW w:w="2375" w:type="pct"/>
            <w:tcBorders>
              <w:top w:val="nil"/>
              <w:left w:val="nil"/>
              <w:bottom w:val="nil"/>
              <w:right w:val="nil"/>
            </w:tcBorders>
            <w:shd w:val="clear" w:color="auto" w:fill="FFFFFF"/>
            <w:noWrap/>
            <w:vAlign w:val="bottom"/>
          </w:tcPr>
          <w:p w14:paraId="0FF49F22" w14:textId="77777777" w:rsidR="00C90DA4" w:rsidRPr="00C05614" w:rsidRDefault="00C90DA4" w:rsidP="00C90DA4">
            <w:pPr>
              <w:ind w:left="284"/>
              <w:rPr>
                <w:b/>
                <w:bCs/>
                <w:szCs w:val="18"/>
                <w:lang w:val="en-US"/>
              </w:rPr>
            </w:pPr>
            <w:r w:rsidRPr="00C05614">
              <w:rPr>
                <w:b/>
                <w:bCs/>
                <w:szCs w:val="18"/>
                <w:lang w:val="en-US"/>
              </w:rPr>
              <w:t>N</w:t>
            </w:r>
            <w:r>
              <w:rPr>
                <w:b/>
                <w:bCs/>
                <w:szCs w:val="18"/>
                <w:lang w:val="en-US"/>
              </w:rPr>
              <w:t>et cash used by</w:t>
            </w:r>
            <w:r w:rsidRPr="00C05614">
              <w:rPr>
                <w:b/>
                <w:bCs/>
                <w:szCs w:val="18"/>
                <w:lang w:val="en-US"/>
              </w:rPr>
              <w:t xml:space="preserve"> investing activities</w:t>
            </w:r>
          </w:p>
        </w:tc>
        <w:tc>
          <w:tcPr>
            <w:tcW w:w="462" w:type="pct"/>
            <w:tcBorders>
              <w:top w:val="nil"/>
              <w:left w:val="nil"/>
              <w:bottom w:val="nil"/>
              <w:right w:val="nil"/>
            </w:tcBorders>
            <w:shd w:val="clear" w:color="auto" w:fill="FFFFFF"/>
            <w:noWrap/>
            <w:vAlign w:val="bottom"/>
          </w:tcPr>
          <w:p w14:paraId="36899DD0" w14:textId="77777777" w:rsidR="00C90DA4" w:rsidRPr="00C05614" w:rsidRDefault="00C90DA4" w:rsidP="00C90DA4">
            <w:pPr>
              <w:rPr>
                <w:szCs w:val="18"/>
                <w:lang w:val="en-US"/>
              </w:rPr>
            </w:pPr>
            <w:r w:rsidRPr="00C05614">
              <w:rPr>
                <w:szCs w:val="18"/>
                <w:lang w:val="en-US"/>
              </w:rPr>
              <w:t> </w:t>
            </w:r>
          </w:p>
        </w:tc>
        <w:tc>
          <w:tcPr>
            <w:tcW w:w="607" w:type="pct"/>
            <w:tcBorders>
              <w:top w:val="nil"/>
              <w:left w:val="nil"/>
              <w:bottom w:val="single" w:sz="4" w:space="0" w:color="auto"/>
              <w:right w:val="nil"/>
            </w:tcBorders>
            <w:shd w:val="clear" w:color="auto" w:fill="FFFFFF"/>
            <w:vAlign w:val="bottom"/>
          </w:tcPr>
          <w:p w14:paraId="587812D2" w14:textId="77777777" w:rsidR="00C90DA4" w:rsidRPr="00C05614" w:rsidRDefault="00C90DA4" w:rsidP="00C90DA4">
            <w:pPr>
              <w:jc w:val="right"/>
              <w:rPr>
                <w:b/>
                <w:bCs/>
                <w:szCs w:val="18"/>
                <w:lang w:val="en-US"/>
              </w:rPr>
            </w:pPr>
            <w:r>
              <w:rPr>
                <w:b/>
                <w:bCs/>
                <w:szCs w:val="18"/>
                <w:lang w:val="en-US"/>
              </w:rPr>
              <w:t>-</w:t>
            </w:r>
          </w:p>
        </w:tc>
        <w:tc>
          <w:tcPr>
            <w:tcW w:w="618" w:type="pct"/>
            <w:tcBorders>
              <w:top w:val="nil"/>
              <w:left w:val="nil"/>
              <w:bottom w:val="single" w:sz="4" w:space="0" w:color="auto"/>
              <w:right w:val="nil"/>
            </w:tcBorders>
            <w:shd w:val="clear" w:color="auto" w:fill="FFFFFF"/>
            <w:noWrap/>
            <w:vAlign w:val="bottom"/>
          </w:tcPr>
          <w:p w14:paraId="1176EF76" w14:textId="77777777" w:rsidR="00C90DA4" w:rsidRPr="00B6422B" w:rsidRDefault="00C90DA4" w:rsidP="00C90DA4">
            <w:pPr>
              <w:jc w:val="right"/>
              <w:rPr>
                <w:bCs/>
                <w:szCs w:val="18"/>
                <w:lang w:val="en-US"/>
              </w:rPr>
            </w:pPr>
            <w:r w:rsidRPr="00B6422B">
              <w:rPr>
                <w:bCs/>
                <w:szCs w:val="18"/>
                <w:lang w:val="en-US"/>
              </w:rPr>
              <w:t>(13)</w:t>
            </w:r>
          </w:p>
        </w:tc>
        <w:tc>
          <w:tcPr>
            <w:tcW w:w="148" w:type="pct"/>
            <w:tcBorders>
              <w:top w:val="nil"/>
              <w:left w:val="nil"/>
              <w:right w:val="nil"/>
            </w:tcBorders>
            <w:shd w:val="clear" w:color="auto" w:fill="FFFFFF"/>
          </w:tcPr>
          <w:p w14:paraId="1ACD4E4C" w14:textId="77777777" w:rsidR="00C90DA4" w:rsidRPr="00D814E8" w:rsidRDefault="00C90DA4" w:rsidP="00C90DA4">
            <w:pPr>
              <w:jc w:val="right"/>
              <w:rPr>
                <w:bCs/>
                <w:szCs w:val="18"/>
                <w:lang w:val="en-US"/>
              </w:rPr>
            </w:pPr>
          </w:p>
        </w:tc>
        <w:tc>
          <w:tcPr>
            <w:tcW w:w="543" w:type="pct"/>
            <w:gridSpan w:val="3"/>
            <w:tcBorders>
              <w:top w:val="nil"/>
              <w:left w:val="nil"/>
              <w:bottom w:val="single" w:sz="4" w:space="0" w:color="auto"/>
              <w:right w:val="nil"/>
            </w:tcBorders>
            <w:shd w:val="clear" w:color="auto" w:fill="FFFFFF"/>
            <w:vAlign w:val="bottom"/>
          </w:tcPr>
          <w:p w14:paraId="51417793" w14:textId="77777777" w:rsidR="00C90DA4" w:rsidRPr="00A84ED4" w:rsidRDefault="00C90DA4" w:rsidP="00C90DA4">
            <w:pPr>
              <w:jc w:val="right"/>
              <w:rPr>
                <w:bCs/>
                <w:szCs w:val="18"/>
                <w:lang w:val="en-US"/>
              </w:rPr>
            </w:pPr>
            <w:r w:rsidRPr="00A84ED4">
              <w:rPr>
                <w:bCs/>
                <w:szCs w:val="18"/>
                <w:lang w:val="en-US"/>
              </w:rPr>
              <w:t>-</w:t>
            </w:r>
          </w:p>
        </w:tc>
        <w:tc>
          <w:tcPr>
            <w:tcW w:w="247" w:type="pct"/>
            <w:gridSpan w:val="3"/>
            <w:tcBorders>
              <w:top w:val="nil"/>
              <w:left w:val="nil"/>
              <w:right w:val="nil"/>
            </w:tcBorders>
            <w:shd w:val="clear" w:color="auto" w:fill="FFFFFF"/>
          </w:tcPr>
          <w:p w14:paraId="5795248F" w14:textId="77777777" w:rsidR="00C90DA4" w:rsidRDefault="00C90DA4" w:rsidP="00C90DA4">
            <w:pPr>
              <w:rPr>
                <w:bCs/>
                <w:szCs w:val="18"/>
                <w:lang w:val="en-US"/>
              </w:rPr>
            </w:pPr>
          </w:p>
        </w:tc>
      </w:tr>
      <w:tr w:rsidR="00F531AA" w:rsidRPr="00C05614" w14:paraId="3D75E7EC" w14:textId="77777777" w:rsidTr="00506B95">
        <w:trPr>
          <w:trHeight w:val="255"/>
        </w:trPr>
        <w:tc>
          <w:tcPr>
            <w:tcW w:w="2375" w:type="pct"/>
            <w:tcBorders>
              <w:top w:val="nil"/>
              <w:left w:val="nil"/>
              <w:bottom w:val="nil"/>
              <w:right w:val="nil"/>
            </w:tcBorders>
            <w:shd w:val="clear" w:color="auto" w:fill="FFFFFF"/>
            <w:noWrap/>
            <w:vAlign w:val="bottom"/>
          </w:tcPr>
          <w:p w14:paraId="488B696B" w14:textId="77777777" w:rsidR="00C90DA4" w:rsidRPr="00C05614" w:rsidRDefault="00C90DA4" w:rsidP="00C90DA4">
            <w:pPr>
              <w:ind w:left="284"/>
              <w:rPr>
                <w:b/>
                <w:bCs/>
                <w:szCs w:val="18"/>
                <w:lang w:val="en-US"/>
              </w:rPr>
            </w:pPr>
            <w:r w:rsidRPr="00C05614">
              <w:rPr>
                <w:b/>
                <w:bCs/>
                <w:szCs w:val="18"/>
                <w:lang w:val="en-US"/>
              </w:rPr>
              <w:t> </w:t>
            </w:r>
          </w:p>
        </w:tc>
        <w:tc>
          <w:tcPr>
            <w:tcW w:w="462" w:type="pct"/>
            <w:tcBorders>
              <w:top w:val="nil"/>
              <w:left w:val="nil"/>
              <w:bottom w:val="nil"/>
              <w:right w:val="nil"/>
            </w:tcBorders>
            <w:shd w:val="clear" w:color="auto" w:fill="FFFFFF"/>
            <w:noWrap/>
            <w:vAlign w:val="bottom"/>
          </w:tcPr>
          <w:p w14:paraId="2757FF52" w14:textId="77777777" w:rsidR="00C90DA4" w:rsidRPr="00C05614" w:rsidRDefault="00C90DA4" w:rsidP="00C90DA4">
            <w:pPr>
              <w:rPr>
                <w:szCs w:val="18"/>
                <w:lang w:val="en-US"/>
              </w:rPr>
            </w:pPr>
            <w:r w:rsidRPr="00C05614">
              <w:rPr>
                <w:szCs w:val="18"/>
                <w:lang w:val="en-US"/>
              </w:rPr>
              <w:t> </w:t>
            </w:r>
          </w:p>
        </w:tc>
        <w:tc>
          <w:tcPr>
            <w:tcW w:w="607" w:type="pct"/>
            <w:tcBorders>
              <w:top w:val="nil"/>
              <w:left w:val="nil"/>
              <w:bottom w:val="nil"/>
              <w:right w:val="nil"/>
            </w:tcBorders>
            <w:shd w:val="clear" w:color="auto" w:fill="FFFFFF"/>
            <w:vAlign w:val="bottom"/>
          </w:tcPr>
          <w:p w14:paraId="75EAB145" w14:textId="77777777" w:rsidR="00C90DA4" w:rsidRPr="00C05614" w:rsidRDefault="00C90DA4" w:rsidP="00C90DA4">
            <w:pPr>
              <w:jc w:val="right"/>
              <w:rPr>
                <w:b/>
                <w:bCs/>
                <w:szCs w:val="18"/>
                <w:lang w:val="en-US"/>
              </w:rPr>
            </w:pPr>
          </w:p>
        </w:tc>
        <w:tc>
          <w:tcPr>
            <w:tcW w:w="618" w:type="pct"/>
            <w:tcBorders>
              <w:top w:val="nil"/>
              <w:left w:val="nil"/>
              <w:bottom w:val="nil"/>
              <w:right w:val="nil"/>
            </w:tcBorders>
            <w:shd w:val="clear" w:color="auto" w:fill="FFFFFF"/>
            <w:noWrap/>
            <w:vAlign w:val="bottom"/>
          </w:tcPr>
          <w:p w14:paraId="479FA505" w14:textId="77777777" w:rsidR="00C90DA4" w:rsidRPr="00B6422B" w:rsidRDefault="00C90DA4" w:rsidP="00C90DA4">
            <w:pPr>
              <w:jc w:val="right"/>
              <w:rPr>
                <w:bCs/>
                <w:szCs w:val="18"/>
                <w:lang w:val="en-US"/>
              </w:rPr>
            </w:pPr>
          </w:p>
        </w:tc>
        <w:tc>
          <w:tcPr>
            <w:tcW w:w="148" w:type="pct"/>
            <w:tcBorders>
              <w:top w:val="nil"/>
              <w:left w:val="nil"/>
              <w:bottom w:val="nil"/>
              <w:right w:val="nil"/>
            </w:tcBorders>
            <w:shd w:val="clear" w:color="auto" w:fill="FFFFFF"/>
          </w:tcPr>
          <w:p w14:paraId="528A7B85" w14:textId="77777777" w:rsidR="00C90DA4" w:rsidRPr="00D814E8" w:rsidRDefault="00C90DA4" w:rsidP="00C90DA4">
            <w:pPr>
              <w:jc w:val="right"/>
              <w:rPr>
                <w:bCs/>
                <w:szCs w:val="18"/>
                <w:lang w:val="en-US"/>
              </w:rPr>
            </w:pPr>
          </w:p>
        </w:tc>
        <w:tc>
          <w:tcPr>
            <w:tcW w:w="543" w:type="pct"/>
            <w:gridSpan w:val="3"/>
            <w:tcBorders>
              <w:top w:val="nil"/>
              <w:left w:val="nil"/>
              <w:bottom w:val="nil"/>
              <w:right w:val="nil"/>
            </w:tcBorders>
            <w:shd w:val="clear" w:color="auto" w:fill="FFFFFF"/>
            <w:vAlign w:val="bottom"/>
          </w:tcPr>
          <w:p w14:paraId="25B17AD4" w14:textId="77777777" w:rsidR="00C90DA4" w:rsidRPr="00A84ED4" w:rsidRDefault="00C90DA4" w:rsidP="00C90DA4">
            <w:pPr>
              <w:jc w:val="right"/>
              <w:rPr>
                <w:bCs/>
                <w:szCs w:val="18"/>
                <w:lang w:val="en-US"/>
              </w:rPr>
            </w:pPr>
          </w:p>
        </w:tc>
        <w:tc>
          <w:tcPr>
            <w:tcW w:w="247" w:type="pct"/>
            <w:gridSpan w:val="3"/>
            <w:tcBorders>
              <w:top w:val="nil"/>
              <w:left w:val="nil"/>
              <w:bottom w:val="nil"/>
              <w:right w:val="nil"/>
            </w:tcBorders>
            <w:shd w:val="clear" w:color="auto" w:fill="FFFFFF"/>
          </w:tcPr>
          <w:p w14:paraId="24C1E4DE" w14:textId="77777777" w:rsidR="00C90DA4" w:rsidRPr="00D814E8" w:rsidRDefault="00C90DA4" w:rsidP="00C90DA4">
            <w:pPr>
              <w:rPr>
                <w:bCs/>
                <w:szCs w:val="18"/>
                <w:lang w:val="en-US"/>
              </w:rPr>
            </w:pPr>
          </w:p>
        </w:tc>
      </w:tr>
      <w:tr w:rsidR="00F531AA" w:rsidRPr="00C05614" w14:paraId="1F1C2B8C" w14:textId="77777777" w:rsidTr="00506B95">
        <w:trPr>
          <w:trHeight w:val="300"/>
        </w:trPr>
        <w:tc>
          <w:tcPr>
            <w:tcW w:w="2375" w:type="pct"/>
            <w:tcBorders>
              <w:top w:val="nil"/>
              <w:left w:val="nil"/>
              <w:bottom w:val="nil"/>
              <w:right w:val="nil"/>
            </w:tcBorders>
            <w:shd w:val="clear" w:color="auto" w:fill="FFFFFF"/>
            <w:noWrap/>
            <w:vAlign w:val="bottom"/>
          </w:tcPr>
          <w:p w14:paraId="6F4F2950" w14:textId="77777777" w:rsidR="00C90DA4" w:rsidRPr="00C05614" w:rsidRDefault="00C90DA4" w:rsidP="00C90DA4">
            <w:pPr>
              <w:ind w:left="284"/>
              <w:rPr>
                <w:b/>
                <w:bCs/>
                <w:szCs w:val="18"/>
                <w:lang w:val="en-US"/>
              </w:rPr>
            </w:pPr>
            <w:r>
              <w:rPr>
                <w:b/>
                <w:bCs/>
                <w:szCs w:val="18"/>
                <w:lang w:val="en-US"/>
              </w:rPr>
              <w:t>Net decrease</w:t>
            </w:r>
            <w:r w:rsidRPr="00C05614">
              <w:rPr>
                <w:b/>
                <w:bCs/>
                <w:szCs w:val="18"/>
                <w:lang w:val="en-US"/>
              </w:rPr>
              <w:t xml:space="preserve"> in cash held</w:t>
            </w:r>
          </w:p>
        </w:tc>
        <w:tc>
          <w:tcPr>
            <w:tcW w:w="462" w:type="pct"/>
            <w:tcBorders>
              <w:top w:val="nil"/>
              <w:left w:val="nil"/>
              <w:bottom w:val="nil"/>
              <w:right w:val="nil"/>
            </w:tcBorders>
            <w:shd w:val="clear" w:color="auto" w:fill="FFFFFF"/>
            <w:noWrap/>
            <w:vAlign w:val="bottom"/>
          </w:tcPr>
          <w:p w14:paraId="4AF0E76F" w14:textId="77777777" w:rsidR="00C90DA4" w:rsidRPr="00C05614" w:rsidRDefault="00C90DA4" w:rsidP="00C90DA4">
            <w:pPr>
              <w:rPr>
                <w:szCs w:val="18"/>
                <w:lang w:val="en-US"/>
              </w:rPr>
            </w:pPr>
            <w:r w:rsidRPr="00C05614">
              <w:rPr>
                <w:szCs w:val="18"/>
                <w:lang w:val="en-US"/>
              </w:rPr>
              <w:t> </w:t>
            </w:r>
          </w:p>
        </w:tc>
        <w:tc>
          <w:tcPr>
            <w:tcW w:w="607" w:type="pct"/>
            <w:tcBorders>
              <w:top w:val="single" w:sz="4" w:space="0" w:color="auto"/>
              <w:left w:val="nil"/>
              <w:bottom w:val="single" w:sz="4" w:space="0" w:color="auto"/>
              <w:right w:val="nil"/>
            </w:tcBorders>
            <w:shd w:val="clear" w:color="auto" w:fill="FFFFFF"/>
            <w:vAlign w:val="bottom"/>
          </w:tcPr>
          <w:p w14:paraId="16EB7374" w14:textId="77777777" w:rsidR="00C90DA4" w:rsidRPr="00C05614" w:rsidRDefault="00C90DA4" w:rsidP="00C90DA4">
            <w:pPr>
              <w:jc w:val="right"/>
              <w:rPr>
                <w:b/>
                <w:bCs/>
                <w:szCs w:val="18"/>
                <w:lang w:val="en-US"/>
              </w:rPr>
            </w:pPr>
            <w:r>
              <w:rPr>
                <w:b/>
                <w:bCs/>
                <w:szCs w:val="18"/>
                <w:lang w:val="en-US"/>
              </w:rPr>
              <w:t>(4,518)</w:t>
            </w:r>
            <w:r w:rsidRPr="00C51A34">
              <w:rPr>
                <w:b/>
                <w:bCs/>
                <w:szCs w:val="18"/>
                <w:lang w:val="en-US"/>
              </w:rPr>
              <w:t xml:space="preserve"> </w:t>
            </w:r>
          </w:p>
        </w:tc>
        <w:tc>
          <w:tcPr>
            <w:tcW w:w="618" w:type="pct"/>
            <w:tcBorders>
              <w:top w:val="single" w:sz="4" w:space="0" w:color="auto"/>
              <w:left w:val="nil"/>
              <w:bottom w:val="single" w:sz="4" w:space="0" w:color="auto"/>
              <w:right w:val="nil"/>
            </w:tcBorders>
            <w:shd w:val="clear" w:color="auto" w:fill="FFFFFF"/>
            <w:noWrap/>
            <w:vAlign w:val="bottom"/>
          </w:tcPr>
          <w:p w14:paraId="61B8F2B8" w14:textId="77777777" w:rsidR="00C90DA4" w:rsidRPr="00B6422B" w:rsidRDefault="00C90DA4" w:rsidP="00C90DA4">
            <w:pPr>
              <w:jc w:val="right"/>
              <w:rPr>
                <w:bCs/>
                <w:szCs w:val="18"/>
                <w:lang w:val="en-US"/>
              </w:rPr>
            </w:pPr>
            <w:r w:rsidRPr="00B6422B">
              <w:rPr>
                <w:bCs/>
                <w:szCs w:val="18"/>
                <w:lang w:val="en-US"/>
              </w:rPr>
              <w:t xml:space="preserve">(3,403) </w:t>
            </w:r>
          </w:p>
        </w:tc>
        <w:tc>
          <w:tcPr>
            <w:tcW w:w="148" w:type="pct"/>
            <w:tcBorders>
              <w:left w:val="nil"/>
              <w:right w:val="nil"/>
            </w:tcBorders>
            <w:shd w:val="clear" w:color="auto" w:fill="FFFFFF"/>
          </w:tcPr>
          <w:p w14:paraId="0F4464EC" w14:textId="77777777" w:rsidR="00C90DA4" w:rsidRPr="00D814E8" w:rsidRDefault="00C90DA4" w:rsidP="00C90DA4">
            <w:pPr>
              <w:jc w:val="right"/>
              <w:rPr>
                <w:bCs/>
                <w:szCs w:val="18"/>
                <w:lang w:val="en-US"/>
              </w:rPr>
            </w:pPr>
          </w:p>
        </w:tc>
        <w:tc>
          <w:tcPr>
            <w:tcW w:w="543" w:type="pct"/>
            <w:gridSpan w:val="3"/>
            <w:tcBorders>
              <w:top w:val="single" w:sz="4" w:space="0" w:color="auto"/>
              <w:left w:val="nil"/>
              <w:bottom w:val="single" w:sz="4" w:space="0" w:color="auto"/>
              <w:right w:val="nil"/>
            </w:tcBorders>
            <w:shd w:val="clear" w:color="auto" w:fill="FFFFFF"/>
            <w:vAlign w:val="bottom"/>
          </w:tcPr>
          <w:p w14:paraId="4DE070AC" w14:textId="77777777" w:rsidR="00C90DA4" w:rsidRPr="00A84ED4" w:rsidRDefault="00C90DA4" w:rsidP="00C90DA4">
            <w:pPr>
              <w:jc w:val="right"/>
              <w:rPr>
                <w:bCs/>
                <w:szCs w:val="18"/>
                <w:lang w:val="en-US"/>
              </w:rPr>
            </w:pPr>
            <w:r w:rsidRPr="00A84ED4">
              <w:rPr>
                <w:bCs/>
                <w:szCs w:val="18"/>
                <w:lang w:val="en-US"/>
              </w:rPr>
              <w:t xml:space="preserve">(2,000) </w:t>
            </w:r>
          </w:p>
        </w:tc>
        <w:tc>
          <w:tcPr>
            <w:tcW w:w="247" w:type="pct"/>
            <w:gridSpan w:val="3"/>
            <w:tcBorders>
              <w:left w:val="nil"/>
              <w:right w:val="nil"/>
            </w:tcBorders>
            <w:shd w:val="clear" w:color="auto" w:fill="FFFFFF"/>
          </w:tcPr>
          <w:p w14:paraId="364F6681" w14:textId="77777777" w:rsidR="00C90DA4" w:rsidRDefault="00C90DA4" w:rsidP="00C90DA4">
            <w:pPr>
              <w:rPr>
                <w:bCs/>
                <w:szCs w:val="18"/>
                <w:lang w:val="en-US"/>
              </w:rPr>
            </w:pPr>
          </w:p>
        </w:tc>
      </w:tr>
      <w:tr w:rsidR="00F531AA" w:rsidRPr="00C05614" w14:paraId="6D7F41EC" w14:textId="77777777" w:rsidTr="00506B95">
        <w:trPr>
          <w:trHeight w:val="300"/>
        </w:trPr>
        <w:tc>
          <w:tcPr>
            <w:tcW w:w="2375" w:type="pct"/>
            <w:tcBorders>
              <w:top w:val="nil"/>
              <w:left w:val="nil"/>
              <w:bottom w:val="nil"/>
              <w:right w:val="nil"/>
            </w:tcBorders>
            <w:shd w:val="clear" w:color="auto" w:fill="FFFFFF"/>
            <w:noWrap/>
            <w:vAlign w:val="bottom"/>
          </w:tcPr>
          <w:p w14:paraId="16BF54AE" w14:textId="77777777" w:rsidR="00C90DA4" w:rsidRPr="00C05614" w:rsidRDefault="00C90DA4" w:rsidP="00C90DA4">
            <w:pPr>
              <w:ind w:left="284"/>
              <w:rPr>
                <w:b/>
                <w:bCs/>
                <w:szCs w:val="18"/>
                <w:lang w:val="en-US"/>
              </w:rPr>
            </w:pPr>
            <w:r w:rsidRPr="00C05614">
              <w:rPr>
                <w:b/>
                <w:bCs/>
                <w:szCs w:val="18"/>
                <w:lang w:val="en-US"/>
              </w:rPr>
              <w:t>Cash and cash equivalents at the beginning of the reporting period</w:t>
            </w:r>
          </w:p>
        </w:tc>
        <w:tc>
          <w:tcPr>
            <w:tcW w:w="462" w:type="pct"/>
            <w:tcBorders>
              <w:top w:val="nil"/>
              <w:left w:val="nil"/>
              <w:bottom w:val="nil"/>
              <w:right w:val="nil"/>
            </w:tcBorders>
            <w:shd w:val="clear" w:color="auto" w:fill="FFFFFF"/>
            <w:noWrap/>
            <w:vAlign w:val="bottom"/>
          </w:tcPr>
          <w:p w14:paraId="4520613D" w14:textId="77777777" w:rsidR="00C90DA4" w:rsidRPr="00C05614" w:rsidRDefault="00C90DA4" w:rsidP="00C90DA4">
            <w:pPr>
              <w:jc w:val="center"/>
              <w:rPr>
                <w:szCs w:val="18"/>
                <w:lang w:val="en-US"/>
              </w:rPr>
            </w:pPr>
          </w:p>
        </w:tc>
        <w:tc>
          <w:tcPr>
            <w:tcW w:w="607" w:type="pct"/>
            <w:tcBorders>
              <w:top w:val="nil"/>
              <w:left w:val="nil"/>
              <w:bottom w:val="single" w:sz="4" w:space="0" w:color="auto"/>
              <w:right w:val="nil"/>
            </w:tcBorders>
            <w:shd w:val="clear" w:color="auto" w:fill="FFFFFF"/>
            <w:vAlign w:val="bottom"/>
          </w:tcPr>
          <w:p w14:paraId="063F4CB0" w14:textId="77777777" w:rsidR="00C90DA4" w:rsidRPr="00C05614" w:rsidRDefault="00C90DA4" w:rsidP="00C90DA4">
            <w:pPr>
              <w:jc w:val="right"/>
              <w:rPr>
                <w:b/>
                <w:bCs/>
                <w:szCs w:val="18"/>
                <w:lang w:val="en-US"/>
              </w:rPr>
            </w:pPr>
            <w:r>
              <w:rPr>
                <w:b/>
                <w:bCs/>
                <w:szCs w:val="18"/>
                <w:lang w:val="en-US"/>
              </w:rPr>
              <w:t>10,851</w:t>
            </w:r>
          </w:p>
        </w:tc>
        <w:tc>
          <w:tcPr>
            <w:tcW w:w="618" w:type="pct"/>
            <w:tcBorders>
              <w:top w:val="nil"/>
              <w:left w:val="nil"/>
              <w:bottom w:val="single" w:sz="4" w:space="0" w:color="auto"/>
              <w:right w:val="nil"/>
            </w:tcBorders>
            <w:shd w:val="clear" w:color="auto" w:fill="FFFFFF"/>
            <w:noWrap/>
            <w:vAlign w:val="bottom"/>
          </w:tcPr>
          <w:p w14:paraId="456DA227" w14:textId="77777777" w:rsidR="00C90DA4" w:rsidRPr="00B6422B" w:rsidRDefault="00C90DA4" w:rsidP="00C90DA4">
            <w:pPr>
              <w:jc w:val="right"/>
              <w:rPr>
                <w:bCs/>
                <w:szCs w:val="18"/>
                <w:lang w:val="en-US"/>
              </w:rPr>
            </w:pPr>
            <w:r w:rsidRPr="00B6422B">
              <w:rPr>
                <w:bCs/>
                <w:szCs w:val="18"/>
                <w:lang w:val="en-US"/>
              </w:rPr>
              <w:t>14,254</w:t>
            </w:r>
          </w:p>
        </w:tc>
        <w:tc>
          <w:tcPr>
            <w:tcW w:w="148" w:type="pct"/>
            <w:tcBorders>
              <w:top w:val="nil"/>
              <w:left w:val="nil"/>
              <w:right w:val="nil"/>
            </w:tcBorders>
            <w:shd w:val="clear" w:color="auto" w:fill="FFFFFF"/>
          </w:tcPr>
          <w:p w14:paraId="19F27E13" w14:textId="77777777" w:rsidR="00C90DA4" w:rsidRPr="00D814E8" w:rsidRDefault="00C90DA4" w:rsidP="00C90DA4">
            <w:pPr>
              <w:jc w:val="right"/>
              <w:rPr>
                <w:bCs/>
                <w:szCs w:val="18"/>
                <w:lang w:val="en-US"/>
              </w:rPr>
            </w:pPr>
          </w:p>
        </w:tc>
        <w:tc>
          <w:tcPr>
            <w:tcW w:w="543" w:type="pct"/>
            <w:gridSpan w:val="3"/>
            <w:tcBorders>
              <w:top w:val="nil"/>
              <w:left w:val="nil"/>
              <w:bottom w:val="single" w:sz="4" w:space="0" w:color="auto"/>
              <w:right w:val="nil"/>
            </w:tcBorders>
            <w:shd w:val="clear" w:color="auto" w:fill="FFFFFF"/>
            <w:vAlign w:val="bottom"/>
          </w:tcPr>
          <w:p w14:paraId="06DB5275" w14:textId="77777777" w:rsidR="00C90DA4" w:rsidRPr="00A84ED4" w:rsidRDefault="00C90DA4" w:rsidP="00C90DA4">
            <w:pPr>
              <w:jc w:val="right"/>
              <w:rPr>
                <w:bCs/>
                <w:szCs w:val="18"/>
                <w:lang w:val="en-US"/>
              </w:rPr>
            </w:pPr>
            <w:r w:rsidRPr="00A84ED4">
              <w:rPr>
                <w:bCs/>
                <w:szCs w:val="18"/>
                <w:lang w:val="en-US"/>
              </w:rPr>
              <w:t>11,089</w:t>
            </w:r>
          </w:p>
        </w:tc>
        <w:tc>
          <w:tcPr>
            <w:tcW w:w="247" w:type="pct"/>
            <w:gridSpan w:val="3"/>
            <w:tcBorders>
              <w:top w:val="nil"/>
              <w:left w:val="nil"/>
              <w:right w:val="nil"/>
            </w:tcBorders>
            <w:shd w:val="clear" w:color="auto" w:fill="FFFFFF"/>
          </w:tcPr>
          <w:p w14:paraId="26F704C8" w14:textId="77777777" w:rsidR="00C90DA4" w:rsidRDefault="00C90DA4" w:rsidP="00C90DA4">
            <w:pPr>
              <w:rPr>
                <w:bCs/>
                <w:szCs w:val="18"/>
                <w:lang w:val="en-US"/>
              </w:rPr>
            </w:pPr>
          </w:p>
        </w:tc>
      </w:tr>
      <w:tr w:rsidR="00F531AA" w:rsidRPr="00C05614" w14:paraId="3EAA40C8" w14:textId="77777777" w:rsidTr="00506B95">
        <w:trPr>
          <w:trHeight w:val="300"/>
        </w:trPr>
        <w:tc>
          <w:tcPr>
            <w:tcW w:w="2375" w:type="pct"/>
            <w:tcBorders>
              <w:top w:val="nil"/>
              <w:left w:val="nil"/>
              <w:bottom w:val="nil"/>
              <w:right w:val="nil"/>
            </w:tcBorders>
            <w:shd w:val="clear" w:color="auto" w:fill="FFFFFF"/>
            <w:noWrap/>
            <w:vAlign w:val="bottom"/>
          </w:tcPr>
          <w:p w14:paraId="4610EFB3" w14:textId="77777777" w:rsidR="00C90DA4" w:rsidRPr="00C05614" w:rsidRDefault="00C90DA4" w:rsidP="00C90DA4">
            <w:pPr>
              <w:ind w:left="284"/>
              <w:rPr>
                <w:b/>
                <w:bCs/>
                <w:szCs w:val="18"/>
                <w:lang w:val="en-US"/>
              </w:rPr>
            </w:pPr>
            <w:r w:rsidRPr="00C05614">
              <w:rPr>
                <w:b/>
                <w:bCs/>
                <w:szCs w:val="18"/>
                <w:lang w:val="en-US"/>
              </w:rPr>
              <w:t>Cash and cash equivalents at the end of the reporting period</w:t>
            </w:r>
          </w:p>
        </w:tc>
        <w:tc>
          <w:tcPr>
            <w:tcW w:w="462" w:type="pct"/>
            <w:tcBorders>
              <w:top w:val="nil"/>
              <w:left w:val="nil"/>
              <w:bottom w:val="nil"/>
              <w:right w:val="nil"/>
            </w:tcBorders>
            <w:shd w:val="clear" w:color="auto" w:fill="FFFFFF"/>
            <w:noWrap/>
            <w:vAlign w:val="bottom"/>
          </w:tcPr>
          <w:p w14:paraId="12C86E56" w14:textId="77777777" w:rsidR="00C90DA4" w:rsidRPr="00C05614" w:rsidRDefault="00924EF8" w:rsidP="00C90DA4">
            <w:pPr>
              <w:jc w:val="center"/>
              <w:rPr>
                <w:szCs w:val="18"/>
                <w:lang w:val="en-US"/>
              </w:rPr>
            </w:pPr>
            <w:hyperlink r:id="rId100" w:anchor="'Note 7'!A1#'Note 7'!A1" w:tooltip="Go to Note" w:history="1">
              <w:r w:rsidR="00C90DA4">
                <w:rPr>
                  <w:lang w:val="en-US"/>
                </w:rPr>
                <w:t>2.1</w:t>
              </w:r>
              <w:r w:rsidR="00C90DA4" w:rsidRPr="00C05614">
                <w:rPr>
                  <w:lang w:val="en-US"/>
                </w:rPr>
                <w:t>A</w:t>
              </w:r>
            </w:hyperlink>
          </w:p>
        </w:tc>
        <w:tc>
          <w:tcPr>
            <w:tcW w:w="607" w:type="pct"/>
            <w:tcBorders>
              <w:top w:val="nil"/>
              <w:left w:val="nil"/>
              <w:bottom w:val="single" w:sz="4" w:space="0" w:color="auto"/>
              <w:right w:val="nil"/>
            </w:tcBorders>
            <w:shd w:val="clear" w:color="auto" w:fill="FFFFFF"/>
            <w:vAlign w:val="bottom"/>
          </w:tcPr>
          <w:p w14:paraId="2E3D9795" w14:textId="77777777" w:rsidR="00C90DA4" w:rsidRPr="00C05614" w:rsidRDefault="00C90DA4" w:rsidP="00C90DA4">
            <w:pPr>
              <w:jc w:val="right"/>
              <w:rPr>
                <w:b/>
                <w:bCs/>
                <w:szCs w:val="18"/>
                <w:lang w:val="en-US"/>
              </w:rPr>
            </w:pPr>
            <w:r>
              <w:rPr>
                <w:b/>
                <w:bCs/>
                <w:szCs w:val="18"/>
                <w:lang w:val="en-US"/>
              </w:rPr>
              <w:t>6,333</w:t>
            </w:r>
            <w:r w:rsidRPr="00C51A34">
              <w:rPr>
                <w:b/>
                <w:bCs/>
                <w:szCs w:val="18"/>
                <w:lang w:val="en-US"/>
              </w:rPr>
              <w:t xml:space="preserve"> </w:t>
            </w:r>
          </w:p>
        </w:tc>
        <w:tc>
          <w:tcPr>
            <w:tcW w:w="618" w:type="pct"/>
            <w:tcBorders>
              <w:top w:val="nil"/>
              <w:left w:val="nil"/>
              <w:bottom w:val="single" w:sz="4" w:space="0" w:color="auto"/>
              <w:right w:val="nil"/>
            </w:tcBorders>
            <w:shd w:val="clear" w:color="auto" w:fill="FFFFFF"/>
            <w:noWrap/>
            <w:vAlign w:val="bottom"/>
          </w:tcPr>
          <w:p w14:paraId="0BED0DC4" w14:textId="77777777" w:rsidR="00C90DA4" w:rsidRPr="00B6422B" w:rsidRDefault="00C90DA4" w:rsidP="00C90DA4">
            <w:pPr>
              <w:jc w:val="right"/>
              <w:rPr>
                <w:bCs/>
                <w:szCs w:val="18"/>
                <w:lang w:val="en-US"/>
              </w:rPr>
            </w:pPr>
            <w:r w:rsidRPr="00B6422B">
              <w:rPr>
                <w:bCs/>
                <w:szCs w:val="18"/>
                <w:lang w:val="en-US"/>
              </w:rPr>
              <w:t xml:space="preserve">10,851 </w:t>
            </w:r>
          </w:p>
        </w:tc>
        <w:tc>
          <w:tcPr>
            <w:tcW w:w="148" w:type="pct"/>
            <w:tcBorders>
              <w:top w:val="nil"/>
              <w:left w:val="nil"/>
              <w:right w:val="nil"/>
            </w:tcBorders>
            <w:shd w:val="clear" w:color="auto" w:fill="FFFFFF"/>
          </w:tcPr>
          <w:p w14:paraId="2035DB7E" w14:textId="77777777" w:rsidR="00C90DA4" w:rsidRPr="00D814E8" w:rsidRDefault="00C90DA4" w:rsidP="00C90DA4">
            <w:pPr>
              <w:jc w:val="right"/>
              <w:rPr>
                <w:bCs/>
                <w:szCs w:val="18"/>
                <w:lang w:val="en-US"/>
              </w:rPr>
            </w:pPr>
          </w:p>
        </w:tc>
        <w:tc>
          <w:tcPr>
            <w:tcW w:w="543" w:type="pct"/>
            <w:gridSpan w:val="3"/>
            <w:tcBorders>
              <w:top w:val="nil"/>
              <w:left w:val="nil"/>
              <w:bottom w:val="single" w:sz="4" w:space="0" w:color="auto"/>
              <w:right w:val="nil"/>
            </w:tcBorders>
            <w:shd w:val="clear" w:color="auto" w:fill="FFFFFF"/>
            <w:vAlign w:val="bottom"/>
          </w:tcPr>
          <w:p w14:paraId="4D322898" w14:textId="77777777" w:rsidR="00C90DA4" w:rsidRPr="00A84ED4" w:rsidRDefault="00C90DA4" w:rsidP="00C90DA4">
            <w:pPr>
              <w:jc w:val="right"/>
              <w:rPr>
                <w:bCs/>
                <w:szCs w:val="18"/>
                <w:lang w:val="en-US"/>
              </w:rPr>
            </w:pPr>
            <w:r w:rsidRPr="00A84ED4">
              <w:rPr>
                <w:bCs/>
                <w:szCs w:val="18"/>
                <w:lang w:val="en-US"/>
              </w:rPr>
              <w:t xml:space="preserve">9,089 </w:t>
            </w:r>
          </w:p>
        </w:tc>
        <w:tc>
          <w:tcPr>
            <w:tcW w:w="247" w:type="pct"/>
            <w:gridSpan w:val="3"/>
            <w:tcBorders>
              <w:top w:val="nil"/>
              <w:left w:val="nil"/>
              <w:right w:val="nil"/>
            </w:tcBorders>
            <w:shd w:val="clear" w:color="auto" w:fill="FFFFFF"/>
          </w:tcPr>
          <w:p w14:paraId="184C356C" w14:textId="77777777" w:rsidR="00C90DA4" w:rsidRDefault="00C90DA4" w:rsidP="00C90DA4">
            <w:pPr>
              <w:rPr>
                <w:bCs/>
                <w:szCs w:val="18"/>
                <w:lang w:val="en-US"/>
              </w:rPr>
            </w:pPr>
          </w:p>
        </w:tc>
      </w:tr>
      <w:tr w:rsidR="00F531AA" w:rsidRPr="00C05614" w14:paraId="498B63A5" w14:textId="77777777" w:rsidTr="00506B95">
        <w:trPr>
          <w:trHeight w:val="255"/>
        </w:trPr>
        <w:tc>
          <w:tcPr>
            <w:tcW w:w="2375" w:type="pct"/>
            <w:tcBorders>
              <w:top w:val="nil"/>
              <w:left w:val="nil"/>
              <w:bottom w:val="nil"/>
              <w:right w:val="nil"/>
            </w:tcBorders>
            <w:shd w:val="clear" w:color="auto" w:fill="FFFFFF"/>
            <w:noWrap/>
          </w:tcPr>
          <w:p w14:paraId="24841C9D" w14:textId="77777777" w:rsidR="00C90DA4" w:rsidRPr="00C05614" w:rsidRDefault="00C90DA4" w:rsidP="00C90DA4">
            <w:pPr>
              <w:ind w:left="284"/>
              <w:rPr>
                <w:szCs w:val="18"/>
                <w:lang w:val="en-US"/>
              </w:rPr>
            </w:pPr>
            <w:r w:rsidRPr="00C05614">
              <w:rPr>
                <w:szCs w:val="18"/>
                <w:lang w:val="en-US"/>
              </w:rPr>
              <w:t> </w:t>
            </w:r>
          </w:p>
        </w:tc>
        <w:tc>
          <w:tcPr>
            <w:tcW w:w="462" w:type="pct"/>
            <w:tcBorders>
              <w:top w:val="nil"/>
              <w:left w:val="nil"/>
              <w:bottom w:val="nil"/>
              <w:right w:val="nil"/>
            </w:tcBorders>
            <w:shd w:val="clear" w:color="auto" w:fill="FFFFFF"/>
            <w:noWrap/>
          </w:tcPr>
          <w:p w14:paraId="7B4A7259" w14:textId="77777777" w:rsidR="00C90DA4" w:rsidRPr="00C05614" w:rsidRDefault="00C90DA4" w:rsidP="00C90DA4">
            <w:pPr>
              <w:rPr>
                <w:szCs w:val="18"/>
                <w:lang w:val="en-US"/>
              </w:rPr>
            </w:pPr>
            <w:r w:rsidRPr="00C05614">
              <w:rPr>
                <w:szCs w:val="18"/>
                <w:lang w:val="en-US"/>
              </w:rPr>
              <w:t> </w:t>
            </w:r>
          </w:p>
        </w:tc>
        <w:tc>
          <w:tcPr>
            <w:tcW w:w="607" w:type="pct"/>
            <w:tcBorders>
              <w:top w:val="nil"/>
              <w:left w:val="nil"/>
              <w:bottom w:val="nil"/>
              <w:right w:val="nil"/>
            </w:tcBorders>
            <w:shd w:val="clear" w:color="auto" w:fill="FFFFFF"/>
          </w:tcPr>
          <w:p w14:paraId="7211ACD3" w14:textId="77777777" w:rsidR="00C90DA4" w:rsidRPr="00C05614" w:rsidRDefault="00C90DA4" w:rsidP="00C90DA4">
            <w:pPr>
              <w:rPr>
                <w:szCs w:val="18"/>
                <w:lang w:val="en-US"/>
              </w:rPr>
            </w:pPr>
          </w:p>
        </w:tc>
        <w:tc>
          <w:tcPr>
            <w:tcW w:w="618" w:type="pct"/>
            <w:tcBorders>
              <w:top w:val="nil"/>
              <w:left w:val="nil"/>
              <w:bottom w:val="nil"/>
              <w:right w:val="nil"/>
            </w:tcBorders>
            <w:shd w:val="clear" w:color="auto" w:fill="FFFFFF"/>
            <w:noWrap/>
          </w:tcPr>
          <w:p w14:paraId="2B201B75" w14:textId="77777777" w:rsidR="00C90DA4" w:rsidRPr="00C05614" w:rsidRDefault="00C90DA4" w:rsidP="00C90DA4">
            <w:pPr>
              <w:rPr>
                <w:szCs w:val="18"/>
                <w:lang w:val="en-US"/>
              </w:rPr>
            </w:pPr>
            <w:r w:rsidRPr="00C05614">
              <w:rPr>
                <w:szCs w:val="18"/>
                <w:lang w:val="en-US"/>
              </w:rPr>
              <w:t> </w:t>
            </w:r>
          </w:p>
        </w:tc>
        <w:tc>
          <w:tcPr>
            <w:tcW w:w="148" w:type="pct"/>
            <w:tcBorders>
              <w:top w:val="nil"/>
              <w:left w:val="nil"/>
              <w:bottom w:val="nil"/>
              <w:right w:val="nil"/>
            </w:tcBorders>
            <w:shd w:val="clear" w:color="auto" w:fill="FFFFFF"/>
          </w:tcPr>
          <w:p w14:paraId="09CA1446" w14:textId="77777777" w:rsidR="00C90DA4" w:rsidRPr="00C05614" w:rsidRDefault="00C90DA4" w:rsidP="00C90DA4">
            <w:pPr>
              <w:rPr>
                <w:szCs w:val="18"/>
                <w:lang w:val="en-US"/>
              </w:rPr>
            </w:pPr>
          </w:p>
        </w:tc>
        <w:tc>
          <w:tcPr>
            <w:tcW w:w="543" w:type="pct"/>
            <w:gridSpan w:val="3"/>
            <w:tcBorders>
              <w:top w:val="nil"/>
              <w:left w:val="nil"/>
              <w:bottom w:val="nil"/>
              <w:right w:val="nil"/>
            </w:tcBorders>
            <w:shd w:val="clear" w:color="auto" w:fill="FFFFFF"/>
          </w:tcPr>
          <w:p w14:paraId="287880D2" w14:textId="77777777" w:rsidR="00C90DA4" w:rsidRPr="00C05614" w:rsidRDefault="00C90DA4" w:rsidP="00C90DA4">
            <w:pPr>
              <w:rPr>
                <w:szCs w:val="18"/>
                <w:lang w:val="en-US"/>
              </w:rPr>
            </w:pPr>
          </w:p>
        </w:tc>
        <w:tc>
          <w:tcPr>
            <w:tcW w:w="247" w:type="pct"/>
            <w:gridSpan w:val="3"/>
            <w:tcBorders>
              <w:top w:val="nil"/>
              <w:left w:val="nil"/>
              <w:bottom w:val="nil"/>
              <w:right w:val="nil"/>
            </w:tcBorders>
            <w:shd w:val="clear" w:color="auto" w:fill="FFFFFF"/>
          </w:tcPr>
          <w:p w14:paraId="31F2C564" w14:textId="77777777" w:rsidR="00C90DA4" w:rsidRPr="00C05614" w:rsidRDefault="00C90DA4" w:rsidP="00C90DA4">
            <w:pPr>
              <w:rPr>
                <w:szCs w:val="18"/>
                <w:lang w:val="en-US"/>
              </w:rPr>
            </w:pPr>
          </w:p>
        </w:tc>
      </w:tr>
      <w:tr w:rsidR="00C90DA4" w:rsidRPr="00C05614" w14:paraId="1FEE1DEA" w14:textId="77777777" w:rsidTr="00506B95">
        <w:trPr>
          <w:gridAfter w:val="1"/>
          <w:wAfter w:w="140" w:type="pct"/>
          <w:trHeight w:val="255"/>
        </w:trPr>
        <w:tc>
          <w:tcPr>
            <w:tcW w:w="4612" w:type="pct"/>
            <w:gridSpan w:val="7"/>
            <w:tcBorders>
              <w:top w:val="nil"/>
              <w:left w:val="nil"/>
              <w:bottom w:val="nil"/>
              <w:right w:val="nil"/>
            </w:tcBorders>
            <w:shd w:val="clear" w:color="auto" w:fill="FFFFFF"/>
            <w:noWrap/>
          </w:tcPr>
          <w:p w14:paraId="037A9460" w14:textId="77777777" w:rsidR="00C90DA4" w:rsidRPr="00C05614" w:rsidRDefault="00C90DA4" w:rsidP="00C90DA4">
            <w:pPr>
              <w:ind w:left="284"/>
              <w:rPr>
                <w:szCs w:val="18"/>
                <w:lang w:val="en-US"/>
              </w:rPr>
            </w:pPr>
            <w:r w:rsidRPr="00C05614">
              <w:rPr>
                <w:szCs w:val="18"/>
                <w:lang w:val="en-US"/>
              </w:rPr>
              <w:t>The above statement should be read in conjunction with the accompanying notes.</w:t>
            </w:r>
          </w:p>
        </w:tc>
        <w:tc>
          <w:tcPr>
            <w:tcW w:w="248" w:type="pct"/>
            <w:gridSpan w:val="3"/>
            <w:tcBorders>
              <w:top w:val="nil"/>
              <w:left w:val="nil"/>
              <w:bottom w:val="nil"/>
              <w:right w:val="nil"/>
            </w:tcBorders>
            <w:shd w:val="clear" w:color="auto" w:fill="FFFFFF"/>
          </w:tcPr>
          <w:p w14:paraId="109ADBC7" w14:textId="77777777" w:rsidR="00C90DA4" w:rsidRPr="00C05614" w:rsidRDefault="00C90DA4" w:rsidP="00C90DA4">
            <w:pPr>
              <w:ind w:left="284"/>
              <w:rPr>
                <w:szCs w:val="18"/>
                <w:lang w:val="en-US"/>
              </w:rPr>
            </w:pPr>
          </w:p>
        </w:tc>
      </w:tr>
      <w:tr w:rsidR="00C90DA4" w:rsidRPr="00C05614" w14:paraId="25D91530" w14:textId="77777777" w:rsidTr="00506B95">
        <w:trPr>
          <w:gridAfter w:val="2"/>
          <w:wAfter w:w="166" w:type="pct"/>
          <w:trHeight w:val="255"/>
        </w:trPr>
        <w:tc>
          <w:tcPr>
            <w:tcW w:w="4586" w:type="pct"/>
            <w:gridSpan w:val="6"/>
            <w:tcBorders>
              <w:top w:val="nil"/>
              <w:left w:val="nil"/>
              <w:bottom w:val="nil"/>
              <w:right w:val="nil"/>
            </w:tcBorders>
            <w:shd w:val="clear" w:color="auto" w:fill="FFFFFF"/>
            <w:noWrap/>
          </w:tcPr>
          <w:p w14:paraId="0CFE4B77" w14:textId="77777777" w:rsidR="00C90DA4" w:rsidRPr="00FB34BD" w:rsidRDefault="00C90DA4" w:rsidP="00C90DA4">
            <w:pPr>
              <w:ind w:left="284"/>
              <w:rPr>
                <w:rFonts w:cs="Arial"/>
                <w:b/>
                <w:szCs w:val="18"/>
                <w:lang w:val="en-US"/>
              </w:rPr>
            </w:pPr>
            <w:r>
              <w:rPr>
                <w:rFonts w:cs="Arial"/>
                <w:b/>
                <w:szCs w:val="18"/>
                <w:lang w:val="en-US"/>
              </w:rPr>
              <w:t>Original Budget Compared to 2017 Actual Variance Commentary</w:t>
            </w:r>
          </w:p>
          <w:p w14:paraId="12A1C337" w14:textId="77777777" w:rsidR="00C90DA4" w:rsidRDefault="00C90DA4" w:rsidP="00C90DA4">
            <w:pPr>
              <w:ind w:left="284"/>
              <w:rPr>
                <w:b/>
                <w:szCs w:val="18"/>
                <w:lang w:val="en-US"/>
              </w:rPr>
            </w:pPr>
            <w:r>
              <w:rPr>
                <w:b/>
                <w:szCs w:val="18"/>
                <w:lang w:val="en-US"/>
              </w:rPr>
              <w:t>Cash Flow Statement</w:t>
            </w:r>
          </w:p>
          <w:p w14:paraId="62CAC42F" w14:textId="77777777" w:rsidR="00C90DA4" w:rsidRPr="002A7DFA" w:rsidRDefault="00C90DA4" w:rsidP="00C90DA4">
            <w:pPr>
              <w:ind w:left="284"/>
              <w:rPr>
                <w:rFonts w:cs="Arial"/>
                <w:szCs w:val="18"/>
                <w:lang w:val="en-US"/>
              </w:rPr>
            </w:pPr>
            <w:r w:rsidRPr="002A7DFA">
              <w:rPr>
                <w:szCs w:val="18"/>
                <w:vertAlign w:val="superscript"/>
              </w:rPr>
              <w:t>A</w:t>
            </w:r>
            <w:r w:rsidRPr="002A7DFA">
              <w:rPr>
                <w:szCs w:val="18"/>
              </w:rPr>
              <w:t xml:space="preserve"> </w:t>
            </w:r>
            <w:r w:rsidRPr="00506B95">
              <w:rPr>
                <w:spacing w:val="-8"/>
                <w:szCs w:val="18"/>
              </w:rPr>
              <w:t>The budget reflects projects contracted at the time of preparing the PBS. The variance arises</w:t>
            </w:r>
            <w:r w:rsidRPr="00C308AF">
              <w:rPr>
                <w:szCs w:val="18"/>
              </w:rPr>
              <w:t xml:space="preserve"> </w:t>
            </w:r>
            <w:r w:rsidRPr="00506B95">
              <w:rPr>
                <w:spacing w:val="-8"/>
                <w:szCs w:val="18"/>
              </w:rPr>
              <w:t>due to additional 2016-17 funding and project expenditure for projects contracted subsequent to</w:t>
            </w:r>
            <w:r>
              <w:rPr>
                <w:szCs w:val="18"/>
              </w:rPr>
              <w:t xml:space="preserve"> preparation of the PBS</w:t>
            </w:r>
            <w:r>
              <w:rPr>
                <w:rFonts w:cs="Arial"/>
                <w:szCs w:val="18"/>
                <w:lang w:val="en-US"/>
              </w:rPr>
              <w:t>.</w:t>
            </w:r>
          </w:p>
          <w:p w14:paraId="17D5298D" w14:textId="39C302AD" w:rsidR="00C90DA4" w:rsidRDefault="00C90DA4" w:rsidP="00C90DA4">
            <w:pPr>
              <w:ind w:left="284"/>
              <w:rPr>
                <w:rFonts w:cs="Arial"/>
                <w:szCs w:val="18"/>
                <w:highlight w:val="yellow"/>
                <w:lang w:val="en-US"/>
              </w:rPr>
            </w:pPr>
            <w:r w:rsidRPr="00B13E6E">
              <w:rPr>
                <w:rFonts w:cs="Arial"/>
                <w:szCs w:val="18"/>
                <w:vertAlign w:val="superscript"/>
                <w:lang w:val="en-US"/>
              </w:rPr>
              <w:t>B</w:t>
            </w:r>
            <w:r w:rsidRPr="002A7DFA">
              <w:rPr>
                <w:rFonts w:cs="Arial"/>
                <w:szCs w:val="18"/>
                <w:lang w:val="en-US"/>
              </w:rPr>
              <w:t xml:space="preserve"> </w:t>
            </w:r>
            <w:r w:rsidRPr="00506B95">
              <w:rPr>
                <w:spacing w:val="-8"/>
                <w:szCs w:val="18"/>
              </w:rPr>
              <w:t>Variance arises due to fewer staff transferring from the NHPA to the Commission and also a</w:t>
            </w:r>
            <w:r w:rsidRPr="00C308AF">
              <w:rPr>
                <w:szCs w:val="18"/>
              </w:rPr>
              <w:t xml:space="preserve"> </w:t>
            </w:r>
            <w:r w:rsidRPr="00506B95">
              <w:rPr>
                <w:spacing w:val="-8"/>
                <w:szCs w:val="18"/>
              </w:rPr>
              <w:t>reduction in the average staffing level cap imposed by Department of Finance, not expected at</w:t>
            </w:r>
            <w:r w:rsidRPr="00C308AF">
              <w:rPr>
                <w:szCs w:val="18"/>
              </w:rPr>
              <w:t xml:space="preserve"> the time of preparing the budget</w:t>
            </w:r>
            <w:r w:rsidRPr="002A7DFA">
              <w:rPr>
                <w:rFonts w:cs="Arial"/>
                <w:szCs w:val="18"/>
                <w:lang w:val="en-US"/>
              </w:rPr>
              <w:t>.</w:t>
            </w:r>
          </w:p>
          <w:p w14:paraId="67A7BDF8" w14:textId="77777777" w:rsidR="00C90DA4" w:rsidRPr="00C05614" w:rsidRDefault="00C90DA4" w:rsidP="00C90DA4">
            <w:pPr>
              <w:ind w:left="284"/>
              <w:rPr>
                <w:szCs w:val="18"/>
                <w:lang w:val="en-US"/>
              </w:rPr>
            </w:pPr>
          </w:p>
        </w:tc>
        <w:tc>
          <w:tcPr>
            <w:tcW w:w="248" w:type="pct"/>
            <w:gridSpan w:val="3"/>
            <w:tcBorders>
              <w:top w:val="nil"/>
              <w:left w:val="nil"/>
              <w:bottom w:val="nil"/>
              <w:right w:val="nil"/>
            </w:tcBorders>
            <w:shd w:val="clear" w:color="auto" w:fill="FFFFFF"/>
          </w:tcPr>
          <w:p w14:paraId="292FB254" w14:textId="77777777" w:rsidR="00C90DA4" w:rsidRDefault="00C90DA4" w:rsidP="00C90DA4">
            <w:pPr>
              <w:ind w:left="284"/>
              <w:rPr>
                <w:rFonts w:cs="Arial"/>
                <w:b/>
                <w:szCs w:val="18"/>
                <w:lang w:val="en-US"/>
              </w:rPr>
            </w:pPr>
          </w:p>
        </w:tc>
      </w:tr>
    </w:tbl>
    <w:p w14:paraId="140E8FA8" w14:textId="77777777" w:rsidR="00195E07" w:rsidRDefault="00195E07" w:rsidP="005E0AFC">
      <w:pPr>
        <w:pStyle w:val="BodyText"/>
      </w:pPr>
    </w:p>
    <w:p w14:paraId="0DA9E2DF" w14:textId="77777777" w:rsidR="00195E07" w:rsidRDefault="00195E07">
      <w:pPr>
        <w:spacing w:after="160" w:line="259" w:lineRule="auto"/>
      </w:pPr>
      <w:r>
        <w:br w:type="page"/>
      </w:r>
    </w:p>
    <w:p w14:paraId="49713963" w14:textId="73D8DB95" w:rsidR="00C90DA4" w:rsidRPr="0044323F" w:rsidRDefault="00C90DA4" w:rsidP="00C90DA4">
      <w:pPr>
        <w:pStyle w:val="Heading2"/>
      </w:pPr>
      <w:r w:rsidRPr="0044323F">
        <w:lastRenderedPageBreak/>
        <w:t xml:space="preserve">Table of Contents – Overview and Notes to the </w:t>
      </w:r>
      <w:r w:rsidR="00932BFE">
        <w:br/>
      </w:r>
      <w:r w:rsidRPr="0044323F">
        <w:t>Financial Statements</w:t>
      </w:r>
    </w:p>
    <w:p w14:paraId="17B36388" w14:textId="77777777" w:rsidR="00C90DA4" w:rsidRPr="00C05614" w:rsidRDefault="00C90DA4" w:rsidP="00C90DA4"/>
    <w:p w14:paraId="57FE26B5" w14:textId="77777777" w:rsidR="00C90DA4" w:rsidRPr="00C5061F" w:rsidRDefault="00C90DA4" w:rsidP="00611B17">
      <w:pPr>
        <w:spacing w:after="240"/>
        <w:ind w:firstLine="720"/>
        <w:rPr>
          <w:sz w:val="20"/>
        </w:rPr>
      </w:pPr>
      <w:r>
        <w:rPr>
          <w:sz w:val="20"/>
        </w:rPr>
        <w:t>Overview</w:t>
      </w:r>
    </w:p>
    <w:p w14:paraId="4C1FC079" w14:textId="77777777" w:rsidR="00C90DA4" w:rsidRDefault="00C90DA4" w:rsidP="00246359">
      <w:pPr>
        <w:keepLines/>
        <w:numPr>
          <w:ilvl w:val="0"/>
          <w:numId w:val="7"/>
        </w:numPr>
        <w:spacing w:after="240"/>
        <w:ind w:left="1134" w:hanging="425"/>
        <w:rPr>
          <w:sz w:val="20"/>
        </w:rPr>
      </w:pPr>
      <w:r>
        <w:rPr>
          <w:sz w:val="20"/>
        </w:rPr>
        <w:t>Financial Performance</w:t>
      </w:r>
    </w:p>
    <w:p w14:paraId="7927D02C" w14:textId="77777777" w:rsidR="00C90DA4" w:rsidRDefault="00C90DA4" w:rsidP="00246359">
      <w:pPr>
        <w:keepLines/>
        <w:numPr>
          <w:ilvl w:val="1"/>
          <w:numId w:val="7"/>
        </w:numPr>
        <w:spacing w:after="240"/>
        <w:ind w:left="1701" w:hanging="567"/>
        <w:rPr>
          <w:sz w:val="20"/>
        </w:rPr>
      </w:pPr>
      <w:r w:rsidRPr="005757A1">
        <w:rPr>
          <w:sz w:val="20"/>
        </w:rPr>
        <w:t>Expenses</w:t>
      </w:r>
    </w:p>
    <w:p w14:paraId="076A2F9C" w14:textId="77777777" w:rsidR="00C90DA4" w:rsidRDefault="00C90DA4" w:rsidP="00246359">
      <w:pPr>
        <w:keepLines/>
        <w:numPr>
          <w:ilvl w:val="1"/>
          <w:numId w:val="7"/>
        </w:numPr>
        <w:spacing w:after="240"/>
        <w:ind w:left="1701" w:hanging="567"/>
        <w:rPr>
          <w:sz w:val="20"/>
        </w:rPr>
      </w:pPr>
      <w:r w:rsidRPr="005757A1">
        <w:rPr>
          <w:sz w:val="20"/>
        </w:rPr>
        <w:t>Income</w:t>
      </w:r>
    </w:p>
    <w:p w14:paraId="0FB11E76" w14:textId="77777777" w:rsidR="00C90DA4" w:rsidRDefault="00C90DA4" w:rsidP="00230C98">
      <w:pPr>
        <w:keepLines/>
        <w:numPr>
          <w:ilvl w:val="0"/>
          <w:numId w:val="7"/>
        </w:numPr>
        <w:spacing w:after="240"/>
        <w:ind w:left="1134" w:hanging="425"/>
        <w:rPr>
          <w:sz w:val="20"/>
        </w:rPr>
      </w:pPr>
      <w:r>
        <w:rPr>
          <w:sz w:val="20"/>
        </w:rPr>
        <w:t>Financial Position</w:t>
      </w:r>
    </w:p>
    <w:p w14:paraId="18EA3D7B" w14:textId="77777777" w:rsidR="00C90DA4" w:rsidRDefault="00C90DA4" w:rsidP="00A728C2">
      <w:pPr>
        <w:keepLines/>
        <w:numPr>
          <w:ilvl w:val="1"/>
          <w:numId w:val="7"/>
        </w:numPr>
        <w:spacing w:after="240"/>
        <w:ind w:left="1701" w:hanging="567"/>
        <w:rPr>
          <w:sz w:val="20"/>
        </w:rPr>
      </w:pPr>
      <w:r w:rsidRPr="005757A1">
        <w:rPr>
          <w:sz w:val="20"/>
        </w:rPr>
        <w:t>Financial Assets</w:t>
      </w:r>
    </w:p>
    <w:p w14:paraId="6D455C64" w14:textId="77777777" w:rsidR="00C90DA4" w:rsidRDefault="00C90DA4" w:rsidP="00A728C2">
      <w:pPr>
        <w:keepLines/>
        <w:numPr>
          <w:ilvl w:val="1"/>
          <w:numId w:val="7"/>
        </w:numPr>
        <w:spacing w:after="240"/>
        <w:ind w:left="1701" w:hanging="567"/>
        <w:rPr>
          <w:sz w:val="20"/>
        </w:rPr>
      </w:pPr>
      <w:r w:rsidRPr="005757A1">
        <w:rPr>
          <w:sz w:val="20"/>
        </w:rPr>
        <w:t>Non-Financial Assets</w:t>
      </w:r>
    </w:p>
    <w:p w14:paraId="18F657D3" w14:textId="77777777" w:rsidR="00C90DA4" w:rsidRPr="00B00DAC" w:rsidRDefault="00C90DA4" w:rsidP="00A728C2">
      <w:pPr>
        <w:keepLines/>
        <w:numPr>
          <w:ilvl w:val="1"/>
          <w:numId w:val="7"/>
        </w:numPr>
        <w:spacing w:after="240"/>
        <w:ind w:left="1701" w:hanging="567"/>
        <w:rPr>
          <w:sz w:val="20"/>
        </w:rPr>
      </w:pPr>
      <w:r w:rsidRPr="005757A1">
        <w:rPr>
          <w:sz w:val="20"/>
        </w:rPr>
        <w:t>Payables</w:t>
      </w:r>
    </w:p>
    <w:p w14:paraId="3D93F7EB" w14:textId="77777777" w:rsidR="00C90DA4" w:rsidRDefault="00C90DA4" w:rsidP="00A728C2">
      <w:pPr>
        <w:keepLines/>
        <w:numPr>
          <w:ilvl w:val="0"/>
          <w:numId w:val="7"/>
        </w:numPr>
        <w:spacing w:after="240"/>
        <w:ind w:left="1134" w:hanging="425"/>
        <w:rPr>
          <w:sz w:val="20"/>
        </w:rPr>
      </w:pPr>
      <w:r>
        <w:rPr>
          <w:sz w:val="20"/>
        </w:rPr>
        <w:t>People and Relationships</w:t>
      </w:r>
    </w:p>
    <w:p w14:paraId="709ACA09" w14:textId="77777777" w:rsidR="00C90DA4" w:rsidRDefault="00C90DA4" w:rsidP="00A728C2">
      <w:pPr>
        <w:keepLines/>
        <w:numPr>
          <w:ilvl w:val="1"/>
          <w:numId w:val="7"/>
        </w:numPr>
        <w:spacing w:after="240"/>
        <w:ind w:left="1701" w:hanging="567"/>
        <w:rPr>
          <w:sz w:val="20"/>
        </w:rPr>
      </w:pPr>
      <w:r>
        <w:rPr>
          <w:sz w:val="20"/>
        </w:rPr>
        <w:t>Employee Provisions</w:t>
      </w:r>
    </w:p>
    <w:p w14:paraId="7D45A909" w14:textId="77777777" w:rsidR="00C90DA4" w:rsidRDefault="00C90DA4" w:rsidP="00A728C2">
      <w:pPr>
        <w:keepLines/>
        <w:numPr>
          <w:ilvl w:val="1"/>
          <w:numId w:val="7"/>
        </w:numPr>
        <w:spacing w:after="240"/>
        <w:ind w:left="1701" w:hanging="567"/>
        <w:rPr>
          <w:sz w:val="20"/>
        </w:rPr>
      </w:pPr>
      <w:r>
        <w:rPr>
          <w:sz w:val="20"/>
        </w:rPr>
        <w:t>Key</w:t>
      </w:r>
      <w:r w:rsidRPr="005757A1">
        <w:rPr>
          <w:sz w:val="20"/>
        </w:rPr>
        <w:t xml:space="preserve"> Management Personnel Remuneration</w:t>
      </w:r>
    </w:p>
    <w:p w14:paraId="7472C284" w14:textId="77777777" w:rsidR="00C90DA4" w:rsidRDefault="00C90DA4" w:rsidP="00A728C2">
      <w:pPr>
        <w:keepLines/>
        <w:numPr>
          <w:ilvl w:val="1"/>
          <w:numId w:val="7"/>
        </w:numPr>
        <w:spacing w:after="240"/>
        <w:ind w:left="1701" w:hanging="567"/>
        <w:rPr>
          <w:sz w:val="20"/>
        </w:rPr>
      </w:pPr>
      <w:r w:rsidRPr="005757A1">
        <w:rPr>
          <w:sz w:val="20"/>
        </w:rPr>
        <w:t>Related Party Disclosures</w:t>
      </w:r>
    </w:p>
    <w:p w14:paraId="719D32B8" w14:textId="77777777" w:rsidR="00C90DA4" w:rsidRDefault="00C90DA4" w:rsidP="00A728C2">
      <w:pPr>
        <w:keepLines/>
        <w:numPr>
          <w:ilvl w:val="0"/>
          <w:numId w:val="7"/>
        </w:numPr>
        <w:spacing w:after="240"/>
        <w:ind w:left="1134" w:hanging="425"/>
        <w:rPr>
          <w:sz w:val="20"/>
        </w:rPr>
      </w:pPr>
      <w:r>
        <w:rPr>
          <w:sz w:val="20"/>
        </w:rPr>
        <w:t>Managing Uncertainties</w:t>
      </w:r>
    </w:p>
    <w:p w14:paraId="36AFA4EC" w14:textId="77777777" w:rsidR="00C90DA4" w:rsidRDefault="00C90DA4" w:rsidP="00A728C2">
      <w:pPr>
        <w:keepLines/>
        <w:numPr>
          <w:ilvl w:val="1"/>
          <w:numId w:val="7"/>
        </w:numPr>
        <w:spacing w:after="240"/>
        <w:ind w:left="1701" w:hanging="567"/>
        <w:rPr>
          <w:sz w:val="20"/>
        </w:rPr>
      </w:pPr>
      <w:r w:rsidRPr="00EF0EF1">
        <w:rPr>
          <w:sz w:val="20"/>
        </w:rPr>
        <w:t>Contingent Assets and Liabilities</w:t>
      </w:r>
    </w:p>
    <w:p w14:paraId="0B56B0C1" w14:textId="77777777" w:rsidR="00C90DA4" w:rsidRDefault="00C90DA4" w:rsidP="00A728C2">
      <w:pPr>
        <w:keepLines/>
        <w:numPr>
          <w:ilvl w:val="1"/>
          <w:numId w:val="7"/>
        </w:numPr>
        <w:spacing w:after="240"/>
        <w:ind w:left="1701" w:hanging="567"/>
        <w:rPr>
          <w:sz w:val="20"/>
        </w:rPr>
      </w:pPr>
      <w:r w:rsidRPr="00EF0EF1">
        <w:rPr>
          <w:sz w:val="20"/>
        </w:rPr>
        <w:t>Financial Instruments</w:t>
      </w:r>
    </w:p>
    <w:p w14:paraId="17C78660" w14:textId="77777777" w:rsidR="00C90DA4" w:rsidRDefault="00C90DA4" w:rsidP="00A728C2">
      <w:pPr>
        <w:keepLines/>
        <w:numPr>
          <w:ilvl w:val="1"/>
          <w:numId w:val="7"/>
        </w:numPr>
        <w:spacing w:after="240"/>
        <w:ind w:left="1701" w:hanging="567"/>
        <w:rPr>
          <w:sz w:val="20"/>
        </w:rPr>
      </w:pPr>
      <w:r w:rsidRPr="00885C92">
        <w:rPr>
          <w:sz w:val="20"/>
        </w:rPr>
        <w:t>Fair Value Measurement</w:t>
      </w:r>
    </w:p>
    <w:p w14:paraId="5C7AD56F" w14:textId="77777777" w:rsidR="00195E07" w:rsidRDefault="00C90DA4" w:rsidP="00C90DA4">
      <w:pPr>
        <w:pStyle w:val="BodyText"/>
      </w:pPr>
      <w:r w:rsidRPr="00C05614">
        <w:br w:type="page"/>
      </w:r>
    </w:p>
    <w:p w14:paraId="6F5AE4E1" w14:textId="77777777" w:rsidR="00C90DA4" w:rsidRPr="00C5061F" w:rsidRDefault="00C90DA4" w:rsidP="002215A6">
      <w:pPr>
        <w:pStyle w:val="Heading2"/>
      </w:pPr>
      <w:r>
        <w:lastRenderedPageBreak/>
        <w:t>Overview</w:t>
      </w:r>
    </w:p>
    <w:p w14:paraId="0D0B789D" w14:textId="77777777" w:rsidR="00C90DA4" w:rsidRPr="00AB52C1" w:rsidRDefault="00C90DA4" w:rsidP="002215A6">
      <w:pPr>
        <w:pStyle w:val="Heading2"/>
      </w:pPr>
      <w:r w:rsidRPr="00AB52C1">
        <w:t>Objectives of the entity</w:t>
      </w:r>
    </w:p>
    <w:p w14:paraId="0C1ECFAB" w14:textId="250EDFDD" w:rsidR="00C90DA4" w:rsidRPr="00AB52C1" w:rsidRDefault="00C90DA4" w:rsidP="002215A6">
      <w:pPr>
        <w:pStyle w:val="BodyText"/>
      </w:pPr>
      <w:r w:rsidRPr="00AB52C1">
        <w:t xml:space="preserve">The Australian Commission on Safety and Quality in Health Care (the Commission) is an </w:t>
      </w:r>
      <w:r w:rsidR="0047700B">
        <w:br/>
      </w:r>
      <w:r w:rsidRPr="00AB52C1">
        <w:t xml:space="preserve">Australian Government controlled entity. It is a not-for-profit entity. The objective of the </w:t>
      </w:r>
      <w:r w:rsidR="0047700B">
        <w:br/>
      </w:r>
      <w:r w:rsidRPr="00AB52C1">
        <w:t>Commission is to lead and coordinate health care safety and quality improvements in Australia.</w:t>
      </w:r>
    </w:p>
    <w:p w14:paraId="1511822E" w14:textId="277F5316" w:rsidR="00C90DA4" w:rsidRPr="00AB52C1" w:rsidRDefault="00C90DA4" w:rsidP="002215A6">
      <w:pPr>
        <w:pStyle w:val="BodyText"/>
      </w:pPr>
      <w:r w:rsidRPr="00AB52C1">
        <w:t xml:space="preserve">Initially established in 2006 by the Australian, State and Territory governments to lead and </w:t>
      </w:r>
      <w:r w:rsidR="0047700B">
        <w:br/>
      </w:r>
      <w:r w:rsidRPr="00AB52C1">
        <w:t>coordinate national improvements in safety and quality, the Commission’s permanent status was</w:t>
      </w:r>
      <w:r w:rsidR="0047700B">
        <w:br/>
      </w:r>
      <w:r w:rsidRPr="00AB52C1">
        <w:t xml:space="preserve"> confirmed with the assent of the </w:t>
      </w:r>
      <w:r w:rsidR="00011CF0" w:rsidRPr="00011CF0">
        <w:rPr>
          <w:rStyle w:val="Emphasis"/>
        </w:rPr>
        <w:t xml:space="preserve">National Health Reform Act </w:t>
      </w:r>
      <w:r w:rsidRPr="00011CF0">
        <w:rPr>
          <w:rStyle w:val="Emphasis"/>
        </w:rPr>
        <w:t xml:space="preserve">2011 </w:t>
      </w:r>
      <w:r w:rsidRPr="00AB52C1">
        <w:t xml:space="preserve">(NHR Act). It is a </w:t>
      </w:r>
      <w:r w:rsidR="0047700B">
        <w:br/>
      </w:r>
      <w:r w:rsidRPr="00AB52C1">
        <w:t xml:space="preserve">Commonwealth Authority operating under the requirements of the </w:t>
      </w:r>
      <w:r w:rsidRPr="00011CF0">
        <w:rPr>
          <w:rStyle w:val="Emphasis"/>
        </w:rPr>
        <w:t xml:space="preserve">Public Governance, </w:t>
      </w:r>
      <w:r w:rsidR="0047700B">
        <w:rPr>
          <w:rStyle w:val="Emphasis"/>
        </w:rPr>
        <w:br/>
      </w:r>
      <w:r w:rsidRPr="00011CF0">
        <w:rPr>
          <w:rStyle w:val="Emphasis"/>
        </w:rPr>
        <w:t>Performance and Accountability Act 2013</w:t>
      </w:r>
      <w:r w:rsidRPr="00AB52C1">
        <w:t xml:space="preserve">. The Commission commenced as an independent, </w:t>
      </w:r>
      <w:r w:rsidR="0047700B">
        <w:br/>
      </w:r>
      <w:r w:rsidRPr="00AB52C1">
        <w:t xml:space="preserve">statutory authority on 1 July 2011, funded jointly by the Commonwealth, State and Territory </w:t>
      </w:r>
      <w:r w:rsidR="00426558">
        <w:br/>
      </w:r>
      <w:r w:rsidRPr="00AB52C1">
        <w:t>governments.</w:t>
      </w:r>
    </w:p>
    <w:p w14:paraId="5BBBD4E2" w14:textId="7E16A05A" w:rsidR="00C90DA4" w:rsidRPr="00011CF0" w:rsidRDefault="00C90DA4" w:rsidP="002215A6">
      <w:pPr>
        <w:pStyle w:val="BodyText"/>
        <w:rPr>
          <w:rStyle w:val="Emphasis"/>
        </w:rPr>
      </w:pPr>
      <w:r w:rsidRPr="00AB52C1">
        <w:t>The Commission is structured to meet a single outcome:</w:t>
      </w:r>
      <w:r w:rsidRPr="00AB52C1">
        <w:br/>
      </w:r>
      <w:r w:rsidRPr="00011CF0">
        <w:rPr>
          <w:rStyle w:val="Emphasis"/>
        </w:rPr>
        <w:t>To improve safety and quality in healthcare across the health system, including through the</w:t>
      </w:r>
      <w:r w:rsidR="0047700B">
        <w:rPr>
          <w:rStyle w:val="Emphasis"/>
        </w:rPr>
        <w:t xml:space="preserve"> </w:t>
      </w:r>
      <w:r w:rsidR="0047700B">
        <w:rPr>
          <w:rStyle w:val="Emphasis"/>
        </w:rPr>
        <w:br/>
      </w:r>
      <w:r w:rsidRPr="00011CF0">
        <w:rPr>
          <w:rStyle w:val="Emphasis"/>
        </w:rPr>
        <w:t>development, support for implementation, and monitoring of national clinical safety and quality</w:t>
      </w:r>
      <w:r w:rsidR="0047700B">
        <w:rPr>
          <w:rStyle w:val="Emphasis"/>
        </w:rPr>
        <w:t xml:space="preserve"> </w:t>
      </w:r>
      <w:r w:rsidR="0047700B">
        <w:rPr>
          <w:rStyle w:val="Emphasis"/>
        </w:rPr>
        <w:br/>
      </w:r>
      <w:r w:rsidRPr="00011CF0">
        <w:rPr>
          <w:rStyle w:val="Emphasis"/>
        </w:rPr>
        <w:t>guidelines and standards.</w:t>
      </w:r>
    </w:p>
    <w:p w14:paraId="4FE2C874" w14:textId="7561FD93" w:rsidR="00C90DA4" w:rsidRPr="00AB52C1" w:rsidRDefault="00C90DA4" w:rsidP="002215A6">
      <w:pPr>
        <w:pStyle w:val="BodyText"/>
      </w:pPr>
      <w:r w:rsidRPr="00AB52C1">
        <w:rPr>
          <w:iCs/>
        </w:rPr>
        <w:t xml:space="preserve">The continued existence of the Commission in its present form and with its present programmes </w:t>
      </w:r>
      <w:r w:rsidR="0047700B">
        <w:rPr>
          <w:iCs/>
        </w:rPr>
        <w:br/>
      </w:r>
      <w:r w:rsidRPr="00AB52C1">
        <w:rPr>
          <w:iCs/>
        </w:rPr>
        <w:t xml:space="preserve">is dependent on Government policy and on continued funding from Parliament for the </w:t>
      </w:r>
      <w:r w:rsidR="0047700B">
        <w:rPr>
          <w:iCs/>
        </w:rPr>
        <w:br/>
      </w:r>
      <w:r w:rsidRPr="00AB52C1">
        <w:rPr>
          <w:iCs/>
        </w:rPr>
        <w:t>Commission’s administration and programmes.</w:t>
      </w:r>
    </w:p>
    <w:p w14:paraId="4A30E8A0" w14:textId="77777777" w:rsidR="00C90DA4" w:rsidRPr="00AB52C1" w:rsidRDefault="00C90DA4" w:rsidP="002215A6">
      <w:pPr>
        <w:pStyle w:val="Heading3"/>
      </w:pPr>
      <w:r w:rsidRPr="00AB52C1">
        <w:t>Basis of Preparation of the Financial Statements</w:t>
      </w:r>
    </w:p>
    <w:p w14:paraId="51591DD6" w14:textId="4B49F254" w:rsidR="00C90DA4" w:rsidRPr="00AB52C1" w:rsidRDefault="00C90DA4" w:rsidP="002215A6">
      <w:pPr>
        <w:pStyle w:val="BodyText"/>
      </w:pPr>
      <w:r w:rsidRPr="00AB52C1">
        <w:t xml:space="preserve">The financial statements are general purpose financial statements and are required by </w:t>
      </w:r>
      <w:r w:rsidR="0047700B">
        <w:br/>
      </w:r>
      <w:r w:rsidRPr="00AB52C1">
        <w:t xml:space="preserve">section 42 of the </w:t>
      </w:r>
      <w:r w:rsidRPr="00011CF0">
        <w:rPr>
          <w:rStyle w:val="Emphasis"/>
        </w:rPr>
        <w:t>Public Governance, Performance and Accountability Act 2013</w:t>
      </w:r>
      <w:r w:rsidRPr="00AB52C1">
        <w:t>.</w:t>
      </w:r>
    </w:p>
    <w:p w14:paraId="62DA812B" w14:textId="77777777" w:rsidR="00C90DA4" w:rsidRPr="00AB52C1" w:rsidRDefault="00C90DA4" w:rsidP="002215A6">
      <w:pPr>
        <w:pStyle w:val="BodyText"/>
      </w:pPr>
      <w:r w:rsidRPr="00AB52C1">
        <w:t>The financial statements have been prepared in accordance with:</w:t>
      </w:r>
    </w:p>
    <w:p w14:paraId="739A3412" w14:textId="01C30AD6" w:rsidR="00C90DA4" w:rsidRPr="00AB52C1" w:rsidRDefault="00C90DA4" w:rsidP="002215A6">
      <w:pPr>
        <w:pStyle w:val="BodyText"/>
        <w:numPr>
          <w:ilvl w:val="0"/>
          <w:numId w:val="10"/>
        </w:numPr>
      </w:pPr>
      <w:r w:rsidRPr="003D3323">
        <w:rPr>
          <w:i/>
        </w:rPr>
        <w:t xml:space="preserve">Public Governance, Performance and Accountability (Financial Reporting) Rule 2015 </w:t>
      </w:r>
      <w:r w:rsidR="0047700B">
        <w:rPr>
          <w:i/>
        </w:rPr>
        <w:br/>
      </w:r>
      <w:r w:rsidRPr="003D3323">
        <w:rPr>
          <w:i/>
        </w:rPr>
        <w:t>(FRR)</w:t>
      </w:r>
      <w:r w:rsidRPr="00AB52C1">
        <w:t xml:space="preserve"> for reporting periods endin</w:t>
      </w:r>
      <w:r w:rsidR="00974D38">
        <w:t xml:space="preserve">g on or after 1 July 2015; and </w:t>
      </w:r>
    </w:p>
    <w:p w14:paraId="7DCC947D" w14:textId="4EC10F39" w:rsidR="00C90DA4" w:rsidRPr="00AB52C1" w:rsidRDefault="00C90DA4" w:rsidP="002215A6">
      <w:pPr>
        <w:pStyle w:val="BodyText"/>
        <w:numPr>
          <w:ilvl w:val="0"/>
          <w:numId w:val="10"/>
        </w:numPr>
      </w:pPr>
      <w:r w:rsidRPr="00AB52C1">
        <w:t>Australian Accounting Standards and Interpretations</w:t>
      </w:r>
      <w:r>
        <w:t xml:space="preserve"> – Reduced Reporting </w:t>
      </w:r>
      <w:r w:rsidR="0047700B">
        <w:br/>
      </w:r>
      <w:r>
        <w:t>Requirements</w:t>
      </w:r>
      <w:r w:rsidRPr="00AB52C1">
        <w:t xml:space="preserve"> issued by the Australian Accounting Standards Board (AASB) that apply </w:t>
      </w:r>
      <w:r w:rsidR="0047700B">
        <w:br/>
      </w:r>
      <w:r w:rsidRPr="00AB52C1">
        <w:t>for the reporting period.</w:t>
      </w:r>
      <w:r w:rsidRPr="00AB52C1">
        <w:tab/>
      </w:r>
    </w:p>
    <w:p w14:paraId="2C698CA7" w14:textId="32994B0C" w:rsidR="00C90DA4" w:rsidRPr="00AB52C1" w:rsidRDefault="00C90DA4" w:rsidP="002215A6">
      <w:pPr>
        <w:pStyle w:val="BodyText"/>
      </w:pPr>
      <w:r w:rsidRPr="00AB52C1">
        <w:t xml:space="preserve">The financial statements have been prepared on an accrual basis and in accordance with the </w:t>
      </w:r>
      <w:r w:rsidR="0047700B">
        <w:br/>
      </w:r>
      <w:r w:rsidRPr="00AB52C1">
        <w:t xml:space="preserve">historical cost convention, except for certain assets and liabilities at fair value. Except where </w:t>
      </w:r>
      <w:r w:rsidR="0047700B">
        <w:br/>
      </w:r>
      <w:r w:rsidRPr="00AB52C1">
        <w:t xml:space="preserve">stated, no allowance is made for the effect of changing prices on the results or the financial </w:t>
      </w:r>
      <w:r w:rsidR="0047700B">
        <w:br/>
      </w:r>
      <w:r w:rsidRPr="00AB52C1">
        <w:t>position. The financial statements are presented in Australian dollars.</w:t>
      </w:r>
    </w:p>
    <w:p w14:paraId="6845A547" w14:textId="77777777" w:rsidR="00195E07" w:rsidRDefault="00195E07">
      <w:pPr>
        <w:spacing w:after="160" w:line="259" w:lineRule="auto"/>
      </w:pPr>
      <w:r>
        <w:br w:type="page"/>
      </w:r>
    </w:p>
    <w:p w14:paraId="52E280FD" w14:textId="77777777" w:rsidR="00C90DA4" w:rsidRPr="00E95295" w:rsidRDefault="00C90DA4" w:rsidP="002215A6">
      <w:pPr>
        <w:pStyle w:val="Heading3"/>
      </w:pPr>
      <w:r w:rsidRPr="00E95295">
        <w:lastRenderedPageBreak/>
        <w:t>New Accounting Standards</w:t>
      </w:r>
    </w:p>
    <w:p w14:paraId="567B4ED6" w14:textId="76E4D7F6" w:rsidR="00C90DA4" w:rsidRPr="00E95295" w:rsidRDefault="00C90DA4" w:rsidP="002215A6">
      <w:pPr>
        <w:pStyle w:val="BodyText"/>
      </w:pPr>
      <w:r w:rsidRPr="0097713E">
        <w:t xml:space="preserve">All </w:t>
      </w:r>
      <w:r w:rsidRPr="00DE2710">
        <w:t>new/revised/amending standards and/or interpretations</w:t>
      </w:r>
      <w:r>
        <w:t xml:space="preserve"> that were issued prior to the sign-off date </w:t>
      </w:r>
      <w:r w:rsidR="00974D38">
        <w:br/>
      </w:r>
      <w:r>
        <w:t xml:space="preserve">and are applicable to the current reporting period did not have a material effect on the </w:t>
      </w:r>
      <w:r w:rsidR="00974D38">
        <w:br/>
      </w:r>
      <w:r>
        <w:t>Commission’s financial statements.</w:t>
      </w:r>
    </w:p>
    <w:p w14:paraId="538C5B48" w14:textId="77777777" w:rsidR="00C90DA4" w:rsidRPr="00AB52C1" w:rsidRDefault="00C90DA4" w:rsidP="002215A6">
      <w:pPr>
        <w:pStyle w:val="Heading3"/>
      </w:pPr>
      <w:r w:rsidRPr="00AB52C1">
        <w:t>Taxation</w:t>
      </w:r>
    </w:p>
    <w:p w14:paraId="4A96B671" w14:textId="088A29FE" w:rsidR="00C90DA4" w:rsidRPr="00AB52C1" w:rsidRDefault="00C90DA4" w:rsidP="002215A6">
      <w:pPr>
        <w:pStyle w:val="BodyText"/>
      </w:pPr>
      <w:r w:rsidRPr="00AB52C1">
        <w:t xml:space="preserve">The Commission is exempt from all forms of taxation, except for Fringe Benefits Tax (FBT) and </w:t>
      </w:r>
      <w:r w:rsidR="00CA582A">
        <w:br/>
      </w:r>
      <w:r w:rsidRPr="00AB52C1">
        <w:t>the Goods and Services Tax (GST).</w:t>
      </w:r>
    </w:p>
    <w:p w14:paraId="12E1EC5D" w14:textId="77777777" w:rsidR="00C90DA4" w:rsidRDefault="00C90DA4" w:rsidP="002215A6">
      <w:pPr>
        <w:pStyle w:val="Heading3"/>
      </w:pPr>
      <w:r>
        <w:t>Budget Variances Commentary</w:t>
      </w:r>
    </w:p>
    <w:p w14:paraId="00356110" w14:textId="2A6661CA" w:rsidR="00C90DA4" w:rsidRDefault="00C90DA4" w:rsidP="002215A6">
      <w:pPr>
        <w:pStyle w:val="BodyText"/>
      </w:pPr>
      <w:r w:rsidRPr="00602D12">
        <w:t xml:space="preserve">The primary statements include </w:t>
      </w:r>
      <w:r>
        <w:t>commentary on</w:t>
      </w:r>
      <w:r w:rsidRPr="00602D12">
        <w:t xml:space="preserve"> comparison</w:t>
      </w:r>
      <w:r>
        <w:t>s between the original 2017 budget</w:t>
      </w:r>
      <w:r w:rsidRPr="00602D12">
        <w:t xml:space="preserve"> </w:t>
      </w:r>
      <w:r w:rsidR="00CA582A">
        <w:br/>
      </w:r>
      <w:r w:rsidRPr="00602D12">
        <w:t>as presented in the 201</w:t>
      </w:r>
      <w:r>
        <w:t>6-17</w:t>
      </w:r>
      <w:r w:rsidRPr="00602D12">
        <w:t xml:space="preserve"> Portfolio Budget Statement</w:t>
      </w:r>
      <w:r>
        <w:t>s (PBS) to the Commission’s 2016-17</w:t>
      </w:r>
      <w:r w:rsidRPr="00602D12">
        <w:t xml:space="preserve"> </w:t>
      </w:r>
      <w:r w:rsidR="00CA582A">
        <w:br/>
      </w:r>
      <w:r w:rsidRPr="00602D12">
        <w:t xml:space="preserve">financial outcome in accordance with Australian Accounting Standards. The budget has not been </w:t>
      </w:r>
      <w:r w:rsidR="00CA582A">
        <w:br/>
      </w:r>
      <w:r w:rsidRPr="00602D12">
        <w:t>subject to audit</w:t>
      </w:r>
      <w:r w:rsidR="007B2B86">
        <w:t>.</w:t>
      </w:r>
    </w:p>
    <w:p w14:paraId="1AD95BE9" w14:textId="77777777" w:rsidR="00195E07" w:rsidRDefault="00195E07">
      <w:pPr>
        <w:spacing w:after="160" w:line="259" w:lineRule="auto"/>
      </w:pPr>
      <w:r>
        <w:br w:type="page"/>
      </w:r>
    </w:p>
    <w:p w14:paraId="1FA7BCDC" w14:textId="77777777" w:rsidR="00C90DA4" w:rsidRPr="00BE7C8D" w:rsidRDefault="00C90DA4" w:rsidP="002215A6">
      <w:pPr>
        <w:pStyle w:val="Heading2"/>
      </w:pPr>
      <w:r w:rsidRPr="00EF0EF1">
        <w:lastRenderedPageBreak/>
        <w:t>1 Financial Performance</w:t>
      </w:r>
    </w:p>
    <w:tbl>
      <w:tblPr>
        <w:tblW w:w="5000" w:type="pct"/>
        <w:tblLook w:val="0000" w:firstRow="0" w:lastRow="0" w:firstColumn="0" w:lastColumn="0" w:noHBand="0" w:noVBand="0"/>
        <w:tblCaption w:val="1 Financial Performance"/>
      </w:tblPr>
      <w:tblGrid>
        <w:gridCol w:w="6707"/>
        <w:gridCol w:w="807"/>
        <w:gridCol w:w="980"/>
      </w:tblGrid>
      <w:tr w:rsidR="00C90DA4" w:rsidRPr="00C05614" w14:paraId="736CFBE3" w14:textId="77777777" w:rsidTr="002215A6">
        <w:trPr>
          <w:trHeight w:val="255"/>
        </w:trPr>
        <w:tc>
          <w:tcPr>
            <w:tcW w:w="3948" w:type="pct"/>
            <w:tcBorders>
              <w:top w:val="nil"/>
              <w:left w:val="nil"/>
              <w:bottom w:val="nil"/>
              <w:right w:val="nil"/>
            </w:tcBorders>
            <w:shd w:val="clear" w:color="auto" w:fill="FFFFFF"/>
          </w:tcPr>
          <w:p w14:paraId="0105032A" w14:textId="77777777" w:rsidR="00C90DA4" w:rsidRPr="00C05614" w:rsidRDefault="00C90DA4" w:rsidP="00C90DA4">
            <w:pPr>
              <w:rPr>
                <w:szCs w:val="18"/>
                <w:lang w:val="en-US"/>
              </w:rPr>
            </w:pPr>
            <w:r w:rsidRPr="00C05614">
              <w:rPr>
                <w:szCs w:val="18"/>
                <w:lang w:val="en-US"/>
              </w:rPr>
              <w:t> </w:t>
            </w:r>
          </w:p>
        </w:tc>
        <w:tc>
          <w:tcPr>
            <w:tcW w:w="475" w:type="pct"/>
            <w:tcBorders>
              <w:top w:val="nil"/>
              <w:left w:val="nil"/>
              <w:bottom w:val="nil"/>
              <w:right w:val="nil"/>
            </w:tcBorders>
            <w:shd w:val="clear" w:color="auto" w:fill="FFFFFF"/>
            <w:vAlign w:val="bottom"/>
          </w:tcPr>
          <w:p w14:paraId="3857216C" w14:textId="77777777" w:rsidR="00C90DA4" w:rsidRPr="00C05614" w:rsidRDefault="00C90DA4" w:rsidP="00C90DA4">
            <w:pPr>
              <w:jc w:val="right"/>
              <w:rPr>
                <w:b/>
                <w:bCs/>
                <w:szCs w:val="18"/>
                <w:lang w:val="en-US"/>
              </w:rPr>
            </w:pPr>
            <w:r>
              <w:rPr>
                <w:b/>
                <w:bCs/>
                <w:szCs w:val="18"/>
                <w:lang w:val="en-US"/>
              </w:rPr>
              <w:t>2017</w:t>
            </w:r>
          </w:p>
        </w:tc>
        <w:tc>
          <w:tcPr>
            <w:tcW w:w="577" w:type="pct"/>
            <w:tcBorders>
              <w:top w:val="nil"/>
              <w:left w:val="nil"/>
              <w:bottom w:val="nil"/>
              <w:right w:val="nil"/>
            </w:tcBorders>
            <w:shd w:val="clear" w:color="auto" w:fill="FFFFFF"/>
            <w:vAlign w:val="bottom"/>
          </w:tcPr>
          <w:p w14:paraId="01AA0ACD" w14:textId="77777777" w:rsidR="00C90DA4" w:rsidRPr="00C05614" w:rsidRDefault="00C90DA4" w:rsidP="00C90DA4">
            <w:pPr>
              <w:jc w:val="right"/>
              <w:rPr>
                <w:bCs/>
                <w:szCs w:val="18"/>
                <w:lang w:val="en-US"/>
              </w:rPr>
            </w:pPr>
            <w:r>
              <w:rPr>
                <w:bCs/>
                <w:szCs w:val="18"/>
                <w:lang w:val="en-US"/>
              </w:rPr>
              <w:t>2016</w:t>
            </w:r>
          </w:p>
        </w:tc>
      </w:tr>
      <w:tr w:rsidR="00C90DA4" w:rsidRPr="00C05614" w14:paraId="4410D436" w14:textId="77777777" w:rsidTr="002215A6">
        <w:trPr>
          <w:trHeight w:val="255"/>
        </w:trPr>
        <w:tc>
          <w:tcPr>
            <w:tcW w:w="3948" w:type="pct"/>
            <w:tcBorders>
              <w:top w:val="nil"/>
              <w:left w:val="nil"/>
              <w:bottom w:val="nil"/>
              <w:right w:val="nil"/>
            </w:tcBorders>
            <w:shd w:val="clear" w:color="auto" w:fill="FFFFFF"/>
          </w:tcPr>
          <w:p w14:paraId="3708341E" w14:textId="77777777" w:rsidR="00C90DA4" w:rsidRPr="00C05614" w:rsidRDefault="00C90DA4" w:rsidP="00C90DA4">
            <w:pPr>
              <w:rPr>
                <w:szCs w:val="18"/>
                <w:lang w:val="en-US"/>
              </w:rPr>
            </w:pPr>
            <w:r w:rsidRPr="00C05614">
              <w:rPr>
                <w:szCs w:val="18"/>
                <w:lang w:val="en-US"/>
              </w:rPr>
              <w:t> </w:t>
            </w:r>
          </w:p>
        </w:tc>
        <w:tc>
          <w:tcPr>
            <w:tcW w:w="475" w:type="pct"/>
            <w:tcBorders>
              <w:top w:val="nil"/>
              <w:left w:val="nil"/>
              <w:bottom w:val="nil"/>
              <w:right w:val="nil"/>
            </w:tcBorders>
            <w:shd w:val="clear" w:color="auto" w:fill="FFFFFF"/>
            <w:vAlign w:val="bottom"/>
          </w:tcPr>
          <w:p w14:paraId="50C443A1" w14:textId="77777777" w:rsidR="00C90DA4" w:rsidRPr="00C05614" w:rsidRDefault="00C90DA4" w:rsidP="00C90DA4">
            <w:pPr>
              <w:jc w:val="right"/>
              <w:rPr>
                <w:b/>
                <w:bCs/>
                <w:szCs w:val="18"/>
                <w:lang w:val="en-US"/>
              </w:rPr>
            </w:pPr>
            <w:r w:rsidRPr="00C05614">
              <w:rPr>
                <w:b/>
                <w:bCs/>
                <w:szCs w:val="18"/>
                <w:lang w:val="en-US"/>
              </w:rPr>
              <w:t>$’000</w:t>
            </w:r>
          </w:p>
        </w:tc>
        <w:tc>
          <w:tcPr>
            <w:tcW w:w="577" w:type="pct"/>
            <w:tcBorders>
              <w:top w:val="nil"/>
              <w:left w:val="nil"/>
              <w:bottom w:val="nil"/>
              <w:right w:val="nil"/>
            </w:tcBorders>
            <w:shd w:val="clear" w:color="auto" w:fill="FFFFFF"/>
            <w:vAlign w:val="bottom"/>
          </w:tcPr>
          <w:p w14:paraId="14636470" w14:textId="77777777" w:rsidR="00C90DA4" w:rsidRPr="00C05614" w:rsidRDefault="00C90DA4" w:rsidP="00C90DA4">
            <w:pPr>
              <w:jc w:val="right"/>
              <w:rPr>
                <w:bCs/>
                <w:szCs w:val="18"/>
                <w:lang w:val="en-US"/>
              </w:rPr>
            </w:pPr>
            <w:r w:rsidRPr="00C05614">
              <w:rPr>
                <w:bCs/>
                <w:szCs w:val="18"/>
                <w:lang w:val="en-US"/>
              </w:rPr>
              <w:t>$’000</w:t>
            </w:r>
          </w:p>
        </w:tc>
      </w:tr>
      <w:tr w:rsidR="00C90DA4" w:rsidRPr="00C05614" w14:paraId="65FC94E9" w14:textId="77777777" w:rsidTr="002215A6">
        <w:trPr>
          <w:trHeight w:val="422"/>
        </w:trPr>
        <w:tc>
          <w:tcPr>
            <w:tcW w:w="3948" w:type="pct"/>
            <w:tcBorders>
              <w:top w:val="nil"/>
              <w:left w:val="nil"/>
              <w:bottom w:val="nil"/>
              <w:right w:val="nil"/>
            </w:tcBorders>
            <w:shd w:val="clear" w:color="auto" w:fill="FFFFFF"/>
          </w:tcPr>
          <w:p w14:paraId="54A9E5F2" w14:textId="77777777" w:rsidR="00C90DA4" w:rsidRPr="00817C50" w:rsidRDefault="00C90DA4" w:rsidP="002215A6">
            <w:pPr>
              <w:pStyle w:val="Heading3"/>
              <w:rPr>
                <w:sz w:val="24"/>
                <w:szCs w:val="24"/>
                <w:lang w:val="en-US"/>
              </w:rPr>
            </w:pPr>
            <w:r w:rsidRPr="00817C50">
              <w:rPr>
                <w:sz w:val="24"/>
                <w:szCs w:val="24"/>
              </w:rPr>
              <w:t>1.1 Expenses</w:t>
            </w:r>
          </w:p>
        </w:tc>
        <w:tc>
          <w:tcPr>
            <w:tcW w:w="475" w:type="pct"/>
            <w:tcBorders>
              <w:top w:val="nil"/>
              <w:left w:val="nil"/>
              <w:bottom w:val="nil"/>
              <w:right w:val="nil"/>
            </w:tcBorders>
            <w:shd w:val="clear" w:color="auto" w:fill="FFFFFF"/>
            <w:vAlign w:val="bottom"/>
          </w:tcPr>
          <w:p w14:paraId="14E755F3" w14:textId="77777777" w:rsidR="00C90DA4" w:rsidRPr="00C05614" w:rsidRDefault="00C90DA4" w:rsidP="00C90DA4">
            <w:pPr>
              <w:jc w:val="right"/>
              <w:rPr>
                <w:szCs w:val="18"/>
                <w:u w:val="single"/>
                <w:lang w:val="en-US"/>
              </w:rPr>
            </w:pPr>
          </w:p>
        </w:tc>
        <w:tc>
          <w:tcPr>
            <w:tcW w:w="577" w:type="pct"/>
            <w:tcBorders>
              <w:top w:val="nil"/>
              <w:left w:val="nil"/>
              <w:bottom w:val="nil"/>
              <w:right w:val="nil"/>
            </w:tcBorders>
            <w:shd w:val="clear" w:color="auto" w:fill="FFFFFF"/>
            <w:vAlign w:val="bottom"/>
          </w:tcPr>
          <w:p w14:paraId="09D90760" w14:textId="77777777" w:rsidR="00C90DA4" w:rsidRPr="00C05614" w:rsidRDefault="00C90DA4" w:rsidP="00C90DA4">
            <w:pPr>
              <w:jc w:val="right"/>
              <w:rPr>
                <w:szCs w:val="18"/>
                <w:u w:val="single"/>
                <w:lang w:val="en-US"/>
              </w:rPr>
            </w:pPr>
          </w:p>
        </w:tc>
      </w:tr>
      <w:tr w:rsidR="00C90DA4" w:rsidRPr="00C05614" w14:paraId="047397ED" w14:textId="77777777" w:rsidTr="002215A6">
        <w:trPr>
          <w:trHeight w:val="422"/>
        </w:trPr>
        <w:tc>
          <w:tcPr>
            <w:tcW w:w="3948" w:type="pct"/>
            <w:tcBorders>
              <w:top w:val="nil"/>
              <w:left w:val="nil"/>
              <w:bottom w:val="nil"/>
              <w:right w:val="nil"/>
            </w:tcBorders>
            <w:shd w:val="clear" w:color="auto" w:fill="FFFFFF"/>
            <w:vAlign w:val="center"/>
          </w:tcPr>
          <w:p w14:paraId="25E9A0D6" w14:textId="77777777" w:rsidR="00C90DA4" w:rsidRPr="00817C50" w:rsidRDefault="00C90DA4" w:rsidP="002215A6">
            <w:pPr>
              <w:pStyle w:val="Heading4"/>
              <w:rPr>
                <w:sz w:val="21"/>
                <w:szCs w:val="21"/>
                <w:lang w:val="en-US"/>
              </w:rPr>
            </w:pPr>
            <w:bookmarkStart w:id="1" w:name="RANGE!D5"/>
            <w:r w:rsidRPr="00817C50">
              <w:rPr>
                <w:sz w:val="21"/>
                <w:szCs w:val="21"/>
                <w:lang w:val="en-US"/>
              </w:rPr>
              <w:t xml:space="preserve">1.1A: Employee </w:t>
            </w:r>
            <w:r w:rsidRPr="00817C50">
              <w:rPr>
                <w:sz w:val="21"/>
                <w:szCs w:val="21"/>
              </w:rPr>
              <w:t>Benefits</w:t>
            </w:r>
            <w:bookmarkEnd w:id="1"/>
          </w:p>
        </w:tc>
        <w:tc>
          <w:tcPr>
            <w:tcW w:w="475" w:type="pct"/>
            <w:tcBorders>
              <w:top w:val="nil"/>
              <w:left w:val="nil"/>
              <w:bottom w:val="nil"/>
              <w:right w:val="nil"/>
            </w:tcBorders>
            <w:shd w:val="clear" w:color="auto" w:fill="FFFFFF"/>
            <w:vAlign w:val="bottom"/>
          </w:tcPr>
          <w:p w14:paraId="0ECC04B1" w14:textId="77777777" w:rsidR="00C90DA4" w:rsidRPr="00C05614" w:rsidRDefault="00C90DA4" w:rsidP="00C90DA4">
            <w:pPr>
              <w:jc w:val="right"/>
              <w:rPr>
                <w:szCs w:val="18"/>
                <w:u w:val="single"/>
                <w:lang w:val="en-US"/>
              </w:rPr>
            </w:pPr>
          </w:p>
        </w:tc>
        <w:tc>
          <w:tcPr>
            <w:tcW w:w="577" w:type="pct"/>
            <w:tcBorders>
              <w:top w:val="nil"/>
              <w:left w:val="nil"/>
              <w:bottom w:val="nil"/>
              <w:right w:val="nil"/>
            </w:tcBorders>
            <w:shd w:val="clear" w:color="auto" w:fill="FFFFFF"/>
            <w:vAlign w:val="bottom"/>
          </w:tcPr>
          <w:p w14:paraId="43DCB0B3" w14:textId="77777777" w:rsidR="00C90DA4" w:rsidRPr="00C05614" w:rsidRDefault="00C90DA4" w:rsidP="00C90DA4">
            <w:pPr>
              <w:jc w:val="right"/>
              <w:rPr>
                <w:szCs w:val="18"/>
                <w:u w:val="single"/>
                <w:lang w:val="en-US"/>
              </w:rPr>
            </w:pPr>
          </w:p>
        </w:tc>
      </w:tr>
      <w:tr w:rsidR="00C90DA4" w:rsidRPr="00C05614" w14:paraId="6C1D2B95" w14:textId="77777777" w:rsidTr="002215A6">
        <w:trPr>
          <w:trHeight w:val="255"/>
        </w:trPr>
        <w:tc>
          <w:tcPr>
            <w:tcW w:w="3948" w:type="pct"/>
            <w:tcBorders>
              <w:top w:val="nil"/>
              <w:left w:val="nil"/>
              <w:bottom w:val="nil"/>
              <w:right w:val="nil"/>
            </w:tcBorders>
            <w:shd w:val="clear" w:color="auto" w:fill="FFFFFF"/>
          </w:tcPr>
          <w:p w14:paraId="61980ADB" w14:textId="77777777" w:rsidR="00C90DA4" w:rsidRPr="00C05614" w:rsidRDefault="00C90DA4" w:rsidP="00C90DA4">
            <w:pPr>
              <w:rPr>
                <w:szCs w:val="18"/>
                <w:lang w:val="en-US"/>
              </w:rPr>
            </w:pPr>
            <w:r w:rsidRPr="00C05614">
              <w:rPr>
                <w:szCs w:val="18"/>
                <w:lang w:val="en-US"/>
              </w:rPr>
              <w:t>Wages and salaries</w:t>
            </w:r>
          </w:p>
        </w:tc>
        <w:tc>
          <w:tcPr>
            <w:tcW w:w="475" w:type="pct"/>
            <w:tcBorders>
              <w:top w:val="nil"/>
              <w:left w:val="nil"/>
              <w:bottom w:val="nil"/>
              <w:right w:val="nil"/>
            </w:tcBorders>
            <w:shd w:val="clear" w:color="auto" w:fill="FFFFFF"/>
            <w:vAlign w:val="bottom"/>
          </w:tcPr>
          <w:p w14:paraId="20E55066" w14:textId="77777777" w:rsidR="00C90DA4" w:rsidRPr="00C05614" w:rsidRDefault="00C90DA4" w:rsidP="00C90DA4">
            <w:pPr>
              <w:jc w:val="right"/>
              <w:rPr>
                <w:b/>
                <w:bCs/>
                <w:szCs w:val="18"/>
                <w:lang w:val="en-US"/>
              </w:rPr>
            </w:pPr>
            <w:r>
              <w:rPr>
                <w:b/>
                <w:bCs/>
                <w:szCs w:val="18"/>
                <w:lang w:val="en-US"/>
              </w:rPr>
              <w:t>9,076</w:t>
            </w:r>
            <w:r w:rsidRPr="00285EE1">
              <w:rPr>
                <w:b/>
                <w:bCs/>
                <w:szCs w:val="18"/>
                <w:lang w:val="en-US"/>
              </w:rPr>
              <w:t xml:space="preserve"> </w:t>
            </w:r>
          </w:p>
        </w:tc>
        <w:tc>
          <w:tcPr>
            <w:tcW w:w="577" w:type="pct"/>
            <w:tcBorders>
              <w:top w:val="nil"/>
              <w:left w:val="nil"/>
              <w:bottom w:val="nil"/>
              <w:right w:val="nil"/>
            </w:tcBorders>
            <w:shd w:val="clear" w:color="auto" w:fill="FFFFFF"/>
            <w:noWrap/>
            <w:vAlign w:val="bottom"/>
          </w:tcPr>
          <w:p w14:paraId="184A0E8E" w14:textId="77777777" w:rsidR="00C90DA4" w:rsidRPr="00B6422B" w:rsidRDefault="00C90DA4" w:rsidP="00C90DA4">
            <w:pPr>
              <w:jc w:val="right"/>
              <w:rPr>
                <w:bCs/>
                <w:szCs w:val="18"/>
                <w:lang w:val="en-US"/>
              </w:rPr>
            </w:pPr>
            <w:r w:rsidRPr="00B6422B">
              <w:rPr>
                <w:bCs/>
                <w:szCs w:val="18"/>
                <w:lang w:val="en-US"/>
              </w:rPr>
              <w:t xml:space="preserve">9,020 </w:t>
            </w:r>
          </w:p>
        </w:tc>
      </w:tr>
      <w:tr w:rsidR="00C90DA4" w:rsidRPr="00C05614" w14:paraId="6A567D62" w14:textId="77777777" w:rsidTr="002215A6">
        <w:trPr>
          <w:trHeight w:val="255"/>
        </w:trPr>
        <w:tc>
          <w:tcPr>
            <w:tcW w:w="3948" w:type="pct"/>
            <w:tcBorders>
              <w:top w:val="nil"/>
              <w:left w:val="nil"/>
              <w:bottom w:val="nil"/>
              <w:right w:val="nil"/>
            </w:tcBorders>
            <w:shd w:val="clear" w:color="auto" w:fill="FFFFFF"/>
          </w:tcPr>
          <w:p w14:paraId="361DF6B4" w14:textId="77777777" w:rsidR="00C90DA4" w:rsidRPr="00C05614" w:rsidRDefault="00C90DA4" w:rsidP="00C90DA4">
            <w:pPr>
              <w:rPr>
                <w:szCs w:val="18"/>
                <w:lang w:val="en-US"/>
              </w:rPr>
            </w:pPr>
            <w:r w:rsidRPr="00C05614">
              <w:rPr>
                <w:szCs w:val="18"/>
                <w:lang w:val="en-US"/>
              </w:rPr>
              <w:t>Superannuation:</w:t>
            </w:r>
          </w:p>
        </w:tc>
        <w:tc>
          <w:tcPr>
            <w:tcW w:w="475" w:type="pct"/>
            <w:tcBorders>
              <w:top w:val="nil"/>
              <w:left w:val="nil"/>
              <w:bottom w:val="nil"/>
              <w:right w:val="nil"/>
            </w:tcBorders>
            <w:shd w:val="clear" w:color="auto" w:fill="FFFFFF"/>
            <w:vAlign w:val="bottom"/>
          </w:tcPr>
          <w:p w14:paraId="368E2FBB" w14:textId="77777777" w:rsidR="00C90DA4" w:rsidRPr="00C05614" w:rsidRDefault="00C90DA4" w:rsidP="00C90DA4">
            <w:pPr>
              <w:jc w:val="right"/>
              <w:rPr>
                <w:b/>
                <w:bCs/>
                <w:szCs w:val="18"/>
                <w:lang w:val="en-US"/>
              </w:rPr>
            </w:pPr>
          </w:p>
        </w:tc>
        <w:tc>
          <w:tcPr>
            <w:tcW w:w="577" w:type="pct"/>
            <w:tcBorders>
              <w:top w:val="nil"/>
              <w:left w:val="nil"/>
              <w:bottom w:val="nil"/>
              <w:right w:val="nil"/>
            </w:tcBorders>
            <w:shd w:val="clear" w:color="auto" w:fill="FFFFFF"/>
            <w:noWrap/>
            <w:vAlign w:val="bottom"/>
          </w:tcPr>
          <w:p w14:paraId="07C9F8B2" w14:textId="77777777" w:rsidR="00C90DA4" w:rsidRPr="00B6422B" w:rsidRDefault="00C90DA4" w:rsidP="00C90DA4">
            <w:pPr>
              <w:jc w:val="right"/>
              <w:rPr>
                <w:bCs/>
                <w:szCs w:val="18"/>
                <w:lang w:val="en-US"/>
              </w:rPr>
            </w:pPr>
          </w:p>
        </w:tc>
      </w:tr>
      <w:tr w:rsidR="00C90DA4" w:rsidRPr="00C05614" w14:paraId="01BDC3EC" w14:textId="77777777" w:rsidTr="002215A6">
        <w:trPr>
          <w:trHeight w:val="255"/>
        </w:trPr>
        <w:tc>
          <w:tcPr>
            <w:tcW w:w="3948" w:type="pct"/>
            <w:tcBorders>
              <w:top w:val="nil"/>
              <w:left w:val="nil"/>
              <w:bottom w:val="nil"/>
              <w:right w:val="nil"/>
            </w:tcBorders>
            <w:shd w:val="clear" w:color="auto" w:fill="FFFFFF"/>
          </w:tcPr>
          <w:p w14:paraId="131505B3" w14:textId="77777777" w:rsidR="00C90DA4" w:rsidRPr="00C05614" w:rsidRDefault="00C90DA4" w:rsidP="00C90DA4">
            <w:pPr>
              <w:ind w:firstLineChars="200" w:firstLine="360"/>
              <w:rPr>
                <w:szCs w:val="18"/>
                <w:lang w:val="en-US"/>
              </w:rPr>
            </w:pPr>
            <w:r w:rsidRPr="00C05614">
              <w:rPr>
                <w:szCs w:val="18"/>
                <w:lang w:val="en-US"/>
              </w:rPr>
              <w:t>Defined contribution plans</w:t>
            </w:r>
          </w:p>
        </w:tc>
        <w:tc>
          <w:tcPr>
            <w:tcW w:w="475" w:type="pct"/>
            <w:tcBorders>
              <w:top w:val="nil"/>
              <w:left w:val="nil"/>
              <w:bottom w:val="nil"/>
              <w:right w:val="nil"/>
            </w:tcBorders>
            <w:shd w:val="clear" w:color="auto" w:fill="FFFFFF"/>
            <w:vAlign w:val="bottom"/>
          </w:tcPr>
          <w:p w14:paraId="2888697D" w14:textId="77777777" w:rsidR="00C90DA4" w:rsidRPr="00C05614" w:rsidRDefault="00C90DA4" w:rsidP="00C90DA4">
            <w:pPr>
              <w:jc w:val="right"/>
              <w:rPr>
                <w:b/>
                <w:bCs/>
                <w:szCs w:val="18"/>
                <w:lang w:val="en-US"/>
              </w:rPr>
            </w:pPr>
            <w:r>
              <w:rPr>
                <w:b/>
                <w:bCs/>
                <w:szCs w:val="18"/>
                <w:lang w:val="en-US"/>
              </w:rPr>
              <w:t>1,363</w:t>
            </w:r>
            <w:r w:rsidRPr="00285EE1">
              <w:rPr>
                <w:b/>
                <w:bCs/>
                <w:szCs w:val="18"/>
                <w:lang w:val="en-US"/>
              </w:rPr>
              <w:t xml:space="preserve"> </w:t>
            </w:r>
          </w:p>
        </w:tc>
        <w:tc>
          <w:tcPr>
            <w:tcW w:w="577" w:type="pct"/>
            <w:tcBorders>
              <w:top w:val="nil"/>
              <w:left w:val="nil"/>
              <w:bottom w:val="nil"/>
              <w:right w:val="nil"/>
            </w:tcBorders>
            <w:shd w:val="clear" w:color="auto" w:fill="FFFFFF"/>
            <w:noWrap/>
            <w:vAlign w:val="bottom"/>
          </w:tcPr>
          <w:p w14:paraId="1443A280" w14:textId="77777777" w:rsidR="00C90DA4" w:rsidRPr="00B6422B" w:rsidRDefault="00C90DA4" w:rsidP="00C90DA4">
            <w:pPr>
              <w:jc w:val="right"/>
              <w:rPr>
                <w:bCs/>
                <w:szCs w:val="18"/>
                <w:lang w:val="en-US"/>
              </w:rPr>
            </w:pPr>
            <w:r w:rsidRPr="00B6422B">
              <w:rPr>
                <w:bCs/>
                <w:szCs w:val="18"/>
                <w:lang w:val="en-US"/>
              </w:rPr>
              <w:t xml:space="preserve">1,371 </w:t>
            </w:r>
          </w:p>
        </w:tc>
      </w:tr>
      <w:tr w:rsidR="00C90DA4" w:rsidRPr="00C05614" w14:paraId="11280137" w14:textId="77777777" w:rsidTr="002215A6">
        <w:trPr>
          <w:trHeight w:val="255"/>
        </w:trPr>
        <w:tc>
          <w:tcPr>
            <w:tcW w:w="3948" w:type="pct"/>
            <w:tcBorders>
              <w:top w:val="nil"/>
              <w:left w:val="nil"/>
              <w:bottom w:val="nil"/>
              <w:right w:val="nil"/>
            </w:tcBorders>
            <w:shd w:val="clear" w:color="auto" w:fill="FFFFFF"/>
          </w:tcPr>
          <w:p w14:paraId="6811E9C8" w14:textId="77777777" w:rsidR="00C90DA4" w:rsidRPr="00C05614" w:rsidRDefault="00C90DA4" w:rsidP="00C90DA4">
            <w:pPr>
              <w:ind w:firstLineChars="200" w:firstLine="360"/>
              <w:rPr>
                <w:szCs w:val="18"/>
                <w:lang w:val="en-US"/>
              </w:rPr>
            </w:pPr>
            <w:r w:rsidRPr="00C05614">
              <w:rPr>
                <w:szCs w:val="18"/>
                <w:lang w:val="en-US"/>
              </w:rPr>
              <w:t>Defined benefit plans</w:t>
            </w:r>
          </w:p>
        </w:tc>
        <w:tc>
          <w:tcPr>
            <w:tcW w:w="475" w:type="pct"/>
            <w:tcBorders>
              <w:top w:val="nil"/>
              <w:left w:val="nil"/>
              <w:bottom w:val="nil"/>
              <w:right w:val="nil"/>
            </w:tcBorders>
            <w:shd w:val="clear" w:color="auto" w:fill="FFFFFF"/>
            <w:vAlign w:val="bottom"/>
          </w:tcPr>
          <w:p w14:paraId="12428E94" w14:textId="77777777" w:rsidR="00C90DA4" w:rsidRPr="00C05614" w:rsidRDefault="00C90DA4" w:rsidP="00C90DA4">
            <w:pPr>
              <w:jc w:val="right"/>
              <w:rPr>
                <w:b/>
                <w:bCs/>
                <w:szCs w:val="18"/>
                <w:lang w:val="en-US"/>
              </w:rPr>
            </w:pPr>
            <w:r>
              <w:rPr>
                <w:b/>
                <w:bCs/>
                <w:szCs w:val="18"/>
                <w:lang w:val="en-US"/>
              </w:rPr>
              <w:t>259</w:t>
            </w:r>
            <w:r w:rsidRPr="00285EE1">
              <w:rPr>
                <w:b/>
                <w:bCs/>
                <w:szCs w:val="18"/>
                <w:lang w:val="en-US"/>
              </w:rPr>
              <w:t xml:space="preserve"> </w:t>
            </w:r>
          </w:p>
        </w:tc>
        <w:tc>
          <w:tcPr>
            <w:tcW w:w="577" w:type="pct"/>
            <w:tcBorders>
              <w:top w:val="nil"/>
              <w:left w:val="nil"/>
              <w:bottom w:val="nil"/>
              <w:right w:val="nil"/>
            </w:tcBorders>
            <w:shd w:val="clear" w:color="auto" w:fill="FFFFFF"/>
            <w:noWrap/>
            <w:vAlign w:val="bottom"/>
          </w:tcPr>
          <w:p w14:paraId="1E6483FB" w14:textId="77777777" w:rsidR="00C90DA4" w:rsidRPr="00B6422B" w:rsidRDefault="00C90DA4" w:rsidP="00C90DA4">
            <w:pPr>
              <w:jc w:val="right"/>
              <w:rPr>
                <w:bCs/>
                <w:szCs w:val="18"/>
                <w:lang w:val="en-US"/>
              </w:rPr>
            </w:pPr>
            <w:r w:rsidRPr="00B6422B">
              <w:rPr>
                <w:bCs/>
                <w:szCs w:val="18"/>
                <w:lang w:val="en-US"/>
              </w:rPr>
              <w:t xml:space="preserve">241 </w:t>
            </w:r>
          </w:p>
        </w:tc>
      </w:tr>
      <w:tr w:rsidR="00C90DA4" w:rsidRPr="00C05614" w14:paraId="25FC4F80" w14:textId="77777777" w:rsidTr="002215A6">
        <w:trPr>
          <w:trHeight w:val="255"/>
        </w:trPr>
        <w:tc>
          <w:tcPr>
            <w:tcW w:w="3948" w:type="pct"/>
            <w:tcBorders>
              <w:top w:val="nil"/>
              <w:left w:val="nil"/>
              <w:bottom w:val="nil"/>
              <w:right w:val="nil"/>
            </w:tcBorders>
            <w:shd w:val="clear" w:color="auto" w:fill="FFFFFF"/>
          </w:tcPr>
          <w:p w14:paraId="46C343F7" w14:textId="77777777" w:rsidR="00C90DA4" w:rsidRPr="00C05614" w:rsidRDefault="00C90DA4" w:rsidP="00C90DA4">
            <w:pPr>
              <w:rPr>
                <w:szCs w:val="18"/>
                <w:lang w:val="en-US"/>
              </w:rPr>
            </w:pPr>
            <w:r w:rsidRPr="00C05614">
              <w:rPr>
                <w:szCs w:val="18"/>
                <w:lang w:val="en-US"/>
              </w:rPr>
              <w:t>Leave and other entitlements</w:t>
            </w:r>
          </w:p>
        </w:tc>
        <w:tc>
          <w:tcPr>
            <w:tcW w:w="475" w:type="pct"/>
            <w:tcBorders>
              <w:top w:val="nil"/>
              <w:left w:val="nil"/>
              <w:bottom w:val="nil"/>
              <w:right w:val="nil"/>
            </w:tcBorders>
            <w:shd w:val="clear" w:color="auto" w:fill="FFFFFF"/>
            <w:vAlign w:val="bottom"/>
          </w:tcPr>
          <w:p w14:paraId="4C134248" w14:textId="77777777" w:rsidR="00C90DA4" w:rsidRPr="00C05614" w:rsidRDefault="00C90DA4" w:rsidP="00C90DA4">
            <w:pPr>
              <w:jc w:val="right"/>
              <w:rPr>
                <w:b/>
                <w:bCs/>
                <w:szCs w:val="18"/>
                <w:lang w:val="en-US"/>
              </w:rPr>
            </w:pPr>
            <w:r>
              <w:rPr>
                <w:b/>
                <w:bCs/>
                <w:szCs w:val="18"/>
                <w:lang w:val="en-US"/>
              </w:rPr>
              <w:t>1,449</w:t>
            </w:r>
            <w:r w:rsidRPr="00285EE1">
              <w:rPr>
                <w:b/>
                <w:bCs/>
                <w:szCs w:val="18"/>
                <w:lang w:val="en-US"/>
              </w:rPr>
              <w:t xml:space="preserve"> </w:t>
            </w:r>
          </w:p>
        </w:tc>
        <w:tc>
          <w:tcPr>
            <w:tcW w:w="577" w:type="pct"/>
            <w:tcBorders>
              <w:top w:val="nil"/>
              <w:left w:val="nil"/>
              <w:bottom w:val="nil"/>
              <w:right w:val="nil"/>
            </w:tcBorders>
            <w:shd w:val="clear" w:color="auto" w:fill="FFFFFF"/>
            <w:noWrap/>
            <w:vAlign w:val="bottom"/>
          </w:tcPr>
          <w:p w14:paraId="19E29F0C" w14:textId="77777777" w:rsidR="00C90DA4" w:rsidRPr="00B6422B" w:rsidRDefault="00C90DA4" w:rsidP="00C90DA4">
            <w:pPr>
              <w:jc w:val="right"/>
              <w:rPr>
                <w:bCs/>
                <w:szCs w:val="18"/>
                <w:lang w:val="en-US"/>
              </w:rPr>
            </w:pPr>
            <w:r w:rsidRPr="00B6422B">
              <w:rPr>
                <w:bCs/>
                <w:szCs w:val="18"/>
                <w:lang w:val="en-US"/>
              </w:rPr>
              <w:t xml:space="preserve">1,442 </w:t>
            </w:r>
          </w:p>
        </w:tc>
      </w:tr>
      <w:tr w:rsidR="00C90DA4" w:rsidRPr="00C05614" w14:paraId="581926C5" w14:textId="77777777" w:rsidTr="002215A6">
        <w:trPr>
          <w:trHeight w:val="255"/>
        </w:trPr>
        <w:tc>
          <w:tcPr>
            <w:tcW w:w="3948" w:type="pct"/>
            <w:tcBorders>
              <w:top w:val="nil"/>
              <w:left w:val="nil"/>
              <w:bottom w:val="nil"/>
              <w:right w:val="nil"/>
            </w:tcBorders>
            <w:shd w:val="clear" w:color="auto" w:fill="FFFFFF"/>
          </w:tcPr>
          <w:p w14:paraId="5B82A78E" w14:textId="77777777" w:rsidR="00C90DA4" w:rsidRPr="00C05614" w:rsidRDefault="00C90DA4" w:rsidP="00C90DA4">
            <w:pPr>
              <w:rPr>
                <w:szCs w:val="18"/>
                <w:lang w:val="en-US"/>
              </w:rPr>
            </w:pPr>
            <w:r w:rsidRPr="00C05614">
              <w:rPr>
                <w:szCs w:val="18"/>
                <w:lang w:val="en-US"/>
              </w:rPr>
              <w:t>Other employee benefits</w:t>
            </w:r>
          </w:p>
        </w:tc>
        <w:tc>
          <w:tcPr>
            <w:tcW w:w="475" w:type="pct"/>
            <w:tcBorders>
              <w:top w:val="nil"/>
              <w:left w:val="nil"/>
              <w:bottom w:val="nil"/>
              <w:right w:val="nil"/>
            </w:tcBorders>
            <w:shd w:val="clear" w:color="auto" w:fill="FFFFFF"/>
            <w:vAlign w:val="bottom"/>
          </w:tcPr>
          <w:p w14:paraId="3E62EC6B" w14:textId="77777777" w:rsidR="00C90DA4" w:rsidRPr="00C05614" w:rsidRDefault="00C90DA4" w:rsidP="00C90DA4">
            <w:pPr>
              <w:jc w:val="right"/>
              <w:rPr>
                <w:b/>
                <w:bCs/>
                <w:szCs w:val="18"/>
                <w:lang w:val="en-US"/>
              </w:rPr>
            </w:pPr>
            <w:r>
              <w:rPr>
                <w:b/>
                <w:bCs/>
                <w:szCs w:val="18"/>
                <w:lang w:val="en-US"/>
              </w:rPr>
              <w:t>59</w:t>
            </w:r>
            <w:r w:rsidRPr="00285EE1">
              <w:rPr>
                <w:b/>
                <w:bCs/>
                <w:szCs w:val="18"/>
                <w:lang w:val="en-US"/>
              </w:rPr>
              <w:t xml:space="preserve"> </w:t>
            </w:r>
          </w:p>
        </w:tc>
        <w:tc>
          <w:tcPr>
            <w:tcW w:w="577" w:type="pct"/>
            <w:tcBorders>
              <w:top w:val="nil"/>
              <w:left w:val="nil"/>
              <w:bottom w:val="nil"/>
              <w:right w:val="nil"/>
            </w:tcBorders>
            <w:shd w:val="clear" w:color="auto" w:fill="FFFFFF"/>
            <w:noWrap/>
            <w:vAlign w:val="bottom"/>
          </w:tcPr>
          <w:p w14:paraId="7414AC0B" w14:textId="77777777" w:rsidR="00C90DA4" w:rsidRPr="00B6422B" w:rsidRDefault="00C90DA4" w:rsidP="00C90DA4">
            <w:pPr>
              <w:jc w:val="right"/>
              <w:rPr>
                <w:bCs/>
                <w:szCs w:val="18"/>
                <w:lang w:val="en-US"/>
              </w:rPr>
            </w:pPr>
            <w:r w:rsidRPr="00B6422B">
              <w:rPr>
                <w:bCs/>
                <w:szCs w:val="18"/>
                <w:lang w:val="en-US"/>
              </w:rPr>
              <w:t xml:space="preserve">105 </w:t>
            </w:r>
          </w:p>
        </w:tc>
      </w:tr>
      <w:tr w:rsidR="00C90DA4" w:rsidRPr="00C05614" w14:paraId="65CF10D7" w14:textId="77777777" w:rsidTr="002215A6">
        <w:trPr>
          <w:trHeight w:val="255"/>
        </w:trPr>
        <w:tc>
          <w:tcPr>
            <w:tcW w:w="3948" w:type="pct"/>
            <w:tcBorders>
              <w:top w:val="nil"/>
              <w:left w:val="nil"/>
              <w:bottom w:val="nil"/>
              <w:right w:val="nil"/>
            </w:tcBorders>
            <w:shd w:val="clear" w:color="auto" w:fill="FFFFFF"/>
          </w:tcPr>
          <w:p w14:paraId="57F1284F" w14:textId="77777777" w:rsidR="00C90DA4" w:rsidRPr="00C05614" w:rsidRDefault="00C90DA4" w:rsidP="00C90DA4">
            <w:pPr>
              <w:rPr>
                <w:b/>
                <w:bCs/>
                <w:szCs w:val="18"/>
                <w:lang w:val="en-US"/>
              </w:rPr>
            </w:pPr>
            <w:r w:rsidRPr="00C05614">
              <w:rPr>
                <w:b/>
                <w:bCs/>
                <w:szCs w:val="18"/>
                <w:lang w:val="en-US"/>
              </w:rPr>
              <w:t>Total employee benefits</w:t>
            </w:r>
          </w:p>
        </w:tc>
        <w:tc>
          <w:tcPr>
            <w:tcW w:w="475" w:type="pct"/>
            <w:tcBorders>
              <w:top w:val="single" w:sz="4" w:space="0" w:color="auto"/>
              <w:left w:val="nil"/>
              <w:bottom w:val="single" w:sz="4" w:space="0" w:color="auto"/>
              <w:right w:val="nil"/>
            </w:tcBorders>
            <w:shd w:val="clear" w:color="auto" w:fill="FFFFFF"/>
            <w:vAlign w:val="bottom"/>
          </w:tcPr>
          <w:p w14:paraId="59A4493F" w14:textId="77777777" w:rsidR="00C90DA4" w:rsidRPr="00C05614" w:rsidRDefault="00C90DA4" w:rsidP="00C90DA4">
            <w:pPr>
              <w:jc w:val="right"/>
              <w:rPr>
                <w:b/>
                <w:bCs/>
                <w:szCs w:val="18"/>
                <w:lang w:val="en-US"/>
              </w:rPr>
            </w:pPr>
            <w:r>
              <w:rPr>
                <w:b/>
                <w:bCs/>
                <w:szCs w:val="18"/>
                <w:lang w:val="en-US"/>
              </w:rPr>
              <w:t>12,206</w:t>
            </w:r>
            <w:r w:rsidRPr="00285EE1">
              <w:rPr>
                <w:b/>
                <w:bCs/>
                <w:szCs w:val="18"/>
                <w:lang w:val="en-US"/>
              </w:rPr>
              <w:t xml:space="preserve"> </w:t>
            </w:r>
          </w:p>
        </w:tc>
        <w:tc>
          <w:tcPr>
            <w:tcW w:w="577" w:type="pct"/>
            <w:tcBorders>
              <w:top w:val="single" w:sz="4" w:space="0" w:color="auto"/>
              <w:left w:val="nil"/>
              <w:bottom w:val="single" w:sz="4" w:space="0" w:color="auto"/>
              <w:right w:val="nil"/>
            </w:tcBorders>
            <w:shd w:val="clear" w:color="auto" w:fill="FFFFFF"/>
            <w:noWrap/>
            <w:vAlign w:val="bottom"/>
          </w:tcPr>
          <w:p w14:paraId="0E9ADAF8" w14:textId="77777777" w:rsidR="00C90DA4" w:rsidRPr="00B6422B" w:rsidRDefault="00C90DA4" w:rsidP="00C90DA4">
            <w:pPr>
              <w:jc w:val="right"/>
              <w:rPr>
                <w:bCs/>
                <w:szCs w:val="18"/>
                <w:lang w:val="en-US"/>
              </w:rPr>
            </w:pPr>
            <w:r w:rsidRPr="00B6422B">
              <w:rPr>
                <w:bCs/>
                <w:szCs w:val="18"/>
                <w:lang w:val="en-US"/>
              </w:rPr>
              <w:t xml:space="preserve">12,179 </w:t>
            </w:r>
          </w:p>
        </w:tc>
      </w:tr>
      <w:tr w:rsidR="00C90DA4" w:rsidRPr="00C05614" w14:paraId="6992103D" w14:textId="77777777" w:rsidTr="002215A6">
        <w:trPr>
          <w:trHeight w:val="57"/>
        </w:trPr>
        <w:tc>
          <w:tcPr>
            <w:tcW w:w="3948" w:type="pct"/>
            <w:tcBorders>
              <w:top w:val="nil"/>
              <w:left w:val="nil"/>
              <w:bottom w:val="nil"/>
              <w:right w:val="nil"/>
            </w:tcBorders>
            <w:shd w:val="clear" w:color="auto" w:fill="FFFFFF"/>
          </w:tcPr>
          <w:p w14:paraId="53C60383" w14:textId="77777777" w:rsidR="00C90DA4" w:rsidRPr="00C05614" w:rsidRDefault="00C90DA4" w:rsidP="00C90DA4">
            <w:pPr>
              <w:rPr>
                <w:b/>
                <w:bCs/>
                <w:i/>
                <w:iCs/>
                <w:szCs w:val="18"/>
                <w:lang w:val="en-US"/>
              </w:rPr>
            </w:pPr>
            <w:r w:rsidRPr="00C05614">
              <w:rPr>
                <w:b/>
                <w:bCs/>
                <w:i/>
                <w:iCs/>
                <w:szCs w:val="18"/>
                <w:lang w:val="en-US"/>
              </w:rPr>
              <w:t> </w:t>
            </w:r>
          </w:p>
        </w:tc>
        <w:tc>
          <w:tcPr>
            <w:tcW w:w="475" w:type="pct"/>
            <w:tcBorders>
              <w:top w:val="nil"/>
              <w:left w:val="nil"/>
              <w:bottom w:val="nil"/>
              <w:right w:val="nil"/>
            </w:tcBorders>
            <w:shd w:val="clear" w:color="auto" w:fill="FFFFFF"/>
            <w:vAlign w:val="bottom"/>
          </w:tcPr>
          <w:p w14:paraId="6E8198A5" w14:textId="77777777" w:rsidR="00C90DA4" w:rsidRPr="00C05614" w:rsidRDefault="00C90DA4" w:rsidP="00C90DA4">
            <w:pPr>
              <w:jc w:val="right"/>
              <w:rPr>
                <w:szCs w:val="18"/>
                <w:lang w:val="en-US"/>
              </w:rPr>
            </w:pPr>
          </w:p>
        </w:tc>
        <w:tc>
          <w:tcPr>
            <w:tcW w:w="577" w:type="pct"/>
            <w:tcBorders>
              <w:top w:val="nil"/>
              <w:left w:val="nil"/>
              <w:bottom w:val="nil"/>
              <w:right w:val="nil"/>
            </w:tcBorders>
            <w:shd w:val="clear" w:color="auto" w:fill="FFFFFF"/>
            <w:noWrap/>
            <w:vAlign w:val="bottom"/>
          </w:tcPr>
          <w:p w14:paraId="7CC9ECE5" w14:textId="77777777" w:rsidR="00C90DA4" w:rsidRPr="00B6422B" w:rsidRDefault="00C90DA4" w:rsidP="00C90DA4">
            <w:pPr>
              <w:jc w:val="right"/>
              <w:rPr>
                <w:szCs w:val="18"/>
                <w:lang w:val="en-US"/>
              </w:rPr>
            </w:pPr>
          </w:p>
        </w:tc>
      </w:tr>
      <w:tr w:rsidR="00C90DA4" w:rsidRPr="00C05614" w14:paraId="6A412961" w14:textId="77777777" w:rsidTr="002215A6">
        <w:trPr>
          <w:trHeight w:val="255"/>
        </w:trPr>
        <w:tc>
          <w:tcPr>
            <w:tcW w:w="3948" w:type="pct"/>
            <w:tcBorders>
              <w:top w:val="nil"/>
              <w:left w:val="nil"/>
              <w:bottom w:val="nil"/>
              <w:right w:val="nil"/>
            </w:tcBorders>
            <w:shd w:val="clear" w:color="auto" w:fill="FFFFFF"/>
          </w:tcPr>
          <w:p w14:paraId="2385E887" w14:textId="77777777" w:rsidR="00C90DA4" w:rsidRPr="00817C50" w:rsidRDefault="00C90DA4" w:rsidP="002215A6">
            <w:pPr>
              <w:pStyle w:val="Heading4"/>
              <w:rPr>
                <w:sz w:val="21"/>
                <w:szCs w:val="21"/>
                <w:lang w:val="en-US"/>
              </w:rPr>
            </w:pPr>
            <w:r w:rsidRPr="00817C50">
              <w:rPr>
                <w:sz w:val="21"/>
                <w:szCs w:val="21"/>
                <w:lang w:val="en-US"/>
              </w:rPr>
              <w:t xml:space="preserve">1.1B: </w:t>
            </w:r>
            <w:r w:rsidRPr="00817C50">
              <w:rPr>
                <w:sz w:val="21"/>
                <w:szCs w:val="21"/>
              </w:rPr>
              <w:t>Suppliers</w:t>
            </w:r>
          </w:p>
        </w:tc>
        <w:tc>
          <w:tcPr>
            <w:tcW w:w="475" w:type="pct"/>
            <w:tcBorders>
              <w:top w:val="nil"/>
              <w:left w:val="nil"/>
              <w:bottom w:val="nil"/>
              <w:right w:val="nil"/>
            </w:tcBorders>
            <w:shd w:val="clear" w:color="auto" w:fill="FFFFFF"/>
            <w:vAlign w:val="bottom"/>
          </w:tcPr>
          <w:p w14:paraId="633639E3" w14:textId="77777777" w:rsidR="00C90DA4" w:rsidRPr="00C05614" w:rsidRDefault="00C90DA4" w:rsidP="00C90DA4">
            <w:pPr>
              <w:jc w:val="right"/>
              <w:rPr>
                <w:szCs w:val="18"/>
                <w:lang w:val="en-US"/>
              </w:rPr>
            </w:pPr>
          </w:p>
        </w:tc>
        <w:tc>
          <w:tcPr>
            <w:tcW w:w="577" w:type="pct"/>
            <w:tcBorders>
              <w:top w:val="nil"/>
              <w:left w:val="nil"/>
              <w:bottom w:val="nil"/>
              <w:right w:val="nil"/>
            </w:tcBorders>
            <w:shd w:val="clear" w:color="auto" w:fill="FFFFFF"/>
            <w:noWrap/>
            <w:vAlign w:val="bottom"/>
          </w:tcPr>
          <w:p w14:paraId="3257B82B" w14:textId="77777777" w:rsidR="00C90DA4" w:rsidRPr="00B6422B" w:rsidRDefault="00C90DA4" w:rsidP="00C90DA4">
            <w:pPr>
              <w:jc w:val="right"/>
              <w:rPr>
                <w:szCs w:val="18"/>
                <w:lang w:val="en-US"/>
              </w:rPr>
            </w:pPr>
          </w:p>
        </w:tc>
      </w:tr>
      <w:tr w:rsidR="00C90DA4" w:rsidRPr="00C05614" w14:paraId="5A29322F" w14:textId="77777777" w:rsidTr="002215A6">
        <w:trPr>
          <w:trHeight w:val="255"/>
        </w:trPr>
        <w:tc>
          <w:tcPr>
            <w:tcW w:w="3948" w:type="pct"/>
            <w:tcBorders>
              <w:top w:val="nil"/>
              <w:left w:val="nil"/>
              <w:bottom w:val="nil"/>
              <w:right w:val="nil"/>
            </w:tcBorders>
            <w:shd w:val="clear" w:color="auto" w:fill="FFFFFF"/>
            <w:vAlign w:val="center"/>
          </w:tcPr>
          <w:p w14:paraId="60DD4D52" w14:textId="77777777" w:rsidR="00C90DA4" w:rsidRPr="00C05614" w:rsidRDefault="00C90DA4" w:rsidP="002215A6">
            <w:pPr>
              <w:rPr>
                <w:b/>
                <w:bCs/>
                <w:szCs w:val="18"/>
                <w:lang w:val="en-US"/>
              </w:rPr>
            </w:pPr>
            <w:r w:rsidRPr="00C05614">
              <w:rPr>
                <w:b/>
                <w:bCs/>
                <w:szCs w:val="18"/>
                <w:lang w:val="en-US"/>
              </w:rPr>
              <w:t>Goods and services</w:t>
            </w:r>
            <w:r>
              <w:rPr>
                <w:b/>
                <w:bCs/>
                <w:szCs w:val="18"/>
                <w:lang w:val="en-US"/>
              </w:rPr>
              <w:t xml:space="preserve"> supplied or rendered</w:t>
            </w:r>
          </w:p>
        </w:tc>
        <w:tc>
          <w:tcPr>
            <w:tcW w:w="475" w:type="pct"/>
            <w:tcBorders>
              <w:top w:val="nil"/>
              <w:left w:val="nil"/>
              <w:bottom w:val="nil"/>
              <w:right w:val="nil"/>
            </w:tcBorders>
            <w:shd w:val="clear" w:color="auto" w:fill="FFFFFF"/>
            <w:vAlign w:val="bottom"/>
          </w:tcPr>
          <w:p w14:paraId="24EC2FE3" w14:textId="77777777" w:rsidR="00C90DA4" w:rsidRPr="00C05614" w:rsidRDefault="00C90DA4" w:rsidP="00C90DA4">
            <w:pPr>
              <w:jc w:val="right"/>
              <w:rPr>
                <w:szCs w:val="18"/>
                <w:lang w:val="en-US"/>
              </w:rPr>
            </w:pPr>
          </w:p>
        </w:tc>
        <w:tc>
          <w:tcPr>
            <w:tcW w:w="577" w:type="pct"/>
            <w:tcBorders>
              <w:top w:val="nil"/>
              <w:left w:val="nil"/>
              <w:bottom w:val="nil"/>
              <w:right w:val="nil"/>
            </w:tcBorders>
            <w:shd w:val="clear" w:color="auto" w:fill="FFFFFF"/>
            <w:noWrap/>
            <w:vAlign w:val="bottom"/>
          </w:tcPr>
          <w:p w14:paraId="13F5DCED" w14:textId="77777777" w:rsidR="00C90DA4" w:rsidRPr="00B6422B" w:rsidRDefault="00C90DA4" w:rsidP="00C90DA4">
            <w:pPr>
              <w:jc w:val="right"/>
              <w:rPr>
                <w:szCs w:val="18"/>
                <w:lang w:val="en-US"/>
              </w:rPr>
            </w:pPr>
          </w:p>
        </w:tc>
      </w:tr>
      <w:tr w:rsidR="00C90DA4" w:rsidRPr="00C05614" w14:paraId="599E8BAA" w14:textId="77777777" w:rsidTr="002215A6">
        <w:trPr>
          <w:trHeight w:val="255"/>
        </w:trPr>
        <w:tc>
          <w:tcPr>
            <w:tcW w:w="3948" w:type="pct"/>
            <w:tcBorders>
              <w:top w:val="nil"/>
              <w:left w:val="nil"/>
              <w:bottom w:val="nil"/>
              <w:right w:val="nil"/>
            </w:tcBorders>
            <w:shd w:val="clear" w:color="auto" w:fill="FFFFFF"/>
            <w:noWrap/>
            <w:vAlign w:val="bottom"/>
          </w:tcPr>
          <w:p w14:paraId="797716DA" w14:textId="77777777" w:rsidR="00C90DA4" w:rsidRPr="00C05614" w:rsidRDefault="00C90DA4" w:rsidP="00C90DA4">
            <w:pPr>
              <w:rPr>
                <w:szCs w:val="18"/>
                <w:lang w:val="en-US"/>
              </w:rPr>
            </w:pPr>
            <w:r w:rsidRPr="00C05614">
              <w:rPr>
                <w:szCs w:val="18"/>
                <w:lang w:val="en-US"/>
              </w:rPr>
              <w:t>Contracts for services</w:t>
            </w:r>
          </w:p>
        </w:tc>
        <w:tc>
          <w:tcPr>
            <w:tcW w:w="475" w:type="pct"/>
            <w:tcBorders>
              <w:top w:val="nil"/>
              <w:left w:val="nil"/>
              <w:bottom w:val="nil"/>
              <w:right w:val="nil"/>
            </w:tcBorders>
            <w:shd w:val="clear" w:color="auto" w:fill="FFFFFF"/>
            <w:vAlign w:val="bottom"/>
          </w:tcPr>
          <w:p w14:paraId="68B4AAF8" w14:textId="77777777" w:rsidR="00C90DA4" w:rsidRPr="00C05614" w:rsidRDefault="00C90DA4" w:rsidP="00C90DA4">
            <w:pPr>
              <w:jc w:val="right"/>
              <w:rPr>
                <w:b/>
                <w:bCs/>
                <w:szCs w:val="18"/>
                <w:lang w:val="en-US"/>
              </w:rPr>
            </w:pPr>
            <w:r>
              <w:rPr>
                <w:b/>
                <w:bCs/>
                <w:szCs w:val="18"/>
                <w:lang w:val="en-US"/>
              </w:rPr>
              <w:t>10,672</w:t>
            </w:r>
            <w:r w:rsidRPr="00C51A34">
              <w:rPr>
                <w:b/>
                <w:bCs/>
                <w:szCs w:val="18"/>
                <w:lang w:val="en-US"/>
              </w:rPr>
              <w:t xml:space="preserve"> </w:t>
            </w:r>
          </w:p>
        </w:tc>
        <w:tc>
          <w:tcPr>
            <w:tcW w:w="577" w:type="pct"/>
            <w:tcBorders>
              <w:top w:val="nil"/>
              <w:left w:val="nil"/>
              <w:bottom w:val="nil"/>
              <w:right w:val="nil"/>
            </w:tcBorders>
            <w:shd w:val="clear" w:color="auto" w:fill="FFFFFF"/>
            <w:noWrap/>
            <w:vAlign w:val="bottom"/>
          </w:tcPr>
          <w:p w14:paraId="760FDD02" w14:textId="77777777" w:rsidR="00C90DA4" w:rsidRPr="00B6422B" w:rsidRDefault="00C90DA4" w:rsidP="00C90DA4">
            <w:pPr>
              <w:jc w:val="right"/>
              <w:rPr>
                <w:bCs/>
                <w:szCs w:val="18"/>
                <w:lang w:val="en-US"/>
              </w:rPr>
            </w:pPr>
            <w:r w:rsidRPr="00B6422B">
              <w:rPr>
                <w:bCs/>
                <w:szCs w:val="18"/>
                <w:lang w:val="en-US"/>
              </w:rPr>
              <w:t xml:space="preserve">10,238 </w:t>
            </w:r>
          </w:p>
        </w:tc>
      </w:tr>
      <w:tr w:rsidR="00C90DA4" w:rsidRPr="00C05614" w14:paraId="1864D6DC" w14:textId="77777777" w:rsidTr="002215A6">
        <w:trPr>
          <w:trHeight w:val="255"/>
        </w:trPr>
        <w:tc>
          <w:tcPr>
            <w:tcW w:w="3948" w:type="pct"/>
            <w:tcBorders>
              <w:top w:val="nil"/>
              <w:left w:val="nil"/>
              <w:bottom w:val="nil"/>
              <w:right w:val="nil"/>
            </w:tcBorders>
            <w:shd w:val="clear" w:color="auto" w:fill="FFFFFF"/>
            <w:noWrap/>
            <w:vAlign w:val="bottom"/>
          </w:tcPr>
          <w:p w14:paraId="3260CF00" w14:textId="77777777" w:rsidR="00C90DA4" w:rsidRPr="00C05614" w:rsidRDefault="00C90DA4" w:rsidP="00C90DA4">
            <w:pPr>
              <w:rPr>
                <w:szCs w:val="18"/>
                <w:lang w:val="en-US"/>
              </w:rPr>
            </w:pPr>
            <w:r w:rsidRPr="00C05614">
              <w:rPr>
                <w:szCs w:val="18"/>
                <w:lang w:val="en-US"/>
              </w:rPr>
              <w:t>Travel</w:t>
            </w:r>
          </w:p>
        </w:tc>
        <w:tc>
          <w:tcPr>
            <w:tcW w:w="475" w:type="pct"/>
            <w:tcBorders>
              <w:top w:val="nil"/>
              <w:left w:val="nil"/>
              <w:bottom w:val="nil"/>
              <w:right w:val="nil"/>
            </w:tcBorders>
            <w:shd w:val="clear" w:color="auto" w:fill="FFFFFF"/>
            <w:vAlign w:val="bottom"/>
          </w:tcPr>
          <w:p w14:paraId="46F20F76" w14:textId="77777777" w:rsidR="00C90DA4" w:rsidRPr="00C05614" w:rsidRDefault="00C90DA4" w:rsidP="00C90DA4">
            <w:pPr>
              <w:jc w:val="right"/>
              <w:rPr>
                <w:b/>
                <w:bCs/>
                <w:szCs w:val="18"/>
                <w:lang w:val="en-US"/>
              </w:rPr>
            </w:pPr>
            <w:r>
              <w:rPr>
                <w:b/>
                <w:bCs/>
                <w:szCs w:val="18"/>
                <w:lang w:val="en-US"/>
              </w:rPr>
              <w:t>795</w:t>
            </w:r>
            <w:r w:rsidRPr="00C51A34">
              <w:rPr>
                <w:b/>
                <w:bCs/>
                <w:szCs w:val="18"/>
                <w:lang w:val="en-US"/>
              </w:rPr>
              <w:t xml:space="preserve"> </w:t>
            </w:r>
            <w:r w:rsidRPr="00285EE1">
              <w:rPr>
                <w:b/>
                <w:bCs/>
                <w:szCs w:val="18"/>
                <w:lang w:val="en-US"/>
              </w:rPr>
              <w:t xml:space="preserve"> </w:t>
            </w:r>
          </w:p>
        </w:tc>
        <w:tc>
          <w:tcPr>
            <w:tcW w:w="577" w:type="pct"/>
            <w:tcBorders>
              <w:top w:val="nil"/>
              <w:left w:val="nil"/>
              <w:bottom w:val="nil"/>
              <w:right w:val="nil"/>
            </w:tcBorders>
            <w:shd w:val="clear" w:color="auto" w:fill="FFFFFF"/>
            <w:noWrap/>
            <w:vAlign w:val="bottom"/>
          </w:tcPr>
          <w:p w14:paraId="4F480140" w14:textId="77777777" w:rsidR="00C90DA4" w:rsidRPr="00B6422B" w:rsidRDefault="00C90DA4" w:rsidP="00C90DA4">
            <w:pPr>
              <w:jc w:val="right"/>
              <w:rPr>
                <w:bCs/>
                <w:szCs w:val="18"/>
                <w:lang w:val="en-US"/>
              </w:rPr>
            </w:pPr>
            <w:r w:rsidRPr="00B6422B">
              <w:rPr>
                <w:bCs/>
                <w:szCs w:val="18"/>
                <w:lang w:val="en-US"/>
              </w:rPr>
              <w:t xml:space="preserve">956  </w:t>
            </w:r>
          </w:p>
        </w:tc>
      </w:tr>
      <w:tr w:rsidR="00C90DA4" w:rsidRPr="00C05614" w14:paraId="1773FE64" w14:textId="77777777" w:rsidTr="002215A6">
        <w:trPr>
          <w:trHeight w:val="255"/>
        </w:trPr>
        <w:tc>
          <w:tcPr>
            <w:tcW w:w="3948" w:type="pct"/>
            <w:tcBorders>
              <w:top w:val="nil"/>
              <w:left w:val="nil"/>
              <w:bottom w:val="nil"/>
              <w:right w:val="nil"/>
            </w:tcBorders>
            <w:shd w:val="clear" w:color="auto" w:fill="FFFFFF"/>
            <w:noWrap/>
            <w:vAlign w:val="bottom"/>
          </w:tcPr>
          <w:p w14:paraId="6F936AE5" w14:textId="77777777" w:rsidR="00C90DA4" w:rsidRPr="00C05614" w:rsidRDefault="00C90DA4" w:rsidP="00C90DA4">
            <w:pPr>
              <w:rPr>
                <w:szCs w:val="18"/>
                <w:lang w:val="en-US"/>
              </w:rPr>
            </w:pPr>
            <w:r w:rsidRPr="00C05614">
              <w:rPr>
                <w:szCs w:val="18"/>
                <w:lang w:val="en-US"/>
              </w:rPr>
              <w:t>Information and communication</w:t>
            </w:r>
          </w:p>
        </w:tc>
        <w:tc>
          <w:tcPr>
            <w:tcW w:w="475" w:type="pct"/>
            <w:tcBorders>
              <w:top w:val="nil"/>
              <w:left w:val="nil"/>
              <w:bottom w:val="nil"/>
              <w:right w:val="nil"/>
            </w:tcBorders>
            <w:shd w:val="clear" w:color="auto" w:fill="FFFFFF"/>
            <w:vAlign w:val="bottom"/>
          </w:tcPr>
          <w:p w14:paraId="0578BD25" w14:textId="77777777" w:rsidR="00C90DA4" w:rsidRPr="00C05614" w:rsidRDefault="00C90DA4" w:rsidP="00C90DA4">
            <w:pPr>
              <w:jc w:val="right"/>
              <w:rPr>
                <w:b/>
                <w:bCs/>
                <w:szCs w:val="18"/>
                <w:lang w:val="en-US"/>
              </w:rPr>
            </w:pPr>
            <w:r>
              <w:rPr>
                <w:b/>
                <w:bCs/>
                <w:szCs w:val="18"/>
                <w:lang w:val="en-US"/>
              </w:rPr>
              <w:t>950</w:t>
            </w:r>
            <w:r w:rsidRPr="00285EE1">
              <w:rPr>
                <w:b/>
                <w:bCs/>
                <w:szCs w:val="18"/>
                <w:lang w:val="en-US"/>
              </w:rPr>
              <w:t xml:space="preserve"> </w:t>
            </w:r>
          </w:p>
        </w:tc>
        <w:tc>
          <w:tcPr>
            <w:tcW w:w="577" w:type="pct"/>
            <w:tcBorders>
              <w:top w:val="nil"/>
              <w:left w:val="nil"/>
              <w:bottom w:val="nil"/>
              <w:right w:val="nil"/>
            </w:tcBorders>
            <w:shd w:val="clear" w:color="auto" w:fill="FFFFFF"/>
            <w:noWrap/>
            <w:vAlign w:val="bottom"/>
          </w:tcPr>
          <w:p w14:paraId="03FCE1ED" w14:textId="77777777" w:rsidR="00C90DA4" w:rsidRPr="00B6422B" w:rsidRDefault="00C90DA4" w:rsidP="00C90DA4">
            <w:pPr>
              <w:jc w:val="right"/>
              <w:rPr>
                <w:bCs/>
                <w:szCs w:val="18"/>
                <w:lang w:val="en-US"/>
              </w:rPr>
            </w:pPr>
            <w:r w:rsidRPr="00B6422B">
              <w:rPr>
                <w:bCs/>
                <w:szCs w:val="18"/>
                <w:lang w:val="en-US"/>
              </w:rPr>
              <w:t xml:space="preserve">683 </w:t>
            </w:r>
          </w:p>
        </w:tc>
      </w:tr>
      <w:tr w:rsidR="00C90DA4" w:rsidRPr="00C05614" w14:paraId="7594550C" w14:textId="77777777" w:rsidTr="002215A6">
        <w:trPr>
          <w:trHeight w:val="255"/>
        </w:trPr>
        <w:tc>
          <w:tcPr>
            <w:tcW w:w="3948" w:type="pct"/>
            <w:tcBorders>
              <w:top w:val="nil"/>
              <w:left w:val="nil"/>
              <w:bottom w:val="nil"/>
              <w:right w:val="nil"/>
            </w:tcBorders>
            <w:shd w:val="clear" w:color="auto" w:fill="FFFFFF"/>
            <w:noWrap/>
            <w:vAlign w:val="bottom"/>
          </w:tcPr>
          <w:p w14:paraId="57F30C22" w14:textId="77777777" w:rsidR="00C90DA4" w:rsidRPr="00C05614" w:rsidRDefault="00C90DA4" w:rsidP="00C90DA4">
            <w:pPr>
              <w:rPr>
                <w:szCs w:val="18"/>
                <w:lang w:val="en-US"/>
              </w:rPr>
            </w:pPr>
            <w:r w:rsidRPr="00C05614">
              <w:rPr>
                <w:szCs w:val="18"/>
                <w:lang w:val="en-US"/>
              </w:rPr>
              <w:t>Printing and postage</w:t>
            </w:r>
          </w:p>
        </w:tc>
        <w:tc>
          <w:tcPr>
            <w:tcW w:w="475" w:type="pct"/>
            <w:tcBorders>
              <w:top w:val="nil"/>
              <w:left w:val="nil"/>
              <w:bottom w:val="nil"/>
              <w:right w:val="nil"/>
            </w:tcBorders>
            <w:shd w:val="clear" w:color="auto" w:fill="FFFFFF"/>
            <w:vAlign w:val="bottom"/>
          </w:tcPr>
          <w:p w14:paraId="22254AF9" w14:textId="77777777" w:rsidR="00C90DA4" w:rsidRPr="00C05614" w:rsidRDefault="00C90DA4" w:rsidP="00C90DA4">
            <w:pPr>
              <w:jc w:val="right"/>
              <w:rPr>
                <w:b/>
                <w:bCs/>
                <w:szCs w:val="18"/>
                <w:lang w:val="en-US"/>
              </w:rPr>
            </w:pPr>
            <w:r>
              <w:rPr>
                <w:b/>
                <w:bCs/>
                <w:szCs w:val="18"/>
                <w:lang w:val="en-US"/>
              </w:rPr>
              <w:t>832</w:t>
            </w:r>
            <w:r w:rsidRPr="00C51A34">
              <w:rPr>
                <w:b/>
                <w:bCs/>
                <w:szCs w:val="18"/>
                <w:lang w:val="en-US"/>
              </w:rPr>
              <w:t xml:space="preserve"> </w:t>
            </w:r>
            <w:r w:rsidRPr="00285EE1">
              <w:rPr>
                <w:b/>
                <w:bCs/>
                <w:szCs w:val="18"/>
                <w:lang w:val="en-US"/>
              </w:rPr>
              <w:t xml:space="preserve"> </w:t>
            </w:r>
          </w:p>
        </w:tc>
        <w:tc>
          <w:tcPr>
            <w:tcW w:w="577" w:type="pct"/>
            <w:tcBorders>
              <w:top w:val="nil"/>
              <w:left w:val="nil"/>
              <w:bottom w:val="nil"/>
              <w:right w:val="nil"/>
            </w:tcBorders>
            <w:shd w:val="clear" w:color="auto" w:fill="FFFFFF"/>
            <w:noWrap/>
            <w:vAlign w:val="bottom"/>
          </w:tcPr>
          <w:p w14:paraId="0BB9E50A" w14:textId="77777777" w:rsidR="00C90DA4" w:rsidRPr="00B6422B" w:rsidRDefault="00C90DA4" w:rsidP="00C90DA4">
            <w:pPr>
              <w:jc w:val="right"/>
              <w:rPr>
                <w:bCs/>
                <w:szCs w:val="18"/>
                <w:lang w:val="en-US"/>
              </w:rPr>
            </w:pPr>
            <w:r w:rsidRPr="00B6422B">
              <w:rPr>
                <w:bCs/>
                <w:szCs w:val="18"/>
                <w:lang w:val="en-US"/>
              </w:rPr>
              <w:t xml:space="preserve">474  </w:t>
            </w:r>
          </w:p>
        </w:tc>
      </w:tr>
      <w:tr w:rsidR="00C90DA4" w:rsidRPr="00C05614" w14:paraId="3E3E9E48" w14:textId="77777777" w:rsidTr="002215A6">
        <w:trPr>
          <w:trHeight w:val="255"/>
        </w:trPr>
        <w:tc>
          <w:tcPr>
            <w:tcW w:w="3948" w:type="pct"/>
            <w:tcBorders>
              <w:top w:val="nil"/>
              <w:left w:val="nil"/>
              <w:bottom w:val="nil"/>
              <w:right w:val="nil"/>
            </w:tcBorders>
            <w:shd w:val="clear" w:color="auto" w:fill="FFFFFF"/>
            <w:noWrap/>
            <w:vAlign w:val="bottom"/>
          </w:tcPr>
          <w:p w14:paraId="568F91D6" w14:textId="77777777" w:rsidR="00C90DA4" w:rsidRPr="00C05614" w:rsidRDefault="00C90DA4" w:rsidP="00C90DA4">
            <w:pPr>
              <w:rPr>
                <w:szCs w:val="18"/>
                <w:lang w:val="en-US"/>
              </w:rPr>
            </w:pPr>
            <w:r>
              <w:rPr>
                <w:szCs w:val="18"/>
                <w:lang w:val="en-US"/>
              </w:rPr>
              <w:t>Property outgoings</w:t>
            </w:r>
          </w:p>
        </w:tc>
        <w:tc>
          <w:tcPr>
            <w:tcW w:w="475" w:type="pct"/>
            <w:tcBorders>
              <w:top w:val="nil"/>
              <w:left w:val="nil"/>
              <w:bottom w:val="nil"/>
              <w:right w:val="nil"/>
            </w:tcBorders>
            <w:shd w:val="clear" w:color="auto" w:fill="FFFFFF"/>
            <w:vAlign w:val="bottom"/>
          </w:tcPr>
          <w:p w14:paraId="5CDAAEE9" w14:textId="77777777" w:rsidR="00C90DA4" w:rsidRPr="00C51A34" w:rsidRDefault="00C90DA4" w:rsidP="00C90DA4">
            <w:pPr>
              <w:jc w:val="right"/>
              <w:rPr>
                <w:b/>
                <w:bCs/>
                <w:szCs w:val="18"/>
                <w:lang w:val="en-US"/>
              </w:rPr>
            </w:pPr>
            <w:r>
              <w:rPr>
                <w:b/>
                <w:bCs/>
                <w:szCs w:val="18"/>
                <w:lang w:val="en-US"/>
              </w:rPr>
              <w:t>424</w:t>
            </w:r>
          </w:p>
        </w:tc>
        <w:tc>
          <w:tcPr>
            <w:tcW w:w="577" w:type="pct"/>
            <w:tcBorders>
              <w:top w:val="nil"/>
              <w:left w:val="nil"/>
              <w:bottom w:val="nil"/>
              <w:right w:val="nil"/>
            </w:tcBorders>
            <w:shd w:val="clear" w:color="auto" w:fill="FFFFFF"/>
            <w:noWrap/>
            <w:vAlign w:val="bottom"/>
          </w:tcPr>
          <w:p w14:paraId="4C74F743" w14:textId="77777777" w:rsidR="00C90DA4" w:rsidRPr="00B6422B" w:rsidRDefault="00C90DA4" w:rsidP="00C90DA4">
            <w:pPr>
              <w:jc w:val="right"/>
              <w:rPr>
                <w:bCs/>
                <w:szCs w:val="18"/>
                <w:lang w:val="en-US"/>
              </w:rPr>
            </w:pPr>
            <w:r w:rsidRPr="00B6422B">
              <w:rPr>
                <w:bCs/>
                <w:szCs w:val="18"/>
                <w:lang w:val="en-US"/>
              </w:rPr>
              <w:t>162</w:t>
            </w:r>
          </w:p>
        </w:tc>
      </w:tr>
      <w:tr w:rsidR="00C90DA4" w:rsidRPr="00C05614" w14:paraId="20B5C3E8" w14:textId="77777777" w:rsidTr="002215A6">
        <w:trPr>
          <w:trHeight w:val="255"/>
        </w:trPr>
        <w:tc>
          <w:tcPr>
            <w:tcW w:w="3948" w:type="pct"/>
            <w:tcBorders>
              <w:top w:val="nil"/>
              <w:left w:val="nil"/>
              <w:bottom w:val="nil"/>
              <w:right w:val="nil"/>
            </w:tcBorders>
            <w:shd w:val="clear" w:color="auto" w:fill="FFFFFF"/>
            <w:noWrap/>
            <w:vAlign w:val="bottom"/>
          </w:tcPr>
          <w:p w14:paraId="034AFAF0" w14:textId="77777777" w:rsidR="00C90DA4" w:rsidRPr="00C05614" w:rsidRDefault="00C90DA4" w:rsidP="00C90DA4">
            <w:pPr>
              <w:rPr>
                <w:szCs w:val="18"/>
                <w:lang w:val="en-US"/>
              </w:rPr>
            </w:pPr>
            <w:r w:rsidRPr="00C05614">
              <w:rPr>
                <w:szCs w:val="18"/>
                <w:lang w:val="en-US"/>
              </w:rPr>
              <w:t>Other</w:t>
            </w:r>
          </w:p>
        </w:tc>
        <w:tc>
          <w:tcPr>
            <w:tcW w:w="475" w:type="pct"/>
            <w:tcBorders>
              <w:top w:val="nil"/>
              <w:left w:val="nil"/>
              <w:bottom w:val="nil"/>
              <w:right w:val="nil"/>
            </w:tcBorders>
            <w:shd w:val="clear" w:color="auto" w:fill="FFFFFF"/>
            <w:vAlign w:val="bottom"/>
          </w:tcPr>
          <w:p w14:paraId="6E89874D" w14:textId="77777777" w:rsidR="00C90DA4" w:rsidRPr="00C05614" w:rsidRDefault="00C90DA4" w:rsidP="00C90DA4">
            <w:pPr>
              <w:jc w:val="right"/>
              <w:rPr>
                <w:b/>
                <w:bCs/>
                <w:szCs w:val="18"/>
                <w:lang w:val="en-US"/>
              </w:rPr>
            </w:pPr>
            <w:r>
              <w:rPr>
                <w:b/>
                <w:bCs/>
                <w:szCs w:val="18"/>
                <w:lang w:val="en-US"/>
              </w:rPr>
              <w:t>1,371</w:t>
            </w:r>
            <w:r w:rsidRPr="00C51A34">
              <w:rPr>
                <w:b/>
                <w:bCs/>
                <w:szCs w:val="18"/>
                <w:lang w:val="en-US"/>
              </w:rPr>
              <w:t xml:space="preserve"> </w:t>
            </w:r>
          </w:p>
        </w:tc>
        <w:tc>
          <w:tcPr>
            <w:tcW w:w="577" w:type="pct"/>
            <w:tcBorders>
              <w:top w:val="nil"/>
              <w:left w:val="nil"/>
              <w:bottom w:val="nil"/>
              <w:right w:val="nil"/>
            </w:tcBorders>
            <w:shd w:val="clear" w:color="auto" w:fill="FFFFFF"/>
            <w:noWrap/>
            <w:vAlign w:val="bottom"/>
          </w:tcPr>
          <w:p w14:paraId="2D188512" w14:textId="77777777" w:rsidR="00C90DA4" w:rsidRPr="00B6422B" w:rsidRDefault="00C90DA4" w:rsidP="00C90DA4">
            <w:pPr>
              <w:jc w:val="right"/>
              <w:rPr>
                <w:bCs/>
                <w:szCs w:val="18"/>
                <w:lang w:val="en-US"/>
              </w:rPr>
            </w:pPr>
            <w:r w:rsidRPr="00B6422B">
              <w:rPr>
                <w:bCs/>
                <w:szCs w:val="18"/>
                <w:lang w:val="en-US"/>
              </w:rPr>
              <w:t xml:space="preserve">1,237 </w:t>
            </w:r>
          </w:p>
        </w:tc>
      </w:tr>
      <w:tr w:rsidR="00C90DA4" w:rsidRPr="00C05614" w14:paraId="27E4E84E" w14:textId="77777777" w:rsidTr="002215A6">
        <w:trPr>
          <w:trHeight w:val="255"/>
        </w:trPr>
        <w:tc>
          <w:tcPr>
            <w:tcW w:w="3948" w:type="pct"/>
            <w:tcBorders>
              <w:top w:val="nil"/>
              <w:left w:val="nil"/>
              <w:bottom w:val="nil"/>
              <w:right w:val="nil"/>
            </w:tcBorders>
            <w:shd w:val="clear" w:color="auto" w:fill="FFFFFF"/>
            <w:noWrap/>
            <w:vAlign w:val="bottom"/>
          </w:tcPr>
          <w:p w14:paraId="78294FE1" w14:textId="77777777" w:rsidR="00C90DA4" w:rsidRPr="00C05614" w:rsidRDefault="00C90DA4" w:rsidP="00C90DA4">
            <w:pPr>
              <w:rPr>
                <w:b/>
                <w:bCs/>
                <w:szCs w:val="18"/>
                <w:lang w:val="en-US"/>
              </w:rPr>
            </w:pPr>
            <w:r w:rsidRPr="00C05614">
              <w:rPr>
                <w:b/>
                <w:bCs/>
                <w:szCs w:val="18"/>
                <w:lang w:val="en-US"/>
              </w:rPr>
              <w:t>Total goods and services</w:t>
            </w:r>
            <w:r>
              <w:rPr>
                <w:b/>
                <w:bCs/>
                <w:szCs w:val="18"/>
                <w:lang w:val="en-US"/>
              </w:rPr>
              <w:t xml:space="preserve"> supplied or rendered</w:t>
            </w:r>
          </w:p>
        </w:tc>
        <w:tc>
          <w:tcPr>
            <w:tcW w:w="475" w:type="pct"/>
            <w:tcBorders>
              <w:top w:val="single" w:sz="4" w:space="0" w:color="auto"/>
              <w:left w:val="nil"/>
              <w:bottom w:val="single" w:sz="4" w:space="0" w:color="auto"/>
              <w:right w:val="nil"/>
            </w:tcBorders>
            <w:shd w:val="clear" w:color="auto" w:fill="FFFFFF"/>
            <w:vAlign w:val="bottom"/>
          </w:tcPr>
          <w:p w14:paraId="63EA5835" w14:textId="77777777" w:rsidR="00C90DA4" w:rsidRPr="00C05614" w:rsidRDefault="00C90DA4" w:rsidP="00C90DA4">
            <w:pPr>
              <w:jc w:val="right"/>
              <w:rPr>
                <w:b/>
                <w:bCs/>
                <w:szCs w:val="18"/>
                <w:lang w:val="en-US"/>
              </w:rPr>
            </w:pPr>
            <w:r>
              <w:rPr>
                <w:b/>
                <w:bCs/>
                <w:szCs w:val="18"/>
                <w:lang w:val="en-US"/>
              </w:rPr>
              <w:t>15,044</w:t>
            </w:r>
            <w:r w:rsidRPr="00C51A34">
              <w:rPr>
                <w:b/>
                <w:bCs/>
                <w:szCs w:val="18"/>
                <w:lang w:val="en-US"/>
              </w:rPr>
              <w:t xml:space="preserve"> </w:t>
            </w:r>
          </w:p>
        </w:tc>
        <w:tc>
          <w:tcPr>
            <w:tcW w:w="577" w:type="pct"/>
            <w:tcBorders>
              <w:top w:val="single" w:sz="4" w:space="0" w:color="auto"/>
              <w:left w:val="nil"/>
              <w:bottom w:val="single" w:sz="4" w:space="0" w:color="auto"/>
              <w:right w:val="nil"/>
            </w:tcBorders>
            <w:shd w:val="clear" w:color="auto" w:fill="FFFFFF"/>
            <w:noWrap/>
            <w:vAlign w:val="bottom"/>
          </w:tcPr>
          <w:p w14:paraId="3046D1A1" w14:textId="77777777" w:rsidR="00C90DA4" w:rsidRPr="00B6422B" w:rsidRDefault="00C90DA4" w:rsidP="00C90DA4">
            <w:pPr>
              <w:jc w:val="right"/>
              <w:rPr>
                <w:bCs/>
                <w:szCs w:val="18"/>
                <w:lang w:val="en-US"/>
              </w:rPr>
            </w:pPr>
            <w:r w:rsidRPr="00B6422B">
              <w:rPr>
                <w:bCs/>
                <w:szCs w:val="18"/>
                <w:lang w:val="en-US"/>
              </w:rPr>
              <w:t xml:space="preserve">13,750 </w:t>
            </w:r>
          </w:p>
        </w:tc>
      </w:tr>
      <w:tr w:rsidR="00C90DA4" w:rsidRPr="00C05614" w14:paraId="15F2E627" w14:textId="77777777" w:rsidTr="002215A6">
        <w:trPr>
          <w:trHeight w:val="57"/>
        </w:trPr>
        <w:tc>
          <w:tcPr>
            <w:tcW w:w="3948" w:type="pct"/>
            <w:tcBorders>
              <w:top w:val="nil"/>
              <w:left w:val="nil"/>
              <w:bottom w:val="nil"/>
              <w:right w:val="nil"/>
            </w:tcBorders>
            <w:shd w:val="clear" w:color="auto" w:fill="FFFFFF"/>
            <w:noWrap/>
            <w:vAlign w:val="bottom"/>
          </w:tcPr>
          <w:p w14:paraId="13B0B182" w14:textId="77777777" w:rsidR="00C90DA4" w:rsidRPr="00C05614" w:rsidRDefault="00C90DA4" w:rsidP="00C90DA4">
            <w:pPr>
              <w:rPr>
                <w:b/>
                <w:bCs/>
                <w:szCs w:val="18"/>
                <w:lang w:val="en-US"/>
              </w:rPr>
            </w:pPr>
            <w:r w:rsidRPr="00C05614">
              <w:rPr>
                <w:b/>
                <w:bCs/>
                <w:szCs w:val="18"/>
                <w:lang w:val="en-US"/>
              </w:rPr>
              <w:t> </w:t>
            </w:r>
          </w:p>
        </w:tc>
        <w:tc>
          <w:tcPr>
            <w:tcW w:w="475" w:type="pct"/>
            <w:tcBorders>
              <w:top w:val="nil"/>
              <w:left w:val="nil"/>
              <w:bottom w:val="nil"/>
              <w:right w:val="nil"/>
            </w:tcBorders>
            <w:shd w:val="clear" w:color="auto" w:fill="FFFFFF"/>
            <w:vAlign w:val="bottom"/>
          </w:tcPr>
          <w:p w14:paraId="7C969267" w14:textId="77777777" w:rsidR="00C90DA4" w:rsidRPr="00C05614" w:rsidRDefault="00C90DA4" w:rsidP="00C90DA4">
            <w:pPr>
              <w:jc w:val="right"/>
              <w:rPr>
                <w:b/>
                <w:bCs/>
                <w:szCs w:val="18"/>
                <w:lang w:val="en-US"/>
              </w:rPr>
            </w:pPr>
          </w:p>
        </w:tc>
        <w:tc>
          <w:tcPr>
            <w:tcW w:w="577" w:type="pct"/>
            <w:tcBorders>
              <w:top w:val="nil"/>
              <w:left w:val="nil"/>
              <w:bottom w:val="nil"/>
              <w:right w:val="nil"/>
            </w:tcBorders>
            <w:shd w:val="clear" w:color="auto" w:fill="FFFFFF"/>
            <w:noWrap/>
            <w:vAlign w:val="bottom"/>
          </w:tcPr>
          <w:p w14:paraId="377B72E1" w14:textId="77777777" w:rsidR="00C90DA4" w:rsidRPr="00B6422B" w:rsidRDefault="00C90DA4" w:rsidP="00C90DA4">
            <w:pPr>
              <w:jc w:val="right"/>
              <w:rPr>
                <w:bCs/>
                <w:szCs w:val="18"/>
                <w:lang w:val="en-US"/>
              </w:rPr>
            </w:pPr>
          </w:p>
        </w:tc>
      </w:tr>
      <w:tr w:rsidR="00C90DA4" w:rsidRPr="00C05614" w14:paraId="03BBA2FF" w14:textId="77777777" w:rsidTr="002215A6">
        <w:trPr>
          <w:trHeight w:val="255"/>
        </w:trPr>
        <w:tc>
          <w:tcPr>
            <w:tcW w:w="3948" w:type="pct"/>
            <w:tcBorders>
              <w:top w:val="nil"/>
              <w:left w:val="nil"/>
              <w:bottom w:val="nil"/>
              <w:right w:val="nil"/>
            </w:tcBorders>
            <w:shd w:val="clear" w:color="auto" w:fill="FFFFFF"/>
            <w:vAlign w:val="bottom"/>
          </w:tcPr>
          <w:p w14:paraId="2274136D" w14:textId="77777777" w:rsidR="00C90DA4" w:rsidRPr="00C05614" w:rsidRDefault="00C90DA4" w:rsidP="00C90DA4">
            <w:pPr>
              <w:rPr>
                <w:b/>
                <w:bCs/>
                <w:szCs w:val="18"/>
                <w:lang w:val="en-US"/>
              </w:rPr>
            </w:pPr>
            <w:r w:rsidRPr="00C05614">
              <w:rPr>
                <w:b/>
                <w:bCs/>
                <w:szCs w:val="18"/>
                <w:lang w:val="en-US"/>
              </w:rPr>
              <w:t xml:space="preserve">Goods and services </w:t>
            </w:r>
            <w:r>
              <w:rPr>
                <w:b/>
                <w:bCs/>
                <w:szCs w:val="18"/>
                <w:lang w:val="en-US"/>
              </w:rPr>
              <w:t xml:space="preserve">supplied or rendered </w:t>
            </w:r>
            <w:r w:rsidRPr="00C05614">
              <w:rPr>
                <w:b/>
                <w:bCs/>
                <w:szCs w:val="18"/>
                <w:lang w:val="en-US"/>
              </w:rPr>
              <w:t>are made up of:</w:t>
            </w:r>
          </w:p>
        </w:tc>
        <w:tc>
          <w:tcPr>
            <w:tcW w:w="475" w:type="pct"/>
            <w:tcBorders>
              <w:top w:val="nil"/>
              <w:left w:val="nil"/>
              <w:bottom w:val="nil"/>
              <w:right w:val="nil"/>
            </w:tcBorders>
            <w:shd w:val="clear" w:color="auto" w:fill="FFFFFF"/>
            <w:vAlign w:val="bottom"/>
          </w:tcPr>
          <w:p w14:paraId="5A1A0B59" w14:textId="77777777" w:rsidR="00C90DA4" w:rsidRPr="00C05614" w:rsidRDefault="00C90DA4" w:rsidP="00C90DA4">
            <w:pPr>
              <w:jc w:val="right"/>
              <w:rPr>
                <w:b/>
                <w:bCs/>
                <w:szCs w:val="18"/>
                <w:lang w:val="en-US"/>
              </w:rPr>
            </w:pPr>
          </w:p>
        </w:tc>
        <w:tc>
          <w:tcPr>
            <w:tcW w:w="577" w:type="pct"/>
            <w:tcBorders>
              <w:top w:val="nil"/>
              <w:left w:val="nil"/>
              <w:bottom w:val="nil"/>
              <w:right w:val="nil"/>
            </w:tcBorders>
            <w:shd w:val="clear" w:color="auto" w:fill="FFFFFF"/>
            <w:noWrap/>
            <w:vAlign w:val="bottom"/>
          </w:tcPr>
          <w:p w14:paraId="34322B80" w14:textId="77777777" w:rsidR="00C90DA4" w:rsidRPr="00B6422B" w:rsidRDefault="00C90DA4" w:rsidP="00C90DA4">
            <w:pPr>
              <w:jc w:val="right"/>
              <w:rPr>
                <w:bCs/>
                <w:szCs w:val="18"/>
                <w:lang w:val="en-US"/>
              </w:rPr>
            </w:pPr>
          </w:p>
        </w:tc>
      </w:tr>
      <w:tr w:rsidR="00C90DA4" w:rsidRPr="00C05614" w14:paraId="6ACB2252" w14:textId="77777777" w:rsidTr="002215A6">
        <w:trPr>
          <w:trHeight w:val="255"/>
        </w:trPr>
        <w:tc>
          <w:tcPr>
            <w:tcW w:w="3948" w:type="pct"/>
            <w:tcBorders>
              <w:top w:val="nil"/>
              <w:left w:val="nil"/>
              <w:bottom w:val="nil"/>
              <w:right w:val="nil"/>
            </w:tcBorders>
            <w:vAlign w:val="bottom"/>
          </w:tcPr>
          <w:p w14:paraId="5068CDC7" w14:textId="77777777" w:rsidR="00C90DA4" w:rsidRPr="00C05614" w:rsidRDefault="00C90DA4" w:rsidP="00C90DA4">
            <w:pPr>
              <w:rPr>
                <w:szCs w:val="18"/>
                <w:lang w:val="en-US"/>
              </w:rPr>
            </w:pPr>
            <w:r>
              <w:rPr>
                <w:szCs w:val="18"/>
                <w:lang w:val="en-US"/>
              </w:rPr>
              <w:t>Goods supplied</w:t>
            </w:r>
          </w:p>
        </w:tc>
        <w:tc>
          <w:tcPr>
            <w:tcW w:w="475" w:type="pct"/>
            <w:tcBorders>
              <w:top w:val="nil"/>
              <w:left w:val="nil"/>
              <w:bottom w:val="nil"/>
              <w:right w:val="nil"/>
            </w:tcBorders>
            <w:shd w:val="clear" w:color="auto" w:fill="auto"/>
            <w:vAlign w:val="bottom"/>
          </w:tcPr>
          <w:p w14:paraId="5FAB2D86" w14:textId="77777777" w:rsidR="00C90DA4" w:rsidRPr="00DA2747" w:rsidRDefault="00C90DA4" w:rsidP="00C90DA4">
            <w:pPr>
              <w:jc w:val="right"/>
              <w:rPr>
                <w:b/>
                <w:bCs/>
                <w:szCs w:val="18"/>
                <w:lang w:val="en-US"/>
              </w:rPr>
            </w:pPr>
            <w:r>
              <w:rPr>
                <w:b/>
                <w:bCs/>
                <w:szCs w:val="18"/>
                <w:lang w:val="en-US"/>
              </w:rPr>
              <w:t>857</w:t>
            </w:r>
            <w:r w:rsidRPr="00DA2747">
              <w:rPr>
                <w:b/>
                <w:bCs/>
                <w:szCs w:val="18"/>
                <w:lang w:val="en-US"/>
              </w:rPr>
              <w:t xml:space="preserve"> </w:t>
            </w:r>
          </w:p>
        </w:tc>
        <w:tc>
          <w:tcPr>
            <w:tcW w:w="577" w:type="pct"/>
            <w:tcBorders>
              <w:top w:val="nil"/>
              <w:left w:val="nil"/>
              <w:bottom w:val="nil"/>
              <w:right w:val="nil"/>
            </w:tcBorders>
            <w:shd w:val="clear" w:color="auto" w:fill="FFFFFF"/>
            <w:noWrap/>
            <w:vAlign w:val="bottom"/>
          </w:tcPr>
          <w:p w14:paraId="44FE4C8A" w14:textId="77777777" w:rsidR="00C90DA4" w:rsidRPr="00B6422B" w:rsidRDefault="00C90DA4" w:rsidP="00C90DA4">
            <w:pPr>
              <w:jc w:val="right"/>
              <w:rPr>
                <w:bCs/>
                <w:szCs w:val="18"/>
                <w:lang w:val="en-US"/>
              </w:rPr>
            </w:pPr>
            <w:r w:rsidRPr="00B6422B">
              <w:rPr>
                <w:bCs/>
                <w:szCs w:val="18"/>
                <w:lang w:val="en-US"/>
              </w:rPr>
              <w:t xml:space="preserve">542 </w:t>
            </w:r>
          </w:p>
        </w:tc>
      </w:tr>
      <w:tr w:rsidR="00C90DA4" w:rsidRPr="00C05614" w14:paraId="4D7359DD" w14:textId="77777777" w:rsidTr="002215A6">
        <w:trPr>
          <w:trHeight w:val="255"/>
        </w:trPr>
        <w:tc>
          <w:tcPr>
            <w:tcW w:w="3948" w:type="pct"/>
            <w:tcBorders>
              <w:top w:val="nil"/>
              <w:left w:val="nil"/>
              <w:bottom w:val="nil"/>
              <w:right w:val="nil"/>
            </w:tcBorders>
            <w:vAlign w:val="bottom"/>
          </w:tcPr>
          <w:p w14:paraId="0DF09BFA" w14:textId="77777777" w:rsidR="00C90DA4" w:rsidRPr="00C05614" w:rsidRDefault="00C90DA4" w:rsidP="00C90DA4">
            <w:pPr>
              <w:rPr>
                <w:szCs w:val="18"/>
                <w:lang w:val="en-US"/>
              </w:rPr>
            </w:pPr>
            <w:r>
              <w:rPr>
                <w:szCs w:val="18"/>
                <w:lang w:val="en-US"/>
              </w:rPr>
              <w:t>Services rendered</w:t>
            </w:r>
          </w:p>
        </w:tc>
        <w:tc>
          <w:tcPr>
            <w:tcW w:w="475" w:type="pct"/>
            <w:tcBorders>
              <w:top w:val="nil"/>
              <w:left w:val="nil"/>
              <w:bottom w:val="nil"/>
              <w:right w:val="nil"/>
            </w:tcBorders>
            <w:shd w:val="clear" w:color="auto" w:fill="auto"/>
            <w:vAlign w:val="bottom"/>
          </w:tcPr>
          <w:p w14:paraId="629C86C8" w14:textId="77777777" w:rsidR="00C90DA4" w:rsidRPr="00DA2747" w:rsidRDefault="00C90DA4" w:rsidP="00C90DA4">
            <w:pPr>
              <w:jc w:val="right"/>
              <w:rPr>
                <w:b/>
                <w:bCs/>
                <w:szCs w:val="18"/>
                <w:lang w:val="en-US"/>
              </w:rPr>
            </w:pPr>
            <w:r>
              <w:rPr>
                <w:b/>
                <w:bCs/>
                <w:szCs w:val="18"/>
                <w:lang w:val="en-US"/>
              </w:rPr>
              <w:t>14,187</w:t>
            </w:r>
            <w:r w:rsidRPr="00DA2747">
              <w:rPr>
                <w:b/>
                <w:bCs/>
                <w:szCs w:val="18"/>
                <w:lang w:val="en-US"/>
              </w:rPr>
              <w:t xml:space="preserve"> </w:t>
            </w:r>
          </w:p>
        </w:tc>
        <w:tc>
          <w:tcPr>
            <w:tcW w:w="577" w:type="pct"/>
            <w:tcBorders>
              <w:top w:val="nil"/>
              <w:left w:val="nil"/>
              <w:bottom w:val="nil"/>
              <w:right w:val="nil"/>
            </w:tcBorders>
            <w:shd w:val="clear" w:color="auto" w:fill="FFFFFF"/>
            <w:noWrap/>
            <w:vAlign w:val="bottom"/>
          </w:tcPr>
          <w:p w14:paraId="29EB9301" w14:textId="77777777" w:rsidR="00C90DA4" w:rsidRPr="00B6422B" w:rsidRDefault="00C90DA4" w:rsidP="00C90DA4">
            <w:pPr>
              <w:jc w:val="right"/>
              <w:rPr>
                <w:bCs/>
                <w:szCs w:val="18"/>
                <w:lang w:val="en-US"/>
              </w:rPr>
            </w:pPr>
            <w:r w:rsidRPr="00B6422B">
              <w:rPr>
                <w:bCs/>
                <w:szCs w:val="18"/>
                <w:lang w:val="en-US"/>
              </w:rPr>
              <w:t xml:space="preserve">13,208 </w:t>
            </w:r>
          </w:p>
        </w:tc>
      </w:tr>
      <w:tr w:rsidR="00C90DA4" w:rsidRPr="00C05614" w14:paraId="0EBBBC79" w14:textId="77777777" w:rsidTr="002215A6">
        <w:trPr>
          <w:trHeight w:val="255"/>
        </w:trPr>
        <w:tc>
          <w:tcPr>
            <w:tcW w:w="3948" w:type="pct"/>
            <w:tcBorders>
              <w:top w:val="nil"/>
              <w:left w:val="nil"/>
              <w:bottom w:val="nil"/>
              <w:right w:val="nil"/>
            </w:tcBorders>
            <w:vAlign w:val="bottom"/>
          </w:tcPr>
          <w:p w14:paraId="5D4B5E95" w14:textId="77777777" w:rsidR="00C90DA4" w:rsidRPr="00C05614" w:rsidRDefault="00C90DA4" w:rsidP="00C90DA4">
            <w:pPr>
              <w:rPr>
                <w:b/>
                <w:bCs/>
                <w:szCs w:val="18"/>
                <w:lang w:val="en-US"/>
              </w:rPr>
            </w:pPr>
            <w:r w:rsidRPr="00C05614">
              <w:rPr>
                <w:b/>
                <w:bCs/>
                <w:szCs w:val="18"/>
                <w:lang w:val="en-US"/>
              </w:rPr>
              <w:t>Total goods and services</w:t>
            </w:r>
            <w:r>
              <w:rPr>
                <w:b/>
                <w:bCs/>
                <w:szCs w:val="18"/>
                <w:lang w:val="en-US"/>
              </w:rPr>
              <w:t xml:space="preserve"> supplied or rendered</w:t>
            </w:r>
          </w:p>
        </w:tc>
        <w:tc>
          <w:tcPr>
            <w:tcW w:w="475" w:type="pct"/>
            <w:tcBorders>
              <w:top w:val="single" w:sz="4" w:space="0" w:color="auto"/>
              <w:left w:val="nil"/>
              <w:bottom w:val="single" w:sz="4" w:space="0" w:color="auto"/>
              <w:right w:val="nil"/>
            </w:tcBorders>
            <w:shd w:val="clear" w:color="auto" w:fill="auto"/>
            <w:vAlign w:val="bottom"/>
          </w:tcPr>
          <w:p w14:paraId="2F78582A" w14:textId="77777777" w:rsidR="00C90DA4" w:rsidRPr="00DA2747" w:rsidRDefault="00C90DA4" w:rsidP="00C90DA4">
            <w:pPr>
              <w:jc w:val="right"/>
              <w:rPr>
                <w:b/>
                <w:bCs/>
                <w:szCs w:val="18"/>
                <w:lang w:val="en-US"/>
              </w:rPr>
            </w:pPr>
            <w:r>
              <w:rPr>
                <w:b/>
                <w:bCs/>
                <w:szCs w:val="18"/>
                <w:lang w:val="en-US"/>
              </w:rPr>
              <w:t>15,044</w:t>
            </w:r>
            <w:r w:rsidRPr="00DA2747">
              <w:rPr>
                <w:b/>
                <w:bCs/>
                <w:szCs w:val="18"/>
                <w:lang w:val="en-US"/>
              </w:rPr>
              <w:t xml:space="preserve"> </w:t>
            </w:r>
          </w:p>
        </w:tc>
        <w:tc>
          <w:tcPr>
            <w:tcW w:w="577" w:type="pct"/>
            <w:tcBorders>
              <w:top w:val="single" w:sz="4" w:space="0" w:color="auto"/>
              <w:left w:val="nil"/>
              <w:bottom w:val="single" w:sz="4" w:space="0" w:color="auto"/>
              <w:right w:val="nil"/>
            </w:tcBorders>
            <w:shd w:val="clear" w:color="auto" w:fill="FFFFFF"/>
            <w:noWrap/>
            <w:vAlign w:val="bottom"/>
          </w:tcPr>
          <w:p w14:paraId="36DB1B86" w14:textId="77777777" w:rsidR="00C90DA4" w:rsidRPr="00B6422B" w:rsidRDefault="00C90DA4" w:rsidP="00C90DA4">
            <w:pPr>
              <w:jc w:val="right"/>
              <w:rPr>
                <w:bCs/>
                <w:szCs w:val="18"/>
                <w:lang w:val="en-US"/>
              </w:rPr>
            </w:pPr>
            <w:r w:rsidRPr="00B6422B">
              <w:rPr>
                <w:bCs/>
                <w:szCs w:val="18"/>
                <w:lang w:val="en-US"/>
              </w:rPr>
              <w:t xml:space="preserve">13,750 </w:t>
            </w:r>
          </w:p>
        </w:tc>
      </w:tr>
      <w:tr w:rsidR="00C90DA4" w:rsidRPr="00C05614" w14:paraId="3F2EC444" w14:textId="77777777" w:rsidTr="002215A6">
        <w:trPr>
          <w:trHeight w:val="57"/>
        </w:trPr>
        <w:tc>
          <w:tcPr>
            <w:tcW w:w="3948" w:type="pct"/>
            <w:tcBorders>
              <w:top w:val="nil"/>
              <w:left w:val="nil"/>
              <w:bottom w:val="nil"/>
              <w:right w:val="nil"/>
            </w:tcBorders>
            <w:shd w:val="clear" w:color="auto" w:fill="FFFFFF"/>
            <w:noWrap/>
            <w:vAlign w:val="bottom"/>
          </w:tcPr>
          <w:p w14:paraId="533A2ACC" w14:textId="77777777" w:rsidR="00C90DA4" w:rsidRPr="00C05614" w:rsidRDefault="00C90DA4" w:rsidP="00C90DA4">
            <w:pPr>
              <w:rPr>
                <w:b/>
                <w:bCs/>
                <w:szCs w:val="18"/>
                <w:lang w:val="en-US"/>
              </w:rPr>
            </w:pPr>
            <w:r w:rsidRPr="00C05614">
              <w:rPr>
                <w:b/>
                <w:bCs/>
                <w:szCs w:val="18"/>
                <w:lang w:val="en-US"/>
              </w:rPr>
              <w:t> </w:t>
            </w:r>
          </w:p>
        </w:tc>
        <w:tc>
          <w:tcPr>
            <w:tcW w:w="475" w:type="pct"/>
            <w:tcBorders>
              <w:top w:val="nil"/>
              <w:left w:val="nil"/>
              <w:bottom w:val="nil"/>
              <w:right w:val="nil"/>
            </w:tcBorders>
            <w:shd w:val="clear" w:color="auto" w:fill="FFFFFF"/>
            <w:vAlign w:val="bottom"/>
          </w:tcPr>
          <w:p w14:paraId="7988C0D4" w14:textId="77777777" w:rsidR="00C90DA4" w:rsidRPr="00C05614" w:rsidRDefault="00C90DA4" w:rsidP="00C90DA4">
            <w:pPr>
              <w:jc w:val="right"/>
              <w:rPr>
                <w:b/>
                <w:bCs/>
                <w:szCs w:val="18"/>
                <w:lang w:val="en-US"/>
              </w:rPr>
            </w:pPr>
          </w:p>
        </w:tc>
        <w:tc>
          <w:tcPr>
            <w:tcW w:w="577" w:type="pct"/>
            <w:tcBorders>
              <w:top w:val="nil"/>
              <w:left w:val="nil"/>
              <w:bottom w:val="nil"/>
              <w:right w:val="nil"/>
            </w:tcBorders>
            <w:shd w:val="clear" w:color="auto" w:fill="FFFFFF"/>
            <w:noWrap/>
            <w:vAlign w:val="bottom"/>
          </w:tcPr>
          <w:p w14:paraId="0E5A745D" w14:textId="77777777" w:rsidR="00C90DA4" w:rsidRPr="00B6422B" w:rsidRDefault="00C90DA4" w:rsidP="00C90DA4">
            <w:pPr>
              <w:jc w:val="right"/>
              <w:rPr>
                <w:bCs/>
                <w:szCs w:val="18"/>
                <w:lang w:val="en-US"/>
              </w:rPr>
            </w:pPr>
          </w:p>
        </w:tc>
      </w:tr>
      <w:tr w:rsidR="00C90DA4" w:rsidRPr="00C05614" w14:paraId="506F5906" w14:textId="77777777" w:rsidTr="002215A6">
        <w:trPr>
          <w:trHeight w:val="255"/>
        </w:trPr>
        <w:tc>
          <w:tcPr>
            <w:tcW w:w="3948" w:type="pct"/>
            <w:tcBorders>
              <w:top w:val="nil"/>
              <w:left w:val="nil"/>
              <w:bottom w:val="nil"/>
              <w:right w:val="nil"/>
            </w:tcBorders>
            <w:shd w:val="clear" w:color="auto" w:fill="FFFFFF"/>
            <w:noWrap/>
            <w:vAlign w:val="bottom"/>
          </w:tcPr>
          <w:p w14:paraId="002C2C30" w14:textId="77777777" w:rsidR="00C90DA4" w:rsidRPr="00C05614" w:rsidRDefault="00C90DA4" w:rsidP="00C90DA4">
            <w:pPr>
              <w:rPr>
                <w:b/>
                <w:bCs/>
                <w:szCs w:val="18"/>
                <w:lang w:val="en-US"/>
              </w:rPr>
            </w:pPr>
            <w:r w:rsidRPr="00C05614">
              <w:rPr>
                <w:b/>
                <w:bCs/>
                <w:szCs w:val="18"/>
                <w:lang w:val="en-US"/>
              </w:rPr>
              <w:t>Other supplier expenses</w:t>
            </w:r>
          </w:p>
        </w:tc>
        <w:tc>
          <w:tcPr>
            <w:tcW w:w="475" w:type="pct"/>
            <w:tcBorders>
              <w:top w:val="nil"/>
              <w:left w:val="nil"/>
              <w:bottom w:val="nil"/>
              <w:right w:val="nil"/>
            </w:tcBorders>
            <w:shd w:val="clear" w:color="auto" w:fill="FFFFFF"/>
            <w:vAlign w:val="bottom"/>
          </w:tcPr>
          <w:p w14:paraId="39A7EBDA" w14:textId="77777777" w:rsidR="00C90DA4" w:rsidRPr="00C05614" w:rsidRDefault="00C90DA4" w:rsidP="00C90DA4">
            <w:pPr>
              <w:jc w:val="right"/>
              <w:rPr>
                <w:b/>
                <w:bCs/>
                <w:szCs w:val="18"/>
                <w:lang w:val="en-US"/>
              </w:rPr>
            </w:pPr>
          </w:p>
        </w:tc>
        <w:tc>
          <w:tcPr>
            <w:tcW w:w="577" w:type="pct"/>
            <w:tcBorders>
              <w:top w:val="nil"/>
              <w:left w:val="nil"/>
              <w:bottom w:val="nil"/>
              <w:right w:val="nil"/>
            </w:tcBorders>
            <w:shd w:val="clear" w:color="auto" w:fill="FFFFFF"/>
            <w:noWrap/>
            <w:vAlign w:val="bottom"/>
          </w:tcPr>
          <w:p w14:paraId="7A0FEFCC" w14:textId="77777777" w:rsidR="00C90DA4" w:rsidRPr="00B6422B" w:rsidRDefault="00C90DA4" w:rsidP="00C90DA4">
            <w:pPr>
              <w:jc w:val="right"/>
              <w:rPr>
                <w:bCs/>
                <w:szCs w:val="18"/>
                <w:lang w:val="en-US"/>
              </w:rPr>
            </w:pPr>
          </w:p>
        </w:tc>
      </w:tr>
      <w:tr w:rsidR="00C90DA4" w:rsidRPr="00C05614" w14:paraId="334B8CB3" w14:textId="77777777" w:rsidTr="002215A6">
        <w:trPr>
          <w:trHeight w:val="255"/>
        </w:trPr>
        <w:tc>
          <w:tcPr>
            <w:tcW w:w="3948" w:type="pct"/>
            <w:tcBorders>
              <w:top w:val="nil"/>
              <w:left w:val="nil"/>
              <w:bottom w:val="nil"/>
              <w:right w:val="nil"/>
            </w:tcBorders>
            <w:shd w:val="clear" w:color="auto" w:fill="FFFFFF"/>
            <w:vAlign w:val="bottom"/>
          </w:tcPr>
          <w:p w14:paraId="5AB71504" w14:textId="77777777" w:rsidR="00C90DA4" w:rsidRPr="00C05614" w:rsidRDefault="00C90DA4" w:rsidP="00C90DA4">
            <w:pPr>
              <w:rPr>
                <w:bCs/>
                <w:szCs w:val="18"/>
                <w:lang w:val="en-US"/>
              </w:rPr>
            </w:pPr>
            <w:r w:rsidRPr="00C05614">
              <w:rPr>
                <w:bCs/>
                <w:szCs w:val="18"/>
                <w:lang w:val="en-US"/>
              </w:rPr>
              <w:t>Operating lease rentals</w:t>
            </w:r>
          </w:p>
        </w:tc>
        <w:tc>
          <w:tcPr>
            <w:tcW w:w="475" w:type="pct"/>
            <w:tcBorders>
              <w:top w:val="nil"/>
              <w:left w:val="nil"/>
              <w:bottom w:val="nil"/>
              <w:right w:val="nil"/>
            </w:tcBorders>
            <w:shd w:val="clear" w:color="auto" w:fill="FFFFFF"/>
            <w:vAlign w:val="bottom"/>
          </w:tcPr>
          <w:p w14:paraId="3CAE327D" w14:textId="77777777" w:rsidR="00C90DA4" w:rsidRPr="00C05614" w:rsidRDefault="00C90DA4" w:rsidP="00C90DA4">
            <w:pPr>
              <w:jc w:val="right"/>
              <w:rPr>
                <w:b/>
                <w:bCs/>
                <w:szCs w:val="18"/>
                <w:lang w:val="en-US"/>
              </w:rPr>
            </w:pPr>
          </w:p>
        </w:tc>
        <w:tc>
          <w:tcPr>
            <w:tcW w:w="577" w:type="pct"/>
            <w:tcBorders>
              <w:top w:val="nil"/>
              <w:left w:val="nil"/>
              <w:bottom w:val="nil"/>
              <w:right w:val="nil"/>
            </w:tcBorders>
            <w:shd w:val="clear" w:color="auto" w:fill="FFFFFF"/>
            <w:noWrap/>
            <w:vAlign w:val="bottom"/>
          </w:tcPr>
          <w:p w14:paraId="01D3BECE" w14:textId="77777777" w:rsidR="00C90DA4" w:rsidRPr="00B6422B" w:rsidRDefault="00C90DA4" w:rsidP="00C90DA4">
            <w:pPr>
              <w:jc w:val="right"/>
              <w:rPr>
                <w:bCs/>
                <w:szCs w:val="18"/>
                <w:lang w:val="en-US"/>
              </w:rPr>
            </w:pPr>
          </w:p>
        </w:tc>
      </w:tr>
      <w:tr w:rsidR="00C90DA4" w:rsidRPr="00C05614" w14:paraId="58654E1E" w14:textId="77777777" w:rsidTr="002215A6">
        <w:trPr>
          <w:trHeight w:val="255"/>
        </w:trPr>
        <w:tc>
          <w:tcPr>
            <w:tcW w:w="3948" w:type="pct"/>
            <w:tcBorders>
              <w:top w:val="nil"/>
              <w:left w:val="nil"/>
              <w:bottom w:val="nil"/>
              <w:right w:val="nil"/>
            </w:tcBorders>
            <w:shd w:val="clear" w:color="auto" w:fill="FFFFFF"/>
            <w:noWrap/>
            <w:vAlign w:val="bottom"/>
          </w:tcPr>
          <w:p w14:paraId="74617AC8" w14:textId="77777777" w:rsidR="00C90DA4" w:rsidRPr="00C05614" w:rsidRDefault="00C90DA4" w:rsidP="00C90DA4">
            <w:pPr>
              <w:ind w:firstLineChars="200" w:firstLine="360"/>
              <w:rPr>
                <w:szCs w:val="18"/>
                <w:lang w:val="en-US"/>
              </w:rPr>
            </w:pPr>
            <w:r w:rsidRPr="00C05614">
              <w:rPr>
                <w:szCs w:val="18"/>
                <w:lang w:val="en-US"/>
              </w:rPr>
              <w:t xml:space="preserve">  Minimum l</w:t>
            </w:r>
            <w:r>
              <w:rPr>
                <w:szCs w:val="18"/>
                <w:lang w:val="en-US"/>
              </w:rPr>
              <w:t xml:space="preserve">ease payments </w:t>
            </w:r>
          </w:p>
        </w:tc>
        <w:tc>
          <w:tcPr>
            <w:tcW w:w="475" w:type="pct"/>
            <w:tcBorders>
              <w:top w:val="nil"/>
              <w:left w:val="nil"/>
              <w:bottom w:val="nil"/>
              <w:right w:val="nil"/>
            </w:tcBorders>
            <w:shd w:val="clear" w:color="auto" w:fill="FFFFFF"/>
            <w:vAlign w:val="bottom"/>
          </w:tcPr>
          <w:p w14:paraId="5AB02DA3" w14:textId="77777777" w:rsidR="00C90DA4" w:rsidRPr="00C05614" w:rsidRDefault="00C90DA4" w:rsidP="00C90DA4">
            <w:pPr>
              <w:jc w:val="right"/>
              <w:rPr>
                <w:b/>
                <w:bCs/>
                <w:szCs w:val="18"/>
                <w:lang w:val="en-US"/>
              </w:rPr>
            </w:pPr>
            <w:r>
              <w:rPr>
                <w:b/>
                <w:bCs/>
                <w:szCs w:val="18"/>
                <w:lang w:val="en-US"/>
              </w:rPr>
              <w:t>1,306</w:t>
            </w:r>
          </w:p>
        </w:tc>
        <w:tc>
          <w:tcPr>
            <w:tcW w:w="577" w:type="pct"/>
            <w:tcBorders>
              <w:top w:val="nil"/>
              <w:left w:val="nil"/>
              <w:bottom w:val="nil"/>
              <w:right w:val="nil"/>
            </w:tcBorders>
            <w:shd w:val="clear" w:color="auto" w:fill="FFFFFF"/>
            <w:noWrap/>
            <w:vAlign w:val="bottom"/>
          </w:tcPr>
          <w:p w14:paraId="33D39E1B" w14:textId="77777777" w:rsidR="00C90DA4" w:rsidRPr="00B6422B" w:rsidRDefault="00C90DA4" w:rsidP="00C90DA4">
            <w:pPr>
              <w:jc w:val="right"/>
              <w:rPr>
                <w:bCs/>
                <w:szCs w:val="18"/>
                <w:lang w:val="en-US"/>
              </w:rPr>
            </w:pPr>
            <w:r w:rsidRPr="00B6422B">
              <w:rPr>
                <w:bCs/>
                <w:szCs w:val="18"/>
                <w:lang w:val="en-US"/>
              </w:rPr>
              <w:t>939</w:t>
            </w:r>
          </w:p>
        </w:tc>
      </w:tr>
      <w:tr w:rsidR="00C90DA4" w:rsidRPr="00C05614" w14:paraId="3EF29E79" w14:textId="77777777" w:rsidTr="002215A6">
        <w:trPr>
          <w:trHeight w:val="255"/>
        </w:trPr>
        <w:tc>
          <w:tcPr>
            <w:tcW w:w="3948" w:type="pct"/>
            <w:tcBorders>
              <w:top w:val="nil"/>
              <w:left w:val="nil"/>
              <w:bottom w:val="nil"/>
              <w:right w:val="nil"/>
            </w:tcBorders>
            <w:shd w:val="clear" w:color="auto" w:fill="FFFFFF"/>
            <w:vAlign w:val="bottom"/>
          </w:tcPr>
          <w:p w14:paraId="4172CCB6" w14:textId="77777777" w:rsidR="00C90DA4" w:rsidRPr="00C05614" w:rsidRDefault="00C90DA4" w:rsidP="00C90DA4">
            <w:pPr>
              <w:rPr>
                <w:szCs w:val="18"/>
                <w:lang w:val="en-US"/>
              </w:rPr>
            </w:pPr>
            <w:r w:rsidRPr="00C05614">
              <w:rPr>
                <w:szCs w:val="18"/>
                <w:lang w:val="en-US"/>
              </w:rPr>
              <w:t>Workers compensation expenses</w:t>
            </w:r>
          </w:p>
        </w:tc>
        <w:tc>
          <w:tcPr>
            <w:tcW w:w="475" w:type="pct"/>
            <w:tcBorders>
              <w:top w:val="nil"/>
              <w:left w:val="nil"/>
              <w:bottom w:val="nil"/>
              <w:right w:val="nil"/>
            </w:tcBorders>
            <w:shd w:val="clear" w:color="auto" w:fill="FFFFFF"/>
            <w:vAlign w:val="bottom"/>
          </w:tcPr>
          <w:p w14:paraId="6C242699" w14:textId="77777777" w:rsidR="00C90DA4" w:rsidRPr="00C05614" w:rsidRDefault="00C90DA4" w:rsidP="00C90DA4">
            <w:pPr>
              <w:jc w:val="right"/>
              <w:rPr>
                <w:b/>
                <w:bCs/>
                <w:szCs w:val="18"/>
                <w:lang w:val="en-US"/>
              </w:rPr>
            </w:pPr>
            <w:r>
              <w:rPr>
                <w:b/>
                <w:bCs/>
                <w:szCs w:val="18"/>
                <w:lang w:val="en-US"/>
              </w:rPr>
              <w:t>227</w:t>
            </w:r>
            <w:r w:rsidRPr="00285EE1">
              <w:rPr>
                <w:b/>
                <w:bCs/>
                <w:szCs w:val="18"/>
                <w:lang w:val="en-US"/>
              </w:rPr>
              <w:t xml:space="preserve"> </w:t>
            </w:r>
          </w:p>
        </w:tc>
        <w:tc>
          <w:tcPr>
            <w:tcW w:w="577" w:type="pct"/>
            <w:tcBorders>
              <w:top w:val="nil"/>
              <w:left w:val="nil"/>
              <w:bottom w:val="nil"/>
              <w:right w:val="nil"/>
            </w:tcBorders>
            <w:shd w:val="clear" w:color="auto" w:fill="FFFFFF"/>
            <w:noWrap/>
            <w:vAlign w:val="bottom"/>
          </w:tcPr>
          <w:p w14:paraId="41E9BC89" w14:textId="77777777" w:rsidR="00C90DA4" w:rsidRPr="00B6422B" w:rsidRDefault="00C90DA4" w:rsidP="00C90DA4">
            <w:pPr>
              <w:jc w:val="right"/>
              <w:rPr>
                <w:bCs/>
                <w:szCs w:val="18"/>
                <w:lang w:val="en-US"/>
              </w:rPr>
            </w:pPr>
            <w:r w:rsidRPr="00B6422B">
              <w:rPr>
                <w:bCs/>
                <w:szCs w:val="18"/>
                <w:lang w:val="en-US"/>
              </w:rPr>
              <w:t xml:space="preserve">186 </w:t>
            </w:r>
          </w:p>
        </w:tc>
      </w:tr>
      <w:tr w:rsidR="00C90DA4" w:rsidRPr="00C05614" w14:paraId="0EE6BE78" w14:textId="77777777" w:rsidTr="002215A6">
        <w:trPr>
          <w:trHeight w:val="255"/>
        </w:trPr>
        <w:tc>
          <w:tcPr>
            <w:tcW w:w="3948" w:type="pct"/>
            <w:tcBorders>
              <w:top w:val="nil"/>
              <w:left w:val="nil"/>
              <w:bottom w:val="nil"/>
              <w:right w:val="nil"/>
            </w:tcBorders>
            <w:shd w:val="clear" w:color="auto" w:fill="FFFFFF"/>
            <w:vAlign w:val="bottom"/>
          </w:tcPr>
          <w:p w14:paraId="7CB66577" w14:textId="77777777" w:rsidR="00C90DA4" w:rsidRPr="00C05614" w:rsidRDefault="00C90DA4" w:rsidP="00C90DA4">
            <w:pPr>
              <w:rPr>
                <w:b/>
                <w:bCs/>
                <w:szCs w:val="18"/>
                <w:lang w:val="en-US"/>
              </w:rPr>
            </w:pPr>
            <w:r w:rsidRPr="00C05614">
              <w:rPr>
                <w:b/>
                <w:bCs/>
                <w:szCs w:val="18"/>
                <w:lang w:val="en-US"/>
              </w:rPr>
              <w:t>Total other supplier expenses</w:t>
            </w:r>
          </w:p>
        </w:tc>
        <w:tc>
          <w:tcPr>
            <w:tcW w:w="475" w:type="pct"/>
            <w:tcBorders>
              <w:top w:val="single" w:sz="4" w:space="0" w:color="auto"/>
              <w:left w:val="nil"/>
              <w:bottom w:val="single" w:sz="4" w:space="0" w:color="auto"/>
              <w:right w:val="nil"/>
            </w:tcBorders>
            <w:shd w:val="clear" w:color="auto" w:fill="FFFFFF"/>
            <w:vAlign w:val="bottom"/>
          </w:tcPr>
          <w:p w14:paraId="7C5F7A71" w14:textId="77777777" w:rsidR="00C90DA4" w:rsidRPr="00C05614" w:rsidRDefault="00C90DA4" w:rsidP="00C90DA4">
            <w:pPr>
              <w:jc w:val="right"/>
              <w:rPr>
                <w:b/>
                <w:bCs/>
                <w:szCs w:val="18"/>
                <w:lang w:val="en-US"/>
              </w:rPr>
            </w:pPr>
            <w:r>
              <w:rPr>
                <w:b/>
                <w:bCs/>
                <w:szCs w:val="18"/>
                <w:lang w:val="en-US"/>
              </w:rPr>
              <w:t>1,533</w:t>
            </w:r>
            <w:r w:rsidRPr="00285EE1">
              <w:rPr>
                <w:b/>
                <w:bCs/>
                <w:szCs w:val="18"/>
                <w:lang w:val="en-US"/>
              </w:rPr>
              <w:t xml:space="preserve"> </w:t>
            </w:r>
          </w:p>
        </w:tc>
        <w:tc>
          <w:tcPr>
            <w:tcW w:w="577" w:type="pct"/>
            <w:tcBorders>
              <w:top w:val="single" w:sz="4" w:space="0" w:color="auto"/>
              <w:left w:val="nil"/>
              <w:bottom w:val="single" w:sz="4" w:space="0" w:color="auto"/>
              <w:right w:val="nil"/>
            </w:tcBorders>
            <w:shd w:val="clear" w:color="auto" w:fill="FFFFFF"/>
            <w:noWrap/>
            <w:vAlign w:val="bottom"/>
          </w:tcPr>
          <w:p w14:paraId="75E936C3" w14:textId="77777777" w:rsidR="00C90DA4" w:rsidRPr="00B6422B" w:rsidRDefault="00C90DA4" w:rsidP="00C90DA4">
            <w:pPr>
              <w:jc w:val="right"/>
              <w:rPr>
                <w:bCs/>
                <w:szCs w:val="18"/>
                <w:lang w:val="en-US"/>
              </w:rPr>
            </w:pPr>
            <w:r w:rsidRPr="00B6422B">
              <w:rPr>
                <w:bCs/>
                <w:szCs w:val="18"/>
                <w:lang w:val="en-US"/>
              </w:rPr>
              <w:t xml:space="preserve">1,125 </w:t>
            </w:r>
          </w:p>
        </w:tc>
      </w:tr>
      <w:tr w:rsidR="00C90DA4" w:rsidRPr="00C05614" w14:paraId="1F67AADA" w14:textId="77777777" w:rsidTr="002215A6">
        <w:trPr>
          <w:trHeight w:val="255"/>
        </w:trPr>
        <w:tc>
          <w:tcPr>
            <w:tcW w:w="3948" w:type="pct"/>
            <w:tcBorders>
              <w:top w:val="nil"/>
              <w:left w:val="nil"/>
              <w:bottom w:val="nil"/>
              <w:right w:val="nil"/>
            </w:tcBorders>
            <w:shd w:val="clear" w:color="auto" w:fill="FFFFFF"/>
            <w:vAlign w:val="bottom"/>
          </w:tcPr>
          <w:p w14:paraId="4525BD29" w14:textId="77777777" w:rsidR="00C90DA4" w:rsidRPr="00C05614" w:rsidRDefault="00C90DA4" w:rsidP="00C90DA4">
            <w:pPr>
              <w:rPr>
                <w:b/>
                <w:bCs/>
                <w:szCs w:val="18"/>
                <w:lang w:val="en-US"/>
              </w:rPr>
            </w:pPr>
            <w:r w:rsidRPr="00C05614">
              <w:rPr>
                <w:b/>
                <w:bCs/>
                <w:szCs w:val="18"/>
                <w:lang w:val="en-US"/>
              </w:rPr>
              <w:t>Total supplier expenses</w:t>
            </w:r>
          </w:p>
        </w:tc>
        <w:tc>
          <w:tcPr>
            <w:tcW w:w="475" w:type="pct"/>
            <w:tcBorders>
              <w:top w:val="nil"/>
              <w:left w:val="nil"/>
              <w:bottom w:val="single" w:sz="4" w:space="0" w:color="auto"/>
              <w:right w:val="nil"/>
            </w:tcBorders>
            <w:shd w:val="clear" w:color="auto" w:fill="FFFFFF"/>
            <w:vAlign w:val="bottom"/>
          </w:tcPr>
          <w:p w14:paraId="53D6B73E" w14:textId="77777777" w:rsidR="00C90DA4" w:rsidRPr="00C05614" w:rsidRDefault="00C90DA4" w:rsidP="00C90DA4">
            <w:pPr>
              <w:jc w:val="right"/>
              <w:rPr>
                <w:b/>
                <w:bCs/>
                <w:szCs w:val="18"/>
                <w:lang w:val="en-US"/>
              </w:rPr>
            </w:pPr>
            <w:r>
              <w:rPr>
                <w:b/>
                <w:bCs/>
                <w:szCs w:val="18"/>
                <w:lang w:val="en-US"/>
              </w:rPr>
              <w:t>16,577</w:t>
            </w:r>
            <w:r w:rsidRPr="00C51A34">
              <w:rPr>
                <w:b/>
                <w:bCs/>
                <w:szCs w:val="18"/>
                <w:lang w:val="en-US"/>
              </w:rPr>
              <w:t xml:space="preserve"> </w:t>
            </w:r>
          </w:p>
        </w:tc>
        <w:tc>
          <w:tcPr>
            <w:tcW w:w="577" w:type="pct"/>
            <w:tcBorders>
              <w:top w:val="nil"/>
              <w:left w:val="nil"/>
              <w:bottom w:val="single" w:sz="4" w:space="0" w:color="auto"/>
              <w:right w:val="nil"/>
            </w:tcBorders>
            <w:shd w:val="clear" w:color="auto" w:fill="FFFFFF"/>
            <w:noWrap/>
            <w:vAlign w:val="bottom"/>
          </w:tcPr>
          <w:p w14:paraId="6F40AE32" w14:textId="77777777" w:rsidR="00C90DA4" w:rsidRPr="00B6422B" w:rsidRDefault="00C90DA4" w:rsidP="00C90DA4">
            <w:pPr>
              <w:jc w:val="right"/>
              <w:rPr>
                <w:bCs/>
                <w:szCs w:val="18"/>
                <w:lang w:val="en-US"/>
              </w:rPr>
            </w:pPr>
            <w:r w:rsidRPr="00B6422B">
              <w:rPr>
                <w:bCs/>
                <w:szCs w:val="18"/>
                <w:lang w:val="en-US"/>
              </w:rPr>
              <w:t xml:space="preserve">14,875 </w:t>
            </w:r>
          </w:p>
        </w:tc>
      </w:tr>
      <w:tr w:rsidR="00C90DA4" w:rsidRPr="00C05614" w14:paraId="3E858994" w14:textId="77777777" w:rsidTr="002215A6">
        <w:trPr>
          <w:trHeight w:val="57"/>
        </w:trPr>
        <w:tc>
          <w:tcPr>
            <w:tcW w:w="3948" w:type="pct"/>
            <w:tcBorders>
              <w:top w:val="nil"/>
              <w:left w:val="nil"/>
              <w:bottom w:val="nil"/>
              <w:right w:val="nil"/>
            </w:tcBorders>
            <w:shd w:val="clear" w:color="auto" w:fill="FFFFFF"/>
            <w:vAlign w:val="bottom"/>
          </w:tcPr>
          <w:p w14:paraId="67123C3E" w14:textId="77777777" w:rsidR="00C90DA4" w:rsidRPr="00C05614" w:rsidRDefault="00C90DA4" w:rsidP="00C90DA4">
            <w:pPr>
              <w:rPr>
                <w:b/>
                <w:bCs/>
                <w:szCs w:val="18"/>
                <w:lang w:val="en-US"/>
              </w:rPr>
            </w:pPr>
            <w:r w:rsidRPr="00C05614">
              <w:rPr>
                <w:b/>
                <w:bCs/>
                <w:szCs w:val="18"/>
                <w:lang w:val="en-US"/>
              </w:rPr>
              <w:t> </w:t>
            </w:r>
          </w:p>
        </w:tc>
        <w:tc>
          <w:tcPr>
            <w:tcW w:w="475" w:type="pct"/>
            <w:tcBorders>
              <w:top w:val="nil"/>
              <w:left w:val="nil"/>
              <w:bottom w:val="nil"/>
              <w:right w:val="nil"/>
            </w:tcBorders>
            <w:shd w:val="clear" w:color="auto" w:fill="FFFFFF"/>
            <w:vAlign w:val="bottom"/>
          </w:tcPr>
          <w:p w14:paraId="419E0891" w14:textId="77777777" w:rsidR="00C90DA4" w:rsidRPr="00C05614" w:rsidRDefault="00C90DA4" w:rsidP="00C90DA4">
            <w:pPr>
              <w:jc w:val="right"/>
              <w:rPr>
                <w:b/>
                <w:bCs/>
                <w:szCs w:val="18"/>
                <w:lang w:val="en-US"/>
              </w:rPr>
            </w:pPr>
            <w:r w:rsidRPr="00C05614">
              <w:rPr>
                <w:b/>
                <w:bCs/>
                <w:szCs w:val="18"/>
                <w:lang w:val="en-US"/>
              </w:rPr>
              <w:t> </w:t>
            </w:r>
          </w:p>
        </w:tc>
        <w:tc>
          <w:tcPr>
            <w:tcW w:w="577" w:type="pct"/>
            <w:tcBorders>
              <w:top w:val="nil"/>
              <w:left w:val="nil"/>
              <w:bottom w:val="nil"/>
              <w:right w:val="nil"/>
            </w:tcBorders>
            <w:shd w:val="clear" w:color="auto" w:fill="FFFFFF"/>
            <w:noWrap/>
            <w:vAlign w:val="bottom"/>
          </w:tcPr>
          <w:p w14:paraId="66BB67AF" w14:textId="77777777" w:rsidR="00C90DA4" w:rsidRPr="00C05614" w:rsidRDefault="00C90DA4" w:rsidP="00C90DA4">
            <w:pPr>
              <w:jc w:val="right"/>
              <w:rPr>
                <w:bCs/>
                <w:szCs w:val="18"/>
                <w:lang w:val="en-US"/>
              </w:rPr>
            </w:pPr>
            <w:r w:rsidRPr="00C05614">
              <w:rPr>
                <w:bCs/>
                <w:szCs w:val="18"/>
                <w:lang w:val="en-US"/>
              </w:rPr>
              <w:t> </w:t>
            </w:r>
          </w:p>
        </w:tc>
      </w:tr>
    </w:tbl>
    <w:p w14:paraId="23FBC6EA" w14:textId="77777777" w:rsidR="00195E07" w:rsidRDefault="00195E07" w:rsidP="005E0AFC">
      <w:pPr>
        <w:pStyle w:val="BodyText"/>
      </w:pPr>
    </w:p>
    <w:p w14:paraId="0D0AB1D0" w14:textId="77777777" w:rsidR="00195E07" w:rsidRDefault="00195E07">
      <w:pPr>
        <w:spacing w:after="160" w:line="259" w:lineRule="auto"/>
      </w:pPr>
      <w:r>
        <w:br w:type="page"/>
      </w:r>
    </w:p>
    <w:tbl>
      <w:tblPr>
        <w:tblW w:w="5000" w:type="pct"/>
        <w:tblLook w:val="04A0" w:firstRow="1" w:lastRow="0" w:firstColumn="1" w:lastColumn="0" w:noHBand="0" w:noVBand="1"/>
        <w:tblCaption w:val="1 Financial Performance"/>
      </w:tblPr>
      <w:tblGrid>
        <w:gridCol w:w="6612"/>
        <w:gridCol w:w="1001"/>
        <w:gridCol w:w="881"/>
      </w:tblGrid>
      <w:tr w:rsidR="002215A6" w:rsidRPr="003134F9" w14:paraId="05B8579D" w14:textId="77777777" w:rsidTr="002215A6">
        <w:trPr>
          <w:trHeight w:val="255"/>
        </w:trPr>
        <w:tc>
          <w:tcPr>
            <w:tcW w:w="3873" w:type="pct"/>
            <w:shd w:val="clear" w:color="auto" w:fill="auto"/>
            <w:noWrap/>
            <w:vAlign w:val="bottom"/>
          </w:tcPr>
          <w:p w14:paraId="6E5431E1" w14:textId="77777777" w:rsidR="002215A6" w:rsidRPr="003134F9" w:rsidRDefault="002215A6" w:rsidP="002215A6">
            <w:pPr>
              <w:ind w:firstLineChars="300" w:firstLine="540"/>
              <w:rPr>
                <w:szCs w:val="18"/>
                <w:lang w:val="en-US"/>
              </w:rPr>
            </w:pPr>
          </w:p>
        </w:tc>
        <w:tc>
          <w:tcPr>
            <w:tcW w:w="602" w:type="pct"/>
            <w:shd w:val="clear" w:color="auto" w:fill="auto"/>
            <w:noWrap/>
            <w:vAlign w:val="bottom"/>
          </w:tcPr>
          <w:p w14:paraId="2F0A8338" w14:textId="77777777" w:rsidR="002215A6" w:rsidRPr="00C05614" w:rsidRDefault="002215A6" w:rsidP="002215A6">
            <w:pPr>
              <w:jc w:val="right"/>
              <w:rPr>
                <w:b/>
                <w:bCs/>
                <w:szCs w:val="18"/>
                <w:lang w:val="en-US"/>
              </w:rPr>
            </w:pPr>
            <w:r>
              <w:rPr>
                <w:b/>
                <w:bCs/>
                <w:szCs w:val="18"/>
                <w:lang w:val="en-US"/>
              </w:rPr>
              <w:t>2017</w:t>
            </w:r>
          </w:p>
        </w:tc>
        <w:tc>
          <w:tcPr>
            <w:tcW w:w="525" w:type="pct"/>
            <w:shd w:val="clear" w:color="auto" w:fill="auto"/>
            <w:noWrap/>
            <w:vAlign w:val="bottom"/>
          </w:tcPr>
          <w:p w14:paraId="4158C633" w14:textId="77777777" w:rsidR="002215A6" w:rsidRPr="00C05614" w:rsidRDefault="002215A6" w:rsidP="002215A6">
            <w:pPr>
              <w:jc w:val="right"/>
              <w:rPr>
                <w:bCs/>
                <w:szCs w:val="18"/>
                <w:lang w:val="en-US"/>
              </w:rPr>
            </w:pPr>
            <w:r>
              <w:rPr>
                <w:bCs/>
                <w:szCs w:val="18"/>
                <w:lang w:val="en-US"/>
              </w:rPr>
              <w:t>2016</w:t>
            </w:r>
          </w:p>
        </w:tc>
      </w:tr>
      <w:tr w:rsidR="002215A6" w:rsidRPr="003134F9" w14:paraId="5E35903A" w14:textId="77777777" w:rsidTr="002215A6">
        <w:trPr>
          <w:trHeight w:val="255"/>
        </w:trPr>
        <w:tc>
          <w:tcPr>
            <w:tcW w:w="3873" w:type="pct"/>
            <w:shd w:val="clear" w:color="auto" w:fill="auto"/>
            <w:noWrap/>
            <w:vAlign w:val="bottom"/>
          </w:tcPr>
          <w:p w14:paraId="0C05E7A6" w14:textId="77777777" w:rsidR="002215A6" w:rsidRPr="003134F9" w:rsidRDefault="002215A6" w:rsidP="002215A6">
            <w:pPr>
              <w:rPr>
                <w:rFonts w:ascii="Cambria" w:hAnsi="Cambria" w:cs="Arial"/>
                <w:b/>
                <w:bCs/>
                <w:szCs w:val="18"/>
                <w:lang w:eastAsia="en-AU"/>
              </w:rPr>
            </w:pPr>
            <w:r w:rsidRPr="003134F9">
              <w:rPr>
                <w:b/>
                <w:bCs/>
                <w:szCs w:val="18"/>
                <w:lang w:val="en-US"/>
              </w:rPr>
              <w:t>Leasing commitments</w:t>
            </w:r>
          </w:p>
        </w:tc>
        <w:tc>
          <w:tcPr>
            <w:tcW w:w="602" w:type="pct"/>
            <w:shd w:val="clear" w:color="auto" w:fill="auto"/>
            <w:noWrap/>
            <w:vAlign w:val="bottom"/>
          </w:tcPr>
          <w:p w14:paraId="599474F7" w14:textId="77777777" w:rsidR="002215A6" w:rsidRPr="00C05614" w:rsidRDefault="002215A6" w:rsidP="002215A6">
            <w:pPr>
              <w:jc w:val="right"/>
              <w:rPr>
                <w:b/>
                <w:bCs/>
                <w:szCs w:val="18"/>
                <w:lang w:val="en-US"/>
              </w:rPr>
            </w:pPr>
            <w:r w:rsidRPr="00C05614">
              <w:rPr>
                <w:b/>
                <w:bCs/>
                <w:szCs w:val="18"/>
                <w:lang w:val="en-US"/>
              </w:rPr>
              <w:t>$’000</w:t>
            </w:r>
          </w:p>
        </w:tc>
        <w:tc>
          <w:tcPr>
            <w:tcW w:w="525" w:type="pct"/>
            <w:shd w:val="clear" w:color="auto" w:fill="auto"/>
            <w:noWrap/>
            <w:vAlign w:val="bottom"/>
          </w:tcPr>
          <w:p w14:paraId="2F580145" w14:textId="77777777" w:rsidR="002215A6" w:rsidRPr="00C05614" w:rsidRDefault="002215A6" w:rsidP="002215A6">
            <w:pPr>
              <w:jc w:val="right"/>
              <w:rPr>
                <w:bCs/>
                <w:szCs w:val="18"/>
                <w:lang w:val="en-US"/>
              </w:rPr>
            </w:pPr>
            <w:r w:rsidRPr="00C05614">
              <w:rPr>
                <w:bCs/>
                <w:szCs w:val="18"/>
                <w:lang w:val="en-US"/>
              </w:rPr>
              <w:t>$’000</w:t>
            </w:r>
          </w:p>
        </w:tc>
      </w:tr>
      <w:tr w:rsidR="002215A6" w:rsidRPr="003134F9" w14:paraId="549F958B" w14:textId="77777777" w:rsidTr="002215A6">
        <w:trPr>
          <w:trHeight w:val="255"/>
        </w:trPr>
        <w:tc>
          <w:tcPr>
            <w:tcW w:w="3873" w:type="pct"/>
            <w:shd w:val="clear" w:color="auto" w:fill="auto"/>
            <w:noWrap/>
            <w:vAlign w:val="bottom"/>
          </w:tcPr>
          <w:p w14:paraId="47EAEAF2" w14:textId="5430615D" w:rsidR="002215A6" w:rsidRPr="003134F9" w:rsidRDefault="002215A6" w:rsidP="002215A6">
            <w:pPr>
              <w:rPr>
                <w:szCs w:val="18"/>
                <w:lang w:val="en-US"/>
              </w:rPr>
            </w:pPr>
            <w:r w:rsidRPr="003134F9">
              <w:rPr>
                <w:szCs w:val="18"/>
                <w:lang w:val="en-US"/>
              </w:rPr>
              <w:t xml:space="preserve">The Commission has a lease for Level 5 of 255 Elizabeth Street, Sydney. </w:t>
            </w:r>
            <w:r w:rsidR="009D3EDB">
              <w:rPr>
                <w:szCs w:val="18"/>
                <w:lang w:val="en-US"/>
              </w:rPr>
              <w:br/>
            </w:r>
            <w:r w:rsidRPr="003134F9">
              <w:rPr>
                <w:szCs w:val="18"/>
                <w:lang w:val="en-US"/>
              </w:rPr>
              <w:t>The lease is due to expire 31 December 2017.</w:t>
            </w:r>
          </w:p>
        </w:tc>
        <w:tc>
          <w:tcPr>
            <w:tcW w:w="602" w:type="pct"/>
            <w:shd w:val="clear" w:color="auto" w:fill="auto"/>
            <w:noWrap/>
            <w:vAlign w:val="bottom"/>
          </w:tcPr>
          <w:p w14:paraId="1A4412A5" w14:textId="77777777" w:rsidR="002215A6" w:rsidRPr="003134F9" w:rsidRDefault="002215A6" w:rsidP="002215A6">
            <w:pPr>
              <w:jc w:val="right"/>
              <w:rPr>
                <w:rFonts w:ascii="Cambria" w:hAnsi="Cambria" w:cs="Arial"/>
                <w:b/>
                <w:bCs/>
                <w:szCs w:val="18"/>
                <w:lang w:eastAsia="en-AU"/>
              </w:rPr>
            </w:pPr>
          </w:p>
        </w:tc>
        <w:tc>
          <w:tcPr>
            <w:tcW w:w="525" w:type="pct"/>
            <w:shd w:val="clear" w:color="auto" w:fill="auto"/>
            <w:noWrap/>
            <w:vAlign w:val="bottom"/>
          </w:tcPr>
          <w:p w14:paraId="408BF76B" w14:textId="77777777" w:rsidR="002215A6" w:rsidRPr="003134F9" w:rsidRDefault="002215A6" w:rsidP="002215A6">
            <w:pPr>
              <w:jc w:val="right"/>
              <w:rPr>
                <w:rFonts w:ascii="Cambria" w:hAnsi="Cambria" w:cs="Arial"/>
                <w:szCs w:val="18"/>
                <w:lang w:eastAsia="en-AU"/>
              </w:rPr>
            </w:pPr>
          </w:p>
        </w:tc>
      </w:tr>
      <w:tr w:rsidR="002215A6" w:rsidRPr="003134F9" w14:paraId="3E5C9710" w14:textId="77777777" w:rsidTr="002215A6">
        <w:trPr>
          <w:trHeight w:val="255"/>
        </w:trPr>
        <w:tc>
          <w:tcPr>
            <w:tcW w:w="3873" w:type="pct"/>
            <w:shd w:val="clear" w:color="auto" w:fill="auto"/>
            <w:noWrap/>
            <w:vAlign w:val="bottom"/>
          </w:tcPr>
          <w:p w14:paraId="0938CEE4" w14:textId="77777777" w:rsidR="002215A6" w:rsidRPr="003134F9" w:rsidRDefault="002215A6" w:rsidP="002215A6">
            <w:pPr>
              <w:rPr>
                <w:szCs w:val="18"/>
                <w:lang w:val="en-US"/>
              </w:rPr>
            </w:pPr>
          </w:p>
        </w:tc>
        <w:tc>
          <w:tcPr>
            <w:tcW w:w="602" w:type="pct"/>
            <w:shd w:val="clear" w:color="auto" w:fill="auto"/>
            <w:noWrap/>
            <w:vAlign w:val="bottom"/>
          </w:tcPr>
          <w:p w14:paraId="6365A8B0" w14:textId="77777777" w:rsidR="002215A6" w:rsidRPr="003134F9" w:rsidRDefault="002215A6" w:rsidP="002215A6">
            <w:pPr>
              <w:jc w:val="right"/>
              <w:rPr>
                <w:rFonts w:ascii="Cambria" w:hAnsi="Cambria" w:cs="Arial"/>
                <w:b/>
                <w:bCs/>
                <w:szCs w:val="18"/>
                <w:lang w:eastAsia="en-AU"/>
              </w:rPr>
            </w:pPr>
          </w:p>
        </w:tc>
        <w:tc>
          <w:tcPr>
            <w:tcW w:w="525" w:type="pct"/>
            <w:shd w:val="clear" w:color="auto" w:fill="auto"/>
            <w:noWrap/>
            <w:vAlign w:val="bottom"/>
          </w:tcPr>
          <w:p w14:paraId="4E055A0E" w14:textId="77777777" w:rsidR="002215A6" w:rsidRPr="003134F9" w:rsidRDefault="002215A6" w:rsidP="002215A6">
            <w:pPr>
              <w:jc w:val="right"/>
              <w:rPr>
                <w:rFonts w:ascii="Cambria" w:hAnsi="Cambria" w:cs="Arial"/>
                <w:szCs w:val="18"/>
                <w:lang w:eastAsia="en-AU"/>
              </w:rPr>
            </w:pPr>
          </w:p>
        </w:tc>
      </w:tr>
      <w:tr w:rsidR="002215A6" w:rsidRPr="003134F9" w14:paraId="5236B76C" w14:textId="77777777" w:rsidTr="002215A6">
        <w:trPr>
          <w:trHeight w:val="255"/>
        </w:trPr>
        <w:tc>
          <w:tcPr>
            <w:tcW w:w="3873" w:type="pct"/>
            <w:shd w:val="clear" w:color="auto" w:fill="auto"/>
            <w:noWrap/>
            <w:vAlign w:val="bottom"/>
          </w:tcPr>
          <w:p w14:paraId="011C21B3" w14:textId="77777777" w:rsidR="002215A6" w:rsidRPr="003134F9" w:rsidRDefault="002215A6" w:rsidP="002215A6">
            <w:pPr>
              <w:rPr>
                <w:szCs w:val="18"/>
                <w:lang w:val="en-US"/>
              </w:rPr>
            </w:pPr>
            <w:r w:rsidRPr="003134F9">
              <w:rPr>
                <w:b/>
                <w:bCs/>
                <w:szCs w:val="18"/>
                <w:lang w:val="en-US"/>
              </w:rPr>
              <w:t>Commitments for minimum lease payments</w:t>
            </w:r>
            <w:r>
              <w:rPr>
                <w:b/>
                <w:bCs/>
                <w:szCs w:val="18"/>
                <w:lang w:val="en-US"/>
              </w:rPr>
              <w:t xml:space="preserve"> in relation to non-cancellable o</w:t>
            </w:r>
            <w:r w:rsidRPr="003134F9">
              <w:rPr>
                <w:b/>
                <w:bCs/>
                <w:szCs w:val="18"/>
                <w:lang w:val="en-US"/>
              </w:rPr>
              <w:t>perating leases are payable as follows</w:t>
            </w:r>
            <w:r w:rsidRPr="003134F9">
              <w:rPr>
                <w:rFonts w:ascii="Cambria" w:hAnsi="Cambria" w:cs="Arial"/>
                <w:b/>
                <w:bCs/>
                <w:szCs w:val="18"/>
                <w:lang w:eastAsia="en-AU"/>
              </w:rPr>
              <w:t>:</w:t>
            </w:r>
          </w:p>
        </w:tc>
        <w:tc>
          <w:tcPr>
            <w:tcW w:w="602" w:type="pct"/>
            <w:shd w:val="clear" w:color="auto" w:fill="auto"/>
            <w:noWrap/>
            <w:vAlign w:val="bottom"/>
          </w:tcPr>
          <w:p w14:paraId="2F457E2F" w14:textId="77777777" w:rsidR="002215A6" w:rsidRPr="003134F9" w:rsidRDefault="002215A6" w:rsidP="002215A6">
            <w:pPr>
              <w:jc w:val="right"/>
              <w:rPr>
                <w:rFonts w:ascii="Cambria" w:hAnsi="Cambria" w:cs="Arial"/>
                <w:b/>
                <w:bCs/>
                <w:szCs w:val="18"/>
                <w:lang w:eastAsia="en-AU"/>
              </w:rPr>
            </w:pPr>
          </w:p>
        </w:tc>
        <w:tc>
          <w:tcPr>
            <w:tcW w:w="525" w:type="pct"/>
            <w:shd w:val="clear" w:color="auto" w:fill="auto"/>
            <w:noWrap/>
            <w:vAlign w:val="bottom"/>
          </w:tcPr>
          <w:p w14:paraId="1806A6B9" w14:textId="77777777" w:rsidR="002215A6" w:rsidRPr="003134F9" w:rsidRDefault="002215A6" w:rsidP="002215A6">
            <w:pPr>
              <w:jc w:val="right"/>
              <w:rPr>
                <w:rFonts w:ascii="Cambria" w:hAnsi="Cambria" w:cs="Arial"/>
                <w:szCs w:val="18"/>
                <w:lang w:eastAsia="en-AU"/>
              </w:rPr>
            </w:pPr>
          </w:p>
        </w:tc>
      </w:tr>
      <w:tr w:rsidR="002215A6" w:rsidRPr="003134F9" w14:paraId="704DBCF6" w14:textId="77777777" w:rsidTr="002215A6">
        <w:trPr>
          <w:trHeight w:val="255"/>
        </w:trPr>
        <w:tc>
          <w:tcPr>
            <w:tcW w:w="3873" w:type="pct"/>
            <w:shd w:val="clear" w:color="auto" w:fill="auto"/>
            <w:noWrap/>
            <w:vAlign w:val="bottom"/>
          </w:tcPr>
          <w:p w14:paraId="182792E0" w14:textId="77777777" w:rsidR="002215A6" w:rsidRPr="003134F9" w:rsidRDefault="002215A6" w:rsidP="002215A6">
            <w:pPr>
              <w:ind w:firstLineChars="300" w:firstLine="540"/>
              <w:rPr>
                <w:szCs w:val="18"/>
                <w:lang w:val="en-US"/>
              </w:rPr>
            </w:pPr>
          </w:p>
        </w:tc>
        <w:tc>
          <w:tcPr>
            <w:tcW w:w="602" w:type="pct"/>
            <w:shd w:val="clear" w:color="auto" w:fill="auto"/>
            <w:noWrap/>
            <w:vAlign w:val="bottom"/>
          </w:tcPr>
          <w:p w14:paraId="413A5512" w14:textId="77777777" w:rsidR="002215A6" w:rsidRPr="003134F9" w:rsidRDefault="002215A6" w:rsidP="002215A6">
            <w:pPr>
              <w:jc w:val="right"/>
              <w:rPr>
                <w:rFonts w:ascii="Cambria" w:hAnsi="Cambria" w:cs="Arial"/>
                <w:b/>
                <w:bCs/>
                <w:szCs w:val="18"/>
                <w:lang w:eastAsia="en-AU"/>
              </w:rPr>
            </w:pPr>
          </w:p>
        </w:tc>
        <w:tc>
          <w:tcPr>
            <w:tcW w:w="525" w:type="pct"/>
            <w:shd w:val="clear" w:color="auto" w:fill="auto"/>
            <w:noWrap/>
            <w:vAlign w:val="bottom"/>
          </w:tcPr>
          <w:p w14:paraId="75DE6821" w14:textId="77777777" w:rsidR="002215A6" w:rsidRPr="003134F9" w:rsidRDefault="002215A6" w:rsidP="002215A6">
            <w:pPr>
              <w:jc w:val="right"/>
              <w:rPr>
                <w:rFonts w:ascii="Cambria" w:hAnsi="Cambria" w:cs="Arial"/>
                <w:szCs w:val="18"/>
                <w:lang w:eastAsia="en-AU"/>
              </w:rPr>
            </w:pPr>
          </w:p>
        </w:tc>
      </w:tr>
      <w:tr w:rsidR="002215A6" w:rsidRPr="009F308B" w14:paraId="6FDB721D" w14:textId="77777777" w:rsidTr="002215A6">
        <w:trPr>
          <w:trHeight w:val="255"/>
        </w:trPr>
        <w:tc>
          <w:tcPr>
            <w:tcW w:w="3873" w:type="pct"/>
            <w:shd w:val="clear" w:color="auto" w:fill="auto"/>
            <w:noWrap/>
            <w:vAlign w:val="bottom"/>
            <w:hideMark/>
          </w:tcPr>
          <w:p w14:paraId="715716AF" w14:textId="77777777" w:rsidR="002215A6" w:rsidRPr="003134F9" w:rsidRDefault="002215A6" w:rsidP="002215A6">
            <w:pPr>
              <w:ind w:firstLineChars="300" w:firstLine="540"/>
              <w:rPr>
                <w:szCs w:val="18"/>
                <w:lang w:val="en-US"/>
              </w:rPr>
            </w:pPr>
            <w:r w:rsidRPr="003134F9">
              <w:rPr>
                <w:szCs w:val="18"/>
                <w:lang w:val="en-US"/>
              </w:rPr>
              <w:t>Within 1 year</w:t>
            </w:r>
          </w:p>
        </w:tc>
        <w:tc>
          <w:tcPr>
            <w:tcW w:w="602" w:type="pct"/>
            <w:shd w:val="clear" w:color="auto" w:fill="auto"/>
            <w:noWrap/>
            <w:vAlign w:val="bottom"/>
            <w:hideMark/>
          </w:tcPr>
          <w:p w14:paraId="350E3860" w14:textId="77777777" w:rsidR="002215A6" w:rsidRPr="00975BCF" w:rsidRDefault="002215A6" w:rsidP="002215A6">
            <w:pPr>
              <w:jc w:val="right"/>
              <w:rPr>
                <w:b/>
                <w:bCs/>
                <w:szCs w:val="18"/>
                <w:lang w:val="en-US"/>
              </w:rPr>
            </w:pPr>
            <w:r w:rsidRPr="00975BCF">
              <w:rPr>
                <w:b/>
                <w:bCs/>
                <w:szCs w:val="18"/>
                <w:lang w:val="en-US"/>
              </w:rPr>
              <w:t>644</w:t>
            </w:r>
          </w:p>
        </w:tc>
        <w:tc>
          <w:tcPr>
            <w:tcW w:w="525" w:type="pct"/>
            <w:shd w:val="clear" w:color="auto" w:fill="auto"/>
            <w:noWrap/>
            <w:vAlign w:val="bottom"/>
            <w:hideMark/>
          </w:tcPr>
          <w:p w14:paraId="7D959E00" w14:textId="77777777" w:rsidR="002215A6" w:rsidRPr="00B6422B" w:rsidRDefault="002215A6" w:rsidP="002215A6">
            <w:pPr>
              <w:jc w:val="right"/>
              <w:rPr>
                <w:bCs/>
                <w:szCs w:val="18"/>
                <w:lang w:val="en-US"/>
              </w:rPr>
            </w:pPr>
            <w:r w:rsidRPr="00B6422B">
              <w:rPr>
                <w:bCs/>
                <w:szCs w:val="18"/>
                <w:lang w:val="en-US"/>
              </w:rPr>
              <w:t>1,306</w:t>
            </w:r>
          </w:p>
        </w:tc>
      </w:tr>
      <w:tr w:rsidR="002215A6" w:rsidRPr="009F308B" w14:paraId="0BD6791F" w14:textId="77777777" w:rsidTr="002215A6">
        <w:trPr>
          <w:trHeight w:val="255"/>
        </w:trPr>
        <w:tc>
          <w:tcPr>
            <w:tcW w:w="3873" w:type="pct"/>
            <w:shd w:val="clear" w:color="auto" w:fill="auto"/>
            <w:noWrap/>
            <w:vAlign w:val="bottom"/>
          </w:tcPr>
          <w:p w14:paraId="50B5B626" w14:textId="77777777" w:rsidR="002215A6" w:rsidRPr="003134F9" w:rsidRDefault="002215A6" w:rsidP="002215A6">
            <w:pPr>
              <w:ind w:firstLineChars="300" w:firstLine="540"/>
              <w:rPr>
                <w:szCs w:val="18"/>
                <w:lang w:val="en-US"/>
              </w:rPr>
            </w:pPr>
            <w:r w:rsidRPr="003134F9">
              <w:rPr>
                <w:szCs w:val="18"/>
                <w:lang w:val="en-US"/>
              </w:rPr>
              <w:t>Between 1 to 5 years</w:t>
            </w:r>
          </w:p>
        </w:tc>
        <w:tc>
          <w:tcPr>
            <w:tcW w:w="602" w:type="pct"/>
            <w:shd w:val="clear" w:color="auto" w:fill="auto"/>
            <w:noWrap/>
            <w:vAlign w:val="bottom"/>
          </w:tcPr>
          <w:p w14:paraId="6619B422" w14:textId="77777777" w:rsidR="002215A6" w:rsidRPr="009F308B" w:rsidRDefault="002215A6" w:rsidP="002215A6">
            <w:pPr>
              <w:jc w:val="right"/>
              <w:rPr>
                <w:bCs/>
                <w:szCs w:val="18"/>
                <w:lang w:val="en-US"/>
              </w:rPr>
            </w:pPr>
            <w:r>
              <w:rPr>
                <w:bCs/>
                <w:szCs w:val="18"/>
                <w:lang w:val="en-US"/>
              </w:rPr>
              <w:t>-</w:t>
            </w:r>
          </w:p>
        </w:tc>
        <w:tc>
          <w:tcPr>
            <w:tcW w:w="525" w:type="pct"/>
            <w:shd w:val="clear" w:color="auto" w:fill="auto"/>
            <w:noWrap/>
            <w:vAlign w:val="bottom"/>
          </w:tcPr>
          <w:p w14:paraId="03205E83" w14:textId="77777777" w:rsidR="002215A6" w:rsidRPr="00B6422B" w:rsidRDefault="002215A6" w:rsidP="002215A6">
            <w:pPr>
              <w:jc w:val="right"/>
              <w:rPr>
                <w:bCs/>
                <w:szCs w:val="18"/>
                <w:lang w:val="en-US"/>
              </w:rPr>
            </w:pPr>
            <w:r w:rsidRPr="00B6422B">
              <w:rPr>
                <w:bCs/>
                <w:szCs w:val="18"/>
                <w:lang w:val="en-US"/>
              </w:rPr>
              <w:t>664</w:t>
            </w:r>
          </w:p>
        </w:tc>
      </w:tr>
      <w:tr w:rsidR="002215A6" w:rsidRPr="009F308B" w14:paraId="1CE3DA4E" w14:textId="77777777" w:rsidTr="002215A6">
        <w:trPr>
          <w:trHeight w:val="255"/>
        </w:trPr>
        <w:tc>
          <w:tcPr>
            <w:tcW w:w="3873" w:type="pct"/>
            <w:shd w:val="clear" w:color="auto" w:fill="auto"/>
            <w:noWrap/>
            <w:vAlign w:val="bottom"/>
          </w:tcPr>
          <w:p w14:paraId="3DF15036" w14:textId="77777777" w:rsidR="002215A6" w:rsidRPr="003134F9" w:rsidRDefault="002215A6" w:rsidP="002215A6">
            <w:pPr>
              <w:ind w:firstLineChars="300" w:firstLine="540"/>
              <w:rPr>
                <w:szCs w:val="18"/>
                <w:lang w:val="en-US"/>
              </w:rPr>
            </w:pPr>
            <w:r w:rsidRPr="003134F9">
              <w:rPr>
                <w:szCs w:val="18"/>
                <w:lang w:val="en-US"/>
              </w:rPr>
              <w:t>More than 5 years</w:t>
            </w:r>
          </w:p>
        </w:tc>
        <w:tc>
          <w:tcPr>
            <w:tcW w:w="602" w:type="pct"/>
            <w:tcBorders>
              <w:bottom w:val="single" w:sz="4" w:space="0" w:color="auto"/>
            </w:tcBorders>
            <w:shd w:val="clear" w:color="auto" w:fill="auto"/>
            <w:noWrap/>
            <w:vAlign w:val="bottom"/>
          </w:tcPr>
          <w:p w14:paraId="6D9F100E" w14:textId="77777777" w:rsidR="002215A6" w:rsidRPr="009F308B" w:rsidRDefault="002215A6" w:rsidP="002215A6">
            <w:pPr>
              <w:jc w:val="right"/>
              <w:rPr>
                <w:bCs/>
                <w:szCs w:val="18"/>
                <w:lang w:val="en-US"/>
              </w:rPr>
            </w:pPr>
            <w:r w:rsidRPr="009F308B">
              <w:rPr>
                <w:bCs/>
                <w:szCs w:val="18"/>
                <w:lang w:val="en-US"/>
              </w:rPr>
              <w:t>-</w:t>
            </w:r>
          </w:p>
        </w:tc>
        <w:tc>
          <w:tcPr>
            <w:tcW w:w="525" w:type="pct"/>
            <w:tcBorders>
              <w:bottom w:val="single" w:sz="4" w:space="0" w:color="auto"/>
            </w:tcBorders>
            <w:shd w:val="clear" w:color="auto" w:fill="auto"/>
            <w:noWrap/>
            <w:vAlign w:val="bottom"/>
          </w:tcPr>
          <w:p w14:paraId="0A37E1F3" w14:textId="77777777" w:rsidR="002215A6" w:rsidRPr="00B6422B" w:rsidRDefault="002215A6" w:rsidP="002215A6">
            <w:pPr>
              <w:jc w:val="right"/>
              <w:rPr>
                <w:bCs/>
                <w:szCs w:val="18"/>
                <w:lang w:val="en-US"/>
              </w:rPr>
            </w:pPr>
            <w:r w:rsidRPr="00B6422B">
              <w:rPr>
                <w:bCs/>
                <w:szCs w:val="18"/>
                <w:lang w:val="en-US"/>
              </w:rPr>
              <w:t>-</w:t>
            </w:r>
          </w:p>
        </w:tc>
      </w:tr>
      <w:tr w:rsidR="002215A6" w:rsidRPr="009F308B" w14:paraId="0C3B60ED" w14:textId="77777777" w:rsidTr="002215A6">
        <w:trPr>
          <w:trHeight w:val="282"/>
        </w:trPr>
        <w:tc>
          <w:tcPr>
            <w:tcW w:w="3873" w:type="pct"/>
            <w:shd w:val="clear" w:color="auto" w:fill="auto"/>
            <w:noWrap/>
            <w:vAlign w:val="bottom"/>
          </w:tcPr>
          <w:p w14:paraId="6C3AB08F" w14:textId="77777777" w:rsidR="002215A6" w:rsidRPr="003134F9" w:rsidRDefault="002215A6" w:rsidP="002215A6">
            <w:pPr>
              <w:rPr>
                <w:rFonts w:ascii="Cambria" w:hAnsi="Cambria" w:cs="Arial"/>
                <w:b/>
                <w:bCs/>
                <w:szCs w:val="18"/>
                <w:lang w:eastAsia="en-AU"/>
              </w:rPr>
            </w:pPr>
            <w:r w:rsidRPr="003134F9">
              <w:rPr>
                <w:b/>
                <w:bCs/>
                <w:szCs w:val="18"/>
                <w:lang w:val="en-US"/>
              </w:rPr>
              <w:t>Total operating lease commitments</w:t>
            </w:r>
          </w:p>
        </w:tc>
        <w:tc>
          <w:tcPr>
            <w:tcW w:w="602" w:type="pct"/>
            <w:tcBorders>
              <w:top w:val="single" w:sz="4" w:space="0" w:color="auto"/>
              <w:bottom w:val="single" w:sz="4" w:space="0" w:color="auto"/>
            </w:tcBorders>
            <w:shd w:val="clear" w:color="auto" w:fill="auto"/>
            <w:noWrap/>
            <w:vAlign w:val="bottom"/>
          </w:tcPr>
          <w:p w14:paraId="22945011" w14:textId="77777777" w:rsidR="002215A6" w:rsidRPr="00757BD4" w:rsidRDefault="002215A6" w:rsidP="002215A6">
            <w:pPr>
              <w:jc w:val="right"/>
              <w:rPr>
                <w:b/>
                <w:bCs/>
                <w:szCs w:val="18"/>
                <w:lang w:val="en-US"/>
              </w:rPr>
            </w:pPr>
            <w:r>
              <w:rPr>
                <w:b/>
                <w:bCs/>
                <w:szCs w:val="18"/>
                <w:lang w:val="en-US"/>
              </w:rPr>
              <w:t>644</w:t>
            </w:r>
          </w:p>
        </w:tc>
        <w:tc>
          <w:tcPr>
            <w:tcW w:w="525" w:type="pct"/>
            <w:tcBorders>
              <w:top w:val="single" w:sz="4" w:space="0" w:color="auto"/>
              <w:bottom w:val="single" w:sz="4" w:space="0" w:color="auto"/>
            </w:tcBorders>
            <w:shd w:val="clear" w:color="auto" w:fill="auto"/>
            <w:noWrap/>
            <w:vAlign w:val="bottom"/>
          </w:tcPr>
          <w:p w14:paraId="2ED0683B" w14:textId="77777777" w:rsidR="002215A6" w:rsidRPr="00B6422B" w:rsidRDefault="002215A6" w:rsidP="002215A6">
            <w:pPr>
              <w:jc w:val="right"/>
              <w:rPr>
                <w:bCs/>
                <w:szCs w:val="18"/>
                <w:lang w:val="en-US"/>
              </w:rPr>
            </w:pPr>
            <w:r w:rsidRPr="00B6422B">
              <w:rPr>
                <w:bCs/>
                <w:szCs w:val="18"/>
                <w:lang w:val="en-US"/>
              </w:rPr>
              <w:t>1,970</w:t>
            </w:r>
          </w:p>
        </w:tc>
      </w:tr>
      <w:tr w:rsidR="002215A6" w:rsidRPr="003134F9" w14:paraId="7C3C0FEB" w14:textId="77777777" w:rsidTr="002215A6">
        <w:trPr>
          <w:trHeight w:val="255"/>
        </w:trPr>
        <w:tc>
          <w:tcPr>
            <w:tcW w:w="3873" w:type="pct"/>
            <w:tcBorders>
              <w:bottom w:val="single" w:sz="4" w:space="0" w:color="auto"/>
            </w:tcBorders>
            <w:shd w:val="clear" w:color="auto" w:fill="auto"/>
            <w:noWrap/>
            <w:vAlign w:val="bottom"/>
          </w:tcPr>
          <w:p w14:paraId="5D020E22" w14:textId="77777777" w:rsidR="002215A6" w:rsidRPr="003134F9" w:rsidRDefault="002215A6" w:rsidP="002215A6">
            <w:pPr>
              <w:rPr>
                <w:rFonts w:ascii="Cambria" w:hAnsi="Cambria" w:cs="Arial"/>
                <w:b/>
                <w:bCs/>
                <w:szCs w:val="18"/>
                <w:lang w:eastAsia="en-AU"/>
              </w:rPr>
            </w:pPr>
          </w:p>
        </w:tc>
        <w:tc>
          <w:tcPr>
            <w:tcW w:w="602" w:type="pct"/>
            <w:tcBorders>
              <w:top w:val="single" w:sz="4" w:space="0" w:color="auto"/>
              <w:bottom w:val="single" w:sz="4" w:space="0" w:color="auto"/>
            </w:tcBorders>
            <w:shd w:val="clear" w:color="auto" w:fill="auto"/>
            <w:noWrap/>
            <w:vAlign w:val="bottom"/>
          </w:tcPr>
          <w:p w14:paraId="32E5045F" w14:textId="77777777" w:rsidR="002215A6" w:rsidRPr="003134F9" w:rsidRDefault="002215A6" w:rsidP="002215A6">
            <w:pPr>
              <w:jc w:val="right"/>
              <w:rPr>
                <w:rFonts w:ascii="Cambria" w:hAnsi="Cambria" w:cs="Arial"/>
                <w:b/>
                <w:bCs/>
                <w:szCs w:val="18"/>
                <w:lang w:eastAsia="en-AU"/>
              </w:rPr>
            </w:pPr>
          </w:p>
        </w:tc>
        <w:tc>
          <w:tcPr>
            <w:tcW w:w="525" w:type="pct"/>
            <w:tcBorders>
              <w:top w:val="single" w:sz="4" w:space="0" w:color="auto"/>
              <w:bottom w:val="single" w:sz="4" w:space="0" w:color="auto"/>
            </w:tcBorders>
            <w:shd w:val="clear" w:color="auto" w:fill="auto"/>
            <w:noWrap/>
            <w:vAlign w:val="bottom"/>
          </w:tcPr>
          <w:p w14:paraId="16E57812" w14:textId="77777777" w:rsidR="002215A6" w:rsidRPr="003134F9" w:rsidRDefault="002215A6" w:rsidP="002215A6">
            <w:pPr>
              <w:jc w:val="right"/>
              <w:rPr>
                <w:rFonts w:ascii="Cambria" w:hAnsi="Cambria" w:cs="Arial"/>
                <w:szCs w:val="18"/>
                <w:lang w:eastAsia="en-AU"/>
              </w:rPr>
            </w:pPr>
          </w:p>
        </w:tc>
      </w:tr>
      <w:tr w:rsidR="002215A6" w:rsidRPr="003134F9" w14:paraId="435A1203" w14:textId="77777777" w:rsidTr="002215A6">
        <w:trPr>
          <w:trHeight w:val="25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tcPr>
          <w:p w14:paraId="273BB238" w14:textId="77777777" w:rsidR="002215A6" w:rsidRPr="00181CD8" w:rsidRDefault="002215A6" w:rsidP="002215A6">
            <w:pPr>
              <w:rPr>
                <w:rFonts w:cs="Arial"/>
                <w:b/>
                <w:bCs/>
                <w:szCs w:val="18"/>
                <w:lang w:eastAsia="en-AU"/>
              </w:rPr>
            </w:pPr>
            <w:r w:rsidRPr="00181CD8">
              <w:rPr>
                <w:rFonts w:cs="Arial"/>
                <w:b/>
                <w:bCs/>
                <w:szCs w:val="18"/>
                <w:lang w:eastAsia="en-AU"/>
              </w:rPr>
              <w:t>Accounting Policy</w:t>
            </w:r>
          </w:p>
          <w:p w14:paraId="3830CDF5" w14:textId="77777777" w:rsidR="002215A6" w:rsidRPr="003134F9" w:rsidRDefault="002215A6" w:rsidP="002215A6">
            <w:pPr>
              <w:rPr>
                <w:rFonts w:ascii="Cambria" w:hAnsi="Cambria" w:cs="Arial"/>
                <w:szCs w:val="18"/>
                <w:lang w:eastAsia="en-AU"/>
              </w:rPr>
            </w:pPr>
            <w:r w:rsidRPr="00181CD8">
              <w:rPr>
                <w:rFonts w:cs="Arial"/>
                <w:szCs w:val="18"/>
              </w:rPr>
              <w:t>Operating lease payments are expensed on a straight-line basis which is representative of the pattern of benefits derived from the leased assets.</w:t>
            </w:r>
          </w:p>
        </w:tc>
      </w:tr>
    </w:tbl>
    <w:p w14:paraId="7171C70B" w14:textId="77777777" w:rsidR="00195E07" w:rsidRDefault="00195E07" w:rsidP="005E0AFC">
      <w:pPr>
        <w:pStyle w:val="BodyText"/>
      </w:pPr>
      <w:bookmarkStart w:id="2" w:name="RANGE!D3"/>
      <w:bookmarkEnd w:id="2"/>
    </w:p>
    <w:p w14:paraId="34EDD58D" w14:textId="77777777" w:rsidR="00195E07" w:rsidRDefault="00195E07">
      <w:pPr>
        <w:spacing w:after="160" w:line="259" w:lineRule="auto"/>
      </w:pPr>
      <w:r>
        <w:br w:type="page"/>
      </w:r>
    </w:p>
    <w:tbl>
      <w:tblPr>
        <w:tblW w:w="5002" w:type="pct"/>
        <w:tblLook w:val="0000" w:firstRow="0" w:lastRow="0" w:firstColumn="0" w:lastColumn="0" w:noHBand="0" w:noVBand="0"/>
        <w:tblCaption w:val="1 Financial Performance"/>
      </w:tblPr>
      <w:tblGrid>
        <w:gridCol w:w="6255"/>
        <w:gridCol w:w="150"/>
        <w:gridCol w:w="299"/>
        <w:gridCol w:w="569"/>
        <w:gridCol w:w="177"/>
        <w:gridCol w:w="1047"/>
      </w:tblGrid>
      <w:tr w:rsidR="002215A6" w:rsidRPr="00C05614" w14:paraId="1343EF95" w14:textId="77777777" w:rsidTr="002215A6">
        <w:trPr>
          <w:trHeight w:val="255"/>
        </w:trPr>
        <w:tc>
          <w:tcPr>
            <w:tcW w:w="3769" w:type="pct"/>
            <w:gridSpan w:val="2"/>
            <w:tcBorders>
              <w:top w:val="nil"/>
              <w:left w:val="nil"/>
              <w:bottom w:val="nil"/>
              <w:right w:val="nil"/>
            </w:tcBorders>
            <w:shd w:val="clear" w:color="auto" w:fill="FFFFFF"/>
          </w:tcPr>
          <w:p w14:paraId="23265313" w14:textId="77777777" w:rsidR="002215A6" w:rsidRPr="00C05614" w:rsidRDefault="002215A6" w:rsidP="002215A6">
            <w:pPr>
              <w:ind w:right="284"/>
              <w:rPr>
                <w:b/>
                <w:bCs/>
                <w:i/>
                <w:iCs/>
                <w:szCs w:val="18"/>
                <w:lang w:val="en-US"/>
              </w:rPr>
            </w:pPr>
            <w:r w:rsidRPr="00C05614">
              <w:rPr>
                <w:b/>
                <w:bCs/>
                <w:i/>
                <w:iCs/>
                <w:szCs w:val="18"/>
                <w:lang w:val="en-US"/>
              </w:rPr>
              <w:lastRenderedPageBreak/>
              <w:t> </w:t>
            </w:r>
          </w:p>
        </w:tc>
        <w:tc>
          <w:tcPr>
            <w:tcW w:w="615" w:type="pct"/>
            <w:gridSpan w:val="3"/>
            <w:tcBorders>
              <w:top w:val="nil"/>
              <w:left w:val="nil"/>
              <w:bottom w:val="nil"/>
              <w:right w:val="nil"/>
            </w:tcBorders>
            <w:shd w:val="clear" w:color="auto" w:fill="FFFFFF"/>
            <w:vAlign w:val="bottom"/>
          </w:tcPr>
          <w:p w14:paraId="104DB302" w14:textId="77777777" w:rsidR="002215A6" w:rsidRPr="00EF043A" w:rsidRDefault="002215A6" w:rsidP="002215A6">
            <w:pPr>
              <w:jc w:val="right"/>
              <w:rPr>
                <w:b/>
                <w:bCs/>
                <w:szCs w:val="18"/>
                <w:lang w:val="en-US"/>
              </w:rPr>
            </w:pPr>
            <w:r>
              <w:rPr>
                <w:b/>
                <w:bCs/>
                <w:szCs w:val="18"/>
                <w:lang w:val="en-US"/>
              </w:rPr>
              <w:t>2017</w:t>
            </w:r>
          </w:p>
        </w:tc>
        <w:tc>
          <w:tcPr>
            <w:tcW w:w="616" w:type="pct"/>
            <w:tcBorders>
              <w:top w:val="nil"/>
              <w:left w:val="nil"/>
              <w:bottom w:val="nil"/>
              <w:right w:val="nil"/>
            </w:tcBorders>
            <w:shd w:val="clear" w:color="auto" w:fill="FFFFFF"/>
            <w:vAlign w:val="bottom"/>
          </w:tcPr>
          <w:p w14:paraId="0FD9028F" w14:textId="77777777" w:rsidR="002215A6" w:rsidRPr="00C05614" w:rsidRDefault="002215A6" w:rsidP="002215A6">
            <w:pPr>
              <w:jc w:val="right"/>
              <w:rPr>
                <w:bCs/>
                <w:szCs w:val="18"/>
                <w:lang w:val="en-US"/>
              </w:rPr>
            </w:pPr>
            <w:r>
              <w:rPr>
                <w:bCs/>
                <w:szCs w:val="18"/>
                <w:lang w:val="en-US"/>
              </w:rPr>
              <w:t>2016</w:t>
            </w:r>
          </w:p>
        </w:tc>
      </w:tr>
      <w:tr w:rsidR="002215A6" w:rsidRPr="00C05614" w14:paraId="7B259BF1" w14:textId="77777777" w:rsidTr="002215A6">
        <w:trPr>
          <w:trHeight w:val="255"/>
        </w:trPr>
        <w:tc>
          <w:tcPr>
            <w:tcW w:w="3769" w:type="pct"/>
            <w:gridSpan w:val="2"/>
            <w:tcBorders>
              <w:top w:val="nil"/>
              <w:left w:val="nil"/>
              <w:bottom w:val="nil"/>
              <w:right w:val="nil"/>
            </w:tcBorders>
            <w:shd w:val="clear" w:color="auto" w:fill="FFFFFF"/>
            <w:vAlign w:val="bottom"/>
          </w:tcPr>
          <w:p w14:paraId="304AF37B" w14:textId="77777777" w:rsidR="002215A6" w:rsidRPr="00C05614" w:rsidRDefault="002215A6" w:rsidP="002215A6">
            <w:pPr>
              <w:ind w:left="176" w:right="284" w:hanging="34"/>
              <w:rPr>
                <w:b/>
                <w:bCs/>
                <w:szCs w:val="18"/>
                <w:lang w:val="en-US"/>
              </w:rPr>
            </w:pPr>
          </w:p>
        </w:tc>
        <w:tc>
          <w:tcPr>
            <w:tcW w:w="615" w:type="pct"/>
            <w:gridSpan w:val="3"/>
            <w:tcBorders>
              <w:top w:val="nil"/>
              <w:left w:val="nil"/>
              <w:bottom w:val="nil"/>
              <w:right w:val="nil"/>
            </w:tcBorders>
            <w:shd w:val="clear" w:color="auto" w:fill="FFFFFF"/>
            <w:vAlign w:val="bottom"/>
          </w:tcPr>
          <w:p w14:paraId="466B930B" w14:textId="77777777" w:rsidR="002215A6" w:rsidRPr="00EF043A" w:rsidRDefault="002215A6" w:rsidP="002215A6">
            <w:pPr>
              <w:jc w:val="right"/>
              <w:rPr>
                <w:b/>
                <w:bCs/>
                <w:szCs w:val="18"/>
                <w:lang w:val="en-US"/>
              </w:rPr>
            </w:pPr>
            <w:r w:rsidRPr="00EF043A">
              <w:rPr>
                <w:b/>
                <w:bCs/>
                <w:szCs w:val="18"/>
                <w:lang w:val="en-US"/>
              </w:rPr>
              <w:t>$’000</w:t>
            </w:r>
          </w:p>
        </w:tc>
        <w:tc>
          <w:tcPr>
            <w:tcW w:w="616" w:type="pct"/>
            <w:tcBorders>
              <w:top w:val="nil"/>
              <w:left w:val="nil"/>
              <w:bottom w:val="nil"/>
              <w:right w:val="nil"/>
            </w:tcBorders>
            <w:shd w:val="clear" w:color="auto" w:fill="FFFFFF"/>
            <w:vAlign w:val="bottom"/>
          </w:tcPr>
          <w:p w14:paraId="27F4F346" w14:textId="77777777" w:rsidR="002215A6" w:rsidRPr="00C05614" w:rsidRDefault="002215A6" w:rsidP="002215A6">
            <w:pPr>
              <w:jc w:val="right"/>
              <w:rPr>
                <w:bCs/>
                <w:szCs w:val="18"/>
                <w:lang w:val="en-US"/>
              </w:rPr>
            </w:pPr>
            <w:r w:rsidRPr="00C05614">
              <w:rPr>
                <w:bCs/>
                <w:szCs w:val="18"/>
                <w:lang w:val="en-US"/>
              </w:rPr>
              <w:t>$’000</w:t>
            </w:r>
          </w:p>
        </w:tc>
      </w:tr>
      <w:tr w:rsidR="002215A6" w:rsidRPr="00C05614" w14:paraId="50A77D5A" w14:textId="77777777" w:rsidTr="002215A6">
        <w:trPr>
          <w:trHeight w:val="255"/>
        </w:trPr>
        <w:tc>
          <w:tcPr>
            <w:tcW w:w="3769" w:type="pct"/>
            <w:gridSpan w:val="2"/>
            <w:tcBorders>
              <w:top w:val="nil"/>
              <w:left w:val="nil"/>
              <w:bottom w:val="nil"/>
              <w:right w:val="nil"/>
            </w:tcBorders>
            <w:shd w:val="clear" w:color="auto" w:fill="FFFFFF"/>
            <w:noWrap/>
            <w:vAlign w:val="bottom"/>
          </w:tcPr>
          <w:p w14:paraId="6CDC72BF" w14:textId="77777777" w:rsidR="002215A6" w:rsidRPr="00632FE6" w:rsidRDefault="002215A6" w:rsidP="002215A6">
            <w:pPr>
              <w:pStyle w:val="Heading2"/>
              <w:rPr>
                <w:bCs/>
                <w:lang w:val="en-US"/>
              </w:rPr>
            </w:pPr>
            <w:r w:rsidRPr="00632FE6">
              <w:t>1.2 Income</w:t>
            </w:r>
          </w:p>
        </w:tc>
        <w:tc>
          <w:tcPr>
            <w:tcW w:w="615" w:type="pct"/>
            <w:gridSpan w:val="3"/>
            <w:tcBorders>
              <w:top w:val="nil"/>
              <w:left w:val="nil"/>
              <w:bottom w:val="nil"/>
              <w:right w:val="nil"/>
            </w:tcBorders>
            <w:shd w:val="clear" w:color="auto" w:fill="FFFFFF"/>
            <w:vAlign w:val="bottom"/>
          </w:tcPr>
          <w:p w14:paraId="602AEF83" w14:textId="77777777" w:rsidR="002215A6" w:rsidRPr="00EF043A" w:rsidRDefault="002215A6" w:rsidP="002215A6">
            <w:pPr>
              <w:jc w:val="right"/>
              <w:rPr>
                <w:b/>
                <w:bCs/>
                <w:szCs w:val="18"/>
                <w:lang w:val="en-US"/>
              </w:rPr>
            </w:pPr>
          </w:p>
        </w:tc>
        <w:tc>
          <w:tcPr>
            <w:tcW w:w="616" w:type="pct"/>
            <w:tcBorders>
              <w:top w:val="nil"/>
              <w:left w:val="nil"/>
              <w:bottom w:val="nil"/>
              <w:right w:val="nil"/>
            </w:tcBorders>
            <w:shd w:val="clear" w:color="auto" w:fill="FFFFFF"/>
            <w:noWrap/>
            <w:vAlign w:val="bottom"/>
          </w:tcPr>
          <w:p w14:paraId="6A33649B" w14:textId="77777777" w:rsidR="002215A6" w:rsidRPr="00EF043A" w:rsidRDefault="002215A6" w:rsidP="002215A6">
            <w:pPr>
              <w:jc w:val="right"/>
              <w:rPr>
                <w:bCs/>
                <w:szCs w:val="18"/>
                <w:lang w:val="en-US"/>
              </w:rPr>
            </w:pPr>
          </w:p>
        </w:tc>
      </w:tr>
      <w:tr w:rsidR="002215A6" w:rsidRPr="00C05614" w14:paraId="4F75B525" w14:textId="77777777" w:rsidTr="002215A6">
        <w:trPr>
          <w:trHeight w:val="255"/>
        </w:trPr>
        <w:tc>
          <w:tcPr>
            <w:tcW w:w="3769" w:type="pct"/>
            <w:gridSpan w:val="2"/>
            <w:tcBorders>
              <w:top w:val="nil"/>
              <w:left w:val="nil"/>
              <w:bottom w:val="nil"/>
              <w:right w:val="nil"/>
            </w:tcBorders>
            <w:shd w:val="clear" w:color="auto" w:fill="FFFFFF"/>
            <w:noWrap/>
            <w:vAlign w:val="bottom"/>
          </w:tcPr>
          <w:p w14:paraId="4480C6E1" w14:textId="77777777" w:rsidR="002215A6" w:rsidRPr="00C05614" w:rsidRDefault="002215A6" w:rsidP="002215A6">
            <w:pPr>
              <w:ind w:right="284"/>
              <w:rPr>
                <w:szCs w:val="18"/>
                <w:lang w:val="en-US"/>
              </w:rPr>
            </w:pPr>
            <w:r w:rsidRPr="00C05614">
              <w:rPr>
                <w:b/>
                <w:bCs/>
                <w:szCs w:val="18"/>
                <w:lang w:val="en-US"/>
              </w:rPr>
              <w:t>OWN-SOURCE REVENUE</w:t>
            </w:r>
            <w:r w:rsidRPr="00C05614">
              <w:rPr>
                <w:szCs w:val="18"/>
                <w:lang w:val="en-US"/>
              </w:rPr>
              <w:t> </w:t>
            </w:r>
          </w:p>
        </w:tc>
        <w:tc>
          <w:tcPr>
            <w:tcW w:w="615" w:type="pct"/>
            <w:gridSpan w:val="3"/>
            <w:tcBorders>
              <w:top w:val="nil"/>
              <w:left w:val="nil"/>
              <w:bottom w:val="nil"/>
              <w:right w:val="nil"/>
            </w:tcBorders>
            <w:shd w:val="clear" w:color="auto" w:fill="FFFFFF"/>
            <w:vAlign w:val="bottom"/>
          </w:tcPr>
          <w:p w14:paraId="1B5A6FC5" w14:textId="77777777" w:rsidR="002215A6" w:rsidRPr="00EF043A" w:rsidRDefault="002215A6" w:rsidP="002215A6">
            <w:pPr>
              <w:jc w:val="right"/>
              <w:rPr>
                <w:b/>
                <w:bCs/>
                <w:szCs w:val="18"/>
                <w:lang w:val="en-US"/>
              </w:rPr>
            </w:pPr>
            <w:r w:rsidRPr="00EF043A">
              <w:rPr>
                <w:b/>
                <w:bCs/>
                <w:szCs w:val="18"/>
                <w:lang w:val="en-US"/>
              </w:rPr>
              <w:t> </w:t>
            </w:r>
          </w:p>
        </w:tc>
        <w:tc>
          <w:tcPr>
            <w:tcW w:w="616" w:type="pct"/>
            <w:tcBorders>
              <w:top w:val="nil"/>
              <w:left w:val="nil"/>
              <w:bottom w:val="nil"/>
              <w:right w:val="nil"/>
            </w:tcBorders>
            <w:shd w:val="clear" w:color="auto" w:fill="FFFFFF"/>
            <w:noWrap/>
            <w:vAlign w:val="bottom"/>
          </w:tcPr>
          <w:p w14:paraId="777E9DB9" w14:textId="77777777" w:rsidR="002215A6" w:rsidRPr="00EF043A" w:rsidRDefault="002215A6" w:rsidP="002215A6">
            <w:pPr>
              <w:jc w:val="right"/>
              <w:rPr>
                <w:bCs/>
                <w:szCs w:val="18"/>
                <w:lang w:val="en-US"/>
              </w:rPr>
            </w:pPr>
            <w:r w:rsidRPr="00EF043A">
              <w:rPr>
                <w:bCs/>
                <w:szCs w:val="18"/>
                <w:lang w:val="en-US"/>
              </w:rPr>
              <w:t> </w:t>
            </w:r>
          </w:p>
        </w:tc>
      </w:tr>
      <w:tr w:rsidR="002215A6" w:rsidRPr="00C05614" w14:paraId="2BB9BD42" w14:textId="77777777" w:rsidTr="002215A6">
        <w:trPr>
          <w:trHeight w:val="255"/>
        </w:trPr>
        <w:tc>
          <w:tcPr>
            <w:tcW w:w="3769" w:type="pct"/>
            <w:gridSpan w:val="2"/>
            <w:tcBorders>
              <w:top w:val="nil"/>
              <w:left w:val="nil"/>
              <w:bottom w:val="nil"/>
              <w:right w:val="nil"/>
            </w:tcBorders>
            <w:shd w:val="clear" w:color="auto" w:fill="FFFFFF"/>
            <w:vAlign w:val="center"/>
          </w:tcPr>
          <w:p w14:paraId="71B33EDB" w14:textId="77777777" w:rsidR="002215A6" w:rsidRPr="000258B1" w:rsidRDefault="002215A6" w:rsidP="002215A6">
            <w:pPr>
              <w:pStyle w:val="Heading3"/>
              <w:rPr>
                <w:sz w:val="21"/>
                <w:szCs w:val="21"/>
              </w:rPr>
            </w:pPr>
            <w:r w:rsidRPr="000258B1">
              <w:rPr>
                <w:sz w:val="21"/>
                <w:szCs w:val="21"/>
              </w:rPr>
              <w:t>1.2A: Rendering of Services</w:t>
            </w:r>
          </w:p>
        </w:tc>
        <w:tc>
          <w:tcPr>
            <w:tcW w:w="615" w:type="pct"/>
            <w:gridSpan w:val="3"/>
            <w:tcBorders>
              <w:top w:val="nil"/>
              <w:left w:val="nil"/>
              <w:bottom w:val="nil"/>
              <w:right w:val="nil"/>
            </w:tcBorders>
            <w:shd w:val="clear" w:color="auto" w:fill="FFFFFF"/>
            <w:vAlign w:val="bottom"/>
          </w:tcPr>
          <w:p w14:paraId="047F3F6A" w14:textId="77777777" w:rsidR="002215A6" w:rsidRPr="00EF043A" w:rsidRDefault="002215A6" w:rsidP="002215A6">
            <w:pPr>
              <w:jc w:val="right"/>
              <w:rPr>
                <w:b/>
                <w:bCs/>
                <w:szCs w:val="18"/>
                <w:lang w:val="en-US"/>
              </w:rPr>
            </w:pPr>
            <w:r w:rsidRPr="00EF043A">
              <w:rPr>
                <w:b/>
                <w:bCs/>
                <w:szCs w:val="18"/>
                <w:lang w:val="en-US"/>
              </w:rPr>
              <w:t> </w:t>
            </w:r>
          </w:p>
        </w:tc>
        <w:tc>
          <w:tcPr>
            <w:tcW w:w="616" w:type="pct"/>
            <w:tcBorders>
              <w:top w:val="nil"/>
              <w:left w:val="nil"/>
              <w:bottom w:val="nil"/>
              <w:right w:val="nil"/>
            </w:tcBorders>
            <w:shd w:val="clear" w:color="auto" w:fill="FFFFFF"/>
            <w:vAlign w:val="bottom"/>
          </w:tcPr>
          <w:p w14:paraId="20B06FB2" w14:textId="77777777" w:rsidR="002215A6" w:rsidRPr="00C05614" w:rsidRDefault="002215A6" w:rsidP="002215A6">
            <w:pPr>
              <w:jc w:val="right"/>
              <w:rPr>
                <w:bCs/>
                <w:szCs w:val="18"/>
                <w:lang w:val="en-US"/>
              </w:rPr>
            </w:pPr>
            <w:r w:rsidRPr="00C05614">
              <w:rPr>
                <w:bCs/>
                <w:szCs w:val="18"/>
                <w:lang w:val="en-US"/>
              </w:rPr>
              <w:t> </w:t>
            </w:r>
          </w:p>
        </w:tc>
      </w:tr>
      <w:tr w:rsidR="002215A6" w:rsidRPr="00C05614" w14:paraId="5F549DE7" w14:textId="77777777" w:rsidTr="002215A6">
        <w:trPr>
          <w:trHeight w:val="255"/>
        </w:trPr>
        <w:tc>
          <w:tcPr>
            <w:tcW w:w="3769" w:type="pct"/>
            <w:gridSpan w:val="2"/>
            <w:tcBorders>
              <w:top w:val="nil"/>
              <w:left w:val="nil"/>
              <w:bottom w:val="nil"/>
              <w:right w:val="nil"/>
            </w:tcBorders>
            <w:shd w:val="clear" w:color="auto" w:fill="FFFFFF"/>
            <w:vAlign w:val="bottom"/>
          </w:tcPr>
          <w:p w14:paraId="0F9E4C4B" w14:textId="77777777" w:rsidR="002215A6" w:rsidRPr="00C05614" w:rsidRDefault="002215A6" w:rsidP="002215A6">
            <w:pPr>
              <w:ind w:left="176" w:right="284" w:hanging="34"/>
              <w:rPr>
                <w:szCs w:val="18"/>
                <w:lang w:val="en-US"/>
              </w:rPr>
            </w:pPr>
            <w:r>
              <w:rPr>
                <w:szCs w:val="18"/>
                <w:lang w:val="en-US"/>
              </w:rPr>
              <w:t>Rendering of services</w:t>
            </w:r>
          </w:p>
        </w:tc>
        <w:tc>
          <w:tcPr>
            <w:tcW w:w="615" w:type="pct"/>
            <w:gridSpan w:val="3"/>
            <w:tcBorders>
              <w:top w:val="nil"/>
              <w:left w:val="nil"/>
              <w:bottom w:val="nil"/>
              <w:right w:val="nil"/>
            </w:tcBorders>
            <w:shd w:val="clear" w:color="auto" w:fill="FFFFFF"/>
            <w:vAlign w:val="bottom"/>
          </w:tcPr>
          <w:p w14:paraId="46E19F61" w14:textId="77777777" w:rsidR="002215A6" w:rsidRPr="00EF043A" w:rsidRDefault="002215A6" w:rsidP="002215A6">
            <w:pPr>
              <w:jc w:val="right"/>
              <w:rPr>
                <w:b/>
                <w:bCs/>
                <w:szCs w:val="18"/>
                <w:lang w:val="en-US"/>
              </w:rPr>
            </w:pPr>
            <w:r>
              <w:rPr>
                <w:b/>
                <w:bCs/>
                <w:szCs w:val="18"/>
                <w:lang w:val="en-US"/>
              </w:rPr>
              <w:t>10,789</w:t>
            </w:r>
            <w:r w:rsidRPr="00285EE1">
              <w:rPr>
                <w:b/>
                <w:bCs/>
                <w:szCs w:val="18"/>
                <w:lang w:val="en-US"/>
              </w:rPr>
              <w:t xml:space="preserve"> </w:t>
            </w:r>
          </w:p>
        </w:tc>
        <w:tc>
          <w:tcPr>
            <w:tcW w:w="616" w:type="pct"/>
            <w:tcBorders>
              <w:top w:val="nil"/>
              <w:left w:val="nil"/>
              <w:bottom w:val="nil"/>
              <w:right w:val="nil"/>
            </w:tcBorders>
            <w:shd w:val="clear" w:color="auto" w:fill="FFFFFF"/>
            <w:noWrap/>
            <w:vAlign w:val="bottom"/>
          </w:tcPr>
          <w:p w14:paraId="58AC26AD" w14:textId="77777777" w:rsidR="002215A6" w:rsidRPr="00B6422B" w:rsidRDefault="002215A6" w:rsidP="002215A6">
            <w:pPr>
              <w:jc w:val="right"/>
              <w:rPr>
                <w:bCs/>
                <w:szCs w:val="18"/>
                <w:lang w:val="en-US"/>
              </w:rPr>
            </w:pPr>
            <w:r w:rsidRPr="00B6422B">
              <w:rPr>
                <w:bCs/>
                <w:szCs w:val="18"/>
                <w:lang w:val="en-US"/>
              </w:rPr>
              <w:t xml:space="preserve">12,408 </w:t>
            </w:r>
          </w:p>
        </w:tc>
      </w:tr>
      <w:tr w:rsidR="002215A6" w:rsidRPr="00C05614" w14:paraId="197BFCD9" w14:textId="77777777" w:rsidTr="002215A6">
        <w:trPr>
          <w:trHeight w:val="255"/>
        </w:trPr>
        <w:tc>
          <w:tcPr>
            <w:tcW w:w="3769" w:type="pct"/>
            <w:gridSpan w:val="2"/>
            <w:tcBorders>
              <w:top w:val="nil"/>
              <w:left w:val="nil"/>
              <w:bottom w:val="nil"/>
              <w:right w:val="nil"/>
            </w:tcBorders>
            <w:shd w:val="clear" w:color="auto" w:fill="FFFFFF"/>
            <w:vAlign w:val="bottom"/>
          </w:tcPr>
          <w:p w14:paraId="4C3A85B4" w14:textId="77777777" w:rsidR="002215A6" w:rsidRPr="00C05614" w:rsidRDefault="002215A6" w:rsidP="002215A6">
            <w:pPr>
              <w:ind w:left="176" w:right="284" w:hanging="34"/>
              <w:rPr>
                <w:b/>
                <w:bCs/>
                <w:szCs w:val="18"/>
                <w:lang w:val="en-US"/>
              </w:rPr>
            </w:pPr>
            <w:r w:rsidRPr="00C05614">
              <w:rPr>
                <w:b/>
                <w:bCs/>
                <w:szCs w:val="18"/>
                <w:lang w:val="en-US"/>
              </w:rPr>
              <w:t>Total rendering of services</w:t>
            </w:r>
          </w:p>
        </w:tc>
        <w:tc>
          <w:tcPr>
            <w:tcW w:w="615" w:type="pct"/>
            <w:gridSpan w:val="3"/>
            <w:tcBorders>
              <w:top w:val="single" w:sz="4" w:space="0" w:color="auto"/>
              <w:left w:val="nil"/>
              <w:bottom w:val="single" w:sz="4" w:space="0" w:color="auto"/>
              <w:right w:val="nil"/>
            </w:tcBorders>
            <w:shd w:val="clear" w:color="auto" w:fill="FFFFFF"/>
            <w:vAlign w:val="bottom"/>
          </w:tcPr>
          <w:p w14:paraId="7C281B9C" w14:textId="77777777" w:rsidR="002215A6" w:rsidRPr="00EF043A" w:rsidRDefault="002215A6" w:rsidP="002215A6">
            <w:pPr>
              <w:jc w:val="right"/>
              <w:rPr>
                <w:b/>
                <w:bCs/>
                <w:szCs w:val="18"/>
                <w:lang w:val="en-US"/>
              </w:rPr>
            </w:pPr>
            <w:r>
              <w:rPr>
                <w:b/>
                <w:bCs/>
                <w:szCs w:val="18"/>
                <w:lang w:val="en-US"/>
              </w:rPr>
              <w:t>10,789</w:t>
            </w:r>
            <w:r w:rsidRPr="00285EE1">
              <w:rPr>
                <w:b/>
                <w:bCs/>
                <w:szCs w:val="18"/>
                <w:lang w:val="en-US"/>
              </w:rPr>
              <w:t xml:space="preserve"> </w:t>
            </w:r>
          </w:p>
        </w:tc>
        <w:tc>
          <w:tcPr>
            <w:tcW w:w="616" w:type="pct"/>
            <w:tcBorders>
              <w:top w:val="single" w:sz="4" w:space="0" w:color="auto"/>
              <w:left w:val="nil"/>
              <w:bottom w:val="single" w:sz="4" w:space="0" w:color="auto"/>
              <w:right w:val="nil"/>
            </w:tcBorders>
            <w:shd w:val="clear" w:color="auto" w:fill="FFFFFF"/>
            <w:noWrap/>
            <w:vAlign w:val="bottom"/>
          </w:tcPr>
          <w:p w14:paraId="29B82BFB" w14:textId="77777777" w:rsidR="002215A6" w:rsidRPr="00B6422B" w:rsidRDefault="002215A6" w:rsidP="002215A6">
            <w:pPr>
              <w:jc w:val="right"/>
              <w:rPr>
                <w:bCs/>
                <w:szCs w:val="18"/>
                <w:lang w:val="en-US"/>
              </w:rPr>
            </w:pPr>
            <w:r w:rsidRPr="00B6422B">
              <w:rPr>
                <w:bCs/>
                <w:szCs w:val="18"/>
                <w:lang w:val="en-US"/>
              </w:rPr>
              <w:t xml:space="preserve">12,408 </w:t>
            </w:r>
          </w:p>
        </w:tc>
      </w:tr>
      <w:tr w:rsidR="002215A6" w:rsidRPr="00C05614" w14:paraId="44934A52" w14:textId="77777777" w:rsidTr="002215A6">
        <w:trPr>
          <w:trHeight w:val="255"/>
        </w:trPr>
        <w:tc>
          <w:tcPr>
            <w:tcW w:w="5000" w:type="pct"/>
            <w:gridSpan w:val="6"/>
            <w:tcBorders>
              <w:top w:val="nil"/>
              <w:left w:val="nil"/>
              <w:bottom w:val="single" w:sz="4" w:space="0" w:color="auto"/>
              <w:right w:val="nil"/>
            </w:tcBorders>
            <w:shd w:val="clear" w:color="auto" w:fill="FFFFFF"/>
            <w:vAlign w:val="bottom"/>
          </w:tcPr>
          <w:p w14:paraId="449FE14E" w14:textId="77777777" w:rsidR="002215A6" w:rsidRPr="00181CD8" w:rsidRDefault="002215A6" w:rsidP="002215A6">
            <w:pPr>
              <w:ind w:left="176" w:right="284" w:hanging="34"/>
              <w:rPr>
                <w:b/>
                <w:bCs/>
                <w:iCs/>
                <w:szCs w:val="18"/>
                <w:lang w:val="en-US"/>
              </w:rPr>
            </w:pPr>
          </w:p>
        </w:tc>
      </w:tr>
      <w:tr w:rsidR="002215A6" w:rsidRPr="00C05614" w14:paraId="0FA6E647" w14:textId="77777777" w:rsidTr="002215A6">
        <w:trPr>
          <w:trHeight w:val="255"/>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vAlign w:val="bottom"/>
          </w:tcPr>
          <w:p w14:paraId="61971596" w14:textId="77777777" w:rsidR="002215A6" w:rsidRPr="00181CD8" w:rsidRDefault="002215A6" w:rsidP="002215A6">
            <w:pPr>
              <w:ind w:left="176" w:right="284" w:hanging="34"/>
              <w:rPr>
                <w:b/>
                <w:bCs/>
                <w:iCs/>
                <w:szCs w:val="18"/>
                <w:lang w:val="en-US"/>
              </w:rPr>
            </w:pPr>
            <w:r w:rsidRPr="00181CD8">
              <w:rPr>
                <w:b/>
                <w:bCs/>
                <w:iCs/>
                <w:szCs w:val="18"/>
                <w:lang w:val="en-US"/>
              </w:rPr>
              <w:t>Accounting Policy</w:t>
            </w:r>
          </w:p>
          <w:p w14:paraId="0D44F000" w14:textId="13101E03" w:rsidR="002215A6" w:rsidRPr="00181CD8" w:rsidRDefault="002215A6" w:rsidP="002215A6">
            <w:pPr>
              <w:tabs>
                <w:tab w:val="left" w:pos="709"/>
              </w:tabs>
              <w:ind w:left="176" w:right="284"/>
              <w:rPr>
                <w:szCs w:val="18"/>
              </w:rPr>
            </w:pPr>
            <w:r w:rsidRPr="00181CD8">
              <w:rPr>
                <w:szCs w:val="18"/>
              </w:rPr>
              <w:t xml:space="preserve">Revenue from rendering of services is recognised by reference to the stage of completion of </w:t>
            </w:r>
            <w:r w:rsidR="00D20916">
              <w:rPr>
                <w:szCs w:val="18"/>
              </w:rPr>
              <w:br/>
            </w:r>
            <w:r w:rsidRPr="00181CD8">
              <w:rPr>
                <w:szCs w:val="18"/>
              </w:rPr>
              <w:t>contracts at the reporting date. The revenue is recognised when:</w:t>
            </w:r>
            <w:r w:rsidRPr="00181CD8">
              <w:rPr>
                <w:szCs w:val="18"/>
              </w:rPr>
              <w:br/>
              <w:t xml:space="preserve">a) </w:t>
            </w:r>
            <w:r w:rsidRPr="00181CD8">
              <w:rPr>
                <w:szCs w:val="18"/>
              </w:rPr>
              <w:tab/>
              <w:t xml:space="preserve">the amount of revenue, stage of completion and transaction costs incurred can be </w:t>
            </w:r>
            <w:r w:rsidR="007A5403">
              <w:rPr>
                <w:szCs w:val="18"/>
              </w:rPr>
              <w:br/>
            </w:r>
            <w:r w:rsidRPr="00181CD8">
              <w:rPr>
                <w:szCs w:val="18"/>
              </w:rPr>
              <w:tab/>
              <w:t>reliably measured; and</w:t>
            </w:r>
            <w:r w:rsidRPr="00181CD8">
              <w:rPr>
                <w:szCs w:val="18"/>
              </w:rPr>
              <w:br/>
              <w:t xml:space="preserve">b) </w:t>
            </w:r>
            <w:r w:rsidRPr="00181CD8">
              <w:rPr>
                <w:szCs w:val="18"/>
              </w:rPr>
              <w:tab/>
              <w:t xml:space="preserve">the probable economic benefits associated with the transaction will flow to the </w:t>
            </w:r>
          </w:p>
          <w:p w14:paraId="28B7DB16" w14:textId="77777777" w:rsidR="002215A6" w:rsidRDefault="002215A6" w:rsidP="002215A6">
            <w:pPr>
              <w:tabs>
                <w:tab w:val="left" w:pos="709"/>
              </w:tabs>
              <w:spacing w:after="120"/>
              <w:ind w:left="176" w:right="284"/>
              <w:rPr>
                <w:szCs w:val="18"/>
              </w:rPr>
            </w:pPr>
            <w:r w:rsidRPr="00181CD8">
              <w:rPr>
                <w:szCs w:val="18"/>
              </w:rPr>
              <w:tab/>
              <w:t xml:space="preserve">Commission. </w:t>
            </w:r>
          </w:p>
          <w:p w14:paraId="305C9F7A" w14:textId="77777777" w:rsidR="002215A6" w:rsidRDefault="002215A6" w:rsidP="002215A6">
            <w:pPr>
              <w:tabs>
                <w:tab w:val="left" w:pos="709"/>
              </w:tabs>
              <w:spacing w:after="120"/>
              <w:ind w:left="176" w:right="284"/>
              <w:rPr>
                <w:szCs w:val="18"/>
              </w:rPr>
            </w:pPr>
            <w:r w:rsidRPr="00181CD8">
              <w:rPr>
                <w:szCs w:val="18"/>
              </w:rPr>
              <w:t>The stage of completion of contracts at the reporting date is determined by refere</w:t>
            </w:r>
            <w:r>
              <w:rPr>
                <w:szCs w:val="18"/>
              </w:rPr>
              <w:t>nce to the proportion that costs incurred to date bear to the estimated total costs of the transaction</w:t>
            </w:r>
            <w:r w:rsidRPr="00181CD8">
              <w:rPr>
                <w:szCs w:val="18"/>
              </w:rPr>
              <w:t>.</w:t>
            </w:r>
          </w:p>
          <w:p w14:paraId="6C5EE5E8" w14:textId="2A949634" w:rsidR="002215A6" w:rsidRPr="00A26965" w:rsidRDefault="002215A6" w:rsidP="002215A6">
            <w:pPr>
              <w:tabs>
                <w:tab w:val="left" w:pos="709"/>
              </w:tabs>
              <w:ind w:left="176" w:right="284"/>
              <w:rPr>
                <w:szCs w:val="18"/>
              </w:rPr>
            </w:pPr>
            <w:r w:rsidRPr="00181CD8">
              <w:rPr>
                <w:szCs w:val="18"/>
              </w:rPr>
              <w:t xml:space="preserve">Receivables for goods and services, which have 30 day terms, are recognised at the nominal </w:t>
            </w:r>
            <w:r w:rsidR="00D20916">
              <w:rPr>
                <w:szCs w:val="18"/>
              </w:rPr>
              <w:br/>
            </w:r>
            <w:r w:rsidRPr="00181CD8">
              <w:rPr>
                <w:szCs w:val="18"/>
              </w:rPr>
              <w:t xml:space="preserve">amounts due less any impairment allowance. Collectability of debts is reviewed at the end of </w:t>
            </w:r>
            <w:r w:rsidR="00D20916">
              <w:rPr>
                <w:szCs w:val="18"/>
              </w:rPr>
              <w:br/>
            </w:r>
            <w:r w:rsidRPr="00181CD8">
              <w:rPr>
                <w:szCs w:val="18"/>
              </w:rPr>
              <w:t xml:space="preserve">the reporting period. Allowances are made when collectability of the debt is no longer </w:t>
            </w:r>
            <w:r w:rsidR="00D20916">
              <w:rPr>
                <w:szCs w:val="18"/>
              </w:rPr>
              <w:br/>
            </w:r>
            <w:r w:rsidRPr="00181CD8">
              <w:rPr>
                <w:szCs w:val="18"/>
              </w:rPr>
              <w:t>probable.</w:t>
            </w:r>
          </w:p>
        </w:tc>
      </w:tr>
      <w:tr w:rsidR="002215A6" w:rsidRPr="00C05614" w14:paraId="605CD506" w14:textId="77777777" w:rsidTr="002215A6">
        <w:trPr>
          <w:trHeight w:val="255"/>
        </w:trPr>
        <w:tc>
          <w:tcPr>
            <w:tcW w:w="3769" w:type="pct"/>
            <w:gridSpan w:val="2"/>
            <w:tcBorders>
              <w:top w:val="single" w:sz="4" w:space="0" w:color="auto"/>
              <w:left w:val="nil"/>
              <w:bottom w:val="nil"/>
              <w:right w:val="nil"/>
            </w:tcBorders>
            <w:shd w:val="clear" w:color="auto" w:fill="FFFFFF"/>
            <w:vAlign w:val="bottom"/>
          </w:tcPr>
          <w:p w14:paraId="10DCE1FA" w14:textId="77777777" w:rsidR="002215A6" w:rsidRPr="00AD4E01" w:rsidRDefault="002215A6" w:rsidP="002215A6">
            <w:pPr>
              <w:pStyle w:val="Heading4"/>
              <w:rPr>
                <w:color w:val="auto"/>
                <w:sz w:val="21"/>
                <w:szCs w:val="21"/>
                <w:lang w:val="en-US"/>
              </w:rPr>
            </w:pPr>
            <w:r w:rsidRPr="00AD4E01">
              <w:rPr>
                <w:color w:val="auto"/>
                <w:sz w:val="21"/>
                <w:szCs w:val="21"/>
                <w:lang w:val="en-US"/>
              </w:rPr>
              <w:t>1.2B: Interest</w:t>
            </w:r>
          </w:p>
        </w:tc>
        <w:tc>
          <w:tcPr>
            <w:tcW w:w="615" w:type="pct"/>
            <w:gridSpan w:val="3"/>
            <w:tcBorders>
              <w:top w:val="single" w:sz="4" w:space="0" w:color="auto"/>
              <w:left w:val="nil"/>
              <w:bottom w:val="nil"/>
              <w:right w:val="nil"/>
            </w:tcBorders>
            <w:shd w:val="clear" w:color="auto" w:fill="FFFFFF"/>
            <w:vAlign w:val="bottom"/>
          </w:tcPr>
          <w:p w14:paraId="04D5DF6F" w14:textId="77777777" w:rsidR="002215A6" w:rsidRPr="00EF043A" w:rsidRDefault="002215A6" w:rsidP="002215A6">
            <w:pPr>
              <w:jc w:val="right"/>
              <w:rPr>
                <w:b/>
                <w:bCs/>
                <w:szCs w:val="18"/>
                <w:lang w:val="en-US"/>
              </w:rPr>
            </w:pPr>
          </w:p>
        </w:tc>
        <w:tc>
          <w:tcPr>
            <w:tcW w:w="616" w:type="pct"/>
            <w:tcBorders>
              <w:top w:val="single" w:sz="4" w:space="0" w:color="auto"/>
              <w:left w:val="nil"/>
              <w:bottom w:val="nil"/>
              <w:right w:val="nil"/>
            </w:tcBorders>
            <w:shd w:val="clear" w:color="auto" w:fill="FFFFFF"/>
            <w:noWrap/>
            <w:vAlign w:val="bottom"/>
          </w:tcPr>
          <w:p w14:paraId="1BE94DDD" w14:textId="77777777" w:rsidR="002215A6" w:rsidRPr="00D814E8" w:rsidRDefault="002215A6" w:rsidP="002215A6">
            <w:pPr>
              <w:jc w:val="right"/>
              <w:rPr>
                <w:bCs/>
                <w:szCs w:val="18"/>
                <w:lang w:val="en-US"/>
              </w:rPr>
            </w:pPr>
          </w:p>
        </w:tc>
      </w:tr>
      <w:tr w:rsidR="002215A6" w:rsidRPr="00C05614" w14:paraId="2F9D8E73" w14:textId="77777777" w:rsidTr="002215A6">
        <w:trPr>
          <w:trHeight w:val="255"/>
        </w:trPr>
        <w:tc>
          <w:tcPr>
            <w:tcW w:w="3769" w:type="pct"/>
            <w:gridSpan w:val="2"/>
            <w:tcBorders>
              <w:top w:val="nil"/>
              <w:left w:val="nil"/>
              <w:bottom w:val="nil"/>
              <w:right w:val="nil"/>
            </w:tcBorders>
            <w:shd w:val="clear" w:color="auto" w:fill="FFFFFF"/>
            <w:vAlign w:val="bottom"/>
          </w:tcPr>
          <w:p w14:paraId="64653ACB" w14:textId="77777777" w:rsidR="002215A6" w:rsidRPr="00C05614" w:rsidRDefault="002215A6" w:rsidP="002215A6">
            <w:pPr>
              <w:ind w:left="176" w:right="284" w:hanging="34"/>
              <w:rPr>
                <w:szCs w:val="18"/>
                <w:lang w:val="en-US"/>
              </w:rPr>
            </w:pPr>
            <w:r w:rsidRPr="00C05614">
              <w:rPr>
                <w:szCs w:val="18"/>
                <w:lang w:val="en-US"/>
              </w:rPr>
              <w:t>Deposits</w:t>
            </w:r>
          </w:p>
        </w:tc>
        <w:tc>
          <w:tcPr>
            <w:tcW w:w="615" w:type="pct"/>
            <w:gridSpan w:val="3"/>
            <w:tcBorders>
              <w:top w:val="nil"/>
              <w:left w:val="nil"/>
              <w:bottom w:val="nil"/>
              <w:right w:val="nil"/>
            </w:tcBorders>
            <w:shd w:val="clear" w:color="auto" w:fill="FFFFFF"/>
            <w:vAlign w:val="bottom"/>
          </w:tcPr>
          <w:p w14:paraId="1A8D6201" w14:textId="77777777" w:rsidR="002215A6" w:rsidRPr="00EF043A" w:rsidRDefault="002215A6" w:rsidP="002215A6">
            <w:pPr>
              <w:jc w:val="right"/>
              <w:rPr>
                <w:b/>
                <w:bCs/>
                <w:szCs w:val="18"/>
                <w:lang w:val="en-US"/>
              </w:rPr>
            </w:pPr>
            <w:r>
              <w:rPr>
                <w:b/>
                <w:bCs/>
                <w:szCs w:val="18"/>
                <w:lang w:val="en-US"/>
              </w:rPr>
              <w:t>216</w:t>
            </w:r>
            <w:r w:rsidRPr="00285EE1">
              <w:rPr>
                <w:b/>
                <w:bCs/>
                <w:szCs w:val="18"/>
                <w:lang w:val="en-US"/>
              </w:rPr>
              <w:t xml:space="preserve"> </w:t>
            </w:r>
          </w:p>
        </w:tc>
        <w:tc>
          <w:tcPr>
            <w:tcW w:w="616" w:type="pct"/>
            <w:tcBorders>
              <w:top w:val="nil"/>
              <w:left w:val="nil"/>
              <w:bottom w:val="nil"/>
              <w:right w:val="nil"/>
            </w:tcBorders>
            <w:shd w:val="clear" w:color="auto" w:fill="FFFFFF"/>
            <w:noWrap/>
            <w:vAlign w:val="bottom"/>
          </w:tcPr>
          <w:p w14:paraId="3CF57530" w14:textId="77777777" w:rsidR="002215A6" w:rsidRPr="00B6422B" w:rsidRDefault="002215A6" w:rsidP="002215A6">
            <w:pPr>
              <w:jc w:val="right"/>
              <w:rPr>
                <w:bCs/>
                <w:szCs w:val="18"/>
                <w:lang w:val="en-US"/>
              </w:rPr>
            </w:pPr>
            <w:r w:rsidRPr="00B6422B">
              <w:rPr>
                <w:bCs/>
                <w:szCs w:val="18"/>
                <w:lang w:val="en-US"/>
              </w:rPr>
              <w:t xml:space="preserve">353 </w:t>
            </w:r>
          </w:p>
        </w:tc>
      </w:tr>
      <w:tr w:rsidR="002215A6" w:rsidRPr="00C05614" w14:paraId="77FCCB5C" w14:textId="77777777" w:rsidTr="002215A6">
        <w:trPr>
          <w:trHeight w:val="255"/>
        </w:trPr>
        <w:tc>
          <w:tcPr>
            <w:tcW w:w="3769" w:type="pct"/>
            <w:gridSpan w:val="2"/>
            <w:tcBorders>
              <w:top w:val="nil"/>
              <w:left w:val="nil"/>
              <w:bottom w:val="nil"/>
              <w:right w:val="nil"/>
            </w:tcBorders>
            <w:shd w:val="clear" w:color="auto" w:fill="FFFFFF"/>
            <w:vAlign w:val="bottom"/>
          </w:tcPr>
          <w:p w14:paraId="4A6EADB7" w14:textId="77777777" w:rsidR="002215A6" w:rsidRPr="00C05614" w:rsidRDefault="002215A6" w:rsidP="002215A6">
            <w:pPr>
              <w:ind w:left="176" w:right="284" w:hanging="34"/>
              <w:rPr>
                <w:b/>
                <w:bCs/>
                <w:szCs w:val="18"/>
                <w:lang w:val="en-US"/>
              </w:rPr>
            </w:pPr>
            <w:r w:rsidRPr="00C05614">
              <w:rPr>
                <w:b/>
                <w:bCs/>
                <w:szCs w:val="18"/>
                <w:lang w:val="en-US"/>
              </w:rPr>
              <w:t>Total interest</w:t>
            </w:r>
          </w:p>
        </w:tc>
        <w:tc>
          <w:tcPr>
            <w:tcW w:w="615" w:type="pct"/>
            <w:gridSpan w:val="3"/>
            <w:tcBorders>
              <w:top w:val="single" w:sz="4" w:space="0" w:color="auto"/>
              <w:left w:val="nil"/>
              <w:bottom w:val="single" w:sz="4" w:space="0" w:color="auto"/>
              <w:right w:val="nil"/>
            </w:tcBorders>
            <w:shd w:val="clear" w:color="auto" w:fill="FFFFFF"/>
            <w:vAlign w:val="bottom"/>
          </w:tcPr>
          <w:p w14:paraId="130B1A74" w14:textId="77777777" w:rsidR="002215A6" w:rsidRPr="00EF043A" w:rsidRDefault="002215A6" w:rsidP="002215A6">
            <w:pPr>
              <w:jc w:val="right"/>
              <w:rPr>
                <w:b/>
                <w:bCs/>
                <w:szCs w:val="18"/>
                <w:lang w:val="en-US"/>
              </w:rPr>
            </w:pPr>
            <w:r>
              <w:rPr>
                <w:b/>
                <w:bCs/>
                <w:szCs w:val="18"/>
                <w:lang w:val="en-US"/>
              </w:rPr>
              <w:t>216</w:t>
            </w:r>
            <w:r w:rsidRPr="00285EE1">
              <w:rPr>
                <w:b/>
                <w:bCs/>
                <w:szCs w:val="18"/>
                <w:lang w:val="en-US"/>
              </w:rPr>
              <w:t xml:space="preserve"> </w:t>
            </w:r>
          </w:p>
        </w:tc>
        <w:tc>
          <w:tcPr>
            <w:tcW w:w="616" w:type="pct"/>
            <w:tcBorders>
              <w:top w:val="single" w:sz="4" w:space="0" w:color="auto"/>
              <w:left w:val="nil"/>
              <w:bottom w:val="single" w:sz="4" w:space="0" w:color="auto"/>
              <w:right w:val="nil"/>
            </w:tcBorders>
            <w:shd w:val="clear" w:color="auto" w:fill="FFFFFF"/>
            <w:noWrap/>
            <w:vAlign w:val="bottom"/>
          </w:tcPr>
          <w:p w14:paraId="2C0286DE" w14:textId="77777777" w:rsidR="002215A6" w:rsidRPr="00B6422B" w:rsidRDefault="002215A6" w:rsidP="002215A6">
            <w:pPr>
              <w:jc w:val="right"/>
              <w:rPr>
                <w:bCs/>
                <w:szCs w:val="18"/>
                <w:lang w:val="en-US"/>
              </w:rPr>
            </w:pPr>
            <w:r w:rsidRPr="00B6422B">
              <w:rPr>
                <w:bCs/>
                <w:szCs w:val="18"/>
                <w:lang w:val="en-US"/>
              </w:rPr>
              <w:t xml:space="preserve">353 </w:t>
            </w:r>
          </w:p>
        </w:tc>
      </w:tr>
      <w:tr w:rsidR="002215A6" w:rsidRPr="00C05614" w14:paraId="5CF7571A" w14:textId="77777777" w:rsidTr="002215A6">
        <w:trPr>
          <w:trHeight w:val="255"/>
        </w:trPr>
        <w:tc>
          <w:tcPr>
            <w:tcW w:w="3769" w:type="pct"/>
            <w:gridSpan w:val="2"/>
            <w:tcBorders>
              <w:top w:val="nil"/>
              <w:left w:val="nil"/>
              <w:bottom w:val="single" w:sz="4" w:space="0" w:color="auto"/>
              <w:right w:val="nil"/>
            </w:tcBorders>
            <w:shd w:val="clear" w:color="auto" w:fill="FFFFFF"/>
            <w:noWrap/>
            <w:vAlign w:val="bottom"/>
          </w:tcPr>
          <w:p w14:paraId="38128B06" w14:textId="77777777" w:rsidR="002215A6" w:rsidRPr="00181CD8" w:rsidRDefault="002215A6" w:rsidP="002215A6">
            <w:pPr>
              <w:ind w:left="176" w:right="284" w:hanging="34"/>
              <w:rPr>
                <w:b/>
                <w:szCs w:val="18"/>
                <w:lang w:val="en-US"/>
              </w:rPr>
            </w:pPr>
          </w:p>
        </w:tc>
        <w:tc>
          <w:tcPr>
            <w:tcW w:w="615" w:type="pct"/>
            <w:gridSpan w:val="3"/>
            <w:tcBorders>
              <w:top w:val="nil"/>
              <w:left w:val="nil"/>
              <w:bottom w:val="single" w:sz="4" w:space="0" w:color="auto"/>
              <w:right w:val="nil"/>
            </w:tcBorders>
            <w:shd w:val="clear" w:color="auto" w:fill="FFFFFF"/>
            <w:vAlign w:val="bottom"/>
          </w:tcPr>
          <w:p w14:paraId="3A6C2FBC" w14:textId="77777777" w:rsidR="002215A6" w:rsidRPr="00EF043A" w:rsidRDefault="002215A6" w:rsidP="002215A6">
            <w:pPr>
              <w:jc w:val="right"/>
              <w:rPr>
                <w:b/>
                <w:bCs/>
                <w:szCs w:val="18"/>
                <w:lang w:val="en-US"/>
              </w:rPr>
            </w:pPr>
          </w:p>
        </w:tc>
        <w:tc>
          <w:tcPr>
            <w:tcW w:w="616" w:type="pct"/>
            <w:tcBorders>
              <w:top w:val="nil"/>
              <w:left w:val="nil"/>
              <w:bottom w:val="single" w:sz="4" w:space="0" w:color="auto"/>
              <w:right w:val="nil"/>
            </w:tcBorders>
            <w:shd w:val="clear" w:color="auto" w:fill="FFFFFF"/>
            <w:vAlign w:val="bottom"/>
          </w:tcPr>
          <w:p w14:paraId="63700EDE" w14:textId="77777777" w:rsidR="002215A6" w:rsidRPr="00D814E8" w:rsidRDefault="002215A6" w:rsidP="002215A6">
            <w:pPr>
              <w:jc w:val="right"/>
              <w:rPr>
                <w:bCs/>
                <w:szCs w:val="18"/>
                <w:lang w:val="en-US"/>
              </w:rPr>
            </w:pPr>
          </w:p>
        </w:tc>
      </w:tr>
      <w:tr w:rsidR="002215A6" w:rsidRPr="00C05614" w14:paraId="78A9205F" w14:textId="77777777" w:rsidTr="002215A6">
        <w:trPr>
          <w:trHeight w:val="255"/>
        </w:trPr>
        <w:tc>
          <w:tcPr>
            <w:tcW w:w="3945" w:type="pct"/>
            <w:gridSpan w:val="3"/>
            <w:tcBorders>
              <w:top w:val="single" w:sz="4" w:space="0" w:color="auto"/>
              <w:left w:val="single" w:sz="4" w:space="0" w:color="auto"/>
              <w:bottom w:val="nil"/>
              <w:right w:val="nil"/>
            </w:tcBorders>
            <w:shd w:val="clear" w:color="auto" w:fill="FFFFFF"/>
            <w:noWrap/>
            <w:vAlign w:val="bottom"/>
          </w:tcPr>
          <w:p w14:paraId="17D57556" w14:textId="77777777" w:rsidR="002215A6" w:rsidRPr="00181CD8" w:rsidRDefault="002215A6" w:rsidP="002215A6">
            <w:pPr>
              <w:ind w:left="176" w:right="284" w:hanging="34"/>
              <w:rPr>
                <w:b/>
                <w:szCs w:val="18"/>
                <w:lang w:val="en-US"/>
              </w:rPr>
            </w:pPr>
            <w:r w:rsidRPr="00181CD8">
              <w:rPr>
                <w:b/>
                <w:szCs w:val="18"/>
                <w:lang w:val="en-US"/>
              </w:rPr>
              <w:t>Accounting Policy</w:t>
            </w:r>
          </w:p>
        </w:tc>
        <w:tc>
          <w:tcPr>
            <w:tcW w:w="439" w:type="pct"/>
            <w:gridSpan w:val="2"/>
            <w:tcBorders>
              <w:top w:val="single" w:sz="4" w:space="0" w:color="auto"/>
              <w:left w:val="nil"/>
              <w:bottom w:val="nil"/>
              <w:right w:val="nil"/>
            </w:tcBorders>
            <w:shd w:val="clear" w:color="auto" w:fill="FFFFFF"/>
            <w:vAlign w:val="bottom"/>
          </w:tcPr>
          <w:p w14:paraId="73032580" w14:textId="77777777" w:rsidR="002215A6" w:rsidRPr="00EF043A" w:rsidRDefault="002215A6" w:rsidP="002215A6">
            <w:pPr>
              <w:jc w:val="right"/>
              <w:rPr>
                <w:b/>
                <w:bCs/>
                <w:szCs w:val="18"/>
                <w:lang w:val="en-US"/>
              </w:rPr>
            </w:pPr>
          </w:p>
        </w:tc>
        <w:tc>
          <w:tcPr>
            <w:tcW w:w="616" w:type="pct"/>
            <w:tcBorders>
              <w:top w:val="single" w:sz="4" w:space="0" w:color="auto"/>
              <w:left w:val="nil"/>
              <w:bottom w:val="nil"/>
              <w:right w:val="single" w:sz="4" w:space="0" w:color="auto"/>
            </w:tcBorders>
            <w:shd w:val="clear" w:color="auto" w:fill="FFFFFF"/>
            <w:vAlign w:val="bottom"/>
          </w:tcPr>
          <w:p w14:paraId="5AC2A7B8" w14:textId="77777777" w:rsidR="002215A6" w:rsidRPr="00D814E8" w:rsidRDefault="002215A6" w:rsidP="002215A6">
            <w:pPr>
              <w:jc w:val="right"/>
              <w:rPr>
                <w:bCs/>
                <w:szCs w:val="18"/>
                <w:lang w:val="en-US"/>
              </w:rPr>
            </w:pPr>
          </w:p>
        </w:tc>
      </w:tr>
      <w:tr w:rsidR="002215A6" w:rsidRPr="00C05614" w14:paraId="3DB6784E" w14:textId="77777777" w:rsidTr="002215A6">
        <w:trPr>
          <w:trHeight w:val="255"/>
        </w:trPr>
        <w:tc>
          <w:tcPr>
            <w:tcW w:w="3945" w:type="pct"/>
            <w:gridSpan w:val="3"/>
            <w:tcBorders>
              <w:top w:val="nil"/>
              <w:left w:val="single" w:sz="4" w:space="0" w:color="auto"/>
              <w:bottom w:val="single" w:sz="4" w:space="0" w:color="auto"/>
              <w:right w:val="nil"/>
            </w:tcBorders>
            <w:shd w:val="clear" w:color="auto" w:fill="FFFFFF"/>
            <w:noWrap/>
            <w:vAlign w:val="bottom"/>
          </w:tcPr>
          <w:p w14:paraId="0B4BD73F" w14:textId="77777777" w:rsidR="002215A6" w:rsidRPr="00C9282C" w:rsidRDefault="002215A6" w:rsidP="00C9282C">
            <w:r w:rsidRPr="00C9282C">
              <w:t xml:space="preserve">Interest revenue is recognised using the effective interest method. </w:t>
            </w:r>
          </w:p>
        </w:tc>
        <w:tc>
          <w:tcPr>
            <w:tcW w:w="439" w:type="pct"/>
            <w:gridSpan w:val="2"/>
            <w:tcBorders>
              <w:top w:val="nil"/>
              <w:left w:val="nil"/>
              <w:bottom w:val="single" w:sz="4" w:space="0" w:color="auto"/>
              <w:right w:val="nil"/>
            </w:tcBorders>
            <w:shd w:val="clear" w:color="auto" w:fill="FFFFFF"/>
            <w:vAlign w:val="bottom"/>
          </w:tcPr>
          <w:p w14:paraId="778D53BD" w14:textId="77777777" w:rsidR="002215A6" w:rsidRPr="00EF043A" w:rsidRDefault="002215A6" w:rsidP="002215A6">
            <w:pPr>
              <w:jc w:val="right"/>
              <w:rPr>
                <w:b/>
                <w:bCs/>
                <w:szCs w:val="18"/>
                <w:lang w:val="en-US"/>
              </w:rPr>
            </w:pPr>
          </w:p>
        </w:tc>
        <w:tc>
          <w:tcPr>
            <w:tcW w:w="616" w:type="pct"/>
            <w:tcBorders>
              <w:top w:val="nil"/>
              <w:left w:val="nil"/>
              <w:bottom w:val="single" w:sz="4" w:space="0" w:color="auto"/>
              <w:right w:val="single" w:sz="4" w:space="0" w:color="auto"/>
            </w:tcBorders>
            <w:shd w:val="clear" w:color="auto" w:fill="FFFFFF"/>
            <w:vAlign w:val="bottom"/>
          </w:tcPr>
          <w:p w14:paraId="03D28149" w14:textId="77777777" w:rsidR="002215A6" w:rsidRPr="00D814E8" w:rsidRDefault="002215A6" w:rsidP="002215A6">
            <w:pPr>
              <w:jc w:val="right"/>
              <w:rPr>
                <w:bCs/>
                <w:szCs w:val="18"/>
                <w:lang w:val="en-US"/>
              </w:rPr>
            </w:pPr>
          </w:p>
        </w:tc>
      </w:tr>
      <w:tr w:rsidR="002215A6" w:rsidRPr="00C05614" w14:paraId="76B8A113" w14:textId="77777777" w:rsidTr="002215A6">
        <w:trPr>
          <w:trHeight w:val="255"/>
        </w:trPr>
        <w:tc>
          <w:tcPr>
            <w:tcW w:w="3769" w:type="pct"/>
            <w:gridSpan w:val="2"/>
            <w:tcBorders>
              <w:top w:val="single" w:sz="4" w:space="0" w:color="auto"/>
              <w:left w:val="nil"/>
              <w:bottom w:val="nil"/>
              <w:right w:val="nil"/>
            </w:tcBorders>
            <w:shd w:val="clear" w:color="auto" w:fill="FFFFFF"/>
            <w:vAlign w:val="bottom"/>
          </w:tcPr>
          <w:p w14:paraId="1C321750" w14:textId="77777777" w:rsidR="002215A6" w:rsidRPr="00AD4E01" w:rsidRDefault="002215A6" w:rsidP="002215A6">
            <w:pPr>
              <w:pStyle w:val="Heading4"/>
              <w:rPr>
                <w:color w:val="auto"/>
                <w:sz w:val="21"/>
                <w:szCs w:val="21"/>
                <w:lang w:val="en-US"/>
              </w:rPr>
            </w:pPr>
            <w:r w:rsidRPr="00AD4E01">
              <w:rPr>
                <w:color w:val="auto"/>
                <w:sz w:val="21"/>
                <w:szCs w:val="21"/>
                <w:lang w:val="en-US"/>
              </w:rPr>
              <w:t>1.2C: External Contributions</w:t>
            </w:r>
          </w:p>
        </w:tc>
        <w:tc>
          <w:tcPr>
            <w:tcW w:w="615" w:type="pct"/>
            <w:gridSpan w:val="3"/>
            <w:tcBorders>
              <w:top w:val="single" w:sz="4" w:space="0" w:color="auto"/>
              <w:left w:val="nil"/>
              <w:bottom w:val="nil"/>
              <w:right w:val="nil"/>
            </w:tcBorders>
            <w:shd w:val="clear" w:color="auto" w:fill="FFFFFF"/>
            <w:vAlign w:val="bottom"/>
          </w:tcPr>
          <w:p w14:paraId="48B51CC6" w14:textId="77777777" w:rsidR="002215A6" w:rsidRPr="00EF043A" w:rsidRDefault="002215A6" w:rsidP="002215A6">
            <w:pPr>
              <w:jc w:val="right"/>
              <w:rPr>
                <w:b/>
                <w:bCs/>
                <w:szCs w:val="18"/>
                <w:lang w:val="en-US"/>
              </w:rPr>
            </w:pPr>
          </w:p>
        </w:tc>
        <w:tc>
          <w:tcPr>
            <w:tcW w:w="616" w:type="pct"/>
            <w:tcBorders>
              <w:top w:val="single" w:sz="4" w:space="0" w:color="auto"/>
              <w:left w:val="nil"/>
              <w:bottom w:val="nil"/>
              <w:right w:val="nil"/>
            </w:tcBorders>
            <w:shd w:val="clear" w:color="auto" w:fill="FFFFFF"/>
            <w:noWrap/>
            <w:vAlign w:val="bottom"/>
          </w:tcPr>
          <w:p w14:paraId="671DA10F" w14:textId="77777777" w:rsidR="002215A6" w:rsidRPr="00D814E8" w:rsidRDefault="002215A6" w:rsidP="002215A6">
            <w:pPr>
              <w:jc w:val="right"/>
              <w:rPr>
                <w:bCs/>
                <w:szCs w:val="18"/>
                <w:lang w:val="en-US"/>
              </w:rPr>
            </w:pPr>
          </w:p>
        </w:tc>
      </w:tr>
      <w:tr w:rsidR="002215A6" w:rsidRPr="00C05614" w14:paraId="46C4C02E" w14:textId="77777777" w:rsidTr="002215A6">
        <w:trPr>
          <w:trHeight w:val="255"/>
        </w:trPr>
        <w:tc>
          <w:tcPr>
            <w:tcW w:w="3769" w:type="pct"/>
            <w:gridSpan w:val="2"/>
            <w:tcBorders>
              <w:top w:val="nil"/>
              <w:left w:val="nil"/>
              <w:bottom w:val="nil"/>
              <w:right w:val="nil"/>
            </w:tcBorders>
            <w:shd w:val="clear" w:color="auto" w:fill="FFFFFF"/>
            <w:vAlign w:val="bottom"/>
          </w:tcPr>
          <w:p w14:paraId="240853EF" w14:textId="77777777" w:rsidR="002215A6" w:rsidRPr="00C05614" w:rsidRDefault="002215A6" w:rsidP="002215A6">
            <w:pPr>
              <w:ind w:left="176" w:right="284" w:hanging="34"/>
              <w:rPr>
                <w:szCs w:val="18"/>
                <w:lang w:val="en-US"/>
              </w:rPr>
            </w:pPr>
            <w:r w:rsidRPr="00C05614">
              <w:rPr>
                <w:szCs w:val="18"/>
                <w:lang w:val="en-US"/>
              </w:rPr>
              <w:t>States and Territories contributions</w:t>
            </w:r>
          </w:p>
        </w:tc>
        <w:tc>
          <w:tcPr>
            <w:tcW w:w="615" w:type="pct"/>
            <w:gridSpan w:val="3"/>
            <w:tcBorders>
              <w:top w:val="nil"/>
              <w:left w:val="nil"/>
              <w:bottom w:val="nil"/>
              <w:right w:val="nil"/>
            </w:tcBorders>
            <w:shd w:val="clear" w:color="auto" w:fill="FFFFFF"/>
            <w:vAlign w:val="bottom"/>
          </w:tcPr>
          <w:p w14:paraId="6E88BF61" w14:textId="77777777" w:rsidR="002215A6" w:rsidRPr="00EF043A" w:rsidRDefault="002215A6" w:rsidP="002215A6">
            <w:pPr>
              <w:jc w:val="right"/>
              <w:rPr>
                <w:b/>
                <w:bCs/>
                <w:szCs w:val="18"/>
                <w:lang w:val="en-US"/>
              </w:rPr>
            </w:pPr>
            <w:r>
              <w:rPr>
                <w:b/>
                <w:bCs/>
                <w:szCs w:val="18"/>
                <w:lang w:val="en-US"/>
              </w:rPr>
              <w:t>7,406</w:t>
            </w:r>
            <w:r w:rsidRPr="00285EE1">
              <w:rPr>
                <w:b/>
                <w:bCs/>
                <w:szCs w:val="18"/>
                <w:lang w:val="en-US"/>
              </w:rPr>
              <w:t xml:space="preserve"> </w:t>
            </w:r>
          </w:p>
        </w:tc>
        <w:tc>
          <w:tcPr>
            <w:tcW w:w="616" w:type="pct"/>
            <w:tcBorders>
              <w:top w:val="nil"/>
              <w:left w:val="nil"/>
              <w:bottom w:val="nil"/>
              <w:right w:val="nil"/>
            </w:tcBorders>
            <w:shd w:val="clear" w:color="auto" w:fill="FFFFFF"/>
            <w:noWrap/>
            <w:vAlign w:val="bottom"/>
          </w:tcPr>
          <w:p w14:paraId="0F22D7FD" w14:textId="77777777" w:rsidR="002215A6" w:rsidRPr="00B6422B" w:rsidRDefault="002215A6" w:rsidP="002215A6">
            <w:pPr>
              <w:jc w:val="right"/>
              <w:rPr>
                <w:bCs/>
                <w:szCs w:val="18"/>
                <w:lang w:val="en-US"/>
              </w:rPr>
            </w:pPr>
            <w:r w:rsidRPr="00B6422B">
              <w:rPr>
                <w:bCs/>
                <w:szCs w:val="18"/>
                <w:lang w:val="en-US"/>
              </w:rPr>
              <w:t xml:space="preserve">7,190 </w:t>
            </w:r>
          </w:p>
        </w:tc>
      </w:tr>
      <w:tr w:rsidR="002215A6" w:rsidRPr="00C05614" w14:paraId="44562AE6" w14:textId="77777777" w:rsidTr="002215A6">
        <w:trPr>
          <w:trHeight w:val="255"/>
        </w:trPr>
        <w:tc>
          <w:tcPr>
            <w:tcW w:w="3769" w:type="pct"/>
            <w:gridSpan w:val="2"/>
            <w:tcBorders>
              <w:top w:val="nil"/>
              <w:left w:val="nil"/>
              <w:bottom w:val="nil"/>
              <w:right w:val="nil"/>
            </w:tcBorders>
            <w:shd w:val="clear" w:color="auto" w:fill="FFFFFF"/>
            <w:vAlign w:val="bottom"/>
          </w:tcPr>
          <w:p w14:paraId="050D7231" w14:textId="77777777" w:rsidR="002215A6" w:rsidRPr="00C05614" w:rsidRDefault="002215A6" w:rsidP="002215A6">
            <w:pPr>
              <w:ind w:left="176" w:right="284" w:hanging="34"/>
              <w:rPr>
                <w:b/>
                <w:bCs/>
                <w:szCs w:val="18"/>
                <w:lang w:val="en-US"/>
              </w:rPr>
            </w:pPr>
            <w:r w:rsidRPr="00C05614">
              <w:rPr>
                <w:b/>
                <w:bCs/>
                <w:szCs w:val="18"/>
                <w:lang w:val="en-US"/>
              </w:rPr>
              <w:t>Total external contributions</w:t>
            </w:r>
          </w:p>
        </w:tc>
        <w:tc>
          <w:tcPr>
            <w:tcW w:w="615" w:type="pct"/>
            <w:gridSpan w:val="3"/>
            <w:tcBorders>
              <w:top w:val="single" w:sz="4" w:space="0" w:color="auto"/>
              <w:left w:val="nil"/>
              <w:bottom w:val="single" w:sz="4" w:space="0" w:color="auto"/>
              <w:right w:val="nil"/>
            </w:tcBorders>
            <w:shd w:val="clear" w:color="auto" w:fill="FFFFFF"/>
            <w:vAlign w:val="bottom"/>
          </w:tcPr>
          <w:p w14:paraId="6FE26E3B" w14:textId="77777777" w:rsidR="002215A6" w:rsidRPr="00EF043A" w:rsidRDefault="002215A6" w:rsidP="002215A6">
            <w:pPr>
              <w:jc w:val="right"/>
              <w:rPr>
                <w:b/>
                <w:bCs/>
                <w:szCs w:val="18"/>
                <w:lang w:val="en-US"/>
              </w:rPr>
            </w:pPr>
            <w:r>
              <w:rPr>
                <w:b/>
                <w:bCs/>
                <w:szCs w:val="18"/>
                <w:lang w:val="en-US"/>
              </w:rPr>
              <w:t>7,406</w:t>
            </w:r>
            <w:r w:rsidRPr="00285EE1">
              <w:rPr>
                <w:b/>
                <w:bCs/>
                <w:szCs w:val="18"/>
                <w:lang w:val="en-US"/>
              </w:rPr>
              <w:t xml:space="preserve"> </w:t>
            </w:r>
          </w:p>
        </w:tc>
        <w:tc>
          <w:tcPr>
            <w:tcW w:w="616" w:type="pct"/>
            <w:tcBorders>
              <w:top w:val="single" w:sz="4" w:space="0" w:color="auto"/>
              <w:left w:val="nil"/>
              <w:bottom w:val="single" w:sz="4" w:space="0" w:color="auto"/>
              <w:right w:val="nil"/>
            </w:tcBorders>
            <w:shd w:val="clear" w:color="auto" w:fill="FFFFFF"/>
            <w:noWrap/>
            <w:vAlign w:val="bottom"/>
          </w:tcPr>
          <w:p w14:paraId="5CABC29F" w14:textId="77777777" w:rsidR="002215A6" w:rsidRPr="00B6422B" w:rsidRDefault="002215A6" w:rsidP="002215A6">
            <w:pPr>
              <w:jc w:val="right"/>
              <w:rPr>
                <w:bCs/>
                <w:szCs w:val="18"/>
                <w:lang w:val="en-US"/>
              </w:rPr>
            </w:pPr>
            <w:r w:rsidRPr="00B6422B">
              <w:rPr>
                <w:bCs/>
                <w:szCs w:val="18"/>
                <w:lang w:val="en-US"/>
              </w:rPr>
              <w:t xml:space="preserve">7,190 </w:t>
            </w:r>
          </w:p>
        </w:tc>
      </w:tr>
      <w:tr w:rsidR="002215A6" w:rsidRPr="00C05614" w14:paraId="687E9DA8" w14:textId="77777777" w:rsidTr="002215A6">
        <w:trPr>
          <w:trHeight w:val="255"/>
        </w:trPr>
        <w:tc>
          <w:tcPr>
            <w:tcW w:w="3769" w:type="pct"/>
            <w:gridSpan w:val="2"/>
            <w:tcBorders>
              <w:top w:val="nil"/>
              <w:left w:val="nil"/>
              <w:bottom w:val="nil"/>
              <w:right w:val="nil"/>
            </w:tcBorders>
            <w:shd w:val="clear" w:color="auto" w:fill="FFFFFF"/>
            <w:noWrap/>
            <w:vAlign w:val="bottom"/>
          </w:tcPr>
          <w:p w14:paraId="38B88AED" w14:textId="77777777" w:rsidR="002215A6" w:rsidRPr="00C05614" w:rsidRDefault="002215A6" w:rsidP="002215A6">
            <w:pPr>
              <w:ind w:left="176" w:right="284" w:hanging="34"/>
              <w:rPr>
                <w:szCs w:val="18"/>
                <w:lang w:val="en-US"/>
              </w:rPr>
            </w:pPr>
            <w:r w:rsidRPr="00C05614">
              <w:rPr>
                <w:szCs w:val="18"/>
                <w:lang w:val="en-US"/>
              </w:rPr>
              <w:t> </w:t>
            </w:r>
          </w:p>
        </w:tc>
        <w:tc>
          <w:tcPr>
            <w:tcW w:w="615" w:type="pct"/>
            <w:gridSpan w:val="3"/>
            <w:tcBorders>
              <w:top w:val="nil"/>
              <w:left w:val="nil"/>
              <w:bottom w:val="nil"/>
              <w:right w:val="nil"/>
            </w:tcBorders>
            <w:shd w:val="clear" w:color="auto" w:fill="FFFFFF"/>
            <w:vAlign w:val="bottom"/>
          </w:tcPr>
          <w:p w14:paraId="1AB689FB" w14:textId="77777777" w:rsidR="002215A6" w:rsidRPr="00EF043A" w:rsidRDefault="002215A6" w:rsidP="002215A6">
            <w:pPr>
              <w:jc w:val="right"/>
              <w:rPr>
                <w:b/>
                <w:bCs/>
                <w:szCs w:val="18"/>
                <w:lang w:val="en-US"/>
              </w:rPr>
            </w:pPr>
          </w:p>
        </w:tc>
        <w:tc>
          <w:tcPr>
            <w:tcW w:w="616" w:type="pct"/>
            <w:tcBorders>
              <w:top w:val="nil"/>
              <w:left w:val="nil"/>
              <w:bottom w:val="nil"/>
              <w:right w:val="nil"/>
            </w:tcBorders>
            <w:shd w:val="clear" w:color="auto" w:fill="FFFFFF"/>
            <w:noWrap/>
            <w:vAlign w:val="bottom"/>
          </w:tcPr>
          <w:p w14:paraId="67D81A87" w14:textId="77777777" w:rsidR="002215A6" w:rsidRPr="00D814E8" w:rsidRDefault="002215A6" w:rsidP="002215A6">
            <w:pPr>
              <w:jc w:val="right"/>
              <w:rPr>
                <w:bCs/>
                <w:szCs w:val="18"/>
                <w:lang w:val="en-US"/>
              </w:rPr>
            </w:pPr>
          </w:p>
        </w:tc>
      </w:tr>
      <w:tr w:rsidR="002215A6" w:rsidRPr="00C05614" w14:paraId="34251B62" w14:textId="77777777" w:rsidTr="002215A6">
        <w:trPr>
          <w:trHeight w:val="255"/>
        </w:trPr>
        <w:tc>
          <w:tcPr>
            <w:tcW w:w="3769" w:type="pct"/>
            <w:gridSpan w:val="2"/>
            <w:tcBorders>
              <w:top w:val="nil"/>
              <w:left w:val="nil"/>
              <w:bottom w:val="nil"/>
              <w:right w:val="nil"/>
            </w:tcBorders>
            <w:shd w:val="clear" w:color="auto" w:fill="FFFFFF"/>
            <w:vAlign w:val="bottom"/>
          </w:tcPr>
          <w:p w14:paraId="5C733675" w14:textId="77777777" w:rsidR="002215A6" w:rsidRPr="00C05614" w:rsidRDefault="002215A6" w:rsidP="002215A6">
            <w:pPr>
              <w:ind w:right="284"/>
              <w:rPr>
                <w:b/>
                <w:bCs/>
                <w:szCs w:val="18"/>
                <w:lang w:val="en-US"/>
              </w:rPr>
            </w:pPr>
            <w:r>
              <w:rPr>
                <w:b/>
                <w:bCs/>
                <w:szCs w:val="18"/>
                <w:lang w:val="en-US"/>
              </w:rPr>
              <w:t>GAINS</w:t>
            </w:r>
          </w:p>
        </w:tc>
        <w:tc>
          <w:tcPr>
            <w:tcW w:w="615" w:type="pct"/>
            <w:gridSpan w:val="3"/>
            <w:tcBorders>
              <w:top w:val="nil"/>
              <w:left w:val="nil"/>
              <w:bottom w:val="nil"/>
              <w:right w:val="nil"/>
            </w:tcBorders>
            <w:shd w:val="clear" w:color="auto" w:fill="FFFFFF"/>
            <w:vAlign w:val="bottom"/>
          </w:tcPr>
          <w:p w14:paraId="4AFD0D15" w14:textId="77777777" w:rsidR="002215A6" w:rsidRPr="00EF043A" w:rsidRDefault="002215A6" w:rsidP="002215A6">
            <w:pPr>
              <w:jc w:val="right"/>
              <w:rPr>
                <w:b/>
                <w:bCs/>
                <w:szCs w:val="18"/>
                <w:lang w:val="en-US"/>
              </w:rPr>
            </w:pPr>
          </w:p>
        </w:tc>
        <w:tc>
          <w:tcPr>
            <w:tcW w:w="616" w:type="pct"/>
            <w:tcBorders>
              <w:top w:val="nil"/>
              <w:left w:val="nil"/>
              <w:bottom w:val="nil"/>
              <w:right w:val="nil"/>
            </w:tcBorders>
            <w:shd w:val="clear" w:color="auto" w:fill="FFFFFF"/>
            <w:noWrap/>
            <w:vAlign w:val="bottom"/>
          </w:tcPr>
          <w:p w14:paraId="68EBABA7" w14:textId="77777777" w:rsidR="002215A6" w:rsidRPr="00D814E8" w:rsidRDefault="002215A6" w:rsidP="002215A6">
            <w:pPr>
              <w:jc w:val="right"/>
              <w:rPr>
                <w:bCs/>
                <w:szCs w:val="18"/>
                <w:lang w:val="en-US"/>
              </w:rPr>
            </w:pPr>
          </w:p>
        </w:tc>
      </w:tr>
      <w:tr w:rsidR="002215A6" w:rsidRPr="00C05614" w14:paraId="184F2B1A" w14:textId="77777777" w:rsidTr="00AD4E01">
        <w:trPr>
          <w:trHeight w:val="273"/>
        </w:trPr>
        <w:tc>
          <w:tcPr>
            <w:tcW w:w="3681" w:type="pct"/>
            <w:tcBorders>
              <w:top w:val="nil"/>
              <w:left w:val="nil"/>
              <w:bottom w:val="nil"/>
              <w:right w:val="nil"/>
            </w:tcBorders>
            <w:shd w:val="clear" w:color="auto" w:fill="auto"/>
          </w:tcPr>
          <w:p w14:paraId="0E983FCB" w14:textId="77777777" w:rsidR="002215A6" w:rsidRPr="00AD4E01" w:rsidRDefault="002215A6" w:rsidP="002215A6">
            <w:pPr>
              <w:pStyle w:val="Heading4"/>
              <w:rPr>
                <w:color w:val="auto"/>
                <w:sz w:val="21"/>
                <w:szCs w:val="21"/>
                <w:lang w:val="en-US"/>
              </w:rPr>
            </w:pPr>
            <w:r w:rsidRPr="00AD4E01">
              <w:rPr>
                <w:color w:val="auto"/>
                <w:sz w:val="21"/>
                <w:szCs w:val="21"/>
                <w:lang w:val="en-US"/>
              </w:rPr>
              <w:t>1.2D: Reversal of provision</w:t>
            </w:r>
          </w:p>
        </w:tc>
        <w:tc>
          <w:tcPr>
            <w:tcW w:w="599" w:type="pct"/>
            <w:gridSpan w:val="3"/>
            <w:tcBorders>
              <w:top w:val="nil"/>
              <w:left w:val="nil"/>
              <w:bottom w:val="nil"/>
              <w:right w:val="nil"/>
            </w:tcBorders>
          </w:tcPr>
          <w:p w14:paraId="01D40346" w14:textId="77777777" w:rsidR="002215A6" w:rsidRPr="00C05614" w:rsidRDefault="002215A6" w:rsidP="002215A6">
            <w:pPr>
              <w:ind w:left="283"/>
              <w:jc w:val="right"/>
              <w:rPr>
                <w:b/>
                <w:bCs/>
                <w:sz w:val="20"/>
                <w:lang w:val="en-US"/>
              </w:rPr>
            </w:pPr>
          </w:p>
        </w:tc>
        <w:tc>
          <w:tcPr>
            <w:tcW w:w="720" w:type="pct"/>
            <w:gridSpan w:val="2"/>
            <w:tcBorders>
              <w:top w:val="nil"/>
              <w:left w:val="nil"/>
              <w:bottom w:val="nil"/>
              <w:right w:val="nil"/>
            </w:tcBorders>
            <w:shd w:val="clear" w:color="auto" w:fill="auto"/>
          </w:tcPr>
          <w:p w14:paraId="3D8E5492" w14:textId="77777777" w:rsidR="002215A6" w:rsidRPr="00C05614" w:rsidRDefault="002215A6" w:rsidP="002215A6">
            <w:pPr>
              <w:ind w:left="283"/>
              <w:jc w:val="right"/>
              <w:rPr>
                <w:bCs/>
                <w:sz w:val="20"/>
                <w:lang w:val="en-US"/>
              </w:rPr>
            </w:pPr>
          </w:p>
        </w:tc>
      </w:tr>
      <w:tr w:rsidR="002215A6" w:rsidRPr="00C05614" w14:paraId="5E994039" w14:textId="77777777" w:rsidTr="002215A6">
        <w:trPr>
          <w:trHeight w:val="255"/>
        </w:trPr>
        <w:tc>
          <w:tcPr>
            <w:tcW w:w="3681" w:type="pct"/>
            <w:tcBorders>
              <w:top w:val="nil"/>
              <w:left w:val="nil"/>
              <w:bottom w:val="nil"/>
              <w:right w:val="nil"/>
            </w:tcBorders>
            <w:shd w:val="clear" w:color="auto" w:fill="auto"/>
            <w:vAlign w:val="bottom"/>
          </w:tcPr>
          <w:p w14:paraId="3035488E" w14:textId="77777777" w:rsidR="002215A6" w:rsidRPr="00C05614" w:rsidRDefault="002215A6" w:rsidP="002215A6">
            <w:pPr>
              <w:ind w:left="150" w:right="1053"/>
              <w:rPr>
                <w:szCs w:val="18"/>
                <w:lang w:val="en-US"/>
              </w:rPr>
            </w:pPr>
            <w:r>
              <w:rPr>
                <w:szCs w:val="18"/>
                <w:lang w:val="en-US"/>
              </w:rPr>
              <w:t>Reversal of provision</w:t>
            </w:r>
          </w:p>
        </w:tc>
        <w:tc>
          <w:tcPr>
            <w:tcW w:w="599" w:type="pct"/>
            <w:gridSpan w:val="3"/>
            <w:tcBorders>
              <w:top w:val="nil"/>
              <w:left w:val="nil"/>
              <w:bottom w:val="single" w:sz="4" w:space="0" w:color="auto"/>
              <w:right w:val="nil"/>
            </w:tcBorders>
            <w:vAlign w:val="bottom"/>
          </w:tcPr>
          <w:p w14:paraId="072D4DB3" w14:textId="77777777" w:rsidR="002215A6" w:rsidRPr="00C05614" w:rsidRDefault="002215A6" w:rsidP="002215A6">
            <w:pPr>
              <w:ind w:left="283"/>
              <w:jc w:val="right"/>
              <w:rPr>
                <w:b/>
                <w:bCs/>
                <w:szCs w:val="18"/>
                <w:lang w:val="en-US"/>
              </w:rPr>
            </w:pPr>
            <w:r>
              <w:rPr>
                <w:b/>
                <w:bCs/>
                <w:szCs w:val="18"/>
                <w:lang w:val="en-US"/>
              </w:rPr>
              <w:t>-</w:t>
            </w:r>
            <w:r w:rsidRPr="00C05614">
              <w:rPr>
                <w:b/>
                <w:bCs/>
                <w:szCs w:val="18"/>
                <w:lang w:val="en-US"/>
              </w:rPr>
              <w:t xml:space="preserve"> </w:t>
            </w:r>
          </w:p>
        </w:tc>
        <w:tc>
          <w:tcPr>
            <w:tcW w:w="720" w:type="pct"/>
            <w:gridSpan w:val="2"/>
            <w:tcBorders>
              <w:top w:val="nil"/>
              <w:left w:val="nil"/>
              <w:bottom w:val="single" w:sz="4" w:space="0" w:color="auto"/>
              <w:right w:val="nil"/>
            </w:tcBorders>
            <w:shd w:val="clear" w:color="auto" w:fill="auto"/>
            <w:noWrap/>
            <w:vAlign w:val="bottom"/>
          </w:tcPr>
          <w:p w14:paraId="700A84E5" w14:textId="77777777" w:rsidR="002215A6" w:rsidRPr="00B6422B" w:rsidRDefault="002215A6" w:rsidP="002215A6">
            <w:pPr>
              <w:ind w:left="283"/>
              <w:jc w:val="right"/>
              <w:rPr>
                <w:bCs/>
                <w:szCs w:val="18"/>
                <w:lang w:val="en-US"/>
              </w:rPr>
            </w:pPr>
            <w:r w:rsidRPr="00B6422B">
              <w:rPr>
                <w:bCs/>
                <w:szCs w:val="18"/>
                <w:lang w:val="en-US"/>
              </w:rPr>
              <w:t xml:space="preserve">250 </w:t>
            </w:r>
          </w:p>
        </w:tc>
      </w:tr>
      <w:tr w:rsidR="002215A6" w:rsidRPr="00C05614" w14:paraId="1AC02D1A" w14:textId="77777777" w:rsidTr="002215A6">
        <w:trPr>
          <w:trHeight w:val="255"/>
        </w:trPr>
        <w:tc>
          <w:tcPr>
            <w:tcW w:w="3681" w:type="pct"/>
            <w:tcBorders>
              <w:top w:val="nil"/>
              <w:left w:val="nil"/>
              <w:bottom w:val="nil"/>
              <w:right w:val="nil"/>
            </w:tcBorders>
            <w:shd w:val="clear" w:color="auto" w:fill="auto"/>
          </w:tcPr>
          <w:p w14:paraId="3841AE70" w14:textId="77777777" w:rsidR="002215A6" w:rsidRPr="00C05614" w:rsidRDefault="002215A6" w:rsidP="002215A6">
            <w:pPr>
              <w:ind w:left="150"/>
              <w:rPr>
                <w:b/>
                <w:szCs w:val="18"/>
                <w:lang w:val="en-US"/>
              </w:rPr>
            </w:pPr>
            <w:r w:rsidRPr="00C05614">
              <w:rPr>
                <w:b/>
                <w:szCs w:val="18"/>
                <w:lang w:val="en-US"/>
              </w:rPr>
              <w:t>Total</w:t>
            </w:r>
            <w:r>
              <w:rPr>
                <w:b/>
                <w:szCs w:val="18"/>
                <w:lang w:val="en-US"/>
              </w:rPr>
              <w:t xml:space="preserve"> reversal of provision</w:t>
            </w:r>
          </w:p>
        </w:tc>
        <w:tc>
          <w:tcPr>
            <w:tcW w:w="599" w:type="pct"/>
            <w:gridSpan w:val="3"/>
            <w:tcBorders>
              <w:top w:val="single" w:sz="4" w:space="0" w:color="auto"/>
              <w:left w:val="nil"/>
              <w:bottom w:val="single" w:sz="4" w:space="0" w:color="auto"/>
              <w:right w:val="nil"/>
            </w:tcBorders>
            <w:vAlign w:val="bottom"/>
          </w:tcPr>
          <w:p w14:paraId="4ACDCF76" w14:textId="77777777" w:rsidR="002215A6" w:rsidRPr="00220188" w:rsidRDefault="002215A6" w:rsidP="002215A6">
            <w:pPr>
              <w:ind w:left="283"/>
              <w:jc w:val="right"/>
              <w:rPr>
                <w:b/>
                <w:bCs/>
                <w:szCs w:val="18"/>
                <w:lang w:val="en-US"/>
              </w:rPr>
            </w:pPr>
            <w:r>
              <w:rPr>
                <w:b/>
                <w:bCs/>
                <w:szCs w:val="18"/>
                <w:lang w:val="en-US"/>
              </w:rPr>
              <w:t>-</w:t>
            </w:r>
            <w:r w:rsidRPr="00220188">
              <w:rPr>
                <w:b/>
                <w:bCs/>
                <w:szCs w:val="18"/>
                <w:lang w:val="en-US"/>
              </w:rPr>
              <w:t xml:space="preserve"> </w:t>
            </w:r>
          </w:p>
        </w:tc>
        <w:tc>
          <w:tcPr>
            <w:tcW w:w="720" w:type="pct"/>
            <w:gridSpan w:val="2"/>
            <w:tcBorders>
              <w:top w:val="single" w:sz="4" w:space="0" w:color="auto"/>
              <w:left w:val="nil"/>
              <w:bottom w:val="single" w:sz="4" w:space="0" w:color="auto"/>
              <w:right w:val="nil"/>
            </w:tcBorders>
            <w:shd w:val="clear" w:color="auto" w:fill="auto"/>
            <w:noWrap/>
            <w:vAlign w:val="bottom"/>
          </w:tcPr>
          <w:p w14:paraId="549CB45D" w14:textId="77777777" w:rsidR="002215A6" w:rsidRPr="00B6422B" w:rsidRDefault="002215A6" w:rsidP="002215A6">
            <w:pPr>
              <w:ind w:left="283"/>
              <w:jc w:val="right"/>
              <w:rPr>
                <w:bCs/>
                <w:szCs w:val="18"/>
                <w:lang w:val="en-US"/>
              </w:rPr>
            </w:pPr>
            <w:r w:rsidRPr="00B6422B">
              <w:rPr>
                <w:bCs/>
                <w:szCs w:val="18"/>
                <w:lang w:val="en-US"/>
              </w:rPr>
              <w:t xml:space="preserve">250 </w:t>
            </w:r>
          </w:p>
        </w:tc>
      </w:tr>
      <w:tr w:rsidR="002215A6" w:rsidRPr="00C05614" w14:paraId="1F2F0ABE" w14:textId="77777777" w:rsidTr="002215A6">
        <w:trPr>
          <w:trHeight w:val="255"/>
        </w:trPr>
        <w:tc>
          <w:tcPr>
            <w:tcW w:w="3681" w:type="pct"/>
            <w:tcBorders>
              <w:top w:val="nil"/>
              <w:left w:val="nil"/>
              <w:bottom w:val="nil"/>
              <w:right w:val="nil"/>
            </w:tcBorders>
            <w:shd w:val="clear" w:color="auto" w:fill="auto"/>
          </w:tcPr>
          <w:p w14:paraId="598F05B3" w14:textId="77777777" w:rsidR="002215A6" w:rsidRPr="00C05614" w:rsidRDefault="002215A6" w:rsidP="002215A6">
            <w:pPr>
              <w:ind w:left="1029"/>
              <w:rPr>
                <w:szCs w:val="18"/>
                <w:lang w:val="en-US"/>
              </w:rPr>
            </w:pPr>
          </w:p>
        </w:tc>
        <w:tc>
          <w:tcPr>
            <w:tcW w:w="599" w:type="pct"/>
            <w:gridSpan w:val="3"/>
            <w:tcBorders>
              <w:top w:val="single" w:sz="4" w:space="0" w:color="auto"/>
              <w:left w:val="nil"/>
              <w:bottom w:val="nil"/>
              <w:right w:val="nil"/>
            </w:tcBorders>
            <w:vAlign w:val="bottom"/>
          </w:tcPr>
          <w:p w14:paraId="5EDA9A43" w14:textId="77777777" w:rsidR="002215A6" w:rsidRPr="00C05614" w:rsidRDefault="002215A6" w:rsidP="002215A6">
            <w:pPr>
              <w:ind w:left="283"/>
              <w:jc w:val="right"/>
              <w:rPr>
                <w:b/>
                <w:bCs/>
                <w:szCs w:val="18"/>
                <w:lang w:val="en-US"/>
              </w:rPr>
            </w:pPr>
          </w:p>
        </w:tc>
        <w:tc>
          <w:tcPr>
            <w:tcW w:w="720" w:type="pct"/>
            <w:gridSpan w:val="2"/>
            <w:tcBorders>
              <w:top w:val="single" w:sz="4" w:space="0" w:color="auto"/>
              <w:left w:val="nil"/>
              <w:bottom w:val="nil"/>
              <w:right w:val="nil"/>
            </w:tcBorders>
            <w:shd w:val="clear" w:color="auto" w:fill="auto"/>
            <w:vAlign w:val="bottom"/>
          </w:tcPr>
          <w:p w14:paraId="035CEE4F" w14:textId="77777777" w:rsidR="002215A6" w:rsidRPr="00C05614" w:rsidRDefault="002215A6" w:rsidP="002215A6">
            <w:pPr>
              <w:ind w:left="283"/>
              <w:jc w:val="right"/>
              <w:rPr>
                <w:bCs/>
                <w:szCs w:val="18"/>
                <w:lang w:val="en-US"/>
              </w:rPr>
            </w:pPr>
          </w:p>
        </w:tc>
      </w:tr>
      <w:tr w:rsidR="002215A6" w:rsidRPr="00C05614" w14:paraId="44383BCA" w14:textId="77777777" w:rsidTr="002215A6">
        <w:trPr>
          <w:trHeight w:val="255"/>
        </w:trPr>
        <w:tc>
          <w:tcPr>
            <w:tcW w:w="4998" w:type="pct"/>
            <w:gridSpan w:val="6"/>
            <w:tcBorders>
              <w:top w:val="nil"/>
              <w:left w:val="nil"/>
              <w:bottom w:val="nil"/>
              <w:right w:val="nil"/>
            </w:tcBorders>
            <w:shd w:val="clear" w:color="auto" w:fill="auto"/>
          </w:tcPr>
          <w:p w14:paraId="6ABBDDC8" w14:textId="1C13B1A8" w:rsidR="002215A6" w:rsidRPr="00C05614" w:rsidRDefault="002215A6" w:rsidP="002215A6">
            <w:pPr>
              <w:ind w:left="150"/>
              <w:jc w:val="both"/>
              <w:rPr>
                <w:szCs w:val="18"/>
                <w:lang w:val="en-US"/>
              </w:rPr>
            </w:pPr>
            <w:r>
              <w:rPr>
                <w:szCs w:val="18"/>
                <w:lang w:val="en-US"/>
              </w:rPr>
              <w:t>A provision fo</w:t>
            </w:r>
            <w:r w:rsidR="007B2B86">
              <w:rPr>
                <w:szCs w:val="18"/>
                <w:lang w:val="en-US"/>
              </w:rPr>
              <w:t>r relocation was raised in 2014-</w:t>
            </w:r>
            <w:r>
              <w:rPr>
                <w:szCs w:val="18"/>
                <w:lang w:val="en-US"/>
              </w:rPr>
              <w:t xml:space="preserve">15 as a result of advice received that the </w:t>
            </w:r>
            <w:r w:rsidR="00D20916">
              <w:rPr>
                <w:szCs w:val="18"/>
                <w:lang w:val="en-US"/>
              </w:rPr>
              <w:br/>
            </w:r>
            <w:r>
              <w:rPr>
                <w:szCs w:val="18"/>
                <w:lang w:val="en-US"/>
              </w:rPr>
              <w:t xml:space="preserve">Commission would be required to vacate the premises at the expiry of the lease on 31 December </w:t>
            </w:r>
            <w:r w:rsidR="00D20916">
              <w:rPr>
                <w:szCs w:val="18"/>
                <w:lang w:val="en-US"/>
              </w:rPr>
              <w:br/>
            </w:r>
            <w:r>
              <w:rPr>
                <w:szCs w:val="18"/>
                <w:lang w:val="en-US"/>
              </w:rPr>
              <w:t xml:space="preserve">2015. The Commission entered into a new lease arrangement on 1 January 2016 and the </w:t>
            </w:r>
            <w:r w:rsidR="00D20916">
              <w:rPr>
                <w:szCs w:val="18"/>
                <w:lang w:val="en-US"/>
              </w:rPr>
              <w:br/>
            </w:r>
            <w:r>
              <w:rPr>
                <w:szCs w:val="18"/>
                <w:lang w:val="en-US"/>
              </w:rPr>
              <w:t xml:space="preserve">provision was not required. </w:t>
            </w:r>
          </w:p>
        </w:tc>
      </w:tr>
    </w:tbl>
    <w:p w14:paraId="3C5A9112" w14:textId="77777777" w:rsidR="00195E07" w:rsidRDefault="00195E07">
      <w:pPr>
        <w:spacing w:after="160" w:line="259" w:lineRule="auto"/>
      </w:pPr>
      <w:r>
        <w:br w:type="page"/>
      </w:r>
    </w:p>
    <w:tbl>
      <w:tblPr>
        <w:tblW w:w="5000" w:type="pct"/>
        <w:tblLook w:val="0000" w:firstRow="0" w:lastRow="0" w:firstColumn="0" w:lastColumn="0" w:noHBand="0" w:noVBand="0"/>
        <w:tblCaption w:val="1 Financial Performance"/>
      </w:tblPr>
      <w:tblGrid>
        <w:gridCol w:w="6370"/>
        <w:gridCol w:w="1062"/>
        <w:gridCol w:w="1062"/>
      </w:tblGrid>
      <w:tr w:rsidR="002215A6" w:rsidRPr="00C05614" w14:paraId="0CFE3221" w14:textId="77777777" w:rsidTr="002215A6">
        <w:trPr>
          <w:trHeight w:val="255"/>
        </w:trPr>
        <w:tc>
          <w:tcPr>
            <w:tcW w:w="3750" w:type="pct"/>
            <w:tcBorders>
              <w:left w:val="nil"/>
              <w:bottom w:val="nil"/>
              <w:right w:val="nil"/>
            </w:tcBorders>
            <w:shd w:val="clear" w:color="auto" w:fill="FFFFFF"/>
            <w:vAlign w:val="bottom"/>
          </w:tcPr>
          <w:p w14:paraId="797C2D76" w14:textId="77777777" w:rsidR="002215A6" w:rsidRDefault="002215A6" w:rsidP="002215A6">
            <w:pPr>
              <w:ind w:left="176" w:right="284"/>
              <w:rPr>
                <w:bCs/>
                <w:szCs w:val="18"/>
                <w:lang w:val="en-US"/>
              </w:rPr>
            </w:pPr>
          </w:p>
        </w:tc>
        <w:tc>
          <w:tcPr>
            <w:tcW w:w="625" w:type="pct"/>
            <w:tcBorders>
              <w:left w:val="nil"/>
              <w:right w:val="nil"/>
            </w:tcBorders>
            <w:shd w:val="clear" w:color="auto" w:fill="FFFFFF"/>
            <w:vAlign w:val="bottom"/>
          </w:tcPr>
          <w:p w14:paraId="2BE90479" w14:textId="77777777" w:rsidR="002215A6" w:rsidRDefault="002215A6" w:rsidP="002215A6">
            <w:pPr>
              <w:jc w:val="right"/>
              <w:rPr>
                <w:b/>
                <w:bCs/>
                <w:szCs w:val="18"/>
                <w:lang w:val="en-US"/>
              </w:rPr>
            </w:pPr>
            <w:r>
              <w:rPr>
                <w:b/>
                <w:bCs/>
                <w:szCs w:val="18"/>
                <w:lang w:val="en-US"/>
              </w:rPr>
              <w:t>2017</w:t>
            </w:r>
          </w:p>
        </w:tc>
        <w:tc>
          <w:tcPr>
            <w:tcW w:w="625" w:type="pct"/>
            <w:tcBorders>
              <w:left w:val="nil"/>
              <w:right w:val="nil"/>
            </w:tcBorders>
            <w:shd w:val="clear" w:color="auto" w:fill="FFFFFF"/>
            <w:noWrap/>
            <w:vAlign w:val="bottom"/>
          </w:tcPr>
          <w:p w14:paraId="255D727F" w14:textId="77777777" w:rsidR="002215A6" w:rsidRDefault="002215A6" w:rsidP="002215A6">
            <w:pPr>
              <w:jc w:val="right"/>
              <w:rPr>
                <w:bCs/>
                <w:szCs w:val="18"/>
                <w:lang w:val="en-US"/>
              </w:rPr>
            </w:pPr>
            <w:r>
              <w:rPr>
                <w:bCs/>
                <w:szCs w:val="18"/>
                <w:lang w:val="en-US"/>
              </w:rPr>
              <w:t>2016</w:t>
            </w:r>
          </w:p>
        </w:tc>
      </w:tr>
      <w:tr w:rsidR="002215A6" w:rsidRPr="00C05614" w14:paraId="09FFAD80" w14:textId="77777777" w:rsidTr="002215A6">
        <w:trPr>
          <w:trHeight w:val="255"/>
        </w:trPr>
        <w:tc>
          <w:tcPr>
            <w:tcW w:w="3750" w:type="pct"/>
            <w:tcBorders>
              <w:left w:val="nil"/>
              <w:bottom w:val="nil"/>
              <w:right w:val="nil"/>
            </w:tcBorders>
            <w:shd w:val="clear" w:color="auto" w:fill="FFFFFF"/>
            <w:vAlign w:val="bottom"/>
          </w:tcPr>
          <w:p w14:paraId="0ED5D41D" w14:textId="77777777" w:rsidR="002215A6" w:rsidRDefault="002215A6" w:rsidP="002215A6">
            <w:pPr>
              <w:ind w:left="176" w:right="284"/>
              <w:rPr>
                <w:bCs/>
                <w:szCs w:val="18"/>
                <w:lang w:val="en-US"/>
              </w:rPr>
            </w:pPr>
          </w:p>
        </w:tc>
        <w:tc>
          <w:tcPr>
            <w:tcW w:w="625" w:type="pct"/>
            <w:tcBorders>
              <w:left w:val="nil"/>
              <w:right w:val="nil"/>
            </w:tcBorders>
            <w:shd w:val="clear" w:color="auto" w:fill="FFFFFF"/>
            <w:vAlign w:val="bottom"/>
          </w:tcPr>
          <w:p w14:paraId="3C3711E2" w14:textId="77777777" w:rsidR="002215A6" w:rsidRDefault="002215A6" w:rsidP="002215A6">
            <w:pPr>
              <w:jc w:val="right"/>
              <w:rPr>
                <w:b/>
                <w:bCs/>
                <w:szCs w:val="18"/>
                <w:lang w:val="en-US"/>
              </w:rPr>
            </w:pPr>
            <w:r w:rsidRPr="00EF043A">
              <w:rPr>
                <w:b/>
                <w:bCs/>
                <w:szCs w:val="18"/>
                <w:lang w:val="en-US"/>
              </w:rPr>
              <w:t>$’000</w:t>
            </w:r>
          </w:p>
        </w:tc>
        <w:tc>
          <w:tcPr>
            <w:tcW w:w="625" w:type="pct"/>
            <w:tcBorders>
              <w:left w:val="nil"/>
              <w:right w:val="nil"/>
            </w:tcBorders>
            <w:shd w:val="clear" w:color="auto" w:fill="FFFFFF"/>
            <w:noWrap/>
            <w:vAlign w:val="bottom"/>
          </w:tcPr>
          <w:p w14:paraId="27B5F188" w14:textId="77777777" w:rsidR="002215A6" w:rsidRDefault="002215A6" w:rsidP="002215A6">
            <w:pPr>
              <w:jc w:val="right"/>
              <w:rPr>
                <w:bCs/>
                <w:szCs w:val="18"/>
                <w:lang w:val="en-US"/>
              </w:rPr>
            </w:pPr>
            <w:r w:rsidRPr="00C05614">
              <w:rPr>
                <w:bCs/>
                <w:szCs w:val="18"/>
                <w:lang w:val="en-US"/>
              </w:rPr>
              <w:t>$’000</w:t>
            </w:r>
          </w:p>
        </w:tc>
      </w:tr>
      <w:tr w:rsidR="002215A6" w:rsidRPr="00C05614" w14:paraId="04CBCC67" w14:textId="77777777" w:rsidTr="002215A6">
        <w:trPr>
          <w:trHeight w:val="255"/>
        </w:trPr>
        <w:tc>
          <w:tcPr>
            <w:tcW w:w="3750" w:type="pct"/>
            <w:tcBorders>
              <w:left w:val="nil"/>
              <w:bottom w:val="nil"/>
              <w:right w:val="nil"/>
            </w:tcBorders>
            <w:shd w:val="clear" w:color="auto" w:fill="FFFFFF"/>
            <w:vAlign w:val="bottom"/>
          </w:tcPr>
          <w:p w14:paraId="30AFB8BB" w14:textId="77777777" w:rsidR="002215A6" w:rsidRPr="00496BA2" w:rsidRDefault="002215A6" w:rsidP="002215A6">
            <w:pPr>
              <w:pStyle w:val="Heading4"/>
              <w:ind w:left="176" w:hanging="34"/>
              <w:rPr>
                <w:color w:val="auto"/>
                <w:sz w:val="21"/>
                <w:szCs w:val="21"/>
                <w:lang w:val="en-US"/>
              </w:rPr>
            </w:pPr>
            <w:r w:rsidRPr="00496BA2">
              <w:rPr>
                <w:color w:val="auto"/>
                <w:sz w:val="21"/>
                <w:szCs w:val="21"/>
                <w:lang w:val="en-US"/>
              </w:rPr>
              <w:t>1.2E: Resources received free of charge</w:t>
            </w:r>
          </w:p>
        </w:tc>
        <w:tc>
          <w:tcPr>
            <w:tcW w:w="625" w:type="pct"/>
            <w:tcBorders>
              <w:left w:val="nil"/>
              <w:right w:val="nil"/>
            </w:tcBorders>
            <w:shd w:val="clear" w:color="auto" w:fill="FFFFFF"/>
            <w:vAlign w:val="bottom"/>
          </w:tcPr>
          <w:p w14:paraId="604E9E5F" w14:textId="77777777" w:rsidR="002215A6" w:rsidRDefault="002215A6" w:rsidP="002215A6">
            <w:pPr>
              <w:jc w:val="right"/>
              <w:rPr>
                <w:b/>
                <w:bCs/>
                <w:szCs w:val="18"/>
                <w:lang w:val="en-US"/>
              </w:rPr>
            </w:pPr>
          </w:p>
        </w:tc>
        <w:tc>
          <w:tcPr>
            <w:tcW w:w="625" w:type="pct"/>
            <w:tcBorders>
              <w:left w:val="nil"/>
              <w:right w:val="nil"/>
            </w:tcBorders>
            <w:shd w:val="clear" w:color="auto" w:fill="FFFFFF"/>
            <w:noWrap/>
            <w:vAlign w:val="bottom"/>
          </w:tcPr>
          <w:p w14:paraId="431E8471" w14:textId="77777777" w:rsidR="002215A6" w:rsidRDefault="002215A6" w:rsidP="002215A6">
            <w:pPr>
              <w:jc w:val="right"/>
              <w:rPr>
                <w:bCs/>
                <w:szCs w:val="18"/>
                <w:lang w:val="en-US"/>
              </w:rPr>
            </w:pPr>
          </w:p>
        </w:tc>
      </w:tr>
      <w:tr w:rsidR="002215A6" w:rsidRPr="00C05614" w14:paraId="4E376638" w14:textId="77777777" w:rsidTr="002215A6">
        <w:trPr>
          <w:trHeight w:val="255"/>
        </w:trPr>
        <w:tc>
          <w:tcPr>
            <w:tcW w:w="3750" w:type="pct"/>
            <w:tcBorders>
              <w:left w:val="nil"/>
              <w:bottom w:val="nil"/>
              <w:right w:val="nil"/>
            </w:tcBorders>
            <w:shd w:val="clear" w:color="auto" w:fill="FFFFFF"/>
            <w:vAlign w:val="bottom"/>
          </w:tcPr>
          <w:p w14:paraId="196D4DBB" w14:textId="77777777" w:rsidR="002215A6" w:rsidRPr="008952F2" w:rsidRDefault="002215A6" w:rsidP="002215A6">
            <w:pPr>
              <w:ind w:left="176" w:right="284"/>
              <w:rPr>
                <w:bCs/>
                <w:szCs w:val="18"/>
                <w:lang w:val="en-US"/>
              </w:rPr>
            </w:pPr>
            <w:r>
              <w:rPr>
                <w:bCs/>
                <w:szCs w:val="18"/>
                <w:lang w:val="en-US"/>
              </w:rPr>
              <w:t>Resources received free of charge</w:t>
            </w:r>
          </w:p>
        </w:tc>
        <w:tc>
          <w:tcPr>
            <w:tcW w:w="625" w:type="pct"/>
            <w:tcBorders>
              <w:left w:val="nil"/>
              <w:bottom w:val="single" w:sz="4" w:space="0" w:color="auto"/>
              <w:right w:val="nil"/>
            </w:tcBorders>
            <w:shd w:val="clear" w:color="auto" w:fill="FFFFFF"/>
            <w:vAlign w:val="bottom"/>
          </w:tcPr>
          <w:p w14:paraId="114BCF43" w14:textId="77777777" w:rsidR="002215A6" w:rsidRDefault="002215A6" w:rsidP="002215A6">
            <w:pPr>
              <w:jc w:val="right"/>
              <w:rPr>
                <w:b/>
                <w:bCs/>
                <w:szCs w:val="18"/>
                <w:lang w:val="en-US"/>
              </w:rPr>
            </w:pPr>
            <w:r>
              <w:rPr>
                <w:b/>
                <w:bCs/>
                <w:szCs w:val="18"/>
                <w:lang w:val="en-US"/>
              </w:rPr>
              <w:t>-</w:t>
            </w:r>
          </w:p>
        </w:tc>
        <w:tc>
          <w:tcPr>
            <w:tcW w:w="625" w:type="pct"/>
            <w:tcBorders>
              <w:left w:val="nil"/>
              <w:bottom w:val="single" w:sz="4" w:space="0" w:color="auto"/>
              <w:right w:val="nil"/>
            </w:tcBorders>
            <w:shd w:val="clear" w:color="auto" w:fill="FFFFFF"/>
            <w:noWrap/>
            <w:vAlign w:val="bottom"/>
          </w:tcPr>
          <w:p w14:paraId="245AE607" w14:textId="77777777" w:rsidR="002215A6" w:rsidRPr="00B6422B" w:rsidRDefault="002215A6" w:rsidP="002215A6">
            <w:pPr>
              <w:jc w:val="right"/>
              <w:rPr>
                <w:bCs/>
                <w:szCs w:val="18"/>
                <w:lang w:val="en-US"/>
              </w:rPr>
            </w:pPr>
            <w:r w:rsidRPr="00B6422B">
              <w:rPr>
                <w:bCs/>
                <w:szCs w:val="18"/>
                <w:lang w:val="en-US"/>
              </w:rPr>
              <w:t>479</w:t>
            </w:r>
          </w:p>
        </w:tc>
      </w:tr>
      <w:tr w:rsidR="002215A6" w:rsidRPr="00C05614" w14:paraId="53EEBFF7" w14:textId="77777777" w:rsidTr="002215A6">
        <w:trPr>
          <w:trHeight w:val="255"/>
        </w:trPr>
        <w:tc>
          <w:tcPr>
            <w:tcW w:w="3750" w:type="pct"/>
            <w:tcBorders>
              <w:top w:val="nil"/>
              <w:left w:val="nil"/>
              <w:bottom w:val="nil"/>
              <w:right w:val="nil"/>
            </w:tcBorders>
            <w:shd w:val="clear" w:color="auto" w:fill="FFFFFF"/>
            <w:vAlign w:val="bottom"/>
          </w:tcPr>
          <w:p w14:paraId="3E595DB7" w14:textId="77777777" w:rsidR="002215A6" w:rsidRPr="00C05614" w:rsidRDefault="002215A6" w:rsidP="002215A6">
            <w:pPr>
              <w:ind w:left="176" w:right="284"/>
              <w:rPr>
                <w:b/>
                <w:bCs/>
                <w:szCs w:val="18"/>
                <w:lang w:val="en-US"/>
              </w:rPr>
            </w:pPr>
            <w:r>
              <w:rPr>
                <w:b/>
                <w:bCs/>
                <w:szCs w:val="18"/>
                <w:lang w:val="en-US"/>
              </w:rPr>
              <w:t>Total other gains</w:t>
            </w:r>
          </w:p>
        </w:tc>
        <w:tc>
          <w:tcPr>
            <w:tcW w:w="625" w:type="pct"/>
            <w:tcBorders>
              <w:top w:val="single" w:sz="4" w:space="0" w:color="auto"/>
              <w:left w:val="nil"/>
              <w:bottom w:val="single" w:sz="4" w:space="0" w:color="auto"/>
              <w:right w:val="nil"/>
            </w:tcBorders>
            <w:shd w:val="clear" w:color="auto" w:fill="FFFFFF"/>
            <w:vAlign w:val="bottom"/>
          </w:tcPr>
          <w:p w14:paraId="056D1A7D" w14:textId="77777777" w:rsidR="002215A6" w:rsidRDefault="002215A6" w:rsidP="002215A6">
            <w:pPr>
              <w:jc w:val="right"/>
              <w:rPr>
                <w:b/>
                <w:bCs/>
                <w:szCs w:val="18"/>
                <w:lang w:val="en-US"/>
              </w:rPr>
            </w:pPr>
            <w:r>
              <w:rPr>
                <w:b/>
                <w:bCs/>
                <w:szCs w:val="18"/>
                <w:lang w:val="en-US"/>
              </w:rPr>
              <w:t>-</w:t>
            </w:r>
          </w:p>
        </w:tc>
        <w:tc>
          <w:tcPr>
            <w:tcW w:w="625" w:type="pct"/>
            <w:tcBorders>
              <w:top w:val="single" w:sz="4" w:space="0" w:color="auto"/>
              <w:left w:val="nil"/>
              <w:bottom w:val="single" w:sz="4" w:space="0" w:color="auto"/>
              <w:right w:val="nil"/>
            </w:tcBorders>
            <w:shd w:val="clear" w:color="auto" w:fill="FFFFFF"/>
            <w:noWrap/>
            <w:vAlign w:val="bottom"/>
          </w:tcPr>
          <w:p w14:paraId="459DDB31" w14:textId="77777777" w:rsidR="002215A6" w:rsidRPr="00B6422B" w:rsidRDefault="002215A6" w:rsidP="002215A6">
            <w:pPr>
              <w:jc w:val="right"/>
              <w:rPr>
                <w:bCs/>
                <w:szCs w:val="18"/>
                <w:lang w:val="en-US"/>
              </w:rPr>
            </w:pPr>
            <w:r w:rsidRPr="00B6422B">
              <w:rPr>
                <w:bCs/>
                <w:szCs w:val="18"/>
                <w:lang w:val="en-US"/>
              </w:rPr>
              <w:t>479</w:t>
            </w:r>
          </w:p>
        </w:tc>
      </w:tr>
      <w:tr w:rsidR="002215A6" w:rsidRPr="00C05614" w14:paraId="4099FE45" w14:textId="77777777" w:rsidTr="002215A6">
        <w:trPr>
          <w:trHeight w:val="255"/>
        </w:trPr>
        <w:tc>
          <w:tcPr>
            <w:tcW w:w="3750" w:type="pct"/>
            <w:tcBorders>
              <w:top w:val="nil"/>
              <w:left w:val="nil"/>
              <w:bottom w:val="nil"/>
              <w:right w:val="nil"/>
            </w:tcBorders>
            <w:shd w:val="clear" w:color="auto" w:fill="FFFFFF"/>
            <w:vAlign w:val="bottom"/>
          </w:tcPr>
          <w:p w14:paraId="0947466B" w14:textId="77777777" w:rsidR="002215A6" w:rsidRDefault="002215A6" w:rsidP="002215A6">
            <w:pPr>
              <w:ind w:left="176" w:right="284"/>
              <w:rPr>
                <w:b/>
                <w:bCs/>
                <w:szCs w:val="18"/>
                <w:lang w:val="en-US"/>
              </w:rPr>
            </w:pPr>
          </w:p>
        </w:tc>
        <w:tc>
          <w:tcPr>
            <w:tcW w:w="625" w:type="pct"/>
            <w:tcBorders>
              <w:top w:val="single" w:sz="4" w:space="0" w:color="auto"/>
              <w:left w:val="nil"/>
              <w:right w:val="nil"/>
            </w:tcBorders>
            <w:shd w:val="clear" w:color="auto" w:fill="FFFFFF"/>
            <w:vAlign w:val="bottom"/>
          </w:tcPr>
          <w:p w14:paraId="0E6528A0" w14:textId="77777777" w:rsidR="002215A6" w:rsidRDefault="002215A6" w:rsidP="002215A6">
            <w:pPr>
              <w:jc w:val="right"/>
              <w:rPr>
                <w:b/>
                <w:bCs/>
                <w:szCs w:val="18"/>
                <w:lang w:val="en-US"/>
              </w:rPr>
            </w:pPr>
          </w:p>
        </w:tc>
        <w:tc>
          <w:tcPr>
            <w:tcW w:w="625" w:type="pct"/>
            <w:tcBorders>
              <w:top w:val="single" w:sz="4" w:space="0" w:color="auto"/>
              <w:left w:val="nil"/>
              <w:right w:val="nil"/>
            </w:tcBorders>
            <w:shd w:val="clear" w:color="auto" w:fill="FFFFFF"/>
            <w:noWrap/>
            <w:vAlign w:val="bottom"/>
          </w:tcPr>
          <w:p w14:paraId="59D44CFA" w14:textId="77777777" w:rsidR="002215A6" w:rsidRDefault="002215A6" w:rsidP="002215A6">
            <w:pPr>
              <w:jc w:val="right"/>
              <w:rPr>
                <w:bCs/>
                <w:szCs w:val="18"/>
                <w:lang w:val="en-US"/>
              </w:rPr>
            </w:pPr>
          </w:p>
        </w:tc>
      </w:tr>
      <w:tr w:rsidR="002215A6" w:rsidRPr="00C05614" w14:paraId="4C2256DF" w14:textId="77777777" w:rsidTr="002215A6">
        <w:trPr>
          <w:trHeight w:val="611"/>
        </w:trPr>
        <w:tc>
          <w:tcPr>
            <w:tcW w:w="5000" w:type="pct"/>
            <w:gridSpan w:val="3"/>
            <w:tcBorders>
              <w:top w:val="nil"/>
              <w:left w:val="nil"/>
              <w:bottom w:val="nil"/>
              <w:right w:val="nil"/>
            </w:tcBorders>
            <w:shd w:val="clear" w:color="auto" w:fill="FFFFFF"/>
          </w:tcPr>
          <w:p w14:paraId="6EBC62AC" w14:textId="78353406" w:rsidR="002215A6" w:rsidRDefault="002215A6" w:rsidP="002215A6">
            <w:pPr>
              <w:ind w:left="176"/>
              <w:rPr>
                <w:bCs/>
                <w:szCs w:val="18"/>
                <w:lang w:val="en-US"/>
              </w:rPr>
            </w:pPr>
            <w:r>
              <w:rPr>
                <w:bCs/>
                <w:szCs w:val="18"/>
                <w:lang w:val="en-US"/>
              </w:rPr>
              <w:t xml:space="preserve">Leasehold improvements (fit-out) at level 5, 255 Elizabeth Street were received free of charge </w:t>
            </w:r>
            <w:r w:rsidR="00D20916">
              <w:rPr>
                <w:bCs/>
                <w:szCs w:val="18"/>
                <w:lang w:val="en-US"/>
              </w:rPr>
              <w:br/>
            </w:r>
            <w:r>
              <w:rPr>
                <w:bCs/>
                <w:szCs w:val="18"/>
                <w:lang w:val="en-US"/>
              </w:rPr>
              <w:t xml:space="preserve">when the Commission commenced the new lease agreement on 1 January 2016. The gain </w:t>
            </w:r>
            <w:r w:rsidR="00D20916">
              <w:rPr>
                <w:bCs/>
                <w:szCs w:val="18"/>
                <w:lang w:val="en-US"/>
              </w:rPr>
              <w:br/>
            </w:r>
            <w:r>
              <w:rPr>
                <w:bCs/>
                <w:szCs w:val="18"/>
                <w:lang w:val="en-US"/>
              </w:rPr>
              <w:t xml:space="preserve">represents the fair value of the assets received. </w:t>
            </w:r>
          </w:p>
        </w:tc>
      </w:tr>
      <w:tr w:rsidR="002215A6" w:rsidRPr="00C05614" w14:paraId="237C3763" w14:textId="77777777" w:rsidTr="002215A6">
        <w:trPr>
          <w:trHeight w:val="124"/>
        </w:trPr>
        <w:tc>
          <w:tcPr>
            <w:tcW w:w="5000" w:type="pct"/>
            <w:gridSpan w:val="3"/>
            <w:tcBorders>
              <w:top w:val="nil"/>
              <w:left w:val="nil"/>
              <w:bottom w:val="single" w:sz="4" w:space="0" w:color="auto"/>
              <w:right w:val="nil"/>
            </w:tcBorders>
            <w:shd w:val="clear" w:color="auto" w:fill="FFFFFF"/>
          </w:tcPr>
          <w:p w14:paraId="5C6B828D" w14:textId="77777777" w:rsidR="002215A6" w:rsidRDefault="002215A6" w:rsidP="002215A6">
            <w:pPr>
              <w:ind w:left="176"/>
              <w:rPr>
                <w:bCs/>
                <w:szCs w:val="18"/>
                <w:lang w:val="en-US"/>
              </w:rPr>
            </w:pPr>
          </w:p>
        </w:tc>
      </w:tr>
      <w:tr w:rsidR="002215A6" w:rsidRPr="00C05614" w14:paraId="737C7B32" w14:textId="77777777" w:rsidTr="002215A6">
        <w:trPr>
          <w:trHeight w:val="611"/>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14:paraId="6F659479" w14:textId="77777777" w:rsidR="002215A6" w:rsidRPr="00312590" w:rsidRDefault="002215A6" w:rsidP="002215A6">
            <w:pPr>
              <w:ind w:left="176"/>
              <w:rPr>
                <w:rFonts w:cs="Arial"/>
                <w:b/>
                <w:bCs/>
                <w:szCs w:val="18"/>
                <w:lang w:val="en-US"/>
              </w:rPr>
            </w:pPr>
            <w:r w:rsidRPr="00312590">
              <w:rPr>
                <w:rFonts w:cs="Arial"/>
                <w:b/>
                <w:bCs/>
                <w:szCs w:val="18"/>
                <w:lang w:val="en-US"/>
              </w:rPr>
              <w:t>Accounting Policy</w:t>
            </w:r>
          </w:p>
          <w:p w14:paraId="26FDD90C" w14:textId="64FB80FA" w:rsidR="002215A6" w:rsidRPr="00312590" w:rsidRDefault="002215A6" w:rsidP="002215A6">
            <w:pPr>
              <w:autoSpaceDE w:val="0"/>
              <w:autoSpaceDN w:val="0"/>
              <w:adjustRightInd w:val="0"/>
              <w:ind w:left="176"/>
              <w:rPr>
                <w:rFonts w:cs="Arial"/>
                <w:szCs w:val="18"/>
                <w:lang w:eastAsia="en-AU"/>
              </w:rPr>
            </w:pPr>
            <w:r w:rsidRPr="00312590">
              <w:rPr>
                <w:rFonts w:cs="Arial"/>
                <w:szCs w:val="18"/>
                <w:lang w:eastAsia="en-AU"/>
              </w:rPr>
              <w:t xml:space="preserve">Contributions of assets at no cost of acquisition or for nominal consideration are recognised as </w:t>
            </w:r>
            <w:r w:rsidR="00D20916">
              <w:rPr>
                <w:rFonts w:cs="Arial"/>
                <w:szCs w:val="18"/>
                <w:lang w:eastAsia="en-AU"/>
              </w:rPr>
              <w:br/>
            </w:r>
            <w:r w:rsidRPr="00312590">
              <w:rPr>
                <w:rFonts w:cs="Arial"/>
                <w:szCs w:val="18"/>
                <w:lang w:eastAsia="en-AU"/>
              </w:rPr>
              <w:t xml:space="preserve">gains at their fair value when the </w:t>
            </w:r>
            <w:r>
              <w:rPr>
                <w:rFonts w:cs="Arial"/>
                <w:szCs w:val="18"/>
                <w:lang w:eastAsia="en-AU"/>
              </w:rPr>
              <w:t>asset qualifies for recognition.</w:t>
            </w:r>
          </w:p>
        </w:tc>
      </w:tr>
      <w:tr w:rsidR="002215A6" w:rsidRPr="00C05614" w14:paraId="22F33C1E" w14:textId="77777777" w:rsidTr="002215A6">
        <w:trPr>
          <w:trHeight w:val="255"/>
        </w:trPr>
        <w:tc>
          <w:tcPr>
            <w:tcW w:w="3750" w:type="pct"/>
            <w:tcBorders>
              <w:top w:val="nil"/>
              <w:left w:val="nil"/>
              <w:bottom w:val="nil"/>
              <w:right w:val="nil"/>
            </w:tcBorders>
            <w:shd w:val="clear" w:color="auto" w:fill="FFFFFF"/>
            <w:vAlign w:val="bottom"/>
          </w:tcPr>
          <w:p w14:paraId="098F2534" w14:textId="77777777" w:rsidR="002215A6" w:rsidRPr="00496BA2" w:rsidRDefault="002215A6" w:rsidP="002215A6">
            <w:pPr>
              <w:pStyle w:val="Heading4"/>
              <w:ind w:left="176" w:hanging="34"/>
              <w:rPr>
                <w:color w:val="auto"/>
                <w:sz w:val="21"/>
                <w:szCs w:val="21"/>
                <w:lang w:val="en-US"/>
              </w:rPr>
            </w:pPr>
            <w:r w:rsidRPr="00496BA2">
              <w:rPr>
                <w:color w:val="auto"/>
                <w:sz w:val="21"/>
                <w:szCs w:val="21"/>
                <w:lang w:val="en-US"/>
              </w:rPr>
              <w:t>1.2F: Revenue from Government</w:t>
            </w:r>
          </w:p>
        </w:tc>
        <w:tc>
          <w:tcPr>
            <w:tcW w:w="625" w:type="pct"/>
            <w:tcBorders>
              <w:top w:val="nil"/>
              <w:left w:val="nil"/>
              <w:bottom w:val="nil"/>
              <w:right w:val="nil"/>
            </w:tcBorders>
            <w:shd w:val="clear" w:color="auto" w:fill="FFFFFF"/>
            <w:vAlign w:val="bottom"/>
          </w:tcPr>
          <w:p w14:paraId="5392EF11" w14:textId="77777777" w:rsidR="002215A6" w:rsidRPr="00C05614" w:rsidRDefault="002215A6" w:rsidP="002215A6">
            <w:pPr>
              <w:jc w:val="right"/>
              <w:rPr>
                <w:b/>
                <w:bCs/>
                <w:szCs w:val="18"/>
                <w:lang w:val="en-US"/>
              </w:rPr>
            </w:pPr>
          </w:p>
        </w:tc>
        <w:tc>
          <w:tcPr>
            <w:tcW w:w="625" w:type="pct"/>
            <w:tcBorders>
              <w:top w:val="nil"/>
              <w:left w:val="nil"/>
              <w:bottom w:val="nil"/>
              <w:right w:val="nil"/>
            </w:tcBorders>
            <w:shd w:val="clear" w:color="auto" w:fill="FFFFFF"/>
            <w:vAlign w:val="bottom"/>
          </w:tcPr>
          <w:p w14:paraId="46EA3B56" w14:textId="77777777" w:rsidR="002215A6" w:rsidRPr="00D814E8" w:rsidRDefault="002215A6" w:rsidP="002215A6">
            <w:pPr>
              <w:jc w:val="right"/>
              <w:rPr>
                <w:bCs/>
                <w:szCs w:val="18"/>
                <w:lang w:val="en-US"/>
              </w:rPr>
            </w:pPr>
          </w:p>
        </w:tc>
      </w:tr>
      <w:tr w:rsidR="002215A6" w:rsidRPr="00C05614" w14:paraId="0F2BC7D0" w14:textId="77777777" w:rsidTr="002215A6">
        <w:trPr>
          <w:trHeight w:val="255"/>
        </w:trPr>
        <w:tc>
          <w:tcPr>
            <w:tcW w:w="3750" w:type="pct"/>
            <w:tcBorders>
              <w:top w:val="nil"/>
              <w:left w:val="nil"/>
              <w:bottom w:val="nil"/>
              <w:right w:val="nil"/>
            </w:tcBorders>
            <w:shd w:val="clear" w:color="auto" w:fill="FFFFFF"/>
            <w:vAlign w:val="bottom"/>
          </w:tcPr>
          <w:p w14:paraId="6856179F" w14:textId="77777777" w:rsidR="002215A6" w:rsidRPr="00C05614" w:rsidRDefault="002215A6" w:rsidP="002215A6">
            <w:pPr>
              <w:ind w:left="176" w:right="284"/>
              <w:rPr>
                <w:b/>
                <w:bCs/>
                <w:szCs w:val="18"/>
                <w:lang w:val="en-US"/>
              </w:rPr>
            </w:pPr>
            <w:r w:rsidRPr="00C05614">
              <w:rPr>
                <w:b/>
                <w:bCs/>
                <w:szCs w:val="18"/>
                <w:lang w:val="en-US"/>
              </w:rPr>
              <w:t>Department of Health:</w:t>
            </w:r>
          </w:p>
        </w:tc>
        <w:tc>
          <w:tcPr>
            <w:tcW w:w="625" w:type="pct"/>
            <w:tcBorders>
              <w:top w:val="nil"/>
              <w:left w:val="nil"/>
              <w:right w:val="nil"/>
            </w:tcBorders>
            <w:shd w:val="clear" w:color="auto" w:fill="FFFFFF"/>
            <w:vAlign w:val="bottom"/>
          </w:tcPr>
          <w:p w14:paraId="49D52EF7" w14:textId="77777777" w:rsidR="002215A6" w:rsidRPr="00972C20" w:rsidRDefault="002215A6" w:rsidP="002215A6">
            <w:pPr>
              <w:jc w:val="right"/>
              <w:rPr>
                <w:b/>
                <w:bCs/>
                <w:szCs w:val="18"/>
                <w:lang w:val="en-US"/>
              </w:rPr>
            </w:pPr>
          </w:p>
        </w:tc>
        <w:tc>
          <w:tcPr>
            <w:tcW w:w="625" w:type="pct"/>
            <w:tcBorders>
              <w:top w:val="nil"/>
              <w:left w:val="nil"/>
              <w:right w:val="nil"/>
            </w:tcBorders>
            <w:shd w:val="clear" w:color="auto" w:fill="FFFFFF"/>
            <w:noWrap/>
            <w:vAlign w:val="bottom"/>
          </w:tcPr>
          <w:p w14:paraId="12778B68" w14:textId="77777777" w:rsidR="002215A6" w:rsidRPr="00D814E8" w:rsidRDefault="002215A6" w:rsidP="002215A6">
            <w:pPr>
              <w:jc w:val="right"/>
              <w:rPr>
                <w:bCs/>
                <w:szCs w:val="18"/>
                <w:lang w:val="en-US"/>
              </w:rPr>
            </w:pPr>
          </w:p>
        </w:tc>
      </w:tr>
      <w:tr w:rsidR="002215A6" w:rsidRPr="00972C20" w14:paraId="52204E5E" w14:textId="77777777" w:rsidTr="002215A6">
        <w:trPr>
          <w:trHeight w:val="255"/>
        </w:trPr>
        <w:tc>
          <w:tcPr>
            <w:tcW w:w="3750" w:type="pct"/>
            <w:tcBorders>
              <w:top w:val="nil"/>
              <w:left w:val="nil"/>
              <w:bottom w:val="nil"/>
              <w:right w:val="nil"/>
            </w:tcBorders>
            <w:shd w:val="clear" w:color="auto" w:fill="FFFFFF"/>
            <w:vAlign w:val="bottom"/>
          </w:tcPr>
          <w:p w14:paraId="1D9D1E6D" w14:textId="77777777" w:rsidR="002215A6" w:rsidRPr="00C05614" w:rsidRDefault="002215A6" w:rsidP="002215A6">
            <w:pPr>
              <w:ind w:left="459" w:right="284"/>
              <w:rPr>
                <w:szCs w:val="18"/>
                <w:lang w:val="en-US"/>
              </w:rPr>
            </w:pPr>
            <w:r>
              <w:rPr>
                <w:szCs w:val="18"/>
                <w:lang w:val="en-US"/>
              </w:rPr>
              <w:t xml:space="preserve">Corporate Commonwealth entity payment item – Australian Health Ministers Advisory Council (AHMAC)  </w:t>
            </w:r>
          </w:p>
        </w:tc>
        <w:tc>
          <w:tcPr>
            <w:tcW w:w="625" w:type="pct"/>
            <w:tcBorders>
              <w:top w:val="nil"/>
              <w:left w:val="nil"/>
              <w:right w:val="nil"/>
            </w:tcBorders>
            <w:shd w:val="clear" w:color="auto" w:fill="FFFFFF"/>
          </w:tcPr>
          <w:p w14:paraId="2FA5075A" w14:textId="77777777" w:rsidR="002215A6" w:rsidRPr="00C05614" w:rsidRDefault="002215A6" w:rsidP="002215A6">
            <w:pPr>
              <w:jc w:val="right"/>
              <w:rPr>
                <w:b/>
                <w:bCs/>
                <w:szCs w:val="18"/>
                <w:lang w:val="en-US"/>
              </w:rPr>
            </w:pPr>
            <w:r>
              <w:rPr>
                <w:b/>
                <w:bCs/>
                <w:szCs w:val="18"/>
                <w:lang w:val="en-US"/>
              </w:rPr>
              <w:t>7,406</w:t>
            </w:r>
            <w:r w:rsidRPr="00285EE1">
              <w:rPr>
                <w:b/>
                <w:bCs/>
                <w:szCs w:val="18"/>
                <w:lang w:val="en-US"/>
              </w:rPr>
              <w:t xml:space="preserve"> </w:t>
            </w:r>
          </w:p>
        </w:tc>
        <w:tc>
          <w:tcPr>
            <w:tcW w:w="625" w:type="pct"/>
            <w:tcBorders>
              <w:top w:val="nil"/>
              <w:left w:val="nil"/>
              <w:right w:val="nil"/>
            </w:tcBorders>
            <w:shd w:val="clear" w:color="auto" w:fill="FFFFFF"/>
            <w:noWrap/>
          </w:tcPr>
          <w:p w14:paraId="6917D3AC" w14:textId="77777777" w:rsidR="002215A6" w:rsidRPr="00B6422B" w:rsidRDefault="002215A6" w:rsidP="002215A6">
            <w:pPr>
              <w:jc w:val="right"/>
              <w:rPr>
                <w:bCs/>
                <w:szCs w:val="18"/>
                <w:lang w:val="en-US"/>
              </w:rPr>
            </w:pPr>
            <w:r w:rsidRPr="00B6422B">
              <w:rPr>
                <w:bCs/>
                <w:szCs w:val="18"/>
                <w:lang w:val="en-US"/>
              </w:rPr>
              <w:t xml:space="preserve">7,190 </w:t>
            </w:r>
          </w:p>
        </w:tc>
      </w:tr>
      <w:tr w:rsidR="002215A6" w:rsidRPr="00972C20" w14:paraId="7450034B" w14:textId="77777777" w:rsidTr="002215A6">
        <w:trPr>
          <w:trHeight w:val="255"/>
        </w:trPr>
        <w:tc>
          <w:tcPr>
            <w:tcW w:w="3750" w:type="pct"/>
            <w:tcBorders>
              <w:top w:val="nil"/>
              <w:left w:val="nil"/>
              <w:bottom w:val="nil"/>
              <w:right w:val="nil"/>
            </w:tcBorders>
            <w:shd w:val="clear" w:color="auto" w:fill="FFFFFF"/>
            <w:vAlign w:val="bottom"/>
          </w:tcPr>
          <w:p w14:paraId="3C6B40AB" w14:textId="77777777" w:rsidR="002215A6" w:rsidRDefault="002215A6" w:rsidP="002215A6">
            <w:pPr>
              <w:ind w:left="459" w:right="284"/>
              <w:rPr>
                <w:szCs w:val="18"/>
                <w:lang w:val="en-US"/>
              </w:rPr>
            </w:pPr>
            <w:r>
              <w:rPr>
                <w:szCs w:val="18"/>
                <w:lang w:val="en-US"/>
              </w:rPr>
              <w:t>Corporate Commonwealth entity payment item – Smaller government measures</w:t>
            </w:r>
          </w:p>
        </w:tc>
        <w:tc>
          <w:tcPr>
            <w:tcW w:w="625" w:type="pct"/>
            <w:tcBorders>
              <w:left w:val="nil"/>
              <w:bottom w:val="single" w:sz="4" w:space="0" w:color="auto"/>
              <w:right w:val="nil"/>
            </w:tcBorders>
            <w:shd w:val="clear" w:color="auto" w:fill="FFFFFF"/>
          </w:tcPr>
          <w:p w14:paraId="799CB5C3" w14:textId="77777777" w:rsidR="002215A6" w:rsidRDefault="002215A6" w:rsidP="002215A6">
            <w:pPr>
              <w:jc w:val="right"/>
              <w:rPr>
                <w:b/>
                <w:bCs/>
                <w:szCs w:val="18"/>
                <w:lang w:val="en-US"/>
              </w:rPr>
            </w:pPr>
            <w:r>
              <w:rPr>
                <w:b/>
                <w:bCs/>
                <w:szCs w:val="18"/>
                <w:lang w:val="en-US"/>
              </w:rPr>
              <w:t>3,514</w:t>
            </w:r>
          </w:p>
        </w:tc>
        <w:tc>
          <w:tcPr>
            <w:tcW w:w="625" w:type="pct"/>
            <w:tcBorders>
              <w:left w:val="nil"/>
              <w:bottom w:val="single" w:sz="4" w:space="0" w:color="auto"/>
              <w:right w:val="nil"/>
            </w:tcBorders>
            <w:shd w:val="clear" w:color="auto" w:fill="FFFFFF"/>
            <w:noWrap/>
          </w:tcPr>
          <w:p w14:paraId="0BF5EB49" w14:textId="77777777" w:rsidR="002215A6" w:rsidRPr="00B6422B" w:rsidRDefault="002215A6" w:rsidP="002215A6">
            <w:pPr>
              <w:jc w:val="right"/>
              <w:rPr>
                <w:bCs/>
                <w:szCs w:val="18"/>
                <w:lang w:val="en-US"/>
              </w:rPr>
            </w:pPr>
            <w:r>
              <w:rPr>
                <w:bCs/>
                <w:szCs w:val="18"/>
                <w:lang w:val="en-US"/>
              </w:rPr>
              <w:t>-</w:t>
            </w:r>
          </w:p>
        </w:tc>
      </w:tr>
      <w:tr w:rsidR="002215A6" w:rsidRPr="00C05614" w14:paraId="054B8B25" w14:textId="77777777" w:rsidTr="002215A6">
        <w:trPr>
          <w:trHeight w:val="255"/>
        </w:trPr>
        <w:tc>
          <w:tcPr>
            <w:tcW w:w="3750" w:type="pct"/>
            <w:tcBorders>
              <w:top w:val="nil"/>
              <w:left w:val="nil"/>
              <w:bottom w:val="nil"/>
              <w:right w:val="nil"/>
            </w:tcBorders>
            <w:shd w:val="clear" w:color="auto" w:fill="FFFFFF"/>
            <w:vAlign w:val="bottom"/>
          </w:tcPr>
          <w:p w14:paraId="3C9B41CB" w14:textId="77777777" w:rsidR="002215A6" w:rsidRPr="00C05614" w:rsidRDefault="002215A6" w:rsidP="002215A6">
            <w:pPr>
              <w:ind w:left="176" w:right="284"/>
              <w:rPr>
                <w:b/>
                <w:bCs/>
                <w:szCs w:val="18"/>
                <w:lang w:val="en-US"/>
              </w:rPr>
            </w:pPr>
            <w:r w:rsidRPr="00C05614">
              <w:rPr>
                <w:b/>
                <w:bCs/>
                <w:szCs w:val="18"/>
                <w:lang w:val="en-US"/>
              </w:rPr>
              <w:t>Total revenue from Government</w:t>
            </w:r>
          </w:p>
        </w:tc>
        <w:tc>
          <w:tcPr>
            <w:tcW w:w="625" w:type="pct"/>
            <w:tcBorders>
              <w:top w:val="single" w:sz="4" w:space="0" w:color="auto"/>
              <w:left w:val="nil"/>
              <w:bottom w:val="single" w:sz="4" w:space="0" w:color="auto"/>
              <w:right w:val="nil"/>
            </w:tcBorders>
            <w:shd w:val="clear" w:color="auto" w:fill="FFFFFF"/>
            <w:vAlign w:val="bottom"/>
          </w:tcPr>
          <w:p w14:paraId="2B37D1CE" w14:textId="77777777" w:rsidR="002215A6" w:rsidRPr="00C05614" w:rsidRDefault="002215A6" w:rsidP="002215A6">
            <w:pPr>
              <w:jc w:val="right"/>
              <w:rPr>
                <w:b/>
                <w:bCs/>
                <w:szCs w:val="18"/>
                <w:lang w:val="en-US"/>
              </w:rPr>
            </w:pPr>
            <w:r>
              <w:rPr>
                <w:b/>
                <w:bCs/>
                <w:szCs w:val="18"/>
                <w:lang w:val="en-US"/>
              </w:rPr>
              <w:t>10,920</w:t>
            </w:r>
            <w:r w:rsidRPr="00285EE1">
              <w:rPr>
                <w:b/>
                <w:bCs/>
                <w:szCs w:val="18"/>
                <w:lang w:val="en-US"/>
              </w:rPr>
              <w:t xml:space="preserve"> </w:t>
            </w:r>
          </w:p>
        </w:tc>
        <w:tc>
          <w:tcPr>
            <w:tcW w:w="625" w:type="pct"/>
            <w:tcBorders>
              <w:top w:val="single" w:sz="4" w:space="0" w:color="auto"/>
              <w:left w:val="nil"/>
              <w:bottom w:val="single" w:sz="4" w:space="0" w:color="auto"/>
              <w:right w:val="nil"/>
            </w:tcBorders>
            <w:shd w:val="clear" w:color="auto" w:fill="FFFFFF"/>
            <w:noWrap/>
            <w:vAlign w:val="bottom"/>
          </w:tcPr>
          <w:p w14:paraId="17788323" w14:textId="77777777" w:rsidR="002215A6" w:rsidRPr="00B6422B" w:rsidRDefault="002215A6" w:rsidP="002215A6">
            <w:pPr>
              <w:jc w:val="right"/>
              <w:rPr>
                <w:bCs/>
                <w:szCs w:val="18"/>
                <w:lang w:val="en-US"/>
              </w:rPr>
            </w:pPr>
            <w:r w:rsidRPr="00B6422B">
              <w:rPr>
                <w:bCs/>
                <w:szCs w:val="18"/>
                <w:lang w:val="en-US"/>
              </w:rPr>
              <w:t xml:space="preserve">7,190 </w:t>
            </w:r>
          </w:p>
        </w:tc>
      </w:tr>
      <w:tr w:rsidR="002215A6" w:rsidRPr="00C05614" w14:paraId="46223281" w14:textId="77777777" w:rsidTr="002215A6">
        <w:trPr>
          <w:trHeight w:val="255"/>
        </w:trPr>
        <w:tc>
          <w:tcPr>
            <w:tcW w:w="5000" w:type="pct"/>
            <w:gridSpan w:val="3"/>
            <w:tcBorders>
              <w:top w:val="nil"/>
              <w:left w:val="nil"/>
              <w:bottom w:val="single" w:sz="4" w:space="0" w:color="auto"/>
              <w:right w:val="nil"/>
            </w:tcBorders>
            <w:shd w:val="clear" w:color="auto" w:fill="FFFFFF"/>
            <w:vAlign w:val="bottom"/>
          </w:tcPr>
          <w:p w14:paraId="3E25AB1C" w14:textId="77777777" w:rsidR="002215A6" w:rsidRPr="00D814E8" w:rsidRDefault="002215A6" w:rsidP="002215A6">
            <w:pPr>
              <w:ind w:left="176"/>
              <w:jc w:val="right"/>
              <w:rPr>
                <w:bCs/>
                <w:szCs w:val="18"/>
                <w:lang w:val="en-US"/>
              </w:rPr>
            </w:pPr>
          </w:p>
        </w:tc>
      </w:tr>
      <w:tr w:rsidR="002215A6" w:rsidRPr="00C05614" w14:paraId="47BABEEF" w14:textId="77777777" w:rsidTr="002215A6">
        <w:trPr>
          <w:trHeight w:val="255"/>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28F856D5" w14:textId="77777777" w:rsidR="002215A6" w:rsidRPr="00312590" w:rsidRDefault="002215A6" w:rsidP="002215A6">
            <w:pPr>
              <w:ind w:left="176"/>
              <w:rPr>
                <w:b/>
                <w:bCs/>
                <w:szCs w:val="18"/>
                <w:lang w:val="en-US"/>
              </w:rPr>
            </w:pPr>
            <w:r w:rsidRPr="00312590">
              <w:rPr>
                <w:b/>
                <w:bCs/>
                <w:szCs w:val="18"/>
                <w:lang w:val="en-US"/>
              </w:rPr>
              <w:t>Accounting Policy</w:t>
            </w:r>
          </w:p>
          <w:p w14:paraId="5A27E64B" w14:textId="70E4D445" w:rsidR="002215A6" w:rsidRPr="00312590" w:rsidRDefault="002215A6" w:rsidP="002215A6">
            <w:pPr>
              <w:ind w:left="176"/>
              <w:rPr>
                <w:b/>
                <w:bCs/>
                <w:szCs w:val="18"/>
                <w:lang w:val="en-US"/>
              </w:rPr>
            </w:pPr>
            <w:r w:rsidRPr="00312590">
              <w:rPr>
                <w:szCs w:val="18"/>
              </w:rPr>
              <w:t xml:space="preserve">Funding received or receivable from non-corporate Commonwealth entities (appropriated to </w:t>
            </w:r>
            <w:r w:rsidR="00D20916">
              <w:rPr>
                <w:szCs w:val="18"/>
              </w:rPr>
              <w:br/>
            </w:r>
            <w:r w:rsidRPr="00312590">
              <w:rPr>
                <w:szCs w:val="18"/>
              </w:rPr>
              <w:t xml:space="preserve">the Department of Health as a corporate Commonwealth entity payment item for payment to </w:t>
            </w:r>
            <w:r w:rsidR="00D20916">
              <w:rPr>
                <w:szCs w:val="18"/>
              </w:rPr>
              <w:br/>
            </w:r>
            <w:r w:rsidRPr="00312590">
              <w:rPr>
                <w:szCs w:val="18"/>
              </w:rPr>
              <w:t>the Commission) is recognised as Revenue from Government</w:t>
            </w:r>
            <w:r>
              <w:rPr>
                <w:szCs w:val="18"/>
              </w:rPr>
              <w:t>.</w:t>
            </w:r>
          </w:p>
        </w:tc>
      </w:tr>
    </w:tbl>
    <w:p w14:paraId="623BC20B" w14:textId="77777777" w:rsidR="00195E07" w:rsidRDefault="00195E07">
      <w:pPr>
        <w:spacing w:after="160" w:line="259" w:lineRule="auto"/>
      </w:pPr>
      <w:r>
        <w:br w:type="page"/>
      </w:r>
    </w:p>
    <w:p w14:paraId="29901D6E" w14:textId="77777777" w:rsidR="002215A6" w:rsidRPr="008B6A2B" w:rsidRDefault="002215A6" w:rsidP="002215A6">
      <w:pPr>
        <w:pStyle w:val="Heading2"/>
      </w:pPr>
      <w:r>
        <w:lastRenderedPageBreak/>
        <w:t>2</w:t>
      </w:r>
      <w:r w:rsidRPr="00C05614">
        <w:t xml:space="preserve"> Financial </w:t>
      </w:r>
      <w:r>
        <w:t>Position</w:t>
      </w:r>
    </w:p>
    <w:tbl>
      <w:tblPr>
        <w:tblW w:w="5000" w:type="pct"/>
        <w:tblLook w:val="0000" w:firstRow="0" w:lastRow="0" w:firstColumn="0" w:lastColumn="0" w:noHBand="0" w:noVBand="0"/>
        <w:tblCaption w:val="2 Financial Position"/>
      </w:tblPr>
      <w:tblGrid>
        <w:gridCol w:w="5849"/>
        <w:gridCol w:w="1332"/>
        <w:gridCol w:w="1313"/>
      </w:tblGrid>
      <w:tr w:rsidR="002215A6" w:rsidRPr="00C05614" w14:paraId="7E93FCC1" w14:textId="77777777" w:rsidTr="002215A6">
        <w:trPr>
          <w:trHeight w:val="255"/>
        </w:trPr>
        <w:tc>
          <w:tcPr>
            <w:tcW w:w="3443" w:type="pct"/>
            <w:tcBorders>
              <w:top w:val="nil"/>
              <w:left w:val="nil"/>
              <w:bottom w:val="nil"/>
              <w:right w:val="nil"/>
            </w:tcBorders>
            <w:shd w:val="clear" w:color="auto" w:fill="FFFFFF"/>
          </w:tcPr>
          <w:p w14:paraId="18C5BAFD" w14:textId="77777777" w:rsidR="002215A6" w:rsidRPr="00C05614" w:rsidRDefault="002215A6" w:rsidP="002215A6">
            <w:pPr>
              <w:ind w:left="-108"/>
              <w:rPr>
                <w:szCs w:val="18"/>
                <w:lang w:val="en-US"/>
              </w:rPr>
            </w:pPr>
          </w:p>
        </w:tc>
        <w:tc>
          <w:tcPr>
            <w:tcW w:w="784" w:type="pct"/>
            <w:tcBorders>
              <w:top w:val="nil"/>
              <w:left w:val="nil"/>
              <w:bottom w:val="nil"/>
              <w:right w:val="nil"/>
            </w:tcBorders>
            <w:shd w:val="clear" w:color="auto" w:fill="FFFFFF"/>
            <w:vAlign w:val="bottom"/>
          </w:tcPr>
          <w:p w14:paraId="74A32DF6" w14:textId="77777777" w:rsidR="002215A6" w:rsidRDefault="002215A6" w:rsidP="002215A6">
            <w:pPr>
              <w:jc w:val="right"/>
              <w:rPr>
                <w:b/>
                <w:bCs/>
                <w:szCs w:val="18"/>
                <w:lang w:val="en-US"/>
              </w:rPr>
            </w:pPr>
            <w:r>
              <w:rPr>
                <w:b/>
                <w:bCs/>
                <w:szCs w:val="18"/>
                <w:lang w:val="en-US"/>
              </w:rPr>
              <w:t>2017</w:t>
            </w:r>
          </w:p>
        </w:tc>
        <w:tc>
          <w:tcPr>
            <w:tcW w:w="773" w:type="pct"/>
            <w:tcBorders>
              <w:top w:val="nil"/>
              <w:left w:val="nil"/>
              <w:bottom w:val="nil"/>
              <w:right w:val="nil"/>
            </w:tcBorders>
            <w:shd w:val="clear" w:color="auto" w:fill="FFFFFF"/>
            <w:vAlign w:val="bottom"/>
          </w:tcPr>
          <w:p w14:paraId="33271D18" w14:textId="77777777" w:rsidR="002215A6" w:rsidRDefault="002215A6" w:rsidP="002215A6">
            <w:pPr>
              <w:jc w:val="right"/>
              <w:rPr>
                <w:bCs/>
                <w:szCs w:val="18"/>
                <w:lang w:val="en-US"/>
              </w:rPr>
            </w:pPr>
            <w:r>
              <w:rPr>
                <w:bCs/>
                <w:szCs w:val="18"/>
                <w:lang w:val="en-US"/>
              </w:rPr>
              <w:t>2016</w:t>
            </w:r>
          </w:p>
        </w:tc>
      </w:tr>
      <w:tr w:rsidR="002215A6" w:rsidRPr="00C05614" w14:paraId="69558121" w14:textId="77777777" w:rsidTr="002215A6">
        <w:trPr>
          <w:trHeight w:val="255"/>
        </w:trPr>
        <w:tc>
          <w:tcPr>
            <w:tcW w:w="3443" w:type="pct"/>
            <w:tcBorders>
              <w:top w:val="nil"/>
              <w:left w:val="nil"/>
              <w:bottom w:val="nil"/>
              <w:right w:val="nil"/>
            </w:tcBorders>
            <w:shd w:val="clear" w:color="auto" w:fill="FFFFFF"/>
          </w:tcPr>
          <w:p w14:paraId="0E546C8E" w14:textId="77777777" w:rsidR="002215A6" w:rsidRPr="00C05614" w:rsidRDefault="002215A6" w:rsidP="002215A6">
            <w:pPr>
              <w:ind w:left="-108"/>
              <w:rPr>
                <w:szCs w:val="18"/>
                <w:lang w:val="en-US"/>
              </w:rPr>
            </w:pPr>
            <w:r w:rsidRPr="00C05614">
              <w:rPr>
                <w:szCs w:val="18"/>
                <w:lang w:val="en-US"/>
              </w:rPr>
              <w:t> </w:t>
            </w:r>
          </w:p>
        </w:tc>
        <w:tc>
          <w:tcPr>
            <w:tcW w:w="784" w:type="pct"/>
            <w:tcBorders>
              <w:top w:val="nil"/>
              <w:left w:val="nil"/>
              <w:bottom w:val="nil"/>
              <w:right w:val="nil"/>
            </w:tcBorders>
            <w:shd w:val="clear" w:color="auto" w:fill="FFFFFF"/>
            <w:vAlign w:val="bottom"/>
          </w:tcPr>
          <w:p w14:paraId="57D5418D" w14:textId="77777777" w:rsidR="002215A6" w:rsidRPr="00C05614" w:rsidRDefault="002215A6" w:rsidP="002215A6">
            <w:pPr>
              <w:jc w:val="right"/>
              <w:rPr>
                <w:b/>
                <w:bCs/>
                <w:szCs w:val="18"/>
                <w:lang w:val="en-US"/>
              </w:rPr>
            </w:pPr>
            <w:r w:rsidRPr="00C05614">
              <w:rPr>
                <w:b/>
                <w:bCs/>
                <w:szCs w:val="18"/>
                <w:lang w:val="en-US"/>
              </w:rPr>
              <w:t>$’000</w:t>
            </w:r>
          </w:p>
        </w:tc>
        <w:tc>
          <w:tcPr>
            <w:tcW w:w="773" w:type="pct"/>
            <w:tcBorders>
              <w:top w:val="nil"/>
              <w:left w:val="nil"/>
              <w:bottom w:val="nil"/>
              <w:right w:val="nil"/>
            </w:tcBorders>
            <w:shd w:val="clear" w:color="auto" w:fill="FFFFFF"/>
            <w:vAlign w:val="bottom"/>
          </w:tcPr>
          <w:p w14:paraId="2B40A061" w14:textId="77777777" w:rsidR="002215A6" w:rsidRPr="00C05614" w:rsidRDefault="002215A6" w:rsidP="002215A6">
            <w:pPr>
              <w:jc w:val="right"/>
              <w:rPr>
                <w:bCs/>
                <w:szCs w:val="18"/>
                <w:lang w:val="en-US"/>
              </w:rPr>
            </w:pPr>
            <w:r w:rsidRPr="00C05614">
              <w:rPr>
                <w:bCs/>
                <w:szCs w:val="18"/>
                <w:lang w:val="en-US"/>
              </w:rPr>
              <w:t>$’000</w:t>
            </w:r>
          </w:p>
        </w:tc>
      </w:tr>
      <w:tr w:rsidR="002215A6" w:rsidRPr="00C05614" w14:paraId="270B7E6F" w14:textId="77777777" w:rsidTr="002215A6">
        <w:trPr>
          <w:trHeight w:val="255"/>
        </w:trPr>
        <w:tc>
          <w:tcPr>
            <w:tcW w:w="3443" w:type="pct"/>
            <w:tcBorders>
              <w:top w:val="nil"/>
              <w:left w:val="nil"/>
              <w:bottom w:val="nil"/>
              <w:right w:val="nil"/>
            </w:tcBorders>
            <w:shd w:val="clear" w:color="auto" w:fill="FFFFFF"/>
          </w:tcPr>
          <w:p w14:paraId="1047AB4E" w14:textId="77777777" w:rsidR="002215A6" w:rsidRPr="00496BA2" w:rsidRDefault="002215A6" w:rsidP="002215A6">
            <w:pPr>
              <w:pStyle w:val="Heading3"/>
              <w:rPr>
                <w:sz w:val="24"/>
                <w:szCs w:val="24"/>
                <w:lang w:val="en-US"/>
              </w:rPr>
            </w:pPr>
            <w:r w:rsidRPr="00496BA2">
              <w:rPr>
                <w:sz w:val="24"/>
                <w:szCs w:val="24"/>
              </w:rPr>
              <w:t>2.1 Financial Assets</w:t>
            </w:r>
          </w:p>
        </w:tc>
        <w:tc>
          <w:tcPr>
            <w:tcW w:w="784" w:type="pct"/>
            <w:tcBorders>
              <w:top w:val="nil"/>
              <w:left w:val="nil"/>
              <w:bottom w:val="nil"/>
              <w:right w:val="nil"/>
            </w:tcBorders>
            <w:shd w:val="clear" w:color="auto" w:fill="FFFFFF"/>
            <w:vAlign w:val="bottom"/>
          </w:tcPr>
          <w:p w14:paraId="28837A6C" w14:textId="77777777" w:rsidR="002215A6" w:rsidRPr="00C05614" w:rsidRDefault="002215A6" w:rsidP="002215A6">
            <w:pPr>
              <w:jc w:val="right"/>
              <w:rPr>
                <w:b/>
                <w:bCs/>
                <w:szCs w:val="18"/>
                <w:lang w:val="en-US"/>
              </w:rPr>
            </w:pPr>
          </w:p>
        </w:tc>
        <w:tc>
          <w:tcPr>
            <w:tcW w:w="773" w:type="pct"/>
            <w:tcBorders>
              <w:top w:val="nil"/>
              <w:left w:val="nil"/>
              <w:bottom w:val="nil"/>
              <w:right w:val="nil"/>
            </w:tcBorders>
            <w:shd w:val="clear" w:color="auto" w:fill="FFFFFF"/>
            <w:vAlign w:val="bottom"/>
          </w:tcPr>
          <w:p w14:paraId="56FC45B8" w14:textId="77777777" w:rsidR="002215A6" w:rsidRPr="00C05614" w:rsidRDefault="002215A6" w:rsidP="002215A6">
            <w:pPr>
              <w:jc w:val="right"/>
              <w:rPr>
                <w:bCs/>
                <w:szCs w:val="18"/>
                <w:lang w:val="en-US"/>
              </w:rPr>
            </w:pPr>
          </w:p>
        </w:tc>
      </w:tr>
      <w:tr w:rsidR="002215A6" w:rsidRPr="00C05614" w14:paraId="57F29D34" w14:textId="77777777" w:rsidTr="002215A6">
        <w:trPr>
          <w:trHeight w:val="255"/>
        </w:trPr>
        <w:tc>
          <w:tcPr>
            <w:tcW w:w="3443" w:type="pct"/>
            <w:tcBorders>
              <w:top w:val="nil"/>
              <w:left w:val="nil"/>
              <w:bottom w:val="nil"/>
              <w:right w:val="nil"/>
            </w:tcBorders>
            <w:shd w:val="clear" w:color="auto" w:fill="FFFFFF"/>
            <w:vAlign w:val="bottom"/>
          </w:tcPr>
          <w:p w14:paraId="7EFE32F3" w14:textId="77777777" w:rsidR="002215A6" w:rsidRPr="00496BA2" w:rsidRDefault="002215A6" w:rsidP="002215A6">
            <w:pPr>
              <w:pStyle w:val="Heading4"/>
              <w:spacing w:before="0"/>
              <w:ind w:left="34"/>
              <w:rPr>
                <w:b w:val="0"/>
                <w:bCs/>
                <w:color w:val="auto"/>
                <w:sz w:val="21"/>
                <w:szCs w:val="21"/>
                <w:u w:val="single"/>
                <w:lang w:val="en-US"/>
              </w:rPr>
            </w:pPr>
            <w:r w:rsidRPr="00496BA2">
              <w:rPr>
                <w:color w:val="auto"/>
                <w:sz w:val="21"/>
                <w:szCs w:val="21"/>
                <w:lang w:val="en-US"/>
              </w:rPr>
              <w:t>2.1A: Cash and Cash Equivalents</w:t>
            </w:r>
          </w:p>
        </w:tc>
        <w:tc>
          <w:tcPr>
            <w:tcW w:w="784" w:type="pct"/>
            <w:tcBorders>
              <w:top w:val="nil"/>
              <w:left w:val="nil"/>
              <w:right w:val="nil"/>
            </w:tcBorders>
            <w:shd w:val="clear" w:color="auto" w:fill="FFFFFF"/>
            <w:vAlign w:val="bottom"/>
          </w:tcPr>
          <w:p w14:paraId="78F5912E" w14:textId="77777777" w:rsidR="002215A6" w:rsidRPr="00C05614" w:rsidRDefault="002215A6" w:rsidP="002215A6">
            <w:pPr>
              <w:jc w:val="right"/>
              <w:rPr>
                <w:b/>
                <w:bCs/>
                <w:szCs w:val="18"/>
                <w:lang w:val="en-US"/>
              </w:rPr>
            </w:pPr>
            <w:r w:rsidRPr="00C05614">
              <w:rPr>
                <w:b/>
                <w:bCs/>
                <w:szCs w:val="18"/>
                <w:lang w:val="en-US"/>
              </w:rPr>
              <w:t> </w:t>
            </w:r>
          </w:p>
        </w:tc>
        <w:tc>
          <w:tcPr>
            <w:tcW w:w="773" w:type="pct"/>
            <w:tcBorders>
              <w:top w:val="nil"/>
              <w:left w:val="nil"/>
              <w:bottom w:val="nil"/>
              <w:right w:val="nil"/>
            </w:tcBorders>
            <w:shd w:val="clear" w:color="auto" w:fill="FFFFFF"/>
            <w:vAlign w:val="bottom"/>
          </w:tcPr>
          <w:p w14:paraId="7FCF8A1E" w14:textId="77777777" w:rsidR="002215A6" w:rsidRPr="00C05614" w:rsidRDefault="002215A6" w:rsidP="002215A6">
            <w:pPr>
              <w:jc w:val="right"/>
              <w:rPr>
                <w:bCs/>
                <w:szCs w:val="18"/>
                <w:lang w:val="en-US"/>
              </w:rPr>
            </w:pPr>
            <w:r w:rsidRPr="00C05614">
              <w:rPr>
                <w:bCs/>
                <w:szCs w:val="18"/>
                <w:lang w:val="en-US"/>
              </w:rPr>
              <w:t> </w:t>
            </w:r>
          </w:p>
        </w:tc>
      </w:tr>
      <w:tr w:rsidR="002215A6" w:rsidRPr="00C05614" w14:paraId="571BDBF0" w14:textId="77777777" w:rsidTr="002215A6">
        <w:trPr>
          <w:trHeight w:val="255"/>
        </w:trPr>
        <w:tc>
          <w:tcPr>
            <w:tcW w:w="3443" w:type="pct"/>
            <w:tcBorders>
              <w:top w:val="nil"/>
              <w:left w:val="nil"/>
              <w:bottom w:val="nil"/>
              <w:right w:val="nil"/>
            </w:tcBorders>
            <w:shd w:val="clear" w:color="auto" w:fill="FFFFFF"/>
            <w:vAlign w:val="bottom"/>
          </w:tcPr>
          <w:p w14:paraId="1185BAEC" w14:textId="77777777" w:rsidR="002215A6" w:rsidRPr="00C05614" w:rsidRDefault="002215A6" w:rsidP="002215A6">
            <w:pPr>
              <w:ind w:left="34"/>
              <w:rPr>
                <w:szCs w:val="18"/>
                <w:lang w:val="en-US"/>
              </w:rPr>
            </w:pPr>
            <w:r w:rsidRPr="00C05614">
              <w:rPr>
                <w:szCs w:val="18"/>
                <w:lang w:val="en-US"/>
              </w:rPr>
              <w:t>C</w:t>
            </w:r>
            <w:r>
              <w:rPr>
                <w:szCs w:val="18"/>
                <w:lang w:val="en-US"/>
              </w:rPr>
              <w:t>ash on hand or on deposit</w:t>
            </w:r>
          </w:p>
        </w:tc>
        <w:tc>
          <w:tcPr>
            <w:tcW w:w="784" w:type="pct"/>
            <w:tcBorders>
              <w:top w:val="nil"/>
              <w:left w:val="nil"/>
              <w:bottom w:val="single" w:sz="4" w:space="0" w:color="auto"/>
              <w:right w:val="nil"/>
            </w:tcBorders>
            <w:shd w:val="clear" w:color="auto" w:fill="FFFFFF"/>
            <w:vAlign w:val="bottom"/>
          </w:tcPr>
          <w:p w14:paraId="526099D8" w14:textId="77777777" w:rsidR="002215A6" w:rsidRPr="00C05614" w:rsidRDefault="002215A6" w:rsidP="002215A6">
            <w:pPr>
              <w:jc w:val="right"/>
              <w:rPr>
                <w:b/>
                <w:bCs/>
                <w:szCs w:val="18"/>
                <w:lang w:val="en-US"/>
              </w:rPr>
            </w:pPr>
            <w:r>
              <w:rPr>
                <w:b/>
                <w:bCs/>
                <w:szCs w:val="18"/>
                <w:lang w:val="en-US"/>
              </w:rPr>
              <w:t>6,333</w:t>
            </w:r>
            <w:r w:rsidRPr="000F1639">
              <w:rPr>
                <w:b/>
                <w:bCs/>
                <w:szCs w:val="18"/>
                <w:lang w:val="en-US"/>
              </w:rPr>
              <w:t xml:space="preserve"> </w:t>
            </w:r>
          </w:p>
        </w:tc>
        <w:tc>
          <w:tcPr>
            <w:tcW w:w="773" w:type="pct"/>
            <w:tcBorders>
              <w:top w:val="nil"/>
              <w:left w:val="nil"/>
              <w:bottom w:val="single" w:sz="4" w:space="0" w:color="auto"/>
              <w:right w:val="nil"/>
            </w:tcBorders>
            <w:shd w:val="clear" w:color="auto" w:fill="FFFFFF"/>
            <w:noWrap/>
            <w:vAlign w:val="bottom"/>
          </w:tcPr>
          <w:p w14:paraId="5EFAD074" w14:textId="77777777" w:rsidR="002215A6" w:rsidRPr="00B6422B" w:rsidRDefault="002215A6" w:rsidP="002215A6">
            <w:pPr>
              <w:jc w:val="right"/>
              <w:rPr>
                <w:bCs/>
                <w:szCs w:val="18"/>
                <w:lang w:val="en-US"/>
              </w:rPr>
            </w:pPr>
            <w:r w:rsidRPr="00B6422B">
              <w:rPr>
                <w:bCs/>
                <w:szCs w:val="18"/>
                <w:lang w:val="en-US"/>
              </w:rPr>
              <w:t xml:space="preserve">10,851 </w:t>
            </w:r>
          </w:p>
        </w:tc>
      </w:tr>
      <w:tr w:rsidR="002215A6" w:rsidRPr="00C05614" w14:paraId="75CB0535" w14:textId="77777777" w:rsidTr="002215A6">
        <w:trPr>
          <w:trHeight w:val="255"/>
        </w:trPr>
        <w:tc>
          <w:tcPr>
            <w:tcW w:w="3443" w:type="pct"/>
            <w:tcBorders>
              <w:top w:val="nil"/>
              <w:left w:val="nil"/>
              <w:right w:val="nil"/>
            </w:tcBorders>
            <w:shd w:val="clear" w:color="auto" w:fill="FFFFFF"/>
            <w:vAlign w:val="bottom"/>
          </w:tcPr>
          <w:p w14:paraId="62D1724F" w14:textId="77777777" w:rsidR="002215A6" w:rsidRPr="00C05614" w:rsidRDefault="002215A6" w:rsidP="002215A6">
            <w:pPr>
              <w:ind w:left="34"/>
              <w:rPr>
                <w:b/>
                <w:bCs/>
                <w:szCs w:val="18"/>
                <w:lang w:val="en-US"/>
              </w:rPr>
            </w:pPr>
            <w:r w:rsidRPr="00C05614">
              <w:rPr>
                <w:b/>
                <w:bCs/>
                <w:szCs w:val="18"/>
                <w:lang w:val="en-US"/>
              </w:rPr>
              <w:t>Total cash and cash equivalents</w:t>
            </w:r>
          </w:p>
        </w:tc>
        <w:tc>
          <w:tcPr>
            <w:tcW w:w="784" w:type="pct"/>
            <w:tcBorders>
              <w:top w:val="single" w:sz="4" w:space="0" w:color="auto"/>
              <w:left w:val="nil"/>
              <w:bottom w:val="single" w:sz="4" w:space="0" w:color="auto"/>
              <w:right w:val="nil"/>
            </w:tcBorders>
            <w:shd w:val="clear" w:color="auto" w:fill="FFFFFF"/>
            <w:vAlign w:val="bottom"/>
          </w:tcPr>
          <w:p w14:paraId="181B1EA9" w14:textId="77777777" w:rsidR="002215A6" w:rsidRPr="00C05614" w:rsidRDefault="002215A6" w:rsidP="002215A6">
            <w:pPr>
              <w:jc w:val="right"/>
              <w:rPr>
                <w:b/>
                <w:bCs/>
                <w:szCs w:val="18"/>
                <w:lang w:val="en-US"/>
              </w:rPr>
            </w:pPr>
            <w:r>
              <w:rPr>
                <w:b/>
                <w:bCs/>
                <w:szCs w:val="18"/>
                <w:lang w:val="en-US"/>
              </w:rPr>
              <w:t>6,333</w:t>
            </w:r>
            <w:r w:rsidRPr="000F1639">
              <w:rPr>
                <w:b/>
                <w:bCs/>
                <w:szCs w:val="18"/>
                <w:lang w:val="en-US"/>
              </w:rPr>
              <w:t xml:space="preserve"> </w:t>
            </w:r>
          </w:p>
        </w:tc>
        <w:tc>
          <w:tcPr>
            <w:tcW w:w="773" w:type="pct"/>
            <w:tcBorders>
              <w:top w:val="single" w:sz="4" w:space="0" w:color="auto"/>
              <w:left w:val="nil"/>
              <w:bottom w:val="single" w:sz="4" w:space="0" w:color="auto"/>
              <w:right w:val="nil"/>
            </w:tcBorders>
            <w:shd w:val="clear" w:color="auto" w:fill="FFFFFF"/>
            <w:noWrap/>
            <w:vAlign w:val="bottom"/>
          </w:tcPr>
          <w:p w14:paraId="63740AB1" w14:textId="77777777" w:rsidR="002215A6" w:rsidRPr="00B6422B" w:rsidRDefault="002215A6" w:rsidP="002215A6">
            <w:pPr>
              <w:jc w:val="right"/>
              <w:rPr>
                <w:bCs/>
                <w:szCs w:val="18"/>
                <w:lang w:val="en-US"/>
              </w:rPr>
            </w:pPr>
            <w:r w:rsidRPr="00B6422B">
              <w:rPr>
                <w:bCs/>
                <w:szCs w:val="18"/>
                <w:lang w:val="en-US"/>
              </w:rPr>
              <w:t xml:space="preserve">10,851 </w:t>
            </w:r>
          </w:p>
        </w:tc>
      </w:tr>
      <w:tr w:rsidR="002215A6" w:rsidRPr="00C05614" w14:paraId="2D76721C" w14:textId="77777777" w:rsidTr="002215A6">
        <w:trPr>
          <w:trHeight w:val="255"/>
        </w:trPr>
        <w:tc>
          <w:tcPr>
            <w:tcW w:w="3443" w:type="pct"/>
            <w:tcBorders>
              <w:left w:val="nil"/>
              <w:right w:val="nil"/>
            </w:tcBorders>
            <w:shd w:val="clear" w:color="auto" w:fill="FFFFFF"/>
            <w:vAlign w:val="bottom"/>
          </w:tcPr>
          <w:p w14:paraId="0893CB74" w14:textId="77777777" w:rsidR="002215A6" w:rsidRPr="00C05614" w:rsidRDefault="002215A6" w:rsidP="002215A6">
            <w:pPr>
              <w:ind w:left="34"/>
              <w:rPr>
                <w:b/>
                <w:bCs/>
                <w:szCs w:val="18"/>
                <w:lang w:val="en-US"/>
              </w:rPr>
            </w:pPr>
          </w:p>
        </w:tc>
        <w:tc>
          <w:tcPr>
            <w:tcW w:w="784" w:type="pct"/>
            <w:tcBorders>
              <w:top w:val="single" w:sz="4" w:space="0" w:color="auto"/>
              <w:left w:val="nil"/>
              <w:right w:val="nil"/>
            </w:tcBorders>
            <w:shd w:val="clear" w:color="auto" w:fill="FFFFFF"/>
            <w:vAlign w:val="bottom"/>
          </w:tcPr>
          <w:p w14:paraId="28F0C4BC" w14:textId="77777777" w:rsidR="002215A6" w:rsidRDefault="002215A6" w:rsidP="002215A6">
            <w:pPr>
              <w:jc w:val="right"/>
              <w:rPr>
                <w:b/>
                <w:bCs/>
                <w:szCs w:val="18"/>
                <w:lang w:val="en-US"/>
              </w:rPr>
            </w:pPr>
          </w:p>
        </w:tc>
        <w:tc>
          <w:tcPr>
            <w:tcW w:w="773" w:type="pct"/>
            <w:tcBorders>
              <w:top w:val="single" w:sz="4" w:space="0" w:color="auto"/>
              <w:left w:val="nil"/>
              <w:right w:val="nil"/>
            </w:tcBorders>
            <w:shd w:val="clear" w:color="auto" w:fill="FFFFFF"/>
            <w:noWrap/>
            <w:vAlign w:val="bottom"/>
          </w:tcPr>
          <w:p w14:paraId="37B81E7D" w14:textId="77777777" w:rsidR="002215A6" w:rsidRPr="0077051E" w:rsidRDefault="002215A6" w:rsidP="002215A6">
            <w:pPr>
              <w:jc w:val="right"/>
              <w:rPr>
                <w:bCs/>
                <w:szCs w:val="18"/>
                <w:lang w:val="en-US"/>
              </w:rPr>
            </w:pPr>
          </w:p>
        </w:tc>
      </w:tr>
      <w:tr w:rsidR="002215A6" w:rsidRPr="00C05614" w14:paraId="48FF0AEE" w14:textId="77777777" w:rsidTr="002215A6">
        <w:trPr>
          <w:trHeight w:val="255"/>
        </w:trPr>
        <w:tc>
          <w:tcPr>
            <w:tcW w:w="3443" w:type="pct"/>
            <w:tcBorders>
              <w:left w:val="nil"/>
              <w:bottom w:val="nil"/>
              <w:right w:val="nil"/>
            </w:tcBorders>
            <w:shd w:val="clear" w:color="auto" w:fill="FFFFFF"/>
            <w:vAlign w:val="bottom"/>
          </w:tcPr>
          <w:p w14:paraId="340467B3" w14:textId="2D89E3C1" w:rsidR="002215A6" w:rsidRPr="00496BA2" w:rsidRDefault="002215A6" w:rsidP="002215A6">
            <w:pPr>
              <w:pStyle w:val="Heading4"/>
              <w:ind w:left="34"/>
              <w:rPr>
                <w:color w:val="auto"/>
                <w:sz w:val="21"/>
                <w:szCs w:val="21"/>
                <w:lang w:val="en-US"/>
              </w:rPr>
            </w:pPr>
            <w:r w:rsidRPr="00496BA2">
              <w:rPr>
                <w:color w:val="auto"/>
                <w:sz w:val="21"/>
                <w:szCs w:val="21"/>
                <w:lang w:val="en-US"/>
              </w:rPr>
              <w:t xml:space="preserve">2.1B: Trade and Other </w:t>
            </w:r>
            <w:r w:rsidR="00DE4394">
              <w:rPr>
                <w:color w:val="auto"/>
                <w:sz w:val="21"/>
                <w:szCs w:val="21"/>
                <w:lang w:val="en-US"/>
              </w:rPr>
              <w:br/>
            </w:r>
            <w:r w:rsidRPr="00496BA2">
              <w:rPr>
                <w:color w:val="auto"/>
                <w:sz w:val="21"/>
                <w:szCs w:val="21"/>
                <w:lang w:val="en-US"/>
              </w:rPr>
              <w:t>Receivables</w:t>
            </w:r>
          </w:p>
        </w:tc>
        <w:tc>
          <w:tcPr>
            <w:tcW w:w="784" w:type="pct"/>
            <w:tcBorders>
              <w:left w:val="nil"/>
              <w:bottom w:val="nil"/>
              <w:right w:val="nil"/>
            </w:tcBorders>
            <w:shd w:val="clear" w:color="auto" w:fill="FFFFFF"/>
            <w:vAlign w:val="bottom"/>
          </w:tcPr>
          <w:p w14:paraId="280B1B77" w14:textId="77777777" w:rsidR="002215A6" w:rsidRPr="00C05614" w:rsidRDefault="002215A6" w:rsidP="002215A6">
            <w:pPr>
              <w:jc w:val="right"/>
              <w:rPr>
                <w:b/>
                <w:bCs/>
                <w:szCs w:val="18"/>
                <w:lang w:val="en-US"/>
              </w:rPr>
            </w:pPr>
          </w:p>
        </w:tc>
        <w:tc>
          <w:tcPr>
            <w:tcW w:w="773" w:type="pct"/>
            <w:tcBorders>
              <w:left w:val="nil"/>
              <w:bottom w:val="nil"/>
              <w:right w:val="nil"/>
            </w:tcBorders>
            <w:shd w:val="clear" w:color="auto" w:fill="FFFFFF"/>
            <w:noWrap/>
            <w:vAlign w:val="bottom"/>
          </w:tcPr>
          <w:p w14:paraId="4D296B1D" w14:textId="77777777" w:rsidR="002215A6" w:rsidRPr="0077051E" w:rsidRDefault="002215A6" w:rsidP="002215A6">
            <w:pPr>
              <w:jc w:val="right"/>
              <w:rPr>
                <w:bCs/>
                <w:szCs w:val="18"/>
                <w:lang w:val="en-US"/>
              </w:rPr>
            </w:pPr>
          </w:p>
        </w:tc>
      </w:tr>
      <w:tr w:rsidR="002215A6" w:rsidRPr="00C05614" w14:paraId="7A89A435" w14:textId="77777777" w:rsidTr="002215A6">
        <w:trPr>
          <w:trHeight w:val="255"/>
        </w:trPr>
        <w:tc>
          <w:tcPr>
            <w:tcW w:w="3443" w:type="pct"/>
            <w:tcBorders>
              <w:top w:val="nil"/>
              <w:left w:val="nil"/>
              <w:bottom w:val="nil"/>
              <w:right w:val="nil"/>
            </w:tcBorders>
            <w:shd w:val="clear" w:color="auto" w:fill="FFFFFF"/>
            <w:vAlign w:val="bottom"/>
          </w:tcPr>
          <w:p w14:paraId="7B532CAA" w14:textId="77777777" w:rsidR="002215A6" w:rsidRPr="00C05614" w:rsidRDefault="002215A6" w:rsidP="002215A6">
            <w:pPr>
              <w:ind w:left="34"/>
              <w:rPr>
                <w:b/>
                <w:bCs/>
                <w:szCs w:val="18"/>
                <w:lang w:val="en-US"/>
              </w:rPr>
            </w:pPr>
            <w:r>
              <w:rPr>
                <w:b/>
                <w:bCs/>
                <w:szCs w:val="18"/>
                <w:lang w:val="en-US"/>
              </w:rPr>
              <w:t>Good and s</w:t>
            </w:r>
            <w:r w:rsidRPr="00C05614">
              <w:rPr>
                <w:b/>
                <w:bCs/>
                <w:szCs w:val="18"/>
                <w:lang w:val="en-US"/>
              </w:rPr>
              <w:t>ervices</w:t>
            </w:r>
            <w:r>
              <w:rPr>
                <w:b/>
                <w:bCs/>
                <w:szCs w:val="18"/>
                <w:lang w:val="en-US"/>
              </w:rPr>
              <w:t xml:space="preserve"> receivables</w:t>
            </w:r>
            <w:r w:rsidRPr="00C05614">
              <w:rPr>
                <w:b/>
                <w:bCs/>
                <w:szCs w:val="18"/>
                <w:lang w:val="en-US"/>
              </w:rPr>
              <w:t>:</w:t>
            </w:r>
          </w:p>
        </w:tc>
        <w:tc>
          <w:tcPr>
            <w:tcW w:w="784" w:type="pct"/>
            <w:tcBorders>
              <w:top w:val="nil"/>
              <w:left w:val="nil"/>
              <w:right w:val="nil"/>
            </w:tcBorders>
            <w:shd w:val="clear" w:color="auto" w:fill="FFFFFF"/>
            <w:vAlign w:val="bottom"/>
          </w:tcPr>
          <w:p w14:paraId="40E57EA7" w14:textId="77777777" w:rsidR="002215A6" w:rsidRPr="00C05614" w:rsidRDefault="002215A6" w:rsidP="002215A6">
            <w:pPr>
              <w:jc w:val="right"/>
              <w:rPr>
                <w:b/>
                <w:bCs/>
                <w:szCs w:val="18"/>
                <w:lang w:val="en-US"/>
              </w:rPr>
            </w:pPr>
          </w:p>
        </w:tc>
        <w:tc>
          <w:tcPr>
            <w:tcW w:w="773" w:type="pct"/>
            <w:tcBorders>
              <w:top w:val="nil"/>
              <w:left w:val="nil"/>
              <w:bottom w:val="nil"/>
              <w:right w:val="nil"/>
            </w:tcBorders>
            <w:shd w:val="clear" w:color="auto" w:fill="FFFFFF"/>
            <w:noWrap/>
            <w:vAlign w:val="bottom"/>
          </w:tcPr>
          <w:p w14:paraId="3F38A11D" w14:textId="77777777" w:rsidR="002215A6" w:rsidRPr="0077051E" w:rsidRDefault="002215A6" w:rsidP="002215A6">
            <w:pPr>
              <w:jc w:val="right"/>
              <w:rPr>
                <w:bCs/>
                <w:szCs w:val="18"/>
                <w:lang w:val="en-US"/>
              </w:rPr>
            </w:pPr>
          </w:p>
        </w:tc>
      </w:tr>
      <w:tr w:rsidR="002215A6" w:rsidRPr="00C05614" w14:paraId="3EF52BFC" w14:textId="77777777" w:rsidTr="002215A6">
        <w:trPr>
          <w:trHeight w:val="255"/>
        </w:trPr>
        <w:tc>
          <w:tcPr>
            <w:tcW w:w="3443" w:type="pct"/>
            <w:tcBorders>
              <w:top w:val="nil"/>
              <w:left w:val="nil"/>
              <w:bottom w:val="nil"/>
              <w:right w:val="nil"/>
            </w:tcBorders>
            <w:vAlign w:val="bottom"/>
          </w:tcPr>
          <w:p w14:paraId="0D6D7AD2" w14:textId="77777777" w:rsidR="002215A6" w:rsidRPr="00C05614" w:rsidRDefault="002215A6" w:rsidP="002215A6">
            <w:pPr>
              <w:ind w:left="34" w:firstLineChars="200" w:firstLine="360"/>
              <w:rPr>
                <w:szCs w:val="18"/>
                <w:lang w:val="en-US"/>
              </w:rPr>
            </w:pPr>
            <w:r>
              <w:rPr>
                <w:szCs w:val="18"/>
                <w:lang w:val="en-US"/>
              </w:rPr>
              <w:t>Goods and services</w:t>
            </w:r>
          </w:p>
        </w:tc>
        <w:tc>
          <w:tcPr>
            <w:tcW w:w="784" w:type="pct"/>
            <w:tcBorders>
              <w:top w:val="nil"/>
              <w:left w:val="nil"/>
              <w:right w:val="nil"/>
            </w:tcBorders>
            <w:shd w:val="clear" w:color="auto" w:fill="auto"/>
            <w:vAlign w:val="bottom"/>
          </w:tcPr>
          <w:p w14:paraId="3C0D7D9E" w14:textId="77777777" w:rsidR="002215A6" w:rsidRPr="00C05614" w:rsidRDefault="002215A6" w:rsidP="002215A6">
            <w:pPr>
              <w:jc w:val="right"/>
              <w:rPr>
                <w:b/>
                <w:bCs/>
                <w:szCs w:val="18"/>
                <w:lang w:val="en-US"/>
              </w:rPr>
            </w:pPr>
            <w:r>
              <w:rPr>
                <w:b/>
                <w:bCs/>
                <w:szCs w:val="18"/>
                <w:lang w:val="en-US"/>
              </w:rPr>
              <w:t>1,434</w:t>
            </w:r>
            <w:r w:rsidRPr="00A65E3A">
              <w:rPr>
                <w:b/>
                <w:bCs/>
                <w:szCs w:val="18"/>
                <w:lang w:val="en-US"/>
              </w:rPr>
              <w:t xml:space="preserve"> </w:t>
            </w:r>
          </w:p>
        </w:tc>
        <w:tc>
          <w:tcPr>
            <w:tcW w:w="773" w:type="pct"/>
            <w:tcBorders>
              <w:top w:val="nil"/>
              <w:left w:val="nil"/>
              <w:bottom w:val="nil"/>
              <w:right w:val="nil"/>
            </w:tcBorders>
            <w:shd w:val="clear" w:color="auto" w:fill="FFFFFF"/>
            <w:noWrap/>
            <w:vAlign w:val="bottom"/>
          </w:tcPr>
          <w:p w14:paraId="6C98DA22" w14:textId="77777777" w:rsidR="002215A6" w:rsidRPr="00B6422B" w:rsidRDefault="002215A6" w:rsidP="002215A6">
            <w:pPr>
              <w:jc w:val="right"/>
              <w:rPr>
                <w:bCs/>
                <w:szCs w:val="18"/>
                <w:lang w:val="en-US"/>
              </w:rPr>
            </w:pPr>
            <w:r w:rsidRPr="00B6422B">
              <w:rPr>
                <w:bCs/>
                <w:szCs w:val="18"/>
                <w:lang w:val="en-US"/>
              </w:rPr>
              <w:t>1,</w:t>
            </w:r>
            <w:r>
              <w:rPr>
                <w:bCs/>
                <w:szCs w:val="18"/>
                <w:lang w:val="en-US"/>
              </w:rPr>
              <w:t>806</w:t>
            </w:r>
            <w:r w:rsidRPr="00B6422B">
              <w:rPr>
                <w:bCs/>
                <w:szCs w:val="18"/>
                <w:lang w:val="en-US"/>
              </w:rPr>
              <w:t xml:space="preserve"> </w:t>
            </w:r>
          </w:p>
        </w:tc>
      </w:tr>
      <w:tr w:rsidR="002215A6" w:rsidRPr="00C05614" w14:paraId="134A6049" w14:textId="77777777" w:rsidTr="002215A6">
        <w:trPr>
          <w:trHeight w:val="255"/>
        </w:trPr>
        <w:tc>
          <w:tcPr>
            <w:tcW w:w="3443" w:type="pct"/>
            <w:tcBorders>
              <w:top w:val="nil"/>
              <w:left w:val="nil"/>
              <w:bottom w:val="nil"/>
              <w:right w:val="nil"/>
            </w:tcBorders>
            <w:vAlign w:val="bottom"/>
          </w:tcPr>
          <w:p w14:paraId="5EA53019" w14:textId="77777777" w:rsidR="002215A6" w:rsidRPr="00C05614" w:rsidRDefault="002215A6" w:rsidP="002215A6">
            <w:pPr>
              <w:ind w:left="34"/>
              <w:rPr>
                <w:b/>
                <w:bCs/>
                <w:szCs w:val="18"/>
                <w:lang w:val="en-US"/>
              </w:rPr>
            </w:pPr>
            <w:r w:rsidRPr="00C05614">
              <w:rPr>
                <w:b/>
                <w:bCs/>
                <w:szCs w:val="18"/>
                <w:lang w:val="en-US"/>
              </w:rPr>
              <w:t>Total goods and services</w:t>
            </w:r>
            <w:r>
              <w:rPr>
                <w:b/>
                <w:bCs/>
                <w:szCs w:val="18"/>
                <w:lang w:val="en-US"/>
              </w:rPr>
              <w:t xml:space="preserve"> receivable</w:t>
            </w:r>
          </w:p>
        </w:tc>
        <w:tc>
          <w:tcPr>
            <w:tcW w:w="784" w:type="pct"/>
            <w:tcBorders>
              <w:top w:val="single" w:sz="4" w:space="0" w:color="auto"/>
              <w:left w:val="nil"/>
              <w:bottom w:val="single" w:sz="4" w:space="0" w:color="auto"/>
              <w:right w:val="nil"/>
            </w:tcBorders>
            <w:shd w:val="clear" w:color="auto" w:fill="auto"/>
            <w:vAlign w:val="bottom"/>
          </w:tcPr>
          <w:p w14:paraId="023308DA" w14:textId="77777777" w:rsidR="002215A6" w:rsidRPr="00C05614" w:rsidRDefault="002215A6" w:rsidP="002215A6">
            <w:pPr>
              <w:jc w:val="right"/>
              <w:rPr>
                <w:b/>
                <w:bCs/>
                <w:szCs w:val="18"/>
                <w:lang w:val="en-US"/>
              </w:rPr>
            </w:pPr>
            <w:r>
              <w:rPr>
                <w:b/>
                <w:bCs/>
                <w:szCs w:val="18"/>
                <w:lang w:val="en-US"/>
              </w:rPr>
              <w:t>1,434</w:t>
            </w:r>
            <w:r w:rsidRPr="00A65E3A">
              <w:rPr>
                <w:b/>
                <w:bCs/>
                <w:szCs w:val="18"/>
                <w:lang w:val="en-US"/>
              </w:rPr>
              <w:t xml:space="preserve"> </w:t>
            </w:r>
          </w:p>
        </w:tc>
        <w:tc>
          <w:tcPr>
            <w:tcW w:w="773" w:type="pct"/>
            <w:tcBorders>
              <w:top w:val="single" w:sz="4" w:space="0" w:color="auto"/>
              <w:left w:val="nil"/>
              <w:bottom w:val="single" w:sz="4" w:space="0" w:color="auto"/>
              <w:right w:val="nil"/>
            </w:tcBorders>
            <w:shd w:val="clear" w:color="auto" w:fill="FFFFFF"/>
            <w:noWrap/>
            <w:vAlign w:val="bottom"/>
          </w:tcPr>
          <w:p w14:paraId="7AE73788" w14:textId="77777777" w:rsidR="002215A6" w:rsidRPr="00B6422B" w:rsidRDefault="002215A6" w:rsidP="002215A6">
            <w:pPr>
              <w:jc w:val="right"/>
              <w:rPr>
                <w:bCs/>
                <w:szCs w:val="18"/>
                <w:lang w:val="en-US"/>
              </w:rPr>
            </w:pPr>
            <w:r w:rsidRPr="00B6422B">
              <w:rPr>
                <w:bCs/>
                <w:szCs w:val="18"/>
                <w:lang w:val="en-US"/>
              </w:rPr>
              <w:t xml:space="preserve">1,806 </w:t>
            </w:r>
          </w:p>
        </w:tc>
      </w:tr>
      <w:tr w:rsidR="002215A6" w:rsidRPr="00C05614" w14:paraId="09666598" w14:textId="77777777" w:rsidTr="002215A6">
        <w:trPr>
          <w:trHeight w:val="255"/>
        </w:trPr>
        <w:tc>
          <w:tcPr>
            <w:tcW w:w="3443" w:type="pct"/>
            <w:tcBorders>
              <w:top w:val="nil"/>
              <w:left w:val="nil"/>
              <w:bottom w:val="nil"/>
              <w:right w:val="nil"/>
            </w:tcBorders>
            <w:vAlign w:val="bottom"/>
          </w:tcPr>
          <w:p w14:paraId="275C8F16" w14:textId="77777777" w:rsidR="002215A6" w:rsidRPr="00C05614" w:rsidRDefault="002215A6" w:rsidP="002215A6">
            <w:pPr>
              <w:ind w:left="34"/>
              <w:rPr>
                <w:b/>
                <w:bCs/>
                <w:szCs w:val="18"/>
                <w:lang w:val="en-US"/>
              </w:rPr>
            </w:pPr>
            <w:r w:rsidRPr="00C05614">
              <w:rPr>
                <w:b/>
                <w:bCs/>
                <w:szCs w:val="18"/>
                <w:lang w:val="en-US"/>
              </w:rPr>
              <w:t>Other receivables:</w:t>
            </w:r>
          </w:p>
        </w:tc>
        <w:tc>
          <w:tcPr>
            <w:tcW w:w="784" w:type="pct"/>
            <w:tcBorders>
              <w:top w:val="nil"/>
              <w:left w:val="nil"/>
              <w:bottom w:val="nil"/>
              <w:right w:val="nil"/>
            </w:tcBorders>
            <w:shd w:val="clear" w:color="auto" w:fill="auto"/>
            <w:vAlign w:val="bottom"/>
          </w:tcPr>
          <w:p w14:paraId="24EA0C2C" w14:textId="77777777" w:rsidR="002215A6" w:rsidRPr="00C05614" w:rsidRDefault="002215A6" w:rsidP="002215A6">
            <w:pPr>
              <w:jc w:val="right"/>
              <w:rPr>
                <w:b/>
                <w:bCs/>
                <w:szCs w:val="18"/>
                <w:lang w:val="en-US"/>
              </w:rPr>
            </w:pPr>
          </w:p>
        </w:tc>
        <w:tc>
          <w:tcPr>
            <w:tcW w:w="773" w:type="pct"/>
            <w:tcBorders>
              <w:top w:val="nil"/>
              <w:left w:val="nil"/>
              <w:bottom w:val="nil"/>
              <w:right w:val="nil"/>
            </w:tcBorders>
            <w:shd w:val="clear" w:color="auto" w:fill="FFFFFF"/>
            <w:noWrap/>
            <w:vAlign w:val="bottom"/>
          </w:tcPr>
          <w:p w14:paraId="41E1AAE8" w14:textId="77777777" w:rsidR="002215A6" w:rsidRPr="00B6422B" w:rsidRDefault="002215A6" w:rsidP="002215A6">
            <w:pPr>
              <w:jc w:val="right"/>
              <w:rPr>
                <w:bCs/>
                <w:szCs w:val="18"/>
                <w:lang w:val="en-US"/>
              </w:rPr>
            </w:pPr>
          </w:p>
        </w:tc>
      </w:tr>
      <w:tr w:rsidR="002215A6" w:rsidRPr="00C05614" w14:paraId="5CD2AAF1" w14:textId="77777777" w:rsidTr="002215A6">
        <w:trPr>
          <w:trHeight w:val="255"/>
        </w:trPr>
        <w:tc>
          <w:tcPr>
            <w:tcW w:w="3443" w:type="pct"/>
            <w:tcBorders>
              <w:top w:val="nil"/>
              <w:left w:val="nil"/>
              <w:bottom w:val="nil"/>
              <w:right w:val="nil"/>
            </w:tcBorders>
            <w:vAlign w:val="bottom"/>
          </w:tcPr>
          <w:p w14:paraId="38542D7E" w14:textId="77777777" w:rsidR="002215A6" w:rsidRPr="00C05614" w:rsidRDefault="002215A6" w:rsidP="002215A6">
            <w:pPr>
              <w:ind w:left="34" w:firstLineChars="200" w:firstLine="360"/>
              <w:rPr>
                <w:szCs w:val="18"/>
                <w:lang w:val="en-US"/>
              </w:rPr>
            </w:pPr>
            <w:r>
              <w:rPr>
                <w:szCs w:val="18"/>
                <w:lang w:val="en-US"/>
              </w:rPr>
              <w:t>R</w:t>
            </w:r>
            <w:r w:rsidRPr="00C05614">
              <w:rPr>
                <w:szCs w:val="18"/>
                <w:lang w:val="en-US"/>
              </w:rPr>
              <w:t>eceivable from the Australian Taxation Office</w:t>
            </w:r>
          </w:p>
        </w:tc>
        <w:tc>
          <w:tcPr>
            <w:tcW w:w="784" w:type="pct"/>
            <w:tcBorders>
              <w:top w:val="nil"/>
              <w:left w:val="nil"/>
              <w:bottom w:val="nil"/>
              <w:right w:val="nil"/>
            </w:tcBorders>
            <w:shd w:val="clear" w:color="auto" w:fill="auto"/>
            <w:vAlign w:val="bottom"/>
          </w:tcPr>
          <w:p w14:paraId="10621A3C" w14:textId="77777777" w:rsidR="002215A6" w:rsidRPr="00C05614" w:rsidRDefault="002215A6" w:rsidP="002215A6">
            <w:pPr>
              <w:jc w:val="right"/>
              <w:rPr>
                <w:b/>
                <w:bCs/>
                <w:szCs w:val="18"/>
                <w:lang w:val="en-US"/>
              </w:rPr>
            </w:pPr>
            <w:r>
              <w:rPr>
                <w:b/>
                <w:bCs/>
                <w:szCs w:val="18"/>
                <w:lang w:val="en-US"/>
              </w:rPr>
              <w:t>410</w:t>
            </w:r>
            <w:r w:rsidRPr="00A65E3A">
              <w:rPr>
                <w:b/>
                <w:bCs/>
                <w:szCs w:val="18"/>
                <w:lang w:val="en-US"/>
              </w:rPr>
              <w:t xml:space="preserve"> </w:t>
            </w:r>
          </w:p>
        </w:tc>
        <w:tc>
          <w:tcPr>
            <w:tcW w:w="773" w:type="pct"/>
            <w:tcBorders>
              <w:top w:val="nil"/>
              <w:left w:val="nil"/>
              <w:bottom w:val="nil"/>
              <w:right w:val="nil"/>
            </w:tcBorders>
            <w:shd w:val="clear" w:color="auto" w:fill="FFFFFF"/>
            <w:noWrap/>
            <w:vAlign w:val="bottom"/>
          </w:tcPr>
          <w:p w14:paraId="1E953303" w14:textId="77777777" w:rsidR="002215A6" w:rsidRPr="00B6422B" w:rsidRDefault="002215A6" w:rsidP="002215A6">
            <w:pPr>
              <w:jc w:val="right"/>
              <w:rPr>
                <w:bCs/>
                <w:szCs w:val="18"/>
                <w:lang w:val="en-US"/>
              </w:rPr>
            </w:pPr>
            <w:r w:rsidRPr="00B6422B">
              <w:rPr>
                <w:bCs/>
                <w:szCs w:val="18"/>
                <w:lang w:val="en-US"/>
              </w:rPr>
              <w:t xml:space="preserve">320 </w:t>
            </w:r>
          </w:p>
        </w:tc>
      </w:tr>
      <w:tr w:rsidR="002215A6" w:rsidRPr="00C05614" w14:paraId="56CBE72A" w14:textId="77777777" w:rsidTr="002215A6">
        <w:trPr>
          <w:trHeight w:val="255"/>
        </w:trPr>
        <w:tc>
          <w:tcPr>
            <w:tcW w:w="3443" w:type="pct"/>
            <w:tcBorders>
              <w:top w:val="nil"/>
              <w:left w:val="nil"/>
              <w:bottom w:val="nil"/>
              <w:right w:val="nil"/>
            </w:tcBorders>
            <w:vAlign w:val="bottom"/>
          </w:tcPr>
          <w:p w14:paraId="18F4C9E0" w14:textId="77777777" w:rsidR="002215A6" w:rsidRPr="00C05614" w:rsidRDefault="002215A6" w:rsidP="002215A6">
            <w:pPr>
              <w:ind w:left="34" w:firstLineChars="200" w:firstLine="360"/>
              <w:rPr>
                <w:szCs w:val="18"/>
                <w:lang w:val="en-US"/>
              </w:rPr>
            </w:pPr>
            <w:r w:rsidRPr="00C05614">
              <w:rPr>
                <w:szCs w:val="18"/>
                <w:lang w:val="en-US"/>
              </w:rPr>
              <w:t xml:space="preserve">Interest </w:t>
            </w:r>
          </w:p>
        </w:tc>
        <w:tc>
          <w:tcPr>
            <w:tcW w:w="784" w:type="pct"/>
            <w:tcBorders>
              <w:top w:val="nil"/>
              <w:left w:val="nil"/>
              <w:bottom w:val="nil"/>
              <w:right w:val="nil"/>
            </w:tcBorders>
            <w:shd w:val="clear" w:color="auto" w:fill="auto"/>
            <w:vAlign w:val="bottom"/>
          </w:tcPr>
          <w:p w14:paraId="01F1668D" w14:textId="77777777" w:rsidR="002215A6" w:rsidRPr="00C05614" w:rsidRDefault="002215A6" w:rsidP="002215A6">
            <w:pPr>
              <w:jc w:val="right"/>
              <w:rPr>
                <w:b/>
                <w:bCs/>
                <w:szCs w:val="18"/>
                <w:lang w:val="en-US"/>
              </w:rPr>
            </w:pPr>
            <w:r>
              <w:rPr>
                <w:b/>
                <w:bCs/>
                <w:szCs w:val="18"/>
                <w:lang w:val="en-US"/>
              </w:rPr>
              <w:t>14</w:t>
            </w:r>
            <w:r w:rsidRPr="00A65E3A">
              <w:rPr>
                <w:b/>
                <w:bCs/>
                <w:szCs w:val="18"/>
                <w:lang w:val="en-US"/>
              </w:rPr>
              <w:t xml:space="preserve"> </w:t>
            </w:r>
          </w:p>
        </w:tc>
        <w:tc>
          <w:tcPr>
            <w:tcW w:w="773" w:type="pct"/>
            <w:tcBorders>
              <w:top w:val="nil"/>
              <w:left w:val="nil"/>
              <w:bottom w:val="nil"/>
              <w:right w:val="nil"/>
            </w:tcBorders>
            <w:shd w:val="clear" w:color="auto" w:fill="FFFFFF"/>
            <w:noWrap/>
            <w:vAlign w:val="bottom"/>
          </w:tcPr>
          <w:p w14:paraId="24F7F056" w14:textId="77777777" w:rsidR="002215A6" w:rsidRPr="00B6422B" w:rsidRDefault="002215A6" w:rsidP="002215A6">
            <w:pPr>
              <w:jc w:val="right"/>
              <w:rPr>
                <w:bCs/>
                <w:szCs w:val="18"/>
                <w:lang w:val="en-US"/>
              </w:rPr>
            </w:pPr>
            <w:r w:rsidRPr="00B6422B">
              <w:rPr>
                <w:bCs/>
                <w:szCs w:val="18"/>
                <w:lang w:val="en-US"/>
              </w:rPr>
              <w:t xml:space="preserve">47 </w:t>
            </w:r>
          </w:p>
        </w:tc>
      </w:tr>
      <w:tr w:rsidR="002215A6" w:rsidRPr="00C05614" w14:paraId="173607F2" w14:textId="77777777" w:rsidTr="002215A6">
        <w:trPr>
          <w:trHeight w:val="255"/>
        </w:trPr>
        <w:tc>
          <w:tcPr>
            <w:tcW w:w="3443" w:type="pct"/>
            <w:tcBorders>
              <w:top w:val="nil"/>
              <w:left w:val="nil"/>
              <w:bottom w:val="nil"/>
              <w:right w:val="nil"/>
            </w:tcBorders>
            <w:vAlign w:val="bottom"/>
          </w:tcPr>
          <w:p w14:paraId="67701185" w14:textId="77777777" w:rsidR="002215A6" w:rsidRPr="00C05614" w:rsidRDefault="002215A6" w:rsidP="002215A6">
            <w:pPr>
              <w:ind w:left="34" w:firstLineChars="200" w:firstLine="360"/>
              <w:rPr>
                <w:szCs w:val="18"/>
                <w:lang w:val="en-US"/>
              </w:rPr>
            </w:pPr>
            <w:r>
              <w:rPr>
                <w:szCs w:val="18"/>
                <w:lang w:val="en-US"/>
              </w:rPr>
              <w:t>Other</w:t>
            </w:r>
          </w:p>
        </w:tc>
        <w:tc>
          <w:tcPr>
            <w:tcW w:w="784" w:type="pct"/>
            <w:tcBorders>
              <w:top w:val="nil"/>
              <w:left w:val="nil"/>
              <w:bottom w:val="nil"/>
              <w:right w:val="nil"/>
            </w:tcBorders>
            <w:shd w:val="clear" w:color="auto" w:fill="auto"/>
            <w:vAlign w:val="bottom"/>
          </w:tcPr>
          <w:p w14:paraId="515CFE4C" w14:textId="77777777" w:rsidR="002215A6" w:rsidRDefault="002215A6" w:rsidP="002215A6">
            <w:pPr>
              <w:jc w:val="right"/>
              <w:rPr>
                <w:b/>
                <w:bCs/>
                <w:szCs w:val="18"/>
                <w:lang w:val="en-US"/>
              </w:rPr>
            </w:pPr>
            <w:r>
              <w:rPr>
                <w:b/>
                <w:bCs/>
                <w:szCs w:val="18"/>
                <w:lang w:val="en-US"/>
              </w:rPr>
              <w:t>-</w:t>
            </w:r>
          </w:p>
        </w:tc>
        <w:tc>
          <w:tcPr>
            <w:tcW w:w="773" w:type="pct"/>
            <w:tcBorders>
              <w:top w:val="nil"/>
              <w:left w:val="nil"/>
              <w:bottom w:val="nil"/>
              <w:right w:val="nil"/>
            </w:tcBorders>
            <w:shd w:val="clear" w:color="auto" w:fill="FFFFFF"/>
            <w:noWrap/>
            <w:vAlign w:val="bottom"/>
          </w:tcPr>
          <w:p w14:paraId="7794816C" w14:textId="77777777" w:rsidR="002215A6" w:rsidRPr="00B6422B" w:rsidRDefault="002215A6" w:rsidP="002215A6">
            <w:pPr>
              <w:jc w:val="right"/>
              <w:rPr>
                <w:bCs/>
                <w:szCs w:val="18"/>
                <w:lang w:val="en-US"/>
              </w:rPr>
            </w:pPr>
            <w:r w:rsidRPr="00B6422B">
              <w:rPr>
                <w:bCs/>
                <w:szCs w:val="18"/>
                <w:lang w:val="en-US"/>
              </w:rPr>
              <w:t>9</w:t>
            </w:r>
          </w:p>
        </w:tc>
      </w:tr>
      <w:tr w:rsidR="002215A6" w:rsidRPr="00C05614" w14:paraId="0E0F5C34" w14:textId="77777777" w:rsidTr="002215A6">
        <w:trPr>
          <w:trHeight w:val="255"/>
        </w:trPr>
        <w:tc>
          <w:tcPr>
            <w:tcW w:w="3443" w:type="pct"/>
            <w:tcBorders>
              <w:top w:val="nil"/>
              <w:left w:val="nil"/>
              <w:bottom w:val="nil"/>
              <w:right w:val="nil"/>
            </w:tcBorders>
            <w:vAlign w:val="bottom"/>
          </w:tcPr>
          <w:p w14:paraId="0EDB7E32" w14:textId="77777777" w:rsidR="002215A6" w:rsidRPr="00C05614" w:rsidRDefault="002215A6" w:rsidP="002215A6">
            <w:pPr>
              <w:ind w:left="34"/>
              <w:rPr>
                <w:b/>
                <w:bCs/>
                <w:szCs w:val="18"/>
                <w:lang w:val="en-US"/>
              </w:rPr>
            </w:pPr>
            <w:r w:rsidRPr="00C05614">
              <w:rPr>
                <w:b/>
                <w:bCs/>
                <w:szCs w:val="18"/>
                <w:lang w:val="en-US"/>
              </w:rPr>
              <w:t>Total other receivables</w:t>
            </w:r>
          </w:p>
        </w:tc>
        <w:tc>
          <w:tcPr>
            <w:tcW w:w="784" w:type="pct"/>
            <w:tcBorders>
              <w:top w:val="single" w:sz="4" w:space="0" w:color="auto"/>
              <w:left w:val="nil"/>
              <w:bottom w:val="single" w:sz="4" w:space="0" w:color="auto"/>
              <w:right w:val="nil"/>
            </w:tcBorders>
            <w:shd w:val="clear" w:color="auto" w:fill="auto"/>
            <w:vAlign w:val="bottom"/>
          </w:tcPr>
          <w:p w14:paraId="15850F3F" w14:textId="77777777" w:rsidR="002215A6" w:rsidRPr="00C05614" w:rsidRDefault="002215A6" w:rsidP="002215A6">
            <w:pPr>
              <w:jc w:val="right"/>
              <w:rPr>
                <w:b/>
                <w:bCs/>
                <w:szCs w:val="18"/>
                <w:lang w:val="en-US"/>
              </w:rPr>
            </w:pPr>
            <w:r>
              <w:rPr>
                <w:b/>
                <w:bCs/>
                <w:szCs w:val="18"/>
                <w:lang w:val="en-US"/>
              </w:rPr>
              <w:t>424</w:t>
            </w:r>
            <w:r w:rsidRPr="00A65E3A">
              <w:rPr>
                <w:b/>
                <w:bCs/>
                <w:szCs w:val="18"/>
                <w:lang w:val="en-US"/>
              </w:rPr>
              <w:t xml:space="preserve"> </w:t>
            </w:r>
          </w:p>
        </w:tc>
        <w:tc>
          <w:tcPr>
            <w:tcW w:w="773" w:type="pct"/>
            <w:tcBorders>
              <w:top w:val="single" w:sz="4" w:space="0" w:color="auto"/>
              <w:left w:val="nil"/>
              <w:bottom w:val="single" w:sz="4" w:space="0" w:color="auto"/>
              <w:right w:val="nil"/>
            </w:tcBorders>
            <w:shd w:val="clear" w:color="auto" w:fill="FFFFFF"/>
            <w:noWrap/>
            <w:vAlign w:val="bottom"/>
          </w:tcPr>
          <w:p w14:paraId="2CA69784" w14:textId="77777777" w:rsidR="002215A6" w:rsidRPr="00B6422B" w:rsidRDefault="002215A6" w:rsidP="002215A6">
            <w:pPr>
              <w:jc w:val="right"/>
              <w:rPr>
                <w:bCs/>
                <w:szCs w:val="18"/>
                <w:lang w:val="en-US"/>
              </w:rPr>
            </w:pPr>
            <w:r w:rsidRPr="00B6422B">
              <w:rPr>
                <w:bCs/>
                <w:szCs w:val="18"/>
                <w:lang w:val="en-US"/>
              </w:rPr>
              <w:t xml:space="preserve">376 </w:t>
            </w:r>
          </w:p>
        </w:tc>
      </w:tr>
      <w:tr w:rsidR="002215A6" w:rsidRPr="00C05614" w14:paraId="19C6A7BC" w14:textId="77777777" w:rsidTr="002215A6">
        <w:trPr>
          <w:trHeight w:val="255"/>
        </w:trPr>
        <w:tc>
          <w:tcPr>
            <w:tcW w:w="3443" w:type="pct"/>
            <w:tcBorders>
              <w:top w:val="nil"/>
              <w:left w:val="nil"/>
              <w:bottom w:val="nil"/>
              <w:right w:val="nil"/>
            </w:tcBorders>
            <w:vAlign w:val="bottom"/>
          </w:tcPr>
          <w:p w14:paraId="7E50E1AC" w14:textId="77777777" w:rsidR="002215A6" w:rsidRPr="00C05614" w:rsidRDefault="002215A6" w:rsidP="002215A6">
            <w:pPr>
              <w:ind w:left="34"/>
              <w:rPr>
                <w:b/>
                <w:bCs/>
                <w:szCs w:val="18"/>
                <w:lang w:val="en-US"/>
              </w:rPr>
            </w:pPr>
            <w:r w:rsidRPr="00C05614">
              <w:rPr>
                <w:b/>
                <w:bCs/>
                <w:szCs w:val="18"/>
                <w:lang w:val="en-US"/>
              </w:rPr>
              <w:t>Total trade and other receivables (gross)</w:t>
            </w:r>
          </w:p>
        </w:tc>
        <w:tc>
          <w:tcPr>
            <w:tcW w:w="784" w:type="pct"/>
            <w:tcBorders>
              <w:top w:val="single" w:sz="4" w:space="0" w:color="auto"/>
              <w:left w:val="nil"/>
              <w:bottom w:val="single" w:sz="4" w:space="0" w:color="auto"/>
              <w:right w:val="nil"/>
            </w:tcBorders>
            <w:shd w:val="clear" w:color="auto" w:fill="auto"/>
            <w:vAlign w:val="bottom"/>
          </w:tcPr>
          <w:p w14:paraId="7FEE78D2" w14:textId="77777777" w:rsidR="002215A6" w:rsidRPr="00C05614" w:rsidRDefault="002215A6" w:rsidP="002215A6">
            <w:pPr>
              <w:jc w:val="right"/>
              <w:rPr>
                <w:b/>
                <w:bCs/>
                <w:szCs w:val="18"/>
                <w:lang w:val="en-US"/>
              </w:rPr>
            </w:pPr>
            <w:r>
              <w:rPr>
                <w:b/>
                <w:bCs/>
                <w:szCs w:val="18"/>
                <w:lang w:val="en-US"/>
              </w:rPr>
              <w:t>1,858</w:t>
            </w:r>
            <w:r w:rsidRPr="00A65E3A">
              <w:rPr>
                <w:b/>
                <w:bCs/>
                <w:szCs w:val="18"/>
                <w:lang w:val="en-US"/>
              </w:rPr>
              <w:t xml:space="preserve"> </w:t>
            </w:r>
          </w:p>
        </w:tc>
        <w:tc>
          <w:tcPr>
            <w:tcW w:w="773" w:type="pct"/>
            <w:tcBorders>
              <w:top w:val="nil"/>
              <w:left w:val="nil"/>
              <w:bottom w:val="single" w:sz="4" w:space="0" w:color="auto"/>
              <w:right w:val="nil"/>
            </w:tcBorders>
            <w:shd w:val="clear" w:color="auto" w:fill="FFFFFF"/>
            <w:noWrap/>
            <w:vAlign w:val="bottom"/>
          </w:tcPr>
          <w:p w14:paraId="7A9DFB82" w14:textId="77777777" w:rsidR="002215A6" w:rsidRPr="00B6422B" w:rsidRDefault="002215A6" w:rsidP="002215A6">
            <w:pPr>
              <w:jc w:val="right"/>
              <w:rPr>
                <w:bCs/>
                <w:szCs w:val="18"/>
                <w:lang w:val="en-US"/>
              </w:rPr>
            </w:pPr>
            <w:r w:rsidRPr="00B6422B">
              <w:rPr>
                <w:bCs/>
                <w:szCs w:val="18"/>
                <w:lang w:val="en-US"/>
              </w:rPr>
              <w:t xml:space="preserve">2,182 </w:t>
            </w:r>
          </w:p>
        </w:tc>
      </w:tr>
      <w:tr w:rsidR="002215A6" w:rsidRPr="00C05614" w14:paraId="038B7B2B" w14:textId="77777777" w:rsidTr="002215A6">
        <w:trPr>
          <w:trHeight w:val="255"/>
        </w:trPr>
        <w:tc>
          <w:tcPr>
            <w:tcW w:w="3443" w:type="pct"/>
            <w:tcBorders>
              <w:top w:val="nil"/>
              <w:left w:val="nil"/>
              <w:bottom w:val="nil"/>
              <w:right w:val="nil"/>
            </w:tcBorders>
            <w:shd w:val="clear" w:color="auto" w:fill="FFFFFF"/>
            <w:vAlign w:val="bottom"/>
          </w:tcPr>
          <w:p w14:paraId="751D945C" w14:textId="77777777" w:rsidR="002215A6" w:rsidRPr="00C05614" w:rsidRDefault="002215A6" w:rsidP="002215A6">
            <w:pPr>
              <w:ind w:left="34"/>
              <w:rPr>
                <w:b/>
                <w:bCs/>
                <w:szCs w:val="18"/>
                <w:lang w:val="en-US"/>
              </w:rPr>
            </w:pPr>
            <w:r w:rsidRPr="00C05614">
              <w:rPr>
                <w:b/>
                <w:bCs/>
                <w:szCs w:val="18"/>
                <w:lang w:val="en-US"/>
              </w:rPr>
              <w:t>Total trade and other receivables (net)</w:t>
            </w:r>
          </w:p>
        </w:tc>
        <w:tc>
          <w:tcPr>
            <w:tcW w:w="784" w:type="pct"/>
            <w:tcBorders>
              <w:top w:val="single" w:sz="4" w:space="0" w:color="auto"/>
              <w:left w:val="nil"/>
              <w:bottom w:val="single" w:sz="4" w:space="0" w:color="auto"/>
              <w:right w:val="nil"/>
            </w:tcBorders>
            <w:shd w:val="clear" w:color="auto" w:fill="FFFFFF"/>
            <w:vAlign w:val="bottom"/>
          </w:tcPr>
          <w:p w14:paraId="0AD18F0D" w14:textId="77777777" w:rsidR="002215A6" w:rsidRPr="00C05614" w:rsidRDefault="002215A6" w:rsidP="002215A6">
            <w:pPr>
              <w:jc w:val="right"/>
              <w:rPr>
                <w:b/>
                <w:bCs/>
                <w:szCs w:val="18"/>
                <w:lang w:val="en-US"/>
              </w:rPr>
            </w:pPr>
            <w:r>
              <w:rPr>
                <w:b/>
                <w:bCs/>
                <w:szCs w:val="18"/>
                <w:lang w:val="en-US"/>
              </w:rPr>
              <w:t>1,858</w:t>
            </w:r>
            <w:r w:rsidRPr="00A65E3A">
              <w:rPr>
                <w:b/>
                <w:bCs/>
                <w:szCs w:val="18"/>
                <w:lang w:val="en-US"/>
              </w:rPr>
              <w:t xml:space="preserve"> </w:t>
            </w:r>
          </w:p>
        </w:tc>
        <w:tc>
          <w:tcPr>
            <w:tcW w:w="773" w:type="pct"/>
            <w:tcBorders>
              <w:top w:val="single" w:sz="4" w:space="0" w:color="auto"/>
              <w:left w:val="nil"/>
              <w:bottom w:val="single" w:sz="4" w:space="0" w:color="auto"/>
              <w:right w:val="nil"/>
            </w:tcBorders>
            <w:shd w:val="clear" w:color="auto" w:fill="FFFFFF"/>
            <w:noWrap/>
            <w:vAlign w:val="bottom"/>
          </w:tcPr>
          <w:p w14:paraId="2469A27E" w14:textId="77777777" w:rsidR="002215A6" w:rsidRPr="00B6422B" w:rsidRDefault="002215A6" w:rsidP="002215A6">
            <w:pPr>
              <w:jc w:val="right"/>
              <w:rPr>
                <w:bCs/>
                <w:szCs w:val="18"/>
                <w:lang w:val="en-US"/>
              </w:rPr>
            </w:pPr>
            <w:r w:rsidRPr="00B6422B">
              <w:rPr>
                <w:bCs/>
                <w:szCs w:val="18"/>
                <w:lang w:val="en-US"/>
              </w:rPr>
              <w:t xml:space="preserve">2,182 </w:t>
            </w:r>
          </w:p>
        </w:tc>
      </w:tr>
      <w:tr w:rsidR="002215A6" w:rsidRPr="00C05614" w14:paraId="44D2A59E" w14:textId="77777777" w:rsidTr="002215A6">
        <w:trPr>
          <w:trHeight w:val="255"/>
        </w:trPr>
        <w:tc>
          <w:tcPr>
            <w:tcW w:w="3443" w:type="pct"/>
            <w:tcBorders>
              <w:top w:val="nil"/>
              <w:left w:val="nil"/>
              <w:right w:val="nil"/>
            </w:tcBorders>
            <w:shd w:val="clear" w:color="auto" w:fill="FFFFFF"/>
            <w:vAlign w:val="bottom"/>
          </w:tcPr>
          <w:p w14:paraId="1900C75D" w14:textId="42FA7F29" w:rsidR="002215A6" w:rsidRPr="00C05614" w:rsidRDefault="002215A6" w:rsidP="002215A6">
            <w:pPr>
              <w:ind w:left="34"/>
              <w:rPr>
                <w:szCs w:val="18"/>
                <w:lang w:val="en-US"/>
              </w:rPr>
            </w:pPr>
            <w:r w:rsidRPr="00C05614">
              <w:rPr>
                <w:szCs w:val="18"/>
                <w:lang w:val="en-US"/>
              </w:rPr>
              <w:t xml:space="preserve">No receivables were impaired at 30 June </w:t>
            </w:r>
            <w:r>
              <w:rPr>
                <w:szCs w:val="18"/>
                <w:lang w:val="en-US"/>
              </w:rPr>
              <w:t>2017</w:t>
            </w:r>
            <w:r w:rsidRPr="00C05614">
              <w:rPr>
                <w:szCs w:val="18"/>
                <w:lang w:val="en-US"/>
              </w:rPr>
              <w:t xml:space="preserve"> (</w:t>
            </w:r>
            <w:r>
              <w:rPr>
                <w:szCs w:val="18"/>
                <w:lang w:val="en-US"/>
              </w:rPr>
              <w:t>2016</w:t>
            </w:r>
            <w:r w:rsidRPr="00C05614">
              <w:rPr>
                <w:szCs w:val="18"/>
                <w:lang w:val="en-US"/>
              </w:rPr>
              <w:t xml:space="preserve">: </w:t>
            </w:r>
            <w:r w:rsidR="00DE4394">
              <w:rPr>
                <w:szCs w:val="18"/>
                <w:lang w:val="en-US"/>
              </w:rPr>
              <w:br/>
            </w:r>
            <w:r w:rsidRPr="00C05614">
              <w:rPr>
                <w:szCs w:val="18"/>
                <w:lang w:val="en-US"/>
              </w:rPr>
              <w:t>Nil).</w:t>
            </w:r>
          </w:p>
        </w:tc>
        <w:tc>
          <w:tcPr>
            <w:tcW w:w="784" w:type="pct"/>
            <w:tcBorders>
              <w:top w:val="nil"/>
              <w:left w:val="nil"/>
              <w:right w:val="nil"/>
            </w:tcBorders>
            <w:shd w:val="clear" w:color="auto" w:fill="FFFFFF"/>
          </w:tcPr>
          <w:p w14:paraId="4DECEABD" w14:textId="77777777" w:rsidR="002215A6" w:rsidRPr="00C05614" w:rsidRDefault="002215A6" w:rsidP="002215A6">
            <w:pPr>
              <w:rPr>
                <w:b/>
                <w:bCs/>
                <w:i/>
                <w:iCs/>
                <w:szCs w:val="18"/>
                <w:lang w:val="en-US"/>
              </w:rPr>
            </w:pPr>
            <w:r w:rsidRPr="00C05614">
              <w:rPr>
                <w:b/>
                <w:bCs/>
                <w:i/>
                <w:iCs/>
                <w:szCs w:val="18"/>
                <w:lang w:val="en-US"/>
              </w:rPr>
              <w:t> </w:t>
            </w:r>
          </w:p>
        </w:tc>
        <w:tc>
          <w:tcPr>
            <w:tcW w:w="773" w:type="pct"/>
            <w:tcBorders>
              <w:top w:val="nil"/>
              <w:left w:val="nil"/>
              <w:right w:val="nil"/>
            </w:tcBorders>
            <w:shd w:val="clear" w:color="auto" w:fill="FFFFFF"/>
            <w:noWrap/>
            <w:vAlign w:val="bottom"/>
          </w:tcPr>
          <w:p w14:paraId="14F63818" w14:textId="77777777" w:rsidR="002215A6" w:rsidRPr="00C05614" w:rsidRDefault="002215A6" w:rsidP="002215A6">
            <w:pPr>
              <w:jc w:val="right"/>
              <w:rPr>
                <w:b/>
                <w:bCs/>
                <w:szCs w:val="18"/>
                <w:lang w:val="en-US"/>
              </w:rPr>
            </w:pPr>
            <w:r w:rsidRPr="00C05614">
              <w:rPr>
                <w:b/>
                <w:bCs/>
                <w:szCs w:val="18"/>
                <w:lang w:val="en-US"/>
              </w:rPr>
              <w:t> </w:t>
            </w:r>
          </w:p>
        </w:tc>
      </w:tr>
      <w:tr w:rsidR="002215A6" w:rsidRPr="00C05614" w14:paraId="5D8C7587" w14:textId="77777777" w:rsidTr="002215A6">
        <w:trPr>
          <w:trHeight w:val="255"/>
        </w:trPr>
        <w:tc>
          <w:tcPr>
            <w:tcW w:w="3443" w:type="pct"/>
            <w:tcBorders>
              <w:top w:val="nil"/>
              <w:left w:val="nil"/>
              <w:bottom w:val="single" w:sz="4" w:space="0" w:color="auto"/>
              <w:right w:val="nil"/>
            </w:tcBorders>
            <w:shd w:val="clear" w:color="auto" w:fill="FFFFFF"/>
            <w:vAlign w:val="bottom"/>
          </w:tcPr>
          <w:p w14:paraId="60288161" w14:textId="77777777" w:rsidR="002215A6" w:rsidRPr="00C05614" w:rsidRDefault="002215A6" w:rsidP="002215A6">
            <w:pPr>
              <w:ind w:left="34"/>
              <w:rPr>
                <w:szCs w:val="18"/>
                <w:lang w:val="en-US"/>
              </w:rPr>
            </w:pPr>
          </w:p>
        </w:tc>
        <w:tc>
          <w:tcPr>
            <w:tcW w:w="784" w:type="pct"/>
            <w:tcBorders>
              <w:top w:val="nil"/>
              <w:left w:val="nil"/>
              <w:bottom w:val="single" w:sz="4" w:space="0" w:color="auto"/>
              <w:right w:val="nil"/>
            </w:tcBorders>
            <w:shd w:val="clear" w:color="auto" w:fill="FFFFFF"/>
          </w:tcPr>
          <w:p w14:paraId="0CF83E0F" w14:textId="77777777" w:rsidR="002215A6" w:rsidRPr="00C05614" w:rsidRDefault="002215A6" w:rsidP="002215A6">
            <w:pPr>
              <w:rPr>
                <w:b/>
                <w:bCs/>
                <w:i/>
                <w:iCs/>
                <w:szCs w:val="18"/>
                <w:lang w:val="en-US"/>
              </w:rPr>
            </w:pPr>
          </w:p>
        </w:tc>
        <w:tc>
          <w:tcPr>
            <w:tcW w:w="773" w:type="pct"/>
            <w:tcBorders>
              <w:top w:val="nil"/>
              <w:left w:val="nil"/>
              <w:bottom w:val="single" w:sz="4" w:space="0" w:color="auto"/>
              <w:right w:val="nil"/>
            </w:tcBorders>
            <w:shd w:val="clear" w:color="auto" w:fill="FFFFFF"/>
            <w:noWrap/>
            <w:vAlign w:val="bottom"/>
          </w:tcPr>
          <w:p w14:paraId="2A71746E" w14:textId="77777777" w:rsidR="002215A6" w:rsidRPr="00C05614" w:rsidRDefault="002215A6" w:rsidP="002215A6">
            <w:pPr>
              <w:jc w:val="right"/>
              <w:rPr>
                <w:b/>
                <w:bCs/>
                <w:szCs w:val="18"/>
                <w:lang w:val="en-US"/>
              </w:rPr>
            </w:pPr>
          </w:p>
        </w:tc>
      </w:tr>
      <w:tr w:rsidR="002215A6" w:rsidRPr="00C05614" w14:paraId="2D63B476" w14:textId="77777777" w:rsidTr="002215A6">
        <w:trPr>
          <w:trHeight w:val="255"/>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14:paraId="7085A683" w14:textId="77777777" w:rsidR="002215A6" w:rsidRDefault="002215A6" w:rsidP="002215A6">
            <w:pPr>
              <w:rPr>
                <w:b/>
                <w:szCs w:val="18"/>
                <w:lang w:val="en-US"/>
              </w:rPr>
            </w:pPr>
            <w:r>
              <w:rPr>
                <w:b/>
                <w:szCs w:val="18"/>
                <w:lang w:val="en-US"/>
              </w:rPr>
              <w:t>Accounting Policy</w:t>
            </w:r>
          </w:p>
          <w:p w14:paraId="5251F410" w14:textId="77777777" w:rsidR="002215A6" w:rsidRPr="00484D08" w:rsidRDefault="002215A6" w:rsidP="002215A6">
            <w:pPr>
              <w:ind w:right="284"/>
              <w:rPr>
                <w:i/>
                <w:iCs/>
                <w:szCs w:val="18"/>
                <w:u w:val="single"/>
              </w:rPr>
            </w:pPr>
            <w:r w:rsidRPr="00484D08">
              <w:rPr>
                <w:i/>
                <w:iCs/>
                <w:szCs w:val="18"/>
                <w:u w:val="single"/>
              </w:rPr>
              <w:t>Receivables</w:t>
            </w:r>
          </w:p>
          <w:p w14:paraId="2D0CE90C" w14:textId="74C7E60F" w:rsidR="002215A6" w:rsidRPr="00484D08" w:rsidRDefault="002215A6" w:rsidP="002215A6">
            <w:pPr>
              <w:spacing w:after="120"/>
              <w:ind w:right="284"/>
              <w:rPr>
                <w:szCs w:val="18"/>
              </w:rPr>
            </w:pPr>
            <w:r w:rsidRPr="00484D08">
              <w:rPr>
                <w:szCs w:val="18"/>
              </w:rPr>
              <w:t xml:space="preserve">Trade receivables and other receivables that have fixed or determinable </w:t>
            </w:r>
            <w:r w:rsidR="00DE4394">
              <w:rPr>
                <w:szCs w:val="18"/>
              </w:rPr>
              <w:br/>
            </w:r>
            <w:r w:rsidRPr="00484D08">
              <w:rPr>
                <w:szCs w:val="18"/>
              </w:rPr>
              <w:t xml:space="preserve">payments that are not quoted in an active market are classified as ‘receivables’. </w:t>
            </w:r>
            <w:r w:rsidR="00DE4394">
              <w:rPr>
                <w:szCs w:val="18"/>
              </w:rPr>
              <w:br/>
            </w:r>
            <w:r w:rsidRPr="00484D08">
              <w:rPr>
                <w:szCs w:val="18"/>
              </w:rPr>
              <w:t xml:space="preserve">Receivables are measured at amortised cost using the effective interest method </w:t>
            </w:r>
            <w:r w:rsidR="00DE4394">
              <w:rPr>
                <w:szCs w:val="18"/>
              </w:rPr>
              <w:br/>
            </w:r>
            <w:r w:rsidRPr="00484D08">
              <w:rPr>
                <w:szCs w:val="18"/>
              </w:rPr>
              <w:t>less impairment. Interest is recognised by applying the effective interest rate.</w:t>
            </w:r>
          </w:p>
          <w:p w14:paraId="63554607" w14:textId="77777777" w:rsidR="002215A6" w:rsidRPr="00484D08" w:rsidRDefault="002215A6" w:rsidP="002215A6">
            <w:pPr>
              <w:ind w:right="284"/>
              <w:rPr>
                <w:i/>
                <w:iCs/>
                <w:szCs w:val="18"/>
                <w:u w:val="single"/>
              </w:rPr>
            </w:pPr>
            <w:r w:rsidRPr="00484D08">
              <w:rPr>
                <w:i/>
                <w:iCs/>
                <w:szCs w:val="18"/>
                <w:u w:val="single"/>
              </w:rPr>
              <w:t>Impairment of Financial Assets</w:t>
            </w:r>
          </w:p>
          <w:p w14:paraId="596C5E1F" w14:textId="77777777" w:rsidR="002215A6" w:rsidRPr="00C05614" w:rsidRDefault="002215A6" w:rsidP="002215A6">
            <w:pPr>
              <w:ind w:right="284"/>
              <w:rPr>
                <w:b/>
                <w:bCs/>
                <w:szCs w:val="18"/>
                <w:lang w:val="en-US"/>
              </w:rPr>
            </w:pPr>
            <w:r w:rsidRPr="00484D08">
              <w:rPr>
                <w:szCs w:val="18"/>
              </w:rPr>
              <w:t>Financial assets are assessed for impairment at the end of each reporting period.</w:t>
            </w:r>
          </w:p>
        </w:tc>
      </w:tr>
    </w:tbl>
    <w:p w14:paraId="650EED9A" w14:textId="77777777" w:rsidR="00195E07" w:rsidRDefault="00195E07" w:rsidP="005E0AFC">
      <w:pPr>
        <w:pStyle w:val="BodyText"/>
      </w:pPr>
    </w:p>
    <w:p w14:paraId="08BE2BE1" w14:textId="77777777" w:rsidR="00195E07" w:rsidRDefault="00195E07">
      <w:pPr>
        <w:spacing w:after="160" w:line="259" w:lineRule="auto"/>
      </w:pPr>
      <w:r>
        <w:br w:type="page"/>
      </w:r>
    </w:p>
    <w:p w14:paraId="02A5FEAE" w14:textId="77777777" w:rsidR="002215A6" w:rsidRDefault="002215A6" w:rsidP="002215A6">
      <w:pPr>
        <w:pStyle w:val="Heading2"/>
      </w:pPr>
      <w:r>
        <w:lastRenderedPageBreak/>
        <w:t>2.2</w:t>
      </w:r>
      <w:r w:rsidRPr="00C05614">
        <w:t xml:space="preserve"> Non-Financial Assets</w:t>
      </w:r>
    </w:p>
    <w:p w14:paraId="35280592" w14:textId="1EED31EC" w:rsidR="002215A6" w:rsidRPr="00757456" w:rsidRDefault="002215A6" w:rsidP="002215A6">
      <w:pPr>
        <w:pStyle w:val="Heading3"/>
        <w:rPr>
          <w:sz w:val="21"/>
          <w:szCs w:val="21"/>
        </w:rPr>
      </w:pPr>
      <w:r w:rsidRPr="00757456">
        <w:rPr>
          <w:sz w:val="21"/>
          <w:szCs w:val="21"/>
        </w:rPr>
        <w:t xml:space="preserve">2.2A: Reconciliation of the opening and closing balances </w:t>
      </w:r>
      <w:r w:rsidR="00DE4394">
        <w:rPr>
          <w:sz w:val="21"/>
          <w:szCs w:val="21"/>
        </w:rPr>
        <w:br/>
      </w:r>
      <w:r w:rsidRPr="00757456">
        <w:rPr>
          <w:sz w:val="21"/>
          <w:szCs w:val="21"/>
        </w:rPr>
        <w:t>of property, plant and equipment</w:t>
      </w:r>
    </w:p>
    <w:tbl>
      <w:tblPr>
        <w:tblW w:w="5000" w:type="pct"/>
        <w:tblLook w:val="0000" w:firstRow="0" w:lastRow="0" w:firstColumn="0" w:lastColumn="0" w:noHBand="0" w:noVBand="0"/>
        <w:tblCaption w:val="2.2 Non-Financial Assets"/>
      </w:tblPr>
      <w:tblGrid>
        <w:gridCol w:w="4704"/>
        <w:gridCol w:w="1218"/>
        <w:gridCol w:w="314"/>
        <w:gridCol w:w="1004"/>
        <w:gridCol w:w="250"/>
        <w:gridCol w:w="941"/>
        <w:gridCol w:w="63"/>
      </w:tblGrid>
      <w:tr w:rsidR="002215A6" w:rsidRPr="00C05614" w14:paraId="1ED33E74" w14:textId="77777777" w:rsidTr="002215A6">
        <w:trPr>
          <w:gridAfter w:val="1"/>
          <w:wAfter w:w="37" w:type="pct"/>
          <w:trHeight w:val="255"/>
        </w:trPr>
        <w:tc>
          <w:tcPr>
            <w:tcW w:w="4963" w:type="pct"/>
            <w:gridSpan w:val="6"/>
            <w:tcBorders>
              <w:top w:val="nil"/>
              <w:left w:val="nil"/>
              <w:right w:val="nil"/>
            </w:tcBorders>
            <w:shd w:val="clear" w:color="auto" w:fill="FFFFFF"/>
            <w:vAlign w:val="bottom"/>
          </w:tcPr>
          <w:p w14:paraId="5B6A79E5" w14:textId="4D63E959" w:rsidR="002215A6" w:rsidRPr="002B3672" w:rsidRDefault="002215A6" w:rsidP="002215A6">
            <w:pPr>
              <w:rPr>
                <w:b/>
                <w:bCs/>
                <w:szCs w:val="18"/>
                <w:lang w:val="en-US"/>
              </w:rPr>
            </w:pPr>
            <w:r w:rsidRPr="002B3672">
              <w:rPr>
                <w:b/>
                <w:bCs/>
                <w:szCs w:val="18"/>
                <w:lang w:val="en-US"/>
              </w:rPr>
              <w:t xml:space="preserve">Reconciliation of the opening and closing balances of property, plant and equipment </w:t>
            </w:r>
            <w:r w:rsidR="00DE4394">
              <w:rPr>
                <w:b/>
                <w:bCs/>
                <w:szCs w:val="18"/>
                <w:lang w:val="en-US"/>
              </w:rPr>
              <w:br/>
            </w:r>
            <w:r w:rsidRPr="002B3672">
              <w:rPr>
                <w:b/>
                <w:bCs/>
                <w:szCs w:val="18"/>
                <w:lang w:val="en-US"/>
              </w:rPr>
              <w:t>for</w:t>
            </w:r>
            <w:r>
              <w:rPr>
                <w:b/>
                <w:bCs/>
                <w:szCs w:val="18"/>
                <w:lang w:val="en-US"/>
              </w:rPr>
              <w:t xml:space="preserve"> 2017</w:t>
            </w:r>
          </w:p>
        </w:tc>
      </w:tr>
      <w:tr w:rsidR="002215A6" w:rsidRPr="00C05614" w14:paraId="11F4986E" w14:textId="77777777" w:rsidTr="002215A6">
        <w:trPr>
          <w:gridAfter w:val="1"/>
          <w:wAfter w:w="37" w:type="pct"/>
          <w:trHeight w:val="255"/>
        </w:trPr>
        <w:tc>
          <w:tcPr>
            <w:tcW w:w="2769" w:type="pct"/>
            <w:tcBorders>
              <w:top w:val="nil"/>
              <w:left w:val="nil"/>
              <w:right w:val="nil"/>
            </w:tcBorders>
            <w:shd w:val="clear" w:color="auto" w:fill="FFFFFF"/>
            <w:vAlign w:val="bottom"/>
          </w:tcPr>
          <w:p w14:paraId="290FB013" w14:textId="77777777" w:rsidR="002215A6" w:rsidRPr="00C05614" w:rsidRDefault="002215A6" w:rsidP="002215A6">
            <w:pPr>
              <w:ind w:left="34"/>
              <w:rPr>
                <w:b/>
                <w:bCs/>
                <w:szCs w:val="18"/>
                <w:u w:val="single"/>
                <w:lang w:val="en-US"/>
              </w:rPr>
            </w:pPr>
          </w:p>
        </w:tc>
        <w:tc>
          <w:tcPr>
            <w:tcW w:w="902" w:type="pct"/>
            <w:gridSpan w:val="2"/>
            <w:tcBorders>
              <w:top w:val="nil"/>
              <w:left w:val="nil"/>
              <w:right w:val="nil"/>
            </w:tcBorders>
            <w:shd w:val="clear" w:color="auto" w:fill="FFFFFF"/>
          </w:tcPr>
          <w:p w14:paraId="59E28AC3" w14:textId="77777777" w:rsidR="002215A6" w:rsidRPr="005E2878" w:rsidRDefault="002215A6" w:rsidP="002215A6">
            <w:pPr>
              <w:jc w:val="right"/>
              <w:rPr>
                <w:b/>
                <w:bCs/>
                <w:szCs w:val="18"/>
                <w:lang w:val="en-US"/>
              </w:rPr>
            </w:pPr>
            <w:r w:rsidRPr="005E2878">
              <w:rPr>
                <w:b/>
                <w:bCs/>
                <w:szCs w:val="18"/>
                <w:lang w:val="en-US"/>
              </w:rPr>
              <w:t xml:space="preserve">Leasehold improvement </w:t>
            </w:r>
          </w:p>
        </w:tc>
        <w:tc>
          <w:tcPr>
            <w:tcW w:w="738" w:type="pct"/>
            <w:gridSpan w:val="2"/>
            <w:tcBorders>
              <w:top w:val="nil"/>
              <w:left w:val="nil"/>
              <w:right w:val="nil"/>
            </w:tcBorders>
            <w:shd w:val="clear" w:color="auto" w:fill="FFFFFF"/>
            <w:vAlign w:val="bottom"/>
          </w:tcPr>
          <w:p w14:paraId="62F24E14" w14:textId="77777777" w:rsidR="002215A6" w:rsidRPr="005E2878" w:rsidRDefault="002215A6" w:rsidP="002215A6">
            <w:pPr>
              <w:jc w:val="right"/>
              <w:rPr>
                <w:b/>
                <w:bCs/>
                <w:szCs w:val="18"/>
                <w:lang w:val="en-US"/>
              </w:rPr>
            </w:pPr>
            <w:r w:rsidRPr="005E2878">
              <w:rPr>
                <w:b/>
                <w:bCs/>
                <w:szCs w:val="18"/>
                <w:lang w:val="en-US"/>
              </w:rPr>
              <w:t>Plant and equipment</w:t>
            </w:r>
          </w:p>
        </w:tc>
        <w:tc>
          <w:tcPr>
            <w:tcW w:w="554" w:type="pct"/>
            <w:tcBorders>
              <w:top w:val="nil"/>
              <w:left w:val="nil"/>
              <w:right w:val="nil"/>
            </w:tcBorders>
            <w:shd w:val="clear" w:color="auto" w:fill="FFFFFF"/>
            <w:vAlign w:val="bottom"/>
          </w:tcPr>
          <w:p w14:paraId="04AA3D0C" w14:textId="77777777" w:rsidR="002215A6" w:rsidRPr="005E2878" w:rsidRDefault="002215A6" w:rsidP="002215A6">
            <w:pPr>
              <w:jc w:val="right"/>
              <w:rPr>
                <w:b/>
                <w:bCs/>
                <w:szCs w:val="18"/>
                <w:lang w:val="en-US"/>
              </w:rPr>
            </w:pPr>
            <w:r w:rsidRPr="005E2878">
              <w:rPr>
                <w:b/>
                <w:bCs/>
                <w:szCs w:val="18"/>
                <w:lang w:val="en-US"/>
              </w:rPr>
              <w:t>Total</w:t>
            </w:r>
          </w:p>
        </w:tc>
      </w:tr>
      <w:tr w:rsidR="002215A6" w:rsidRPr="00C05614" w14:paraId="2D5F0265" w14:textId="77777777" w:rsidTr="002215A6">
        <w:trPr>
          <w:gridAfter w:val="1"/>
          <w:wAfter w:w="37" w:type="pct"/>
          <w:trHeight w:val="255"/>
        </w:trPr>
        <w:tc>
          <w:tcPr>
            <w:tcW w:w="2769" w:type="pct"/>
            <w:tcBorders>
              <w:left w:val="nil"/>
              <w:bottom w:val="single" w:sz="4" w:space="0" w:color="auto"/>
              <w:right w:val="nil"/>
            </w:tcBorders>
            <w:shd w:val="clear" w:color="auto" w:fill="FFFFFF"/>
            <w:vAlign w:val="bottom"/>
          </w:tcPr>
          <w:p w14:paraId="6F8867BC" w14:textId="77777777" w:rsidR="002215A6" w:rsidRPr="00C05614" w:rsidRDefault="002215A6" w:rsidP="002215A6">
            <w:pPr>
              <w:ind w:left="34"/>
              <w:rPr>
                <w:b/>
                <w:bCs/>
                <w:szCs w:val="18"/>
                <w:u w:val="single"/>
                <w:lang w:val="en-US"/>
              </w:rPr>
            </w:pPr>
          </w:p>
        </w:tc>
        <w:tc>
          <w:tcPr>
            <w:tcW w:w="902" w:type="pct"/>
            <w:gridSpan w:val="2"/>
            <w:tcBorders>
              <w:left w:val="nil"/>
              <w:bottom w:val="single" w:sz="4" w:space="0" w:color="auto"/>
              <w:right w:val="nil"/>
            </w:tcBorders>
            <w:shd w:val="clear" w:color="auto" w:fill="FFFFFF"/>
            <w:vAlign w:val="bottom"/>
          </w:tcPr>
          <w:p w14:paraId="5F0084D7" w14:textId="77777777" w:rsidR="002215A6" w:rsidRPr="005E2878" w:rsidRDefault="002215A6" w:rsidP="002215A6">
            <w:pPr>
              <w:jc w:val="right"/>
              <w:rPr>
                <w:b/>
                <w:bCs/>
                <w:szCs w:val="18"/>
                <w:lang w:val="en-US"/>
              </w:rPr>
            </w:pPr>
            <w:r w:rsidRPr="005E2878">
              <w:rPr>
                <w:b/>
                <w:bCs/>
                <w:szCs w:val="18"/>
                <w:lang w:val="en-US"/>
              </w:rPr>
              <w:t>$’000</w:t>
            </w:r>
          </w:p>
        </w:tc>
        <w:tc>
          <w:tcPr>
            <w:tcW w:w="738" w:type="pct"/>
            <w:gridSpan w:val="2"/>
            <w:tcBorders>
              <w:left w:val="nil"/>
              <w:bottom w:val="single" w:sz="4" w:space="0" w:color="auto"/>
              <w:right w:val="nil"/>
            </w:tcBorders>
            <w:shd w:val="clear" w:color="auto" w:fill="FFFFFF"/>
            <w:vAlign w:val="bottom"/>
          </w:tcPr>
          <w:p w14:paraId="31F51B86" w14:textId="77777777" w:rsidR="002215A6" w:rsidRPr="005E2878" w:rsidRDefault="002215A6" w:rsidP="002215A6">
            <w:pPr>
              <w:jc w:val="right"/>
              <w:rPr>
                <w:b/>
                <w:bCs/>
                <w:szCs w:val="18"/>
                <w:lang w:val="en-US"/>
              </w:rPr>
            </w:pPr>
            <w:r w:rsidRPr="005E2878">
              <w:rPr>
                <w:b/>
                <w:bCs/>
                <w:szCs w:val="18"/>
                <w:lang w:val="en-US"/>
              </w:rPr>
              <w:t>$’000</w:t>
            </w:r>
          </w:p>
        </w:tc>
        <w:tc>
          <w:tcPr>
            <w:tcW w:w="554" w:type="pct"/>
            <w:tcBorders>
              <w:left w:val="nil"/>
              <w:bottom w:val="single" w:sz="4" w:space="0" w:color="auto"/>
              <w:right w:val="nil"/>
            </w:tcBorders>
            <w:shd w:val="clear" w:color="auto" w:fill="FFFFFF"/>
            <w:vAlign w:val="bottom"/>
          </w:tcPr>
          <w:p w14:paraId="232DC158" w14:textId="77777777" w:rsidR="002215A6" w:rsidRPr="005E2878" w:rsidRDefault="002215A6" w:rsidP="002215A6">
            <w:pPr>
              <w:jc w:val="right"/>
              <w:rPr>
                <w:b/>
                <w:bCs/>
                <w:szCs w:val="18"/>
                <w:lang w:val="en-US"/>
              </w:rPr>
            </w:pPr>
            <w:r w:rsidRPr="005E2878">
              <w:rPr>
                <w:b/>
                <w:bCs/>
                <w:szCs w:val="18"/>
                <w:lang w:val="en-US"/>
              </w:rPr>
              <w:t>$’000</w:t>
            </w:r>
          </w:p>
        </w:tc>
      </w:tr>
      <w:tr w:rsidR="002215A6" w:rsidRPr="00C05614" w14:paraId="3C81E230" w14:textId="77777777" w:rsidTr="002215A6">
        <w:trPr>
          <w:gridAfter w:val="1"/>
          <w:wAfter w:w="37" w:type="pct"/>
          <w:trHeight w:val="255"/>
        </w:trPr>
        <w:tc>
          <w:tcPr>
            <w:tcW w:w="2769" w:type="pct"/>
            <w:tcBorders>
              <w:top w:val="nil"/>
              <w:left w:val="nil"/>
              <w:bottom w:val="nil"/>
              <w:right w:val="nil"/>
            </w:tcBorders>
            <w:shd w:val="clear" w:color="auto" w:fill="FFFFFF"/>
            <w:vAlign w:val="bottom"/>
          </w:tcPr>
          <w:p w14:paraId="30EBA3BA" w14:textId="77777777" w:rsidR="002215A6" w:rsidRPr="00C05614" w:rsidRDefault="002215A6" w:rsidP="002215A6">
            <w:pPr>
              <w:ind w:left="34"/>
              <w:rPr>
                <w:b/>
                <w:bCs/>
                <w:szCs w:val="18"/>
                <w:lang w:val="en-US"/>
              </w:rPr>
            </w:pPr>
            <w:r w:rsidRPr="00C05614">
              <w:rPr>
                <w:b/>
                <w:bCs/>
                <w:szCs w:val="18"/>
                <w:lang w:val="en-US"/>
              </w:rPr>
              <w:t xml:space="preserve">As at 1 July </w:t>
            </w:r>
            <w:r>
              <w:rPr>
                <w:b/>
                <w:bCs/>
                <w:szCs w:val="18"/>
                <w:lang w:val="en-US"/>
              </w:rPr>
              <w:t>2016</w:t>
            </w:r>
          </w:p>
        </w:tc>
        <w:tc>
          <w:tcPr>
            <w:tcW w:w="902" w:type="pct"/>
            <w:gridSpan w:val="2"/>
            <w:tcBorders>
              <w:top w:val="nil"/>
              <w:left w:val="nil"/>
              <w:bottom w:val="nil"/>
              <w:right w:val="nil"/>
            </w:tcBorders>
          </w:tcPr>
          <w:p w14:paraId="5AF4D18A" w14:textId="77777777" w:rsidR="002215A6" w:rsidRPr="000F47A1" w:rsidRDefault="002215A6" w:rsidP="002215A6">
            <w:pPr>
              <w:jc w:val="right"/>
              <w:rPr>
                <w:b/>
                <w:szCs w:val="18"/>
                <w:lang w:val="en-US"/>
              </w:rPr>
            </w:pPr>
          </w:p>
        </w:tc>
        <w:tc>
          <w:tcPr>
            <w:tcW w:w="738" w:type="pct"/>
            <w:gridSpan w:val="2"/>
            <w:tcBorders>
              <w:top w:val="nil"/>
              <w:left w:val="nil"/>
              <w:bottom w:val="nil"/>
              <w:right w:val="nil"/>
            </w:tcBorders>
            <w:shd w:val="clear" w:color="auto" w:fill="auto"/>
            <w:noWrap/>
            <w:vAlign w:val="bottom"/>
          </w:tcPr>
          <w:p w14:paraId="7D177318" w14:textId="77777777" w:rsidR="002215A6" w:rsidRPr="00C05614" w:rsidRDefault="002215A6" w:rsidP="002215A6">
            <w:pPr>
              <w:jc w:val="right"/>
              <w:rPr>
                <w:szCs w:val="18"/>
                <w:lang w:val="en-US"/>
              </w:rPr>
            </w:pPr>
          </w:p>
        </w:tc>
        <w:tc>
          <w:tcPr>
            <w:tcW w:w="554" w:type="pct"/>
            <w:tcBorders>
              <w:top w:val="single" w:sz="4" w:space="0" w:color="auto"/>
              <w:left w:val="nil"/>
              <w:bottom w:val="nil"/>
              <w:right w:val="nil"/>
            </w:tcBorders>
            <w:shd w:val="clear" w:color="auto" w:fill="FFFFFF"/>
            <w:vAlign w:val="bottom"/>
          </w:tcPr>
          <w:p w14:paraId="07A7695E" w14:textId="77777777" w:rsidR="002215A6" w:rsidRPr="002B3672" w:rsidRDefault="002215A6" w:rsidP="002215A6">
            <w:pPr>
              <w:jc w:val="right"/>
              <w:rPr>
                <w:szCs w:val="18"/>
                <w:lang w:val="en-US"/>
              </w:rPr>
            </w:pPr>
          </w:p>
        </w:tc>
      </w:tr>
      <w:tr w:rsidR="002215A6" w:rsidRPr="00C05614" w14:paraId="2B59BC67" w14:textId="77777777" w:rsidTr="002215A6">
        <w:trPr>
          <w:gridAfter w:val="1"/>
          <w:wAfter w:w="37" w:type="pct"/>
          <w:trHeight w:val="255"/>
        </w:trPr>
        <w:tc>
          <w:tcPr>
            <w:tcW w:w="2769" w:type="pct"/>
            <w:tcBorders>
              <w:top w:val="nil"/>
              <w:left w:val="nil"/>
              <w:bottom w:val="nil"/>
              <w:right w:val="nil"/>
            </w:tcBorders>
            <w:shd w:val="clear" w:color="auto" w:fill="FFFFFF"/>
            <w:vAlign w:val="bottom"/>
          </w:tcPr>
          <w:p w14:paraId="5DCF1743" w14:textId="77777777" w:rsidR="002215A6" w:rsidRPr="00C05614" w:rsidRDefault="002215A6" w:rsidP="002215A6">
            <w:pPr>
              <w:ind w:left="34"/>
              <w:rPr>
                <w:szCs w:val="18"/>
                <w:lang w:val="en-US"/>
              </w:rPr>
            </w:pPr>
            <w:r w:rsidRPr="00C05614">
              <w:rPr>
                <w:szCs w:val="18"/>
                <w:lang w:val="en-US"/>
              </w:rPr>
              <w:t>Gross book value</w:t>
            </w:r>
          </w:p>
        </w:tc>
        <w:tc>
          <w:tcPr>
            <w:tcW w:w="902" w:type="pct"/>
            <w:gridSpan w:val="2"/>
            <w:tcBorders>
              <w:top w:val="nil"/>
              <w:left w:val="nil"/>
              <w:bottom w:val="nil"/>
              <w:right w:val="nil"/>
            </w:tcBorders>
            <w:shd w:val="clear" w:color="auto" w:fill="FFFFFF"/>
            <w:vAlign w:val="bottom"/>
          </w:tcPr>
          <w:p w14:paraId="6CBC5EA5" w14:textId="77777777" w:rsidR="002215A6" w:rsidRPr="000F47A1" w:rsidRDefault="002215A6" w:rsidP="002215A6">
            <w:pPr>
              <w:jc w:val="right"/>
              <w:rPr>
                <w:b/>
                <w:szCs w:val="18"/>
                <w:lang w:val="en-US"/>
              </w:rPr>
            </w:pPr>
            <w:r>
              <w:rPr>
                <w:b/>
                <w:szCs w:val="18"/>
                <w:lang w:val="en-US"/>
              </w:rPr>
              <w:t>479</w:t>
            </w:r>
          </w:p>
        </w:tc>
        <w:tc>
          <w:tcPr>
            <w:tcW w:w="738" w:type="pct"/>
            <w:gridSpan w:val="2"/>
            <w:tcBorders>
              <w:top w:val="nil"/>
              <w:left w:val="nil"/>
              <w:bottom w:val="nil"/>
              <w:right w:val="nil"/>
            </w:tcBorders>
            <w:shd w:val="clear" w:color="auto" w:fill="FFFFFF"/>
            <w:noWrap/>
            <w:vAlign w:val="bottom"/>
          </w:tcPr>
          <w:p w14:paraId="1187E312" w14:textId="77777777" w:rsidR="002215A6" w:rsidRPr="0014022D" w:rsidRDefault="002215A6" w:rsidP="002215A6">
            <w:pPr>
              <w:jc w:val="right"/>
              <w:rPr>
                <w:b/>
                <w:szCs w:val="18"/>
                <w:lang w:val="en-US"/>
              </w:rPr>
            </w:pPr>
            <w:r>
              <w:rPr>
                <w:b/>
                <w:szCs w:val="18"/>
                <w:lang w:val="en-US"/>
              </w:rPr>
              <w:t>103</w:t>
            </w:r>
          </w:p>
        </w:tc>
        <w:tc>
          <w:tcPr>
            <w:tcW w:w="554" w:type="pct"/>
            <w:tcBorders>
              <w:top w:val="nil"/>
              <w:left w:val="nil"/>
              <w:right w:val="nil"/>
            </w:tcBorders>
            <w:shd w:val="clear" w:color="auto" w:fill="FFFFFF"/>
            <w:vAlign w:val="bottom"/>
          </w:tcPr>
          <w:p w14:paraId="251ED839" w14:textId="77777777" w:rsidR="002215A6" w:rsidRPr="002B3672" w:rsidRDefault="002215A6" w:rsidP="002215A6">
            <w:pPr>
              <w:jc w:val="right"/>
              <w:rPr>
                <w:b/>
                <w:szCs w:val="18"/>
                <w:lang w:val="en-US"/>
              </w:rPr>
            </w:pPr>
            <w:r>
              <w:rPr>
                <w:b/>
                <w:szCs w:val="18"/>
                <w:lang w:val="en-US"/>
              </w:rPr>
              <w:t>582</w:t>
            </w:r>
          </w:p>
        </w:tc>
      </w:tr>
      <w:tr w:rsidR="002215A6" w:rsidRPr="00C05614" w14:paraId="1D4DD3C1" w14:textId="77777777" w:rsidTr="002215A6">
        <w:trPr>
          <w:gridAfter w:val="1"/>
          <w:wAfter w:w="37" w:type="pct"/>
          <w:trHeight w:val="255"/>
        </w:trPr>
        <w:tc>
          <w:tcPr>
            <w:tcW w:w="2769" w:type="pct"/>
            <w:tcBorders>
              <w:top w:val="nil"/>
              <w:left w:val="nil"/>
              <w:bottom w:val="single" w:sz="4" w:space="0" w:color="auto"/>
              <w:right w:val="nil"/>
            </w:tcBorders>
            <w:shd w:val="clear" w:color="auto" w:fill="FFFFFF"/>
            <w:vAlign w:val="bottom"/>
          </w:tcPr>
          <w:p w14:paraId="2C9D9003" w14:textId="77777777" w:rsidR="002215A6" w:rsidRPr="00C05614" w:rsidRDefault="002215A6" w:rsidP="002215A6">
            <w:pPr>
              <w:ind w:left="34"/>
              <w:rPr>
                <w:szCs w:val="18"/>
                <w:lang w:val="en-US"/>
              </w:rPr>
            </w:pPr>
            <w:r w:rsidRPr="00C05614">
              <w:rPr>
                <w:szCs w:val="18"/>
                <w:lang w:val="en-US"/>
              </w:rPr>
              <w:t>Accumulated</w:t>
            </w:r>
            <w:r>
              <w:rPr>
                <w:szCs w:val="18"/>
                <w:lang w:val="en-US"/>
              </w:rPr>
              <w:t xml:space="preserve"> </w:t>
            </w:r>
            <w:r w:rsidRPr="00C05614">
              <w:rPr>
                <w:szCs w:val="18"/>
                <w:lang w:val="en-US"/>
              </w:rPr>
              <w:t>depreciation and impairment</w:t>
            </w:r>
          </w:p>
        </w:tc>
        <w:tc>
          <w:tcPr>
            <w:tcW w:w="902" w:type="pct"/>
            <w:gridSpan w:val="2"/>
            <w:tcBorders>
              <w:top w:val="nil"/>
              <w:left w:val="nil"/>
              <w:bottom w:val="single" w:sz="4" w:space="0" w:color="auto"/>
              <w:right w:val="nil"/>
            </w:tcBorders>
            <w:shd w:val="clear" w:color="auto" w:fill="FFFFFF"/>
            <w:vAlign w:val="bottom"/>
          </w:tcPr>
          <w:p w14:paraId="33AA9FB4" w14:textId="77777777" w:rsidR="002215A6" w:rsidRPr="000F47A1" w:rsidRDefault="002215A6" w:rsidP="002215A6">
            <w:pPr>
              <w:jc w:val="right"/>
              <w:rPr>
                <w:b/>
                <w:szCs w:val="18"/>
                <w:lang w:val="en-US"/>
              </w:rPr>
            </w:pPr>
            <w:r>
              <w:rPr>
                <w:b/>
                <w:szCs w:val="18"/>
                <w:lang w:val="en-US"/>
              </w:rPr>
              <w:t>(119)</w:t>
            </w:r>
          </w:p>
        </w:tc>
        <w:tc>
          <w:tcPr>
            <w:tcW w:w="738" w:type="pct"/>
            <w:gridSpan w:val="2"/>
            <w:tcBorders>
              <w:top w:val="nil"/>
              <w:left w:val="nil"/>
              <w:bottom w:val="single" w:sz="4" w:space="0" w:color="auto"/>
              <w:right w:val="nil"/>
            </w:tcBorders>
            <w:shd w:val="clear" w:color="auto" w:fill="FFFFFF"/>
            <w:noWrap/>
            <w:vAlign w:val="bottom"/>
          </w:tcPr>
          <w:p w14:paraId="33BD8359" w14:textId="77777777" w:rsidR="002215A6" w:rsidRPr="0014022D" w:rsidRDefault="002215A6" w:rsidP="002215A6">
            <w:pPr>
              <w:jc w:val="right"/>
              <w:rPr>
                <w:b/>
                <w:szCs w:val="18"/>
                <w:lang w:val="en-US"/>
              </w:rPr>
            </w:pPr>
            <w:r>
              <w:rPr>
                <w:b/>
                <w:szCs w:val="18"/>
                <w:lang w:val="en-US"/>
              </w:rPr>
              <w:t>(65)</w:t>
            </w:r>
          </w:p>
        </w:tc>
        <w:tc>
          <w:tcPr>
            <w:tcW w:w="554" w:type="pct"/>
            <w:tcBorders>
              <w:top w:val="nil"/>
              <w:left w:val="nil"/>
              <w:bottom w:val="single" w:sz="4" w:space="0" w:color="auto"/>
              <w:right w:val="nil"/>
            </w:tcBorders>
            <w:shd w:val="clear" w:color="auto" w:fill="FFFFFF"/>
            <w:vAlign w:val="bottom"/>
          </w:tcPr>
          <w:p w14:paraId="0864C7B3" w14:textId="77777777" w:rsidR="002215A6" w:rsidRPr="002B3672" w:rsidRDefault="002215A6" w:rsidP="002215A6">
            <w:pPr>
              <w:jc w:val="right"/>
              <w:rPr>
                <w:b/>
                <w:szCs w:val="18"/>
                <w:lang w:val="en-US"/>
              </w:rPr>
            </w:pPr>
            <w:r>
              <w:rPr>
                <w:b/>
                <w:szCs w:val="18"/>
                <w:lang w:val="en-US"/>
              </w:rPr>
              <w:t>(184</w:t>
            </w:r>
            <w:r w:rsidRPr="002B3672">
              <w:rPr>
                <w:b/>
                <w:szCs w:val="18"/>
                <w:lang w:val="en-US"/>
              </w:rPr>
              <w:t>)</w:t>
            </w:r>
          </w:p>
        </w:tc>
      </w:tr>
      <w:tr w:rsidR="002215A6" w:rsidRPr="00C05614" w14:paraId="46EB7CA0" w14:textId="77777777" w:rsidTr="002215A6">
        <w:trPr>
          <w:gridAfter w:val="1"/>
          <w:wAfter w:w="37" w:type="pct"/>
          <w:trHeight w:val="255"/>
        </w:trPr>
        <w:tc>
          <w:tcPr>
            <w:tcW w:w="2769" w:type="pct"/>
            <w:tcBorders>
              <w:top w:val="nil"/>
              <w:left w:val="nil"/>
              <w:bottom w:val="single" w:sz="4" w:space="0" w:color="auto"/>
              <w:right w:val="nil"/>
            </w:tcBorders>
            <w:shd w:val="clear" w:color="auto" w:fill="FFFFFF"/>
            <w:vAlign w:val="bottom"/>
          </w:tcPr>
          <w:p w14:paraId="4DC14FA8" w14:textId="77777777" w:rsidR="002215A6" w:rsidRPr="00C05614" w:rsidRDefault="002215A6" w:rsidP="002215A6">
            <w:pPr>
              <w:ind w:left="34"/>
              <w:rPr>
                <w:b/>
                <w:bCs/>
                <w:szCs w:val="18"/>
                <w:lang w:val="en-US"/>
              </w:rPr>
            </w:pPr>
            <w:r w:rsidRPr="00C05614">
              <w:rPr>
                <w:b/>
                <w:bCs/>
                <w:szCs w:val="18"/>
                <w:lang w:val="en-US"/>
              </w:rPr>
              <w:t>Net book value 1 July</w:t>
            </w:r>
            <w:r>
              <w:rPr>
                <w:b/>
                <w:bCs/>
                <w:szCs w:val="18"/>
                <w:lang w:val="en-US"/>
              </w:rPr>
              <w:t xml:space="preserve"> 2016</w:t>
            </w:r>
          </w:p>
        </w:tc>
        <w:tc>
          <w:tcPr>
            <w:tcW w:w="902" w:type="pct"/>
            <w:gridSpan w:val="2"/>
            <w:tcBorders>
              <w:top w:val="nil"/>
              <w:left w:val="nil"/>
              <w:bottom w:val="single" w:sz="4" w:space="0" w:color="auto"/>
              <w:right w:val="nil"/>
            </w:tcBorders>
            <w:shd w:val="clear" w:color="auto" w:fill="FFFFFF"/>
            <w:vAlign w:val="bottom"/>
          </w:tcPr>
          <w:p w14:paraId="0C19B0E2" w14:textId="77777777" w:rsidR="002215A6" w:rsidRPr="000F47A1" w:rsidRDefault="002215A6" w:rsidP="002215A6">
            <w:pPr>
              <w:jc w:val="right"/>
              <w:rPr>
                <w:b/>
                <w:szCs w:val="18"/>
                <w:lang w:val="en-US"/>
              </w:rPr>
            </w:pPr>
            <w:r>
              <w:rPr>
                <w:b/>
                <w:szCs w:val="18"/>
                <w:lang w:val="en-US"/>
              </w:rPr>
              <w:t>360</w:t>
            </w:r>
          </w:p>
        </w:tc>
        <w:tc>
          <w:tcPr>
            <w:tcW w:w="738" w:type="pct"/>
            <w:gridSpan w:val="2"/>
            <w:tcBorders>
              <w:top w:val="nil"/>
              <w:left w:val="nil"/>
              <w:bottom w:val="single" w:sz="4" w:space="0" w:color="auto"/>
              <w:right w:val="nil"/>
            </w:tcBorders>
            <w:shd w:val="clear" w:color="auto" w:fill="FFFFFF"/>
            <w:noWrap/>
            <w:vAlign w:val="bottom"/>
          </w:tcPr>
          <w:p w14:paraId="50A38134" w14:textId="77777777" w:rsidR="002215A6" w:rsidRPr="0014022D" w:rsidRDefault="002215A6" w:rsidP="002215A6">
            <w:pPr>
              <w:jc w:val="right"/>
              <w:rPr>
                <w:b/>
                <w:szCs w:val="18"/>
                <w:lang w:val="en-US"/>
              </w:rPr>
            </w:pPr>
            <w:r>
              <w:rPr>
                <w:b/>
                <w:szCs w:val="18"/>
                <w:lang w:val="en-US"/>
              </w:rPr>
              <w:t>38</w:t>
            </w:r>
          </w:p>
        </w:tc>
        <w:tc>
          <w:tcPr>
            <w:tcW w:w="554" w:type="pct"/>
            <w:tcBorders>
              <w:top w:val="single" w:sz="4" w:space="0" w:color="auto"/>
              <w:left w:val="nil"/>
              <w:bottom w:val="single" w:sz="4" w:space="0" w:color="auto"/>
              <w:right w:val="nil"/>
            </w:tcBorders>
            <w:shd w:val="clear" w:color="auto" w:fill="FFFFFF"/>
            <w:vAlign w:val="bottom"/>
          </w:tcPr>
          <w:p w14:paraId="2BA07D16" w14:textId="77777777" w:rsidR="002215A6" w:rsidRPr="002B3672" w:rsidRDefault="002215A6" w:rsidP="002215A6">
            <w:pPr>
              <w:jc w:val="right"/>
              <w:rPr>
                <w:b/>
                <w:szCs w:val="18"/>
                <w:lang w:val="en-US"/>
              </w:rPr>
            </w:pPr>
            <w:r>
              <w:rPr>
                <w:b/>
                <w:szCs w:val="18"/>
                <w:lang w:val="en-US"/>
              </w:rPr>
              <w:t>398</w:t>
            </w:r>
          </w:p>
        </w:tc>
      </w:tr>
      <w:tr w:rsidR="002215A6" w:rsidRPr="00C05614" w14:paraId="730AF9CC" w14:textId="77777777" w:rsidTr="002215A6">
        <w:trPr>
          <w:gridAfter w:val="1"/>
          <w:wAfter w:w="37" w:type="pct"/>
          <w:trHeight w:val="255"/>
        </w:trPr>
        <w:tc>
          <w:tcPr>
            <w:tcW w:w="2769" w:type="pct"/>
            <w:tcBorders>
              <w:top w:val="nil"/>
              <w:left w:val="nil"/>
              <w:bottom w:val="single" w:sz="4" w:space="0" w:color="auto"/>
              <w:right w:val="nil"/>
            </w:tcBorders>
            <w:shd w:val="clear" w:color="auto" w:fill="FFFFFF"/>
            <w:vAlign w:val="bottom"/>
          </w:tcPr>
          <w:p w14:paraId="5318D27A" w14:textId="77777777" w:rsidR="002215A6" w:rsidRPr="00C05614" w:rsidRDefault="002215A6" w:rsidP="002215A6">
            <w:pPr>
              <w:ind w:left="34"/>
              <w:rPr>
                <w:szCs w:val="18"/>
                <w:lang w:val="en-US"/>
              </w:rPr>
            </w:pPr>
            <w:r w:rsidRPr="00C05614">
              <w:rPr>
                <w:szCs w:val="18"/>
                <w:lang w:val="en-US"/>
              </w:rPr>
              <w:t>Depreciation expense</w:t>
            </w:r>
          </w:p>
        </w:tc>
        <w:tc>
          <w:tcPr>
            <w:tcW w:w="902" w:type="pct"/>
            <w:gridSpan w:val="2"/>
            <w:tcBorders>
              <w:top w:val="nil"/>
              <w:left w:val="nil"/>
              <w:bottom w:val="single" w:sz="4" w:space="0" w:color="auto"/>
              <w:right w:val="nil"/>
            </w:tcBorders>
            <w:shd w:val="clear" w:color="auto" w:fill="FFFFFF"/>
            <w:vAlign w:val="bottom"/>
          </w:tcPr>
          <w:p w14:paraId="7A4F6FAD" w14:textId="77777777" w:rsidR="002215A6" w:rsidRPr="001B4E34" w:rsidRDefault="002215A6" w:rsidP="002215A6">
            <w:pPr>
              <w:jc w:val="right"/>
              <w:rPr>
                <w:b/>
                <w:szCs w:val="18"/>
                <w:lang w:val="en-US"/>
              </w:rPr>
            </w:pPr>
            <w:r w:rsidRPr="001B4E34">
              <w:rPr>
                <w:b/>
                <w:szCs w:val="18"/>
                <w:lang w:val="en-US"/>
              </w:rPr>
              <w:t>(240)</w:t>
            </w:r>
          </w:p>
        </w:tc>
        <w:tc>
          <w:tcPr>
            <w:tcW w:w="738" w:type="pct"/>
            <w:gridSpan w:val="2"/>
            <w:tcBorders>
              <w:top w:val="nil"/>
              <w:left w:val="nil"/>
              <w:bottom w:val="single" w:sz="4" w:space="0" w:color="auto"/>
              <w:right w:val="nil"/>
            </w:tcBorders>
            <w:shd w:val="clear" w:color="auto" w:fill="FFFFFF"/>
            <w:noWrap/>
            <w:vAlign w:val="bottom"/>
          </w:tcPr>
          <w:p w14:paraId="547C4C7D" w14:textId="77777777" w:rsidR="002215A6" w:rsidRPr="001B4E34" w:rsidRDefault="002215A6" w:rsidP="002215A6">
            <w:pPr>
              <w:jc w:val="right"/>
              <w:rPr>
                <w:b/>
                <w:szCs w:val="18"/>
                <w:lang w:val="en-US"/>
              </w:rPr>
            </w:pPr>
            <w:r w:rsidRPr="001B4E34">
              <w:rPr>
                <w:b/>
                <w:szCs w:val="18"/>
                <w:lang w:val="en-US"/>
              </w:rPr>
              <w:t>(20)</w:t>
            </w:r>
          </w:p>
        </w:tc>
        <w:tc>
          <w:tcPr>
            <w:tcW w:w="554" w:type="pct"/>
            <w:tcBorders>
              <w:top w:val="nil"/>
              <w:left w:val="nil"/>
              <w:bottom w:val="single" w:sz="4" w:space="0" w:color="auto"/>
              <w:right w:val="nil"/>
            </w:tcBorders>
            <w:shd w:val="clear" w:color="auto" w:fill="FFFFFF"/>
            <w:vAlign w:val="bottom"/>
          </w:tcPr>
          <w:p w14:paraId="3F8F2F00" w14:textId="77777777" w:rsidR="002215A6" w:rsidRPr="00EA2C67" w:rsidRDefault="002215A6" w:rsidP="002215A6">
            <w:pPr>
              <w:jc w:val="right"/>
              <w:rPr>
                <w:b/>
                <w:szCs w:val="18"/>
                <w:lang w:val="en-US"/>
              </w:rPr>
            </w:pPr>
            <w:r>
              <w:rPr>
                <w:b/>
                <w:szCs w:val="18"/>
                <w:lang w:val="en-US"/>
              </w:rPr>
              <w:t>(260)</w:t>
            </w:r>
          </w:p>
        </w:tc>
      </w:tr>
      <w:tr w:rsidR="002215A6" w:rsidRPr="00C05614" w14:paraId="65F0A310" w14:textId="77777777" w:rsidTr="002215A6">
        <w:trPr>
          <w:gridAfter w:val="1"/>
          <w:wAfter w:w="37" w:type="pct"/>
          <w:trHeight w:val="255"/>
        </w:trPr>
        <w:tc>
          <w:tcPr>
            <w:tcW w:w="2769" w:type="pct"/>
            <w:tcBorders>
              <w:top w:val="single" w:sz="4" w:space="0" w:color="auto"/>
              <w:left w:val="nil"/>
              <w:bottom w:val="single" w:sz="4" w:space="0" w:color="auto"/>
              <w:right w:val="nil"/>
            </w:tcBorders>
            <w:shd w:val="clear" w:color="auto" w:fill="FFFFFF"/>
            <w:vAlign w:val="bottom"/>
          </w:tcPr>
          <w:p w14:paraId="071E0F68" w14:textId="77777777" w:rsidR="002215A6" w:rsidRPr="00C05614" w:rsidRDefault="002215A6" w:rsidP="002215A6">
            <w:pPr>
              <w:ind w:left="34"/>
              <w:rPr>
                <w:b/>
                <w:bCs/>
                <w:szCs w:val="18"/>
                <w:lang w:val="en-US"/>
              </w:rPr>
            </w:pPr>
            <w:r w:rsidRPr="00C05614">
              <w:rPr>
                <w:b/>
                <w:bCs/>
                <w:szCs w:val="18"/>
                <w:lang w:val="en-US"/>
              </w:rPr>
              <w:t>Net book value 30 June</w:t>
            </w:r>
            <w:r>
              <w:rPr>
                <w:b/>
                <w:bCs/>
                <w:szCs w:val="18"/>
                <w:lang w:val="en-US"/>
              </w:rPr>
              <w:t xml:space="preserve"> 2017</w:t>
            </w:r>
          </w:p>
        </w:tc>
        <w:tc>
          <w:tcPr>
            <w:tcW w:w="902" w:type="pct"/>
            <w:gridSpan w:val="2"/>
            <w:tcBorders>
              <w:top w:val="single" w:sz="4" w:space="0" w:color="auto"/>
              <w:left w:val="nil"/>
              <w:bottom w:val="single" w:sz="4" w:space="0" w:color="auto"/>
              <w:right w:val="nil"/>
            </w:tcBorders>
            <w:shd w:val="clear" w:color="auto" w:fill="FFFFFF"/>
            <w:vAlign w:val="bottom"/>
          </w:tcPr>
          <w:p w14:paraId="2741CBD8" w14:textId="77777777" w:rsidR="002215A6" w:rsidRPr="001B4E34" w:rsidRDefault="002215A6" w:rsidP="002215A6">
            <w:pPr>
              <w:jc w:val="right"/>
              <w:rPr>
                <w:b/>
                <w:szCs w:val="18"/>
                <w:lang w:val="en-US"/>
              </w:rPr>
            </w:pPr>
            <w:r w:rsidRPr="001B4E34">
              <w:rPr>
                <w:b/>
                <w:szCs w:val="18"/>
                <w:lang w:val="en-US"/>
              </w:rPr>
              <w:t>120</w:t>
            </w:r>
          </w:p>
        </w:tc>
        <w:tc>
          <w:tcPr>
            <w:tcW w:w="738" w:type="pct"/>
            <w:gridSpan w:val="2"/>
            <w:tcBorders>
              <w:top w:val="single" w:sz="4" w:space="0" w:color="auto"/>
              <w:left w:val="nil"/>
              <w:bottom w:val="single" w:sz="4" w:space="0" w:color="auto"/>
              <w:right w:val="nil"/>
            </w:tcBorders>
            <w:shd w:val="clear" w:color="auto" w:fill="FFFFFF"/>
            <w:noWrap/>
            <w:vAlign w:val="bottom"/>
          </w:tcPr>
          <w:p w14:paraId="2235E6C0" w14:textId="77777777" w:rsidR="002215A6" w:rsidRPr="001B4E34" w:rsidRDefault="002215A6" w:rsidP="002215A6">
            <w:pPr>
              <w:jc w:val="right"/>
              <w:rPr>
                <w:b/>
                <w:szCs w:val="18"/>
                <w:lang w:val="en-US"/>
              </w:rPr>
            </w:pPr>
            <w:r w:rsidRPr="001B4E34">
              <w:rPr>
                <w:b/>
                <w:szCs w:val="18"/>
                <w:lang w:val="en-US"/>
              </w:rPr>
              <w:t>18</w:t>
            </w:r>
          </w:p>
        </w:tc>
        <w:tc>
          <w:tcPr>
            <w:tcW w:w="554" w:type="pct"/>
            <w:tcBorders>
              <w:top w:val="single" w:sz="4" w:space="0" w:color="auto"/>
              <w:left w:val="nil"/>
              <w:bottom w:val="single" w:sz="4" w:space="0" w:color="auto"/>
              <w:right w:val="nil"/>
            </w:tcBorders>
            <w:shd w:val="clear" w:color="auto" w:fill="FFFFFF"/>
            <w:vAlign w:val="bottom"/>
          </w:tcPr>
          <w:p w14:paraId="08E21FF5" w14:textId="77777777" w:rsidR="002215A6" w:rsidRPr="001314E9" w:rsidRDefault="002215A6" w:rsidP="002215A6">
            <w:pPr>
              <w:jc w:val="right"/>
              <w:rPr>
                <w:b/>
                <w:szCs w:val="18"/>
                <w:lang w:val="en-US"/>
              </w:rPr>
            </w:pPr>
            <w:r>
              <w:rPr>
                <w:b/>
                <w:szCs w:val="18"/>
                <w:lang w:val="en-US"/>
              </w:rPr>
              <w:t>138</w:t>
            </w:r>
          </w:p>
        </w:tc>
      </w:tr>
      <w:tr w:rsidR="002215A6" w:rsidRPr="00C05614" w14:paraId="0B297CD4" w14:textId="77777777" w:rsidTr="002215A6">
        <w:trPr>
          <w:trHeight w:val="255"/>
        </w:trPr>
        <w:tc>
          <w:tcPr>
            <w:tcW w:w="3486" w:type="pct"/>
            <w:gridSpan w:val="2"/>
            <w:tcBorders>
              <w:top w:val="nil"/>
              <w:left w:val="nil"/>
              <w:bottom w:val="nil"/>
              <w:right w:val="nil"/>
            </w:tcBorders>
            <w:shd w:val="clear" w:color="auto" w:fill="FFFFFF"/>
            <w:vAlign w:val="bottom"/>
          </w:tcPr>
          <w:p w14:paraId="5BAC8B55" w14:textId="77777777" w:rsidR="002215A6" w:rsidRPr="001B4E34" w:rsidRDefault="002215A6" w:rsidP="002215A6">
            <w:pPr>
              <w:rPr>
                <w:b/>
                <w:szCs w:val="18"/>
                <w:lang w:val="en-US"/>
              </w:rPr>
            </w:pPr>
            <w:r w:rsidRPr="001B4E34">
              <w:rPr>
                <w:b/>
                <w:bCs/>
                <w:szCs w:val="18"/>
                <w:lang w:val="en-US"/>
              </w:rPr>
              <w:t>Net book value as of 30 June 2017 represented by:</w:t>
            </w:r>
          </w:p>
        </w:tc>
        <w:tc>
          <w:tcPr>
            <w:tcW w:w="776" w:type="pct"/>
            <w:gridSpan w:val="2"/>
            <w:tcBorders>
              <w:top w:val="nil"/>
              <w:left w:val="nil"/>
              <w:bottom w:val="nil"/>
              <w:right w:val="nil"/>
            </w:tcBorders>
            <w:shd w:val="clear" w:color="auto" w:fill="FFFFFF"/>
            <w:noWrap/>
            <w:vAlign w:val="bottom"/>
          </w:tcPr>
          <w:p w14:paraId="056A12A6" w14:textId="77777777" w:rsidR="002215A6" w:rsidRPr="001B4E34" w:rsidRDefault="002215A6" w:rsidP="002215A6">
            <w:pPr>
              <w:jc w:val="right"/>
              <w:rPr>
                <w:b/>
                <w:szCs w:val="18"/>
                <w:lang w:val="en-US"/>
              </w:rPr>
            </w:pPr>
          </w:p>
        </w:tc>
        <w:tc>
          <w:tcPr>
            <w:tcW w:w="738" w:type="pct"/>
            <w:gridSpan w:val="3"/>
            <w:tcBorders>
              <w:top w:val="nil"/>
              <w:left w:val="nil"/>
              <w:bottom w:val="nil"/>
              <w:right w:val="nil"/>
            </w:tcBorders>
            <w:shd w:val="clear" w:color="auto" w:fill="FFFFFF"/>
            <w:vAlign w:val="bottom"/>
          </w:tcPr>
          <w:p w14:paraId="515A2AD1" w14:textId="77777777" w:rsidR="002215A6" w:rsidRPr="001B4E34" w:rsidRDefault="002215A6" w:rsidP="002215A6">
            <w:pPr>
              <w:jc w:val="right"/>
              <w:rPr>
                <w:szCs w:val="18"/>
                <w:lang w:val="en-US"/>
              </w:rPr>
            </w:pPr>
          </w:p>
        </w:tc>
      </w:tr>
      <w:tr w:rsidR="002215A6" w:rsidRPr="00C05614" w14:paraId="56D7EB86" w14:textId="77777777" w:rsidTr="002215A6">
        <w:trPr>
          <w:gridAfter w:val="1"/>
          <w:wAfter w:w="37" w:type="pct"/>
          <w:trHeight w:val="255"/>
        </w:trPr>
        <w:tc>
          <w:tcPr>
            <w:tcW w:w="2769" w:type="pct"/>
            <w:tcBorders>
              <w:top w:val="nil"/>
              <w:left w:val="nil"/>
              <w:bottom w:val="nil"/>
              <w:right w:val="nil"/>
            </w:tcBorders>
            <w:shd w:val="clear" w:color="auto" w:fill="FFFFFF"/>
            <w:vAlign w:val="bottom"/>
          </w:tcPr>
          <w:p w14:paraId="51A68FE1" w14:textId="77777777" w:rsidR="002215A6" w:rsidRPr="00C05614" w:rsidRDefault="002215A6" w:rsidP="002215A6">
            <w:pPr>
              <w:ind w:left="34"/>
              <w:rPr>
                <w:szCs w:val="18"/>
                <w:lang w:val="en-US"/>
              </w:rPr>
            </w:pPr>
            <w:r w:rsidRPr="00C05614">
              <w:rPr>
                <w:szCs w:val="18"/>
                <w:lang w:val="en-US"/>
              </w:rPr>
              <w:t>Gross book value</w:t>
            </w:r>
          </w:p>
        </w:tc>
        <w:tc>
          <w:tcPr>
            <w:tcW w:w="902" w:type="pct"/>
            <w:gridSpan w:val="2"/>
            <w:tcBorders>
              <w:top w:val="nil"/>
              <w:left w:val="nil"/>
              <w:bottom w:val="nil"/>
              <w:right w:val="nil"/>
            </w:tcBorders>
            <w:shd w:val="clear" w:color="auto" w:fill="FFFFFF"/>
            <w:vAlign w:val="bottom"/>
          </w:tcPr>
          <w:p w14:paraId="7DEA93C9" w14:textId="77777777" w:rsidR="002215A6" w:rsidRPr="001B4E34" w:rsidRDefault="002215A6" w:rsidP="002215A6">
            <w:pPr>
              <w:jc w:val="right"/>
              <w:rPr>
                <w:b/>
                <w:szCs w:val="18"/>
                <w:lang w:val="en-US"/>
              </w:rPr>
            </w:pPr>
            <w:r w:rsidRPr="001B4E34">
              <w:rPr>
                <w:b/>
                <w:szCs w:val="18"/>
                <w:lang w:val="en-US"/>
              </w:rPr>
              <w:t>479</w:t>
            </w:r>
          </w:p>
        </w:tc>
        <w:tc>
          <w:tcPr>
            <w:tcW w:w="738" w:type="pct"/>
            <w:gridSpan w:val="2"/>
            <w:tcBorders>
              <w:top w:val="nil"/>
              <w:left w:val="nil"/>
              <w:bottom w:val="nil"/>
              <w:right w:val="nil"/>
            </w:tcBorders>
            <w:shd w:val="clear" w:color="auto" w:fill="FFFFFF"/>
            <w:noWrap/>
            <w:vAlign w:val="bottom"/>
          </w:tcPr>
          <w:p w14:paraId="2B347930" w14:textId="77777777" w:rsidR="002215A6" w:rsidRPr="001B4E34" w:rsidRDefault="002215A6" w:rsidP="002215A6">
            <w:pPr>
              <w:jc w:val="right"/>
              <w:rPr>
                <w:b/>
                <w:szCs w:val="18"/>
                <w:lang w:val="en-US"/>
              </w:rPr>
            </w:pPr>
            <w:r w:rsidRPr="001B4E34">
              <w:rPr>
                <w:b/>
                <w:szCs w:val="18"/>
                <w:lang w:val="en-US"/>
              </w:rPr>
              <w:t>103</w:t>
            </w:r>
          </w:p>
        </w:tc>
        <w:tc>
          <w:tcPr>
            <w:tcW w:w="554" w:type="pct"/>
            <w:tcBorders>
              <w:top w:val="nil"/>
              <w:left w:val="nil"/>
              <w:right w:val="nil"/>
            </w:tcBorders>
            <w:shd w:val="clear" w:color="auto" w:fill="FFFFFF"/>
            <w:vAlign w:val="bottom"/>
          </w:tcPr>
          <w:p w14:paraId="1719E0F6" w14:textId="77777777" w:rsidR="002215A6" w:rsidRPr="0014022D" w:rsidRDefault="002215A6" w:rsidP="002215A6">
            <w:pPr>
              <w:jc w:val="right"/>
              <w:rPr>
                <w:b/>
                <w:szCs w:val="18"/>
                <w:lang w:val="en-US"/>
              </w:rPr>
            </w:pPr>
            <w:r>
              <w:rPr>
                <w:b/>
                <w:szCs w:val="18"/>
                <w:lang w:val="en-US"/>
              </w:rPr>
              <w:t>582</w:t>
            </w:r>
          </w:p>
        </w:tc>
      </w:tr>
      <w:tr w:rsidR="002215A6" w:rsidRPr="00C05614" w14:paraId="4E97FE9E" w14:textId="77777777" w:rsidTr="002215A6">
        <w:trPr>
          <w:gridAfter w:val="1"/>
          <w:wAfter w:w="37" w:type="pct"/>
          <w:trHeight w:val="255"/>
        </w:trPr>
        <w:tc>
          <w:tcPr>
            <w:tcW w:w="2769" w:type="pct"/>
            <w:tcBorders>
              <w:top w:val="nil"/>
              <w:left w:val="nil"/>
              <w:bottom w:val="nil"/>
              <w:right w:val="nil"/>
            </w:tcBorders>
            <w:shd w:val="clear" w:color="auto" w:fill="FFFFFF"/>
            <w:vAlign w:val="bottom"/>
          </w:tcPr>
          <w:p w14:paraId="34734953" w14:textId="77777777" w:rsidR="002215A6" w:rsidRPr="00C05614" w:rsidRDefault="002215A6" w:rsidP="002215A6">
            <w:pPr>
              <w:ind w:left="34"/>
              <w:rPr>
                <w:szCs w:val="18"/>
                <w:lang w:val="en-US"/>
              </w:rPr>
            </w:pPr>
            <w:r w:rsidRPr="00C05614">
              <w:rPr>
                <w:szCs w:val="18"/>
                <w:lang w:val="en-US"/>
              </w:rPr>
              <w:t>Accumulated</w:t>
            </w:r>
            <w:r>
              <w:rPr>
                <w:szCs w:val="18"/>
                <w:lang w:val="en-US"/>
              </w:rPr>
              <w:t xml:space="preserve"> </w:t>
            </w:r>
            <w:r w:rsidRPr="00C05614">
              <w:rPr>
                <w:szCs w:val="18"/>
                <w:lang w:val="en-US"/>
              </w:rPr>
              <w:t>depreciation</w:t>
            </w:r>
            <w:r>
              <w:rPr>
                <w:szCs w:val="18"/>
                <w:lang w:val="en-US"/>
              </w:rPr>
              <w:t xml:space="preserve"> and impairment</w:t>
            </w:r>
          </w:p>
        </w:tc>
        <w:tc>
          <w:tcPr>
            <w:tcW w:w="902" w:type="pct"/>
            <w:gridSpan w:val="2"/>
            <w:tcBorders>
              <w:top w:val="nil"/>
              <w:left w:val="nil"/>
              <w:bottom w:val="single" w:sz="4" w:space="0" w:color="auto"/>
              <w:right w:val="nil"/>
            </w:tcBorders>
            <w:shd w:val="clear" w:color="auto" w:fill="FFFFFF"/>
            <w:vAlign w:val="bottom"/>
          </w:tcPr>
          <w:p w14:paraId="45D0C03B" w14:textId="77777777" w:rsidR="002215A6" w:rsidRPr="001B4E34" w:rsidRDefault="002215A6" w:rsidP="002215A6">
            <w:pPr>
              <w:jc w:val="right"/>
              <w:rPr>
                <w:b/>
                <w:szCs w:val="18"/>
                <w:lang w:val="en-US"/>
              </w:rPr>
            </w:pPr>
            <w:r w:rsidRPr="001B4E34">
              <w:rPr>
                <w:b/>
                <w:szCs w:val="18"/>
                <w:lang w:val="en-US"/>
              </w:rPr>
              <w:t>(359)</w:t>
            </w:r>
          </w:p>
        </w:tc>
        <w:tc>
          <w:tcPr>
            <w:tcW w:w="738" w:type="pct"/>
            <w:gridSpan w:val="2"/>
            <w:tcBorders>
              <w:top w:val="nil"/>
              <w:left w:val="nil"/>
              <w:bottom w:val="single" w:sz="4" w:space="0" w:color="auto"/>
              <w:right w:val="nil"/>
            </w:tcBorders>
            <w:shd w:val="clear" w:color="auto" w:fill="FFFFFF"/>
            <w:noWrap/>
            <w:vAlign w:val="bottom"/>
          </w:tcPr>
          <w:p w14:paraId="746B716B" w14:textId="77777777" w:rsidR="002215A6" w:rsidRPr="001B4E34" w:rsidRDefault="002215A6" w:rsidP="002215A6">
            <w:pPr>
              <w:jc w:val="right"/>
              <w:rPr>
                <w:b/>
                <w:szCs w:val="18"/>
                <w:lang w:val="en-US"/>
              </w:rPr>
            </w:pPr>
            <w:r w:rsidRPr="001B4E34">
              <w:rPr>
                <w:b/>
                <w:szCs w:val="18"/>
                <w:lang w:val="en-US"/>
              </w:rPr>
              <w:t>(85)</w:t>
            </w:r>
          </w:p>
        </w:tc>
        <w:tc>
          <w:tcPr>
            <w:tcW w:w="554" w:type="pct"/>
            <w:tcBorders>
              <w:top w:val="nil"/>
              <w:left w:val="nil"/>
              <w:bottom w:val="single" w:sz="4" w:space="0" w:color="auto"/>
              <w:right w:val="nil"/>
            </w:tcBorders>
            <w:shd w:val="clear" w:color="auto" w:fill="FFFFFF"/>
            <w:vAlign w:val="bottom"/>
          </w:tcPr>
          <w:p w14:paraId="58EB1BD7" w14:textId="77777777" w:rsidR="002215A6" w:rsidRPr="0014022D" w:rsidRDefault="002215A6" w:rsidP="002215A6">
            <w:pPr>
              <w:jc w:val="right"/>
              <w:rPr>
                <w:b/>
                <w:szCs w:val="18"/>
                <w:lang w:val="en-US"/>
              </w:rPr>
            </w:pPr>
            <w:r>
              <w:rPr>
                <w:b/>
                <w:szCs w:val="18"/>
                <w:lang w:val="en-US"/>
              </w:rPr>
              <w:t>(444)</w:t>
            </w:r>
          </w:p>
        </w:tc>
      </w:tr>
      <w:tr w:rsidR="002215A6" w:rsidRPr="00C05614" w14:paraId="7DD46BFE" w14:textId="77777777" w:rsidTr="002215A6">
        <w:trPr>
          <w:gridAfter w:val="1"/>
          <w:wAfter w:w="37" w:type="pct"/>
          <w:trHeight w:val="255"/>
        </w:trPr>
        <w:tc>
          <w:tcPr>
            <w:tcW w:w="2769" w:type="pct"/>
            <w:tcBorders>
              <w:top w:val="nil"/>
              <w:left w:val="nil"/>
              <w:bottom w:val="nil"/>
              <w:right w:val="nil"/>
            </w:tcBorders>
            <w:shd w:val="clear" w:color="auto" w:fill="auto"/>
            <w:vAlign w:val="bottom"/>
          </w:tcPr>
          <w:p w14:paraId="380FC260" w14:textId="77777777" w:rsidR="002215A6" w:rsidRPr="00C05614" w:rsidRDefault="002215A6" w:rsidP="002215A6">
            <w:pPr>
              <w:ind w:left="34"/>
              <w:rPr>
                <w:b/>
                <w:bCs/>
                <w:i/>
                <w:iCs/>
                <w:szCs w:val="18"/>
                <w:lang w:val="en-US"/>
              </w:rPr>
            </w:pPr>
          </w:p>
        </w:tc>
        <w:tc>
          <w:tcPr>
            <w:tcW w:w="902" w:type="pct"/>
            <w:gridSpan w:val="2"/>
            <w:tcBorders>
              <w:top w:val="nil"/>
              <w:left w:val="nil"/>
              <w:bottom w:val="single" w:sz="4" w:space="0" w:color="auto"/>
              <w:right w:val="nil"/>
            </w:tcBorders>
            <w:vAlign w:val="bottom"/>
          </w:tcPr>
          <w:p w14:paraId="4FA0A195" w14:textId="77777777" w:rsidR="002215A6" w:rsidRPr="001B4E34" w:rsidRDefault="002215A6" w:rsidP="002215A6">
            <w:pPr>
              <w:jc w:val="right"/>
              <w:rPr>
                <w:b/>
                <w:szCs w:val="18"/>
                <w:lang w:val="en-US"/>
              </w:rPr>
            </w:pPr>
            <w:r w:rsidRPr="001B4E34">
              <w:rPr>
                <w:b/>
                <w:szCs w:val="18"/>
                <w:lang w:val="en-US"/>
              </w:rPr>
              <w:t>12</w:t>
            </w:r>
            <w:r>
              <w:rPr>
                <w:b/>
                <w:szCs w:val="18"/>
                <w:lang w:val="en-US"/>
              </w:rPr>
              <w:t>0</w:t>
            </w:r>
          </w:p>
        </w:tc>
        <w:tc>
          <w:tcPr>
            <w:tcW w:w="738" w:type="pct"/>
            <w:gridSpan w:val="2"/>
            <w:tcBorders>
              <w:top w:val="nil"/>
              <w:left w:val="nil"/>
              <w:bottom w:val="single" w:sz="4" w:space="0" w:color="auto"/>
              <w:right w:val="nil"/>
            </w:tcBorders>
            <w:shd w:val="clear" w:color="auto" w:fill="FFFFFF"/>
            <w:noWrap/>
            <w:vAlign w:val="bottom"/>
          </w:tcPr>
          <w:p w14:paraId="6063C09F" w14:textId="77777777" w:rsidR="002215A6" w:rsidRPr="001B4E34" w:rsidRDefault="002215A6" w:rsidP="002215A6">
            <w:pPr>
              <w:jc w:val="right"/>
              <w:rPr>
                <w:b/>
                <w:szCs w:val="18"/>
                <w:lang w:val="en-US"/>
              </w:rPr>
            </w:pPr>
            <w:r w:rsidRPr="001B4E34">
              <w:rPr>
                <w:b/>
                <w:szCs w:val="18"/>
                <w:lang w:val="en-US"/>
              </w:rPr>
              <w:t>18</w:t>
            </w:r>
          </w:p>
        </w:tc>
        <w:tc>
          <w:tcPr>
            <w:tcW w:w="554" w:type="pct"/>
            <w:tcBorders>
              <w:top w:val="single" w:sz="4" w:space="0" w:color="auto"/>
              <w:left w:val="nil"/>
              <w:bottom w:val="single" w:sz="4" w:space="0" w:color="auto"/>
              <w:right w:val="nil"/>
            </w:tcBorders>
            <w:shd w:val="clear" w:color="auto" w:fill="FFFFFF"/>
            <w:vAlign w:val="bottom"/>
          </w:tcPr>
          <w:p w14:paraId="6DE17863" w14:textId="77777777" w:rsidR="002215A6" w:rsidRPr="0014022D" w:rsidRDefault="002215A6" w:rsidP="002215A6">
            <w:pPr>
              <w:jc w:val="right"/>
              <w:rPr>
                <w:b/>
                <w:szCs w:val="18"/>
                <w:lang w:val="en-US"/>
              </w:rPr>
            </w:pPr>
            <w:r>
              <w:rPr>
                <w:b/>
                <w:szCs w:val="18"/>
                <w:lang w:val="en-US"/>
              </w:rPr>
              <w:t>138</w:t>
            </w:r>
          </w:p>
        </w:tc>
      </w:tr>
      <w:tr w:rsidR="002215A6" w:rsidRPr="00C05614" w14:paraId="02158CA0" w14:textId="77777777" w:rsidTr="002215A6">
        <w:trPr>
          <w:gridAfter w:val="1"/>
          <w:wAfter w:w="37" w:type="pct"/>
          <w:trHeight w:val="255"/>
        </w:trPr>
        <w:tc>
          <w:tcPr>
            <w:tcW w:w="4963" w:type="pct"/>
            <w:gridSpan w:val="6"/>
            <w:tcBorders>
              <w:left w:val="nil"/>
              <w:bottom w:val="nil"/>
              <w:right w:val="nil"/>
            </w:tcBorders>
            <w:shd w:val="clear" w:color="auto" w:fill="FFFFFF"/>
            <w:vAlign w:val="bottom"/>
          </w:tcPr>
          <w:p w14:paraId="593FDD31" w14:textId="35449E1D" w:rsidR="002215A6" w:rsidRPr="00C05614" w:rsidRDefault="002215A6" w:rsidP="002215A6">
            <w:pPr>
              <w:spacing w:before="120"/>
              <w:rPr>
                <w:szCs w:val="18"/>
                <w:lang w:val="en-US"/>
              </w:rPr>
            </w:pPr>
            <w:r>
              <w:rPr>
                <w:szCs w:val="18"/>
                <w:lang w:val="en-US"/>
              </w:rPr>
              <w:t xml:space="preserve">Leasehold improvements at Level 5, 255 Elizabeth Street previously belonging to the Office </w:t>
            </w:r>
            <w:r w:rsidR="00DE4394">
              <w:rPr>
                <w:szCs w:val="18"/>
                <w:lang w:val="en-US"/>
              </w:rPr>
              <w:br/>
            </w:r>
            <w:r>
              <w:rPr>
                <w:szCs w:val="18"/>
                <w:lang w:val="en-US"/>
              </w:rPr>
              <w:t xml:space="preserve">of the Fair Work Ombudsman were received free of charge to the Commission on 1 January </w:t>
            </w:r>
            <w:r w:rsidR="00DE4394">
              <w:rPr>
                <w:szCs w:val="18"/>
                <w:lang w:val="en-US"/>
              </w:rPr>
              <w:br/>
            </w:r>
            <w:r>
              <w:rPr>
                <w:szCs w:val="18"/>
                <w:lang w:val="en-US"/>
              </w:rPr>
              <w:t xml:space="preserve">2016 and have been </w:t>
            </w:r>
            <w:proofErr w:type="spellStart"/>
            <w:r>
              <w:rPr>
                <w:szCs w:val="18"/>
                <w:lang w:val="en-US"/>
              </w:rPr>
              <w:t>recognised</w:t>
            </w:r>
            <w:proofErr w:type="spellEnd"/>
            <w:r>
              <w:rPr>
                <w:szCs w:val="18"/>
                <w:lang w:val="en-US"/>
              </w:rPr>
              <w:t xml:space="preserve"> at fair value at 30 June 2017.</w:t>
            </w:r>
          </w:p>
        </w:tc>
      </w:tr>
    </w:tbl>
    <w:p w14:paraId="0FC09837" w14:textId="77777777" w:rsidR="00195E07" w:rsidRDefault="00195E07">
      <w:pPr>
        <w:spacing w:after="160" w:line="259" w:lineRule="auto"/>
      </w:pPr>
      <w:r>
        <w:br w:type="page"/>
      </w:r>
    </w:p>
    <w:tbl>
      <w:tblPr>
        <w:tblW w:w="5000" w:type="pct"/>
        <w:tblInd w:w="-34" w:type="dxa"/>
        <w:tblLook w:val="0000" w:firstRow="0" w:lastRow="0" w:firstColumn="0" w:lastColumn="0" w:noHBand="0" w:noVBand="0"/>
        <w:tblCaption w:val="2.2 Non-Financial Assets"/>
      </w:tblPr>
      <w:tblGrid>
        <w:gridCol w:w="8494"/>
      </w:tblGrid>
      <w:tr w:rsidR="002539C2" w:rsidRPr="00C05614" w14:paraId="5409FC97" w14:textId="77777777" w:rsidTr="00E33989">
        <w:trPr>
          <w:trHeight w:val="254"/>
        </w:trPr>
        <w:tc>
          <w:tcPr>
            <w:tcW w:w="5000" w:type="pct"/>
            <w:tcBorders>
              <w:top w:val="single" w:sz="4" w:space="0" w:color="auto"/>
              <w:left w:val="single" w:sz="4" w:space="0" w:color="auto"/>
              <w:bottom w:val="single" w:sz="4" w:space="0" w:color="auto"/>
              <w:right w:val="single" w:sz="4" w:space="0" w:color="auto"/>
            </w:tcBorders>
            <w:shd w:val="clear" w:color="auto" w:fill="FFFFFF"/>
          </w:tcPr>
          <w:p w14:paraId="6A9C3166" w14:textId="77777777" w:rsidR="002539C2" w:rsidRDefault="002539C2" w:rsidP="00E33989">
            <w:pPr>
              <w:rPr>
                <w:b/>
                <w:szCs w:val="18"/>
              </w:rPr>
            </w:pPr>
            <w:r>
              <w:rPr>
                <w:b/>
                <w:szCs w:val="18"/>
              </w:rPr>
              <w:lastRenderedPageBreak/>
              <w:t>Accounting Policy</w:t>
            </w:r>
          </w:p>
          <w:p w14:paraId="05200879" w14:textId="58D12920" w:rsidR="002539C2" w:rsidRPr="002F5375" w:rsidRDefault="002539C2" w:rsidP="00E33989">
            <w:pPr>
              <w:spacing w:after="120"/>
              <w:ind w:right="284"/>
              <w:rPr>
                <w:szCs w:val="18"/>
              </w:rPr>
            </w:pPr>
            <w:r w:rsidRPr="002F5375">
              <w:rPr>
                <w:szCs w:val="18"/>
              </w:rPr>
              <w:t xml:space="preserve">Assets are recorded at cost on acquisition except as stated below. The cost of acquisition </w:t>
            </w:r>
            <w:r w:rsidR="00DE4394">
              <w:rPr>
                <w:szCs w:val="18"/>
              </w:rPr>
              <w:br/>
            </w:r>
            <w:r w:rsidRPr="002F5375">
              <w:rPr>
                <w:szCs w:val="18"/>
              </w:rPr>
              <w:t xml:space="preserve">includes the fair value of assets transferred in exchange and liabilities undertaken. Financial </w:t>
            </w:r>
            <w:r w:rsidR="00DE4394">
              <w:rPr>
                <w:szCs w:val="18"/>
              </w:rPr>
              <w:br/>
            </w:r>
            <w:r w:rsidRPr="002F5375">
              <w:rPr>
                <w:szCs w:val="18"/>
              </w:rPr>
              <w:t>assets are initially measured at their fair value plus transaction costs where appropriate.</w:t>
            </w:r>
          </w:p>
          <w:p w14:paraId="38F1CB72" w14:textId="77777777" w:rsidR="002539C2" w:rsidRPr="002F5375" w:rsidRDefault="002539C2" w:rsidP="00E33989">
            <w:pPr>
              <w:ind w:right="284"/>
              <w:rPr>
                <w:i/>
                <w:iCs/>
                <w:szCs w:val="18"/>
                <w:u w:val="single"/>
              </w:rPr>
            </w:pPr>
            <w:r w:rsidRPr="002F5375">
              <w:rPr>
                <w:i/>
                <w:iCs/>
                <w:szCs w:val="18"/>
                <w:u w:val="single"/>
              </w:rPr>
              <w:t>Asset Recognition Threshold</w:t>
            </w:r>
          </w:p>
          <w:p w14:paraId="2F16A4D0" w14:textId="0057689B" w:rsidR="002539C2" w:rsidRPr="002F5375" w:rsidRDefault="002539C2" w:rsidP="00E33989">
            <w:pPr>
              <w:spacing w:after="120"/>
              <w:ind w:right="284"/>
              <w:rPr>
                <w:szCs w:val="18"/>
              </w:rPr>
            </w:pPr>
            <w:r w:rsidRPr="002F5375">
              <w:rPr>
                <w:szCs w:val="18"/>
              </w:rPr>
              <w:t xml:space="preserve">Purchases of property, plant and equipment are recognised initially at cost in the statement </w:t>
            </w:r>
            <w:r w:rsidR="00DE4394">
              <w:rPr>
                <w:szCs w:val="18"/>
              </w:rPr>
              <w:br/>
            </w:r>
            <w:r w:rsidRPr="002F5375">
              <w:rPr>
                <w:szCs w:val="18"/>
              </w:rPr>
              <w:t>of financial position, except for purchases of leasehold improvements costi</w:t>
            </w:r>
            <w:r>
              <w:rPr>
                <w:szCs w:val="18"/>
              </w:rPr>
              <w:t xml:space="preserve">ng less than </w:t>
            </w:r>
            <w:r w:rsidR="00DE4394">
              <w:rPr>
                <w:szCs w:val="18"/>
              </w:rPr>
              <w:br/>
            </w:r>
            <w:r>
              <w:rPr>
                <w:szCs w:val="18"/>
              </w:rPr>
              <w:t>$5</w:t>
            </w:r>
            <w:r w:rsidRPr="002F5375">
              <w:rPr>
                <w:szCs w:val="18"/>
              </w:rPr>
              <w:t>0,000 and for all other purchased of property, plant and equipment costin</w:t>
            </w:r>
            <w:r>
              <w:rPr>
                <w:szCs w:val="18"/>
              </w:rPr>
              <w:t xml:space="preserve">g less than </w:t>
            </w:r>
            <w:r w:rsidR="00DE4394">
              <w:rPr>
                <w:szCs w:val="18"/>
              </w:rPr>
              <w:br/>
            </w:r>
            <w:r>
              <w:rPr>
                <w:szCs w:val="18"/>
              </w:rPr>
              <w:t>$5,0</w:t>
            </w:r>
            <w:r w:rsidRPr="002F5375">
              <w:rPr>
                <w:szCs w:val="18"/>
              </w:rPr>
              <w:t>00, which are expensed in the year of acquisition.</w:t>
            </w:r>
          </w:p>
          <w:p w14:paraId="12BD9595" w14:textId="77777777" w:rsidR="002539C2" w:rsidRPr="002F5375" w:rsidRDefault="002539C2" w:rsidP="00E33989">
            <w:pPr>
              <w:ind w:right="284"/>
              <w:rPr>
                <w:i/>
                <w:iCs/>
                <w:szCs w:val="18"/>
                <w:u w:val="single"/>
              </w:rPr>
            </w:pPr>
            <w:r w:rsidRPr="002F5375">
              <w:rPr>
                <w:i/>
                <w:iCs/>
                <w:szCs w:val="18"/>
                <w:u w:val="single"/>
              </w:rPr>
              <w:t>Revaluations</w:t>
            </w:r>
          </w:p>
          <w:p w14:paraId="0E203CB0" w14:textId="7B2063DC" w:rsidR="002539C2" w:rsidRPr="002F5375" w:rsidRDefault="002539C2" w:rsidP="00E33989">
            <w:pPr>
              <w:ind w:right="284"/>
              <w:rPr>
                <w:szCs w:val="18"/>
              </w:rPr>
            </w:pPr>
            <w:r w:rsidRPr="002F5375">
              <w:rPr>
                <w:szCs w:val="18"/>
              </w:rPr>
              <w:t xml:space="preserve">Following initial recognition at cost, property, plant and equipment are carried at fair value </w:t>
            </w:r>
            <w:r w:rsidR="00DE4394">
              <w:rPr>
                <w:szCs w:val="18"/>
              </w:rPr>
              <w:br/>
            </w:r>
            <w:r w:rsidRPr="002F5375">
              <w:rPr>
                <w:szCs w:val="18"/>
              </w:rPr>
              <w:t xml:space="preserve">less subsequent accumulated depreciation and accumulated impairment losses. Valuations </w:t>
            </w:r>
            <w:r w:rsidR="00DE4394">
              <w:rPr>
                <w:szCs w:val="18"/>
              </w:rPr>
              <w:br/>
            </w:r>
            <w:r w:rsidRPr="002F5375">
              <w:rPr>
                <w:szCs w:val="18"/>
              </w:rPr>
              <w:t xml:space="preserve">are conducted to ensure that the carrying amounts of assets do not differ materially from the assets’ fair values as at the reporting date. The regularity of independent valuations will </w:t>
            </w:r>
            <w:r w:rsidR="00DE4394">
              <w:rPr>
                <w:szCs w:val="18"/>
              </w:rPr>
              <w:br/>
            </w:r>
            <w:r w:rsidRPr="002F5375">
              <w:rPr>
                <w:szCs w:val="18"/>
              </w:rPr>
              <w:t>depend upon the volatility of movements in market values for the relevant assets.</w:t>
            </w:r>
          </w:p>
          <w:p w14:paraId="05C4F153" w14:textId="5FDCB864" w:rsidR="002539C2" w:rsidRPr="002F5375" w:rsidRDefault="002539C2" w:rsidP="00E33989">
            <w:pPr>
              <w:ind w:right="284"/>
              <w:rPr>
                <w:szCs w:val="18"/>
              </w:rPr>
            </w:pPr>
            <w:r w:rsidRPr="002F5375">
              <w:rPr>
                <w:szCs w:val="18"/>
              </w:rPr>
              <w:t xml:space="preserve">Revaluation adjustments are made on a class basis. Any revaluation increment is credited to </w:t>
            </w:r>
            <w:r w:rsidR="00DE4394">
              <w:rPr>
                <w:szCs w:val="18"/>
              </w:rPr>
              <w:br/>
            </w:r>
            <w:r w:rsidRPr="002F5375">
              <w:rPr>
                <w:szCs w:val="18"/>
              </w:rPr>
              <w:t xml:space="preserve">equity under the heading of asset revaluation reserve except to the extent that it reversed a previous revaluation decrement of the same asset class that was previously recognised in </w:t>
            </w:r>
            <w:r w:rsidR="00DE4394">
              <w:rPr>
                <w:szCs w:val="18"/>
              </w:rPr>
              <w:br/>
            </w:r>
            <w:r w:rsidRPr="002F5375">
              <w:rPr>
                <w:szCs w:val="18"/>
              </w:rPr>
              <w:t xml:space="preserve">the surplus/deficit. Revaluation decrements for a class of assets are recognised directly in </w:t>
            </w:r>
            <w:r w:rsidR="00DE4394">
              <w:rPr>
                <w:szCs w:val="18"/>
              </w:rPr>
              <w:br/>
            </w:r>
            <w:r w:rsidRPr="002F5375">
              <w:rPr>
                <w:szCs w:val="18"/>
              </w:rPr>
              <w:t xml:space="preserve">the surplus/deficit except to the extent that they reversed a previous revaluation increment </w:t>
            </w:r>
            <w:r w:rsidR="00DE4394">
              <w:rPr>
                <w:szCs w:val="18"/>
              </w:rPr>
              <w:br/>
            </w:r>
            <w:r w:rsidRPr="002F5375">
              <w:rPr>
                <w:szCs w:val="18"/>
              </w:rPr>
              <w:t>for that class.</w:t>
            </w:r>
          </w:p>
          <w:p w14:paraId="6F6AB845" w14:textId="319AB37D" w:rsidR="002539C2" w:rsidRPr="002F5375" w:rsidRDefault="002539C2" w:rsidP="00E33989">
            <w:pPr>
              <w:spacing w:after="120"/>
              <w:ind w:right="284"/>
              <w:rPr>
                <w:szCs w:val="18"/>
              </w:rPr>
            </w:pPr>
            <w:r w:rsidRPr="002F5375">
              <w:rPr>
                <w:szCs w:val="18"/>
              </w:rPr>
              <w:t xml:space="preserve">Any accumulated depreciation as at the revaluation date is eliminated against the gross </w:t>
            </w:r>
            <w:r w:rsidR="00DE4394">
              <w:rPr>
                <w:szCs w:val="18"/>
              </w:rPr>
              <w:br/>
            </w:r>
            <w:r w:rsidRPr="002F5375">
              <w:rPr>
                <w:szCs w:val="18"/>
              </w:rPr>
              <w:t>carrying amount of the asset and the asset restated to the revalued amount.</w:t>
            </w:r>
          </w:p>
          <w:p w14:paraId="6C2C14F7" w14:textId="77777777" w:rsidR="002539C2" w:rsidRPr="002F5375" w:rsidRDefault="002539C2" w:rsidP="00E33989">
            <w:pPr>
              <w:ind w:right="284"/>
              <w:rPr>
                <w:i/>
                <w:iCs/>
                <w:szCs w:val="18"/>
                <w:u w:val="single"/>
              </w:rPr>
            </w:pPr>
            <w:r w:rsidRPr="002F5375">
              <w:rPr>
                <w:i/>
                <w:iCs/>
                <w:szCs w:val="18"/>
                <w:u w:val="single"/>
              </w:rPr>
              <w:t>Depreciation</w:t>
            </w:r>
          </w:p>
          <w:p w14:paraId="722D4921" w14:textId="16E4901D" w:rsidR="002539C2" w:rsidRPr="002F5375" w:rsidRDefault="002539C2" w:rsidP="00E33989">
            <w:pPr>
              <w:ind w:right="284"/>
              <w:rPr>
                <w:szCs w:val="18"/>
              </w:rPr>
            </w:pPr>
            <w:r w:rsidRPr="002F5375">
              <w:rPr>
                <w:szCs w:val="18"/>
              </w:rPr>
              <w:t>Depreciable property, plant and equipment assets are written-off to their estimated residual values over their estimated useful lives to the Commission using, in all cases, the straight-</w:t>
            </w:r>
            <w:r w:rsidR="00DE4394">
              <w:rPr>
                <w:szCs w:val="18"/>
              </w:rPr>
              <w:br/>
            </w:r>
            <w:r w:rsidRPr="002F5375">
              <w:rPr>
                <w:szCs w:val="18"/>
              </w:rPr>
              <w:t xml:space="preserve">line method of depreciation. </w:t>
            </w:r>
          </w:p>
          <w:p w14:paraId="4E5B6B80" w14:textId="597969DF" w:rsidR="002539C2" w:rsidRPr="002F5375" w:rsidRDefault="002539C2" w:rsidP="00E33989">
            <w:pPr>
              <w:ind w:right="284"/>
              <w:rPr>
                <w:szCs w:val="18"/>
              </w:rPr>
            </w:pPr>
            <w:r w:rsidRPr="002F5375">
              <w:rPr>
                <w:szCs w:val="18"/>
              </w:rPr>
              <w:t xml:space="preserve">Depreciation rates (useful lives), residual values and methods are reviewed at each reporting date and necessary adjustments are recognised in the current, or current and future </w:t>
            </w:r>
            <w:r w:rsidR="00DE4394">
              <w:rPr>
                <w:szCs w:val="18"/>
              </w:rPr>
              <w:br/>
            </w:r>
            <w:r w:rsidRPr="002F5375">
              <w:rPr>
                <w:szCs w:val="18"/>
              </w:rPr>
              <w:t>reporting periods, as appropriate.</w:t>
            </w:r>
          </w:p>
          <w:p w14:paraId="2437F8B9" w14:textId="21DF78D7" w:rsidR="002539C2" w:rsidRPr="002F5375" w:rsidRDefault="002539C2" w:rsidP="00E33989">
            <w:pPr>
              <w:spacing w:after="120"/>
              <w:ind w:right="284"/>
              <w:rPr>
                <w:szCs w:val="18"/>
              </w:rPr>
            </w:pPr>
            <w:r w:rsidRPr="002F5375">
              <w:rPr>
                <w:szCs w:val="18"/>
              </w:rPr>
              <w:t xml:space="preserve">Depreciation rates applying to each class of depreciable asset are based on the following </w:t>
            </w:r>
            <w:r w:rsidR="00DE4394">
              <w:rPr>
                <w:szCs w:val="18"/>
              </w:rPr>
              <w:br/>
            </w:r>
            <w:r w:rsidRPr="002F5375">
              <w:rPr>
                <w:szCs w:val="18"/>
              </w:rPr>
              <w:t>useful lives:</w:t>
            </w:r>
          </w:p>
          <w:p w14:paraId="124DA847" w14:textId="77777777" w:rsidR="002539C2" w:rsidRPr="00336CFF" w:rsidRDefault="002539C2" w:rsidP="00E33989">
            <w:pPr>
              <w:ind w:right="284"/>
              <w:rPr>
                <w:b/>
                <w:szCs w:val="18"/>
              </w:rPr>
            </w:pPr>
            <w:r w:rsidRPr="00666631">
              <w:rPr>
                <w:szCs w:val="18"/>
              </w:rPr>
              <w:t>Asset Class</w:t>
            </w:r>
            <w:r w:rsidRPr="00336CFF">
              <w:rPr>
                <w:szCs w:val="18"/>
              </w:rPr>
              <w:tab/>
            </w:r>
            <w:r w:rsidRPr="00336CFF">
              <w:rPr>
                <w:szCs w:val="18"/>
              </w:rPr>
              <w:tab/>
            </w:r>
            <w:r w:rsidRPr="00336CFF">
              <w:rPr>
                <w:szCs w:val="18"/>
              </w:rPr>
              <w:tab/>
            </w:r>
            <w:r w:rsidRPr="00666631">
              <w:rPr>
                <w:szCs w:val="18"/>
              </w:rPr>
              <w:t>2017</w:t>
            </w:r>
            <w:r w:rsidRPr="00336CFF">
              <w:rPr>
                <w:szCs w:val="18"/>
              </w:rPr>
              <w:tab/>
            </w:r>
            <w:r w:rsidRPr="00336CFF">
              <w:rPr>
                <w:szCs w:val="18"/>
              </w:rPr>
              <w:tab/>
            </w:r>
            <w:r w:rsidRPr="00666631">
              <w:rPr>
                <w:szCs w:val="18"/>
              </w:rPr>
              <w:t>2016</w:t>
            </w:r>
          </w:p>
          <w:p w14:paraId="483D61D1" w14:textId="77777777" w:rsidR="002539C2" w:rsidRPr="002F5375" w:rsidRDefault="002539C2" w:rsidP="00E33989">
            <w:pPr>
              <w:ind w:right="284"/>
              <w:rPr>
                <w:szCs w:val="18"/>
              </w:rPr>
            </w:pPr>
            <w:r w:rsidRPr="002F5375">
              <w:rPr>
                <w:szCs w:val="18"/>
              </w:rPr>
              <w:t>Leasehold improvements</w:t>
            </w:r>
            <w:r w:rsidRPr="002F5375">
              <w:rPr>
                <w:szCs w:val="18"/>
              </w:rPr>
              <w:tab/>
            </w:r>
            <w:r w:rsidRPr="002F5375">
              <w:rPr>
                <w:szCs w:val="18"/>
              </w:rPr>
              <w:tab/>
              <w:t>Lease term</w:t>
            </w:r>
            <w:r w:rsidRPr="002F5375">
              <w:rPr>
                <w:szCs w:val="18"/>
              </w:rPr>
              <w:tab/>
              <w:t>Lease term</w:t>
            </w:r>
          </w:p>
          <w:p w14:paraId="75DE6757" w14:textId="77777777" w:rsidR="002539C2" w:rsidRPr="002F5375" w:rsidRDefault="002539C2" w:rsidP="00E33989">
            <w:pPr>
              <w:spacing w:after="120"/>
              <w:ind w:right="284"/>
              <w:rPr>
                <w:szCs w:val="18"/>
              </w:rPr>
            </w:pPr>
            <w:r>
              <w:rPr>
                <w:szCs w:val="18"/>
              </w:rPr>
              <w:t>Plant and equipment</w:t>
            </w:r>
            <w:r>
              <w:rPr>
                <w:szCs w:val="18"/>
              </w:rPr>
              <w:tab/>
            </w:r>
            <w:r>
              <w:rPr>
                <w:szCs w:val="18"/>
              </w:rPr>
              <w:tab/>
            </w:r>
            <w:r w:rsidRPr="002F5375">
              <w:rPr>
                <w:szCs w:val="18"/>
              </w:rPr>
              <w:t>5 years</w:t>
            </w:r>
            <w:r w:rsidRPr="002F5375">
              <w:rPr>
                <w:szCs w:val="18"/>
              </w:rPr>
              <w:tab/>
            </w:r>
            <w:r w:rsidRPr="002F5375">
              <w:rPr>
                <w:szCs w:val="18"/>
              </w:rPr>
              <w:tab/>
              <w:t>5 years</w:t>
            </w:r>
          </w:p>
          <w:p w14:paraId="702F5B54" w14:textId="77777777" w:rsidR="002539C2" w:rsidRPr="002F5375" w:rsidRDefault="002539C2" w:rsidP="00E33989">
            <w:pPr>
              <w:ind w:right="284"/>
              <w:rPr>
                <w:i/>
                <w:iCs/>
                <w:szCs w:val="18"/>
                <w:u w:val="single"/>
              </w:rPr>
            </w:pPr>
            <w:r w:rsidRPr="002F5375">
              <w:rPr>
                <w:i/>
                <w:iCs/>
                <w:szCs w:val="18"/>
                <w:u w:val="single"/>
              </w:rPr>
              <w:t>Impairment</w:t>
            </w:r>
          </w:p>
          <w:p w14:paraId="63CFA6EA" w14:textId="5F1D9D93" w:rsidR="002539C2" w:rsidRPr="002F5375" w:rsidRDefault="002539C2" w:rsidP="00E33989">
            <w:pPr>
              <w:ind w:right="284"/>
              <w:rPr>
                <w:szCs w:val="18"/>
              </w:rPr>
            </w:pPr>
            <w:r w:rsidRPr="002F5375">
              <w:rPr>
                <w:szCs w:val="18"/>
              </w:rPr>
              <w:t>All assets were assesse</w:t>
            </w:r>
            <w:r>
              <w:rPr>
                <w:szCs w:val="18"/>
              </w:rPr>
              <w:t>d for impairment at 30 June 2017</w:t>
            </w:r>
            <w:r w:rsidRPr="002F5375">
              <w:rPr>
                <w:szCs w:val="18"/>
              </w:rPr>
              <w:t xml:space="preserve">. Where indications of impairment </w:t>
            </w:r>
            <w:r w:rsidR="00DE4394">
              <w:rPr>
                <w:szCs w:val="18"/>
              </w:rPr>
              <w:br/>
            </w:r>
            <w:r w:rsidRPr="002F5375">
              <w:rPr>
                <w:szCs w:val="18"/>
              </w:rPr>
              <w:t xml:space="preserve">exist, the asset’s recoverable amount is estimated and an impairment adjustment made if the </w:t>
            </w:r>
            <w:r w:rsidR="00DE4394">
              <w:rPr>
                <w:szCs w:val="18"/>
              </w:rPr>
              <w:br/>
            </w:r>
            <w:r w:rsidRPr="002F5375">
              <w:rPr>
                <w:szCs w:val="18"/>
              </w:rPr>
              <w:t>asset’s recoverable amount is less than its carrying amount.</w:t>
            </w:r>
          </w:p>
          <w:p w14:paraId="30435386" w14:textId="167CBB21" w:rsidR="002539C2" w:rsidRPr="002F5375" w:rsidRDefault="002539C2" w:rsidP="00E33989">
            <w:pPr>
              <w:spacing w:after="120"/>
              <w:ind w:right="284"/>
              <w:rPr>
                <w:szCs w:val="18"/>
              </w:rPr>
            </w:pPr>
            <w:r w:rsidRPr="002F5375">
              <w:rPr>
                <w:szCs w:val="18"/>
              </w:rPr>
              <w:t>The recoverable amount of an asset is the higher of its fair value less costs to sell and its</w:t>
            </w:r>
            <w:r>
              <w:rPr>
                <w:szCs w:val="18"/>
              </w:rPr>
              <w:t xml:space="preserve"> </w:t>
            </w:r>
            <w:r w:rsidR="00DE4394">
              <w:rPr>
                <w:szCs w:val="18"/>
              </w:rPr>
              <w:br/>
            </w:r>
            <w:r w:rsidRPr="002F5375">
              <w:rPr>
                <w:szCs w:val="18"/>
              </w:rPr>
              <w:t xml:space="preserve">value in use. Value in use is the present value of the future cash flows expected to be </w:t>
            </w:r>
            <w:r w:rsidR="00DE4394">
              <w:rPr>
                <w:szCs w:val="18"/>
              </w:rPr>
              <w:br/>
            </w:r>
            <w:r w:rsidRPr="002F5375">
              <w:rPr>
                <w:szCs w:val="18"/>
              </w:rPr>
              <w:t xml:space="preserve">derived from the asset. Where the future economic benefit of an asset is not primarily </w:t>
            </w:r>
            <w:r w:rsidR="00DE4394">
              <w:rPr>
                <w:szCs w:val="18"/>
              </w:rPr>
              <w:br/>
            </w:r>
            <w:r w:rsidRPr="002F5375">
              <w:rPr>
                <w:szCs w:val="18"/>
              </w:rPr>
              <w:t xml:space="preserve">dependent on the asset’s ability to generate future cash flows, and the asset would be </w:t>
            </w:r>
            <w:r w:rsidR="00DE4394">
              <w:rPr>
                <w:szCs w:val="18"/>
              </w:rPr>
              <w:br/>
            </w:r>
            <w:r w:rsidRPr="002F5375">
              <w:rPr>
                <w:szCs w:val="18"/>
              </w:rPr>
              <w:t xml:space="preserve">replaced if the Commission were deprived of the asset, its value in use is taken to be its </w:t>
            </w:r>
            <w:r w:rsidR="00DE4394">
              <w:rPr>
                <w:szCs w:val="18"/>
              </w:rPr>
              <w:br/>
            </w:r>
            <w:r w:rsidRPr="002F5375">
              <w:rPr>
                <w:szCs w:val="18"/>
              </w:rPr>
              <w:t>depreciated replacement cost.</w:t>
            </w:r>
          </w:p>
          <w:p w14:paraId="21E80077" w14:textId="77777777" w:rsidR="002539C2" w:rsidRPr="002F5375" w:rsidRDefault="002539C2" w:rsidP="00E33989">
            <w:pPr>
              <w:keepNext/>
              <w:ind w:right="284"/>
              <w:rPr>
                <w:i/>
                <w:iCs/>
                <w:szCs w:val="18"/>
                <w:u w:val="single"/>
              </w:rPr>
            </w:pPr>
            <w:proofErr w:type="spellStart"/>
            <w:r w:rsidRPr="002F5375">
              <w:rPr>
                <w:i/>
                <w:iCs/>
                <w:szCs w:val="18"/>
                <w:u w:val="single"/>
              </w:rPr>
              <w:t>Derecognition</w:t>
            </w:r>
            <w:proofErr w:type="spellEnd"/>
          </w:p>
          <w:p w14:paraId="5C66A554" w14:textId="1489456A" w:rsidR="002539C2" w:rsidRDefault="002539C2" w:rsidP="00E33989">
            <w:pPr>
              <w:spacing w:after="120"/>
              <w:ind w:right="284"/>
              <w:rPr>
                <w:szCs w:val="18"/>
              </w:rPr>
            </w:pPr>
            <w:r w:rsidRPr="002F5375">
              <w:rPr>
                <w:szCs w:val="18"/>
              </w:rPr>
              <w:t xml:space="preserve">An item of property, plant and equipment is derecognised upon disposal or when no further </w:t>
            </w:r>
            <w:r w:rsidR="00DE4394">
              <w:rPr>
                <w:szCs w:val="18"/>
              </w:rPr>
              <w:br/>
            </w:r>
            <w:r w:rsidRPr="002F5375">
              <w:rPr>
                <w:szCs w:val="18"/>
              </w:rPr>
              <w:t>future economic benefits are ex</w:t>
            </w:r>
            <w:r>
              <w:rPr>
                <w:szCs w:val="18"/>
              </w:rPr>
              <w:t>pected from its use or disposal.</w:t>
            </w:r>
          </w:p>
          <w:p w14:paraId="68E16805" w14:textId="77777777" w:rsidR="002539C2" w:rsidRPr="00666631" w:rsidRDefault="002539C2" w:rsidP="00E33989">
            <w:pPr>
              <w:ind w:right="284"/>
              <w:rPr>
                <w:i/>
                <w:szCs w:val="18"/>
                <w:u w:val="single"/>
              </w:rPr>
            </w:pPr>
            <w:r w:rsidRPr="00666631">
              <w:rPr>
                <w:i/>
                <w:szCs w:val="18"/>
                <w:u w:val="single"/>
              </w:rPr>
              <w:t>Assets acquired at no cost</w:t>
            </w:r>
          </w:p>
          <w:p w14:paraId="2A608639" w14:textId="7138B179" w:rsidR="002539C2" w:rsidRPr="00BA0F83" w:rsidRDefault="002539C2" w:rsidP="00E33989">
            <w:pPr>
              <w:ind w:right="284"/>
              <w:rPr>
                <w:i/>
                <w:szCs w:val="18"/>
              </w:rPr>
            </w:pPr>
            <w:r>
              <w:rPr>
                <w:rFonts w:cs="Arial"/>
                <w:szCs w:val="18"/>
                <w:lang w:eastAsia="en-AU"/>
              </w:rPr>
              <w:t>A</w:t>
            </w:r>
            <w:r w:rsidRPr="00312590">
              <w:rPr>
                <w:rFonts w:cs="Arial"/>
                <w:szCs w:val="18"/>
                <w:lang w:eastAsia="en-AU"/>
              </w:rPr>
              <w:t>ssets at no cost of acquisition or for nominal consi</w:t>
            </w:r>
            <w:r>
              <w:rPr>
                <w:rFonts w:cs="Arial"/>
                <w:szCs w:val="18"/>
                <w:lang w:eastAsia="en-AU"/>
              </w:rPr>
              <w:t>deration are recognised</w:t>
            </w:r>
            <w:r w:rsidRPr="00312590">
              <w:rPr>
                <w:rFonts w:cs="Arial"/>
                <w:szCs w:val="18"/>
                <w:lang w:eastAsia="en-AU"/>
              </w:rPr>
              <w:t xml:space="preserve"> at their fair value </w:t>
            </w:r>
            <w:r w:rsidR="00DE4394">
              <w:rPr>
                <w:rFonts w:cs="Arial"/>
                <w:szCs w:val="18"/>
                <w:lang w:eastAsia="en-AU"/>
              </w:rPr>
              <w:br/>
            </w:r>
            <w:r w:rsidRPr="00312590">
              <w:rPr>
                <w:rFonts w:cs="Arial"/>
                <w:szCs w:val="18"/>
                <w:lang w:eastAsia="en-AU"/>
              </w:rPr>
              <w:t xml:space="preserve">when the </w:t>
            </w:r>
            <w:r>
              <w:rPr>
                <w:rFonts w:cs="Arial"/>
                <w:szCs w:val="18"/>
                <w:lang w:eastAsia="en-AU"/>
              </w:rPr>
              <w:t>asset qualifies for recognition.</w:t>
            </w:r>
          </w:p>
        </w:tc>
      </w:tr>
    </w:tbl>
    <w:p w14:paraId="1E2C1C6D" w14:textId="77777777" w:rsidR="00195E07" w:rsidRDefault="00195E07" w:rsidP="002215A6">
      <w:pPr>
        <w:pStyle w:val="BodyText"/>
        <w:spacing w:after="40" w:line="220" w:lineRule="atLeast"/>
      </w:pPr>
      <w:r>
        <w:br w:type="page"/>
      </w:r>
    </w:p>
    <w:tbl>
      <w:tblPr>
        <w:tblW w:w="5000" w:type="pct"/>
        <w:tblLook w:val="0000" w:firstRow="0" w:lastRow="0" w:firstColumn="0" w:lastColumn="0" w:noHBand="0" w:noVBand="0"/>
      </w:tblPr>
      <w:tblGrid>
        <w:gridCol w:w="6041"/>
        <w:gridCol w:w="1515"/>
        <w:gridCol w:w="938"/>
      </w:tblGrid>
      <w:tr w:rsidR="002215A6" w:rsidRPr="00C05614" w14:paraId="5A6B5D2D" w14:textId="77777777" w:rsidTr="002215A6">
        <w:trPr>
          <w:trHeight w:val="271"/>
        </w:trPr>
        <w:tc>
          <w:tcPr>
            <w:tcW w:w="3556" w:type="pct"/>
            <w:tcBorders>
              <w:top w:val="nil"/>
              <w:left w:val="nil"/>
              <w:bottom w:val="nil"/>
              <w:right w:val="nil"/>
            </w:tcBorders>
            <w:shd w:val="clear" w:color="auto" w:fill="FFFFFF"/>
          </w:tcPr>
          <w:p w14:paraId="1D4B46D5" w14:textId="77777777" w:rsidR="002215A6" w:rsidRPr="00C05614" w:rsidRDefault="002215A6" w:rsidP="002215A6">
            <w:pPr>
              <w:ind w:left="34"/>
              <w:rPr>
                <w:szCs w:val="18"/>
                <w:lang w:val="en-US"/>
              </w:rPr>
            </w:pPr>
            <w:r>
              <w:lastRenderedPageBreak/>
              <w:br w:type="page"/>
            </w:r>
            <w:r w:rsidRPr="00C05614">
              <w:rPr>
                <w:szCs w:val="18"/>
                <w:lang w:val="en-US"/>
              </w:rPr>
              <w:t> </w:t>
            </w:r>
          </w:p>
        </w:tc>
        <w:tc>
          <w:tcPr>
            <w:tcW w:w="892" w:type="pct"/>
            <w:tcBorders>
              <w:top w:val="nil"/>
              <w:left w:val="nil"/>
              <w:bottom w:val="nil"/>
              <w:right w:val="nil"/>
            </w:tcBorders>
            <w:shd w:val="clear" w:color="auto" w:fill="FFFFFF"/>
            <w:vAlign w:val="bottom"/>
          </w:tcPr>
          <w:p w14:paraId="6BE92CEC" w14:textId="77777777" w:rsidR="002215A6" w:rsidRPr="00C05614" w:rsidRDefault="002215A6" w:rsidP="002215A6">
            <w:pPr>
              <w:ind w:left="34"/>
              <w:jc w:val="right"/>
              <w:rPr>
                <w:b/>
                <w:bCs/>
                <w:szCs w:val="18"/>
                <w:lang w:val="en-US"/>
              </w:rPr>
            </w:pPr>
            <w:r>
              <w:rPr>
                <w:b/>
                <w:bCs/>
                <w:szCs w:val="18"/>
                <w:lang w:val="en-US"/>
              </w:rPr>
              <w:t>2017</w:t>
            </w:r>
          </w:p>
        </w:tc>
        <w:tc>
          <w:tcPr>
            <w:tcW w:w="552" w:type="pct"/>
            <w:tcBorders>
              <w:top w:val="nil"/>
              <w:left w:val="nil"/>
              <w:bottom w:val="nil"/>
              <w:right w:val="nil"/>
            </w:tcBorders>
            <w:shd w:val="clear" w:color="auto" w:fill="FFFFFF"/>
            <w:vAlign w:val="bottom"/>
          </w:tcPr>
          <w:p w14:paraId="6B6D47E0" w14:textId="77777777" w:rsidR="002215A6" w:rsidRPr="00C05614" w:rsidRDefault="002215A6" w:rsidP="002215A6">
            <w:pPr>
              <w:ind w:left="34"/>
              <w:jc w:val="right"/>
              <w:rPr>
                <w:bCs/>
                <w:szCs w:val="18"/>
                <w:lang w:val="en-US"/>
              </w:rPr>
            </w:pPr>
            <w:r>
              <w:rPr>
                <w:bCs/>
                <w:szCs w:val="18"/>
                <w:lang w:val="en-US"/>
              </w:rPr>
              <w:t>2016</w:t>
            </w:r>
          </w:p>
        </w:tc>
      </w:tr>
      <w:tr w:rsidR="002215A6" w:rsidRPr="00C05614" w14:paraId="190D7AAF" w14:textId="77777777" w:rsidTr="002215A6">
        <w:trPr>
          <w:trHeight w:val="271"/>
        </w:trPr>
        <w:tc>
          <w:tcPr>
            <w:tcW w:w="3556" w:type="pct"/>
            <w:tcBorders>
              <w:top w:val="nil"/>
              <w:left w:val="nil"/>
              <w:bottom w:val="nil"/>
              <w:right w:val="nil"/>
            </w:tcBorders>
            <w:shd w:val="clear" w:color="auto" w:fill="FFFFFF"/>
          </w:tcPr>
          <w:p w14:paraId="63E26A7A" w14:textId="77777777" w:rsidR="002215A6" w:rsidRPr="00C05614" w:rsidRDefault="002215A6" w:rsidP="002215A6">
            <w:pPr>
              <w:ind w:left="34"/>
              <w:rPr>
                <w:szCs w:val="18"/>
                <w:lang w:val="en-US"/>
              </w:rPr>
            </w:pPr>
            <w:r w:rsidRPr="00C05614">
              <w:rPr>
                <w:szCs w:val="18"/>
                <w:lang w:val="en-US"/>
              </w:rPr>
              <w:t> </w:t>
            </w:r>
          </w:p>
        </w:tc>
        <w:tc>
          <w:tcPr>
            <w:tcW w:w="892" w:type="pct"/>
            <w:tcBorders>
              <w:top w:val="nil"/>
              <w:left w:val="nil"/>
              <w:bottom w:val="nil"/>
              <w:right w:val="nil"/>
            </w:tcBorders>
            <w:shd w:val="clear" w:color="auto" w:fill="FFFFFF"/>
            <w:vAlign w:val="bottom"/>
          </w:tcPr>
          <w:p w14:paraId="001BB014" w14:textId="77777777" w:rsidR="002215A6" w:rsidRPr="00C05614" w:rsidRDefault="002215A6" w:rsidP="002215A6">
            <w:pPr>
              <w:ind w:left="34"/>
              <w:jc w:val="right"/>
              <w:rPr>
                <w:b/>
                <w:bCs/>
                <w:szCs w:val="18"/>
                <w:lang w:val="en-US"/>
              </w:rPr>
            </w:pPr>
            <w:r w:rsidRPr="00C05614">
              <w:rPr>
                <w:b/>
                <w:bCs/>
                <w:szCs w:val="18"/>
                <w:lang w:val="en-US"/>
              </w:rPr>
              <w:t>$’000</w:t>
            </w:r>
          </w:p>
        </w:tc>
        <w:tc>
          <w:tcPr>
            <w:tcW w:w="552" w:type="pct"/>
            <w:tcBorders>
              <w:top w:val="nil"/>
              <w:left w:val="nil"/>
              <w:bottom w:val="nil"/>
              <w:right w:val="nil"/>
            </w:tcBorders>
            <w:shd w:val="clear" w:color="auto" w:fill="FFFFFF"/>
            <w:vAlign w:val="bottom"/>
          </w:tcPr>
          <w:p w14:paraId="413E9601" w14:textId="77777777" w:rsidR="002215A6" w:rsidRPr="00C05614" w:rsidRDefault="002215A6" w:rsidP="002215A6">
            <w:pPr>
              <w:ind w:left="34"/>
              <w:jc w:val="right"/>
              <w:rPr>
                <w:bCs/>
                <w:szCs w:val="18"/>
                <w:lang w:val="en-US"/>
              </w:rPr>
            </w:pPr>
            <w:r w:rsidRPr="00C05614">
              <w:rPr>
                <w:bCs/>
                <w:szCs w:val="18"/>
                <w:lang w:val="en-US"/>
              </w:rPr>
              <w:t>$’000</w:t>
            </w:r>
          </w:p>
        </w:tc>
      </w:tr>
      <w:tr w:rsidR="002215A6" w:rsidRPr="00C05614" w14:paraId="0453DFBE" w14:textId="77777777" w:rsidTr="002215A6">
        <w:trPr>
          <w:trHeight w:val="255"/>
        </w:trPr>
        <w:tc>
          <w:tcPr>
            <w:tcW w:w="3556" w:type="pct"/>
            <w:tcBorders>
              <w:top w:val="nil"/>
              <w:left w:val="nil"/>
              <w:bottom w:val="nil"/>
              <w:right w:val="nil"/>
            </w:tcBorders>
            <w:shd w:val="clear" w:color="auto" w:fill="FFFFFF"/>
            <w:vAlign w:val="bottom"/>
          </w:tcPr>
          <w:p w14:paraId="35285707" w14:textId="77777777" w:rsidR="002215A6" w:rsidRPr="007C3F2D" w:rsidRDefault="002215A6" w:rsidP="002215A6">
            <w:pPr>
              <w:pStyle w:val="Heading4"/>
              <w:ind w:left="36"/>
              <w:rPr>
                <w:b w:val="0"/>
                <w:bCs/>
                <w:color w:val="auto"/>
                <w:sz w:val="21"/>
                <w:szCs w:val="21"/>
                <w:u w:val="single"/>
                <w:lang w:val="en-US"/>
              </w:rPr>
            </w:pPr>
            <w:r w:rsidRPr="007C3F2D">
              <w:rPr>
                <w:color w:val="auto"/>
                <w:sz w:val="21"/>
                <w:szCs w:val="21"/>
                <w:lang w:val="en-US"/>
              </w:rPr>
              <w:t>2.2B: Other Non-Financial Assets</w:t>
            </w:r>
          </w:p>
        </w:tc>
        <w:tc>
          <w:tcPr>
            <w:tcW w:w="892" w:type="pct"/>
            <w:tcBorders>
              <w:top w:val="nil"/>
              <w:left w:val="nil"/>
              <w:bottom w:val="nil"/>
              <w:right w:val="nil"/>
            </w:tcBorders>
            <w:shd w:val="clear" w:color="auto" w:fill="FFFFFF"/>
            <w:vAlign w:val="bottom"/>
          </w:tcPr>
          <w:p w14:paraId="679F7E02" w14:textId="77777777" w:rsidR="002215A6" w:rsidRPr="00C05614" w:rsidRDefault="002215A6" w:rsidP="002215A6">
            <w:pPr>
              <w:ind w:left="34"/>
              <w:jc w:val="right"/>
              <w:rPr>
                <w:b/>
                <w:bCs/>
                <w:szCs w:val="18"/>
                <w:lang w:val="en-US"/>
              </w:rPr>
            </w:pPr>
            <w:r w:rsidRPr="00C05614">
              <w:rPr>
                <w:b/>
                <w:bCs/>
                <w:szCs w:val="18"/>
                <w:lang w:val="en-US"/>
              </w:rPr>
              <w:t> </w:t>
            </w:r>
          </w:p>
        </w:tc>
        <w:tc>
          <w:tcPr>
            <w:tcW w:w="552" w:type="pct"/>
            <w:tcBorders>
              <w:top w:val="nil"/>
              <w:left w:val="nil"/>
              <w:right w:val="nil"/>
            </w:tcBorders>
            <w:shd w:val="clear" w:color="auto" w:fill="FFFFFF"/>
            <w:noWrap/>
            <w:vAlign w:val="bottom"/>
          </w:tcPr>
          <w:p w14:paraId="6CB20417" w14:textId="77777777" w:rsidR="002215A6" w:rsidRPr="00C05614" w:rsidRDefault="002215A6" w:rsidP="002215A6">
            <w:pPr>
              <w:jc w:val="right"/>
              <w:rPr>
                <w:b/>
                <w:bCs/>
                <w:szCs w:val="18"/>
                <w:lang w:val="en-US"/>
              </w:rPr>
            </w:pPr>
            <w:r w:rsidRPr="00C05614">
              <w:rPr>
                <w:b/>
                <w:bCs/>
                <w:szCs w:val="18"/>
                <w:lang w:val="en-US"/>
              </w:rPr>
              <w:t> </w:t>
            </w:r>
          </w:p>
        </w:tc>
      </w:tr>
      <w:tr w:rsidR="002215A6" w:rsidRPr="00C05614" w14:paraId="10CA83DE" w14:textId="77777777" w:rsidTr="002215A6">
        <w:trPr>
          <w:trHeight w:val="255"/>
        </w:trPr>
        <w:tc>
          <w:tcPr>
            <w:tcW w:w="3556" w:type="pct"/>
            <w:tcBorders>
              <w:top w:val="nil"/>
              <w:left w:val="nil"/>
              <w:bottom w:val="nil"/>
              <w:right w:val="nil"/>
            </w:tcBorders>
            <w:shd w:val="clear" w:color="auto" w:fill="FFFFFF"/>
            <w:vAlign w:val="bottom"/>
          </w:tcPr>
          <w:p w14:paraId="20BB3964" w14:textId="77777777" w:rsidR="002215A6" w:rsidRPr="00C05614" w:rsidRDefault="002215A6" w:rsidP="002215A6">
            <w:pPr>
              <w:ind w:left="176"/>
              <w:rPr>
                <w:szCs w:val="18"/>
                <w:lang w:val="en-US"/>
              </w:rPr>
            </w:pPr>
            <w:r w:rsidRPr="00C05614">
              <w:rPr>
                <w:szCs w:val="18"/>
                <w:lang w:val="en-US"/>
              </w:rPr>
              <w:t>Prepayments</w:t>
            </w:r>
          </w:p>
        </w:tc>
        <w:tc>
          <w:tcPr>
            <w:tcW w:w="892" w:type="pct"/>
            <w:tcBorders>
              <w:top w:val="nil"/>
              <w:left w:val="nil"/>
              <w:bottom w:val="nil"/>
              <w:right w:val="nil"/>
            </w:tcBorders>
            <w:shd w:val="clear" w:color="auto" w:fill="FFFFFF"/>
            <w:noWrap/>
            <w:vAlign w:val="bottom"/>
          </w:tcPr>
          <w:p w14:paraId="4995821A" w14:textId="77777777" w:rsidR="002215A6" w:rsidRPr="00C05614" w:rsidRDefault="002215A6" w:rsidP="002215A6">
            <w:pPr>
              <w:ind w:left="34"/>
              <w:jc w:val="right"/>
              <w:rPr>
                <w:b/>
                <w:bCs/>
                <w:szCs w:val="18"/>
                <w:lang w:val="en-US"/>
              </w:rPr>
            </w:pPr>
            <w:r>
              <w:rPr>
                <w:b/>
                <w:bCs/>
                <w:szCs w:val="18"/>
                <w:lang w:val="en-US"/>
              </w:rPr>
              <w:t>530</w:t>
            </w:r>
            <w:r w:rsidRPr="00E2124B">
              <w:rPr>
                <w:b/>
                <w:bCs/>
                <w:szCs w:val="18"/>
                <w:lang w:val="en-US"/>
              </w:rPr>
              <w:t xml:space="preserve"> </w:t>
            </w:r>
          </w:p>
        </w:tc>
        <w:tc>
          <w:tcPr>
            <w:tcW w:w="552" w:type="pct"/>
            <w:tcBorders>
              <w:top w:val="nil"/>
              <w:left w:val="nil"/>
              <w:bottom w:val="single" w:sz="4" w:space="0" w:color="auto"/>
              <w:right w:val="nil"/>
            </w:tcBorders>
            <w:shd w:val="clear" w:color="auto" w:fill="FFFFFF"/>
            <w:vAlign w:val="bottom"/>
          </w:tcPr>
          <w:p w14:paraId="07ACF1F2" w14:textId="77777777" w:rsidR="002215A6" w:rsidRPr="00CE2CEC" w:rsidRDefault="002215A6" w:rsidP="002215A6">
            <w:pPr>
              <w:ind w:left="34"/>
              <w:jc w:val="right"/>
              <w:rPr>
                <w:bCs/>
                <w:szCs w:val="18"/>
                <w:lang w:val="en-US"/>
              </w:rPr>
            </w:pPr>
            <w:r w:rsidRPr="00CE2CEC">
              <w:rPr>
                <w:bCs/>
                <w:szCs w:val="18"/>
                <w:lang w:val="en-US"/>
              </w:rPr>
              <w:t xml:space="preserve">391 </w:t>
            </w:r>
          </w:p>
        </w:tc>
      </w:tr>
      <w:tr w:rsidR="002215A6" w:rsidRPr="00C05614" w14:paraId="4108BCC1" w14:textId="77777777" w:rsidTr="002215A6">
        <w:trPr>
          <w:trHeight w:val="271"/>
        </w:trPr>
        <w:tc>
          <w:tcPr>
            <w:tcW w:w="3556" w:type="pct"/>
            <w:tcBorders>
              <w:top w:val="nil"/>
              <w:left w:val="nil"/>
              <w:bottom w:val="nil"/>
              <w:right w:val="nil"/>
            </w:tcBorders>
            <w:shd w:val="clear" w:color="auto" w:fill="FFFFFF"/>
            <w:vAlign w:val="bottom"/>
          </w:tcPr>
          <w:p w14:paraId="4431A2E8" w14:textId="77777777" w:rsidR="002215A6" w:rsidRPr="00C05614" w:rsidRDefault="002215A6" w:rsidP="002215A6">
            <w:pPr>
              <w:ind w:left="176"/>
              <w:rPr>
                <w:b/>
                <w:bCs/>
                <w:szCs w:val="18"/>
                <w:lang w:val="en-US"/>
              </w:rPr>
            </w:pPr>
            <w:r w:rsidRPr="00C05614">
              <w:rPr>
                <w:b/>
                <w:bCs/>
                <w:szCs w:val="18"/>
                <w:lang w:val="en-US"/>
              </w:rPr>
              <w:t>Total other non-financial assets</w:t>
            </w:r>
          </w:p>
        </w:tc>
        <w:tc>
          <w:tcPr>
            <w:tcW w:w="892" w:type="pct"/>
            <w:tcBorders>
              <w:top w:val="single" w:sz="4" w:space="0" w:color="auto"/>
              <w:left w:val="nil"/>
              <w:bottom w:val="single" w:sz="4" w:space="0" w:color="auto"/>
              <w:right w:val="nil"/>
            </w:tcBorders>
            <w:shd w:val="clear" w:color="auto" w:fill="FFFFFF"/>
            <w:noWrap/>
            <w:vAlign w:val="bottom"/>
          </w:tcPr>
          <w:p w14:paraId="3F436E28" w14:textId="77777777" w:rsidR="002215A6" w:rsidRPr="00C05614" w:rsidRDefault="002215A6" w:rsidP="002215A6">
            <w:pPr>
              <w:ind w:left="34"/>
              <w:jc w:val="right"/>
              <w:rPr>
                <w:b/>
                <w:bCs/>
                <w:szCs w:val="18"/>
                <w:lang w:val="en-US"/>
              </w:rPr>
            </w:pPr>
            <w:r>
              <w:rPr>
                <w:b/>
                <w:bCs/>
                <w:szCs w:val="18"/>
                <w:lang w:val="en-US"/>
              </w:rPr>
              <w:t>530</w:t>
            </w:r>
            <w:r w:rsidRPr="00E2124B">
              <w:rPr>
                <w:b/>
                <w:bCs/>
                <w:szCs w:val="18"/>
                <w:lang w:val="en-US"/>
              </w:rPr>
              <w:t xml:space="preserve"> </w:t>
            </w:r>
          </w:p>
        </w:tc>
        <w:tc>
          <w:tcPr>
            <w:tcW w:w="552" w:type="pct"/>
            <w:tcBorders>
              <w:top w:val="single" w:sz="4" w:space="0" w:color="auto"/>
              <w:left w:val="nil"/>
              <w:bottom w:val="single" w:sz="4" w:space="0" w:color="auto"/>
              <w:right w:val="nil"/>
            </w:tcBorders>
            <w:shd w:val="clear" w:color="auto" w:fill="FFFFFF"/>
            <w:noWrap/>
            <w:vAlign w:val="bottom"/>
          </w:tcPr>
          <w:p w14:paraId="18E5C023" w14:textId="77777777" w:rsidR="002215A6" w:rsidRPr="00CE2CEC" w:rsidRDefault="002215A6" w:rsidP="002215A6">
            <w:pPr>
              <w:ind w:left="34"/>
              <w:jc w:val="right"/>
              <w:rPr>
                <w:bCs/>
                <w:szCs w:val="18"/>
                <w:lang w:val="en-US"/>
              </w:rPr>
            </w:pPr>
            <w:r w:rsidRPr="00CE2CEC">
              <w:rPr>
                <w:bCs/>
                <w:szCs w:val="18"/>
                <w:lang w:val="en-US"/>
              </w:rPr>
              <w:t xml:space="preserve">391 </w:t>
            </w:r>
          </w:p>
        </w:tc>
      </w:tr>
      <w:tr w:rsidR="002215A6" w:rsidRPr="00C05614" w14:paraId="55561ECE" w14:textId="77777777" w:rsidTr="002215A6">
        <w:trPr>
          <w:trHeight w:val="271"/>
        </w:trPr>
        <w:tc>
          <w:tcPr>
            <w:tcW w:w="3556" w:type="pct"/>
            <w:tcBorders>
              <w:top w:val="nil"/>
              <w:left w:val="nil"/>
              <w:bottom w:val="nil"/>
              <w:right w:val="nil"/>
            </w:tcBorders>
            <w:shd w:val="clear" w:color="auto" w:fill="FFFFFF"/>
            <w:vAlign w:val="bottom"/>
          </w:tcPr>
          <w:p w14:paraId="073E213E" w14:textId="77777777" w:rsidR="002215A6" w:rsidRPr="00C05614" w:rsidRDefault="002215A6" w:rsidP="002215A6">
            <w:pPr>
              <w:ind w:left="34"/>
              <w:rPr>
                <w:szCs w:val="18"/>
                <w:lang w:val="en-US"/>
              </w:rPr>
            </w:pPr>
            <w:r w:rsidRPr="00C05614">
              <w:rPr>
                <w:szCs w:val="18"/>
                <w:lang w:val="en-US"/>
              </w:rPr>
              <w:t> </w:t>
            </w:r>
          </w:p>
        </w:tc>
        <w:tc>
          <w:tcPr>
            <w:tcW w:w="892" w:type="pct"/>
            <w:tcBorders>
              <w:top w:val="nil"/>
              <w:left w:val="nil"/>
              <w:bottom w:val="nil"/>
              <w:right w:val="nil"/>
            </w:tcBorders>
            <w:shd w:val="clear" w:color="auto" w:fill="FFFFFF"/>
            <w:vAlign w:val="bottom"/>
          </w:tcPr>
          <w:p w14:paraId="758DF4ED" w14:textId="77777777" w:rsidR="002215A6" w:rsidRPr="00C05614" w:rsidRDefault="002215A6" w:rsidP="002215A6">
            <w:pPr>
              <w:ind w:left="34"/>
              <w:jc w:val="right"/>
              <w:rPr>
                <w:szCs w:val="18"/>
                <w:lang w:val="en-US"/>
              </w:rPr>
            </w:pPr>
          </w:p>
        </w:tc>
        <w:tc>
          <w:tcPr>
            <w:tcW w:w="552" w:type="pct"/>
            <w:tcBorders>
              <w:top w:val="single" w:sz="4" w:space="0" w:color="auto"/>
              <w:left w:val="nil"/>
              <w:bottom w:val="nil"/>
              <w:right w:val="nil"/>
            </w:tcBorders>
            <w:shd w:val="clear" w:color="auto" w:fill="FFFFFF"/>
            <w:vAlign w:val="bottom"/>
          </w:tcPr>
          <w:p w14:paraId="61FA2B25" w14:textId="77777777" w:rsidR="002215A6" w:rsidRPr="00CE2CEC" w:rsidRDefault="002215A6" w:rsidP="002215A6">
            <w:pPr>
              <w:ind w:left="34"/>
              <w:jc w:val="right"/>
              <w:rPr>
                <w:szCs w:val="18"/>
                <w:lang w:val="en-US"/>
              </w:rPr>
            </w:pPr>
          </w:p>
        </w:tc>
      </w:tr>
      <w:tr w:rsidR="002215A6" w:rsidRPr="00C05614" w14:paraId="2B1278CA" w14:textId="77777777" w:rsidTr="002215A6">
        <w:trPr>
          <w:trHeight w:val="271"/>
        </w:trPr>
        <w:tc>
          <w:tcPr>
            <w:tcW w:w="4448" w:type="pct"/>
            <w:gridSpan w:val="2"/>
            <w:tcBorders>
              <w:top w:val="nil"/>
              <w:left w:val="nil"/>
              <w:bottom w:val="nil"/>
              <w:right w:val="nil"/>
            </w:tcBorders>
            <w:shd w:val="clear" w:color="auto" w:fill="FFFFFF"/>
            <w:vAlign w:val="bottom"/>
          </w:tcPr>
          <w:p w14:paraId="63E8A20B" w14:textId="77777777" w:rsidR="002215A6" w:rsidRPr="00C05614" w:rsidRDefault="002215A6" w:rsidP="002215A6">
            <w:pPr>
              <w:ind w:left="34"/>
              <w:rPr>
                <w:szCs w:val="18"/>
                <w:lang w:val="en-US"/>
              </w:rPr>
            </w:pPr>
            <w:r w:rsidRPr="00C05614">
              <w:rPr>
                <w:szCs w:val="18"/>
                <w:lang w:val="en-US"/>
              </w:rPr>
              <w:t>No indicators of impairment were found for other non-financial assets.</w:t>
            </w:r>
          </w:p>
        </w:tc>
        <w:tc>
          <w:tcPr>
            <w:tcW w:w="552" w:type="pct"/>
            <w:tcBorders>
              <w:top w:val="nil"/>
              <w:left w:val="nil"/>
              <w:bottom w:val="nil"/>
              <w:right w:val="nil"/>
            </w:tcBorders>
            <w:shd w:val="clear" w:color="auto" w:fill="FFFFFF"/>
            <w:noWrap/>
            <w:vAlign w:val="bottom"/>
          </w:tcPr>
          <w:p w14:paraId="6E9D7EB3" w14:textId="77777777" w:rsidR="002215A6" w:rsidRPr="00C05614" w:rsidRDefault="002215A6" w:rsidP="002215A6">
            <w:pPr>
              <w:jc w:val="right"/>
              <w:rPr>
                <w:szCs w:val="18"/>
                <w:lang w:val="en-US"/>
              </w:rPr>
            </w:pPr>
            <w:r w:rsidRPr="00C05614">
              <w:rPr>
                <w:szCs w:val="18"/>
                <w:lang w:val="en-US"/>
              </w:rPr>
              <w:t> </w:t>
            </w:r>
          </w:p>
        </w:tc>
      </w:tr>
    </w:tbl>
    <w:p w14:paraId="7EB09640" w14:textId="77777777" w:rsidR="002215A6" w:rsidRDefault="002215A6" w:rsidP="002215A6">
      <w:pPr>
        <w:pStyle w:val="Heading3"/>
        <w:keepNext w:val="0"/>
        <w:widowControl w:val="0"/>
        <w:jc w:val="both"/>
        <w:rPr>
          <w:color w:val="auto"/>
        </w:rPr>
      </w:pPr>
    </w:p>
    <w:p w14:paraId="57811048" w14:textId="77777777" w:rsidR="002215A6" w:rsidRPr="007C3F2D" w:rsidRDefault="002215A6" w:rsidP="002215A6">
      <w:pPr>
        <w:pStyle w:val="Heading3"/>
        <w:rPr>
          <w:sz w:val="24"/>
          <w:szCs w:val="24"/>
        </w:rPr>
      </w:pPr>
      <w:r w:rsidRPr="007C3F2D">
        <w:rPr>
          <w:sz w:val="24"/>
          <w:szCs w:val="24"/>
        </w:rPr>
        <w:t>2.3: Payables</w:t>
      </w:r>
    </w:p>
    <w:tbl>
      <w:tblPr>
        <w:tblW w:w="5000" w:type="pct"/>
        <w:tblLook w:val="0000" w:firstRow="0" w:lastRow="0" w:firstColumn="0" w:lastColumn="0" w:noHBand="0" w:noVBand="0"/>
        <w:tblCaption w:val="2.2 Non-Financial Assets"/>
      </w:tblPr>
      <w:tblGrid>
        <w:gridCol w:w="5878"/>
        <w:gridCol w:w="1644"/>
        <w:gridCol w:w="972"/>
      </w:tblGrid>
      <w:tr w:rsidR="002215A6" w:rsidRPr="00C05614" w14:paraId="0617125A" w14:textId="77777777" w:rsidTr="002215A6">
        <w:trPr>
          <w:trHeight w:val="255"/>
        </w:trPr>
        <w:tc>
          <w:tcPr>
            <w:tcW w:w="3460" w:type="pct"/>
            <w:tcBorders>
              <w:top w:val="nil"/>
              <w:left w:val="nil"/>
              <w:bottom w:val="nil"/>
              <w:right w:val="nil"/>
            </w:tcBorders>
            <w:shd w:val="clear" w:color="auto" w:fill="FFFFFF"/>
            <w:vAlign w:val="bottom"/>
          </w:tcPr>
          <w:p w14:paraId="0D5A7DE4" w14:textId="77777777" w:rsidR="002215A6" w:rsidRPr="007C3F2D" w:rsidRDefault="002215A6" w:rsidP="002215A6">
            <w:pPr>
              <w:pStyle w:val="Heading4"/>
              <w:ind w:left="34"/>
              <w:rPr>
                <w:color w:val="auto"/>
                <w:sz w:val="21"/>
                <w:szCs w:val="21"/>
                <w:lang w:val="en-US"/>
              </w:rPr>
            </w:pPr>
            <w:r w:rsidRPr="007C3F2D">
              <w:rPr>
                <w:color w:val="auto"/>
                <w:sz w:val="21"/>
                <w:szCs w:val="21"/>
                <w:lang w:val="en-US"/>
              </w:rPr>
              <w:t>2.3A: Suppliers</w:t>
            </w:r>
          </w:p>
        </w:tc>
        <w:tc>
          <w:tcPr>
            <w:tcW w:w="968" w:type="pct"/>
            <w:tcBorders>
              <w:top w:val="nil"/>
              <w:left w:val="nil"/>
              <w:bottom w:val="nil"/>
              <w:right w:val="nil"/>
            </w:tcBorders>
            <w:shd w:val="clear" w:color="auto" w:fill="FFFFFF"/>
            <w:vAlign w:val="bottom"/>
          </w:tcPr>
          <w:p w14:paraId="639C3E3C" w14:textId="77777777" w:rsidR="002215A6" w:rsidRPr="00C05614" w:rsidRDefault="002215A6" w:rsidP="002215A6">
            <w:pPr>
              <w:ind w:left="34"/>
              <w:jc w:val="right"/>
              <w:rPr>
                <w:szCs w:val="18"/>
                <w:lang w:val="en-US"/>
              </w:rPr>
            </w:pPr>
            <w:r w:rsidRPr="00C05614">
              <w:rPr>
                <w:szCs w:val="18"/>
                <w:lang w:val="en-US"/>
              </w:rPr>
              <w:t> </w:t>
            </w:r>
          </w:p>
        </w:tc>
        <w:tc>
          <w:tcPr>
            <w:tcW w:w="572" w:type="pct"/>
            <w:tcBorders>
              <w:top w:val="nil"/>
              <w:left w:val="nil"/>
              <w:bottom w:val="nil"/>
              <w:right w:val="nil"/>
            </w:tcBorders>
            <w:shd w:val="clear" w:color="auto" w:fill="FFFFFF"/>
            <w:noWrap/>
            <w:vAlign w:val="bottom"/>
          </w:tcPr>
          <w:p w14:paraId="7C0C7CA7" w14:textId="77777777" w:rsidR="002215A6" w:rsidRPr="00C05614" w:rsidRDefault="002215A6" w:rsidP="002215A6">
            <w:pPr>
              <w:ind w:left="34"/>
              <w:jc w:val="right"/>
              <w:rPr>
                <w:szCs w:val="18"/>
                <w:lang w:val="en-US"/>
              </w:rPr>
            </w:pPr>
            <w:r w:rsidRPr="00C05614">
              <w:rPr>
                <w:szCs w:val="18"/>
                <w:lang w:val="en-US"/>
              </w:rPr>
              <w:t> </w:t>
            </w:r>
          </w:p>
        </w:tc>
      </w:tr>
      <w:tr w:rsidR="002215A6" w:rsidRPr="00C05614" w14:paraId="66BC8C2C" w14:textId="77777777" w:rsidTr="002215A6">
        <w:trPr>
          <w:trHeight w:val="255"/>
        </w:trPr>
        <w:tc>
          <w:tcPr>
            <w:tcW w:w="3460" w:type="pct"/>
            <w:tcBorders>
              <w:top w:val="nil"/>
              <w:left w:val="nil"/>
              <w:bottom w:val="nil"/>
              <w:right w:val="nil"/>
            </w:tcBorders>
            <w:shd w:val="clear" w:color="auto" w:fill="FFFFFF"/>
            <w:vAlign w:val="bottom"/>
          </w:tcPr>
          <w:p w14:paraId="3E27A797" w14:textId="77777777" w:rsidR="002215A6" w:rsidRPr="00C05614" w:rsidRDefault="002215A6" w:rsidP="002215A6">
            <w:pPr>
              <w:ind w:left="34"/>
              <w:rPr>
                <w:szCs w:val="18"/>
                <w:lang w:val="en-US"/>
              </w:rPr>
            </w:pPr>
            <w:r w:rsidRPr="00C05614">
              <w:rPr>
                <w:szCs w:val="18"/>
                <w:lang w:val="en-US"/>
              </w:rPr>
              <w:t>Trade creditors and accruals</w:t>
            </w:r>
          </w:p>
        </w:tc>
        <w:tc>
          <w:tcPr>
            <w:tcW w:w="968" w:type="pct"/>
            <w:tcBorders>
              <w:top w:val="nil"/>
              <w:left w:val="nil"/>
              <w:bottom w:val="nil"/>
              <w:right w:val="nil"/>
            </w:tcBorders>
            <w:shd w:val="clear" w:color="auto" w:fill="FFFFFF"/>
            <w:vAlign w:val="bottom"/>
          </w:tcPr>
          <w:p w14:paraId="12551BBB" w14:textId="77777777" w:rsidR="002215A6" w:rsidRPr="00C05614" w:rsidRDefault="002215A6" w:rsidP="002215A6">
            <w:pPr>
              <w:ind w:left="34"/>
              <w:jc w:val="right"/>
              <w:rPr>
                <w:b/>
                <w:bCs/>
                <w:szCs w:val="18"/>
                <w:lang w:val="en-US"/>
              </w:rPr>
            </w:pPr>
            <w:r>
              <w:rPr>
                <w:b/>
                <w:bCs/>
                <w:szCs w:val="18"/>
                <w:lang w:val="en-US"/>
              </w:rPr>
              <w:t>1,796</w:t>
            </w:r>
            <w:r w:rsidRPr="000F1639">
              <w:rPr>
                <w:b/>
                <w:bCs/>
                <w:szCs w:val="18"/>
                <w:lang w:val="en-US"/>
              </w:rPr>
              <w:t xml:space="preserve"> </w:t>
            </w:r>
          </w:p>
        </w:tc>
        <w:tc>
          <w:tcPr>
            <w:tcW w:w="572" w:type="pct"/>
            <w:tcBorders>
              <w:top w:val="nil"/>
              <w:left w:val="nil"/>
              <w:bottom w:val="nil"/>
              <w:right w:val="nil"/>
            </w:tcBorders>
            <w:shd w:val="clear" w:color="auto" w:fill="FFFFFF"/>
            <w:noWrap/>
            <w:vAlign w:val="bottom"/>
          </w:tcPr>
          <w:p w14:paraId="6615A089" w14:textId="77777777" w:rsidR="002215A6" w:rsidRPr="00CE2CEC" w:rsidRDefault="002215A6" w:rsidP="002215A6">
            <w:pPr>
              <w:ind w:left="34"/>
              <w:jc w:val="right"/>
              <w:rPr>
                <w:bCs/>
                <w:szCs w:val="18"/>
                <w:lang w:val="en-US"/>
              </w:rPr>
            </w:pPr>
            <w:r w:rsidRPr="00CE2CEC">
              <w:rPr>
                <w:bCs/>
                <w:szCs w:val="18"/>
                <w:lang w:val="en-US"/>
              </w:rPr>
              <w:t xml:space="preserve">3,031 </w:t>
            </w:r>
          </w:p>
        </w:tc>
      </w:tr>
      <w:tr w:rsidR="002215A6" w:rsidRPr="00C05614" w14:paraId="20768216" w14:textId="77777777" w:rsidTr="002215A6">
        <w:trPr>
          <w:trHeight w:val="255"/>
        </w:trPr>
        <w:tc>
          <w:tcPr>
            <w:tcW w:w="3460" w:type="pct"/>
            <w:tcBorders>
              <w:top w:val="nil"/>
              <w:left w:val="nil"/>
              <w:bottom w:val="nil"/>
              <w:right w:val="nil"/>
            </w:tcBorders>
            <w:shd w:val="clear" w:color="auto" w:fill="FFFFFF"/>
            <w:vAlign w:val="bottom"/>
          </w:tcPr>
          <w:p w14:paraId="6A5A5D1B" w14:textId="77777777" w:rsidR="002215A6" w:rsidRPr="00C05614" w:rsidRDefault="002215A6" w:rsidP="002215A6">
            <w:pPr>
              <w:ind w:left="34"/>
              <w:rPr>
                <w:b/>
                <w:bCs/>
                <w:szCs w:val="18"/>
                <w:lang w:val="en-US"/>
              </w:rPr>
            </w:pPr>
            <w:r w:rsidRPr="00C05614">
              <w:rPr>
                <w:b/>
                <w:bCs/>
                <w:szCs w:val="18"/>
                <w:lang w:val="en-US"/>
              </w:rPr>
              <w:t>Total supplier payables</w:t>
            </w:r>
          </w:p>
        </w:tc>
        <w:tc>
          <w:tcPr>
            <w:tcW w:w="968" w:type="pct"/>
            <w:tcBorders>
              <w:top w:val="single" w:sz="4" w:space="0" w:color="auto"/>
              <w:left w:val="nil"/>
              <w:bottom w:val="single" w:sz="4" w:space="0" w:color="auto"/>
              <w:right w:val="nil"/>
            </w:tcBorders>
            <w:shd w:val="clear" w:color="auto" w:fill="FFFFFF"/>
            <w:vAlign w:val="bottom"/>
          </w:tcPr>
          <w:p w14:paraId="27B2CEF2" w14:textId="77777777" w:rsidR="002215A6" w:rsidRPr="00C05614" w:rsidRDefault="002215A6" w:rsidP="002215A6">
            <w:pPr>
              <w:ind w:left="34"/>
              <w:jc w:val="right"/>
              <w:rPr>
                <w:b/>
                <w:bCs/>
                <w:szCs w:val="18"/>
                <w:lang w:val="en-US"/>
              </w:rPr>
            </w:pPr>
            <w:r>
              <w:rPr>
                <w:b/>
                <w:bCs/>
                <w:szCs w:val="18"/>
                <w:lang w:val="en-US"/>
              </w:rPr>
              <w:t>1,796</w:t>
            </w:r>
            <w:r w:rsidRPr="000F1639">
              <w:rPr>
                <w:b/>
                <w:bCs/>
                <w:szCs w:val="18"/>
                <w:lang w:val="en-US"/>
              </w:rPr>
              <w:t xml:space="preserve"> </w:t>
            </w:r>
          </w:p>
        </w:tc>
        <w:tc>
          <w:tcPr>
            <w:tcW w:w="572" w:type="pct"/>
            <w:tcBorders>
              <w:top w:val="single" w:sz="4" w:space="0" w:color="auto"/>
              <w:left w:val="nil"/>
              <w:bottom w:val="single" w:sz="4" w:space="0" w:color="auto"/>
              <w:right w:val="nil"/>
            </w:tcBorders>
            <w:shd w:val="clear" w:color="auto" w:fill="FFFFFF"/>
            <w:noWrap/>
            <w:vAlign w:val="bottom"/>
          </w:tcPr>
          <w:p w14:paraId="11B9D03D" w14:textId="77777777" w:rsidR="002215A6" w:rsidRPr="00CE2CEC" w:rsidRDefault="002215A6" w:rsidP="002215A6">
            <w:pPr>
              <w:ind w:left="34"/>
              <w:jc w:val="right"/>
              <w:rPr>
                <w:bCs/>
                <w:szCs w:val="18"/>
                <w:lang w:val="en-US"/>
              </w:rPr>
            </w:pPr>
            <w:r w:rsidRPr="00CE2CEC">
              <w:rPr>
                <w:bCs/>
                <w:szCs w:val="18"/>
                <w:lang w:val="en-US"/>
              </w:rPr>
              <w:t xml:space="preserve">3,031 </w:t>
            </w:r>
          </w:p>
        </w:tc>
      </w:tr>
      <w:tr w:rsidR="002215A6" w:rsidRPr="00C05614" w14:paraId="766038C4" w14:textId="77777777" w:rsidTr="002215A6">
        <w:trPr>
          <w:trHeight w:val="255"/>
        </w:trPr>
        <w:tc>
          <w:tcPr>
            <w:tcW w:w="3460" w:type="pct"/>
            <w:tcBorders>
              <w:top w:val="nil"/>
              <w:left w:val="nil"/>
              <w:bottom w:val="nil"/>
              <w:right w:val="nil"/>
            </w:tcBorders>
            <w:shd w:val="clear" w:color="auto" w:fill="FFFFFF"/>
            <w:vAlign w:val="bottom"/>
          </w:tcPr>
          <w:p w14:paraId="7D695C3B" w14:textId="77777777" w:rsidR="002215A6" w:rsidRPr="00C05614" w:rsidRDefault="002215A6" w:rsidP="002215A6">
            <w:pPr>
              <w:ind w:left="34"/>
              <w:rPr>
                <w:szCs w:val="18"/>
                <w:lang w:val="en-US"/>
              </w:rPr>
            </w:pPr>
            <w:r w:rsidRPr="00C05614">
              <w:rPr>
                <w:szCs w:val="18"/>
                <w:lang w:val="en-US"/>
              </w:rPr>
              <w:t> </w:t>
            </w:r>
          </w:p>
        </w:tc>
        <w:tc>
          <w:tcPr>
            <w:tcW w:w="968" w:type="pct"/>
            <w:tcBorders>
              <w:top w:val="nil"/>
              <w:left w:val="nil"/>
              <w:bottom w:val="nil"/>
              <w:right w:val="nil"/>
            </w:tcBorders>
            <w:shd w:val="clear" w:color="auto" w:fill="FFFFFF"/>
            <w:vAlign w:val="bottom"/>
          </w:tcPr>
          <w:p w14:paraId="4E044642" w14:textId="77777777" w:rsidR="002215A6" w:rsidRPr="00C05614" w:rsidRDefault="002215A6" w:rsidP="002215A6">
            <w:pPr>
              <w:ind w:left="34"/>
              <w:jc w:val="right"/>
              <w:rPr>
                <w:b/>
                <w:bCs/>
                <w:szCs w:val="18"/>
                <w:lang w:val="en-US"/>
              </w:rPr>
            </w:pPr>
          </w:p>
        </w:tc>
        <w:tc>
          <w:tcPr>
            <w:tcW w:w="572" w:type="pct"/>
            <w:tcBorders>
              <w:top w:val="nil"/>
              <w:left w:val="nil"/>
              <w:bottom w:val="nil"/>
              <w:right w:val="nil"/>
            </w:tcBorders>
            <w:shd w:val="clear" w:color="auto" w:fill="FFFFFF"/>
            <w:noWrap/>
            <w:vAlign w:val="bottom"/>
          </w:tcPr>
          <w:p w14:paraId="15083183" w14:textId="77777777" w:rsidR="002215A6" w:rsidRPr="00CE2CEC" w:rsidRDefault="002215A6" w:rsidP="002215A6">
            <w:pPr>
              <w:ind w:left="34"/>
              <w:jc w:val="right"/>
              <w:rPr>
                <w:bCs/>
                <w:szCs w:val="18"/>
                <w:lang w:val="en-US"/>
              </w:rPr>
            </w:pPr>
          </w:p>
        </w:tc>
      </w:tr>
      <w:tr w:rsidR="002215A6" w:rsidRPr="00C05614" w14:paraId="1BCA4847" w14:textId="77777777" w:rsidTr="002215A6">
        <w:trPr>
          <w:trHeight w:val="235"/>
        </w:trPr>
        <w:tc>
          <w:tcPr>
            <w:tcW w:w="3460" w:type="pct"/>
            <w:tcBorders>
              <w:top w:val="nil"/>
              <w:left w:val="nil"/>
              <w:bottom w:val="nil"/>
              <w:right w:val="nil"/>
            </w:tcBorders>
            <w:shd w:val="clear" w:color="auto" w:fill="FFFFFF"/>
            <w:vAlign w:val="bottom"/>
          </w:tcPr>
          <w:p w14:paraId="646EB0A9" w14:textId="77777777" w:rsidR="002215A6" w:rsidRPr="00C05614" w:rsidRDefault="002215A6" w:rsidP="002215A6">
            <w:pPr>
              <w:ind w:left="34"/>
              <w:rPr>
                <w:szCs w:val="18"/>
                <w:lang w:val="en-US"/>
              </w:rPr>
            </w:pPr>
            <w:r w:rsidRPr="00C05614">
              <w:rPr>
                <w:szCs w:val="18"/>
                <w:lang w:val="en-US"/>
              </w:rPr>
              <w:t> Settlement is usually made within 30 days.</w:t>
            </w:r>
          </w:p>
        </w:tc>
        <w:tc>
          <w:tcPr>
            <w:tcW w:w="968" w:type="pct"/>
            <w:tcBorders>
              <w:top w:val="nil"/>
              <w:left w:val="nil"/>
              <w:bottom w:val="nil"/>
              <w:right w:val="nil"/>
            </w:tcBorders>
            <w:shd w:val="clear" w:color="auto" w:fill="FFFFFF"/>
            <w:vAlign w:val="bottom"/>
          </w:tcPr>
          <w:p w14:paraId="057C2E2C" w14:textId="77777777" w:rsidR="002215A6" w:rsidRPr="00C05614" w:rsidRDefault="002215A6" w:rsidP="002215A6">
            <w:pPr>
              <w:ind w:left="34"/>
              <w:jc w:val="right"/>
              <w:rPr>
                <w:b/>
                <w:bCs/>
                <w:szCs w:val="18"/>
                <w:lang w:val="en-US"/>
              </w:rPr>
            </w:pPr>
          </w:p>
        </w:tc>
        <w:tc>
          <w:tcPr>
            <w:tcW w:w="572" w:type="pct"/>
            <w:tcBorders>
              <w:top w:val="nil"/>
              <w:left w:val="nil"/>
              <w:bottom w:val="nil"/>
              <w:right w:val="nil"/>
            </w:tcBorders>
            <w:shd w:val="clear" w:color="auto" w:fill="FFFFFF"/>
            <w:noWrap/>
            <w:vAlign w:val="bottom"/>
          </w:tcPr>
          <w:p w14:paraId="0803FB3F" w14:textId="77777777" w:rsidR="002215A6" w:rsidRPr="00CE2CEC" w:rsidRDefault="002215A6" w:rsidP="002215A6">
            <w:pPr>
              <w:ind w:left="34"/>
              <w:jc w:val="right"/>
              <w:rPr>
                <w:bCs/>
                <w:szCs w:val="18"/>
                <w:lang w:val="en-US"/>
              </w:rPr>
            </w:pPr>
          </w:p>
        </w:tc>
      </w:tr>
      <w:tr w:rsidR="002215A6" w:rsidRPr="00C05614" w14:paraId="35304603" w14:textId="77777777" w:rsidTr="002215A6">
        <w:trPr>
          <w:trHeight w:val="255"/>
        </w:trPr>
        <w:tc>
          <w:tcPr>
            <w:tcW w:w="3460" w:type="pct"/>
            <w:tcBorders>
              <w:top w:val="nil"/>
              <w:left w:val="nil"/>
              <w:bottom w:val="nil"/>
              <w:right w:val="nil"/>
            </w:tcBorders>
            <w:shd w:val="clear" w:color="auto" w:fill="FFFFFF"/>
            <w:vAlign w:val="bottom"/>
          </w:tcPr>
          <w:p w14:paraId="3A437B99" w14:textId="77777777" w:rsidR="002215A6" w:rsidRPr="00C05614" w:rsidRDefault="002215A6" w:rsidP="002215A6">
            <w:pPr>
              <w:ind w:left="34"/>
              <w:rPr>
                <w:szCs w:val="18"/>
                <w:lang w:val="en-US"/>
              </w:rPr>
            </w:pPr>
            <w:r w:rsidRPr="00C05614">
              <w:rPr>
                <w:szCs w:val="18"/>
                <w:lang w:val="en-US"/>
              </w:rPr>
              <w:t> </w:t>
            </w:r>
          </w:p>
        </w:tc>
        <w:tc>
          <w:tcPr>
            <w:tcW w:w="968" w:type="pct"/>
            <w:tcBorders>
              <w:top w:val="nil"/>
              <w:left w:val="nil"/>
              <w:bottom w:val="nil"/>
              <w:right w:val="nil"/>
            </w:tcBorders>
            <w:shd w:val="clear" w:color="auto" w:fill="FFFFFF"/>
            <w:vAlign w:val="bottom"/>
          </w:tcPr>
          <w:p w14:paraId="49E97213" w14:textId="77777777" w:rsidR="002215A6" w:rsidRPr="00C05614" w:rsidRDefault="002215A6" w:rsidP="002215A6">
            <w:pPr>
              <w:ind w:left="34"/>
              <w:jc w:val="right"/>
              <w:rPr>
                <w:szCs w:val="18"/>
                <w:lang w:val="en-US"/>
              </w:rPr>
            </w:pPr>
          </w:p>
        </w:tc>
        <w:tc>
          <w:tcPr>
            <w:tcW w:w="572" w:type="pct"/>
            <w:tcBorders>
              <w:top w:val="nil"/>
              <w:left w:val="nil"/>
              <w:bottom w:val="nil"/>
              <w:right w:val="nil"/>
            </w:tcBorders>
            <w:shd w:val="clear" w:color="auto" w:fill="FFFFFF"/>
            <w:noWrap/>
            <w:vAlign w:val="bottom"/>
          </w:tcPr>
          <w:p w14:paraId="1BCA2669" w14:textId="77777777" w:rsidR="002215A6" w:rsidRPr="00CE2CEC" w:rsidRDefault="002215A6" w:rsidP="002215A6">
            <w:pPr>
              <w:ind w:left="34"/>
              <w:jc w:val="right"/>
              <w:rPr>
                <w:szCs w:val="18"/>
                <w:lang w:val="en-US"/>
              </w:rPr>
            </w:pPr>
          </w:p>
        </w:tc>
      </w:tr>
      <w:tr w:rsidR="002215A6" w:rsidRPr="00C05614" w14:paraId="473FCFD5" w14:textId="77777777" w:rsidTr="002215A6">
        <w:trPr>
          <w:trHeight w:val="255"/>
        </w:trPr>
        <w:tc>
          <w:tcPr>
            <w:tcW w:w="3460" w:type="pct"/>
            <w:tcBorders>
              <w:top w:val="nil"/>
              <w:left w:val="nil"/>
              <w:bottom w:val="nil"/>
              <w:right w:val="nil"/>
            </w:tcBorders>
            <w:shd w:val="clear" w:color="auto" w:fill="FFFFFF"/>
            <w:vAlign w:val="bottom"/>
          </w:tcPr>
          <w:p w14:paraId="17FABFF4" w14:textId="77777777" w:rsidR="002215A6" w:rsidRPr="007C3F2D" w:rsidRDefault="002215A6" w:rsidP="002215A6">
            <w:pPr>
              <w:pStyle w:val="Heading4"/>
              <w:ind w:left="34"/>
              <w:rPr>
                <w:b w:val="0"/>
                <w:bCs/>
                <w:color w:val="auto"/>
                <w:sz w:val="21"/>
                <w:szCs w:val="21"/>
                <w:u w:val="single"/>
                <w:lang w:val="en-US"/>
              </w:rPr>
            </w:pPr>
            <w:r w:rsidRPr="007C3F2D">
              <w:rPr>
                <w:color w:val="auto"/>
                <w:sz w:val="21"/>
                <w:szCs w:val="21"/>
                <w:lang w:val="en-US"/>
              </w:rPr>
              <w:t>2.3B: Other Payables</w:t>
            </w:r>
          </w:p>
        </w:tc>
        <w:tc>
          <w:tcPr>
            <w:tcW w:w="968" w:type="pct"/>
            <w:tcBorders>
              <w:top w:val="nil"/>
              <w:left w:val="nil"/>
              <w:bottom w:val="nil"/>
              <w:right w:val="nil"/>
            </w:tcBorders>
            <w:shd w:val="clear" w:color="auto" w:fill="FFFFFF"/>
            <w:vAlign w:val="bottom"/>
          </w:tcPr>
          <w:p w14:paraId="09A2A579" w14:textId="77777777" w:rsidR="002215A6" w:rsidRPr="00C05614" w:rsidRDefault="002215A6" w:rsidP="002215A6">
            <w:pPr>
              <w:ind w:left="34"/>
              <w:jc w:val="right"/>
              <w:rPr>
                <w:b/>
                <w:bCs/>
                <w:szCs w:val="18"/>
                <w:lang w:val="en-US"/>
              </w:rPr>
            </w:pPr>
          </w:p>
        </w:tc>
        <w:tc>
          <w:tcPr>
            <w:tcW w:w="572" w:type="pct"/>
            <w:tcBorders>
              <w:top w:val="nil"/>
              <w:left w:val="nil"/>
              <w:bottom w:val="nil"/>
              <w:right w:val="nil"/>
            </w:tcBorders>
            <w:shd w:val="clear" w:color="auto" w:fill="FFFFFF"/>
            <w:noWrap/>
            <w:vAlign w:val="bottom"/>
          </w:tcPr>
          <w:p w14:paraId="3FB2BE6A" w14:textId="77777777" w:rsidR="002215A6" w:rsidRPr="00CE2CEC" w:rsidRDefault="002215A6" w:rsidP="002215A6">
            <w:pPr>
              <w:ind w:left="34"/>
              <w:jc w:val="right"/>
              <w:rPr>
                <w:bCs/>
                <w:szCs w:val="18"/>
                <w:lang w:val="en-US"/>
              </w:rPr>
            </w:pPr>
          </w:p>
        </w:tc>
      </w:tr>
      <w:tr w:rsidR="002215A6" w:rsidRPr="00C05614" w14:paraId="6B4E16A5" w14:textId="77777777" w:rsidTr="002215A6">
        <w:trPr>
          <w:trHeight w:val="255"/>
        </w:trPr>
        <w:tc>
          <w:tcPr>
            <w:tcW w:w="3460" w:type="pct"/>
            <w:tcBorders>
              <w:top w:val="nil"/>
              <w:left w:val="nil"/>
              <w:bottom w:val="nil"/>
              <w:right w:val="nil"/>
            </w:tcBorders>
            <w:shd w:val="clear" w:color="auto" w:fill="FFFFFF"/>
            <w:vAlign w:val="bottom"/>
          </w:tcPr>
          <w:p w14:paraId="76150AB9" w14:textId="77777777" w:rsidR="002215A6" w:rsidRPr="00C05614" w:rsidRDefault="002215A6" w:rsidP="002215A6">
            <w:pPr>
              <w:ind w:left="34"/>
              <w:rPr>
                <w:szCs w:val="18"/>
                <w:lang w:val="en-US"/>
              </w:rPr>
            </w:pPr>
            <w:r w:rsidRPr="00C05614">
              <w:rPr>
                <w:szCs w:val="18"/>
                <w:lang w:val="en-US"/>
              </w:rPr>
              <w:t>Salaries and wages</w:t>
            </w:r>
          </w:p>
        </w:tc>
        <w:tc>
          <w:tcPr>
            <w:tcW w:w="968" w:type="pct"/>
            <w:tcBorders>
              <w:top w:val="nil"/>
              <w:left w:val="nil"/>
              <w:bottom w:val="nil"/>
              <w:right w:val="nil"/>
            </w:tcBorders>
            <w:shd w:val="clear" w:color="auto" w:fill="FFFFFF"/>
            <w:vAlign w:val="bottom"/>
          </w:tcPr>
          <w:p w14:paraId="20494E13" w14:textId="77777777" w:rsidR="002215A6" w:rsidRPr="00C05614" w:rsidRDefault="002215A6" w:rsidP="002215A6">
            <w:pPr>
              <w:ind w:left="34"/>
              <w:jc w:val="right"/>
              <w:rPr>
                <w:b/>
                <w:bCs/>
                <w:szCs w:val="18"/>
                <w:lang w:val="en-US"/>
              </w:rPr>
            </w:pPr>
            <w:r>
              <w:rPr>
                <w:b/>
                <w:bCs/>
                <w:szCs w:val="18"/>
                <w:lang w:val="en-US"/>
              </w:rPr>
              <w:t>62</w:t>
            </w:r>
            <w:r w:rsidRPr="00AC011F">
              <w:rPr>
                <w:b/>
                <w:bCs/>
                <w:szCs w:val="18"/>
                <w:lang w:val="en-US"/>
              </w:rPr>
              <w:t xml:space="preserve"> </w:t>
            </w:r>
          </w:p>
        </w:tc>
        <w:tc>
          <w:tcPr>
            <w:tcW w:w="572" w:type="pct"/>
            <w:tcBorders>
              <w:top w:val="nil"/>
              <w:left w:val="nil"/>
              <w:bottom w:val="nil"/>
              <w:right w:val="nil"/>
            </w:tcBorders>
            <w:shd w:val="clear" w:color="auto" w:fill="FFFFFF"/>
            <w:noWrap/>
            <w:vAlign w:val="bottom"/>
          </w:tcPr>
          <w:p w14:paraId="3744F3EA" w14:textId="77777777" w:rsidR="002215A6" w:rsidRPr="00CE2CEC" w:rsidRDefault="002215A6" w:rsidP="002215A6">
            <w:pPr>
              <w:ind w:left="34"/>
              <w:jc w:val="right"/>
              <w:rPr>
                <w:bCs/>
                <w:szCs w:val="18"/>
                <w:lang w:val="en-US"/>
              </w:rPr>
            </w:pPr>
            <w:r w:rsidRPr="00CE2CEC">
              <w:rPr>
                <w:bCs/>
                <w:szCs w:val="18"/>
                <w:lang w:val="en-US"/>
              </w:rPr>
              <w:t xml:space="preserve">36 </w:t>
            </w:r>
          </w:p>
        </w:tc>
      </w:tr>
      <w:tr w:rsidR="002215A6" w:rsidRPr="00C05614" w14:paraId="390E56CE" w14:textId="77777777" w:rsidTr="002215A6">
        <w:trPr>
          <w:trHeight w:val="255"/>
        </w:trPr>
        <w:tc>
          <w:tcPr>
            <w:tcW w:w="3460" w:type="pct"/>
            <w:tcBorders>
              <w:top w:val="nil"/>
              <w:left w:val="nil"/>
              <w:bottom w:val="nil"/>
              <w:right w:val="nil"/>
            </w:tcBorders>
            <w:shd w:val="clear" w:color="auto" w:fill="FFFFFF"/>
            <w:vAlign w:val="bottom"/>
          </w:tcPr>
          <w:p w14:paraId="2DC7B273" w14:textId="77777777" w:rsidR="002215A6" w:rsidRPr="00C05614" w:rsidRDefault="002215A6" w:rsidP="002215A6">
            <w:pPr>
              <w:ind w:left="34"/>
              <w:rPr>
                <w:szCs w:val="18"/>
                <w:lang w:val="en-US"/>
              </w:rPr>
            </w:pPr>
            <w:r w:rsidRPr="00C05614">
              <w:rPr>
                <w:szCs w:val="18"/>
                <w:lang w:val="en-US"/>
              </w:rPr>
              <w:t>Superannuation</w:t>
            </w:r>
          </w:p>
        </w:tc>
        <w:tc>
          <w:tcPr>
            <w:tcW w:w="968" w:type="pct"/>
            <w:tcBorders>
              <w:top w:val="nil"/>
              <w:left w:val="nil"/>
              <w:bottom w:val="nil"/>
              <w:right w:val="nil"/>
            </w:tcBorders>
            <w:shd w:val="clear" w:color="auto" w:fill="FFFFFF"/>
            <w:vAlign w:val="bottom"/>
          </w:tcPr>
          <w:p w14:paraId="6115BF04" w14:textId="77777777" w:rsidR="002215A6" w:rsidRPr="00C05614" w:rsidRDefault="002215A6" w:rsidP="002215A6">
            <w:pPr>
              <w:ind w:left="34"/>
              <w:jc w:val="right"/>
              <w:rPr>
                <w:b/>
                <w:bCs/>
                <w:szCs w:val="18"/>
                <w:lang w:val="en-US"/>
              </w:rPr>
            </w:pPr>
            <w:r>
              <w:rPr>
                <w:b/>
                <w:bCs/>
                <w:szCs w:val="18"/>
                <w:lang w:val="en-US"/>
              </w:rPr>
              <w:t>11</w:t>
            </w:r>
            <w:r w:rsidRPr="00AC011F">
              <w:rPr>
                <w:b/>
                <w:bCs/>
                <w:szCs w:val="18"/>
                <w:lang w:val="en-US"/>
              </w:rPr>
              <w:t xml:space="preserve"> </w:t>
            </w:r>
          </w:p>
        </w:tc>
        <w:tc>
          <w:tcPr>
            <w:tcW w:w="572" w:type="pct"/>
            <w:tcBorders>
              <w:top w:val="nil"/>
              <w:left w:val="nil"/>
              <w:bottom w:val="nil"/>
              <w:right w:val="nil"/>
            </w:tcBorders>
            <w:shd w:val="clear" w:color="auto" w:fill="FFFFFF"/>
            <w:noWrap/>
            <w:vAlign w:val="bottom"/>
          </w:tcPr>
          <w:p w14:paraId="1A4DE31C" w14:textId="77777777" w:rsidR="002215A6" w:rsidRPr="00CE2CEC" w:rsidRDefault="002215A6" w:rsidP="002215A6">
            <w:pPr>
              <w:ind w:left="34"/>
              <w:jc w:val="right"/>
              <w:rPr>
                <w:bCs/>
                <w:szCs w:val="18"/>
                <w:lang w:val="en-US"/>
              </w:rPr>
            </w:pPr>
            <w:r w:rsidRPr="00CE2CEC">
              <w:rPr>
                <w:bCs/>
                <w:szCs w:val="18"/>
                <w:lang w:val="en-US"/>
              </w:rPr>
              <w:t xml:space="preserve">6 </w:t>
            </w:r>
          </w:p>
        </w:tc>
      </w:tr>
      <w:tr w:rsidR="002215A6" w:rsidRPr="00C05614" w14:paraId="6F15FD4F" w14:textId="77777777" w:rsidTr="002215A6">
        <w:trPr>
          <w:trHeight w:val="255"/>
        </w:trPr>
        <w:tc>
          <w:tcPr>
            <w:tcW w:w="3460" w:type="pct"/>
            <w:tcBorders>
              <w:top w:val="nil"/>
              <w:left w:val="nil"/>
              <w:bottom w:val="nil"/>
              <w:right w:val="nil"/>
            </w:tcBorders>
            <w:shd w:val="clear" w:color="auto" w:fill="FFFFFF"/>
            <w:vAlign w:val="bottom"/>
          </w:tcPr>
          <w:p w14:paraId="7624E810" w14:textId="77777777" w:rsidR="002215A6" w:rsidRPr="00C05614" w:rsidRDefault="002215A6" w:rsidP="002215A6">
            <w:pPr>
              <w:ind w:left="34"/>
              <w:rPr>
                <w:szCs w:val="18"/>
                <w:lang w:val="en-US"/>
              </w:rPr>
            </w:pPr>
            <w:r w:rsidRPr="00C05614">
              <w:rPr>
                <w:szCs w:val="18"/>
                <w:lang w:val="en-US"/>
              </w:rPr>
              <w:t>Unearned income</w:t>
            </w:r>
          </w:p>
        </w:tc>
        <w:tc>
          <w:tcPr>
            <w:tcW w:w="968" w:type="pct"/>
            <w:tcBorders>
              <w:top w:val="nil"/>
              <w:left w:val="nil"/>
              <w:bottom w:val="nil"/>
              <w:right w:val="nil"/>
            </w:tcBorders>
            <w:shd w:val="clear" w:color="auto" w:fill="FFFFFF"/>
            <w:vAlign w:val="bottom"/>
          </w:tcPr>
          <w:p w14:paraId="00E795BE" w14:textId="77777777" w:rsidR="002215A6" w:rsidRPr="00C05614" w:rsidRDefault="002215A6" w:rsidP="002215A6">
            <w:pPr>
              <w:ind w:left="34"/>
              <w:jc w:val="right"/>
              <w:rPr>
                <w:b/>
                <w:bCs/>
                <w:szCs w:val="18"/>
                <w:lang w:val="en-US"/>
              </w:rPr>
            </w:pPr>
            <w:r>
              <w:rPr>
                <w:b/>
                <w:bCs/>
                <w:szCs w:val="18"/>
                <w:lang w:val="en-US"/>
              </w:rPr>
              <w:t>1,687</w:t>
            </w:r>
            <w:r w:rsidRPr="00AC011F">
              <w:rPr>
                <w:b/>
                <w:bCs/>
                <w:szCs w:val="18"/>
                <w:lang w:val="en-US"/>
              </w:rPr>
              <w:t xml:space="preserve"> </w:t>
            </w:r>
          </w:p>
        </w:tc>
        <w:tc>
          <w:tcPr>
            <w:tcW w:w="572" w:type="pct"/>
            <w:tcBorders>
              <w:top w:val="nil"/>
              <w:left w:val="nil"/>
              <w:bottom w:val="nil"/>
              <w:right w:val="nil"/>
            </w:tcBorders>
            <w:shd w:val="clear" w:color="auto" w:fill="FFFFFF"/>
            <w:noWrap/>
            <w:vAlign w:val="bottom"/>
          </w:tcPr>
          <w:p w14:paraId="4F684B1A" w14:textId="77777777" w:rsidR="002215A6" w:rsidRPr="00CE2CEC" w:rsidRDefault="002215A6" w:rsidP="002215A6">
            <w:pPr>
              <w:ind w:left="34"/>
              <w:jc w:val="right"/>
              <w:rPr>
                <w:bCs/>
                <w:szCs w:val="18"/>
                <w:lang w:val="en-US"/>
              </w:rPr>
            </w:pPr>
            <w:r w:rsidRPr="00CE2CEC">
              <w:rPr>
                <w:bCs/>
                <w:szCs w:val="18"/>
                <w:lang w:val="en-US"/>
              </w:rPr>
              <w:t xml:space="preserve">5,770 </w:t>
            </w:r>
          </w:p>
        </w:tc>
      </w:tr>
      <w:tr w:rsidR="002215A6" w:rsidRPr="00C05614" w14:paraId="6F361A4D" w14:textId="77777777" w:rsidTr="002215A6">
        <w:trPr>
          <w:trHeight w:val="255"/>
        </w:trPr>
        <w:tc>
          <w:tcPr>
            <w:tcW w:w="3460" w:type="pct"/>
            <w:tcBorders>
              <w:top w:val="nil"/>
              <w:left w:val="nil"/>
              <w:bottom w:val="nil"/>
              <w:right w:val="nil"/>
            </w:tcBorders>
            <w:shd w:val="clear" w:color="auto" w:fill="FFFFFF"/>
            <w:vAlign w:val="bottom"/>
          </w:tcPr>
          <w:p w14:paraId="39A3B556" w14:textId="77777777" w:rsidR="002215A6" w:rsidRPr="00C05614" w:rsidRDefault="002215A6" w:rsidP="002215A6">
            <w:pPr>
              <w:ind w:left="34"/>
              <w:rPr>
                <w:szCs w:val="18"/>
                <w:lang w:val="en-US"/>
              </w:rPr>
            </w:pPr>
            <w:r w:rsidRPr="00C05614">
              <w:rPr>
                <w:szCs w:val="18"/>
                <w:lang w:val="en-US"/>
              </w:rPr>
              <w:t>Other</w:t>
            </w:r>
          </w:p>
        </w:tc>
        <w:tc>
          <w:tcPr>
            <w:tcW w:w="968" w:type="pct"/>
            <w:tcBorders>
              <w:top w:val="nil"/>
              <w:left w:val="nil"/>
              <w:bottom w:val="nil"/>
              <w:right w:val="nil"/>
            </w:tcBorders>
            <w:shd w:val="clear" w:color="auto" w:fill="FFFFFF"/>
            <w:vAlign w:val="bottom"/>
          </w:tcPr>
          <w:p w14:paraId="587084F9" w14:textId="77777777" w:rsidR="002215A6" w:rsidRPr="00C05614" w:rsidRDefault="002215A6" w:rsidP="002215A6">
            <w:pPr>
              <w:ind w:left="34"/>
              <w:jc w:val="right"/>
              <w:rPr>
                <w:b/>
                <w:bCs/>
                <w:szCs w:val="18"/>
                <w:lang w:val="en-US"/>
              </w:rPr>
            </w:pPr>
            <w:r>
              <w:rPr>
                <w:b/>
                <w:bCs/>
                <w:szCs w:val="18"/>
                <w:lang w:val="en-US"/>
              </w:rPr>
              <w:t>13</w:t>
            </w:r>
            <w:r w:rsidRPr="00AC011F">
              <w:rPr>
                <w:b/>
                <w:bCs/>
                <w:szCs w:val="18"/>
                <w:lang w:val="en-US"/>
              </w:rPr>
              <w:t xml:space="preserve"> </w:t>
            </w:r>
          </w:p>
        </w:tc>
        <w:tc>
          <w:tcPr>
            <w:tcW w:w="572" w:type="pct"/>
            <w:tcBorders>
              <w:top w:val="nil"/>
              <w:left w:val="nil"/>
              <w:bottom w:val="nil"/>
              <w:right w:val="nil"/>
            </w:tcBorders>
            <w:shd w:val="clear" w:color="auto" w:fill="FFFFFF"/>
            <w:noWrap/>
            <w:vAlign w:val="bottom"/>
          </w:tcPr>
          <w:p w14:paraId="6FAA3166" w14:textId="77777777" w:rsidR="002215A6" w:rsidRPr="00CE2CEC" w:rsidRDefault="002215A6" w:rsidP="002215A6">
            <w:pPr>
              <w:ind w:left="34"/>
              <w:jc w:val="right"/>
              <w:rPr>
                <w:bCs/>
                <w:szCs w:val="18"/>
                <w:lang w:val="en-US"/>
              </w:rPr>
            </w:pPr>
            <w:r w:rsidRPr="00CE2CEC">
              <w:rPr>
                <w:bCs/>
                <w:szCs w:val="18"/>
                <w:lang w:val="en-US"/>
              </w:rPr>
              <w:t xml:space="preserve">15 </w:t>
            </w:r>
          </w:p>
        </w:tc>
      </w:tr>
      <w:tr w:rsidR="002215A6" w:rsidRPr="00C05614" w14:paraId="1F31309A" w14:textId="77777777" w:rsidTr="002215A6">
        <w:trPr>
          <w:trHeight w:val="255"/>
        </w:trPr>
        <w:tc>
          <w:tcPr>
            <w:tcW w:w="3460" w:type="pct"/>
            <w:tcBorders>
              <w:top w:val="nil"/>
              <w:left w:val="nil"/>
              <w:bottom w:val="nil"/>
              <w:right w:val="nil"/>
            </w:tcBorders>
            <w:shd w:val="clear" w:color="auto" w:fill="FFFFFF"/>
            <w:vAlign w:val="bottom"/>
          </w:tcPr>
          <w:p w14:paraId="099BECBE" w14:textId="77777777" w:rsidR="002215A6" w:rsidRPr="00C05614" w:rsidRDefault="002215A6" w:rsidP="002215A6">
            <w:pPr>
              <w:ind w:left="34"/>
              <w:rPr>
                <w:b/>
                <w:bCs/>
                <w:szCs w:val="18"/>
                <w:lang w:val="en-US"/>
              </w:rPr>
            </w:pPr>
            <w:r w:rsidRPr="00C05614">
              <w:rPr>
                <w:b/>
                <w:bCs/>
                <w:szCs w:val="18"/>
                <w:lang w:val="en-US"/>
              </w:rPr>
              <w:t>Total other payables</w:t>
            </w:r>
          </w:p>
        </w:tc>
        <w:tc>
          <w:tcPr>
            <w:tcW w:w="968" w:type="pct"/>
            <w:tcBorders>
              <w:top w:val="single" w:sz="4" w:space="0" w:color="auto"/>
              <w:left w:val="nil"/>
              <w:bottom w:val="single" w:sz="4" w:space="0" w:color="auto"/>
              <w:right w:val="nil"/>
            </w:tcBorders>
            <w:shd w:val="clear" w:color="auto" w:fill="FFFFFF"/>
            <w:vAlign w:val="bottom"/>
          </w:tcPr>
          <w:p w14:paraId="3DD5F6BC" w14:textId="77777777" w:rsidR="002215A6" w:rsidRPr="00C05614" w:rsidRDefault="002215A6" w:rsidP="002215A6">
            <w:pPr>
              <w:ind w:left="34"/>
              <w:jc w:val="right"/>
              <w:rPr>
                <w:b/>
                <w:bCs/>
                <w:szCs w:val="18"/>
                <w:lang w:val="en-US"/>
              </w:rPr>
            </w:pPr>
            <w:r>
              <w:rPr>
                <w:b/>
                <w:bCs/>
                <w:szCs w:val="18"/>
                <w:lang w:val="en-US"/>
              </w:rPr>
              <w:t>1,773</w:t>
            </w:r>
            <w:r w:rsidRPr="00AC011F">
              <w:rPr>
                <w:b/>
                <w:bCs/>
                <w:szCs w:val="18"/>
                <w:lang w:val="en-US"/>
              </w:rPr>
              <w:t xml:space="preserve"> </w:t>
            </w:r>
          </w:p>
        </w:tc>
        <w:tc>
          <w:tcPr>
            <w:tcW w:w="572" w:type="pct"/>
            <w:tcBorders>
              <w:top w:val="single" w:sz="4" w:space="0" w:color="auto"/>
              <w:left w:val="nil"/>
              <w:bottom w:val="single" w:sz="4" w:space="0" w:color="auto"/>
              <w:right w:val="nil"/>
            </w:tcBorders>
            <w:shd w:val="clear" w:color="auto" w:fill="FFFFFF"/>
            <w:noWrap/>
            <w:vAlign w:val="bottom"/>
          </w:tcPr>
          <w:p w14:paraId="54676F99" w14:textId="77777777" w:rsidR="002215A6" w:rsidRPr="00CE2CEC" w:rsidRDefault="002215A6" w:rsidP="002215A6">
            <w:pPr>
              <w:ind w:left="34"/>
              <w:jc w:val="right"/>
              <w:rPr>
                <w:bCs/>
                <w:szCs w:val="18"/>
                <w:lang w:val="en-US"/>
              </w:rPr>
            </w:pPr>
            <w:r w:rsidRPr="00CE2CEC">
              <w:rPr>
                <w:bCs/>
                <w:szCs w:val="18"/>
                <w:lang w:val="en-US"/>
              </w:rPr>
              <w:t xml:space="preserve">5,827 </w:t>
            </w:r>
          </w:p>
        </w:tc>
      </w:tr>
      <w:tr w:rsidR="002215A6" w:rsidRPr="00C05614" w14:paraId="26855A18" w14:textId="77777777" w:rsidTr="002215A6">
        <w:trPr>
          <w:trHeight w:val="255"/>
        </w:trPr>
        <w:tc>
          <w:tcPr>
            <w:tcW w:w="3460" w:type="pct"/>
            <w:tcBorders>
              <w:top w:val="nil"/>
              <w:left w:val="nil"/>
              <w:bottom w:val="nil"/>
              <w:right w:val="nil"/>
            </w:tcBorders>
            <w:shd w:val="clear" w:color="auto" w:fill="FFFFFF"/>
            <w:vAlign w:val="bottom"/>
          </w:tcPr>
          <w:p w14:paraId="3D224CA0" w14:textId="77777777" w:rsidR="002215A6" w:rsidRPr="00C05614" w:rsidRDefault="002215A6" w:rsidP="002215A6">
            <w:pPr>
              <w:ind w:left="34"/>
              <w:rPr>
                <w:b/>
                <w:bCs/>
                <w:szCs w:val="18"/>
                <w:lang w:val="en-US"/>
              </w:rPr>
            </w:pPr>
            <w:r w:rsidRPr="00C05614">
              <w:rPr>
                <w:b/>
                <w:bCs/>
                <w:szCs w:val="18"/>
                <w:lang w:val="en-US"/>
              </w:rPr>
              <w:t> </w:t>
            </w:r>
          </w:p>
        </w:tc>
        <w:tc>
          <w:tcPr>
            <w:tcW w:w="968" w:type="pct"/>
            <w:tcBorders>
              <w:top w:val="nil"/>
              <w:left w:val="nil"/>
              <w:bottom w:val="nil"/>
              <w:right w:val="nil"/>
            </w:tcBorders>
            <w:shd w:val="clear" w:color="auto" w:fill="FFFFFF"/>
            <w:vAlign w:val="bottom"/>
          </w:tcPr>
          <w:p w14:paraId="67E2774E" w14:textId="77777777" w:rsidR="002215A6" w:rsidRPr="00C05614" w:rsidRDefault="002215A6" w:rsidP="002215A6">
            <w:pPr>
              <w:ind w:left="34"/>
              <w:jc w:val="right"/>
              <w:rPr>
                <w:b/>
                <w:bCs/>
                <w:szCs w:val="18"/>
                <w:lang w:val="en-US"/>
              </w:rPr>
            </w:pPr>
            <w:r w:rsidRPr="00C05614">
              <w:rPr>
                <w:b/>
                <w:bCs/>
                <w:szCs w:val="18"/>
                <w:lang w:val="en-US"/>
              </w:rPr>
              <w:t> </w:t>
            </w:r>
          </w:p>
        </w:tc>
        <w:tc>
          <w:tcPr>
            <w:tcW w:w="572" w:type="pct"/>
            <w:tcBorders>
              <w:top w:val="nil"/>
              <w:left w:val="nil"/>
              <w:bottom w:val="nil"/>
              <w:right w:val="nil"/>
            </w:tcBorders>
            <w:shd w:val="clear" w:color="auto" w:fill="FFFFFF"/>
            <w:noWrap/>
            <w:vAlign w:val="bottom"/>
          </w:tcPr>
          <w:p w14:paraId="7607DBBA" w14:textId="77777777" w:rsidR="002215A6" w:rsidRPr="00CE2CEC" w:rsidRDefault="002215A6" w:rsidP="002215A6">
            <w:pPr>
              <w:ind w:left="34"/>
              <w:jc w:val="right"/>
              <w:rPr>
                <w:bCs/>
                <w:szCs w:val="18"/>
                <w:lang w:val="en-US"/>
              </w:rPr>
            </w:pPr>
            <w:r w:rsidRPr="00CE2CEC">
              <w:rPr>
                <w:bCs/>
                <w:szCs w:val="18"/>
                <w:lang w:val="en-US"/>
              </w:rPr>
              <w:t> </w:t>
            </w:r>
          </w:p>
        </w:tc>
      </w:tr>
    </w:tbl>
    <w:p w14:paraId="64DE175E" w14:textId="77777777" w:rsidR="00195E07" w:rsidRPr="002215A6" w:rsidRDefault="00195E07" w:rsidP="002215A6">
      <w:r w:rsidRPr="002215A6">
        <w:br w:type="page"/>
      </w:r>
    </w:p>
    <w:tbl>
      <w:tblPr>
        <w:tblW w:w="5000" w:type="pct"/>
        <w:tblLook w:val="0000" w:firstRow="0" w:lastRow="0" w:firstColumn="0" w:lastColumn="0" w:noHBand="0" w:noVBand="0"/>
        <w:tblCaption w:val="3 People and Relationships"/>
      </w:tblPr>
      <w:tblGrid>
        <w:gridCol w:w="4404"/>
        <w:gridCol w:w="173"/>
        <w:gridCol w:w="968"/>
        <w:gridCol w:w="280"/>
        <w:gridCol w:w="214"/>
        <w:gridCol w:w="63"/>
        <w:gridCol w:w="866"/>
        <w:gridCol w:w="238"/>
        <w:gridCol w:w="1288"/>
      </w:tblGrid>
      <w:tr w:rsidR="002215A6" w:rsidRPr="00C05614" w14:paraId="0D319F81" w14:textId="77777777" w:rsidTr="002215A6">
        <w:trPr>
          <w:trHeight w:val="255"/>
        </w:trPr>
        <w:tc>
          <w:tcPr>
            <w:tcW w:w="3264" w:type="pct"/>
            <w:gridSpan w:val="3"/>
            <w:tcBorders>
              <w:top w:val="nil"/>
              <w:left w:val="nil"/>
              <w:bottom w:val="nil"/>
              <w:right w:val="nil"/>
            </w:tcBorders>
            <w:shd w:val="clear" w:color="auto" w:fill="FFFFFF"/>
            <w:vAlign w:val="bottom"/>
          </w:tcPr>
          <w:p w14:paraId="37336A62" w14:textId="77777777" w:rsidR="002215A6" w:rsidRPr="00DB6A05" w:rsidRDefault="002215A6" w:rsidP="002215A6">
            <w:pPr>
              <w:pStyle w:val="Heading2"/>
            </w:pPr>
            <w:r>
              <w:lastRenderedPageBreak/>
              <w:t>3 People and Relationships</w:t>
            </w:r>
          </w:p>
        </w:tc>
        <w:tc>
          <w:tcPr>
            <w:tcW w:w="838" w:type="pct"/>
            <w:gridSpan w:val="4"/>
            <w:tcBorders>
              <w:top w:val="nil"/>
              <w:left w:val="nil"/>
              <w:bottom w:val="nil"/>
              <w:right w:val="nil"/>
            </w:tcBorders>
            <w:shd w:val="clear" w:color="auto" w:fill="FFFFFF"/>
            <w:vAlign w:val="bottom"/>
          </w:tcPr>
          <w:p w14:paraId="4A850765" w14:textId="77777777" w:rsidR="002215A6" w:rsidRPr="00C05614" w:rsidRDefault="002215A6" w:rsidP="002215A6">
            <w:pPr>
              <w:jc w:val="right"/>
              <w:rPr>
                <w:b/>
                <w:bCs/>
                <w:szCs w:val="18"/>
                <w:lang w:val="en-US"/>
              </w:rPr>
            </w:pPr>
          </w:p>
        </w:tc>
        <w:tc>
          <w:tcPr>
            <w:tcW w:w="571" w:type="pct"/>
            <w:gridSpan w:val="2"/>
            <w:tcBorders>
              <w:top w:val="nil"/>
              <w:left w:val="nil"/>
              <w:bottom w:val="nil"/>
              <w:right w:val="nil"/>
            </w:tcBorders>
            <w:shd w:val="clear" w:color="auto" w:fill="FFFFFF"/>
            <w:vAlign w:val="bottom"/>
          </w:tcPr>
          <w:p w14:paraId="6C7986B4" w14:textId="77777777" w:rsidR="002215A6" w:rsidRPr="00C05614" w:rsidRDefault="002215A6" w:rsidP="002215A6">
            <w:pPr>
              <w:jc w:val="right"/>
              <w:rPr>
                <w:bCs/>
                <w:szCs w:val="18"/>
                <w:lang w:val="en-US"/>
              </w:rPr>
            </w:pPr>
          </w:p>
        </w:tc>
      </w:tr>
      <w:tr w:rsidR="002215A6" w:rsidRPr="00C05614" w14:paraId="16BDBE25" w14:textId="77777777" w:rsidTr="002215A6">
        <w:trPr>
          <w:trHeight w:val="255"/>
        </w:trPr>
        <w:tc>
          <w:tcPr>
            <w:tcW w:w="3264" w:type="pct"/>
            <w:gridSpan w:val="3"/>
            <w:tcBorders>
              <w:top w:val="nil"/>
              <w:left w:val="nil"/>
              <w:bottom w:val="nil"/>
              <w:right w:val="nil"/>
            </w:tcBorders>
            <w:shd w:val="clear" w:color="auto" w:fill="FFFFFF"/>
          </w:tcPr>
          <w:p w14:paraId="43C0D1EF" w14:textId="77777777" w:rsidR="002215A6" w:rsidRPr="00C05614" w:rsidRDefault="002215A6" w:rsidP="002215A6">
            <w:pPr>
              <w:rPr>
                <w:b/>
                <w:bCs/>
                <w:szCs w:val="18"/>
                <w:lang w:val="en-US"/>
              </w:rPr>
            </w:pPr>
          </w:p>
        </w:tc>
        <w:tc>
          <w:tcPr>
            <w:tcW w:w="838" w:type="pct"/>
            <w:gridSpan w:val="4"/>
            <w:tcBorders>
              <w:top w:val="nil"/>
              <w:left w:val="nil"/>
              <w:bottom w:val="nil"/>
              <w:right w:val="nil"/>
            </w:tcBorders>
            <w:shd w:val="clear" w:color="auto" w:fill="FFFFFF"/>
            <w:vAlign w:val="bottom"/>
          </w:tcPr>
          <w:p w14:paraId="57428EE5" w14:textId="77777777" w:rsidR="002215A6" w:rsidRPr="00C05614" w:rsidRDefault="002215A6" w:rsidP="002215A6">
            <w:pPr>
              <w:jc w:val="right"/>
              <w:rPr>
                <w:b/>
                <w:bCs/>
                <w:szCs w:val="18"/>
                <w:lang w:val="en-US"/>
              </w:rPr>
            </w:pPr>
            <w:r>
              <w:rPr>
                <w:b/>
                <w:bCs/>
                <w:szCs w:val="18"/>
                <w:lang w:val="en-US"/>
              </w:rPr>
              <w:t>2017</w:t>
            </w:r>
          </w:p>
        </w:tc>
        <w:tc>
          <w:tcPr>
            <w:tcW w:w="571" w:type="pct"/>
            <w:gridSpan w:val="2"/>
            <w:tcBorders>
              <w:top w:val="nil"/>
              <w:left w:val="nil"/>
              <w:bottom w:val="nil"/>
              <w:right w:val="nil"/>
            </w:tcBorders>
            <w:shd w:val="clear" w:color="auto" w:fill="FFFFFF"/>
            <w:vAlign w:val="bottom"/>
          </w:tcPr>
          <w:p w14:paraId="2F70D590" w14:textId="77777777" w:rsidR="002215A6" w:rsidRPr="00C05614" w:rsidRDefault="002215A6" w:rsidP="002215A6">
            <w:pPr>
              <w:jc w:val="right"/>
              <w:rPr>
                <w:bCs/>
                <w:szCs w:val="18"/>
                <w:lang w:val="en-US"/>
              </w:rPr>
            </w:pPr>
            <w:r>
              <w:rPr>
                <w:bCs/>
                <w:szCs w:val="18"/>
                <w:lang w:val="en-US"/>
              </w:rPr>
              <w:t>2016</w:t>
            </w:r>
          </w:p>
        </w:tc>
      </w:tr>
      <w:tr w:rsidR="002215A6" w:rsidRPr="00C05614" w14:paraId="4F6425C6" w14:textId="77777777" w:rsidTr="002215A6">
        <w:trPr>
          <w:trHeight w:val="255"/>
        </w:trPr>
        <w:tc>
          <w:tcPr>
            <w:tcW w:w="3264" w:type="pct"/>
            <w:gridSpan w:val="3"/>
            <w:tcBorders>
              <w:top w:val="nil"/>
              <w:left w:val="nil"/>
              <w:bottom w:val="nil"/>
              <w:right w:val="nil"/>
            </w:tcBorders>
            <w:shd w:val="clear" w:color="auto" w:fill="FFFFFF"/>
            <w:vAlign w:val="bottom"/>
          </w:tcPr>
          <w:p w14:paraId="08345A33" w14:textId="77777777" w:rsidR="002215A6" w:rsidRPr="00C05614" w:rsidRDefault="002215A6" w:rsidP="002215A6">
            <w:pPr>
              <w:rPr>
                <w:sz w:val="24"/>
                <w:szCs w:val="24"/>
                <w:lang w:val="en-US"/>
              </w:rPr>
            </w:pPr>
          </w:p>
        </w:tc>
        <w:tc>
          <w:tcPr>
            <w:tcW w:w="838" w:type="pct"/>
            <w:gridSpan w:val="4"/>
            <w:tcBorders>
              <w:top w:val="nil"/>
              <w:left w:val="nil"/>
              <w:bottom w:val="nil"/>
              <w:right w:val="nil"/>
            </w:tcBorders>
            <w:shd w:val="clear" w:color="auto" w:fill="FFFFFF"/>
            <w:vAlign w:val="bottom"/>
          </w:tcPr>
          <w:p w14:paraId="5B751850" w14:textId="77777777" w:rsidR="002215A6" w:rsidRPr="00C05614" w:rsidRDefault="002215A6" w:rsidP="002215A6">
            <w:pPr>
              <w:jc w:val="right"/>
              <w:rPr>
                <w:b/>
                <w:bCs/>
                <w:szCs w:val="18"/>
                <w:lang w:val="en-US"/>
              </w:rPr>
            </w:pPr>
            <w:r w:rsidRPr="00C05614">
              <w:rPr>
                <w:b/>
                <w:bCs/>
                <w:szCs w:val="18"/>
                <w:lang w:val="en-US"/>
              </w:rPr>
              <w:t>$</w:t>
            </w:r>
            <w:r>
              <w:rPr>
                <w:b/>
                <w:bCs/>
                <w:szCs w:val="18"/>
                <w:lang w:val="en-US"/>
              </w:rPr>
              <w:t>’000</w:t>
            </w:r>
          </w:p>
        </w:tc>
        <w:tc>
          <w:tcPr>
            <w:tcW w:w="571" w:type="pct"/>
            <w:gridSpan w:val="2"/>
            <w:tcBorders>
              <w:top w:val="nil"/>
              <w:left w:val="nil"/>
              <w:bottom w:val="nil"/>
              <w:right w:val="nil"/>
            </w:tcBorders>
            <w:shd w:val="clear" w:color="auto" w:fill="FFFFFF"/>
            <w:vAlign w:val="bottom"/>
          </w:tcPr>
          <w:p w14:paraId="3632A156" w14:textId="77777777" w:rsidR="002215A6" w:rsidRPr="00C05614" w:rsidRDefault="002215A6" w:rsidP="002215A6">
            <w:pPr>
              <w:jc w:val="right"/>
              <w:rPr>
                <w:bCs/>
                <w:szCs w:val="18"/>
                <w:lang w:val="en-US"/>
              </w:rPr>
            </w:pPr>
            <w:r w:rsidRPr="00C05614">
              <w:rPr>
                <w:bCs/>
                <w:szCs w:val="18"/>
                <w:lang w:val="en-US"/>
              </w:rPr>
              <w:t>$</w:t>
            </w:r>
            <w:r>
              <w:rPr>
                <w:bCs/>
                <w:szCs w:val="18"/>
                <w:lang w:val="en-US"/>
              </w:rPr>
              <w:t>’000</w:t>
            </w:r>
          </w:p>
        </w:tc>
      </w:tr>
      <w:tr w:rsidR="002215A6" w:rsidRPr="00C05614" w14:paraId="05622FD9" w14:textId="77777777" w:rsidTr="002215A6">
        <w:trPr>
          <w:trHeight w:val="255"/>
        </w:trPr>
        <w:tc>
          <w:tcPr>
            <w:tcW w:w="3264" w:type="pct"/>
            <w:gridSpan w:val="3"/>
            <w:tcBorders>
              <w:top w:val="nil"/>
              <w:left w:val="nil"/>
              <w:bottom w:val="nil"/>
              <w:right w:val="nil"/>
            </w:tcBorders>
            <w:shd w:val="clear" w:color="auto" w:fill="FFFFFF"/>
            <w:vAlign w:val="bottom"/>
          </w:tcPr>
          <w:p w14:paraId="500A0C59" w14:textId="77777777" w:rsidR="002215A6" w:rsidRPr="00DB4ED7" w:rsidRDefault="002215A6" w:rsidP="002215A6">
            <w:pPr>
              <w:pStyle w:val="Heading3"/>
              <w:rPr>
                <w:b w:val="0"/>
                <w:bCs/>
                <w:sz w:val="24"/>
                <w:szCs w:val="24"/>
                <w:lang w:val="en-US"/>
              </w:rPr>
            </w:pPr>
            <w:r w:rsidRPr="00DB4ED7">
              <w:rPr>
                <w:sz w:val="24"/>
                <w:szCs w:val="24"/>
              </w:rPr>
              <w:t>3.1 Employee Provisions</w:t>
            </w:r>
          </w:p>
        </w:tc>
        <w:tc>
          <w:tcPr>
            <w:tcW w:w="838" w:type="pct"/>
            <w:gridSpan w:val="4"/>
            <w:tcBorders>
              <w:top w:val="nil"/>
              <w:left w:val="nil"/>
              <w:bottom w:val="nil"/>
              <w:right w:val="nil"/>
            </w:tcBorders>
            <w:shd w:val="clear" w:color="auto" w:fill="FFFFFF"/>
            <w:vAlign w:val="bottom"/>
          </w:tcPr>
          <w:p w14:paraId="2C888FFE" w14:textId="77777777" w:rsidR="002215A6" w:rsidRPr="00C05614" w:rsidRDefault="002215A6" w:rsidP="002215A6">
            <w:pPr>
              <w:jc w:val="right"/>
              <w:rPr>
                <w:b/>
                <w:bCs/>
                <w:szCs w:val="18"/>
                <w:lang w:val="en-US"/>
              </w:rPr>
            </w:pPr>
            <w:r w:rsidRPr="00C05614">
              <w:rPr>
                <w:b/>
                <w:bCs/>
                <w:szCs w:val="18"/>
                <w:lang w:val="en-US"/>
              </w:rPr>
              <w:t> </w:t>
            </w:r>
          </w:p>
        </w:tc>
        <w:tc>
          <w:tcPr>
            <w:tcW w:w="571" w:type="pct"/>
            <w:gridSpan w:val="2"/>
            <w:tcBorders>
              <w:top w:val="nil"/>
              <w:left w:val="nil"/>
              <w:bottom w:val="nil"/>
              <w:right w:val="nil"/>
            </w:tcBorders>
            <w:shd w:val="clear" w:color="auto" w:fill="FFFFFF"/>
            <w:vAlign w:val="bottom"/>
          </w:tcPr>
          <w:p w14:paraId="0E08DF10" w14:textId="77777777" w:rsidR="002215A6" w:rsidRPr="00C05614" w:rsidRDefault="002215A6" w:rsidP="002215A6">
            <w:pPr>
              <w:jc w:val="right"/>
              <w:rPr>
                <w:bCs/>
                <w:szCs w:val="18"/>
                <w:lang w:val="en-US"/>
              </w:rPr>
            </w:pPr>
            <w:r w:rsidRPr="00C05614">
              <w:rPr>
                <w:bCs/>
                <w:szCs w:val="18"/>
                <w:lang w:val="en-US"/>
              </w:rPr>
              <w:t> </w:t>
            </w:r>
          </w:p>
        </w:tc>
      </w:tr>
      <w:tr w:rsidR="002215A6" w:rsidRPr="00C05614" w14:paraId="7E443DAC" w14:textId="77777777" w:rsidTr="002215A6">
        <w:trPr>
          <w:trHeight w:val="255"/>
        </w:trPr>
        <w:tc>
          <w:tcPr>
            <w:tcW w:w="2592" w:type="pct"/>
            <w:tcBorders>
              <w:top w:val="nil"/>
              <w:left w:val="nil"/>
              <w:bottom w:val="nil"/>
              <w:right w:val="nil"/>
            </w:tcBorders>
            <w:shd w:val="clear" w:color="auto" w:fill="FFFFFF"/>
            <w:vAlign w:val="bottom"/>
          </w:tcPr>
          <w:p w14:paraId="22D252CD" w14:textId="77777777" w:rsidR="002215A6" w:rsidRPr="00C05614" w:rsidRDefault="002215A6" w:rsidP="002215A6">
            <w:pPr>
              <w:ind w:left="34" w:firstLine="22"/>
              <w:rPr>
                <w:szCs w:val="18"/>
                <w:lang w:val="en-US"/>
              </w:rPr>
            </w:pPr>
            <w:r w:rsidRPr="00C05614">
              <w:rPr>
                <w:szCs w:val="18"/>
                <w:lang w:val="en-US"/>
              </w:rPr>
              <w:t>Leave</w:t>
            </w:r>
          </w:p>
        </w:tc>
        <w:tc>
          <w:tcPr>
            <w:tcW w:w="837" w:type="pct"/>
            <w:gridSpan w:val="3"/>
            <w:tcBorders>
              <w:top w:val="nil"/>
              <w:left w:val="nil"/>
              <w:bottom w:val="nil"/>
              <w:right w:val="nil"/>
            </w:tcBorders>
            <w:shd w:val="clear" w:color="auto" w:fill="FFFFFF"/>
          </w:tcPr>
          <w:p w14:paraId="79BF5A6F" w14:textId="77777777" w:rsidR="002215A6" w:rsidRDefault="002215A6" w:rsidP="002215A6">
            <w:pPr>
              <w:jc w:val="right"/>
              <w:rPr>
                <w:b/>
                <w:bCs/>
                <w:szCs w:val="18"/>
                <w:lang w:val="en-US"/>
              </w:rPr>
            </w:pPr>
          </w:p>
        </w:tc>
        <w:tc>
          <w:tcPr>
            <w:tcW w:w="163" w:type="pct"/>
            <w:gridSpan w:val="2"/>
            <w:tcBorders>
              <w:top w:val="nil"/>
              <w:left w:val="nil"/>
              <w:bottom w:val="nil"/>
              <w:right w:val="nil"/>
            </w:tcBorders>
            <w:shd w:val="clear" w:color="auto" w:fill="FFFFFF"/>
          </w:tcPr>
          <w:p w14:paraId="3CFD5DF8" w14:textId="77777777" w:rsidR="002215A6" w:rsidRDefault="002215A6" w:rsidP="002215A6">
            <w:pPr>
              <w:jc w:val="right"/>
              <w:rPr>
                <w:b/>
                <w:bCs/>
                <w:szCs w:val="18"/>
                <w:lang w:val="en-US"/>
              </w:rPr>
            </w:pPr>
          </w:p>
        </w:tc>
        <w:tc>
          <w:tcPr>
            <w:tcW w:w="510" w:type="pct"/>
            <w:tcBorders>
              <w:top w:val="nil"/>
              <w:left w:val="nil"/>
              <w:bottom w:val="nil"/>
              <w:right w:val="nil"/>
            </w:tcBorders>
            <w:shd w:val="clear" w:color="auto" w:fill="FFFFFF"/>
            <w:vAlign w:val="bottom"/>
          </w:tcPr>
          <w:p w14:paraId="5F0AC07E" w14:textId="77777777" w:rsidR="002215A6" w:rsidRPr="00C05614" w:rsidRDefault="002215A6" w:rsidP="002215A6">
            <w:pPr>
              <w:jc w:val="right"/>
              <w:rPr>
                <w:b/>
                <w:bCs/>
                <w:szCs w:val="18"/>
                <w:lang w:val="en-US"/>
              </w:rPr>
            </w:pPr>
            <w:r>
              <w:rPr>
                <w:b/>
                <w:bCs/>
                <w:szCs w:val="18"/>
                <w:lang w:val="en-US"/>
              </w:rPr>
              <w:t>2,576</w:t>
            </w:r>
            <w:r w:rsidRPr="0020694D">
              <w:rPr>
                <w:b/>
                <w:bCs/>
                <w:szCs w:val="18"/>
                <w:lang w:val="en-US"/>
              </w:rPr>
              <w:t xml:space="preserve"> </w:t>
            </w:r>
          </w:p>
        </w:tc>
        <w:tc>
          <w:tcPr>
            <w:tcW w:w="571" w:type="pct"/>
            <w:gridSpan w:val="2"/>
            <w:tcBorders>
              <w:top w:val="nil"/>
              <w:left w:val="nil"/>
              <w:bottom w:val="nil"/>
              <w:right w:val="nil"/>
            </w:tcBorders>
            <w:shd w:val="clear" w:color="auto" w:fill="FFFFFF"/>
            <w:noWrap/>
            <w:vAlign w:val="bottom"/>
          </w:tcPr>
          <w:p w14:paraId="3A8793F7" w14:textId="77777777" w:rsidR="002215A6" w:rsidRPr="00CE2CEC" w:rsidRDefault="002215A6" w:rsidP="002215A6">
            <w:pPr>
              <w:jc w:val="right"/>
              <w:rPr>
                <w:bCs/>
                <w:szCs w:val="18"/>
                <w:lang w:val="en-US"/>
              </w:rPr>
            </w:pPr>
            <w:r w:rsidRPr="00CE2CEC">
              <w:rPr>
                <w:bCs/>
                <w:szCs w:val="18"/>
                <w:lang w:val="en-US"/>
              </w:rPr>
              <w:t xml:space="preserve">2,538 </w:t>
            </w:r>
          </w:p>
        </w:tc>
      </w:tr>
      <w:tr w:rsidR="002215A6" w:rsidRPr="00C05614" w14:paraId="41DAFB08" w14:textId="77777777" w:rsidTr="002215A6">
        <w:trPr>
          <w:trHeight w:val="255"/>
        </w:trPr>
        <w:tc>
          <w:tcPr>
            <w:tcW w:w="2592" w:type="pct"/>
            <w:tcBorders>
              <w:top w:val="nil"/>
              <w:left w:val="nil"/>
              <w:bottom w:val="nil"/>
              <w:right w:val="nil"/>
            </w:tcBorders>
            <w:shd w:val="clear" w:color="auto" w:fill="FFFFFF"/>
            <w:noWrap/>
            <w:vAlign w:val="bottom"/>
          </w:tcPr>
          <w:p w14:paraId="1AFEF29D" w14:textId="77777777" w:rsidR="002215A6" w:rsidRPr="00C05614" w:rsidRDefault="002215A6" w:rsidP="002215A6">
            <w:pPr>
              <w:ind w:left="34" w:firstLine="22"/>
              <w:rPr>
                <w:b/>
                <w:bCs/>
                <w:szCs w:val="18"/>
                <w:lang w:val="en-US"/>
              </w:rPr>
            </w:pPr>
            <w:r w:rsidRPr="00C05614">
              <w:rPr>
                <w:b/>
                <w:bCs/>
                <w:szCs w:val="18"/>
                <w:lang w:val="en-US"/>
              </w:rPr>
              <w:t>Total employee provisions</w:t>
            </w:r>
          </w:p>
        </w:tc>
        <w:tc>
          <w:tcPr>
            <w:tcW w:w="837" w:type="pct"/>
            <w:gridSpan w:val="3"/>
            <w:tcBorders>
              <w:left w:val="nil"/>
              <w:right w:val="nil"/>
            </w:tcBorders>
            <w:shd w:val="clear" w:color="auto" w:fill="FFFFFF"/>
          </w:tcPr>
          <w:p w14:paraId="41AE1FB7" w14:textId="77777777" w:rsidR="002215A6" w:rsidRDefault="002215A6" w:rsidP="002215A6">
            <w:pPr>
              <w:jc w:val="right"/>
              <w:rPr>
                <w:b/>
                <w:bCs/>
                <w:szCs w:val="18"/>
                <w:lang w:val="en-US"/>
              </w:rPr>
            </w:pPr>
          </w:p>
        </w:tc>
        <w:tc>
          <w:tcPr>
            <w:tcW w:w="163" w:type="pct"/>
            <w:gridSpan w:val="2"/>
            <w:tcBorders>
              <w:left w:val="nil"/>
              <w:right w:val="nil"/>
            </w:tcBorders>
            <w:shd w:val="clear" w:color="auto" w:fill="FFFFFF"/>
          </w:tcPr>
          <w:p w14:paraId="50038F8A" w14:textId="77777777" w:rsidR="002215A6" w:rsidRDefault="002215A6" w:rsidP="002215A6">
            <w:pPr>
              <w:jc w:val="right"/>
              <w:rPr>
                <w:b/>
                <w:bCs/>
                <w:szCs w:val="18"/>
                <w:lang w:val="en-US"/>
              </w:rPr>
            </w:pPr>
          </w:p>
        </w:tc>
        <w:tc>
          <w:tcPr>
            <w:tcW w:w="510" w:type="pct"/>
            <w:tcBorders>
              <w:top w:val="single" w:sz="4" w:space="0" w:color="auto"/>
              <w:left w:val="nil"/>
              <w:bottom w:val="single" w:sz="4" w:space="0" w:color="auto"/>
              <w:right w:val="nil"/>
            </w:tcBorders>
            <w:shd w:val="clear" w:color="auto" w:fill="FFFFFF"/>
            <w:vAlign w:val="bottom"/>
          </w:tcPr>
          <w:p w14:paraId="33A675BA" w14:textId="77777777" w:rsidR="002215A6" w:rsidRPr="00C05614" w:rsidRDefault="002215A6" w:rsidP="002215A6">
            <w:pPr>
              <w:jc w:val="right"/>
              <w:rPr>
                <w:b/>
                <w:bCs/>
                <w:szCs w:val="18"/>
                <w:lang w:val="en-US"/>
              </w:rPr>
            </w:pPr>
            <w:r>
              <w:rPr>
                <w:b/>
                <w:bCs/>
                <w:szCs w:val="18"/>
                <w:lang w:val="en-US"/>
              </w:rPr>
              <w:t>2,576</w:t>
            </w:r>
            <w:r w:rsidRPr="0020694D">
              <w:rPr>
                <w:b/>
                <w:bCs/>
                <w:szCs w:val="18"/>
                <w:lang w:val="en-US"/>
              </w:rPr>
              <w:t xml:space="preserve"> </w:t>
            </w:r>
          </w:p>
        </w:tc>
        <w:tc>
          <w:tcPr>
            <w:tcW w:w="571" w:type="pct"/>
            <w:gridSpan w:val="2"/>
            <w:tcBorders>
              <w:top w:val="single" w:sz="4" w:space="0" w:color="auto"/>
              <w:left w:val="nil"/>
              <w:bottom w:val="single" w:sz="4" w:space="0" w:color="auto"/>
              <w:right w:val="nil"/>
            </w:tcBorders>
            <w:shd w:val="clear" w:color="auto" w:fill="FFFFFF"/>
            <w:noWrap/>
            <w:vAlign w:val="bottom"/>
          </w:tcPr>
          <w:p w14:paraId="13FF3D2F" w14:textId="77777777" w:rsidR="002215A6" w:rsidRPr="00CE2CEC" w:rsidRDefault="002215A6" w:rsidP="002215A6">
            <w:pPr>
              <w:jc w:val="right"/>
              <w:rPr>
                <w:bCs/>
                <w:szCs w:val="18"/>
                <w:lang w:val="en-US"/>
              </w:rPr>
            </w:pPr>
            <w:r w:rsidRPr="00CE2CEC">
              <w:rPr>
                <w:bCs/>
                <w:szCs w:val="18"/>
                <w:lang w:val="en-US"/>
              </w:rPr>
              <w:t xml:space="preserve">2,538 </w:t>
            </w:r>
          </w:p>
        </w:tc>
      </w:tr>
      <w:tr w:rsidR="002215A6" w:rsidRPr="00C05614" w14:paraId="1FAD3D0C" w14:textId="77777777" w:rsidTr="002215A6">
        <w:trPr>
          <w:trHeight w:val="255"/>
        </w:trPr>
        <w:tc>
          <w:tcPr>
            <w:tcW w:w="2592" w:type="pct"/>
            <w:tcBorders>
              <w:top w:val="nil"/>
              <w:left w:val="nil"/>
              <w:bottom w:val="nil"/>
              <w:right w:val="nil"/>
            </w:tcBorders>
            <w:shd w:val="clear" w:color="auto" w:fill="FFFFFF"/>
            <w:vAlign w:val="bottom"/>
          </w:tcPr>
          <w:p w14:paraId="08DD3C46" w14:textId="77777777" w:rsidR="002215A6" w:rsidRPr="00C05614" w:rsidRDefault="002215A6" w:rsidP="002215A6">
            <w:pPr>
              <w:ind w:left="34" w:firstLine="22"/>
              <w:rPr>
                <w:szCs w:val="18"/>
                <w:lang w:val="en-US"/>
              </w:rPr>
            </w:pPr>
          </w:p>
        </w:tc>
        <w:tc>
          <w:tcPr>
            <w:tcW w:w="837" w:type="pct"/>
            <w:gridSpan w:val="3"/>
            <w:tcBorders>
              <w:top w:val="nil"/>
              <w:left w:val="nil"/>
              <w:bottom w:val="nil"/>
              <w:right w:val="nil"/>
            </w:tcBorders>
            <w:shd w:val="clear" w:color="auto" w:fill="FFFFFF"/>
          </w:tcPr>
          <w:p w14:paraId="2A5DFF28" w14:textId="77777777" w:rsidR="002215A6" w:rsidRPr="00C05614" w:rsidDel="00674728" w:rsidRDefault="002215A6" w:rsidP="002215A6">
            <w:pPr>
              <w:jc w:val="right"/>
              <w:rPr>
                <w:b/>
                <w:bCs/>
                <w:szCs w:val="18"/>
                <w:lang w:val="en-US"/>
              </w:rPr>
            </w:pPr>
          </w:p>
        </w:tc>
        <w:tc>
          <w:tcPr>
            <w:tcW w:w="163" w:type="pct"/>
            <w:gridSpan w:val="2"/>
            <w:tcBorders>
              <w:top w:val="nil"/>
              <w:left w:val="nil"/>
              <w:bottom w:val="nil"/>
              <w:right w:val="nil"/>
            </w:tcBorders>
            <w:shd w:val="clear" w:color="auto" w:fill="FFFFFF"/>
          </w:tcPr>
          <w:p w14:paraId="73125E12" w14:textId="77777777" w:rsidR="002215A6" w:rsidRPr="00C05614" w:rsidDel="00674728" w:rsidRDefault="002215A6" w:rsidP="002215A6">
            <w:pPr>
              <w:jc w:val="right"/>
              <w:rPr>
                <w:b/>
                <w:bCs/>
                <w:szCs w:val="18"/>
                <w:lang w:val="en-US"/>
              </w:rPr>
            </w:pPr>
          </w:p>
        </w:tc>
        <w:tc>
          <w:tcPr>
            <w:tcW w:w="510" w:type="pct"/>
            <w:tcBorders>
              <w:top w:val="nil"/>
              <w:left w:val="nil"/>
              <w:bottom w:val="nil"/>
              <w:right w:val="nil"/>
            </w:tcBorders>
            <w:shd w:val="clear" w:color="auto" w:fill="FFFFFF"/>
            <w:vAlign w:val="bottom"/>
          </w:tcPr>
          <w:p w14:paraId="22AFCFC1" w14:textId="77777777" w:rsidR="002215A6" w:rsidRPr="00C05614" w:rsidRDefault="002215A6" w:rsidP="002215A6">
            <w:pPr>
              <w:jc w:val="right"/>
              <w:rPr>
                <w:b/>
                <w:bCs/>
                <w:szCs w:val="18"/>
                <w:lang w:val="en-US"/>
              </w:rPr>
            </w:pPr>
          </w:p>
        </w:tc>
        <w:tc>
          <w:tcPr>
            <w:tcW w:w="571" w:type="pct"/>
            <w:gridSpan w:val="2"/>
            <w:tcBorders>
              <w:top w:val="nil"/>
              <w:left w:val="nil"/>
              <w:bottom w:val="nil"/>
              <w:right w:val="nil"/>
            </w:tcBorders>
            <w:shd w:val="clear" w:color="auto" w:fill="FFFFFF"/>
            <w:noWrap/>
            <w:vAlign w:val="bottom"/>
          </w:tcPr>
          <w:p w14:paraId="4DC1D24A" w14:textId="77777777" w:rsidR="002215A6" w:rsidRPr="0077051E" w:rsidRDefault="002215A6" w:rsidP="002215A6">
            <w:pPr>
              <w:jc w:val="right"/>
              <w:rPr>
                <w:bCs/>
                <w:szCs w:val="18"/>
                <w:lang w:val="en-US"/>
              </w:rPr>
            </w:pPr>
          </w:p>
        </w:tc>
      </w:tr>
      <w:tr w:rsidR="002215A6" w:rsidRPr="00C05614" w14:paraId="087BC32D" w14:textId="77777777" w:rsidTr="002215A6">
        <w:trPr>
          <w:trHeight w:val="255"/>
        </w:trPr>
        <w:tc>
          <w:tcPr>
            <w:tcW w:w="3555" w:type="pct"/>
            <w:gridSpan w:val="5"/>
            <w:tcBorders>
              <w:top w:val="nil"/>
              <w:left w:val="nil"/>
              <w:bottom w:val="nil"/>
              <w:right w:val="nil"/>
            </w:tcBorders>
            <w:shd w:val="clear" w:color="auto" w:fill="FFFFFF"/>
          </w:tcPr>
          <w:p w14:paraId="540BB8DE" w14:textId="77777777" w:rsidR="002215A6" w:rsidRPr="00C05614" w:rsidDel="00674728" w:rsidRDefault="002215A6" w:rsidP="002215A6">
            <w:pPr>
              <w:rPr>
                <w:b/>
                <w:bCs/>
                <w:szCs w:val="18"/>
                <w:lang w:val="en-US"/>
              </w:rPr>
            </w:pPr>
            <w:r w:rsidRPr="00C05614">
              <w:rPr>
                <w:b/>
                <w:bCs/>
                <w:szCs w:val="18"/>
                <w:lang w:val="en-US"/>
              </w:rPr>
              <w:t>Employee provisions are expected to be settled in:</w:t>
            </w:r>
          </w:p>
        </w:tc>
        <w:tc>
          <w:tcPr>
            <w:tcW w:w="687" w:type="pct"/>
            <w:gridSpan w:val="3"/>
            <w:tcBorders>
              <w:top w:val="nil"/>
              <w:left w:val="nil"/>
              <w:bottom w:val="nil"/>
              <w:right w:val="nil"/>
            </w:tcBorders>
            <w:shd w:val="clear" w:color="auto" w:fill="FFFFFF"/>
            <w:vAlign w:val="bottom"/>
          </w:tcPr>
          <w:p w14:paraId="60C00FBD" w14:textId="77777777" w:rsidR="002215A6" w:rsidRPr="00C05614" w:rsidRDefault="002215A6" w:rsidP="002215A6">
            <w:pPr>
              <w:jc w:val="right"/>
              <w:rPr>
                <w:b/>
                <w:bCs/>
                <w:szCs w:val="18"/>
                <w:lang w:val="en-US"/>
              </w:rPr>
            </w:pPr>
          </w:p>
        </w:tc>
        <w:tc>
          <w:tcPr>
            <w:tcW w:w="759" w:type="pct"/>
            <w:tcBorders>
              <w:top w:val="nil"/>
              <w:left w:val="nil"/>
              <w:bottom w:val="nil"/>
              <w:right w:val="nil"/>
            </w:tcBorders>
            <w:shd w:val="clear" w:color="auto" w:fill="FFFFFF"/>
            <w:noWrap/>
            <w:vAlign w:val="bottom"/>
          </w:tcPr>
          <w:p w14:paraId="43289F80" w14:textId="77777777" w:rsidR="002215A6" w:rsidRPr="0077051E" w:rsidRDefault="002215A6" w:rsidP="002215A6">
            <w:pPr>
              <w:jc w:val="right"/>
              <w:rPr>
                <w:bCs/>
                <w:szCs w:val="18"/>
                <w:lang w:val="en-US"/>
              </w:rPr>
            </w:pPr>
            <w:r w:rsidRPr="0077051E">
              <w:rPr>
                <w:bCs/>
                <w:szCs w:val="18"/>
                <w:lang w:val="en-US"/>
              </w:rPr>
              <w:t> </w:t>
            </w:r>
          </w:p>
        </w:tc>
      </w:tr>
      <w:tr w:rsidR="002215A6" w:rsidRPr="00C05614" w14:paraId="258382A6" w14:textId="77777777" w:rsidTr="002215A6">
        <w:trPr>
          <w:trHeight w:val="255"/>
        </w:trPr>
        <w:tc>
          <w:tcPr>
            <w:tcW w:w="2694" w:type="pct"/>
            <w:gridSpan w:val="2"/>
            <w:tcBorders>
              <w:top w:val="nil"/>
              <w:left w:val="nil"/>
              <w:bottom w:val="nil"/>
              <w:right w:val="nil"/>
            </w:tcBorders>
            <w:noWrap/>
            <w:vAlign w:val="bottom"/>
          </w:tcPr>
          <w:p w14:paraId="0EFB4861" w14:textId="77777777" w:rsidR="002215A6" w:rsidRPr="00C05614" w:rsidRDefault="002215A6" w:rsidP="002215A6">
            <w:pPr>
              <w:ind w:left="34" w:firstLineChars="200" w:firstLine="360"/>
              <w:rPr>
                <w:szCs w:val="18"/>
                <w:lang w:val="en-US"/>
              </w:rPr>
            </w:pPr>
            <w:r w:rsidRPr="00C05614">
              <w:rPr>
                <w:szCs w:val="18"/>
                <w:lang w:val="en-US"/>
              </w:rPr>
              <w:t>No more than 12 months</w:t>
            </w:r>
          </w:p>
        </w:tc>
        <w:tc>
          <w:tcPr>
            <w:tcW w:w="735" w:type="pct"/>
            <w:gridSpan w:val="2"/>
            <w:tcBorders>
              <w:top w:val="nil"/>
              <w:left w:val="nil"/>
              <w:bottom w:val="nil"/>
              <w:right w:val="nil"/>
            </w:tcBorders>
          </w:tcPr>
          <w:p w14:paraId="59145919" w14:textId="77777777" w:rsidR="002215A6" w:rsidRPr="00C05614" w:rsidDel="00674728" w:rsidRDefault="002215A6" w:rsidP="002215A6">
            <w:pPr>
              <w:jc w:val="right"/>
              <w:rPr>
                <w:b/>
                <w:bCs/>
                <w:szCs w:val="18"/>
                <w:lang w:val="en-US"/>
              </w:rPr>
            </w:pPr>
          </w:p>
        </w:tc>
        <w:tc>
          <w:tcPr>
            <w:tcW w:w="163" w:type="pct"/>
            <w:gridSpan w:val="2"/>
            <w:tcBorders>
              <w:top w:val="nil"/>
              <w:left w:val="nil"/>
              <w:bottom w:val="nil"/>
              <w:right w:val="nil"/>
            </w:tcBorders>
          </w:tcPr>
          <w:p w14:paraId="7CAB0632" w14:textId="77777777" w:rsidR="002215A6" w:rsidRPr="00C05614" w:rsidDel="00674728" w:rsidRDefault="002215A6" w:rsidP="002215A6">
            <w:pPr>
              <w:jc w:val="right"/>
              <w:rPr>
                <w:b/>
                <w:bCs/>
                <w:szCs w:val="18"/>
                <w:lang w:val="en-US"/>
              </w:rPr>
            </w:pPr>
          </w:p>
        </w:tc>
        <w:tc>
          <w:tcPr>
            <w:tcW w:w="510" w:type="pct"/>
            <w:tcBorders>
              <w:top w:val="nil"/>
              <w:left w:val="nil"/>
              <w:bottom w:val="nil"/>
              <w:right w:val="nil"/>
            </w:tcBorders>
            <w:shd w:val="clear" w:color="auto" w:fill="auto"/>
            <w:vAlign w:val="bottom"/>
          </w:tcPr>
          <w:p w14:paraId="48199E81" w14:textId="77777777" w:rsidR="002215A6" w:rsidRPr="00C05614" w:rsidRDefault="002215A6" w:rsidP="002215A6">
            <w:pPr>
              <w:jc w:val="right"/>
              <w:rPr>
                <w:b/>
                <w:bCs/>
                <w:szCs w:val="18"/>
                <w:lang w:val="en-US"/>
              </w:rPr>
            </w:pPr>
            <w:r>
              <w:rPr>
                <w:b/>
                <w:bCs/>
                <w:szCs w:val="18"/>
                <w:lang w:val="en-US"/>
              </w:rPr>
              <w:t>1,513</w:t>
            </w:r>
            <w:r w:rsidRPr="0020694D">
              <w:rPr>
                <w:b/>
                <w:bCs/>
                <w:szCs w:val="18"/>
                <w:lang w:val="en-US"/>
              </w:rPr>
              <w:t xml:space="preserve"> </w:t>
            </w:r>
          </w:p>
        </w:tc>
        <w:tc>
          <w:tcPr>
            <w:tcW w:w="571" w:type="pct"/>
            <w:gridSpan w:val="2"/>
            <w:tcBorders>
              <w:top w:val="nil"/>
              <w:left w:val="nil"/>
              <w:bottom w:val="nil"/>
              <w:right w:val="nil"/>
            </w:tcBorders>
            <w:shd w:val="clear" w:color="auto" w:fill="FFFFFF"/>
            <w:noWrap/>
            <w:vAlign w:val="bottom"/>
          </w:tcPr>
          <w:p w14:paraId="19E29BE6" w14:textId="77777777" w:rsidR="002215A6" w:rsidRPr="00CE2CEC" w:rsidRDefault="002215A6" w:rsidP="002215A6">
            <w:pPr>
              <w:jc w:val="right"/>
              <w:rPr>
                <w:bCs/>
                <w:szCs w:val="18"/>
                <w:lang w:val="en-US"/>
              </w:rPr>
            </w:pPr>
            <w:r w:rsidRPr="00CE2CEC">
              <w:rPr>
                <w:bCs/>
                <w:szCs w:val="18"/>
                <w:lang w:val="en-US"/>
              </w:rPr>
              <w:t xml:space="preserve">1,532 </w:t>
            </w:r>
          </w:p>
        </w:tc>
      </w:tr>
      <w:tr w:rsidR="002215A6" w:rsidRPr="00C05614" w14:paraId="394AC4CA" w14:textId="77777777" w:rsidTr="002215A6">
        <w:trPr>
          <w:trHeight w:val="255"/>
        </w:trPr>
        <w:tc>
          <w:tcPr>
            <w:tcW w:w="2694" w:type="pct"/>
            <w:gridSpan w:val="2"/>
            <w:tcBorders>
              <w:top w:val="nil"/>
              <w:left w:val="nil"/>
              <w:bottom w:val="nil"/>
              <w:right w:val="nil"/>
            </w:tcBorders>
            <w:noWrap/>
            <w:vAlign w:val="bottom"/>
          </w:tcPr>
          <w:p w14:paraId="4137E7B5" w14:textId="77777777" w:rsidR="002215A6" w:rsidRPr="00C05614" w:rsidRDefault="002215A6" w:rsidP="002215A6">
            <w:pPr>
              <w:ind w:left="34" w:firstLineChars="200" w:firstLine="360"/>
              <w:rPr>
                <w:szCs w:val="18"/>
                <w:lang w:val="en-US"/>
              </w:rPr>
            </w:pPr>
            <w:r w:rsidRPr="00C05614">
              <w:rPr>
                <w:szCs w:val="18"/>
                <w:lang w:val="en-US"/>
              </w:rPr>
              <w:t>More than 12 months</w:t>
            </w:r>
          </w:p>
        </w:tc>
        <w:tc>
          <w:tcPr>
            <w:tcW w:w="735" w:type="pct"/>
            <w:gridSpan w:val="2"/>
            <w:tcBorders>
              <w:top w:val="nil"/>
              <w:left w:val="nil"/>
              <w:bottom w:val="nil"/>
              <w:right w:val="nil"/>
            </w:tcBorders>
          </w:tcPr>
          <w:p w14:paraId="18C0D696" w14:textId="77777777" w:rsidR="002215A6" w:rsidRPr="00C05614" w:rsidDel="00674728" w:rsidRDefault="002215A6" w:rsidP="002215A6">
            <w:pPr>
              <w:jc w:val="right"/>
              <w:rPr>
                <w:b/>
                <w:bCs/>
                <w:szCs w:val="18"/>
                <w:lang w:val="en-US"/>
              </w:rPr>
            </w:pPr>
          </w:p>
        </w:tc>
        <w:tc>
          <w:tcPr>
            <w:tcW w:w="163" w:type="pct"/>
            <w:gridSpan w:val="2"/>
            <w:tcBorders>
              <w:top w:val="nil"/>
              <w:left w:val="nil"/>
              <w:bottom w:val="nil"/>
              <w:right w:val="nil"/>
            </w:tcBorders>
          </w:tcPr>
          <w:p w14:paraId="38F4E513" w14:textId="77777777" w:rsidR="002215A6" w:rsidRPr="00C05614" w:rsidDel="00674728" w:rsidRDefault="002215A6" w:rsidP="002215A6">
            <w:pPr>
              <w:jc w:val="right"/>
              <w:rPr>
                <w:b/>
                <w:bCs/>
                <w:szCs w:val="18"/>
                <w:lang w:val="en-US"/>
              </w:rPr>
            </w:pPr>
          </w:p>
        </w:tc>
        <w:tc>
          <w:tcPr>
            <w:tcW w:w="510" w:type="pct"/>
            <w:tcBorders>
              <w:top w:val="nil"/>
              <w:left w:val="nil"/>
              <w:bottom w:val="nil"/>
              <w:right w:val="nil"/>
            </w:tcBorders>
            <w:shd w:val="clear" w:color="auto" w:fill="auto"/>
            <w:vAlign w:val="bottom"/>
          </w:tcPr>
          <w:p w14:paraId="2604E6AA" w14:textId="77777777" w:rsidR="002215A6" w:rsidRPr="00C05614" w:rsidRDefault="002215A6" w:rsidP="002215A6">
            <w:pPr>
              <w:jc w:val="right"/>
              <w:rPr>
                <w:b/>
                <w:bCs/>
                <w:szCs w:val="18"/>
                <w:lang w:val="en-US"/>
              </w:rPr>
            </w:pPr>
            <w:r>
              <w:rPr>
                <w:b/>
                <w:bCs/>
                <w:szCs w:val="18"/>
                <w:lang w:val="en-US"/>
              </w:rPr>
              <w:t>1,063</w:t>
            </w:r>
            <w:r w:rsidRPr="0020694D">
              <w:rPr>
                <w:b/>
                <w:bCs/>
                <w:szCs w:val="18"/>
                <w:lang w:val="en-US"/>
              </w:rPr>
              <w:t xml:space="preserve"> </w:t>
            </w:r>
          </w:p>
        </w:tc>
        <w:tc>
          <w:tcPr>
            <w:tcW w:w="571" w:type="pct"/>
            <w:gridSpan w:val="2"/>
            <w:tcBorders>
              <w:top w:val="nil"/>
              <w:left w:val="nil"/>
              <w:bottom w:val="nil"/>
              <w:right w:val="nil"/>
            </w:tcBorders>
            <w:shd w:val="clear" w:color="auto" w:fill="FFFFFF"/>
            <w:noWrap/>
            <w:vAlign w:val="bottom"/>
          </w:tcPr>
          <w:p w14:paraId="2511DCA7" w14:textId="77777777" w:rsidR="002215A6" w:rsidRPr="00CE2CEC" w:rsidRDefault="002215A6" w:rsidP="002215A6">
            <w:pPr>
              <w:jc w:val="right"/>
              <w:rPr>
                <w:bCs/>
                <w:szCs w:val="18"/>
                <w:lang w:val="en-US"/>
              </w:rPr>
            </w:pPr>
            <w:r w:rsidRPr="00CE2CEC">
              <w:rPr>
                <w:bCs/>
                <w:szCs w:val="18"/>
                <w:lang w:val="en-US"/>
              </w:rPr>
              <w:t xml:space="preserve">1,006 </w:t>
            </w:r>
          </w:p>
        </w:tc>
      </w:tr>
      <w:tr w:rsidR="002215A6" w:rsidRPr="00C05614" w14:paraId="5C7B5108" w14:textId="77777777" w:rsidTr="002215A6">
        <w:trPr>
          <w:trHeight w:val="255"/>
        </w:trPr>
        <w:tc>
          <w:tcPr>
            <w:tcW w:w="2694" w:type="pct"/>
            <w:gridSpan w:val="2"/>
            <w:tcBorders>
              <w:top w:val="nil"/>
              <w:left w:val="nil"/>
              <w:bottom w:val="nil"/>
              <w:right w:val="nil"/>
            </w:tcBorders>
            <w:shd w:val="clear" w:color="auto" w:fill="FFFFFF"/>
            <w:noWrap/>
            <w:vAlign w:val="bottom"/>
          </w:tcPr>
          <w:p w14:paraId="046C5639" w14:textId="77777777" w:rsidR="002215A6" w:rsidRPr="00C05614" w:rsidRDefault="002215A6" w:rsidP="002215A6">
            <w:pPr>
              <w:ind w:left="34" w:firstLine="22"/>
              <w:rPr>
                <w:b/>
                <w:bCs/>
                <w:szCs w:val="18"/>
                <w:lang w:val="en-US"/>
              </w:rPr>
            </w:pPr>
            <w:r w:rsidRPr="00C05614">
              <w:rPr>
                <w:b/>
                <w:bCs/>
                <w:szCs w:val="18"/>
                <w:lang w:val="en-US"/>
              </w:rPr>
              <w:t>Total employee provisions</w:t>
            </w:r>
          </w:p>
        </w:tc>
        <w:tc>
          <w:tcPr>
            <w:tcW w:w="735" w:type="pct"/>
            <w:gridSpan w:val="2"/>
            <w:tcBorders>
              <w:left w:val="nil"/>
              <w:right w:val="nil"/>
            </w:tcBorders>
            <w:shd w:val="clear" w:color="auto" w:fill="FFFFFF"/>
          </w:tcPr>
          <w:p w14:paraId="4B347E35" w14:textId="77777777" w:rsidR="002215A6" w:rsidRDefault="002215A6" w:rsidP="002215A6">
            <w:pPr>
              <w:jc w:val="right"/>
              <w:rPr>
                <w:b/>
                <w:bCs/>
                <w:szCs w:val="18"/>
                <w:lang w:val="en-US"/>
              </w:rPr>
            </w:pPr>
          </w:p>
        </w:tc>
        <w:tc>
          <w:tcPr>
            <w:tcW w:w="163" w:type="pct"/>
            <w:gridSpan w:val="2"/>
            <w:tcBorders>
              <w:left w:val="nil"/>
              <w:right w:val="nil"/>
            </w:tcBorders>
            <w:shd w:val="clear" w:color="auto" w:fill="FFFFFF"/>
          </w:tcPr>
          <w:p w14:paraId="37DA8541" w14:textId="77777777" w:rsidR="002215A6" w:rsidRDefault="002215A6" w:rsidP="002215A6">
            <w:pPr>
              <w:jc w:val="right"/>
              <w:rPr>
                <w:b/>
                <w:bCs/>
                <w:szCs w:val="18"/>
                <w:lang w:val="en-US"/>
              </w:rPr>
            </w:pPr>
          </w:p>
        </w:tc>
        <w:tc>
          <w:tcPr>
            <w:tcW w:w="510" w:type="pct"/>
            <w:tcBorders>
              <w:top w:val="single" w:sz="4" w:space="0" w:color="auto"/>
              <w:left w:val="nil"/>
              <w:bottom w:val="single" w:sz="4" w:space="0" w:color="auto"/>
              <w:right w:val="nil"/>
            </w:tcBorders>
            <w:shd w:val="clear" w:color="auto" w:fill="FFFFFF"/>
            <w:vAlign w:val="bottom"/>
          </w:tcPr>
          <w:p w14:paraId="5536EBD3" w14:textId="77777777" w:rsidR="002215A6" w:rsidRPr="00C05614" w:rsidRDefault="002215A6" w:rsidP="002215A6">
            <w:pPr>
              <w:jc w:val="right"/>
              <w:rPr>
                <w:b/>
                <w:bCs/>
                <w:szCs w:val="18"/>
                <w:lang w:val="en-US"/>
              </w:rPr>
            </w:pPr>
            <w:r>
              <w:rPr>
                <w:b/>
                <w:bCs/>
                <w:szCs w:val="18"/>
                <w:lang w:val="en-US"/>
              </w:rPr>
              <w:t>2,576</w:t>
            </w:r>
            <w:r w:rsidRPr="0020694D">
              <w:rPr>
                <w:b/>
                <w:bCs/>
                <w:szCs w:val="18"/>
                <w:lang w:val="en-US"/>
              </w:rPr>
              <w:t xml:space="preserve"> </w:t>
            </w:r>
          </w:p>
        </w:tc>
        <w:tc>
          <w:tcPr>
            <w:tcW w:w="571" w:type="pct"/>
            <w:gridSpan w:val="2"/>
            <w:tcBorders>
              <w:top w:val="single" w:sz="4" w:space="0" w:color="auto"/>
              <w:left w:val="nil"/>
              <w:bottom w:val="single" w:sz="4" w:space="0" w:color="auto"/>
              <w:right w:val="nil"/>
            </w:tcBorders>
            <w:shd w:val="clear" w:color="auto" w:fill="FFFFFF"/>
            <w:noWrap/>
            <w:vAlign w:val="bottom"/>
          </w:tcPr>
          <w:p w14:paraId="3701D5FE" w14:textId="77777777" w:rsidR="002215A6" w:rsidRPr="00CE2CEC" w:rsidRDefault="002215A6" w:rsidP="002215A6">
            <w:pPr>
              <w:jc w:val="right"/>
              <w:rPr>
                <w:bCs/>
                <w:szCs w:val="18"/>
                <w:lang w:val="en-US"/>
              </w:rPr>
            </w:pPr>
            <w:r w:rsidRPr="00CE2CEC">
              <w:rPr>
                <w:bCs/>
                <w:szCs w:val="18"/>
                <w:lang w:val="en-US"/>
              </w:rPr>
              <w:t xml:space="preserve">2,538 </w:t>
            </w:r>
          </w:p>
        </w:tc>
      </w:tr>
      <w:tr w:rsidR="002215A6" w:rsidRPr="00C05614" w14:paraId="3CCE36B7" w14:textId="77777777" w:rsidTr="002215A6">
        <w:trPr>
          <w:trHeight w:val="255"/>
        </w:trPr>
        <w:tc>
          <w:tcPr>
            <w:tcW w:w="2694" w:type="pct"/>
            <w:gridSpan w:val="2"/>
            <w:tcBorders>
              <w:top w:val="nil"/>
              <w:left w:val="nil"/>
              <w:bottom w:val="single" w:sz="4" w:space="0" w:color="auto"/>
              <w:right w:val="nil"/>
            </w:tcBorders>
            <w:shd w:val="clear" w:color="auto" w:fill="FFFFFF"/>
            <w:noWrap/>
            <w:vAlign w:val="bottom"/>
          </w:tcPr>
          <w:p w14:paraId="01E07EFF" w14:textId="77777777" w:rsidR="002215A6" w:rsidRPr="00C05614" w:rsidRDefault="002215A6" w:rsidP="002215A6">
            <w:pPr>
              <w:ind w:left="34" w:firstLineChars="200" w:firstLine="360"/>
              <w:rPr>
                <w:szCs w:val="18"/>
                <w:lang w:val="en-US"/>
              </w:rPr>
            </w:pPr>
            <w:r w:rsidRPr="00C05614">
              <w:rPr>
                <w:szCs w:val="18"/>
                <w:lang w:val="en-US"/>
              </w:rPr>
              <w:t> </w:t>
            </w:r>
          </w:p>
        </w:tc>
        <w:tc>
          <w:tcPr>
            <w:tcW w:w="735" w:type="pct"/>
            <w:gridSpan w:val="2"/>
            <w:tcBorders>
              <w:top w:val="nil"/>
              <w:left w:val="nil"/>
              <w:bottom w:val="single" w:sz="4" w:space="0" w:color="auto"/>
              <w:right w:val="nil"/>
            </w:tcBorders>
            <w:shd w:val="clear" w:color="auto" w:fill="FFFFFF"/>
          </w:tcPr>
          <w:p w14:paraId="1C749D02" w14:textId="77777777" w:rsidR="002215A6" w:rsidRPr="00C05614" w:rsidDel="00674728" w:rsidRDefault="002215A6" w:rsidP="002215A6">
            <w:pPr>
              <w:ind w:firstLineChars="200" w:firstLine="360"/>
              <w:jc w:val="right"/>
              <w:rPr>
                <w:szCs w:val="18"/>
                <w:lang w:val="en-US"/>
              </w:rPr>
            </w:pPr>
          </w:p>
        </w:tc>
        <w:tc>
          <w:tcPr>
            <w:tcW w:w="163" w:type="pct"/>
            <w:gridSpan w:val="2"/>
            <w:tcBorders>
              <w:top w:val="nil"/>
              <w:left w:val="nil"/>
              <w:bottom w:val="single" w:sz="4" w:space="0" w:color="auto"/>
              <w:right w:val="nil"/>
            </w:tcBorders>
            <w:shd w:val="clear" w:color="auto" w:fill="FFFFFF"/>
          </w:tcPr>
          <w:p w14:paraId="40B81B30" w14:textId="77777777" w:rsidR="002215A6" w:rsidRPr="00C05614" w:rsidDel="00674728" w:rsidRDefault="002215A6" w:rsidP="002215A6">
            <w:pPr>
              <w:ind w:firstLineChars="200" w:firstLine="360"/>
              <w:jc w:val="right"/>
              <w:rPr>
                <w:szCs w:val="18"/>
                <w:lang w:val="en-US"/>
              </w:rPr>
            </w:pPr>
          </w:p>
        </w:tc>
        <w:tc>
          <w:tcPr>
            <w:tcW w:w="510" w:type="pct"/>
            <w:tcBorders>
              <w:top w:val="nil"/>
              <w:left w:val="nil"/>
              <w:bottom w:val="single" w:sz="4" w:space="0" w:color="auto"/>
              <w:right w:val="nil"/>
            </w:tcBorders>
            <w:shd w:val="clear" w:color="auto" w:fill="FFFFFF"/>
            <w:vAlign w:val="bottom"/>
          </w:tcPr>
          <w:p w14:paraId="71F7D986" w14:textId="77777777" w:rsidR="002215A6" w:rsidRPr="00C05614" w:rsidRDefault="002215A6" w:rsidP="002215A6">
            <w:pPr>
              <w:ind w:firstLineChars="200" w:firstLine="360"/>
              <w:jc w:val="right"/>
              <w:rPr>
                <w:szCs w:val="18"/>
                <w:lang w:val="en-US"/>
              </w:rPr>
            </w:pPr>
          </w:p>
        </w:tc>
        <w:tc>
          <w:tcPr>
            <w:tcW w:w="571" w:type="pct"/>
            <w:gridSpan w:val="2"/>
            <w:tcBorders>
              <w:top w:val="nil"/>
              <w:left w:val="nil"/>
              <w:bottom w:val="single" w:sz="4" w:space="0" w:color="auto"/>
              <w:right w:val="nil"/>
            </w:tcBorders>
            <w:shd w:val="clear" w:color="auto" w:fill="FFFFFF"/>
            <w:noWrap/>
            <w:vAlign w:val="bottom"/>
          </w:tcPr>
          <w:p w14:paraId="4C60E8C2" w14:textId="77777777" w:rsidR="002215A6" w:rsidRPr="0077051E" w:rsidRDefault="002215A6" w:rsidP="002215A6">
            <w:pPr>
              <w:ind w:firstLineChars="200" w:firstLine="360"/>
              <w:jc w:val="right"/>
              <w:rPr>
                <w:szCs w:val="18"/>
                <w:lang w:val="en-US"/>
              </w:rPr>
            </w:pPr>
          </w:p>
        </w:tc>
      </w:tr>
      <w:tr w:rsidR="002215A6" w:rsidRPr="00C05614" w14:paraId="3697A9F9" w14:textId="77777777" w:rsidTr="007B2B86">
        <w:trPr>
          <w:trHeight w:val="255"/>
        </w:trPr>
        <w:tc>
          <w:tcPr>
            <w:tcW w:w="4674" w:type="pct"/>
            <w:gridSpan w:val="9"/>
            <w:tcBorders>
              <w:left w:val="single" w:sz="4" w:space="0" w:color="auto"/>
              <w:right w:val="single" w:sz="4" w:space="0" w:color="auto"/>
            </w:tcBorders>
            <w:shd w:val="clear" w:color="auto" w:fill="FFFFFF"/>
            <w:noWrap/>
            <w:vAlign w:val="bottom"/>
          </w:tcPr>
          <w:p w14:paraId="4E15D4F5" w14:textId="77777777" w:rsidR="002215A6" w:rsidRPr="0077051E" w:rsidRDefault="002215A6" w:rsidP="002215A6">
            <w:pPr>
              <w:rPr>
                <w:szCs w:val="18"/>
                <w:lang w:val="en-US"/>
              </w:rPr>
            </w:pPr>
            <w:r w:rsidRPr="00A10C06">
              <w:rPr>
                <w:b/>
                <w:szCs w:val="18"/>
                <w:lang w:val="en-US"/>
              </w:rPr>
              <w:t>Accounting Policy</w:t>
            </w:r>
          </w:p>
        </w:tc>
      </w:tr>
      <w:tr w:rsidR="002215A6" w:rsidRPr="00C05614" w14:paraId="64F81815" w14:textId="77777777" w:rsidTr="007B2B86">
        <w:trPr>
          <w:trHeight w:val="255"/>
        </w:trPr>
        <w:tc>
          <w:tcPr>
            <w:tcW w:w="4674" w:type="pct"/>
            <w:gridSpan w:val="9"/>
            <w:tcBorders>
              <w:left w:val="single" w:sz="4" w:space="0" w:color="auto"/>
              <w:bottom w:val="single" w:sz="4" w:space="0" w:color="000000" w:themeColor="text1"/>
              <w:right w:val="single" w:sz="4" w:space="0" w:color="auto"/>
            </w:tcBorders>
            <w:shd w:val="clear" w:color="auto" w:fill="FFFFFF"/>
            <w:noWrap/>
          </w:tcPr>
          <w:p w14:paraId="73608FAB" w14:textId="4A2394EA" w:rsidR="002215A6" w:rsidRDefault="002215A6" w:rsidP="002215A6">
            <w:pPr>
              <w:pStyle w:val="BodyText"/>
              <w:spacing w:line="220" w:lineRule="atLeast"/>
            </w:pPr>
            <w:r w:rsidRPr="007632BA">
              <w:t xml:space="preserve">Liabilities for ‘short-term employee benefits’ </w:t>
            </w:r>
            <w:r>
              <w:t>and termination benefits expected</w:t>
            </w:r>
            <w:r w:rsidRPr="007632BA">
              <w:t xml:space="preserve"> within twelve</w:t>
            </w:r>
            <w:r w:rsidR="00DE4394">
              <w:br/>
            </w:r>
            <w:r w:rsidRPr="007632BA">
              <w:t xml:space="preserve"> months of the end of the reporting period are measured at their nominal amounts. </w:t>
            </w:r>
          </w:p>
          <w:p w14:paraId="43843D13" w14:textId="100C46AC" w:rsidR="002215A6" w:rsidRPr="007632BA" w:rsidRDefault="002215A6" w:rsidP="002215A6">
            <w:pPr>
              <w:pStyle w:val="BodyText"/>
              <w:spacing w:line="220" w:lineRule="atLeast"/>
            </w:pPr>
            <w:r w:rsidRPr="007632BA">
              <w:rPr>
                <w:i/>
                <w:iCs/>
                <w:u w:val="single"/>
              </w:rPr>
              <w:t>Leave</w:t>
            </w:r>
            <w:r>
              <w:rPr>
                <w:i/>
                <w:iCs/>
                <w:u w:val="single"/>
              </w:rPr>
              <w:br/>
            </w:r>
            <w:r w:rsidRPr="007632BA">
              <w:t xml:space="preserve">The liability for employee benefits includes provision for annual leave and long service leave. </w:t>
            </w:r>
            <w:r w:rsidR="00DE4394">
              <w:br/>
            </w:r>
            <w:r w:rsidRPr="007632BA">
              <w:t xml:space="preserve">The leave liabilities are calculated on the basis of employees’ remuneration at the estimated </w:t>
            </w:r>
            <w:r w:rsidR="00DE4394">
              <w:br/>
            </w:r>
            <w:r w:rsidRPr="007632BA">
              <w:t xml:space="preserve">salary rates that will be applied at the time the leave is taken, including the Commission's </w:t>
            </w:r>
            <w:r w:rsidR="00DE4394">
              <w:br/>
            </w:r>
            <w:r w:rsidRPr="007632BA">
              <w:t xml:space="preserve">employer superannuation contribution rates to the extent that the leave is likely to be taken </w:t>
            </w:r>
            <w:r w:rsidR="00DE4394">
              <w:br/>
            </w:r>
            <w:r w:rsidRPr="007632BA">
              <w:t>during service rather than paid out on termination.</w:t>
            </w:r>
          </w:p>
          <w:p w14:paraId="4327D8F8" w14:textId="7D22C22F" w:rsidR="002215A6" w:rsidRPr="007632BA" w:rsidRDefault="002215A6" w:rsidP="002215A6">
            <w:pPr>
              <w:pStyle w:val="BodyText"/>
              <w:spacing w:line="220" w:lineRule="atLeast"/>
            </w:pPr>
            <w:r w:rsidRPr="007632BA">
              <w:t xml:space="preserve">The liability for long service leave </w:t>
            </w:r>
            <w:r>
              <w:t xml:space="preserve">has been determined by reference to the work of an </w:t>
            </w:r>
            <w:r w:rsidR="00DE4394">
              <w:br/>
            </w:r>
            <w:r>
              <w:t>actuary as at 30 June 2017</w:t>
            </w:r>
            <w:r w:rsidRPr="007632BA">
              <w:t xml:space="preserve">. The estimate of the present value of the liability takes into </w:t>
            </w:r>
            <w:r w:rsidR="00DE4394">
              <w:br/>
            </w:r>
            <w:r w:rsidRPr="007632BA">
              <w:t>account attrition rates and pay increases through promotion and inflation.</w:t>
            </w:r>
          </w:p>
          <w:p w14:paraId="6ABB7E7A" w14:textId="113B3557" w:rsidR="002215A6" w:rsidRPr="007632BA" w:rsidRDefault="002215A6" w:rsidP="002215A6">
            <w:pPr>
              <w:pStyle w:val="BodyText"/>
              <w:spacing w:line="220" w:lineRule="atLeast"/>
            </w:pPr>
            <w:r w:rsidRPr="007632BA">
              <w:rPr>
                <w:i/>
                <w:iCs/>
                <w:u w:val="single"/>
              </w:rPr>
              <w:t>Superannuation</w:t>
            </w:r>
            <w:r>
              <w:rPr>
                <w:i/>
                <w:iCs/>
                <w:u w:val="single"/>
              </w:rPr>
              <w:br/>
            </w:r>
            <w:r w:rsidRPr="007632BA">
              <w:t xml:space="preserve">The Commission's staff are members of the Commonwealth Superannuation Scheme (CSS), </w:t>
            </w:r>
            <w:r w:rsidR="00DE4394">
              <w:br/>
            </w:r>
            <w:r w:rsidRPr="007632BA">
              <w:t xml:space="preserve">the Public Sector Superannuation Scheme (PSS), </w:t>
            </w:r>
            <w:proofErr w:type="gramStart"/>
            <w:r w:rsidRPr="007632BA">
              <w:t>the</w:t>
            </w:r>
            <w:proofErr w:type="gramEnd"/>
            <w:r w:rsidRPr="007632BA">
              <w:t xml:space="preserve"> PSS accumulation plan (</w:t>
            </w:r>
            <w:proofErr w:type="spellStart"/>
            <w:r w:rsidRPr="007632BA">
              <w:t>PSSap</w:t>
            </w:r>
            <w:proofErr w:type="spellEnd"/>
            <w:r w:rsidRPr="007632BA">
              <w:t xml:space="preserve">) or </w:t>
            </w:r>
            <w:r w:rsidR="00DE4394">
              <w:br/>
            </w:r>
            <w:r w:rsidRPr="007632BA">
              <w:t xml:space="preserve">other </w:t>
            </w:r>
            <w:r>
              <w:t xml:space="preserve">superannuation </w:t>
            </w:r>
            <w:r w:rsidRPr="007632BA">
              <w:t>funds</w:t>
            </w:r>
            <w:r>
              <w:t xml:space="preserve"> held outside the Australian Government</w:t>
            </w:r>
            <w:r w:rsidRPr="007632BA">
              <w:t>.</w:t>
            </w:r>
          </w:p>
          <w:p w14:paraId="35F00D1A" w14:textId="41FFEF3A" w:rsidR="002215A6" w:rsidRPr="007632BA" w:rsidRDefault="002215A6" w:rsidP="002215A6">
            <w:pPr>
              <w:pStyle w:val="BodyText"/>
              <w:spacing w:line="220" w:lineRule="atLeast"/>
            </w:pPr>
            <w:r w:rsidRPr="007632BA">
              <w:t>The CSS and PSS are defined benefit schemes for the Australian Governmen</w:t>
            </w:r>
            <w:r>
              <w:t xml:space="preserve">t. The </w:t>
            </w:r>
            <w:proofErr w:type="spellStart"/>
            <w:r>
              <w:t>PSSap</w:t>
            </w:r>
            <w:proofErr w:type="spellEnd"/>
            <w:r>
              <w:t xml:space="preserve"> </w:t>
            </w:r>
            <w:r w:rsidR="00DE4394">
              <w:br/>
            </w:r>
            <w:r>
              <w:t>is a defined contribution scheme</w:t>
            </w:r>
            <w:r w:rsidRPr="007632BA">
              <w:t>.</w:t>
            </w:r>
          </w:p>
          <w:p w14:paraId="55335ECF" w14:textId="3D3A6A6B" w:rsidR="002215A6" w:rsidRPr="007632BA" w:rsidRDefault="002215A6" w:rsidP="002215A6">
            <w:pPr>
              <w:pStyle w:val="BodyText"/>
              <w:spacing w:line="220" w:lineRule="atLeast"/>
            </w:pPr>
            <w:r w:rsidRPr="007632BA">
              <w:t xml:space="preserve">The liability for defined benefits is recognised in the financial statements of the Australian </w:t>
            </w:r>
            <w:r w:rsidR="00DE4394">
              <w:br/>
            </w:r>
            <w:r w:rsidRPr="007632BA">
              <w:t xml:space="preserve">Government and is settled by the Australian Government in due course. This liability is </w:t>
            </w:r>
            <w:r w:rsidR="00DE4394">
              <w:br/>
            </w:r>
            <w:r w:rsidRPr="007632BA">
              <w:t>reported by the Department of Finance’s administered schedules and notes.</w:t>
            </w:r>
          </w:p>
          <w:p w14:paraId="2EC9062A" w14:textId="1370FA6C" w:rsidR="002215A6" w:rsidRPr="007632BA" w:rsidRDefault="002215A6" w:rsidP="002215A6">
            <w:pPr>
              <w:pStyle w:val="BodyText"/>
              <w:spacing w:line="220" w:lineRule="atLeast"/>
            </w:pPr>
            <w:r w:rsidRPr="007632BA">
              <w:t xml:space="preserve">The Commission makes employer contributions to the employees' </w:t>
            </w:r>
            <w:r>
              <w:t xml:space="preserve">defined benefit </w:t>
            </w:r>
            <w:r w:rsidR="00DE4394">
              <w:br/>
            </w:r>
            <w:r>
              <w:t>supera</w:t>
            </w:r>
            <w:r w:rsidRPr="007632BA">
              <w:t xml:space="preserve">nnuation scheme at rates determined by an actuary to be sufficient to meet the </w:t>
            </w:r>
            <w:r w:rsidR="00DE4394">
              <w:br/>
            </w:r>
            <w:r w:rsidRPr="007632BA">
              <w:t xml:space="preserve">current cost to the Government. The Commission accounts for the contributions as if they </w:t>
            </w:r>
            <w:r w:rsidR="00DE4394">
              <w:br/>
            </w:r>
            <w:r w:rsidRPr="007632BA">
              <w:t>were contributions to defined contribution plans.</w:t>
            </w:r>
          </w:p>
          <w:p w14:paraId="70FE405D" w14:textId="77777777" w:rsidR="002215A6" w:rsidRPr="0077051E" w:rsidRDefault="002215A6" w:rsidP="002215A6">
            <w:pPr>
              <w:pStyle w:val="BodyText"/>
              <w:spacing w:line="220" w:lineRule="atLeast"/>
              <w:rPr>
                <w:lang w:val="en-US"/>
              </w:rPr>
            </w:pPr>
            <w:r w:rsidRPr="007632BA">
              <w:t>The liability for superannuation recognised as at 30 June represen</w:t>
            </w:r>
            <w:r>
              <w:t>ts outstanding contributions</w:t>
            </w:r>
            <w:r w:rsidRPr="007632BA">
              <w:t>.</w:t>
            </w:r>
          </w:p>
        </w:tc>
      </w:tr>
    </w:tbl>
    <w:p w14:paraId="1CC0D7D7" w14:textId="77777777" w:rsidR="00195E07" w:rsidRDefault="00195E07">
      <w:pPr>
        <w:spacing w:after="160" w:line="259" w:lineRule="auto"/>
      </w:pPr>
      <w:r>
        <w:br w:type="page"/>
      </w:r>
    </w:p>
    <w:p w14:paraId="2D251066" w14:textId="77777777" w:rsidR="002215A6" w:rsidRPr="00DB4ED7" w:rsidRDefault="002215A6" w:rsidP="002215A6">
      <w:pPr>
        <w:pStyle w:val="Heading2"/>
        <w:rPr>
          <w:sz w:val="24"/>
        </w:rPr>
      </w:pPr>
      <w:r w:rsidRPr="00DB4ED7">
        <w:rPr>
          <w:sz w:val="24"/>
        </w:rPr>
        <w:lastRenderedPageBreak/>
        <w:t>3.2 Key Management Personnel Remuneration</w:t>
      </w:r>
    </w:p>
    <w:tbl>
      <w:tblPr>
        <w:tblW w:w="5000" w:type="pct"/>
        <w:tblLook w:val="0000" w:firstRow="0" w:lastRow="0" w:firstColumn="0" w:lastColumn="0" w:noHBand="0" w:noVBand="0"/>
        <w:tblCaption w:val="3.2 Key Management Personnel Remuneration"/>
      </w:tblPr>
      <w:tblGrid>
        <w:gridCol w:w="6204"/>
        <w:gridCol w:w="1101"/>
        <w:gridCol w:w="1189"/>
      </w:tblGrid>
      <w:tr w:rsidR="002215A6" w:rsidRPr="00C05614" w14:paraId="5DF5E88A" w14:textId="77777777" w:rsidTr="002215A6">
        <w:trPr>
          <w:trHeight w:val="255"/>
        </w:trPr>
        <w:tc>
          <w:tcPr>
            <w:tcW w:w="5000" w:type="pct"/>
            <w:gridSpan w:val="3"/>
            <w:tcBorders>
              <w:top w:val="nil"/>
              <w:left w:val="nil"/>
              <w:bottom w:val="nil"/>
              <w:right w:val="nil"/>
            </w:tcBorders>
            <w:shd w:val="clear" w:color="auto" w:fill="auto"/>
          </w:tcPr>
          <w:p w14:paraId="01F2E2DD" w14:textId="44210317" w:rsidR="002215A6" w:rsidRDefault="002215A6" w:rsidP="002215A6">
            <w:pPr>
              <w:pStyle w:val="FinTableText"/>
            </w:pPr>
            <w:r>
              <w:t xml:space="preserve">Key management personnel are those persons </w:t>
            </w:r>
            <w:r w:rsidRPr="001D4C23">
              <w:t xml:space="preserve">having authority and responsibility </w:t>
            </w:r>
            <w:r w:rsidR="00427488">
              <w:br/>
            </w:r>
            <w:r w:rsidRPr="001D4C23">
              <w:t>for planning, directing and</w:t>
            </w:r>
            <w:r>
              <w:t xml:space="preserve"> </w:t>
            </w:r>
            <w:r w:rsidRPr="001D4C23">
              <w:t>controll</w:t>
            </w:r>
            <w:r>
              <w:t>ing the activities of the Commission</w:t>
            </w:r>
            <w:r w:rsidRPr="001D4C23">
              <w:t xml:space="preserve">, directly or </w:t>
            </w:r>
            <w:r w:rsidR="00427488">
              <w:br/>
            </w:r>
            <w:r w:rsidRPr="001D4C23">
              <w:t>indirectly, including any director (whether executive or otherwise) of</w:t>
            </w:r>
            <w:r>
              <w:t xml:space="preserve"> the </w:t>
            </w:r>
            <w:r w:rsidR="00427488">
              <w:br/>
            </w:r>
            <w:r>
              <w:t>Commission. The Commission</w:t>
            </w:r>
            <w:r w:rsidRPr="001D4C23">
              <w:t xml:space="preserve"> has determined the key manageme</w:t>
            </w:r>
            <w:r>
              <w:t xml:space="preserve">nt personnel to </w:t>
            </w:r>
            <w:r w:rsidR="00427488">
              <w:br/>
            </w:r>
            <w:r>
              <w:t xml:space="preserve">be the Portfolio Minister, </w:t>
            </w:r>
            <w:r w:rsidRPr="001D4C23">
              <w:t>Chief Executive</w:t>
            </w:r>
            <w:r>
              <w:t xml:space="preserve"> Officer, Chief Operating Officer, 5 Senior </w:t>
            </w:r>
            <w:r w:rsidR="00427488">
              <w:br/>
            </w:r>
            <w:r>
              <w:t>Medical Officers and 10</w:t>
            </w:r>
            <w:r w:rsidRPr="001D4C23">
              <w:t xml:space="preserve"> Directors.</w:t>
            </w:r>
            <w:r>
              <w:t xml:space="preserve"> </w:t>
            </w:r>
            <w:r w:rsidRPr="001D4C23">
              <w:t>Key management personnel remuneration is</w:t>
            </w:r>
            <w:r>
              <w:t xml:space="preserve"> </w:t>
            </w:r>
            <w:r w:rsidR="00427488">
              <w:br/>
            </w:r>
            <w:r w:rsidRPr="001D4C23">
              <w:t>reported in the table below:</w:t>
            </w:r>
          </w:p>
        </w:tc>
      </w:tr>
      <w:tr w:rsidR="002215A6" w:rsidRPr="00C05614" w14:paraId="0B420D78" w14:textId="77777777" w:rsidTr="002215A6">
        <w:trPr>
          <w:trHeight w:val="255"/>
        </w:trPr>
        <w:tc>
          <w:tcPr>
            <w:tcW w:w="3652" w:type="pct"/>
            <w:tcBorders>
              <w:top w:val="nil"/>
              <w:left w:val="nil"/>
              <w:bottom w:val="nil"/>
              <w:right w:val="nil"/>
            </w:tcBorders>
            <w:shd w:val="clear" w:color="auto" w:fill="auto"/>
          </w:tcPr>
          <w:p w14:paraId="3DE6CF13" w14:textId="77777777" w:rsidR="002215A6" w:rsidRPr="00C05614" w:rsidRDefault="002215A6" w:rsidP="002215A6">
            <w:pPr>
              <w:pStyle w:val="FinTableText"/>
            </w:pPr>
          </w:p>
        </w:tc>
        <w:tc>
          <w:tcPr>
            <w:tcW w:w="648" w:type="pct"/>
            <w:tcBorders>
              <w:top w:val="nil"/>
              <w:left w:val="nil"/>
              <w:bottom w:val="nil"/>
              <w:right w:val="nil"/>
            </w:tcBorders>
            <w:shd w:val="clear" w:color="auto" w:fill="auto"/>
            <w:vAlign w:val="bottom"/>
          </w:tcPr>
          <w:p w14:paraId="5AA2EDAF" w14:textId="77777777" w:rsidR="002215A6" w:rsidRPr="002215A6" w:rsidRDefault="002215A6" w:rsidP="002215A6">
            <w:pPr>
              <w:pStyle w:val="FinTableText"/>
              <w:rPr>
                <w:rStyle w:val="Strong"/>
              </w:rPr>
            </w:pPr>
            <w:r w:rsidRPr="002215A6">
              <w:rPr>
                <w:rStyle w:val="Strong"/>
              </w:rPr>
              <w:t>2017</w:t>
            </w:r>
          </w:p>
        </w:tc>
        <w:tc>
          <w:tcPr>
            <w:tcW w:w="700" w:type="pct"/>
            <w:tcBorders>
              <w:top w:val="nil"/>
              <w:left w:val="nil"/>
              <w:bottom w:val="nil"/>
              <w:right w:val="nil"/>
            </w:tcBorders>
            <w:shd w:val="clear" w:color="auto" w:fill="auto"/>
            <w:vAlign w:val="bottom"/>
          </w:tcPr>
          <w:p w14:paraId="37852DFD" w14:textId="77777777" w:rsidR="002215A6" w:rsidRPr="00C05614" w:rsidRDefault="002215A6" w:rsidP="002215A6">
            <w:pPr>
              <w:pStyle w:val="FinTableText"/>
            </w:pPr>
            <w:r>
              <w:t>2016</w:t>
            </w:r>
          </w:p>
        </w:tc>
      </w:tr>
      <w:tr w:rsidR="002215A6" w:rsidRPr="00C05614" w14:paraId="1AB375D0" w14:textId="77777777" w:rsidTr="002215A6">
        <w:trPr>
          <w:trHeight w:val="255"/>
        </w:trPr>
        <w:tc>
          <w:tcPr>
            <w:tcW w:w="3652" w:type="pct"/>
            <w:tcBorders>
              <w:top w:val="nil"/>
              <w:left w:val="nil"/>
              <w:bottom w:val="nil"/>
              <w:right w:val="nil"/>
            </w:tcBorders>
            <w:shd w:val="clear" w:color="auto" w:fill="auto"/>
            <w:noWrap/>
            <w:vAlign w:val="bottom"/>
          </w:tcPr>
          <w:p w14:paraId="000B5DCF" w14:textId="77777777" w:rsidR="002215A6" w:rsidRPr="00C05614" w:rsidRDefault="002215A6" w:rsidP="002215A6">
            <w:pPr>
              <w:pStyle w:val="FinTableText"/>
              <w:rPr>
                <w:sz w:val="24"/>
                <w:szCs w:val="24"/>
              </w:rPr>
            </w:pPr>
          </w:p>
        </w:tc>
        <w:tc>
          <w:tcPr>
            <w:tcW w:w="648" w:type="pct"/>
            <w:tcBorders>
              <w:top w:val="nil"/>
              <w:left w:val="nil"/>
              <w:right w:val="nil"/>
            </w:tcBorders>
            <w:shd w:val="clear" w:color="auto" w:fill="auto"/>
            <w:noWrap/>
            <w:vAlign w:val="bottom"/>
          </w:tcPr>
          <w:p w14:paraId="4F1A7DEE" w14:textId="77777777" w:rsidR="002215A6" w:rsidRPr="002215A6" w:rsidRDefault="002215A6" w:rsidP="002215A6">
            <w:pPr>
              <w:pStyle w:val="FinTableText"/>
              <w:rPr>
                <w:rStyle w:val="Strong"/>
              </w:rPr>
            </w:pPr>
            <w:r w:rsidRPr="002215A6">
              <w:rPr>
                <w:rStyle w:val="Strong"/>
              </w:rPr>
              <w:t>$’000</w:t>
            </w:r>
          </w:p>
        </w:tc>
        <w:tc>
          <w:tcPr>
            <w:tcW w:w="700" w:type="pct"/>
            <w:tcBorders>
              <w:top w:val="nil"/>
              <w:left w:val="nil"/>
              <w:right w:val="nil"/>
            </w:tcBorders>
            <w:shd w:val="clear" w:color="auto" w:fill="auto"/>
            <w:noWrap/>
            <w:vAlign w:val="bottom"/>
          </w:tcPr>
          <w:p w14:paraId="465DE1FD" w14:textId="77777777" w:rsidR="002215A6" w:rsidRPr="00C05614" w:rsidRDefault="002215A6" w:rsidP="002215A6">
            <w:pPr>
              <w:pStyle w:val="FinTableText"/>
            </w:pPr>
            <w:r w:rsidRPr="00C05614">
              <w:t>$</w:t>
            </w:r>
            <w:r>
              <w:t>’000</w:t>
            </w:r>
          </w:p>
        </w:tc>
      </w:tr>
      <w:tr w:rsidR="002215A6" w:rsidRPr="00C05614" w14:paraId="55F5B772" w14:textId="77777777" w:rsidTr="002215A6">
        <w:trPr>
          <w:trHeight w:val="255"/>
        </w:trPr>
        <w:tc>
          <w:tcPr>
            <w:tcW w:w="3652" w:type="pct"/>
            <w:tcBorders>
              <w:top w:val="nil"/>
              <w:left w:val="nil"/>
              <w:bottom w:val="nil"/>
              <w:right w:val="nil"/>
            </w:tcBorders>
            <w:shd w:val="clear" w:color="auto" w:fill="auto"/>
            <w:noWrap/>
            <w:vAlign w:val="bottom"/>
          </w:tcPr>
          <w:p w14:paraId="71BB6A4D" w14:textId="77777777" w:rsidR="002215A6" w:rsidRPr="00C05614" w:rsidRDefault="002215A6" w:rsidP="002215A6">
            <w:pPr>
              <w:pStyle w:val="FinTableText"/>
              <w:rPr>
                <w:sz w:val="24"/>
                <w:szCs w:val="24"/>
              </w:rPr>
            </w:pPr>
          </w:p>
        </w:tc>
        <w:tc>
          <w:tcPr>
            <w:tcW w:w="648" w:type="pct"/>
            <w:tcBorders>
              <w:top w:val="nil"/>
              <w:left w:val="nil"/>
              <w:right w:val="nil"/>
            </w:tcBorders>
            <w:shd w:val="clear" w:color="auto" w:fill="auto"/>
            <w:noWrap/>
            <w:vAlign w:val="bottom"/>
          </w:tcPr>
          <w:p w14:paraId="3DE9FF96" w14:textId="77777777" w:rsidR="002215A6" w:rsidRPr="002215A6" w:rsidRDefault="002215A6" w:rsidP="002215A6">
            <w:pPr>
              <w:pStyle w:val="FinTableText"/>
              <w:rPr>
                <w:rStyle w:val="Strong"/>
              </w:rPr>
            </w:pPr>
          </w:p>
        </w:tc>
        <w:tc>
          <w:tcPr>
            <w:tcW w:w="700" w:type="pct"/>
            <w:tcBorders>
              <w:top w:val="nil"/>
              <w:left w:val="nil"/>
              <w:right w:val="nil"/>
            </w:tcBorders>
            <w:shd w:val="clear" w:color="auto" w:fill="auto"/>
            <w:noWrap/>
            <w:vAlign w:val="bottom"/>
          </w:tcPr>
          <w:p w14:paraId="54FF01D2" w14:textId="77777777" w:rsidR="002215A6" w:rsidRPr="00C05614" w:rsidRDefault="002215A6" w:rsidP="002215A6">
            <w:pPr>
              <w:pStyle w:val="FinTableText"/>
            </w:pPr>
          </w:p>
        </w:tc>
      </w:tr>
      <w:tr w:rsidR="002215A6" w:rsidRPr="00C05614" w14:paraId="13BBF19A" w14:textId="77777777" w:rsidTr="002215A6">
        <w:trPr>
          <w:trHeight w:val="255"/>
        </w:trPr>
        <w:tc>
          <w:tcPr>
            <w:tcW w:w="3652" w:type="pct"/>
            <w:tcBorders>
              <w:top w:val="nil"/>
              <w:left w:val="nil"/>
              <w:bottom w:val="nil"/>
              <w:right w:val="nil"/>
            </w:tcBorders>
            <w:vAlign w:val="bottom"/>
          </w:tcPr>
          <w:p w14:paraId="4E8B684E" w14:textId="77777777" w:rsidR="002215A6" w:rsidRPr="00463E29" w:rsidRDefault="002215A6" w:rsidP="002215A6">
            <w:pPr>
              <w:pStyle w:val="FinTableText"/>
            </w:pPr>
            <w:r>
              <w:t>S</w:t>
            </w:r>
            <w:r w:rsidRPr="00463E29">
              <w:t>hort-term employee benefits</w:t>
            </w:r>
          </w:p>
        </w:tc>
        <w:tc>
          <w:tcPr>
            <w:tcW w:w="648" w:type="pct"/>
            <w:tcBorders>
              <w:left w:val="nil"/>
              <w:right w:val="nil"/>
            </w:tcBorders>
            <w:shd w:val="clear" w:color="auto" w:fill="auto"/>
            <w:vAlign w:val="bottom"/>
          </w:tcPr>
          <w:p w14:paraId="552D54A6" w14:textId="77777777" w:rsidR="002215A6" w:rsidRPr="002215A6" w:rsidRDefault="002215A6" w:rsidP="002215A6">
            <w:pPr>
              <w:pStyle w:val="FinTableText"/>
              <w:rPr>
                <w:rStyle w:val="Strong"/>
              </w:rPr>
            </w:pPr>
            <w:r w:rsidRPr="002215A6">
              <w:rPr>
                <w:rStyle w:val="Strong"/>
              </w:rPr>
              <w:t>1,526</w:t>
            </w:r>
          </w:p>
        </w:tc>
        <w:tc>
          <w:tcPr>
            <w:tcW w:w="700" w:type="pct"/>
            <w:tcBorders>
              <w:left w:val="nil"/>
              <w:right w:val="nil"/>
            </w:tcBorders>
            <w:shd w:val="clear" w:color="auto" w:fill="auto"/>
            <w:noWrap/>
            <w:vAlign w:val="bottom"/>
          </w:tcPr>
          <w:p w14:paraId="471535C0" w14:textId="77777777" w:rsidR="002215A6" w:rsidRPr="00CE2CEC" w:rsidRDefault="002215A6" w:rsidP="002215A6">
            <w:pPr>
              <w:pStyle w:val="FinTableText"/>
            </w:pPr>
            <w:r>
              <w:t>1,469</w:t>
            </w:r>
          </w:p>
        </w:tc>
      </w:tr>
      <w:tr w:rsidR="002215A6" w:rsidRPr="00C05614" w14:paraId="3B1263BD" w14:textId="77777777" w:rsidTr="002215A6">
        <w:trPr>
          <w:trHeight w:val="255"/>
        </w:trPr>
        <w:tc>
          <w:tcPr>
            <w:tcW w:w="3652" w:type="pct"/>
            <w:tcBorders>
              <w:top w:val="nil"/>
              <w:left w:val="nil"/>
              <w:bottom w:val="nil"/>
              <w:right w:val="nil"/>
            </w:tcBorders>
            <w:vAlign w:val="bottom"/>
          </w:tcPr>
          <w:p w14:paraId="2C30552C" w14:textId="77777777" w:rsidR="002215A6" w:rsidRPr="00463E29" w:rsidRDefault="002215A6" w:rsidP="002215A6">
            <w:pPr>
              <w:pStyle w:val="FinTableText"/>
            </w:pPr>
            <w:r>
              <w:t>P</w:t>
            </w:r>
            <w:r w:rsidRPr="00463E29">
              <w:t>ost-employment benefits</w:t>
            </w:r>
          </w:p>
        </w:tc>
        <w:tc>
          <w:tcPr>
            <w:tcW w:w="648" w:type="pct"/>
            <w:tcBorders>
              <w:left w:val="nil"/>
              <w:right w:val="nil"/>
            </w:tcBorders>
            <w:shd w:val="clear" w:color="auto" w:fill="auto"/>
            <w:vAlign w:val="bottom"/>
          </w:tcPr>
          <w:p w14:paraId="5540439D" w14:textId="77777777" w:rsidR="002215A6" w:rsidRPr="002215A6" w:rsidRDefault="002215A6" w:rsidP="002215A6">
            <w:pPr>
              <w:pStyle w:val="FinTableText"/>
              <w:rPr>
                <w:rStyle w:val="Strong"/>
              </w:rPr>
            </w:pPr>
            <w:r w:rsidRPr="002215A6">
              <w:rPr>
                <w:rStyle w:val="Strong"/>
              </w:rPr>
              <w:t>201</w:t>
            </w:r>
          </w:p>
        </w:tc>
        <w:tc>
          <w:tcPr>
            <w:tcW w:w="700" w:type="pct"/>
            <w:tcBorders>
              <w:left w:val="nil"/>
              <w:right w:val="nil"/>
            </w:tcBorders>
            <w:shd w:val="clear" w:color="auto" w:fill="auto"/>
            <w:noWrap/>
            <w:vAlign w:val="bottom"/>
          </w:tcPr>
          <w:p w14:paraId="1D6EB494" w14:textId="77777777" w:rsidR="002215A6" w:rsidRPr="00CE2CEC" w:rsidRDefault="002215A6" w:rsidP="002215A6">
            <w:pPr>
              <w:pStyle w:val="FinTableText"/>
            </w:pPr>
            <w:r>
              <w:t>194</w:t>
            </w:r>
          </w:p>
        </w:tc>
      </w:tr>
      <w:tr w:rsidR="002215A6" w:rsidRPr="00C05614" w14:paraId="54912F7F" w14:textId="77777777" w:rsidTr="002215A6">
        <w:trPr>
          <w:trHeight w:val="255"/>
        </w:trPr>
        <w:tc>
          <w:tcPr>
            <w:tcW w:w="3652" w:type="pct"/>
            <w:tcBorders>
              <w:top w:val="nil"/>
              <w:left w:val="nil"/>
              <w:bottom w:val="nil"/>
              <w:right w:val="nil"/>
            </w:tcBorders>
            <w:vAlign w:val="bottom"/>
          </w:tcPr>
          <w:p w14:paraId="4B89188F" w14:textId="77777777" w:rsidR="002215A6" w:rsidRPr="00463E29" w:rsidRDefault="002215A6" w:rsidP="002215A6">
            <w:pPr>
              <w:pStyle w:val="FinTableText"/>
            </w:pPr>
            <w:r>
              <w:t>O</w:t>
            </w:r>
            <w:r w:rsidRPr="00463E29">
              <w:t>ther long-term benefits</w:t>
            </w:r>
          </w:p>
        </w:tc>
        <w:tc>
          <w:tcPr>
            <w:tcW w:w="648" w:type="pct"/>
            <w:tcBorders>
              <w:left w:val="nil"/>
              <w:right w:val="nil"/>
            </w:tcBorders>
            <w:shd w:val="clear" w:color="auto" w:fill="auto"/>
            <w:vAlign w:val="bottom"/>
          </w:tcPr>
          <w:p w14:paraId="65800A0D" w14:textId="77777777" w:rsidR="002215A6" w:rsidRPr="002215A6" w:rsidRDefault="002215A6" w:rsidP="002215A6">
            <w:pPr>
              <w:pStyle w:val="FinTableText"/>
              <w:rPr>
                <w:rStyle w:val="Strong"/>
              </w:rPr>
            </w:pPr>
            <w:r w:rsidRPr="002215A6">
              <w:rPr>
                <w:rStyle w:val="Strong"/>
              </w:rPr>
              <w:t>132</w:t>
            </w:r>
          </w:p>
        </w:tc>
        <w:tc>
          <w:tcPr>
            <w:tcW w:w="700" w:type="pct"/>
            <w:tcBorders>
              <w:left w:val="nil"/>
              <w:right w:val="nil"/>
            </w:tcBorders>
            <w:shd w:val="clear" w:color="auto" w:fill="auto"/>
            <w:noWrap/>
            <w:vAlign w:val="bottom"/>
          </w:tcPr>
          <w:p w14:paraId="7C0E8855" w14:textId="77777777" w:rsidR="002215A6" w:rsidRPr="00CE2CEC" w:rsidRDefault="002215A6" w:rsidP="002215A6">
            <w:pPr>
              <w:pStyle w:val="FinTableText"/>
            </w:pPr>
            <w:r>
              <w:t>121</w:t>
            </w:r>
          </w:p>
        </w:tc>
      </w:tr>
      <w:tr w:rsidR="002215A6" w:rsidRPr="006E5066" w14:paraId="55CC988A" w14:textId="77777777" w:rsidTr="002215A6">
        <w:trPr>
          <w:trHeight w:val="255"/>
        </w:trPr>
        <w:tc>
          <w:tcPr>
            <w:tcW w:w="3652" w:type="pct"/>
            <w:tcBorders>
              <w:top w:val="nil"/>
              <w:left w:val="nil"/>
              <w:bottom w:val="nil"/>
              <w:right w:val="nil"/>
            </w:tcBorders>
            <w:vAlign w:val="bottom"/>
          </w:tcPr>
          <w:p w14:paraId="60D7F679" w14:textId="77777777" w:rsidR="002215A6" w:rsidRPr="00463E29" w:rsidRDefault="002215A6" w:rsidP="002215A6">
            <w:pPr>
              <w:pStyle w:val="FinTableText"/>
            </w:pPr>
            <w:r>
              <w:t>T</w:t>
            </w:r>
            <w:r w:rsidRPr="00463E29">
              <w:t>ermination benefits</w:t>
            </w:r>
          </w:p>
        </w:tc>
        <w:tc>
          <w:tcPr>
            <w:tcW w:w="648" w:type="pct"/>
            <w:tcBorders>
              <w:top w:val="nil"/>
              <w:left w:val="nil"/>
              <w:right w:val="nil"/>
            </w:tcBorders>
            <w:shd w:val="clear" w:color="auto" w:fill="auto"/>
            <w:vAlign w:val="bottom"/>
          </w:tcPr>
          <w:p w14:paraId="581769E8" w14:textId="77777777" w:rsidR="002215A6" w:rsidRPr="002215A6" w:rsidRDefault="002215A6" w:rsidP="002215A6">
            <w:pPr>
              <w:pStyle w:val="FinTableText"/>
              <w:rPr>
                <w:rStyle w:val="Strong"/>
              </w:rPr>
            </w:pPr>
            <w:r w:rsidRPr="002215A6">
              <w:rPr>
                <w:rStyle w:val="Strong"/>
              </w:rPr>
              <w:t>-</w:t>
            </w:r>
          </w:p>
        </w:tc>
        <w:tc>
          <w:tcPr>
            <w:tcW w:w="700" w:type="pct"/>
            <w:tcBorders>
              <w:top w:val="nil"/>
              <w:left w:val="nil"/>
              <w:right w:val="nil"/>
            </w:tcBorders>
            <w:shd w:val="clear" w:color="auto" w:fill="auto"/>
            <w:noWrap/>
            <w:vAlign w:val="bottom"/>
          </w:tcPr>
          <w:p w14:paraId="1546BCFB" w14:textId="77777777" w:rsidR="002215A6" w:rsidRPr="00CE2CEC" w:rsidRDefault="002215A6" w:rsidP="002215A6">
            <w:pPr>
              <w:pStyle w:val="FinTableText"/>
            </w:pPr>
            <w:r w:rsidRPr="00CE2CEC">
              <w:t>-</w:t>
            </w:r>
          </w:p>
        </w:tc>
      </w:tr>
      <w:tr w:rsidR="002215A6" w:rsidRPr="006E5066" w14:paraId="5479EE60" w14:textId="77777777" w:rsidTr="002215A6">
        <w:trPr>
          <w:trHeight w:val="255"/>
        </w:trPr>
        <w:tc>
          <w:tcPr>
            <w:tcW w:w="3652" w:type="pct"/>
            <w:tcBorders>
              <w:top w:val="nil"/>
              <w:left w:val="nil"/>
              <w:bottom w:val="nil"/>
              <w:right w:val="nil"/>
            </w:tcBorders>
            <w:vAlign w:val="bottom"/>
          </w:tcPr>
          <w:p w14:paraId="2504B82E" w14:textId="77777777" w:rsidR="002215A6" w:rsidRDefault="002215A6" w:rsidP="002215A6">
            <w:pPr>
              <w:pStyle w:val="FinTableText"/>
            </w:pPr>
          </w:p>
        </w:tc>
        <w:tc>
          <w:tcPr>
            <w:tcW w:w="648" w:type="pct"/>
            <w:tcBorders>
              <w:top w:val="nil"/>
              <w:left w:val="nil"/>
              <w:right w:val="nil"/>
            </w:tcBorders>
            <w:shd w:val="clear" w:color="auto" w:fill="auto"/>
            <w:vAlign w:val="bottom"/>
          </w:tcPr>
          <w:p w14:paraId="411A9294" w14:textId="77777777" w:rsidR="002215A6" w:rsidRPr="002215A6" w:rsidRDefault="002215A6" w:rsidP="002215A6">
            <w:pPr>
              <w:pStyle w:val="FinTableText"/>
              <w:rPr>
                <w:rStyle w:val="Strong"/>
              </w:rPr>
            </w:pPr>
          </w:p>
        </w:tc>
        <w:tc>
          <w:tcPr>
            <w:tcW w:w="700" w:type="pct"/>
            <w:tcBorders>
              <w:top w:val="nil"/>
              <w:left w:val="nil"/>
              <w:right w:val="nil"/>
            </w:tcBorders>
            <w:shd w:val="clear" w:color="auto" w:fill="auto"/>
            <w:noWrap/>
            <w:vAlign w:val="bottom"/>
          </w:tcPr>
          <w:p w14:paraId="337617C0" w14:textId="77777777" w:rsidR="002215A6" w:rsidRPr="00CE2CEC" w:rsidRDefault="002215A6" w:rsidP="002215A6">
            <w:pPr>
              <w:pStyle w:val="FinTableText"/>
            </w:pPr>
          </w:p>
        </w:tc>
      </w:tr>
      <w:tr w:rsidR="002215A6" w:rsidRPr="00C05614" w14:paraId="39B383D4" w14:textId="77777777" w:rsidTr="002215A6">
        <w:trPr>
          <w:trHeight w:val="255"/>
        </w:trPr>
        <w:tc>
          <w:tcPr>
            <w:tcW w:w="3652" w:type="pct"/>
            <w:tcBorders>
              <w:top w:val="nil"/>
              <w:left w:val="nil"/>
              <w:bottom w:val="nil"/>
              <w:right w:val="nil"/>
            </w:tcBorders>
            <w:vAlign w:val="bottom"/>
          </w:tcPr>
          <w:p w14:paraId="64BAB99B" w14:textId="77777777" w:rsidR="002215A6" w:rsidRPr="00C05614" w:rsidRDefault="002215A6" w:rsidP="002215A6">
            <w:pPr>
              <w:rPr>
                <w:b/>
                <w:bCs/>
                <w:szCs w:val="18"/>
                <w:lang w:val="en-US"/>
              </w:rPr>
            </w:pPr>
            <w:r w:rsidRPr="00C05614">
              <w:rPr>
                <w:b/>
                <w:bCs/>
                <w:szCs w:val="18"/>
                <w:lang w:val="en-US"/>
              </w:rPr>
              <w:t xml:space="preserve">Total </w:t>
            </w:r>
            <w:r>
              <w:rPr>
                <w:b/>
                <w:bCs/>
                <w:szCs w:val="18"/>
                <w:lang w:val="en-US"/>
              </w:rPr>
              <w:t>key management remuneration expenses</w:t>
            </w:r>
            <w:r w:rsidRPr="005D342B">
              <w:rPr>
                <w:b/>
                <w:bCs/>
                <w:szCs w:val="18"/>
                <w:vertAlign w:val="superscript"/>
                <w:lang w:val="en-US"/>
              </w:rPr>
              <w:t>1</w:t>
            </w:r>
          </w:p>
        </w:tc>
        <w:tc>
          <w:tcPr>
            <w:tcW w:w="648" w:type="pct"/>
            <w:tcBorders>
              <w:top w:val="single" w:sz="4" w:space="0" w:color="auto"/>
              <w:left w:val="nil"/>
              <w:bottom w:val="single" w:sz="4" w:space="0" w:color="auto"/>
              <w:right w:val="nil"/>
            </w:tcBorders>
            <w:shd w:val="clear" w:color="auto" w:fill="auto"/>
            <w:vAlign w:val="bottom"/>
          </w:tcPr>
          <w:p w14:paraId="6A6F5C41" w14:textId="77777777" w:rsidR="002215A6" w:rsidRPr="002215A6" w:rsidRDefault="002215A6" w:rsidP="002215A6">
            <w:pPr>
              <w:pStyle w:val="FinTableText"/>
              <w:rPr>
                <w:rStyle w:val="Strong"/>
              </w:rPr>
            </w:pPr>
            <w:r w:rsidRPr="002215A6">
              <w:rPr>
                <w:rStyle w:val="Strong"/>
              </w:rPr>
              <w:t>1,859</w:t>
            </w:r>
          </w:p>
        </w:tc>
        <w:tc>
          <w:tcPr>
            <w:tcW w:w="700" w:type="pct"/>
            <w:tcBorders>
              <w:top w:val="single" w:sz="4" w:space="0" w:color="auto"/>
              <w:left w:val="nil"/>
              <w:bottom w:val="single" w:sz="4" w:space="0" w:color="auto"/>
              <w:right w:val="nil"/>
            </w:tcBorders>
            <w:shd w:val="clear" w:color="auto" w:fill="auto"/>
            <w:noWrap/>
            <w:vAlign w:val="bottom"/>
          </w:tcPr>
          <w:p w14:paraId="4D33077F" w14:textId="77777777" w:rsidR="002215A6" w:rsidRPr="00CE2CEC" w:rsidRDefault="002215A6" w:rsidP="002215A6">
            <w:pPr>
              <w:pStyle w:val="FinTableText"/>
            </w:pPr>
            <w:r>
              <w:t>1,784</w:t>
            </w:r>
          </w:p>
        </w:tc>
      </w:tr>
      <w:tr w:rsidR="002215A6" w:rsidRPr="00C05614" w14:paraId="5E897457" w14:textId="77777777" w:rsidTr="002215A6">
        <w:trPr>
          <w:trHeight w:val="255"/>
        </w:trPr>
        <w:tc>
          <w:tcPr>
            <w:tcW w:w="3652" w:type="pct"/>
            <w:tcBorders>
              <w:top w:val="nil"/>
              <w:left w:val="nil"/>
              <w:bottom w:val="nil"/>
              <w:right w:val="nil"/>
            </w:tcBorders>
            <w:shd w:val="clear" w:color="auto" w:fill="auto"/>
          </w:tcPr>
          <w:p w14:paraId="36D53D0C" w14:textId="77777777" w:rsidR="002215A6" w:rsidRPr="00C05614" w:rsidRDefault="002215A6" w:rsidP="002215A6">
            <w:pPr>
              <w:pStyle w:val="FinTableText"/>
            </w:pPr>
          </w:p>
        </w:tc>
        <w:tc>
          <w:tcPr>
            <w:tcW w:w="648" w:type="pct"/>
            <w:tcBorders>
              <w:top w:val="single" w:sz="4" w:space="0" w:color="auto"/>
              <w:left w:val="nil"/>
              <w:bottom w:val="nil"/>
              <w:right w:val="nil"/>
            </w:tcBorders>
            <w:shd w:val="clear" w:color="auto" w:fill="auto"/>
            <w:vAlign w:val="bottom"/>
          </w:tcPr>
          <w:p w14:paraId="2D93D7D1" w14:textId="77777777" w:rsidR="002215A6" w:rsidRPr="00C05614" w:rsidRDefault="002215A6" w:rsidP="002215A6">
            <w:pPr>
              <w:pStyle w:val="FinTableText"/>
              <w:rPr>
                <w:b/>
              </w:rPr>
            </w:pPr>
          </w:p>
        </w:tc>
        <w:tc>
          <w:tcPr>
            <w:tcW w:w="700" w:type="pct"/>
            <w:tcBorders>
              <w:top w:val="single" w:sz="4" w:space="0" w:color="auto"/>
              <w:left w:val="nil"/>
              <w:bottom w:val="nil"/>
              <w:right w:val="nil"/>
            </w:tcBorders>
            <w:shd w:val="clear" w:color="auto" w:fill="auto"/>
            <w:noWrap/>
            <w:vAlign w:val="bottom"/>
          </w:tcPr>
          <w:p w14:paraId="1BCB3A54" w14:textId="77777777" w:rsidR="002215A6" w:rsidRPr="00C05614" w:rsidRDefault="002215A6" w:rsidP="002215A6">
            <w:pPr>
              <w:pStyle w:val="FinTableText"/>
              <w:rPr>
                <w:b/>
              </w:rPr>
            </w:pPr>
          </w:p>
        </w:tc>
      </w:tr>
      <w:tr w:rsidR="002215A6" w:rsidRPr="00C05614" w14:paraId="107EBBC6" w14:textId="77777777" w:rsidTr="002215A6">
        <w:trPr>
          <w:trHeight w:val="255"/>
        </w:trPr>
        <w:tc>
          <w:tcPr>
            <w:tcW w:w="5000" w:type="pct"/>
            <w:gridSpan w:val="3"/>
            <w:tcBorders>
              <w:top w:val="nil"/>
              <w:left w:val="nil"/>
              <w:bottom w:val="nil"/>
              <w:right w:val="nil"/>
            </w:tcBorders>
            <w:shd w:val="clear" w:color="auto" w:fill="auto"/>
          </w:tcPr>
          <w:p w14:paraId="5A4126EA" w14:textId="389D2537" w:rsidR="002215A6" w:rsidRPr="00C05614" w:rsidRDefault="002215A6" w:rsidP="002215A6">
            <w:pPr>
              <w:pStyle w:val="FinTableText"/>
              <w:rPr>
                <w:b/>
                <w:sz w:val="24"/>
                <w:szCs w:val="24"/>
              </w:rPr>
            </w:pPr>
            <w:r>
              <w:rPr>
                <w:iCs/>
              </w:rPr>
              <w:t xml:space="preserve">The total number of key management personnel that are included in the above </w:t>
            </w:r>
            <w:r w:rsidR="00427488">
              <w:rPr>
                <w:iCs/>
              </w:rPr>
              <w:br/>
            </w:r>
            <w:r>
              <w:rPr>
                <w:iCs/>
              </w:rPr>
              <w:t xml:space="preserve">table are 17 (2016: 16). </w:t>
            </w:r>
            <w:r>
              <w:t xml:space="preserve">2 directors included in this number waived their right or </w:t>
            </w:r>
            <w:r w:rsidR="00427488">
              <w:br/>
            </w:r>
            <w:r>
              <w:t xml:space="preserve">were not eligible to receive remuneration during 2017 (2016: 3). The directors of the </w:t>
            </w:r>
            <w:r w:rsidR="00427488">
              <w:br/>
            </w:r>
            <w:r>
              <w:t xml:space="preserve">Commission, including appointments and cessations during the year are listed in </w:t>
            </w:r>
            <w:r w:rsidR="00427488">
              <w:br/>
            </w:r>
            <w:r>
              <w:t>note 3.3.</w:t>
            </w:r>
          </w:p>
        </w:tc>
      </w:tr>
      <w:tr w:rsidR="002215A6" w:rsidRPr="00C05614" w14:paraId="308B97BF" w14:textId="77777777" w:rsidTr="002215A6">
        <w:trPr>
          <w:trHeight w:val="510"/>
        </w:trPr>
        <w:tc>
          <w:tcPr>
            <w:tcW w:w="5000" w:type="pct"/>
            <w:gridSpan w:val="3"/>
            <w:tcBorders>
              <w:top w:val="nil"/>
              <w:left w:val="nil"/>
              <w:bottom w:val="nil"/>
              <w:right w:val="nil"/>
            </w:tcBorders>
            <w:shd w:val="clear" w:color="auto" w:fill="auto"/>
          </w:tcPr>
          <w:p w14:paraId="68F64975" w14:textId="77777777" w:rsidR="002215A6" w:rsidRDefault="002215A6" w:rsidP="002215A6">
            <w:pPr>
              <w:pStyle w:val="FinTableText"/>
            </w:pPr>
          </w:p>
          <w:p w14:paraId="4B6D05FD" w14:textId="6A8F991F" w:rsidR="002215A6" w:rsidRPr="005D342B" w:rsidRDefault="002215A6" w:rsidP="002215A6">
            <w:pPr>
              <w:pStyle w:val="FinTableText"/>
            </w:pPr>
            <w:r w:rsidRPr="005D342B">
              <w:rPr>
                <w:vertAlign w:val="superscript"/>
              </w:rPr>
              <w:t>1</w:t>
            </w:r>
            <w:r>
              <w:t xml:space="preserve">The above key </w:t>
            </w:r>
            <w:r w:rsidRPr="005D342B">
              <w:t xml:space="preserve">management personnel remuneration excludes the remuneration </w:t>
            </w:r>
            <w:r w:rsidR="00427488">
              <w:br/>
            </w:r>
            <w:r w:rsidRPr="005D342B">
              <w:t>and other benefits of the Portfolio</w:t>
            </w:r>
            <w:r>
              <w:t xml:space="preserve"> </w:t>
            </w:r>
            <w:r w:rsidRPr="005D342B">
              <w:t xml:space="preserve">Minister. The Portfolio Minister's remuneration </w:t>
            </w:r>
            <w:r w:rsidR="00427488">
              <w:br/>
            </w:r>
            <w:r w:rsidRPr="005D342B">
              <w:t>and other benefits are set by the Remuneration Tribunal and are not</w:t>
            </w:r>
            <w:r>
              <w:t xml:space="preserve"> </w:t>
            </w:r>
            <w:r w:rsidRPr="005D342B">
              <w:t xml:space="preserve">paid by the </w:t>
            </w:r>
            <w:r w:rsidR="00427488">
              <w:br/>
            </w:r>
            <w:r>
              <w:t>Commission</w:t>
            </w:r>
            <w:r w:rsidRPr="005D342B">
              <w:t>.</w:t>
            </w:r>
          </w:p>
        </w:tc>
      </w:tr>
    </w:tbl>
    <w:p w14:paraId="7649563F" w14:textId="77777777" w:rsidR="00195E07" w:rsidRDefault="00195E07">
      <w:pPr>
        <w:spacing w:after="160" w:line="259" w:lineRule="auto"/>
      </w:pPr>
      <w:r>
        <w:br w:type="page"/>
      </w:r>
    </w:p>
    <w:p w14:paraId="767EA33F" w14:textId="77777777" w:rsidR="002215A6" w:rsidRPr="00DB4ED7" w:rsidRDefault="002215A6" w:rsidP="002215A6">
      <w:pPr>
        <w:pStyle w:val="Heading2"/>
        <w:rPr>
          <w:sz w:val="24"/>
        </w:rPr>
      </w:pPr>
      <w:r w:rsidRPr="00DB4ED7">
        <w:rPr>
          <w:sz w:val="24"/>
        </w:rPr>
        <w:lastRenderedPageBreak/>
        <w:t>3.3 Related Party Disclosures</w:t>
      </w:r>
    </w:p>
    <w:tbl>
      <w:tblPr>
        <w:tblW w:w="5000" w:type="pct"/>
        <w:tblLook w:val="0000" w:firstRow="0" w:lastRow="0" w:firstColumn="0" w:lastColumn="0" w:noHBand="0" w:noVBand="0"/>
        <w:tblCaption w:val="3.3 Related Party Disclosures"/>
      </w:tblPr>
      <w:tblGrid>
        <w:gridCol w:w="5383"/>
        <w:gridCol w:w="1790"/>
        <w:gridCol w:w="1321"/>
      </w:tblGrid>
      <w:tr w:rsidR="002215A6" w:rsidRPr="008075C3" w14:paraId="689568D9" w14:textId="77777777" w:rsidTr="002215A6">
        <w:trPr>
          <w:trHeight w:val="255"/>
        </w:trPr>
        <w:tc>
          <w:tcPr>
            <w:tcW w:w="5000" w:type="pct"/>
            <w:gridSpan w:val="3"/>
            <w:shd w:val="clear" w:color="auto" w:fill="auto"/>
            <w:noWrap/>
            <w:vAlign w:val="bottom"/>
          </w:tcPr>
          <w:p w14:paraId="7349AB88" w14:textId="77777777" w:rsidR="002215A6" w:rsidRPr="00472A33" w:rsidRDefault="002215A6" w:rsidP="002215A6">
            <w:pPr>
              <w:rPr>
                <w:b/>
                <w:szCs w:val="18"/>
                <w:lang w:val="en-US"/>
              </w:rPr>
            </w:pPr>
            <w:r w:rsidRPr="00472A33">
              <w:rPr>
                <w:b/>
                <w:szCs w:val="18"/>
                <w:lang w:val="en-US"/>
              </w:rPr>
              <w:t>Related party relationships</w:t>
            </w:r>
          </w:p>
          <w:p w14:paraId="6C468627" w14:textId="3E7D65FB" w:rsidR="002215A6" w:rsidRPr="008075C3" w:rsidRDefault="002215A6" w:rsidP="002215A6">
            <w:pPr>
              <w:autoSpaceDE w:val="0"/>
              <w:autoSpaceDN w:val="0"/>
              <w:adjustRightInd w:val="0"/>
              <w:rPr>
                <w:szCs w:val="18"/>
                <w:lang w:val="en-US"/>
              </w:rPr>
            </w:pPr>
            <w:r>
              <w:rPr>
                <w:szCs w:val="18"/>
                <w:lang w:val="en-US"/>
              </w:rPr>
              <w:t xml:space="preserve">The Commission is </w:t>
            </w:r>
            <w:r w:rsidRPr="00472A33">
              <w:rPr>
                <w:szCs w:val="18"/>
                <w:lang w:val="en-US"/>
              </w:rPr>
              <w:t>an Australian Government controlled entity. Related parti</w:t>
            </w:r>
            <w:r>
              <w:rPr>
                <w:szCs w:val="18"/>
                <w:lang w:val="en-US"/>
              </w:rPr>
              <w:t xml:space="preserve">es to this </w:t>
            </w:r>
            <w:r w:rsidR="00427488">
              <w:rPr>
                <w:szCs w:val="18"/>
                <w:lang w:val="en-US"/>
              </w:rPr>
              <w:br/>
            </w:r>
            <w:r>
              <w:rPr>
                <w:szCs w:val="18"/>
                <w:lang w:val="en-US"/>
              </w:rPr>
              <w:t>entity are Directors</w:t>
            </w:r>
            <w:r w:rsidRPr="00472A33">
              <w:rPr>
                <w:szCs w:val="18"/>
                <w:lang w:val="en-US"/>
              </w:rPr>
              <w:t>, Key</w:t>
            </w:r>
            <w:r>
              <w:rPr>
                <w:szCs w:val="18"/>
                <w:lang w:val="en-US"/>
              </w:rPr>
              <w:t xml:space="preserve"> </w:t>
            </w:r>
            <w:r w:rsidRPr="00472A33">
              <w:rPr>
                <w:szCs w:val="18"/>
                <w:lang w:val="en-US"/>
              </w:rPr>
              <w:t>Management Personnel i</w:t>
            </w:r>
            <w:r>
              <w:rPr>
                <w:szCs w:val="18"/>
                <w:lang w:val="en-US"/>
              </w:rPr>
              <w:t>ncluding the Portfolio Minister</w:t>
            </w:r>
            <w:r w:rsidRPr="00472A33">
              <w:rPr>
                <w:szCs w:val="18"/>
                <w:lang w:val="en-US"/>
              </w:rPr>
              <w:t xml:space="preserve">, and other </w:t>
            </w:r>
            <w:r w:rsidR="00427488">
              <w:rPr>
                <w:szCs w:val="18"/>
                <w:lang w:val="en-US"/>
              </w:rPr>
              <w:br/>
            </w:r>
            <w:r w:rsidRPr="00472A33">
              <w:rPr>
                <w:szCs w:val="18"/>
                <w:lang w:val="en-US"/>
              </w:rPr>
              <w:t>Australian Government</w:t>
            </w:r>
            <w:r>
              <w:rPr>
                <w:szCs w:val="18"/>
                <w:lang w:val="en-US"/>
              </w:rPr>
              <w:t xml:space="preserve"> </w:t>
            </w:r>
            <w:r w:rsidRPr="00472A33">
              <w:rPr>
                <w:szCs w:val="18"/>
                <w:lang w:val="en-US"/>
              </w:rPr>
              <w:t>entities.</w:t>
            </w:r>
            <w:r>
              <w:rPr>
                <w:szCs w:val="18"/>
                <w:lang w:val="en-US"/>
              </w:rPr>
              <w:t xml:space="preserve"> Directors of the Commission during the year were:</w:t>
            </w:r>
          </w:p>
        </w:tc>
      </w:tr>
      <w:tr w:rsidR="002215A6" w:rsidRPr="008075C3" w14:paraId="5E981413" w14:textId="77777777" w:rsidTr="002215A6">
        <w:trPr>
          <w:trHeight w:val="75"/>
        </w:trPr>
        <w:tc>
          <w:tcPr>
            <w:tcW w:w="3207" w:type="pct"/>
            <w:shd w:val="clear" w:color="auto" w:fill="auto"/>
            <w:noWrap/>
            <w:vAlign w:val="bottom"/>
          </w:tcPr>
          <w:p w14:paraId="46E42F36" w14:textId="77777777" w:rsidR="002215A6" w:rsidRPr="008075C3" w:rsidRDefault="002215A6" w:rsidP="002215A6">
            <w:pPr>
              <w:rPr>
                <w:szCs w:val="18"/>
                <w:lang w:val="en-US"/>
              </w:rPr>
            </w:pPr>
          </w:p>
        </w:tc>
        <w:tc>
          <w:tcPr>
            <w:tcW w:w="1038" w:type="pct"/>
            <w:shd w:val="clear" w:color="auto" w:fill="auto"/>
            <w:noWrap/>
            <w:vAlign w:val="bottom"/>
          </w:tcPr>
          <w:p w14:paraId="3AF4176A" w14:textId="77777777" w:rsidR="002215A6" w:rsidRPr="008075C3" w:rsidRDefault="002215A6" w:rsidP="002215A6">
            <w:pPr>
              <w:rPr>
                <w:szCs w:val="18"/>
                <w:lang w:val="en-US"/>
              </w:rPr>
            </w:pPr>
          </w:p>
        </w:tc>
        <w:tc>
          <w:tcPr>
            <w:tcW w:w="755" w:type="pct"/>
            <w:shd w:val="clear" w:color="auto" w:fill="auto"/>
            <w:noWrap/>
            <w:vAlign w:val="bottom"/>
          </w:tcPr>
          <w:p w14:paraId="41330D75" w14:textId="77777777" w:rsidR="002215A6" w:rsidRPr="008075C3" w:rsidRDefault="002215A6" w:rsidP="002215A6">
            <w:pPr>
              <w:rPr>
                <w:szCs w:val="18"/>
                <w:lang w:val="en-US"/>
              </w:rPr>
            </w:pPr>
          </w:p>
        </w:tc>
      </w:tr>
      <w:tr w:rsidR="002215A6" w:rsidRPr="008075C3" w14:paraId="61916EBF" w14:textId="77777777" w:rsidTr="002215A6">
        <w:trPr>
          <w:trHeight w:val="255"/>
        </w:trPr>
        <w:tc>
          <w:tcPr>
            <w:tcW w:w="3207" w:type="pct"/>
            <w:shd w:val="clear" w:color="auto" w:fill="auto"/>
            <w:vAlign w:val="center"/>
          </w:tcPr>
          <w:p w14:paraId="0B46FD30" w14:textId="77777777" w:rsidR="002215A6" w:rsidRPr="008075C3" w:rsidRDefault="002215A6" w:rsidP="002215A6">
            <w:pPr>
              <w:rPr>
                <w:szCs w:val="18"/>
                <w:lang w:val="en-US"/>
              </w:rPr>
            </w:pPr>
          </w:p>
        </w:tc>
        <w:tc>
          <w:tcPr>
            <w:tcW w:w="1038" w:type="pct"/>
            <w:shd w:val="clear" w:color="auto" w:fill="auto"/>
            <w:vAlign w:val="center"/>
          </w:tcPr>
          <w:p w14:paraId="3D6BDD93" w14:textId="77777777" w:rsidR="002215A6" w:rsidRPr="008075C3" w:rsidRDefault="002215A6" w:rsidP="002215A6">
            <w:pPr>
              <w:jc w:val="center"/>
              <w:rPr>
                <w:b/>
                <w:bCs/>
                <w:szCs w:val="18"/>
                <w:u w:val="single"/>
                <w:lang w:val="en-US"/>
              </w:rPr>
            </w:pPr>
            <w:r w:rsidRPr="008075C3">
              <w:rPr>
                <w:b/>
                <w:bCs/>
                <w:szCs w:val="18"/>
                <w:u w:val="single"/>
                <w:lang w:val="en-US"/>
              </w:rPr>
              <w:t>Commenced</w:t>
            </w:r>
          </w:p>
        </w:tc>
        <w:tc>
          <w:tcPr>
            <w:tcW w:w="755" w:type="pct"/>
            <w:shd w:val="clear" w:color="auto" w:fill="auto"/>
            <w:vAlign w:val="center"/>
          </w:tcPr>
          <w:p w14:paraId="6E2020A6" w14:textId="77777777" w:rsidR="002215A6" w:rsidRPr="008075C3" w:rsidRDefault="002215A6" w:rsidP="002215A6">
            <w:pPr>
              <w:jc w:val="center"/>
              <w:rPr>
                <w:b/>
                <w:bCs/>
                <w:szCs w:val="18"/>
                <w:u w:val="single"/>
                <w:lang w:val="en-US"/>
              </w:rPr>
            </w:pPr>
            <w:r w:rsidRPr="008075C3">
              <w:rPr>
                <w:b/>
                <w:bCs/>
                <w:szCs w:val="18"/>
                <w:u w:val="single"/>
                <w:lang w:val="en-US"/>
              </w:rPr>
              <w:t>Ceased</w:t>
            </w:r>
          </w:p>
        </w:tc>
      </w:tr>
      <w:tr w:rsidR="002215A6" w:rsidRPr="008075C3" w14:paraId="37C3C4C9" w14:textId="77777777" w:rsidTr="002215A6">
        <w:trPr>
          <w:trHeight w:val="255"/>
        </w:trPr>
        <w:tc>
          <w:tcPr>
            <w:tcW w:w="3207" w:type="pct"/>
            <w:vAlign w:val="center"/>
          </w:tcPr>
          <w:p w14:paraId="23528BB3" w14:textId="77777777" w:rsidR="002215A6" w:rsidRPr="002E0818" w:rsidRDefault="002215A6" w:rsidP="002215A6">
            <w:pPr>
              <w:rPr>
                <w:szCs w:val="18"/>
                <w:lang w:val="en-US"/>
              </w:rPr>
            </w:pPr>
            <w:r w:rsidRPr="002E0818">
              <w:rPr>
                <w:szCs w:val="18"/>
                <w:lang w:val="en-US"/>
              </w:rPr>
              <w:t xml:space="preserve">Professor </w:t>
            </w:r>
            <w:proofErr w:type="spellStart"/>
            <w:r w:rsidRPr="002E0818">
              <w:rPr>
                <w:szCs w:val="18"/>
                <w:lang w:val="en-US"/>
              </w:rPr>
              <w:t>Villis</w:t>
            </w:r>
            <w:proofErr w:type="spellEnd"/>
            <w:r w:rsidRPr="002E0818">
              <w:rPr>
                <w:szCs w:val="18"/>
                <w:lang w:val="en-US"/>
              </w:rPr>
              <w:t xml:space="preserve"> Marshall AC (Chair from 1 April 2013)</w:t>
            </w:r>
          </w:p>
        </w:tc>
        <w:tc>
          <w:tcPr>
            <w:tcW w:w="1038" w:type="pct"/>
            <w:shd w:val="clear" w:color="auto" w:fill="auto"/>
            <w:vAlign w:val="center"/>
          </w:tcPr>
          <w:p w14:paraId="30C62499" w14:textId="77777777" w:rsidR="002215A6" w:rsidRPr="002E0818" w:rsidRDefault="002215A6" w:rsidP="002215A6">
            <w:pPr>
              <w:jc w:val="right"/>
              <w:rPr>
                <w:szCs w:val="18"/>
                <w:lang w:val="en-US"/>
              </w:rPr>
            </w:pPr>
            <w:r w:rsidRPr="002E0818">
              <w:rPr>
                <w:szCs w:val="18"/>
                <w:lang w:val="en-US"/>
              </w:rPr>
              <w:t>1/04/2012</w:t>
            </w:r>
          </w:p>
        </w:tc>
        <w:tc>
          <w:tcPr>
            <w:tcW w:w="755" w:type="pct"/>
            <w:shd w:val="clear" w:color="auto" w:fill="auto"/>
            <w:vAlign w:val="center"/>
          </w:tcPr>
          <w:p w14:paraId="3C76E1DE" w14:textId="77777777" w:rsidR="002215A6" w:rsidRPr="002E0818" w:rsidRDefault="002215A6" w:rsidP="002215A6">
            <w:pPr>
              <w:rPr>
                <w:szCs w:val="18"/>
                <w:lang w:val="en-US"/>
              </w:rPr>
            </w:pPr>
          </w:p>
        </w:tc>
      </w:tr>
      <w:tr w:rsidR="002215A6" w:rsidRPr="008075C3" w14:paraId="0250A1B0" w14:textId="77777777" w:rsidTr="002215A6">
        <w:trPr>
          <w:trHeight w:val="255"/>
        </w:trPr>
        <w:tc>
          <w:tcPr>
            <w:tcW w:w="3207" w:type="pct"/>
            <w:vAlign w:val="center"/>
          </w:tcPr>
          <w:p w14:paraId="6C612344" w14:textId="77777777" w:rsidR="002215A6" w:rsidRPr="002E0818" w:rsidRDefault="002215A6" w:rsidP="002215A6">
            <w:pPr>
              <w:rPr>
                <w:szCs w:val="18"/>
                <w:lang w:val="en-US"/>
              </w:rPr>
            </w:pPr>
            <w:proofErr w:type="spellStart"/>
            <w:r w:rsidRPr="002E0818">
              <w:rPr>
                <w:szCs w:val="18"/>
                <w:lang w:val="en-US"/>
              </w:rPr>
              <w:t>Mr</w:t>
            </w:r>
            <w:proofErr w:type="spellEnd"/>
            <w:r w:rsidRPr="002E0818">
              <w:rPr>
                <w:szCs w:val="18"/>
                <w:lang w:val="en-US"/>
              </w:rPr>
              <w:t xml:space="preserve"> Martin Bowles PSM</w:t>
            </w:r>
          </w:p>
        </w:tc>
        <w:tc>
          <w:tcPr>
            <w:tcW w:w="1038" w:type="pct"/>
            <w:shd w:val="clear" w:color="auto" w:fill="auto"/>
            <w:vAlign w:val="center"/>
          </w:tcPr>
          <w:p w14:paraId="6592D625" w14:textId="77777777" w:rsidR="002215A6" w:rsidRPr="002E0818" w:rsidRDefault="002215A6" w:rsidP="002215A6">
            <w:pPr>
              <w:jc w:val="right"/>
              <w:rPr>
                <w:szCs w:val="18"/>
                <w:lang w:val="en-US"/>
              </w:rPr>
            </w:pPr>
            <w:r w:rsidRPr="002E0818">
              <w:rPr>
                <w:szCs w:val="18"/>
                <w:lang w:val="en-US"/>
              </w:rPr>
              <w:t>14/05/2015</w:t>
            </w:r>
          </w:p>
        </w:tc>
        <w:tc>
          <w:tcPr>
            <w:tcW w:w="755" w:type="pct"/>
            <w:shd w:val="clear" w:color="auto" w:fill="auto"/>
            <w:vAlign w:val="center"/>
          </w:tcPr>
          <w:p w14:paraId="4D2E3FC1" w14:textId="77777777" w:rsidR="002215A6" w:rsidRPr="002E0818" w:rsidRDefault="002215A6" w:rsidP="002215A6">
            <w:pPr>
              <w:jc w:val="right"/>
              <w:rPr>
                <w:szCs w:val="18"/>
                <w:lang w:val="en-US"/>
              </w:rPr>
            </w:pPr>
          </w:p>
        </w:tc>
      </w:tr>
      <w:tr w:rsidR="002215A6" w:rsidRPr="008075C3" w14:paraId="71294767" w14:textId="77777777" w:rsidTr="002215A6">
        <w:trPr>
          <w:trHeight w:val="255"/>
        </w:trPr>
        <w:tc>
          <w:tcPr>
            <w:tcW w:w="3207" w:type="pct"/>
            <w:vAlign w:val="center"/>
          </w:tcPr>
          <w:p w14:paraId="6A5796DB" w14:textId="77777777" w:rsidR="002215A6" w:rsidRPr="002E0818" w:rsidRDefault="002215A6" w:rsidP="002215A6">
            <w:pPr>
              <w:rPr>
                <w:szCs w:val="18"/>
                <w:lang w:val="en-US"/>
              </w:rPr>
            </w:pPr>
            <w:r w:rsidRPr="002E0818">
              <w:rPr>
                <w:szCs w:val="18"/>
                <w:lang w:val="en-US"/>
              </w:rPr>
              <w:t>Professor Phillip Della</w:t>
            </w:r>
          </w:p>
        </w:tc>
        <w:tc>
          <w:tcPr>
            <w:tcW w:w="1038" w:type="pct"/>
            <w:shd w:val="clear" w:color="auto" w:fill="auto"/>
            <w:vAlign w:val="center"/>
          </w:tcPr>
          <w:p w14:paraId="3D43390F" w14:textId="77777777" w:rsidR="002215A6" w:rsidRPr="002E0818" w:rsidRDefault="002215A6" w:rsidP="002215A6">
            <w:pPr>
              <w:jc w:val="right"/>
              <w:rPr>
                <w:szCs w:val="18"/>
                <w:lang w:val="en-US"/>
              </w:rPr>
            </w:pPr>
            <w:r w:rsidRPr="002E0818">
              <w:rPr>
                <w:szCs w:val="18"/>
                <w:lang w:val="en-US"/>
              </w:rPr>
              <w:t>1/04/2013</w:t>
            </w:r>
          </w:p>
        </w:tc>
        <w:tc>
          <w:tcPr>
            <w:tcW w:w="755" w:type="pct"/>
            <w:shd w:val="clear" w:color="auto" w:fill="auto"/>
            <w:vAlign w:val="center"/>
          </w:tcPr>
          <w:p w14:paraId="56F0DBB3" w14:textId="77777777" w:rsidR="002215A6" w:rsidRPr="002E0818" w:rsidRDefault="002215A6" w:rsidP="002215A6">
            <w:pPr>
              <w:jc w:val="right"/>
              <w:rPr>
                <w:szCs w:val="18"/>
                <w:lang w:val="en-US"/>
              </w:rPr>
            </w:pPr>
            <w:r w:rsidRPr="002E0818">
              <w:rPr>
                <w:szCs w:val="18"/>
                <w:lang w:val="en-US"/>
              </w:rPr>
              <w:t>31/03/2017</w:t>
            </w:r>
          </w:p>
        </w:tc>
      </w:tr>
      <w:tr w:rsidR="002215A6" w:rsidRPr="008075C3" w14:paraId="51960FEA" w14:textId="77777777" w:rsidTr="002215A6">
        <w:trPr>
          <w:trHeight w:val="255"/>
        </w:trPr>
        <w:tc>
          <w:tcPr>
            <w:tcW w:w="3207" w:type="pct"/>
            <w:vAlign w:val="center"/>
          </w:tcPr>
          <w:p w14:paraId="57A53167" w14:textId="77777777" w:rsidR="002215A6" w:rsidRPr="002E0818" w:rsidRDefault="002215A6" w:rsidP="002215A6">
            <w:pPr>
              <w:rPr>
                <w:szCs w:val="18"/>
                <w:lang w:val="en-US"/>
              </w:rPr>
            </w:pPr>
            <w:r w:rsidRPr="002E0818">
              <w:rPr>
                <w:szCs w:val="18"/>
                <w:lang w:val="en-US"/>
              </w:rPr>
              <w:t>Christine Gee</w:t>
            </w:r>
          </w:p>
        </w:tc>
        <w:tc>
          <w:tcPr>
            <w:tcW w:w="1038" w:type="pct"/>
            <w:shd w:val="clear" w:color="auto" w:fill="auto"/>
            <w:vAlign w:val="center"/>
          </w:tcPr>
          <w:p w14:paraId="77652756" w14:textId="77777777" w:rsidR="002215A6" w:rsidRPr="002E0818" w:rsidRDefault="002215A6" w:rsidP="002215A6">
            <w:pPr>
              <w:jc w:val="right"/>
              <w:rPr>
                <w:szCs w:val="18"/>
                <w:lang w:val="en-US"/>
              </w:rPr>
            </w:pPr>
            <w:r w:rsidRPr="002E0818">
              <w:rPr>
                <w:szCs w:val="18"/>
                <w:lang w:val="en-US"/>
              </w:rPr>
              <w:t>1/07/2011</w:t>
            </w:r>
          </w:p>
        </w:tc>
        <w:tc>
          <w:tcPr>
            <w:tcW w:w="755" w:type="pct"/>
            <w:shd w:val="clear" w:color="auto" w:fill="auto"/>
            <w:vAlign w:val="center"/>
          </w:tcPr>
          <w:p w14:paraId="7EA31629" w14:textId="77777777" w:rsidR="002215A6" w:rsidRPr="002E0818" w:rsidRDefault="002215A6" w:rsidP="002215A6">
            <w:pPr>
              <w:jc w:val="right"/>
              <w:rPr>
                <w:szCs w:val="18"/>
                <w:lang w:val="en-US"/>
              </w:rPr>
            </w:pPr>
          </w:p>
        </w:tc>
      </w:tr>
      <w:tr w:rsidR="002215A6" w:rsidRPr="008075C3" w14:paraId="4E1AF6D9" w14:textId="77777777" w:rsidTr="002215A6">
        <w:trPr>
          <w:trHeight w:val="255"/>
        </w:trPr>
        <w:tc>
          <w:tcPr>
            <w:tcW w:w="3207" w:type="pct"/>
            <w:vAlign w:val="center"/>
          </w:tcPr>
          <w:p w14:paraId="04ED68F1" w14:textId="77777777" w:rsidR="002215A6" w:rsidRPr="002E0818" w:rsidRDefault="002215A6" w:rsidP="002215A6">
            <w:pPr>
              <w:rPr>
                <w:szCs w:val="18"/>
                <w:lang w:val="en-US"/>
              </w:rPr>
            </w:pPr>
            <w:proofErr w:type="spellStart"/>
            <w:r w:rsidRPr="002E0818">
              <w:rPr>
                <w:szCs w:val="18"/>
                <w:lang w:val="en-US"/>
              </w:rPr>
              <w:t>Ms</w:t>
            </w:r>
            <w:proofErr w:type="spellEnd"/>
            <w:r w:rsidRPr="002E0818">
              <w:rPr>
                <w:szCs w:val="18"/>
                <w:lang w:val="en-US"/>
              </w:rPr>
              <w:t xml:space="preserve"> Wendy Harris QC</w:t>
            </w:r>
          </w:p>
        </w:tc>
        <w:tc>
          <w:tcPr>
            <w:tcW w:w="1038" w:type="pct"/>
            <w:shd w:val="clear" w:color="auto" w:fill="auto"/>
            <w:vAlign w:val="center"/>
          </w:tcPr>
          <w:p w14:paraId="22DF8C5E" w14:textId="77777777" w:rsidR="002215A6" w:rsidRPr="002E0818" w:rsidRDefault="002215A6" w:rsidP="002215A6">
            <w:pPr>
              <w:jc w:val="right"/>
              <w:rPr>
                <w:szCs w:val="18"/>
                <w:lang w:val="en-US"/>
              </w:rPr>
            </w:pPr>
            <w:r w:rsidRPr="002E0818">
              <w:rPr>
                <w:szCs w:val="18"/>
                <w:lang w:val="en-US"/>
              </w:rPr>
              <w:t>24/07/2015</w:t>
            </w:r>
          </w:p>
        </w:tc>
        <w:tc>
          <w:tcPr>
            <w:tcW w:w="755" w:type="pct"/>
            <w:shd w:val="clear" w:color="auto" w:fill="auto"/>
            <w:vAlign w:val="center"/>
          </w:tcPr>
          <w:p w14:paraId="7518A911" w14:textId="77777777" w:rsidR="002215A6" w:rsidRPr="002E0818" w:rsidRDefault="002215A6" w:rsidP="002215A6">
            <w:pPr>
              <w:jc w:val="right"/>
              <w:rPr>
                <w:szCs w:val="18"/>
                <w:lang w:val="en-US"/>
              </w:rPr>
            </w:pPr>
          </w:p>
        </w:tc>
      </w:tr>
      <w:tr w:rsidR="002215A6" w:rsidRPr="008075C3" w14:paraId="13F48FA5" w14:textId="77777777" w:rsidTr="002215A6">
        <w:trPr>
          <w:trHeight w:val="255"/>
        </w:trPr>
        <w:tc>
          <w:tcPr>
            <w:tcW w:w="3207" w:type="pct"/>
            <w:vAlign w:val="center"/>
          </w:tcPr>
          <w:p w14:paraId="7B7CBE77" w14:textId="77777777" w:rsidR="002215A6" w:rsidRPr="002E0818" w:rsidRDefault="002215A6" w:rsidP="002215A6">
            <w:pPr>
              <w:rPr>
                <w:szCs w:val="18"/>
                <w:lang w:val="en-US"/>
              </w:rPr>
            </w:pPr>
            <w:proofErr w:type="spellStart"/>
            <w:r w:rsidRPr="002E0818">
              <w:rPr>
                <w:szCs w:val="18"/>
                <w:lang w:val="en-US"/>
              </w:rPr>
              <w:t>Dr</w:t>
            </w:r>
            <w:proofErr w:type="spellEnd"/>
            <w:r w:rsidRPr="002E0818">
              <w:rPr>
                <w:szCs w:val="18"/>
                <w:lang w:val="en-US"/>
              </w:rPr>
              <w:t xml:space="preserve"> Shaun Larkin</w:t>
            </w:r>
          </w:p>
        </w:tc>
        <w:tc>
          <w:tcPr>
            <w:tcW w:w="1038" w:type="pct"/>
            <w:shd w:val="clear" w:color="auto" w:fill="auto"/>
            <w:vAlign w:val="center"/>
          </w:tcPr>
          <w:p w14:paraId="7BA3E10D" w14:textId="77777777" w:rsidR="002215A6" w:rsidRPr="002E0818" w:rsidRDefault="002215A6" w:rsidP="002215A6">
            <w:pPr>
              <w:jc w:val="right"/>
              <w:rPr>
                <w:szCs w:val="18"/>
                <w:lang w:val="en-US"/>
              </w:rPr>
            </w:pPr>
            <w:r w:rsidRPr="002E0818">
              <w:rPr>
                <w:szCs w:val="18"/>
                <w:lang w:val="en-US"/>
              </w:rPr>
              <w:t>1/04/2013</w:t>
            </w:r>
          </w:p>
        </w:tc>
        <w:tc>
          <w:tcPr>
            <w:tcW w:w="755" w:type="pct"/>
            <w:shd w:val="clear" w:color="auto" w:fill="auto"/>
            <w:vAlign w:val="center"/>
          </w:tcPr>
          <w:p w14:paraId="58FD9972" w14:textId="77777777" w:rsidR="002215A6" w:rsidRPr="002E0818" w:rsidRDefault="002215A6" w:rsidP="002215A6">
            <w:pPr>
              <w:jc w:val="right"/>
              <w:rPr>
                <w:szCs w:val="18"/>
                <w:lang w:val="en-US"/>
              </w:rPr>
            </w:pPr>
          </w:p>
        </w:tc>
      </w:tr>
      <w:tr w:rsidR="002215A6" w:rsidRPr="008075C3" w14:paraId="7C4A4ED9" w14:textId="77777777" w:rsidTr="002215A6">
        <w:trPr>
          <w:trHeight w:val="255"/>
        </w:trPr>
        <w:tc>
          <w:tcPr>
            <w:tcW w:w="3207" w:type="pct"/>
            <w:vAlign w:val="center"/>
          </w:tcPr>
          <w:p w14:paraId="28376FA1" w14:textId="77777777" w:rsidR="002215A6" w:rsidRPr="002E0818" w:rsidRDefault="002215A6" w:rsidP="002215A6">
            <w:pPr>
              <w:rPr>
                <w:szCs w:val="18"/>
                <w:lang w:val="en-US"/>
              </w:rPr>
            </w:pPr>
            <w:proofErr w:type="spellStart"/>
            <w:r w:rsidRPr="002E0818">
              <w:rPr>
                <w:szCs w:val="18"/>
                <w:lang w:val="en-US"/>
              </w:rPr>
              <w:t>Mrs</w:t>
            </w:r>
            <w:proofErr w:type="spellEnd"/>
            <w:r w:rsidRPr="002E0818">
              <w:rPr>
                <w:szCs w:val="18"/>
                <w:lang w:val="en-US"/>
              </w:rPr>
              <w:t xml:space="preserve"> </w:t>
            </w:r>
            <w:proofErr w:type="spellStart"/>
            <w:r w:rsidRPr="002E0818">
              <w:rPr>
                <w:szCs w:val="18"/>
                <w:lang w:val="en-US"/>
              </w:rPr>
              <w:t>Cheryle</w:t>
            </w:r>
            <w:proofErr w:type="spellEnd"/>
            <w:r w:rsidRPr="002E0818">
              <w:rPr>
                <w:szCs w:val="18"/>
                <w:lang w:val="en-US"/>
              </w:rPr>
              <w:t xml:space="preserve"> </w:t>
            </w:r>
            <w:proofErr w:type="spellStart"/>
            <w:r w:rsidRPr="002E0818">
              <w:rPr>
                <w:szCs w:val="18"/>
                <w:lang w:val="en-US"/>
              </w:rPr>
              <w:t>Royle</w:t>
            </w:r>
            <w:proofErr w:type="spellEnd"/>
          </w:p>
        </w:tc>
        <w:tc>
          <w:tcPr>
            <w:tcW w:w="1038" w:type="pct"/>
            <w:shd w:val="clear" w:color="auto" w:fill="auto"/>
            <w:vAlign w:val="center"/>
          </w:tcPr>
          <w:p w14:paraId="71C24049" w14:textId="77777777" w:rsidR="002215A6" w:rsidRPr="002E0818" w:rsidRDefault="002215A6" w:rsidP="002215A6">
            <w:pPr>
              <w:jc w:val="right"/>
              <w:rPr>
                <w:szCs w:val="18"/>
                <w:lang w:val="en-US"/>
              </w:rPr>
            </w:pPr>
            <w:r w:rsidRPr="002E0818">
              <w:rPr>
                <w:szCs w:val="18"/>
                <w:lang w:val="en-US"/>
              </w:rPr>
              <w:t>14/05/2015</w:t>
            </w:r>
          </w:p>
        </w:tc>
        <w:tc>
          <w:tcPr>
            <w:tcW w:w="755" w:type="pct"/>
            <w:shd w:val="clear" w:color="auto" w:fill="auto"/>
            <w:vAlign w:val="center"/>
          </w:tcPr>
          <w:p w14:paraId="442937B1" w14:textId="77777777" w:rsidR="002215A6" w:rsidRPr="002E0818" w:rsidRDefault="002215A6" w:rsidP="002215A6">
            <w:pPr>
              <w:jc w:val="right"/>
              <w:rPr>
                <w:szCs w:val="18"/>
                <w:lang w:val="en-US"/>
              </w:rPr>
            </w:pPr>
          </w:p>
        </w:tc>
      </w:tr>
      <w:tr w:rsidR="002215A6" w:rsidRPr="008075C3" w14:paraId="77B70E5A" w14:textId="77777777" w:rsidTr="002215A6">
        <w:trPr>
          <w:trHeight w:val="255"/>
        </w:trPr>
        <w:tc>
          <w:tcPr>
            <w:tcW w:w="3207" w:type="pct"/>
            <w:vAlign w:val="center"/>
          </w:tcPr>
          <w:p w14:paraId="49BFDAF6" w14:textId="77777777" w:rsidR="002215A6" w:rsidRPr="002E0818" w:rsidRDefault="002215A6" w:rsidP="002215A6">
            <w:pPr>
              <w:rPr>
                <w:szCs w:val="18"/>
                <w:lang w:val="en-US"/>
              </w:rPr>
            </w:pPr>
            <w:proofErr w:type="spellStart"/>
            <w:r w:rsidRPr="002E0818">
              <w:rPr>
                <w:szCs w:val="18"/>
                <w:lang w:val="en-US"/>
              </w:rPr>
              <w:t>Dr</w:t>
            </w:r>
            <w:proofErr w:type="spellEnd"/>
            <w:r w:rsidRPr="002E0818">
              <w:rPr>
                <w:szCs w:val="18"/>
                <w:lang w:val="en-US"/>
              </w:rPr>
              <w:t xml:space="preserve"> Helena Williams</w:t>
            </w:r>
          </w:p>
        </w:tc>
        <w:tc>
          <w:tcPr>
            <w:tcW w:w="1038" w:type="pct"/>
            <w:shd w:val="clear" w:color="auto" w:fill="auto"/>
            <w:vAlign w:val="center"/>
          </w:tcPr>
          <w:p w14:paraId="603FDA38" w14:textId="77777777" w:rsidR="002215A6" w:rsidRPr="002E0818" w:rsidRDefault="002215A6" w:rsidP="002215A6">
            <w:pPr>
              <w:jc w:val="right"/>
              <w:rPr>
                <w:szCs w:val="18"/>
                <w:lang w:val="en-US"/>
              </w:rPr>
            </w:pPr>
            <w:r w:rsidRPr="002E0818">
              <w:rPr>
                <w:szCs w:val="18"/>
                <w:lang w:val="en-US"/>
              </w:rPr>
              <w:t>1/07/2011</w:t>
            </w:r>
          </w:p>
        </w:tc>
        <w:tc>
          <w:tcPr>
            <w:tcW w:w="755" w:type="pct"/>
            <w:shd w:val="clear" w:color="auto" w:fill="auto"/>
            <w:vAlign w:val="center"/>
          </w:tcPr>
          <w:p w14:paraId="0CA381CB" w14:textId="77777777" w:rsidR="002215A6" w:rsidRPr="002E0818" w:rsidRDefault="002215A6" w:rsidP="002215A6">
            <w:pPr>
              <w:jc w:val="right"/>
              <w:rPr>
                <w:szCs w:val="18"/>
                <w:lang w:val="en-US"/>
              </w:rPr>
            </w:pPr>
          </w:p>
        </w:tc>
      </w:tr>
      <w:tr w:rsidR="002215A6" w:rsidRPr="008075C3" w14:paraId="3BDEBFAE" w14:textId="77777777" w:rsidTr="002215A6">
        <w:trPr>
          <w:trHeight w:val="283"/>
        </w:trPr>
        <w:tc>
          <w:tcPr>
            <w:tcW w:w="3207" w:type="pct"/>
            <w:vAlign w:val="center"/>
          </w:tcPr>
          <w:p w14:paraId="44AE8915" w14:textId="77777777" w:rsidR="002215A6" w:rsidRPr="002E0818" w:rsidRDefault="002215A6" w:rsidP="002215A6">
            <w:pPr>
              <w:rPr>
                <w:szCs w:val="18"/>
                <w:lang w:val="en-US"/>
              </w:rPr>
            </w:pPr>
            <w:proofErr w:type="spellStart"/>
            <w:r w:rsidRPr="002E0818">
              <w:rPr>
                <w:szCs w:val="18"/>
                <w:lang w:val="en-US"/>
              </w:rPr>
              <w:t>Dr</w:t>
            </w:r>
            <w:proofErr w:type="spellEnd"/>
            <w:r w:rsidRPr="002E0818">
              <w:rPr>
                <w:szCs w:val="18"/>
                <w:lang w:val="en-US"/>
              </w:rPr>
              <w:t xml:space="preserve"> David Filby</w:t>
            </w:r>
          </w:p>
        </w:tc>
        <w:tc>
          <w:tcPr>
            <w:tcW w:w="1038" w:type="pct"/>
            <w:shd w:val="clear" w:color="auto" w:fill="auto"/>
            <w:vAlign w:val="center"/>
          </w:tcPr>
          <w:p w14:paraId="76CDC42A" w14:textId="77777777" w:rsidR="002215A6" w:rsidRPr="002E0818" w:rsidRDefault="002215A6" w:rsidP="002215A6">
            <w:pPr>
              <w:jc w:val="right"/>
              <w:rPr>
                <w:szCs w:val="18"/>
                <w:lang w:val="en-US"/>
              </w:rPr>
            </w:pPr>
            <w:r w:rsidRPr="002E0818">
              <w:rPr>
                <w:szCs w:val="18"/>
                <w:lang w:val="en-US"/>
              </w:rPr>
              <w:t>29/07/2016</w:t>
            </w:r>
          </w:p>
        </w:tc>
        <w:tc>
          <w:tcPr>
            <w:tcW w:w="755" w:type="pct"/>
            <w:shd w:val="clear" w:color="auto" w:fill="auto"/>
            <w:vAlign w:val="center"/>
          </w:tcPr>
          <w:p w14:paraId="4EEB81C8" w14:textId="77777777" w:rsidR="002215A6" w:rsidRPr="002E0818" w:rsidRDefault="002215A6" w:rsidP="002215A6">
            <w:pPr>
              <w:jc w:val="right"/>
              <w:rPr>
                <w:szCs w:val="18"/>
                <w:lang w:val="en-US"/>
              </w:rPr>
            </w:pPr>
          </w:p>
        </w:tc>
      </w:tr>
      <w:tr w:rsidR="002215A6" w:rsidRPr="008075C3" w14:paraId="48D645F4" w14:textId="77777777" w:rsidTr="002215A6">
        <w:trPr>
          <w:trHeight w:val="255"/>
        </w:trPr>
        <w:tc>
          <w:tcPr>
            <w:tcW w:w="3207" w:type="pct"/>
            <w:vAlign w:val="center"/>
          </w:tcPr>
          <w:p w14:paraId="6B6C50DF" w14:textId="77777777" w:rsidR="002215A6" w:rsidRPr="002E0818" w:rsidRDefault="002215A6" w:rsidP="002215A6">
            <w:pPr>
              <w:rPr>
                <w:szCs w:val="18"/>
                <w:lang w:val="en-US"/>
              </w:rPr>
            </w:pPr>
            <w:r w:rsidRPr="002E0818">
              <w:rPr>
                <w:szCs w:val="18"/>
                <w:lang w:val="en-US"/>
              </w:rPr>
              <w:t>Professor John Walsh AM</w:t>
            </w:r>
          </w:p>
        </w:tc>
        <w:tc>
          <w:tcPr>
            <w:tcW w:w="1038" w:type="pct"/>
            <w:shd w:val="clear" w:color="auto" w:fill="auto"/>
            <w:vAlign w:val="center"/>
          </w:tcPr>
          <w:p w14:paraId="356772F9" w14:textId="77777777" w:rsidR="002215A6" w:rsidRPr="002E0818" w:rsidRDefault="002215A6" w:rsidP="002215A6">
            <w:pPr>
              <w:jc w:val="right"/>
              <w:rPr>
                <w:szCs w:val="18"/>
                <w:lang w:val="en-US"/>
              </w:rPr>
            </w:pPr>
            <w:r w:rsidRPr="002E0818">
              <w:rPr>
                <w:szCs w:val="18"/>
                <w:lang w:val="en-US"/>
              </w:rPr>
              <w:t>29/07/2016</w:t>
            </w:r>
          </w:p>
        </w:tc>
        <w:tc>
          <w:tcPr>
            <w:tcW w:w="755" w:type="pct"/>
            <w:shd w:val="clear" w:color="auto" w:fill="auto"/>
            <w:vAlign w:val="center"/>
          </w:tcPr>
          <w:p w14:paraId="5CB28CF4" w14:textId="77777777" w:rsidR="002215A6" w:rsidRPr="002E0818" w:rsidRDefault="002215A6" w:rsidP="002215A6">
            <w:pPr>
              <w:jc w:val="right"/>
              <w:rPr>
                <w:szCs w:val="18"/>
                <w:lang w:val="en-US"/>
              </w:rPr>
            </w:pPr>
          </w:p>
        </w:tc>
      </w:tr>
      <w:tr w:rsidR="002215A6" w:rsidRPr="008075C3" w14:paraId="34197289" w14:textId="77777777" w:rsidTr="002215A6">
        <w:trPr>
          <w:trHeight w:val="80"/>
        </w:trPr>
        <w:tc>
          <w:tcPr>
            <w:tcW w:w="3207" w:type="pct"/>
            <w:shd w:val="clear" w:color="auto" w:fill="auto"/>
            <w:noWrap/>
            <w:vAlign w:val="bottom"/>
          </w:tcPr>
          <w:p w14:paraId="5F468F42" w14:textId="77777777" w:rsidR="002215A6" w:rsidRPr="008075C3" w:rsidRDefault="002215A6" w:rsidP="002215A6">
            <w:pPr>
              <w:rPr>
                <w:sz w:val="12"/>
                <w:szCs w:val="12"/>
                <w:lang w:val="en-US"/>
              </w:rPr>
            </w:pPr>
          </w:p>
        </w:tc>
        <w:tc>
          <w:tcPr>
            <w:tcW w:w="1038" w:type="pct"/>
            <w:shd w:val="clear" w:color="auto" w:fill="auto"/>
            <w:noWrap/>
            <w:vAlign w:val="bottom"/>
          </w:tcPr>
          <w:p w14:paraId="30F2CD37" w14:textId="77777777" w:rsidR="002215A6" w:rsidRPr="008075C3" w:rsidRDefault="002215A6" w:rsidP="002215A6">
            <w:pPr>
              <w:rPr>
                <w:sz w:val="12"/>
                <w:szCs w:val="12"/>
                <w:lang w:val="en-US"/>
              </w:rPr>
            </w:pPr>
          </w:p>
        </w:tc>
        <w:tc>
          <w:tcPr>
            <w:tcW w:w="755" w:type="pct"/>
            <w:shd w:val="clear" w:color="auto" w:fill="auto"/>
            <w:noWrap/>
            <w:vAlign w:val="bottom"/>
          </w:tcPr>
          <w:p w14:paraId="6DB78295" w14:textId="77777777" w:rsidR="002215A6" w:rsidRPr="008075C3" w:rsidRDefault="002215A6" w:rsidP="002215A6">
            <w:pPr>
              <w:rPr>
                <w:sz w:val="12"/>
                <w:szCs w:val="12"/>
                <w:lang w:val="en-US"/>
              </w:rPr>
            </w:pPr>
          </w:p>
        </w:tc>
      </w:tr>
      <w:tr w:rsidR="002215A6" w:rsidRPr="008075C3" w14:paraId="437D9732" w14:textId="77777777" w:rsidTr="002215A6">
        <w:trPr>
          <w:trHeight w:val="255"/>
        </w:trPr>
        <w:tc>
          <w:tcPr>
            <w:tcW w:w="3207" w:type="pct"/>
            <w:shd w:val="clear" w:color="auto" w:fill="auto"/>
            <w:vAlign w:val="center"/>
          </w:tcPr>
          <w:p w14:paraId="4F4BB488" w14:textId="77777777" w:rsidR="002215A6" w:rsidRPr="008075C3" w:rsidRDefault="002215A6" w:rsidP="002215A6">
            <w:pPr>
              <w:rPr>
                <w:b/>
                <w:bCs/>
                <w:szCs w:val="18"/>
                <w:lang w:val="en-US"/>
              </w:rPr>
            </w:pPr>
            <w:r w:rsidRPr="008075C3">
              <w:rPr>
                <w:b/>
                <w:bCs/>
                <w:szCs w:val="18"/>
                <w:lang w:val="en-US"/>
              </w:rPr>
              <w:t xml:space="preserve">Transactions with </w:t>
            </w:r>
            <w:r>
              <w:rPr>
                <w:b/>
                <w:bCs/>
                <w:szCs w:val="18"/>
                <w:lang w:val="en-US"/>
              </w:rPr>
              <w:t>related parties</w:t>
            </w:r>
          </w:p>
        </w:tc>
        <w:tc>
          <w:tcPr>
            <w:tcW w:w="1038" w:type="pct"/>
            <w:shd w:val="clear" w:color="auto" w:fill="auto"/>
            <w:vAlign w:val="center"/>
          </w:tcPr>
          <w:p w14:paraId="2659992E" w14:textId="77777777" w:rsidR="002215A6" w:rsidRPr="008075C3" w:rsidRDefault="002215A6" w:rsidP="002215A6">
            <w:pPr>
              <w:rPr>
                <w:b/>
                <w:bCs/>
                <w:szCs w:val="18"/>
                <w:lang w:val="en-US"/>
              </w:rPr>
            </w:pPr>
          </w:p>
        </w:tc>
        <w:tc>
          <w:tcPr>
            <w:tcW w:w="755" w:type="pct"/>
            <w:shd w:val="clear" w:color="auto" w:fill="auto"/>
            <w:noWrap/>
            <w:vAlign w:val="bottom"/>
          </w:tcPr>
          <w:p w14:paraId="56563008" w14:textId="77777777" w:rsidR="002215A6" w:rsidRPr="008075C3" w:rsidRDefault="002215A6" w:rsidP="002215A6">
            <w:pPr>
              <w:rPr>
                <w:szCs w:val="18"/>
                <w:lang w:val="en-US"/>
              </w:rPr>
            </w:pPr>
          </w:p>
        </w:tc>
      </w:tr>
      <w:tr w:rsidR="002215A6" w:rsidRPr="008075C3" w14:paraId="02BD7AE9" w14:textId="77777777" w:rsidTr="002215A6">
        <w:trPr>
          <w:trHeight w:val="255"/>
        </w:trPr>
        <w:tc>
          <w:tcPr>
            <w:tcW w:w="5000" w:type="pct"/>
            <w:gridSpan w:val="3"/>
            <w:shd w:val="clear" w:color="auto" w:fill="auto"/>
            <w:noWrap/>
            <w:vAlign w:val="bottom"/>
          </w:tcPr>
          <w:p w14:paraId="441E2F68" w14:textId="2ACB5C06" w:rsidR="002215A6" w:rsidRDefault="002215A6" w:rsidP="002215A6">
            <w:pPr>
              <w:autoSpaceDE w:val="0"/>
              <w:autoSpaceDN w:val="0"/>
              <w:adjustRightInd w:val="0"/>
              <w:rPr>
                <w:szCs w:val="18"/>
                <w:lang w:val="en-US"/>
              </w:rPr>
            </w:pPr>
            <w:r w:rsidRPr="001E2C88">
              <w:rPr>
                <w:szCs w:val="18"/>
                <w:lang w:val="en-US"/>
              </w:rPr>
              <w:t xml:space="preserve">Given the breadth of Government activities, related parties may transact with the </w:t>
            </w:r>
            <w:r w:rsidR="00427488">
              <w:rPr>
                <w:szCs w:val="18"/>
                <w:lang w:val="en-US"/>
              </w:rPr>
              <w:br/>
            </w:r>
            <w:r w:rsidRPr="001E2C88">
              <w:rPr>
                <w:szCs w:val="18"/>
                <w:lang w:val="en-US"/>
              </w:rPr>
              <w:t>government sector in the same capacity as</w:t>
            </w:r>
            <w:r>
              <w:rPr>
                <w:szCs w:val="18"/>
                <w:lang w:val="en-US"/>
              </w:rPr>
              <w:t xml:space="preserve"> </w:t>
            </w:r>
            <w:r w:rsidRPr="001E2C88">
              <w:rPr>
                <w:szCs w:val="18"/>
                <w:lang w:val="en-US"/>
              </w:rPr>
              <w:t xml:space="preserve">ordinary citizens. Such transactions include the </w:t>
            </w:r>
            <w:r w:rsidR="00427488">
              <w:rPr>
                <w:szCs w:val="18"/>
                <w:lang w:val="en-US"/>
              </w:rPr>
              <w:br/>
            </w:r>
            <w:r w:rsidRPr="001E2C88">
              <w:rPr>
                <w:szCs w:val="18"/>
                <w:lang w:val="en-US"/>
              </w:rPr>
              <w:t>payment or refund of taxes, receipt of a Medicare rebate or higher education</w:t>
            </w:r>
            <w:r>
              <w:rPr>
                <w:szCs w:val="18"/>
                <w:lang w:val="en-US"/>
              </w:rPr>
              <w:t xml:space="preserve"> </w:t>
            </w:r>
            <w:r w:rsidRPr="001E2C88">
              <w:rPr>
                <w:szCs w:val="18"/>
                <w:lang w:val="en-US"/>
              </w:rPr>
              <w:t>loans. These transactions have not been separately disclosed in this note</w:t>
            </w:r>
            <w:r>
              <w:rPr>
                <w:szCs w:val="18"/>
                <w:lang w:val="en-US"/>
              </w:rPr>
              <w:t>.</w:t>
            </w:r>
          </w:p>
          <w:p w14:paraId="550D853E" w14:textId="45C9BFC5" w:rsidR="002215A6" w:rsidRPr="008075C3" w:rsidRDefault="002215A6" w:rsidP="002215A6">
            <w:pPr>
              <w:autoSpaceDE w:val="0"/>
              <w:autoSpaceDN w:val="0"/>
              <w:adjustRightInd w:val="0"/>
              <w:spacing w:before="120"/>
              <w:rPr>
                <w:szCs w:val="18"/>
                <w:lang w:val="en-US"/>
              </w:rPr>
            </w:pPr>
            <w:r w:rsidRPr="008075C3">
              <w:rPr>
                <w:szCs w:val="18"/>
                <w:lang w:val="en-US"/>
              </w:rPr>
              <w:t xml:space="preserve">Several directors of the Commission hold directorships with other organisations. All </w:t>
            </w:r>
            <w:r w:rsidR="00427488">
              <w:rPr>
                <w:szCs w:val="18"/>
                <w:lang w:val="en-US"/>
              </w:rPr>
              <w:br/>
            </w:r>
            <w:r w:rsidRPr="008075C3">
              <w:rPr>
                <w:szCs w:val="18"/>
                <w:lang w:val="en-US"/>
              </w:rPr>
              <w:t xml:space="preserve">transactions between the Commission and organisations with a director common to the </w:t>
            </w:r>
            <w:r w:rsidR="00427488">
              <w:rPr>
                <w:szCs w:val="18"/>
                <w:lang w:val="en-US"/>
              </w:rPr>
              <w:br/>
            </w:r>
            <w:r w:rsidRPr="008075C3">
              <w:rPr>
                <w:szCs w:val="18"/>
                <w:lang w:val="en-US"/>
              </w:rPr>
              <w:t xml:space="preserve">Commission, or any dealings between the Commission and directors individually, are </w:t>
            </w:r>
            <w:r w:rsidR="00427488">
              <w:rPr>
                <w:szCs w:val="18"/>
                <w:lang w:val="en-US"/>
              </w:rPr>
              <w:br/>
            </w:r>
            <w:r w:rsidRPr="008075C3">
              <w:rPr>
                <w:szCs w:val="18"/>
                <w:lang w:val="en-US"/>
              </w:rPr>
              <w:t>conducted using commercial and arms-length principles.</w:t>
            </w:r>
          </w:p>
        </w:tc>
      </w:tr>
      <w:tr w:rsidR="002215A6" w:rsidRPr="00C05614" w14:paraId="174A443B" w14:textId="77777777" w:rsidTr="002215A6">
        <w:trPr>
          <w:trHeight w:val="469"/>
        </w:trPr>
        <w:tc>
          <w:tcPr>
            <w:tcW w:w="5000" w:type="pct"/>
            <w:gridSpan w:val="3"/>
            <w:shd w:val="clear" w:color="auto" w:fill="auto"/>
            <w:vAlign w:val="center"/>
          </w:tcPr>
          <w:p w14:paraId="3A20F8E3" w14:textId="77777777" w:rsidR="002215A6" w:rsidRDefault="002215A6" w:rsidP="002215A6">
            <w:pPr>
              <w:spacing w:before="120" w:after="120"/>
              <w:rPr>
                <w:szCs w:val="18"/>
                <w:lang w:val="en-US"/>
              </w:rPr>
            </w:pPr>
            <w:r>
              <w:rPr>
                <w:szCs w:val="18"/>
                <w:lang w:val="en-US"/>
              </w:rPr>
              <w:t>The following transactions with related parties occurred during the financial year:</w:t>
            </w:r>
          </w:p>
          <w:p w14:paraId="1DF8F7CF" w14:textId="0401C192" w:rsidR="002215A6" w:rsidRDefault="002215A6" w:rsidP="002215A6">
            <w:pPr>
              <w:numPr>
                <w:ilvl w:val="0"/>
                <w:numId w:val="9"/>
              </w:numPr>
              <w:ind w:left="459"/>
              <w:rPr>
                <w:szCs w:val="18"/>
                <w:lang w:val="en-US"/>
              </w:rPr>
            </w:pPr>
            <w:proofErr w:type="spellStart"/>
            <w:r w:rsidRPr="008075C3">
              <w:rPr>
                <w:szCs w:val="18"/>
                <w:lang w:val="en-US"/>
              </w:rPr>
              <w:t>Dr</w:t>
            </w:r>
            <w:proofErr w:type="spellEnd"/>
            <w:r w:rsidRPr="008075C3">
              <w:rPr>
                <w:szCs w:val="18"/>
                <w:lang w:val="en-US"/>
              </w:rPr>
              <w:t xml:space="preserve"> Helena Williams provided project support and expert advice to the Commission. </w:t>
            </w:r>
            <w:r w:rsidR="00427488">
              <w:rPr>
                <w:szCs w:val="18"/>
                <w:lang w:val="en-US"/>
              </w:rPr>
              <w:br/>
            </w:r>
            <w:r w:rsidRPr="008075C3">
              <w:rPr>
                <w:szCs w:val="18"/>
                <w:lang w:val="en-US"/>
              </w:rPr>
              <w:t xml:space="preserve">Fees paid by the Commission for these services </w:t>
            </w:r>
            <w:r w:rsidRPr="000450B3">
              <w:rPr>
                <w:szCs w:val="18"/>
                <w:lang w:val="en-US"/>
              </w:rPr>
              <w:t xml:space="preserve">were </w:t>
            </w:r>
            <w:r>
              <w:rPr>
                <w:szCs w:val="18"/>
                <w:lang w:val="en-US"/>
              </w:rPr>
              <w:t>$5,339 (2016: $1</w:t>
            </w:r>
            <w:r w:rsidRPr="008075C3">
              <w:rPr>
                <w:szCs w:val="18"/>
                <w:lang w:val="en-US"/>
              </w:rPr>
              <w:t>,</w:t>
            </w:r>
            <w:r>
              <w:rPr>
                <w:szCs w:val="18"/>
                <w:lang w:val="en-US"/>
              </w:rPr>
              <w:t>881</w:t>
            </w:r>
            <w:r w:rsidRPr="008075C3">
              <w:rPr>
                <w:szCs w:val="18"/>
                <w:lang w:val="en-US"/>
              </w:rPr>
              <w:t>).</w:t>
            </w:r>
          </w:p>
          <w:p w14:paraId="7347746C" w14:textId="0704B7F5" w:rsidR="002215A6" w:rsidRPr="001E2C88" w:rsidRDefault="002215A6" w:rsidP="002215A6">
            <w:pPr>
              <w:numPr>
                <w:ilvl w:val="0"/>
                <w:numId w:val="9"/>
              </w:numPr>
              <w:spacing w:before="120"/>
              <w:ind w:left="453" w:hanging="357"/>
              <w:rPr>
                <w:szCs w:val="18"/>
                <w:lang w:val="en-US"/>
              </w:rPr>
            </w:pPr>
            <w:r w:rsidRPr="001E2C88">
              <w:rPr>
                <w:szCs w:val="18"/>
                <w:lang w:val="en-US"/>
              </w:rPr>
              <w:t xml:space="preserve">A number of directorships expired on 31 March </w:t>
            </w:r>
            <w:proofErr w:type="gramStart"/>
            <w:r w:rsidRPr="001E2C88">
              <w:rPr>
                <w:szCs w:val="18"/>
                <w:lang w:val="en-US"/>
              </w:rPr>
              <w:t>2016  with</w:t>
            </w:r>
            <w:proofErr w:type="gramEnd"/>
            <w:r w:rsidRPr="001E2C88">
              <w:rPr>
                <w:szCs w:val="18"/>
                <w:lang w:val="en-US"/>
              </w:rPr>
              <w:t xml:space="preserve"> several directors receiving reappointment on 29 July 2016. During the period when they were not directors, Dr. </w:t>
            </w:r>
            <w:r w:rsidR="00427488">
              <w:rPr>
                <w:szCs w:val="18"/>
                <w:lang w:val="en-US"/>
              </w:rPr>
              <w:br/>
            </w:r>
            <w:r w:rsidRPr="001E2C88">
              <w:rPr>
                <w:szCs w:val="18"/>
                <w:lang w:val="en-US"/>
              </w:rPr>
              <w:t xml:space="preserve">Helena Williams ($1,742) and Christine Gee ($2,178) attended meetings on behalf of </w:t>
            </w:r>
            <w:r w:rsidR="00427488">
              <w:rPr>
                <w:szCs w:val="18"/>
                <w:lang w:val="en-US"/>
              </w:rPr>
              <w:br/>
            </w:r>
            <w:r w:rsidRPr="001E2C88">
              <w:rPr>
                <w:szCs w:val="18"/>
                <w:lang w:val="en-US"/>
              </w:rPr>
              <w:t xml:space="preserve">the Commission for which they received fees paid in 2016-17. </w:t>
            </w:r>
          </w:p>
        </w:tc>
      </w:tr>
    </w:tbl>
    <w:p w14:paraId="17283B9E" w14:textId="77777777" w:rsidR="00195E07" w:rsidRDefault="00195E07">
      <w:pPr>
        <w:spacing w:after="160" w:line="259" w:lineRule="auto"/>
      </w:pPr>
      <w:r>
        <w:br w:type="page"/>
      </w:r>
    </w:p>
    <w:p w14:paraId="7D83C801" w14:textId="77777777" w:rsidR="002215A6" w:rsidRDefault="002215A6" w:rsidP="002215A6">
      <w:pPr>
        <w:pStyle w:val="Heading1"/>
      </w:pPr>
      <w:r>
        <w:lastRenderedPageBreak/>
        <w:t>4 Managing Uncertainties</w:t>
      </w:r>
    </w:p>
    <w:p w14:paraId="439CC3A0" w14:textId="77777777" w:rsidR="002215A6" w:rsidRPr="00DB4ED7" w:rsidRDefault="002215A6" w:rsidP="002215A6">
      <w:pPr>
        <w:pStyle w:val="Heading2"/>
        <w:rPr>
          <w:sz w:val="24"/>
        </w:rPr>
      </w:pPr>
      <w:r w:rsidRPr="00DB4ED7">
        <w:rPr>
          <w:sz w:val="24"/>
        </w:rPr>
        <w:t>4.1 Contingent Assets and Liabilities</w:t>
      </w:r>
    </w:p>
    <w:p w14:paraId="7009B54D" w14:textId="77777777" w:rsidR="002215A6" w:rsidRPr="007B2B86" w:rsidRDefault="002215A6" w:rsidP="002D6AA9">
      <w:pPr>
        <w:pStyle w:val="FinTableText"/>
        <w:spacing w:after="240"/>
        <w:rPr>
          <w:i/>
          <w:u w:val="single"/>
        </w:rPr>
      </w:pPr>
      <w:r w:rsidRPr="007B2B86">
        <w:rPr>
          <w:i/>
          <w:u w:val="single"/>
        </w:rPr>
        <w:t>Quantifiable Contingencies</w:t>
      </w:r>
    </w:p>
    <w:p w14:paraId="3F7D458E" w14:textId="77777777" w:rsidR="002215A6" w:rsidRPr="00C05614" w:rsidRDefault="002215A6" w:rsidP="002D6AA9">
      <w:pPr>
        <w:pStyle w:val="FinTableText"/>
        <w:spacing w:after="240"/>
      </w:pPr>
      <w:r w:rsidRPr="00C05614">
        <w:t xml:space="preserve">As at 30 June </w:t>
      </w:r>
      <w:r>
        <w:t>2017</w:t>
      </w:r>
      <w:r w:rsidRPr="00C05614">
        <w:t>, the Commission had no quantifiable contingencies</w:t>
      </w:r>
      <w:r>
        <w:t xml:space="preserve"> (2015-16: nil)</w:t>
      </w:r>
      <w:r w:rsidRPr="00C05614">
        <w:t>.</w:t>
      </w:r>
    </w:p>
    <w:p w14:paraId="43E238B8" w14:textId="77777777" w:rsidR="002215A6" w:rsidRPr="007B2B86" w:rsidRDefault="002215A6" w:rsidP="002D6AA9">
      <w:pPr>
        <w:pStyle w:val="FinTableText"/>
        <w:spacing w:after="240"/>
        <w:rPr>
          <w:i/>
          <w:u w:val="single"/>
        </w:rPr>
      </w:pPr>
      <w:r w:rsidRPr="007B2B86">
        <w:rPr>
          <w:i/>
          <w:u w:val="single"/>
        </w:rPr>
        <w:t>Unquantifiable Contingencies</w:t>
      </w:r>
    </w:p>
    <w:p w14:paraId="58A6C668" w14:textId="77777777" w:rsidR="002215A6" w:rsidRPr="00C05614" w:rsidRDefault="002215A6" w:rsidP="002D6AA9">
      <w:pPr>
        <w:pStyle w:val="FinTableText"/>
        <w:spacing w:after="240"/>
      </w:pPr>
      <w:r w:rsidRPr="00C05614">
        <w:t xml:space="preserve">As at 30 June </w:t>
      </w:r>
      <w:r>
        <w:t>2017</w:t>
      </w:r>
      <w:r w:rsidRPr="00C05614">
        <w:t>, the Commission had no unquantifiable contingencies</w:t>
      </w:r>
      <w:r>
        <w:t xml:space="preserve"> (2015-16: nil)</w:t>
      </w:r>
      <w:r w:rsidRPr="00C05614">
        <w:t>.</w:t>
      </w:r>
    </w:p>
    <w:p w14:paraId="11165C46" w14:textId="77777777" w:rsidR="002215A6" w:rsidRPr="007B2B86" w:rsidRDefault="002215A6" w:rsidP="002D6AA9">
      <w:pPr>
        <w:pStyle w:val="FinTableText"/>
        <w:spacing w:after="240"/>
        <w:rPr>
          <w:i/>
          <w:u w:val="single"/>
        </w:rPr>
      </w:pPr>
      <w:r w:rsidRPr="007B2B86">
        <w:rPr>
          <w:i/>
          <w:u w:val="single"/>
        </w:rPr>
        <w:t>Significant Remote Contingencies</w:t>
      </w:r>
    </w:p>
    <w:p w14:paraId="21DEB0C3" w14:textId="77777777" w:rsidR="002215A6" w:rsidRDefault="002215A6" w:rsidP="002215A6">
      <w:pPr>
        <w:pStyle w:val="FinTableText"/>
        <w:spacing w:after="120"/>
      </w:pPr>
      <w:r w:rsidRPr="00C05614">
        <w:t xml:space="preserve">As at 30 June </w:t>
      </w:r>
      <w:r>
        <w:t>2017</w:t>
      </w:r>
      <w:r w:rsidRPr="00C05614">
        <w:t>, the Commission had no material remote contingencies</w:t>
      </w:r>
      <w:r>
        <w:t xml:space="preserve"> (2015-16: nil).</w:t>
      </w:r>
    </w:p>
    <w:p w14:paraId="772FFFAE" w14:textId="77777777" w:rsidR="002215A6" w:rsidRPr="00DB4ED7" w:rsidRDefault="002215A6" w:rsidP="002215A6">
      <w:pPr>
        <w:pStyle w:val="Heading2"/>
        <w:rPr>
          <w:sz w:val="24"/>
        </w:rPr>
      </w:pPr>
      <w:r w:rsidRPr="00DB4ED7">
        <w:rPr>
          <w:sz w:val="24"/>
        </w:rPr>
        <w:t>4.2 Financial Instruments</w:t>
      </w:r>
    </w:p>
    <w:tbl>
      <w:tblPr>
        <w:tblW w:w="5000" w:type="pct"/>
        <w:tblLook w:val="0000" w:firstRow="0" w:lastRow="0" w:firstColumn="0" w:lastColumn="0" w:noHBand="0" w:noVBand="0"/>
        <w:tblCaption w:val="4.2 Financial Instruments"/>
      </w:tblPr>
      <w:tblGrid>
        <w:gridCol w:w="6408"/>
        <w:gridCol w:w="1043"/>
        <w:gridCol w:w="1043"/>
      </w:tblGrid>
      <w:tr w:rsidR="002215A6" w:rsidRPr="00C05614" w14:paraId="0FC5ADC7" w14:textId="77777777" w:rsidTr="002215A6">
        <w:trPr>
          <w:trHeight w:val="240"/>
        </w:trPr>
        <w:tc>
          <w:tcPr>
            <w:tcW w:w="3772" w:type="pct"/>
            <w:tcBorders>
              <w:top w:val="nil"/>
              <w:left w:val="nil"/>
              <w:bottom w:val="nil"/>
              <w:right w:val="nil"/>
            </w:tcBorders>
            <w:shd w:val="clear" w:color="auto" w:fill="auto"/>
            <w:noWrap/>
            <w:vAlign w:val="bottom"/>
          </w:tcPr>
          <w:p w14:paraId="0770A40F" w14:textId="77777777" w:rsidR="002215A6" w:rsidRPr="00C05614" w:rsidRDefault="002215A6" w:rsidP="002215A6">
            <w:pPr>
              <w:rPr>
                <w:b/>
                <w:bCs/>
                <w:szCs w:val="18"/>
                <w:lang w:val="en-US"/>
              </w:rPr>
            </w:pPr>
          </w:p>
        </w:tc>
        <w:tc>
          <w:tcPr>
            <w:tcW w:w="614" w:type="pct"/>
            <w:tcBorders>
              <w:top w:val="nil"/>
              <w:left w:val="nil"/>
              <w:bottom w:val="nil"/>
              <w:right w:val="nil"/>
            </w:tcBorders>
            <w:vAlign w:val="bottom"/>
          </w:tcPr>
          <w:p w14:paraId="07529205" w14:textId="77777777" w:rsidR="002215A6" w:rsidRPr="00C05614" w:rsidRDefault="002215A6" w:rsidP="002215A6">
            <w:pPr>
              <w:jc w:val="right"/>
              <w:rPr>
                <w:b/>
                <w:bCs/>
                <w:szCs w:val="18"/>
                <w:lang w:val="en-US"/>
              </w:rPr>
            </w:pPr>
            <w:r>
              <w:rPr>
                <w:b/>
                <w:bCs/>
                <w:szCs w:val="18"/>
                <w:lang w:val="en-US"/>
              </w:rPr>
              <w:t>2017</w:t>
            </w:r>
          </w:p>
        </w:tc>
        <w:tc>
          <w:tcPr>
            <w:tcW w:w="614" w:type="pct"/>
            <w:tcBorders>
              <w:top w:val="nil"/>
              <w:left w:val="nil"/>
              <w:bottom w:val="nil"/>
              <w:right w:val="nil"/>
            </w:tcBorders>
            <w:shd w:val="clear" w:color="auto" w:fill="auto"/>
            <w:noWrap/>
            <w:vAlign w:val="bottom"/>
          </w:tcPr>
          <w:p w14:paraId="05B870A2" w14:textId="77777777" w:rsidR="002215A6" w:rsidRPr="00C05614" w:rsidRDefault="002215A6" w:rsidP="002215A6">
            <w:pPr>
              <w:jc w:val="right"/>
              <w:rPr>
                <w:bCs/>
                <w:szCs w:val="18"/>
                <w:lang w:val="en-US"/>
              </w:rPr>
            </w:pPr>
            <w:r>
              <w:rPr>
                <w:bCs/>
                <w:szCs w:val="18"/>
                <w:lang w:val="en-US"/>
              </w:rPr>
              <w:t>2016</w:t>
            </w:r>
          </w:p>
        </w:tc>
      </w:tr>
      <w:tr w:rsidR="002215A6" w:rsidRPr="00C05614" w14:paraId="0DA2DC41" w14:textId="77777777" w:rsidTr="002215A6">
        <w:trPr>
          <w:trHeight w:val="239"/>
        </w:trPr>
        <w:tc>
          <w:tcPr>
            <w:tcW w:w="3772" w:type="pct"/>
            <w:tcBorders>
              <w:top w:val="nil"/>
              <w:left w:val="nil"/>
              <w:bottom w:val="nil"/>
              <w:right w:val="nil"/>
            </w:tcBorders>
            <w:shd w:val="clear" w:color="auto" w:fill="auto"/>
            <w:noWrap/>
            <w:vAlign w:val="bottom"/>
          </w:tcPr>
          <w:p w14:paraId="2DA8643D" w14:textId="77777777" w:rsidR="002215A6" w:rsidRDefault="002215A6" w:rsidP="002215A6">
            <w:pPr>
              <w:rPr>
                <w:lang w:val="en-US"/>
              </w:rPr>
            </w:pPr>
          </w:p>
        </w:tc>
        <w:tc>
          <w:tcPr>
            <w:tcW w:w="614" w:type="pct"/>
            <w:tcBorders>
              <w:top w:val="nil"/>
              <w:left w:val="nil"/>
              <w:bottom w:val="nil"/>
              <w:right w:val="nil"/>
            </w:tcBorders>
            <w:vAlign w:val="bottom"/>
          </w:tcPr>
          <w:p w14:paraId="301A53CC" w14:textId="77777777" w:rsidR="002215A6" w:rsidRPr="00C05614" w:rsidRDefault="002215A6" w:rsidP="002215A6">
            <w:pPr>
              <w:jc w:val="right"/>
              <w:rPr>
                <w:b/>
                <w:bCs/>
                <w:szCs w:val="18"/>
                <w:lang w:val="en-US"/>
              </w:rPr>
            </w:pPr>
            <w:r w:rsidRPr="00C05614">
              <w:rPr>
                <w:b/>
                <w:bCs/>
                <w:szCs w:val="18"/>
                <w:lang w:val="en-US"/>
              </w:rPr>
              <w:t>$'000</w:t>
            </w:r>
          </w:p>
        </w:tc>
        <w:tc>
          <w:tcPr>
            <w:tcW w:w="614" w:type="pct"/>
            <w:tcBorders>
              <w:top w:val="nil"/>
              <w:left w:val="nil"/>
              <w:bottom w:val="nil"/>
              <w:right w:val="nil"/>
            </w:tcBorders>
            <w:shd w:val="clear" w:color="auto" w:fill="auto"/>
            <w:noWrap/>
            <w:vAlign w:val="bottom"/>
          </w:tcPr>
          <w:p w14:paraId="7D0D9891" w14:textId="77777777" w:rsidR="002215A6" w:rsidRPr="00C05614" w:rsidRDefault="002215A6" w:rsidP="002215A6">
            <w:pPr>
              <w:jc w:val="right"/>
              <w:rPr>
                <w:bCs/>
                <w:szCs w:val="18"/>
                <w:lang w:val="en-US"/>
              </w:rPr>
            </w:pPr>
            <w:r w:rsidRPr="00C05614">
              <w:rPr>
                <w:bCs/>
                <w:szCs w:val="18"/>
                <w:lang w:val="en-US"/>
              </w:rPr>
              <w:t>$'000</w:t>
            </w:r>
          </w:p>
        </w:tc>
      </w:tr>
      <w:tr w:rsidR="002215A6" w:rsidRPr="00C05614" w14:paraId="68435E27" w14:textId="77777777" w:rsidTr="002215A6">
        <w:trPr>
          <w:trHeight w:val="240"/>
        </w:trPr>
        <w:tc>
          <w:tcPr>
            <w:tcW w:w="3772" w:type="pct"/>
            <w:tcBorders>
              <w:top w:val="nil"/>
              <w:left w:val="nil"/>
              <w:bottom w:val="nil"/>
              <w:right w:val="nil"/>
            </w:tcBorders>
            <w:shd w:val="clear" w:color="auto" w:fill="auto"/>
            <w:noWrap/>
            <w:vAlign w:val="bottom"/>
          </w:tcPr>
          <w:p w14:paraId="3BE85A8B" w14:textId="77777777" w:rsidR="002215A6" w:rsidRPr="00DB4ED7" w:rsidRDefault="002215A6" w:rsidP="002215A6">
            <w:pPr>
              <w:pStyle w:val="Heading4"/>
              <w:ind w:left="34"/>
              <w:rPr>
                <w:b w:val="0"/>
                <w:bCs/>
                <w:sz w:val="21"/>
                <w:szCs w:val="21"/>
                <w:lang w:val="en-US"/>
              </w:rPr>
            </w:pPr>
            <w:r w:rsidRPr="00DB4ED7">
              <w:rPr>
                <w:color w:val="auto"/>
                <w:sz w:val="21"/>
                <w:szCs w:val="21"/>
                <w:lang w:val="en-US"/>
              </w:rPr>
              <w:t>4.2A: Categories of financial instruments</w:t>
            </w:r>
          </w:p>
        </w:tc>
        <w:tc>
          <w:tcPr>
            <w:tcW w:w="614" w:type="pct"/>
            <w:tcBorders>
              <w:top w:val="nil"/>
              <w:left w:val="nil"/>
              <w:bottom w:val="nil"/>
              <w:right w:val="nil"/>
            </w:tcBorders>
            <w:vAlign w:val="bottom"/>
          </w:tcPr>
          <w:p w14:paraId="5BE6516C" w14:textId="77777777" w:rsidR="002215A6" w:rsidRPr="00C05614" w:rsidRDefault="002215A6" w:rsidP="002215A6">
            <w:pPr>
              <w:jc w:val="right"/>
              <w:rPr>
                <w:b/>
                <w:bCs/>
                <w:szCs w:val="18"/>
                <w:lang w:val="en-US"/>
              </w:rPr>
            </w:pPr>
          </w:p>
        </w:tc>
        <w:tc>
          <w:tcPr>
            <w:tcW w:w="614" w:type="pct"/>
            <w:tcBorders>
              <w:top w:val="nil"/>
              <w:left w:val="nil"/>
              <w:bottom w:val="nil"/>
              <w:right w:val="nil"/>
            </w:tcBorders>
            <w:shd w:val="clear" w:color="auto" w:fill="auto"/>
            <w:noWrap/>
            <w:vAlign w:val="bottom"/>
          </w:tcPr>
          <w:p w14:paraId="2DCE8EA7" w14:textId="77777777" w:rsidR="002215A6" w:rsidRPr="00C05614" w:rsidRDefault="002215A6" w:rsidP="002215A6">
            <w:pPr>
              <w:jc w:val="right"/>
              <w:rPr>
                <w:bCs/>
                <w:szCs w:val="18"/>
                <w:lang w:val="en-US"/>
              </w:rPr>
            </w:pPr>
          </w:p>
        </w:tc>
      </w:tr>
      <w:tr w:rsidR="002215A6" w:rsidRPr="00C05614" w14:paraId="3B24F1FC" w14:textId="77777777" w:rsidTr="002215A6">
        <w:trPr>
          <w:trHeight w:val="240"/>
        </w:trPr>
        <w:tc>
          <w:tcPr>
            <w:tcW w:w="3772" w:type="pct"/>
            <w:tcBorders>
              <w:top w:val="nil"/>
              <w:left w:val="nil"/>
              <w:bottom w:val="nil"/>
              <w:right w:val="nil"/>
            </w:tcBorders>
            <w:shd w:val="clear" w:color="auto" w:fill="auto"/>
            <w:noWrap/>
            <w:vAlign w:val="bottom"/>
          </w:tcPr>
          <w:p w14:paraId="7B7FF4ED" w14:textId="77777777" w:rsidR="002215A6" w:rsidRPr="00C05614" w:rsidRDefault="002215A6" w:rsidP="002215A6">
            <w:pPr>
              <w:rPr>
                <w:b/>
                <w:bCs/>
                <w:szCs w:val="18"/>
                <w:lang w:val="en-US"/>
              </w:rPr>
            </w:pPr>
            <w:r w:rsidRPr="00C05614">
              <w:rPr>
                <w:b/>
                <w:bCs/>
                <w:szCs w:val="18"/>
                <w:lang w:val="en-US"/>
              </w:rPr>
              <w:t>Financial assets</w:t>
            </w:r>
          </w:p>
        </w:tc>
        <w:tc>
          <w:tcPr>
            <w:tcW w:w="614" w:type="pct"/>
            <w:tcBorders>
              <w:top w:val="nil"/>
              <w:left w:val="nil"/>
              <w:bottom w:val="nil"/>
              <w:right w:val="nil"/>
            </w:tcBorders>
            <w:vAlign w:val="center"/>
          </w:tcPr>
          <w:p w14:paraId="76E4247A" w14:textId="77777777" w:rsidR="002215A6" w:rsidRPr="00C05614" w:rsidRDefault="002215A6" w:rsidP="002215A6">
            <w:pPr>
              <w:jc w:val="right"/>
              <w:rPr>
                <w:b/>
                <w:bCs/>
                <w:szCs w:val="18"/>
                <w:lang w:val="en-US"/>
              </w:rPr>
            </w:pPr>
          </w:p>
        </w:tc>
        <w:tc>
          <w:tcPr>
            <w:tcW w:w="614" w:type="pct"/>
            <w:tcBorders>
              <w:top w:val="nil"/>
              <w:left w:val="nil"/>
              <w:bottom w:val="nil"/>
              <w:right w:val="nil"/>
            </w:tcBorders>
            <w:shd w:val="clear" w:color="auto" w:fill="auto"/>
            <w:noWrap/>
            <w:vAlign w:val="center"/>
          </w:tcPr>
          <w:p w14:paraId="29584A3E" w14:textId="77777777" w:rsidR="002215A6" w:rsidRPr="00C05614" w:rsidRDefault="002215A6" w:rsidP="002215A6">
            <w:pPr>
              <w:jc w:val="right"/>
              <w:rPr>
                <w:bCs/>
                <w:szCs w:val="18"/>
                <w:lang w:val="en-US"/>
              </w:rPr>
            </w:pPr>
          </w:p>
        </w:tc>
      </w:tr>
      <w:tr w:rsidR="002215A6" w:rsidRPr="00C05614" w14:paraId="76591741" w14:textId="77777777" w:rsidTr="002215A6">
        <w:trPr>
          <w:trHeight w:val="255"/>
        </w:trPr>
        <w:tc>
          <w:tcPr>
            <w:tcW w:w="3772" w:type="pct"/>
            <w:tcBorders>
              <w:top w:val="nil"/>
              <w:left w:val="nil"/>
              <w:bottom w:val="nil"/>
              <w:right w:val="nil"/>
            </w:tcBorders>
            <w:shd w:val="clear" w:color="auto" w:fill="auto"/>
            <w:noWrap/>
            <w:vAlign w:val="bottom"/>
          </w:tcPr>
          <w:p w14:paraId="136412A3" w14:textId="77777777" w:rsidR="002215A6" w:rsidRPr="00C05614" w:rsidRDefault="002215A6" w:rsidP="002215A6">
            <w:pPr>
              <w:rPr>
                <w:szCs w:val="18"/>
                <w:lang w:val="en-US"/>
              </w:rPr>
            </w:pPr>
            <w:r w:rsidRPr="00C05614">
              <w:rPr>
                <w:szCs w:val="18"/>
                <w:lang w:val="en-US"/>
              </w:rPr>
              <w:t>Cash on hand and at bank</w:t>
            </w:r>
          </w:p>
        </w:tc>
        <w:tc>
          <w:tcPr>
            <w:tcW w:w="614" w:type="pct"/>
            <w:tcBorders>
              <w:top w:val="nil"/>
              <w:left w:val="nil"/>
              <w:bottom w:val="nil"/>
              <w:right w:val="nil"/>
            </w:tcBorders>
            <w:vAlign w:val="bottom"/>
          </w:tcPr>
          <w:p w14:paraId="012BB2A3" w14:textId="77777777" w:rsidR="002215A6" w:rsidRPr="00C05614" w:rsidRDefault="002215A6" w:rsidP="002215A6">
            <w:pPr>
              <w:jc w:val="right"/>
              <w:rPr>
                <w:b/>
                <w:bCs/>
                <w:szCs w:val="18"/>
                <w:lang w:val="en-US"/>
              </w:rPr>
            </w:pPr>
            <w:r>
              <w:rPr>
                <w:b/>
                <w:bCs/>
                <w:szCs w:val="18"/>
                <w:lang w:val="en-US"/>
              </w:rPr>
              <w:t>6,333</w:t>
            </w:r>
          </w:p>
        </w:tc>
        <w:tc>
          <w:tcPr>
            <w:tcW w:w="614" w:type="pct"/>
            <w:tcBorders>
              <w:top w:val="nil"/>
              <w:left w:val="nil"/>
              <w:bottom w:val="nil"/>
              <w:right w:val="nil"/>
            </w:tcBorders>
            <w:shd w:val="clear" w:color="auto" w:fill="auto"/>
            <w:noWrap/>
            <w:vAlign w:val="bottom"/>
          </w:tcPr>
          <w:p w14:paraId="0470CC45" w14:textId="77777777" w:rsidR="002215A6" w:rsidRPr="00CE2CEC" w:rsidRDefault="002215A6" w:rsidP="002215A6">
            <w:pPr>
              <w:jc w:val="right"/>
              <w:rPr>
                <w:bCs/>
                <w:szCs w:val="18"/>
                <w:lang w:val="en-US"/>
              </w:rPr>
            </w:pPr>
            <w:r w:rsidRPr="00CE2CEC">
              <w:rPr>
                <w:bCs/>
                <w:szCs w:val="18"/>
                <w:lang w:val="en-US"/>
              </w:rPr>
              <w:t>10,851</w:t>
            </w:r>
          </w:p>
        </w:tc>
      </w:tr>
      <w:tr w:rsidR="002215A6" w:rsidRPr="00C05614" w14:paraId="68D6671B" w14:textId="77777777" w:rsidTr="002215A6">
        <w:trPr>
          <w:trHeight w:val="240"/>
        </w:trPr>
        <w:tc>
          <w:tcPr>
            <w:tcW w:w="3772" w:type="pct"/>
            <w:tcBorders>
              <w:top w:val="nil"/>
              <w:left w:val="nil"/>
              <w:bottom w:val="nil"/>
              <w:right w:val="nil"/>
            </w:tcBorders>
            <w:shd w:val="clear" w:color="auto" w:fill="auto"/>
            <w:noWrap/>
            <w:vAlign w:val="bottom"/>
          </w:tcPr>
          <w:p w14:paraId="52DE1A0C" w14:textId="77777777" w:rsidR="002215A6" w:rsidRPr="00C05614" w:rsidRDefault="002215A6" w:rsidP="002215A6">
            <w:pPr>
              <w:rPr>
                <w:szCs w:val="18"/>
                <w:lang w:val="en-US"/>
              </w:rPr>
            </w:pPr>
            <w:r w:rsidRPr="00C05614">
              <w:rPr>
                <w:szCs w:val="18"/>
                <w:lang w:val="en-US"/>
              </w:rPr>
              <w:t xml:space="preserve">Trade and other receivables </w:t>
            </w:r>
          </w:p>
        </w:tc>
        <w:tc>
          <w:tcPr>
            <w:tcW w:w="614" w:type="pct"/>
            <w:tcBorders>
              <w:top w:val="nil"/>
              <w:left w:val="nil"/>
              <w:bottom w:val="nil"/>
              <w:right w:val="nil"/>
            </w:tcBorders>
            <w:vAlign w:val="bottom"/>
          </w:tcPr>
          <w:p w14:paraId="2D9A1B7F" w14:textId="77777777" w:rsidR="002215A6" w:rsidRPr="00C05614" w:rsidRDefault="002215A6" w:rsidP="002215A6">
            <w:pPr>
              <w:jc w:val="right"/>
              <w:rPr>
                <w:b/>
                <w:bCs/>
                <w:szCs w:val="18"/>
                <w:lang w:val="en-US"/>
              </w:rPr>
            </w:pPr>
            <w:r>
              <w:rPr>
                <w:b/>
                <w:bCs/>
                <w:szCs w:val="18"/>
                <w:lang w:val="en-US"/>
              </w:rPr>
              <w:t>1,448</w:t>
            </w:r>
          </w:p>
        </w:tc>
        <w:tc>
          <w:tcPr>
            <w:tcW w:w="614" w:type="pct"/>
            <w:tcBorders>
              <w:top w:val="nil"/>
              <w:left w:val="nil"/>
              <w:bottom w:val="nil"/>
              <w:right w:val="nil"/>
            </w:tcBorders>
            <w:shd w:val="clear" w:color="auto" w:fill="auto"/>
            <w:noWrap/>
            <w:vAlign w:val="bottom"/>
          </w:tcPr>
          <w:p w14:paraId="0C1DA883" w14:textId="77777777" w:rsidR="002215A6" w:rsidRPr="00CE2CEC" w:rsidRDefault="002215A6" w:rsidP="002215A6">
            <w:pPr>
              <w:jc w:val="right"/>
              <w:rPr>
                <w:bCs/>
                <w:szCs w:val="18"/>
                <w:lang w:val="en-US"/>
              </w:rPr>
            </w:pPr>
            <w:r w:rsidRPr="00CE2CEC">
              <w:rPr>
                <w:bCs/>
                <w:szCs w:val="18"/>
                <w:lang w:val="en-US"/>
              </w:rPr>
              <w:t>1,862</w:t>
            </w:r>
          </w:p>
        </w:tc>
      </w:tr>
      <w:tr w:rsidR="002215A6" w:rsidRPr="00C05614" w14:paraId="3198DC06" w14:textId="77777777" w:rsidTr="002215A6">
        <w:trPr>
          <w:trHeight w:val="240"/>
        </w:trPr>
        <w:tc>
          <w:tcPr>
            <w:tcW w:w="3772" w:type="pct"/>
            <w:tcBorders>
              <w:top w:val="nil"/>
              <w:left w:val="nil"/>
              <w:bottom w:val="nil"/>
              <w:right w:val="nil"/>
            </w:tcBorders>
            <w:shd w:val="clear" w:color="auto" w:fill="auto"/>
            <w:noWrap/>
            <w:vAlign w:val="bottom"/>
          </w:tcPr>
          <w:p w14:paraId="043E5586" w14:textId="77777777" w:rsidR="002215A6" w:rsidRPr="00C05614" w:rsidRDefault="002215A6" w:rsidP="002215A6">
            <w:pPr>
              <w:rPr>
                <w:b/>
                <w:bCs/>
                <w:szCs w:val="18"/>
                <w:lang w:val="en-US"/>
              </w:rPr>
            </w:pPr>
            <w:r w:rsidRPr="00C05614">
              <w:rPr>
                <w:b/>
                <w:bCs/>
                <w:szCs w:val="18"/>
                <w:lang w:val="en-US"/>
              </w:rPr>
              <w:t>Total</w:t>
            </w:r>
            <w:r>
              <w:rPr>
                <w:b/>
                <w:bCs/>
                <w:szCs w:val="18"/>
                <w:lang w:val="en-US"/>
              </w:rPr>
              <w:t xml:space="preserve"> financial assets</w:t>
            </w:r>
          </w:p>
        </w:tc>
        <w:tc>
          <w:tcPr>
            <w:tcW w:w="614" w:type="pct"/>
            <w:tcBorders>
              <w:top w:val="single" w:sz="4" w:space="0" w:color="auto"/>
              <w:left w:val="nil"/>
              <w:bottom w:val="single" w:sz="4" w:space="0" w:color="auto"/>
              <w:right w:val="nil"/>
            </w:tcBorders>
            <w:vAlign w:val="bottom"/>
          </w:tcPr>
          <w:p w14:paraId="66639991" w14:textId="77777777" w:rsidR="002215A6" w:rsidRPr="00C05614" w:rsidRDefault="002215A6" w:rsidP="002215A6">
            <w:pPr>
              <w:jc w:val="right"/>
              <w:rPr>
                <w:b/>
                <w:bCs/>
                <w:szCs w:val="18"/>
                <w:lang w:val="en-US"/>
              </w:rPr>
            </w:pPr>
            <w:r>
              <w:rPr>
                <w:b/>
                <w:bCs/>
                <w:szCs w:val="18"/>
                <w:lang w:val="en-US"/>
              </w:rPr>
              <w:t>7,781</w:t>
            </w:r>
          </w:p>
        </w:tc>
        <w:tc>
          <w:tcPr>
            <w:tcW w:w="614" w:type="pct"/>
            <w:tcBorders>
              <w:top w:val="single" w:sz="4" w:space="0" w:color="auto"/>
              <w:left w:val="nil"/>
              <w:bottom w:val="single" w:sz="4" w:space="0" w:color="auto"/>
              <w:right w:val="nil"/>
            </w:tcBorders>
            <w:shd w:val="clear" w:color="auto" w:fill="auto"/>
            <w:noWrap/>
            <w:vAlign w:val="bottom"/>
          </w:tcPr>
          <w:p w14:paraId="1607501B" w14:textId="77777777" w:rsidR="002215A6" w:rsidRPr="00CE2CEC" w:rsidRDefault="002215A6" w:rsidP="002215A6">
            <w:pPr>
              <w:jc w:val="right"/>
              <w:rPr>
                <w:bCs/>
                <w:szCs w:val="18"/>
                <w:lang w:val="en-US"/>
              </w:rPr>
            </w:pPr>
            <w:r w:rsidRPr="00CE2CEC">
              <w:rPr>
                <w:bCs/>
                <w:szCs w:val="18"/>
                <w:lang w:val="en-US"/>
              </w:rPr>
              <w:t>12,713</w:t>
            </w:r>
          </w:p>
        </w:tc>
      </w:tr>
      <w:tr w:rsidR="002215A6" w:rsidRPr="00C05614" w14:paraId="65EAED06" w14:textId="77777777" w:rsidTr="002215A6">
        <w:trPr>
          <w:trHeight w:val="255"/>
        </w:trPr>
        <w:tc>
          <w:tcPr>
            <w:tcW w:w="3772" w:type="pct"/>
            <w:tcBorders>
              <w:top w:val="nil"/>
              <w:left w:val="nil"/>
              <w:bottom w:val="nil"/>
              <w:right w:val="nil"/>
            </w:tcBorders>
            <w:shd w:val="clear" w:color="auto" w:fill="auto"/>
            <w:noWrap/>
            <w:vAlign w:val="bottom"/>
          </w:tcPr>
          <w:p w14:paraId="503D9F35" w14:textId="77777777" w:rsidR="002215A6" w:rsidRPr="00C05614" w:rsidRDefault="002215A6" w:rsidP="002215A6">
            <w:pPr>
              <w:rPr>
                <w:b/>
                <w:bCs/>
                <w:szCs w:val="18"/>
                <w:lang w:val="en-US"/>
              </w:rPr>
            </w:pPr>
          </w:p>
        </w:tc>
        <w:tc>
          <w:tcPr>
            <w:tcW w:w="614" w:type="pct"/>
            <w:tcBorders>
              <w:top w:val="nil"/>
              <w:left w:val="nil"/>
              <w:bottom w:val="nil"/>
              <w:right w:val="nil"/>
            </w:tcBorders>
            <w:vAlign w:val="bottom"/>
          </w:tcPr>
          <w:p w14:paraId="6711839A" w14:textId="77777777" w:rsidR="002215A6" w:rsidRPr="00C05614" w:rsidRDefault="002215A6" w:rsidP="002215A6">
            <w:pPr>
              <w:jc w:val="right"/>
              <w:rPr>
                <w:b/>
                <w:bCs/>
                <w:szCs w:val="18"/>
                <w:lang w:val="en-US"/>
              </w:rPr>
            </w:pPr>
          </w:p>
        </w:tc>
        <w:tc>
          <w:tcPr>
            <w:tcW w:w="614" w:type="pct"/>
            <w:tcBorders>
              <w:top w:val="nil"/>
              <w:left w:val="nil"/>
              <w:bottom w:val="nil"/>
              <w:right w:val="nil"/>
            </w:tcBorders>
            <w:shd w:val="clear" w:color="auto" w:fill="auto"/>
            <w:noWrap/>
            <w:vAlign w:val="bottom"/>
          </w:tcPr>
          <w:p w14:paraId="25F29280" w14:textId="77777777" w:rsidR="002215A6" w:rsidRPr="00CE2CEC" w:rsidRDefault="002215A6" w:rsidP="002215A6">
            <w:pPr>
              <w:jc w:val="right"/>
              <w:rPr>
                <w:bCs/>
                <w:szCs w:val="18"/>
                <w:lang w:val="en-US"/>
              </w:rPr>
            </w:pPr>
          </w:p>
        </w:tc>
      </w:tr>
      <w:tr w:rsidR="002215A6" w:rsidRPr="00C05614" w14:paraId="231C5E6E" w14:textId="77777777" w:rsidTr="002215A6">
        <w:trPr>
          <w:trHeight w:val="240"/>
        </w:trPr>
        <w:tc>
          <w:tcPr>
            <w:tcW w:w="3772" w:type="pct"/>
            <w:tcBorders>
              <w:top w:val="nil"/>
              <w:left w:val="nil"/>
              <w:bottom w:val="nil"/>
              <w:right w:val="nil"/>
            </w:tcBorders>
            <w:shd w:val="clear" w:color="auto" w:fill="auto"/>
            <w:noWrap/>
            <w:vAlign w:val="bottom"/>
          </w:tcPr>
          <w:p w14:paraId="0093E5B0" w14:textId="77777777" w:rsidR="002215A6" w:rsidRPr="00C05614" w:rsidRDefault="002215A6" w:rsidP="002215A6">
            <w:pPr>
              <w:rPr>
                <w:b/>
                <w:bCs/>
                <w:szCs w:val="18"/>
                <w:lang w:val="en-US"/>
              </w:rPr>
            </w:pPr>
            <w:r w:rsidRPr="00C05614">
              <w:rPr>
                <w:b/>
                <w:bCs/>
                <w:szCs w:val="18"/>
                <w:lang w:val="en-US"/>
              </w:rPr>
              <w:t>Financial liabilities</w:t>
            </w:r>
          </w:p>
        </w:tc>
        <w:tc>
          <w:tcPr>
            <w:tcW w:w="614" w:type="pct"/>
            <w:tcBorders>
              <w:top w:val="nil"/>
              <w:left w:val="nil"/>
              <w:bottom w:val="nil"/>
              <w:right w:val="nil"/>
            </w:tcBorders>
            <w:vAlign w:val="bottom"/>
          </w:tcPr>
          <w:p w14:paraId="44DF30A2" w14:textId="77777777" w:rsidR="002215A6" w:rsidRPr="00C05614" w:rsidRDefault="002215A6" w:rsidP="002215A6">
            <w:pPr>
              <w:jc w:val="right"/>
              <w:rPr>
                <w:b/>
                <w:bCs/>
                <w:szCs w:val="18"/>
                <w:lang w:val="en-US"/>
              </w:rPr>
            </w:pPr>
          </w:p>
        </w:tc>
        <w:tc>
          <w:tcPr>
            <w:tcW w:w="614" w:type="pct"/>
            <w:tcBorders>
              <w:top w:val="nil"/>
              <w:left w:val="nil"/>
              <w:bottom w:val="nil"/>
              <w:right w:val="nil"/>
            </w:tcBorders>
            <w:shd w:val="clear" w:color="auto" w:fill="auto"/>
            <w:noWrap/>
            <w:vAlign w:val="bottom"/>
          </w:tcPr>
          <w:p w14:paraId="41598A53" w14:textId="77777777" w:rsidR="002215A6" w:rsidRPr="00CE2CEC" w:rsidRDefault="002215A6" w:rsidP="002215A6">
            <w:pPr>
              <w:jc w:val="right"/>
              <w:rPr>
                <w:bCs/>
                <w:szCs w:val="18"/>
                <w:lang w:val="en-US"/>
              </w:rPr>
            </w:pPr>
          </w:p>
        </w:tc>
      </w:tr>
      <w:tr w:rsidR="002215A6" w:rsidRPr="00C05614" w14:paraId="5903655A" w14:textId="77777777" w:rsidTr="002215A6">
        <w:trPr>
          <w:trHeight w:val="240"/>
        </w:trPr>
        <w:tc>
          <w:tcPr>
            <w:tcW w:w="3772" w:type="pct"/>
            <w:tcBorders>
              <w:top w:val="nil"/>
              <w:left w:val="nil"/>
              <w:bottom w:val="nil"/>
              <w:right w:val="nil"/>
            </w:tcBorders>
            <w:shd w:val="clear" w:color="auto" w:fill="auto"/>
            <w:noWrap/>
            <w:vAlign w:val="bottom"/>
          </w:tcPr>
          <w:p w14:paraId="125F785B" w14:textId="77777777" w:rsidR="002215A6" w:rsidRPr="00C05614" w:rsidRDefault="002215A6" w:rsidP="002215A6">
            <w:pPr>
              <w:rPr>
                <w:b/>
                <w:bCs/>
                <w:szCs w:val="18"/>
                <w:lang w:val="en-US"/>
              </w:rPr>
            </w:pPr>
            <w:r>
              <w:rPr>
                <w:b/>
                <w:bCs/>
                <w:szCs w:val="18"/>
                <w:lang w:val="en-US"/>
              </w:rPr>
              <w:t>Financial liabili</w:t>
            </w:r>
            <w:r w:rsidRPr="00C05614">
              <w:rPr>
                <w:b/>
                <w:bCs/>
                <w:szCs w:val="18"/>
                <w:lang w:val="en-US"/>
              </w:rPr>
              <w:t>t</w:t>
            </w:r>
            <w:r>
              <w:rPr>
                <w:b/>
                <w:bCs/>
                <w:szCs w:val="18"/>
                <w:lang w:val="en-US"/>
              </w:rPr>
              <w:t>ies measured at</w:t>
            </w:r>
            <w:r w:rsidRPr="00C05614">
              <w:rPr>
                <w:b/>
                <w:bCs/>
                <w:szCs w:val="18"/>
                <w:lang w:val="en-US"/>
              </w:rPr>
              <w:t xml:space="preserve"> </w:t>
            </w:r>
            <w:proofErr w:type="spellStart"/>
            <w:r w:rsidRPr="00C05614">
              <w:rPr>
                <w:b/>
                <w:bCs/>
                <w:szCs w:val="18"/>
                <w:lang w:val="en-US"/>
              </w:rPr>
              <w:t>amortised</w:t>
            </w:r>
            <w:proofErr w:type="spellEnd"/>
            <w:r w:rsidRPr="00C05614">
              <w:rPr>
                <w:b/>
                <w:bCs/>
                <w:szCs w:val="18"/>
                <w:lang w:val="en-US"/>
              </w:rPr>
              <w:t xml:space="preserve"> cost:</w:t>
            </w:r>
          </w:p>
        </w:tc>
        <w:tc>
          <w:tcPr>
            <w:tcW w:w="614" w:type="pct"/>
            <w:tcBorders>
              <w:top w:val="nil"/>
              <w:left w:val="nil"/>
              <w:bottom w:val="nil"/>
              <w:right w:val="nil"/>
            </w:tcBorders>
            <w:vAlign w:val="bottom"/>
          </w:tcPr>
          <w:p w14:paraId="7398FF17" w14:textId="77777777" w:rsidR="002215A6" w:rsidRPr="00C05614" w:rsidRDefault="002215A6" w:rsidP="002215A6">
            <w:pPr>
              <w:jc w:val="right"/>
              <w:rPr>
                <w:b/>
                <w:bCs/>
                <w:szCs w:val="18"/>
                <w:lang w:val="en-US"/>
              </w:rPr>
            </w:pPr>
          </w:p>
        </w:tc>
        <w:tc>
          <w:tcPr>
            <w:tcW w:w="614" w:type="pct"/>
            <w:tcBorders>
              <w:top w:val="nil"/>
              <w:left w:val="nil"/>
              <w:bottom w:val="nil"/>
              <w:right w:val="nil"/>
            </w:tcBorders>
            <w:shd w:val="clear" w:color="auto" w:fill="auto"/>
            <w:noWrap/>
            <w:vAlign w:val="bottom"/>
          </w:tcPr>
          <w:p w14:paraId="4F7F12DC" w14:textId="77777777" w:rsidR="002215A6" w:rsidRPr="00CE2CEC" w:rsidRDefault="002215A6" w:rsidP="002215A6">
            <w:pPr>
              <w:jc w:val="right"/>
              <w:rPr>
                <w:bCs/>
                <w:szCs w:val="18"/>
                <w:lang w:val="en-US"/>
              </w:rPr>
            </w:pPr>
          </w:p>
        </w:tc>
      </w:tr>
      <w:tr w:rsidR="002215A6" w:rsidRPr="00C05614" w14:paraId="184C3D00" w14:textId="77777777" w:rsidTr="002215A6">
        <w:trPr>
          <w:trHeight w:val="240"/>
        </w:trPr>
        <w:tc>
          <w:tcPr>
            <w:tcW w:w="3772" w:type="pct"/>
            <w:tcBorders>
              <w:top w:val="nil"/>
              <w:left w:val="nil"/>
              <w:bottom w:val="nil"/>
              <w:right w:val="nil"/>
            </w:tcBorders>
            <w:shd w:val="clear" w:color="auto" w:fill="auto"/>
            <w:noWrap/>
            <w:vAlign w:val="bottom"/>
          </w:tcPr>
          <w:p w14:paraId="725408F5" w14:textId="77777777" w:rsidR="002215A6" w:rsidRPr="00C05614" w:rsidRDefault="002215A6" w:rsidP="002215A6">
            <w:pPr>
              <w:rPr>
                <w:szCs w:val="18"/>
                <w:lang w:val="en-US"/>
              </w:rPr>
            </w:pPr>
            <w:r w:rsidRPr="00C05614">
              <w:rPr>
                <w:szCs w:val="18"/>
                <w:lang w:val="en-US"/>
              </w:rPr>
              <w:t>Trade creditors and accruals</w:t>
            </w:r>
          </w:p>
        </w:tc>
        <w:tc>
          <w:tcPr>
            <w:tcW w:w="614" w:type="pct"/>
            <w:tcBorders>
              <w:top w:val="nil"/>
              <w:left w:val="nil"/>
              <w:bottom w:val="nil"/>
              <w:right w:val="nil"/>
            </w:tcBorders>
            <w:vAlign w:val="bottom"/>
          </w:tcPr>
          <w:p w14:paraId="1CE881FD" w14:textId="77777777" w:rsidR="002215A6" w:rsidRPr="00C05614" w:rsidRDefault="002215A6" w:rsidP="002215A6">
            <w:pPr>
              <w:jc w:val="right"/>
              <w:rPr>
                <w:b/>
                <w:bCs/>
                <w:szCs w:val="18"/>
                <w:lang w:val="en-US"/>
              </w:rPr>
            </w:pPr>
          </w:p>
        </w:tc>
        <w:tc>
          <w:tcPr>
            <w:tcW w:w="614" w:type="pct"/>
            <w:tcBorders>
              <w:top w:val="nil"/>
              <w:left w:val="nil"/>
              <w:bottom w:val="nil"/>
              <w:right w:val="nil"/>
            </w:tcBorders>
            <w:shd w:val="clear" w:color="auto" w:fill="auto"/>
            <w:noWrap/>
            <w:vAlign w:val="bottom"/>
          </w:tcPr>
          <w:p w14:paraId="1ECF7871" w14:textId="77777777" w:rsidR="002215A6" w:rsidRPr="00CE2CEC" w:rsidRDefault="002215A6" w:rsidP="002215A6">
            <w:pPr>
              <w:jc w:val="right"/>
              <w:rPr>
                <w:bCs/>
                <w:szCs w:val="18"/>
                <w:lang w:val="en-US"/>
              </w:rPr>
            </w:pPr>
          </w:p>
        </w:tc>
      </w:tr>
      <w:tr w:rsidR="002215A6" w:rsidRPr="00C05614" w14:paraId="39382B17" w14:textId="77777777" w:rsidTr="002215A6">
        <w:trPr>
          <w:trHeight w:val="240"/>
        </w:trPr>
        <w:tc>
          <w:tcPr>
            <w:tcW w:w="3772" w:type="pct"/>
            <w:tcBorders>
              <w:top w:val="nil"/>
              <w:left w:val="nil"/>
              <w:bottom w:val="nil"/>
              <w:right w:val="nil"/>
            </w:tcBorders>
            <w:shd w:val="clear" w:color="auto" w:fill="auto"/>
            <w:noWrap/>
            <w:vAlign w:val="bottom"/>
          </w:tcPr>
          <w:p w14:paraId="3FCCFA73" w14:textId="77777777" w:rsidR="002215A6" w:rsidRPr="00C05614" w:rsidRDefault="002215A6" w:rsidP="002215A6">
            <w:pPr>
              <w:rPr>
                <w:szCs w:val="18"/>
                <w:lang w:val="en-US"/>
              </w:rPr>
            </w:pPr>
            <w:r w:rsidRPr="00C05614">
              <w:rPr>
                <w:szCs w:val="18"/>
                <w:lang w:val="en-US"/>
              </w:rPr>
              <w:t>Suppliers</w:t>
            </w:r>
          </w:p>
        </w:tc>
        <w:tc>
          <w:tcPr>
            <w:tcW w:w="614" w:type="pct"/>
            <w:tcBorders>
              <w:top w:val="nil"/>
              <w:left w:val="nil"/>
              <w:bottom w:val="nil"/>
              <w:right w:val="nil"/>
            </w:tcBorders>
            <w:vAlign w:val="bottom"/>
          </w:tcPr>
          <w:p w14:paraId="35B0D243" w14:textId="77777777" w:rsidR="002215A6" w:rsidRPr="00C05614" w:rsidRDefault="002215A6" w:rsidP="002215A6">
            <w:pPr>
              <w:jc w:val="right"/>
              <w:rPr>
                <w:b/>
                <w:bCs/>
                <w:szCs w:val="18"/>
                <w:lang w:val="en-US"/>
              </w:rPr>
            </w:pPr>
            <w:r>
              <w:rPr>
                <w:b/>
                <w:bCs/>
                <w:szCs w:val="18"/>
                <w:lang w:val="en-US"/>
              </w:rPr>
              <w:t>1,796</w:t>
            </w:r>
          </w:p>
        </w:tc>
        <w:tc>
          <w:tcPr>
            <w:tcW w:w="614" w:type="pct"/>
            <w:tcBorders>
              <w:top w:val="nil"/>
              <w:left w:val="nil"/>
              <w:bottom w:val="nil"/>
              <w:right w:val="nil"/>
            </w:tcBorders>
            <w:shd w:val="clear" w:color="auto" w:fill="auto"/>
            <w:noWrap/>
            <w:vAlign w:val="bottom"/>
          </w:tcPr>
          <w:p w14:paraId="5B7F2EED" w14:textId="77777777" w:rsidR="002215A6" w:rsidRPr="00CE2CEC" w:rsidRDefault="002215A6" w:rsidP="002215A6">
            <w:pPr>
              <w:jc w:val="right"/>
              <w:rPr>
                <w:bCs/>
                <w:szCs w:val="18"/>
                <w:lang w:val="en-US"/>
              </w:rPr>
            </w:pPr>
            <w:r w:rsidRPr="00CE2CEC">
              <w:rPr>
                <w:bCs/>
                <w:szCs w:val="18"/>
                <w:lang w:val="en-US"/>
              </w:rPr>
              <w:t>3,031</w:t>
            </w:r>
          </w:p>
        </w:tc>
      </w:tr>
      <w:tr w:rsidR="002215A6" w:rsidRPr="00C05614" w14:paraId="5D461AA7" w14:textId="77777777" w:rsidTr="002215A6">
        <w:trPr>
          <w:trHeight w:val="240"/>
        </w:trPr>
        <w:tc>
          <w:tcPr>
            <w:tcW w:w="3772" w:type="pct"/>
            <w:tcBorders>
              <w:top w:val="nil"/>
              <w:left w:val="nil"/>
              <w:bottom w:val="nil"/>
              <w:right w:val="nil"/>
            </w:tcBorders>
            <w:shd w:val="clear" w:color="auto" w:fill="auto"/>
            <w:noWrap/>
            <w:vAlign w:val="bottom"/>
          </w:tcPr>
          <w:p w14:paraId="3AD9E7E6" w14:textId="77777777" w:rsidR="002215A6" w:rsidRPr="00C05614" w:rsidRDefault="002215A6" w:rsidP="002215A6">
            <w:pPr>
              <w:rPr>
                <w:b/>
                <w:bCs/>
                <w:szCs w:val="18"/>
                <w:lang w:val="en-US"/>
              </w:rPr>
            </w:pPr>
            <w:r w:rsidRPr="00C05614">
              <w:rPr>
                <w:b/>
                <w:bCs/>
                <w:szCs w:val="18"/>
                <w:lang w:val="en-US"/>
              </w:rPr>
              <w:t>Total</w:t>
            </w:r>
            <w:r>
              <w:rPr>
                <w:b/>
                <w:bCs/>
                <w:szCs w:val="18"/>
                <w:lang w:val="en-US"/>
              </w:rPr>
              <w:t xml:space="preserve"> financial liabilities</w:t>
            </w:r>
          </w:p>
        </w:tc>
        <w:tc>
          <w:tcPr>
            <w:tcW w:w="614" w:type="pct"/>
            <w:tcBorders>
              <w:top w:val="single" w:sz="4" w:space="0" w:color="auto"/>
              <w:left w:val="nil"/>
              <w:bottom w:val="single" w:sz="4" w:space="0" w:color="auto"/>
              <w:right w:val="nil"/>
            </w:tcBorders>
            <w:vAlign w:val="bottom"/>
          </w:tcPr>
          <w:p w14:paraId="54A23486" w14:textId="77777777" w:rsidR="002215A6" w:rsidRPr="00C05614" w:rsidRDefault="002215A6" w:rsidP="002215A6">
            <w:pPr>
              <w:jc w:val="right"/>
              <w:rPr>
                <w:b/>
                <w:bCs/>
                <w:szCs w:val="18"/>
                <w:lang w:val="en-US"/>
              </w:rPr>
            </w:pPr>
            <w:r>
              <w:rPr>
                <w:b/>
                <w:bCs/>
                <w:szCs w:val="18"/>
                <w:lang w:val="en-US"/>
              </w:rPr>
              <w:t>1,796</w:t>
            </w:r>
          </w:p>
        </w:tc>
        <w:tc>
          <w:tcPr>
            <w:tcW w:w="614" w:type="pct"/>
            <w:tcBorders>
              <w:top w:val="single" w:sz="4" w:space="0" w:color="auto"/>
              <w:left w:val="nil"/>
              <w:bottom w:val="single" w:sz="4" w:space="0" w:color="auto"/>
              <w:right w:val="nil"/>
            </w:tcBorders>
            <w:shd w:val="clear" w:color="auto" w:fill="auto"/>
            <w:noWrap/>
            <w:vAlign w:val="bottom"/>
          </w:tcPr>
          <w:p w14:paraId="6DC5EDF1" w14:textId="77777777" w:rsidR="002215A6" w:rsidRPr="00CE2CEC" w:rsidRDefault="002215A6" w:rsidP="002215A6">
            <w:pPr>
              <w:jc w:val="right"/>
              <w:rPr>
                <w:bCs/>
                <w:szCs w:val="18"/>
                <w:lang w:val="en-US"/>
              </w:rPr>
            </w:pPr>
            <w:r w:rsidRPr="00CE2CEC">
              <w:rPr>
                <w:bCs/>
                <w:szCs w:val="18"/>
                <w:lang w:val="en-US"/>
              </w:rPr>
              <w:t>3,031</w:t>
            </w:r>
          </w:p>
        </w:tc>
      </w:tr>
      <w:tr w:rsidR="002215A6" w:rsidRPr="00C05614" w14:paraId="21B32DF8" w14:textId="77777777" w:rsidTr="002215A6">
        <w:trPr>
          <w:trHeight w:val="170"/>
        </w:trPr>
        <w:tc>
          <w:tcPr>
            <w:tcW w:w="3772" w:type="pct"/>
            <w:tcBorders>
              <w:top w:val="nil"/>
              <w:left w:val="nil"/>
              <w:bottom w:val="nil"/>
              <w:right w:val="nil"/>
            </w:tcBorders>
            <w:shd w:val="clear" w:color="auto" w:fill="auto"/>
            <w:noWrap/>
            <w:vAlign w:val="center"/>
          </w:tcPr>
          <w:p w14:paraId="65796C48" w14:textId="77777777" w:rsidR="002215A6" w:rsidRPr="00C05614" w:rsidRDefault="002215A6" w:rsidP="002215A6">
            <w:pPr>
              <w:rPr>
                <w:b/>
                <w:bCs/>
                <w:szCs w:val="18"/>
                <w:lang w:val="en-US"/>
              </w:rPr>
            </w:pPr>
          </w:p>
        </w:tc>
        <w:tc>
          <w:tcPr>
            <w:tcW w:w="614" w:type="pct"/>
            <w:tcBorders>
              <w:top w:val="nil"/>
              <w:left w:val="nil"/>
              <w:bottom w:val="nil"/>
              <w:right w:val="nil"/>
            </w:tcBorders>
            <w:vAlign w:val="center"/>
          </w:tcPr>
          <w:p w14:paraId="7E3BEA68" w14:textId="77777777" w:rsidR="002215A6" w:rsidRPr="00C05614" w:rsidRDefault="002215A6" w:rsidP="002215A6">
            <w:pPr>
              <w:rPr>
                <w:b/>
                <w:bCs/>
                <w:szCs w:val="18"/>
                <w:lang w:val="en-US"/>
              </w:rPr>
            </w:pPr>
          </w:p>
        </w:tc>
        <w:tc>
          <w:tcPr>
            <w:tcW w:w="614" w:type="pct"/>
            <w:tcBorders>
              <w:top w:val="nil"/>
              <w:left w:val="nil"/>
              <w:bottom w:val="nil"/>
              <w:right w:val="nil"/>
            </w:tcBorders>
            <w:shd w:val="clear" w:color="auto" w:fill="auto"/>
            <w:noWrap/>
            <w:vAlign w:val="center"/>
          </w:tcPr>
          <w:p w14:paraId="5B9C9955" w14:textId="77777777" w:rsidR="002215A6" w:rsidRPr="00CE2CEC" w:rsidRDefault="002215A6" w:rsidP="002215A6">
            <w:pPr>
              <w:rPr>
                <w:bCs/>
                <w:szCs w:val="18"/>
                <w:lang w:val="en-US"/>
              </w:rPr>
            </w:pPr>
          </w:p>
        </w:tc>
      </w:tr>
      <w:tr w:rsidR="002215A6" w:rsidRPr="00C05614" w14:paraId="140E24DC" w14:textId="77777777" w:rsidTr="002215A6">
        <w:trPr>
          <w:trHeight w:val="240"/>
        </w:trPr>
        <w:tc>
          <w:tcPr>
            <w:tcW w:w="3772" w:type="pct"/>
            <w:tcBorders>
              <w:top w:val="nil"/>
              <w:left w:val="nil"/>
              <w:bottom w:val="nil"/>
              <w:right w:val="nil"/>
            </w:tcBorders>
            <w:shd w:val="clear" w:color="auto" w:fill="auto"/>
            <w:noWrap/>
            <w:vAlign w:val="center"/>
          </w:tcPr>
          <w:p w14:paraId="71F73FA2" w14:textId="77777777" w:rsidR="002215A6" w:rsidRPr="00DB4ED7" w:rsidRDefault="002215A6" w:rsidP="002215A6">
            <w:pPr>
              <w:pStyle w:val="Heading4"/>
              <w:ind w:firstLine="22"/>
              <w:rPr>
                <w:b w:val="0"/>
                <w:bCs/>
                <w:color w:val="auto"/>
                <w:sz w:val="21"/>
                <w:szCs w:val="21"/>
                <w:u w:val="single"/>
                <w:lang w:val="en-US"/>
              </w:rPr>
            </w:pPr>
            <w:r w:rsidRPr="00DB4ED7">
              <w:rPr>
                <w:color w:val="auto"/>
                <w:sz w:val="21"/>
                <w:szCs w:val="21"/>
                <w:lang w:val="en-US"/>
              </w:rPr>
              <w:t>4.2B: Net gains or losses on financial assets</w:t>
            </w:r>
          </w:p>
        </w:tc>
        <w:tc>
          <w:tcPr>
            <w:tcW w:w="614" w:type="pct"/>
            <w:tcBorders>
              <w:top w:val="nil"/>
              <w:left w:val="nil"/>
              <w:bottom w:val="nil"/>
              <w:right w:val="nil"/>
            </w:tcBorders>
            <w:vAlign w:val="center"/>
          </w:tcPr>
          <w:p w14:paraId="35512110" w14:textId="77777777" w:rsidR="002215A6" w:rsidRPr="00C05614" w:rsidRDefault="002215A6" w:rsidP="002215A6">
            <w:pPr>
              <w:rPr>
                <w:b/>
                <w:bCs/>
                <w:szCs w:val="18"/>
                <w:lang w:val="en-US"/>
              </w:rPr>
            </w:pPr>
          </w:p>
        </w:tc>
        <w:tc>
          <w:tcPr>
            <w:tcW w:w="614" w:type="pct"/>
            <w:tcBorders>
              <w:top w:val="nil"/>
              <w:left w:val="nil"/>
              <w:bottom w:val="nil"/>
              <w:right w:val="nil"/>
            </w:tcBorders>
            <w:shd w:val="clear" w:color="auto" w:fill="auto"/>
            <w:noWrap/>
            <w:vAlign w:val="center"/>
          </w:tcPr>
          <w:p w14:paraId="046E3C5B" w14:textId="77777777" w:rsidR="002215A6" w:rsidRPr="00CE2CEC" w:rsidRDefault="002215A6" w:rsidP="002215A6">
            <w:pPr>
              <w:rPr>
                <w:bCs/>
                <w:szCs w:val="18"/>
                <w:lang w:val="en-US"/>
              </w:rPr>
            </w:pPr>
          </w:p>
        </w:tc>
      </w:tr>
      <w:tr w:rsidR="002215A6" w:rsidRPr="00C05614" w14:paraId="6ADDB3FB" w14:textId="77777777" w:rsidTr="002215A6">
        <w:trPr>
          <w:trHeight w:val="255"/>
        </w:trPr>
        <w:tc>
          <w:tcPr>
            <w:tcW w:w="3772" w:type="pct"/>
            <w:tcBorders>
              <w:top w:val="nil"/>
              <w:left w:val="nil"/>
              <w:bottom w:val="nil"/>
              <w:right w:val="nil"/>
            </w:tcBorders>
            <w:shd w:val="clear" w:color="auto" w:fill="auto"/>
            <w:noWrap/>
            <w:vAlign w:val="bottom"/>
          </w:tcPr>
          <w:p w14:paraId="7DA8CF6E" w14:textId="77777777" w:rsidR="002215A6" w:rsidRPr="00C05614" w:rsidRDefault="002215A6" w:rsidP="002215A6">
            <w:pPr>
              <w:rPr>
                <w:szCs w:val="18"/>
                <w:lang w:val="en-US"/>
              </w:rPr>
            </w:pPr>
            <w:r w:rsidRPr="00C05614">
              <w:rPr>
                <w:szCs w:val="18"/>
                <w:lang w:val="en-US"/>
              </w:rPr>
              <w:t>Interest revenue</w:t>
            </w:r>
          </w:p>
        </w:tc>
        <w:tc>
          <w:tcPr>
            <w:tcW w:w="614" w:type="pct"/>
            <w:tcBorders>
              <w:top w:val="nil"/>
              <w:left w:val="nil"/>
              <w:bottom w:val="nil"/>
              <w:right w:val="nil"/>
            </w:tcBorders>
            <w:vAlign w:val="bottom"/>
          </w:tcPr>
          <w:p w14:paraId="502AA20D" w14:textId="77777777" w:rsidR="002215A6" w:rsidRPr="00C05614" w:rsidRDefault="002215A6" w:rsidP="002215A6">
            <w:pPr>
              <w:jc w:val="right"/>
              <w:rPr>
                <w:b/>
                <w:bCs/>
                <w:szCs w:val="18"/>
                <w:lang w:val="en-US"/>
              </w:rPr>
            </w:pPr>
            <w:r>
              <w:rPr>
                <w:b/>
                <w:bCs/>
                <w:szCs w:val="18"/>
                <w:lang w:val="en-US"/>
              </w:rPr>
              <w:t>216</w:t>
            </w:r>
          </w:p>
        </w:tc>
        <w:tc>
          <w:tcPr>
            <w:tcW w:w="614" w:type="pct"/>
            <w:tcBorders>
              <w:top w:val="nil"/>
              <w:left w:val="nil"/>
              <w:bottom w:val="nil"/>
              <w:right w:val="nil"/>
            </w:tcBorders>
            <w:shd w:val="clear" w:color="auto" w:fill="auto"/>
            <w:noWrap/>
            <w:vAlign w:val="bottom"/>
          </w:tcPr>
          <w:p w14:paraId="0E97A691" w14:textId="77777777" w:rsidR="002215A6" w:rsidRPr="00CE2CEC" w:rsidRDefault="002215A6" w:rsidP="002215A6">
            <w:pPr>
              <w:jc w:val="right"/>
              <w:rPr>
                <w:bCs/>
                <w:szCs w:val="18"/>
                <w:lang w:val="en-US"/>
              </w:rPr>
            </w:pPr>
            <w:r w:rsidRPr="00CE2CEC">
              <w:rPr>
                <w:bCs/>
                <w:szCs w:val="18"/>
                <w:lang w:val="en-US"/>
              </w:rPr>
              <w:t>353</w:t>
            </w:r>
          </w:p>
        </w:tc>
      </w:tr>
      <w:tr w:rsidR="002215A6" w:rsidRPr="00C05614" w14:paraId="72395234" w14:textId="77777777" w:rsidTr="002215A6">
        <w:trPr>
          <w:trHeight w:val="272"/>
        </w:trPr>
        <w:tc>
          <w:tcPr>
            <w:tcW w:w="3772" w:type="pct"/>
            <w:tcBorders>
              <w:top w:val="nil"/>
              <w:left w:val="nil"/>
              <w:bottom w:val="nil"/>
              <w:right w:val="nil"/>
            </w:tcBorders>
            <w:shd w:val="clear" w:color="auto" w:fill="auto"/>
            <w:noWrap/>
            <w:vAlign w:val="center"/>
          </w:tcPr>
          <w:p w14:paraId="564EA3EF" w14:textId="77777777" w:rsidR="002215A6" w:rsidRPr="00C05614" w:rsidRDefault="002215A6" w:rsidP="002215A6">
            <w:pPr>
              <w:rPr>
                <w:b/>
                <w:bCs/>
                <w:szCs w:val="18"/>
                <w:lang w:val="en-US"/>
              </w:rPr>
            </w:pPr>
            <w:r>
              <w:rPr>
                <w:b/>
                <w:bCs/>
                <w:szCs w:val="18"/>
                <w:lang w:val="en-US"/>
              </w:rPr>
              <w:t>Net gain</w:t>
            </w:r>
            <w:r w:rsidRPr="00C05614">
              <w:rPr>
                <w:b/>
                <w:bCs/>
                <w:szCs w:val="18"/>
                <w:lang w:val="en-US"/>
              </w:rPr>
              <w:t xml:space="preserve"> </w:t>
            </w:r>
            <w:r>
              <w:rPr>
                <w:b/>
                <w:bCs/>
                <w:szCs w:val="18"/>
                <w:lang w:val="en-US"/>
              </w:rPr>
              <w:t>from financial assets</w:t>
            </w:r>
          </w:p>
        </w:tc>
        <w:tc>
          <w:tcPr>
            <w:tcW w:w="614" w:type="pct"/>
            <w:tcBorders>
              <w:top w:val="single" w:sz="4" w:space="0" w:color="auto"/>
              <w:left w:val="nil"/>
              <w:bottom w:val="single" w:sz="4" w:space="0" w:color="auto"/>
              <w:right w:val="nil"/>
            </w:tcBorders>
            <w:vAlign w:val="bottom"/>
          </w:tcPr>
          <w:p w14:paraId="21F3FC7D" w14:textId="77777777" w:rsidR="002215A6" w:rsidRPr="00C05614" w:rsidRDefault="002215A6" w:rsidP="002215A6">
            <w:pPr>
              <w:jc w:val="right"/>
              <w:rPr>
                <w:b/>
                <w:bCs/>
                <w:szCs w:val="18"/>
                <w:lang w:val="en-US"/>
              </w:rPr>
            </w:pPr>
            <w:r>
              <w:rPr>
                <w:b/>
                <w:bCs/>
                <w:szCs w:val="18"/>
                <w:lang w:val="en-US"/>
              </w:rPr>
              <w:t>216</w:t>
            </w:r>
          </w:p>
        </w:tc>
        <w:tc>
          <w:tcPr>
            <w:tcW w:w="614" w:type="pct"/>
            <w:tcBorders>
              <w:top w:val="single" w:sz="4" w:space="0" w:color="auto"/>
              <w:left w:val="nil"/>
              <w:bottom w:val="single" w:sz="4" w:space="0" w:color="auto"/>
              <w:right w:val="nil"/>
            </w:tcBorders>
            <w:shd w:val="clear" w:color="auto" w:fill="auto"/>
            <w:noWrap/>
            <w:vAlign w:val="bottom"/>
          </w:tcPr>
          <w:p w14:paraId="282A1A22" w14:textId="77777777" w:rsidR="002215A6" w:rsidRPr="00CE2CEC" w:rsidRDefault="002215A6" w:rsidP="002215A6">
            <w:pPr>
              <w:jc w:val="right"/>
              <w:rPr>
                <w:bCs/>
                <w:szCs w:val="18"/>
                <w:lang w:val="en-US"/>
              </w:rPr>
            </w:pPr>
            <w:r w:rsidRPr="00CE2CEC">
              <w:rPr>
                <w:bCs/>
                <w:szCs w:val="18"/>
                <w:lang w:val="en-US"/>
              </w:rPr>
              <w:t>353</w:t>
            </w:r>
          </w:p>
        </w:tc>
      </w:tr>
      <w:tr w:rsidR="002215A6" w:rsidRPr="00C05614" w14:paraId="54E1BCEC" w14:textId="77777777" w:rsidTr="002215A6">
        <w:trPr>
          <w:trHeight w:val="170"/>
        </w:trPr>
        <w:tc>
          <w:tcPr>
            <w:tcW w:w="3772" w:type="pct"/>
            <w:tcBorders>
              <w:top w:val="nil"/>
              <w:left w:val="nil"/>
              <w:bottom w:val="single" w:sz="4" w:space="0" w:color="auto"/>
              <w:right w:val="nil"/>
            </w:tcBorders>
            <w:shd w:val="clear" w:color="auto" w:fill="auto"/>
            <w:noWrap/>
            <w:vAlign w:val="bottom"/>
          </w:tcPr>
          <w:p w14:paraId="1C139C83" w14:textId="77777777" w:rsidR="002215A6" w:rsidRDefault="002215A6" w:rsidP="002215A6">
            <w:pPr>
              <w:rPr>
                <w:b/>
                <w:bCs/>
                <w:szCs w:val="18"/>
                <w:lang w:val="en-US"/>
              </w:rPr>
            </w:pPr>
          </w:p>
        </w:tc>
        <w:tc>
          <w:tcPr>
            <w:tcW w:w="614" w:type="pct"/>
            <w:tcBorders>
              <w:top w:val="single" w:sz="4" w:space="0" w:color="auto"/>
              <w:left w:val="nil"/>
              <w:bottom w:val="single" w:sz="4" w:space="0" w:color="auto"/>
              <w:right w:val="nil"/>
            </w:tcBorders>
            <w:vAlign w:val="bottom"/>
          </w:tcPr>
          <w:p w14:paraId="37681EBD" w14:textId="77777777" w:rsidR="002215A6" w:rsidRDefault="002215A6" w:rsidP="002215A6">
            <w:pPr>
              <w:jc w:val="right"/>
              <w:rPr>
                <w:b/>
                <w:bCs/>
                <w:szCs w:val="18"/>
                <w:lang w:val="en-US"/>
              </w:rPr>
            </w:pPr>
          </w:p>
        </w:tc>
        <w:tc>
          <w:tcPr>
            <w:tcW w:w="614" w:type="pct"/>
            <w:tcBorders>
              <w:top w:val="single" w:sz="4" w:space="0" w:color="auto"/>
              <w:left w:val="nil"/>
              <w:bottom w:val="single" w:sz="4" w:space="0" w:color="auto"/>
              <w:right w:val="nil"/>
            </w:tcBorders>
            <w:shd w:val="clear" w:color="auto" w:fill="auto"/>
            <w:noWrap/>
            <w:vAlign w:val="bottom"/>
          </w:tcPr>
          <w:p w14:paraId="307007A3" w14:textId="77777777" w:rsidR="002215A6" w:rsidRPr="00CE2CEC" w:rsidRDefault="002215A6" w:rsidP="002215A6">
            <w:pPr>
              <w:jc w:val="right"/>
              <w:rPr>
                <w:bCs/>
                <w:szCs w:val="18"/>
                <w:lang w:val="en-US"/>
              </w:rPr>
            </w:pPr>
          </w:p>
        </w:tc>
      </w:tr>
      <w:tr w:rsidR="002215A6" w:rsidRPr="00C05614" w14:paraId="49D26A3D" w14:textId="77777777" w:rsidTr="002215A6">
        <w:trPr>
          <w:trHeight w:val="25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tcPr>
          <w:p w14:paraId="7319993A" w14:textId="77777777" w:rsidR="002215A6" w:rsidRDefault="002215A6" w:rsidP="002215A6">
            <w:pPr>
              <w:rPr>
                <w:b/>
                <w:bCs/>
                <w:szCs w:val="18"/>
                <w:lang w:val="en-US"/>
              </w:rPr>
            </w:pPr>
            <w:r w:rsidRPr="00F005E6">
              <w:rPr>
                <w:b/>
                <w:bCs/>
                <w:szCs w:val="18"/>
                <w:lang w:val="en-US"/>
              </w:rPr>
              <w:t>Accounting Policy</w:t>
            </w:r>
          </w:p>
          <w:p w14:paraId="38182AB3" w14:textId="7DD7D4D0" w:rsidR="002215A6" w:rsidRDefault="002215A6" w:rsidP="002215A6">
            <w:pPr>
              <w:rPr>
                <w:bCs/>
                <w:szCs w:val="18"/>
                <w:lang w:val="en-US"/>
              </w:rPr>
            </w:pPr>
            <w:r>
              <w:rPr>
                <w:bCs/>
                <w:szCs w:val="18"/>
                <w:lang w:val="en-US"/>
              </w:rPr>
              <w:t xml:space="preserve">The Commission holds only cash and receivables as financial assets and trade creditors and </w:t>
            </w:r>
            <w:r w:rsidR="00263EF8">
              <w:rPr>
                <w:bCs/>
                <w:szCs w:val="18"/>
                <w:lang w:val="en-US"/>
              </w:rPr>
              <w:br/>
            </w:r>
            <w:r>
              <w:rPr>
                <w:bCs/>
                <w:szCs w:val="18"/>
                <w:lang w:val="en-US"/>
              </w:rPr>
              <w:t xml:space="preserve">accruals as financial liabilities. Financial assets are </w:t>
            </w:r>
            <w:proofErr w:type="spellStart"/>
            <w:r>
              <w:rPr>
                <w:bCs/>
                <w:szCs w:val="18"/>
                <w:lang w:val="en-US"/>
              </w:rPr>
              <w:t>recognised</w:t>
            </w:r>
            <w:proofErr w:type="spellEnd"/>
            <w:r>
              <w:rPr>
                <w:bCs/>
                <w:szCs w:val="18"/>
                <w:lang w:val="en-US"/>
              </w:rPr>
              <w:t xml:space="preserve"> and </w:t>
            </w:r>
            <w:proofErr w:type="spellStart"/>
            <w:r>
              <w:rPr>
                <w:bCs/>
                <w:szCs w:val="18"/>
                <w:lang w:val="en-US"/>
              </w:rPr>
              <w:t>derecognised</w:t>
            </w:r>
            <w:proofErr w:type="spellEnd"/>
            <w:r>
              <w:rPr>
                <w:bCs/>
                <w:szCs w:val="18"/>
                <w:lang w:val="en-US"/>
              </w:rPr>
              <w:t xml:space="preserve"> upon trade </w:t>
            </w:r>
            <w:r w:rsidR="00640684">
              <w:rPr>
                <w:bCs/>
                <w:szCs w:val="18"/>
                <w:lang w:val="en-US"/>
              </w:rPr>
              <w:br/>
            </w:r>
            <w:r>
              <w:rPr>
                <w:bCs/>
                <w:szCs w:val="18"/>
                <w:lang w:val="en-US"/>
              </w:rPr>
              <w:t xml:space="preserve">date. Supplier payables are </w:t>
            </w:r>
            <w:proofErr w:type="spellStart"/>
            <w:r>
              <w:rPr>
                <w:bCs/>
                <w:szCs w:val="18"/>
                <w:lang w:val="en-US"/>
              </w:rPr>
              <w:t>recognised</w:t>
            </w:r>
            <w:proofErr w:type="spellEnd"/>
            <w:r>
              <w:rPr>
                <w:bCs/>
                <w:szCs w:val="18"/>
                <w:lang w:val="en-US"/>
              </w:rPr>
              <w:t xml:space="preserve"> at </w:t>
            </w:r>
            <w:proofErr w:type="spellStart"/>
            <w:r>
              <w:rPr>
                <w:bCs/>
                <w:szCs w:val="18"/>
                <w:lang w:val="en-US"/>
              </w:rPr>
              <w:t>amortised</w:t>
            </w:r>
            <w:proofErr w:type="spellEnd"/>
            <w:r>
              <w:rPr>
                <w:bCs/>
                <w:szCs w:val="18"/>
                <w:lang w:val="en-US"/>
              </w:rPr>
              <w:t xml:space="preserve"> cost. Liabilities are </w:t>
            </w:r>
            <w:proofErr w:type="spellStart"/>
            <w:r>
              <w:rPr>
                <w:bCs/>
                <w:szCs w:val="18"/>
                <w:lang w:val="en-US"/>
              </w:rPr>
              <w:t>recognised</w:t>
            </w:r>
            <w:proofErr w:type="spellEnd"/>
            <w:r>
              <w:rPr>
                <w:bCs/>
                <w:szCs w:val="18"/>
                <w:lang w:val="en-US"/>
              </w:rPr>
              <w:t xml:space="preserve"> to the</w:t>
            </w:r>
            <w:r w:rsidR="00640684">
              <w:rPr>
                <w:bCs/>
                <w:szCs w:val="18"/>
                <w:lang w:val="en-US"/>
              </w:rPr>
              <w:br/>
            </w:r>
            <w:r>
              <w:rPr>
                <w:bCs/>
                <w:szCs w:val="18"/>
                <w:lang w:val="en-US"/>
              </w:rPr>
              <w:t xml:space="preserve">extent that the goods or services have been received (and irrespective of having been </w:t>
            </w:r>
            <w:r w:rsidR="00640684">
              <w:rPr>
                <w:bCs/>
                <w:szCs w:val="18"/>
                <w:lang w:val="en-US"/>
              </w:rPr>
              <w:br/>
            </w:r>
            <w:r>
              <w:rPr>
                <w:bCs/>
                <w:szCs w:val="18"/>
                <w:lang w:val="en-US"/>
              </w:rPr>
              <w:t>invoiced).</w:t>
            </w:r>
          </w:p>
          <w:p w14:paraId="122AECC6" w14:textId="77777777" w:rsidR="002215A6" w:rsidRDefault="002215A6" w:rsidP="002215A6">
            <w:pPr>
              <w:spacing w:before="120"/>
              <w:rPr>
                <w:bCs/>
                <w:i/>
                <w:szCs w:val="18"/>
                <w:lang w:val="en-US"/>
              </w:rPr>
            </w:pPr>
            <w:r>
              <w:rPr>
                <w:bCs/>
                <w:i/>
                <w:szCs w:val="18"/>
                <w:lang w:val="en-US"/>
              </w:rPr>
              <w:t>Effective Interest Method</w:t>
            </w:r>
          </w:p>
          <w:p w14:paraId="13CA0FF2" w14:textId="77777777" w:rsidR="002215A6" w:rsidRPr="00F005E6" w:rsidRDefault="002215A6" w:rsidP="002215A6">
            <w:pPr>
              <w:rPr>
                <w:bCs/>
                <w:szCs w:val="18"/>
                <w:lang w:val="en-US"/>
              </w:rPr>
            </w:pPr>
            <w:r>
              <w:rPr>
                <w:bCs/>
                <w:szCs w:val="18"/>
                <w:lang w:val="en-US"/>
              </w:rPr>
              <w:t xml:space="preserve">Income is </w:t>
            </w:r>
            <w:proofErr w:type="spellStart"/>
            <w:r>
              <w:rPr>
                <w:bCs/>
                <w:szCs w:val="18"/>
                <w:lang w:val="en-US"/>
              </w:rPr>
              <w:t>recognised</w:t>
            </w:r>
            <w:proofErr w:type="spellEnd"/>
            <w:r>
              <w:rPr>
                <w:bCs/>
                <w:szCs w:val="18"/>
                <w:lang w:val="en-US"/>
              </w:rPr>
              <w:t xml:space="preserve"> on an effective interest rate basis.</w:t>
            </w:r>
          </w:p>
        </w:tc>
      </w:tr>
    </w:tbl>
    <w:p w14:paraId="28429043" w14:textId="77777777" w:rsidR="00195E07" w:rsidRDefault="00195E07">
      <w:pPr>
        <w:spacing w:after="160" w:line="259" w:lineRule="auto"/>
      </w:pPr>
      <w:r>
        <w:br w:type="page"/>
      </w:r>
    </w:p>
    <w:p w14:paraId="1CA5159C" w14:textId="77777777" w:rsidR="002215A6" w:rsidRPr="00DB4ED7" w:rsidRDefault="002215A6" w:rsidP="002215A6">
      <w:pPr>
        <w:pStyle w:val="Heading3"/>
        <w:rPr>
          <w:sz w:val="24"/>
          <w:szCs w:val="24"/>
        </w:rPr>
      </w:pPr>
      <w:r w:rsidRPr="00DB4ED7">
        <w:rPr>
          <w:sz w:val="24"/>
          <w:szCs w:val="24"/>
        </w:rPr>
        <w:lastRenderedPageBreak/>
        <w:t>4.3: Fair Value Measurement</w:t>
      </w:r>
    </w:p>
    <w:tbl>
      <w:tblPr>
        <w:tblW w:w="5000" w:type="pct"/>
        <w:tblLook w:val="0000" w:firstRow="0" w:lastRow="0" w:firstColumn="0" w:lastColumn="0" w:noHBand="0" w:noVBand="0"/>
        <w:tblCaption w:val="4.3: Fair Value Measurement"/>
      </w:tblPr>
      <w:tblGrid>
        <w:gridCol w:w="5474"/>
        <w:gridCol w:w="1026"/>
        <w:gridCol w:w="1374"/>
        <w:gridCol w:w="620"/>
      </w:tblGrid>
      <w:tr w:rsidR="002215A6" w:rsidRPr="00390164" w14:paraId="5E755DC5" w14:textId="77777777" w:rsidTr="002215A6">
        <w:trPr>
          <w:trHeight w:val="255"/>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vAlign w:val="bottom"/>
          </w:tcPr>
          <w:p w14:paraId="043ACF27" w14:textId="77777777" w:rsidR="002215A6" w:rsidRPr="00247F56" w:rsidRDefault="002215A6" w:rsidP="002215A6">
            <w:pPr>
              <w:ind w:left="34" w:right="284" w:hanging="34"/>
              <w:rPr>
                <w:b/>
                <w:szCs w:val="18"/>
                <w:lang w:val="en-US"/>
              </w:rPr>
            </w:pPr>
            <w:r w:rsidRPr="00247F56">
              <w:rPr>
                <w:b/>
                <w:szCs w:val="18"/>
                <w:lang w:val="en-US"/>
              </w:rPr>
              <w:t>Accounting Policy</w:t>
            </w:r>
          </w:p>
          <w:p w14:paraId="5F29B799" w14:textId="430B7FCE" w:rsidR="002215A6" w:rsidRPr="00247F56" w:rsidRDefault="002215A6" w:rsidP="002215A6">
            <w:pPr>
              <w:ind w:left="34" w:right="284" w:hanging="34"/>
              <w:rPr>
                <w:szCs w:val="18"/>
                <w:lang w:val="en-US"/>
              </w:rPr>
            </w:pPr>
            <w:r w:rsidRPr="00247F56">
              <w:rPr>
                <w:szCs w:val="18"/>
                <w:lang w:val="en-US"/>
              </w:rPr>
              <w:t xml:space="preserve">The Commission seeks independent valuation for material non-financial assets on a </w:t>
            </w:r>
            <w:r w:rsidR="00925D12">
              <w:rPr>
                <w:szCs w:val="18"/>
                <w:lang w:val="en-US"/>
              </w:rPr>
              <w:br/>
            </w:r>
            <w:r w:rsidRPr="00247F56">
              <w:rPr>
                <w:szCs w:val="18"/>
                <w:lang w:val="en-US"/>
              </w:rPr>
              <w:t xml:space="preserve">triennial basis. The Commission procured the services of the Australian Valuation </w:t>
            </w:r>
            <w:r w:rsidR="00925D12">
              <w:rPr>
                <w:szCs w:val="18"/>
                <w:lang w:val="en-US"/>
              </w:rPr>
              <w:br/>
            </w:r>
            <w:r w:rsidRPr="00247F56">
              <w:rPr>
                <w:szCs w:val="18"/>
                <w:lang w:val="en-US"/>
              </w:rPr>
              <w:t xml:space="preserve">Solutions (AVS) to undertake a comprehensive revaluation of the leasehold </w:t>
            </w:r>
            <w:r w:rsidR="00925D12">
              <w:rPr>
                <w:szCs w:val="18"/>
                <w:lang w:val="en-US"/>
              </w:rPr>
              <w:br/>
            </w:r>
            <w:r w:rsidRPr="00247F56">
              <w:rPr>
                <w:szCs w:val="18"/>
                <w:lang w:val="en-US"/>
              </w:rPr>
              <w:t xml:space="preserve">improvement asset at 30 June 2016 and relied upon those outcomes to establish </w:t>
            </w:r>
            <w:r w:rsidR="00925D12">
              <w:rPr>
                <w:szCs w:val="18"/>
                <w:lang w:val="en-US"/>
              </w:rPr>
              <w:br/>
            </w:r>
            <w:r w:rsidRPr="00247F56">
              <w:rPr>
                <w:szCs w:val="18"/>
                <w:lang w:val="en-US"/>
              </w:rPr>
              <w:t xml:space="preserve">carrying amounts. AVS provided written assurance to the Commission that the </w:t>
            </w:r>
            <w:r w:rsidR="00925D12">
              <w:rPr>
                <w:szCs w:val="18"/>
                <w:lang w:val="en-US"/>
              </w:rPr>
              <w:br/>
            </w:r>
            <w:r w:rsidRPr="00247F56">
              <w:rPr>
                <w:szCs w:val="18"/>
                <w:lang w:val="en-US"/>
              </w:rPr>
              <w:t>models developed are in compliance with AASB 13.</w:t>
            </w:r>
          </w:p>
        </w:tc>
      </w:tr>
      <w:tr w:rsidR="002215A6" w:rsidRPr="00390164" w14:paraId="76E869C2" w14:textId="77777777" w:rsidTr="002215A6">
        <w:trPr>
          <w:gridAfter w:val="3"/>
          <w:wAfter w:w="1778" w:type="pct"/>
          <w:trHeight w:val="255"/>
        </w:trPr>
        <w:tc>
          <w:tcPr>
            <w:tcW w:w="3222" w:type="pct"/>
            <w:shd w:val="clear" w:color="auto" w:fill="FFFFFF"/>
            <w:vAlign w:val="bottom"/>
          </w:tcPr>
          <w:p w14:paraId="579B2BB3" w14:textId="77777777" w:rsidR="002215A6" w:rsidRPr="00390164" w:rsidRDefault="002215A6" w:rsidP="002215A6">
            <w:pPr>
              <w:ind w:left="34" w:right="284" w:hanging="34"/>
              <w:rPr>
                <w:szCs w:val="18"/>
                <w:lang w:val="en-US"/>
              </w:rPr>
            </w:pPr>
          </w:p>
        </w:tc>
      </w:tr>
      <w:tr w:rsidR="002215A6" w:rsidRPr="00390164" w14:paraId="37EA07B6" w14:textId="77777777" w:rsidTr="002215A6">
        <w:trPr>
          <w:gridAfter w:val="1"/>
          <w:wAfter w:w="365" w:type="pct"/>
          <w:trHeight w:val="730"/>
        </w:trPr>
        <w:tc>
          <w:tcPr>
            <w:tcW w:w="3222" w:type="pct"/>
            <w:shd w:val="clear" w:color="auto" w:fill="FFFFFF"/>
            <w:vAlign w:val="bottom"/>
          </w:tcPr>
          <w:p w14:paraId="4D2E41B8" w14:textId="77777777" w:rsidR="002215A6" w:rsidRPr="00390164" w:rsidRDefault="002215A6" w:rsidP="002215A6">
            <w:pPr>
              <w:ind w:left="34"/>
              <w:rPr>
                <w:bCs/>
                <w:szCs w:val="18"/>
                <w:lang w:val="en-US"/>
              </w:rPr>
            </w:pPr>
          </w:p>
        </w:tc>
        <w:tc>
          <w:tcPr>
            <w:tcW w:w="1413" w:type="pct"/>
            <w:gridSpan w:val="2"/>
            <w:shd w:val="clear" w:color="auto" w:fill="FFFFFF"/>
          </w:tcPr>
          <w:p w14:paraId="029C0EA2" w14:textId="1038FB64" w:rsidR="002215A6" w:rsidRDefault="002215A6" w:rsidP="002215A6">
            <w:pPr>
              <w:jc w:val="center"/>
              <w:rPr>
                <w:bCs/>
                <w:szCs w:val="18"/>
                <w:lang w:val="en-US"/>
              </w:rPr>
            </w:pPr>
            <w:r>
              <w:rPr>
                <w:b/>
                <w:bCs/>
                <w:szCs w:val="18"/>
                <w:lang w:val="en-US"/>
              </w:rPr>
              <w:t xml:space="preserve">Fair value </w:t>
            </w:r>
            <w:r w:rsidR="00925D12">
              <w:rPr>
                <w:b/>
                <w:bCs/>
                <w:szCs w:val="18"/>
                <w:lang w:val="en-US"/>
              </w:rPr>
              <w:br/>
            </w:r>
            <w:r>
              <w:rPr>
                <w:b/>
                <w:bCs/>
                <w:szCs w:val="18"/>
                <w:lang w:val="en-US"/>
              </w:rPr>
              <w:t xml:space="preserve">measurement at the </w:t>
            </w:r>
            <w:r w:rsidR="00925D12">
              <w:rPr>
                <w:b/>
                <w:bCs/>
                <w:szCs w:val="18"/>
                <w:lang w:val="en-US"/>
              </w:rPr>
              <w:br/>
            </w:r>
            <w:r>
              <w:rPr>
                <w:b/>
                <w:bCs/>
                <w:szCs w:val="18"/>
                <w:lang w:val="en-US"/>
              </w:rPr>
              <w:t xml:space="preserve">end of the reporting </w:t>
            </w:r>
            <w:r w:rsidR="00925D12">
              <w:rPr>
                <w:b/>
                <w:bCs/>
                <w:szCs w:val="18"/>
                <w:lang w:val="en-US"/>
              </w:rPr>
              <w:br/>
            </w:r>
            <w:r>
              <w:rPr>
                <w:b/>
                <w:bCs/>
                <w:szCs w:val="18"/>
                <w:lang w:val="en-US"/>
              </w:rPr>
              <w:t>period</w:t>
            </w:r>
          </w:p>
        </w:tc>
      </w:tr>
      <w:tr w:rsidR="002215A6" w:rsidRPr="00390164" w14:paraId="6326D4F7" w14:textId="77777777" w:rsidTr="002215A6">
        <w:trPr>
          <w:gridAfter w:val="1"/>
          <w:wAfter w:w="365" w:type="pct"/>
          <w:trHeight w:val="255"/>
        </w:trPr>
        <w:tc>
          <w:tcPr>
            <w:tcW w:w="3222" w:type="pct"/>
            <w:shd w:val="clear" w:color="auto" w:fill="FFFFFF"/>
            <w:vAlign w:val="bottom"/>
          </w:tcPr>
          <w:p w14:paraId="2836A710" w14:textId="77777777" w:rsidR="002215A6" w:rsidRPr="00390164" w:rsidRDefault="002215A6" w:rsidP="002215A6">
            <w:pPr>
              <w:ind w:left="34"/>
              <w:rPr>
                <w:bCs/>
                <w:szCs w:val="18"/>
                <w:lang w:val="en-US"/>
              </w:rPr>
            </w:pPr>
          </w:p>
        </w:tc>
        <w:tc>
          <w:tcPr>
            <w:tcW w:w="604" w:type="pct"/>
            <w:tcBorders>
              <w:bottom w:val="single" w:sz="4" w:space="0" w:color="auto"/>
            </w:tcBorders>
            <w:shd w:val="clear" w:color="auto" w:fill="FFFFFF"/>
            <w:vAlign w:val="bottom"/>
          </w:tcPr>
          <w:p w14:paraId="53B3E867" w14:textId="77777777" w:rsidR="002215A6" w:rsidRPr="00390164" w:rsidRDefault="002215A6" w:rsidP="002215A6">
            <w:pPr>
              <w:jc w:val="right"/>
              <w:rPr>
                <w:b/>
                <w:bCs/>
                <w:szCs w:val="18"/>
                <w:lang w:val="en-US"/>
              </w:rPr>
            </w:pPr>
            <w:r>
              <w:rPr>
                <w:b/>
                <w:bCs/>
                <w:szCs w:val="18"/>
                <w:lang w:val="en-US"/>
              </w:rPr>
              <w:t>2017</w:t>
            </w:r>
          </w:p>
          <w:p w14:paraId="37E79E38" w14:textId="77777777" w:rsidR="002215A6" w:rsidRPr="00390164" w:rsidRDefault="002215A6" w:rsidP="002215A6">
            <w:pPr>
              <w:jc w:val="right"/>
              <w:rPr>
                <w:b/>
                <w:bCs/>
                <w:szCs w:val="18"/>
                <w:lang w:val="en-US"/>
              </w:rPr>
            </w:pPr>
            <w:r w:rsidRPr="00390164">
              <w:rPr>
                <w:b/>
                <w:bCs/>
                <w:szCs w:val="18"/>
                <w:lang w:val="en-US"/>
              </w:rPr>
              <w:t>$’000</w:t>
            </w:r>
          </w:p>
        </w:tc>
        <w:tc>
          <w:tcPr>
            <w:tcW w:w="809" w:type="pct"/>
            <w:tcBorders>
              <w:bottom w:val="single" w:sz="4" w:space="0" w:color="auto"/>
            </w:tcBorders>
            <w:shd w:val="clear" w:color="auto" w:fill="FFFFFF"/>
            <w:vAlign w:val="bottom"/>
          </w:tcPr>
          <w:p w14:paraId="4BADAC46" w14:textId="77777777" w:rsidR="002215A6" w:rsidRPr="00390164" w:rsidRDefault="002215A6" w:rsidP="002215A6">
            <w:pPr>
              <w:jc w:val="right"/>
              <w:rPr>
                <w:bCs/>
                <w:szCs w:val="18"/>
                <w:lang w:val="en-US"/>
              </w:rPr>
            </w:pPr>
            <w:r>
              <w:rPr>
                <w:bCs/>
                <w:szCs w:val="18"/>
                <w:lang w:val="en-US"/>
              </w:rPr>
              <w:t>2016</w:t>
            </w:r>
          </w:p>
          <w:p w14:paraId="60B6E2C7" w14:textId="77777777" w:rsidR="002215A6" w:rsidRPr="00390164" w:rsidRDefault="002215A6" w:rsidP="002215A6">
            <w:pPr>
              <w:jc w:val="right"/>
              <w:rPr>
                <w:b/>
                <w:bCs/>
                <w:szCs w:val="18"/>
                <w:lang w:val="en-US"/>
              </w:rPr>
            </w:pPr>
            <w:r w:rsidRPr="00390164">
              <w:rPr>
                <w:bCs/>
                <w:szCs w:val="18"/>
                <w:lang w:val="en-US"/>
              </w:rPr>
              <w:t>$’000</w:t>
            </w:r>
          </w:p>
        </w:tc>
      </w:tr>
      <w:tr w:rsidR="002215A6" w:rsidRPr="00390164" w14:paraId="525A5184" w14:textId="77777777" w:rsidTr="002215A6">
        <w:trPr>
          <w:gridAfter w:val="1"/>
          <w:wAfter w:w="365" w:type="pct"/>
          <w:trHeight w:val="255"/>
        </w:trPr>
        <w:tc>
          <w:tcPr>
            <w:tcW w:w="3222" w:type="pct"/>
            <w:shd w:val="clear" w:color="auto" w:fill="FFFFFF"/>
            <w:vAlign w:val="bottom"/>
          </w:tcPr>
          <w:p w14:paraId="63C4FE6A" w14:textId="77777777" w:rsidR="002215A6" w:rsidRPr="00390164" w:rsidRDefault="002215A6" w:rsidP="002215A6">
            <w:pPr>
              <w:ind w:left="34"/>
              <w:rPr>
                <w:b/>
                <w:bCs/>
                <w:szCs w:val="18"/>
                <w:lang w:val="en-US"/>
              </w:rPr>
            </w:pPr>
            <w:r w:rsidRPr="00390164">
              <w:rPr>
                <w:b/>
                <w:bCs/>
                <w:szCs w:val="18"/>
                <w:lang w:val="en-US"/>
              </w:rPr>
              <w:t>Non-financial assets</w:t>
            </w:r>
          </w:p>
        </w:tc>
        <w:tc>
          <w:tcPr>
            <w:tcW w:w="604" w:type="pct"/>
            <w:tcBorders>
              <w:top w:val="single" w:sz="4" w:space="0" w:color="auto"/>
            </w:tcBorders>
            <w:shd w:val="clear" w:color="auto" w:fill="FFFFFF"/>
            <w:vAlign w:val="bottom"/>
          </w:tcPr>
          <w:p w14:paraId="17611DEC" w14:textId="77777777" w:rsidR="002215A6" w:rsidRPr="00390164" w:rsidRDefault="002215A6" w:rsidP="002215A6">
            <w:pPr>
              <w:jc w:val="right"/>
              <w:rPr>
                <w:bCs/>
                <w:szCs w:val="18"/>
                <w:lang w:val="en-US"/>
              </w:rPr>
            </w:pPr>
          </w:p>
        </w:tc>
        <w:tc>
          <w:tcPr>
            <w:tcW w:w="809" w:type="pct"/>
            <w:tcBorders>
              <w:top w:val="single" w:sz="4" w:space="0" w:color="auto"/>
            </w:tcBorders>
            <w:shd w:val="clear" w:color="auto" w:fill="FFFFFF"/>
            <w:vAlign w:val="bottom"/>
          </w:tcPr>
          <w:p w14:paraId="03C5B26A" w14:textId="77777777" w:rsidR="002215A6" w:rsidRPr="00390164" w:rsidRDefault="002215A6" w:rsidP="002215A6">
            <w:pPr>
              <w:jc w:val="right"/>
              <w:rPr>
                <w:b/>
                <w:bCs/>
                <w:szCs w:val="18"/>
                <w:lang w:val="en-US"/>
              </w:rPr>
            </w:pPr>
          </w:p>
        </w:tc>
      </w:tr>
      <w:tr w:rsidR="002215A6" w:rsidRPr="00390164" w14:paraId="5848ABA6" w14:textId="77777777" w:rsidTr="002215A6">
        <w:trPr>
          <w:gridAfter w:val="1"/>
          <w:wAfter w:w="365" w:type="pct"/>
          <w:trHeight w:val="255"/>
        </w:trPr>
        <w:tc>
          <w:tcPr>
            <w:tcW w:w="3222" w:type="pct"/>
            <w:shd w:val="clear" w:color="auto" w:fill="FFFFFF"/>
          </w:tcPr>
          <w:p w14:paraId="6DF619F4" w14:textId="77777777" w:rsidR="002215A6" w:rsidRPr="00390164" w:rsidRDefault="002215A6" w:rsidP="002215A6">
            <w:pPr>
              <w:tabs>
                <w:tab w:val="left" w:pos="317"/>
                <w:tab w:val="left" w:pos="1451"/>
              </w:tabs>
              <w:ind w:left="34"/>
              <w:rPr>
                <w:bCs/>
                <w:szCs w:val="18"/>
                <w:lang w:val="en-US"/>
              </w:rPr>
            </w:pPr>
            <w:r>
              <w:rPr>
                <w:bCs/>
                <w:szCs w:val="18"/>
                <w:lang w:val="en-US"/>
              </w:rPr>
              <w:t>Leasehold improvements</w:t>
            </w:r>
          </w:p>
        </w:tc>
        <w:tc>
          <w:tcPr>
            <w:tcW w:w="604" w:type="pct"/>
            <w:shd w:val="clear" w:color="auto" w:fill="FFFFFF"/>
          </w:tcPr>
          <w:p w14:paraId="154EA027" w14:textId="77777777" w:rsidR="002215A6" w:rsidRPr="00390164" w:rsidRDefault="002215A6" w:rsidP="002215A6">
            <w:pPr>
              <w:jc w:val="right"/>
              <w:rPr>
                <w:b/>
                <w:bCs/>
                <w:szCs w:val="18"/>
                <w:lang w:val="en-US"/>
              </w:rPr>
            </w:pPr>
            <w:r>
              <w:rPr>
                <w:b/>
                <w:bCs/>
                <w:szCs w:val="18"/>
                <w:lang w:val="en-US"/>
              </w:rPr>
              <w:t>120</w:t>
            </w:r>
          </w:p>
        </w:tc>
        <w:tc>
          <w:tcPr>
            <w:tcW w:w="809" w:type="pct"/>
            <w:shd w:val="clear" w:color="auto" w:fill="FFFFFF"/>
          </w:tcPr>
          <w:p w14:paraId="0462AB0C" w14:textId="77777777" w:rsidR="002215A6" w:rsidRPr="00EC7EB0" w:rsidRDefault="002215A6" w:rsidP="002215A6">
            <w:pPr>
              <w:jc w:val="right"/>
              <w:rPr>
                <w:bCs/>
                <w:szCs w:val="18"/>
                <w:lang w:val="en-US"/>
              </w:rPr>
            </w:pPr>
            <w:r w:rsidRPr="00EC7EB0">
              <w:rPr>
                <w:bCs/>
                <w:szCs w:val="18"/>
                <w:lang w:val="en-US"/>
              </w:rPr>
              <w:t>360</w:t>
            </w:r>
          </w:p>
        </w:tc>
      </w:tr>
      <w:tr w:rsidR="002215A6" w:rsidRPr="00390164" w14:paraId="2EB5F182" w14:textId="77777777" w:rsidTr="002215A6">
        <w:trPr>
          <w:gridAfter w:val="1"/>
          <w:wAfter w:w="365" w:type="pct"/>
          <w:trHeight w:val="80"/>
        </w:trPr>
        <w:tc>
          <w:tcPr>
            <w:tcW w:w="3222" w:type="pct"/>
            <w:shd w:val="clear" w:color="auto" w:fill="FFFFFF"/>
            <w:vAlign w:val="center"/>
          </w:tcPr>
          <w:p w14:paraId="76EDD34C" w14:textId="77777777" w:rsidR="002215A6" w:rsidRPr="00390164" w:rsidRDefault="002215A6" w:rsidP="002215A6">
            <w:pPr>
              <w:tabs>
                <w:tab w:val="left" w:pos="317"/>
                <w:tab w:val="left" w:pos="1451"/>
              </w:tabs>
              <w:ind w:left="34"/>
              <w:rPr>
                <w:bCs/>
                <w:szCs w:val="18"/>
                <w:lang w:val="en-US"/>
              </w:rPr>
            </w:pPr>
            <w:r w:rsidRPr="00390164">
              <w:rPr>
                <w:bCs/>
                <w:szCs w:val="18"/>
                <w:lang w:val="en-US"/>
              </w:rPr>
              <w:t>Plant and Equipment</w:t>
            </w:r>
          </w:p>
        </w:tc>
        <w:tc>
          <w:tcPr>
            <w:tcW w:w="604" w:type="pct"/>
            <w:tcBorders>
              <w:bottom w:val="single" w:sz="4" w:space="0" w:color="auto"/>
            </w:tcBorders>
            <w:shd w:val="clear" w:color="auto" w:fill="FFFFFF"/>
          </w:tcPr>
          <w:p w14:paraId="1CCFFC34" w14:textId="77777777" w:rsidR="002215A6" w:rsidRPr="00390164" w:rsidRDefault="002215A6" w:rsidP="002215A6">
            <w:pPr>
              <w:jc w:val="right"/>
              <w:rPr>
                <w:b/>
                <w:bCs/>
                <w:szCs w:val="18"/>
                <w:lang w:val="en-US"/>
              </w:rPr>
            </w:pPr>
            <w:r>
              <w:rPr>
                <w:b/>
                <w:bCs/>
                <w:szCs w:val="18"/>
                <w:lang w:val="en-US"/>
              </w:rPr>
              <w:t>18</w:t>
            </w:r>
          </w:p>
        </w:tc>
        <w:tc>
          <w:tcPr>
            <w:tcW w:w="809" w:type="pct"/>
            <w:tcBorders>
              <w:bottom w:val="single" w:sz="4" w:space="0" w:color="auto"/>
            </w:tcBorders>
            <w:shd w:val="clear" w:color="auto" w:fill="FFFFFF"/>
          </w:tcPr>
          <w:p w14:paraId="720B1873" w14:textId="77777777" w:rsidR="002215A6" w:rsidRPr="00390164" w:rsidRDefault="002215A6" w:rsidP="002215A6">
            <w:pPr>
              <w:jc w:val="right"/>
              <w:rPr>
                <w:bCs/>
                <w:szCs w:val="18"/>
                <w:lang w:val="en-US"/>
              </w:rPr>
            </w:pPr>
            <w:r>
              <w:rPr>
                <w:bCs/>
                <w:szCs w:val="18"/>
                <w:lang w:val="en-US"/>
              </w:rPr>
              <w:t>38</w:t>
            </w:r>
          </w:p>
        </w:tc>
      </w:tr>
      <w:tr w:rsidR="002215A6" w:rsidRPr="00390164" w14:paraId="28C758D9" w14:textId="77777777" w:rsidTr="002215A6">
        <w:trPr>
          <w:gridAfter w:val="1"/>
          <w:wAfter w:w="365" w:type="pct"/>
          <w:trHeight w:val="255"/>
        </w:trPr>
        <w:tc>
          <w:tcPr>
            <w:tcW w:w="3222" w:type="pct"/>
            <w:shd w:val="clear" w:color="auto" w:fill="FFFFFF"/>
            <w:vAlign w:val="bottom"/>
          </w:tcPr>
          <w:p w14:paraId="14FEDA47" w14:textId="77777777" w:rsidR="002215A6" w:rsidRPr="00390164" w:rsidRDefault="002215A6" w:rsidP="002215A6">
            <w:pPr>
              <w:ind w:left="34"/>
              <w:rPr>
                <w:b/>
                <w:bCs/>
                <w:szCs w:val="18"/>
                <w:lang w:val="en-US"/>
              </w:rPr>
            </w:pPr>
            <w:r w:rsidRPr="00390164">
              <w:rPr>
                <w:b/>
                <w:bCs/>
                <w:szCs w:val="18"/>
                <w:lang w:val="en-US"/>
              </w:rPr>
              <w:t>Total non-financial assets</w:t>
            </w:r>
          </w:p>
        </w:tc>
        <w:tc>
          <w:tcPr>
            <w:tcW w:w="604" w:type="pct"/>
            <w:tcBorders>
              <w:top w:val="single" w:sz="4" w:space="0" w:color="auto"/>
              <w:bottom w:val="single" w:sz="4" w:space="0" w:color="auto"/>
            </w:tcBorders>
            <w:shd w:val="clear" w:color="auto" w:fill="FFFFFF"/>
            <w:vAlign w:val="bottom"/>
          </w:tcPr>
          <w:p w14:paraId="1008854D" w14:textId="77777777" w:rsidR="002215A6" w:rsidRPr="00390164" w:rsidRDefault="002215A6" w:rsidP="002215A6">
            <w:pPr>
              <w:jc w:val="right"/>
              <w:rPr>
                <w:b/>
                <w:bCs/>
                <w:szCs w:val="18"/>
                <w:lang w:val="en-US"/>
              </w:rPr>
            </w:pPr>
            <w:r>
              <w:rPr>
                <w:b/>
                <w:bCs/>
                <w:szCs w:val="18"/>
                <w:lang w:val="en-US"/>
              </w:rPr>
              <w:t>138</w:t>
            </w:r>
          </w:p>
        </w:tc>
        <w:tc>
          <w:tcPr>
            <w:tcW w:w="809" w:type="pct"/>
            <w:tcBorders>
              <w:top w:val="single" w:sz="4" w:space="0" w:color="auto"/>
              <w:bottom w:val="single" w:sz="4" w:space="0" w:color="auto"/>
            </w:tcBorders>
            <w:shd w:val="clear" w:color="auto" w:fill="FFFFFF"/>
            <w:vAlign w:val="bottom"/>
          </w:tcPr>
          <w:p w14:paraId="31EE9498" w14:textId="77777777" w:rsidR="002215A6" w:rsidRPr="00390164" w:rsidRDefault="002215A6" w:rsidP="002215A6">
            <w:pPr>
              <w:jc w:val="right"/>
              <w:rPr>
                <w:bCs/>
                <w:szCs w:val="18"/>
                <w:lang w:val="en-US"/>
              </w:rPr>
            </w:pPr>
            <w:r>
              <w:rPr>
                <w:bCs/>
                <w:szCs w:val="18"/>
                <w:lang w:val="en-US"/>
              </w:rPr>
              <w:t>398</w:t>
            </w:r>
          </w:p>
        </w:tc>
      </w:tr>
    </w:tbl>
    <w:p w14:paraId="02A83735" w14:textId="2B32DFA6" w:rsidR="00195E07" w:rsidRDefault="002215A6" w:rsidP="002215A6">
      <w:pPr>
        <w:pStyle w:val="FinTableText"/>
        <w:spacing w:before="120"/>
      </w:pPr>
      <w:r>
        <w:t xml:space="preserve">The remaining assets and liabilities reported by the Commission are not measured at fair </w:t>
      </w:r>
      <w:r w:rsidR="00925D12">
        <w:br/>
      </w:r>
      <w:r>
        <w:t>value in the statement of financial position.</w:t>
      </w:r>
      <w:r w:rsidR="00195E07">
        <w:br w:type="page"/>
      </w:r>
    </w:p>
    <w:p w14:paraId="0A5A8C7A" w14:textId="77777777" w:rsidR="00195E07" w:rsidRDefault="00195E07" w:rsidP="005E0AFC">
      <w:pPr>
        <w:pStyle w:val="BodyText"/>
        <w:sectPr w:rsidR="00195E07" w:rsidSect="00153671">
          <w:headerReference w:type="even" r:id="rId101"/>
          <w:headerReference w:type="default" r:id="rId102"/>
          <w:pgSz w:w="9979" w:h="14175" w:code="34"/>
          <w:pgMar w:top="1418" w:right="680" w:bottom="851" w:left="1021" w:header="567" w:footer="397" w:gutter="0"/>
          <w:cols w:space="340"/>
          <w:noEndnote/>
        </w:sectPr>
      </w:pPr>
    </w:p>
    <w:p w14:paraId="4ECBDBD8" w14:textId="77777777" w:rsidR="00195E07" w:rsidRDefault="00195E07" w:rsidP="005E0AFC">
      <w:pPr>
        <w:pStyle w:val="BodyText"/>
      </w:pPr>
    </w:p>
    <w:p w14:paraId="7DBDCECA" w14:textId="77777777" w:rsidR="002A58B5" w:rsidRDefault="002A58B5" w:rsidP="005E0AFC">
      <w:pPr>
        <w:pStyle w:val="BodyText"/>
        <w:sectPr w:rsidR="002A58B5" w:rsidSect="00153671">
          <w:headerReference w:type="default" r:id="rId103"/>
          <w:pgSz w:w="9979" w:h="14175" w:code="34"/>
          <w:pgMar w:top="1418" w:right="680" w:bottom="851" w:left="1021" w:header="567" w:footer="397" w:gutter="0"/>
          <w:cols w:space="340"/>
          <w:noEndnote/>
        </w:sectPr>
      </w:pPr>
    </w:p>
    <w:p w14:paraId="75B30A6C" w14:textId="77777777" w:rsidR="002A58B5" w:rsidRDefault="002A58B5" w:rsidP="005E0AFC">
      <w:pPr>
        <w:pStyle w:val="BodyText"/>
      </w:pPr>
    </w:p>
    <w:p w14:paraId="70A3D8ED" w14:textId="77777777" w:rsidR="002A58B5" w:rsidRDefault="002A58B5">
      <w:pPr>
        <w:spacing w:after="160" w:line="259" w:lineRule="auto"/>
      </w:pPr>
      <w:r>
        <w:br w:type="page"/>
      </w:r>
    </w:p>
    <w:p w14:paraId="58C5FA80" w14:textId="77777777" w:rsidR="00153671" w:rsidRDefault="00153671" w:rsidP="00153671">
      <w:pPr>
        <w:pStyle w:val="BodyText"/>
      </w:pPr>
    </w:p>
    <w:p w14:paraId="3E27EAD3" w14:textId="77777777" w:rsidR="002A58B5" w:rsidRPr="00153671" w:rsidRDefault="00153671" w:rsidP="0047553F">
      <w:pPr>
        <w:pStyle w:val="SectionHeading"/>
        <w:spacing w:before="1320" w:after="567"/>
        <w:rPr>
          <w:color w:val="1D2E5C"/>
        </w:rPr>
      </w:pPr>
      <w:r w:rsidRPr="00153671">
        <w:rPr>
          <w:color w:val="1D2E5C"/>
        </w:rPr>
        <w:t>Appendices</w:t>
      </w:r>
    </w:p>
    <w:tbl>
      <w:tblPr>
        <w:tblStyle w:val="TableGrid"/>
        <w:tblW w:w="0" w:type="auto"/>
        <w:tblBorders>
          <w:top w:val="none" w:sz="0" w:space="0" w:color="auto"/>
          <w:left w:val="none" w:sz="0" w:space="0" w:color="auto"/>
          <w:bottom w:val="single" w:sz="8" w:space="0" w:color="FFFFFF" w:themeColor="background2"/>
          <w:right w:val="none" w:sz="0" w:space="0" w:color="auto"/>
          <w:insideH w:val="single" w:sz="8" w:space="0" w:color="FFFFFF" w:themeColor="background2"/>
          <w:insideV w:val="none" w:sz="0" w:space="0" w:color="auto"/>
        </w:tblBorders>
        <w:tblCellMar>
          <w:left w:w="0" w:type="dxa"/>
          <w:right w:w="0" w:type="dxa"/>
        </w:tblCellMar>
        <w:tblLook w:val="04A0" w:firstRow="1" w:lastRow="0" w:firstColumn="1" w:lastColumn="0" w:noHBand="0" w:noVBand="1"/>
        <w:tblCaption w:val="Table of contents"/>
        <w:tblDescription w:val="Appendices"/>
      </w:tblPr>
      <w:tblGrid>
        <w:gridCol w:w="4979"/>
        <w:gridCol w:w="825"/>
      </w:tblGrid>
      <w:tr w:rsidR="00153671" w14:paraId="0ED263E9" w14:textId="77777777" w:rsidTr="00500986">
        <w:tc>
          <w:tcPr>
            <w:tcW w:w="4979" w:type="dxa"/>
          </w:tcPr>
          <w:p w14:paraId="1C6870D4" w14:textId="77777777" w:rsidR="00153671" w:rsidRPr="00D96672" w:rsidRDefault="0047553F" w:rsidP="00500986">
            <w:pPr>
              <w:pStyle w:val="Reportcontent"/>
              <w:spacing w:before="160"/>
            </w:pPr>
            <w:r w:rsidRPr="0047553F">
              <w:t>Appendix A: Freedom of information summary</w:t>
            </w:r>
          </w:p>
        </w:tc>
        <w:tc>
          <w:tcPr>
            <w:tcW w:w="825" w:type="dxa"/>
          </w:tcPr>
          <w:p w14:paraId="6DBD3620" w14:textId="77777777" w:rsidR="00153671" w:rsidRPr="00D96672" w:rsidRDefault="0047553F" w:rsidP="00500986">
            <w:pPr>
              <w:pStyle w:val="Reportcontent"/>
              <w:spacing w:before="160"/>
              <w:jc w:val="right"/>
            </w:pPr>
            <w:r>
              <w:t>108</w:t>
            </w:r>
          </w:p>
        </w:tc>
      </w:tr>
      <w:tr w:rsidR="00153671" w14:paraId="28262CB9" w14:textId="77777777" w:rsidTr="00500986">
        <w:tc>
          <w:tcPr>
            <w:tcW w:w="4979" w:type="dxa"/>
          </w:tcPr>
          <w:p w14:paraId="384FA5E8" w14:textId="77777777" w:rsidR="00153671" w:rsidRPr="00D96672" w:rsidRDefault="0047553F" w:rsidP="00500986">
            <w:pPr>
              <w:pStyle w:val="Reportcontent"/>
              <w:spacing w:before="160"/>
            </w:pPr>
            <w:r w:rsidRPr="0047553F">
              <w:t>Appendix B: Compliance with ecologically sustainable development</w:t>
            </w:r>
          </w:p>
        </w:tc>
        <w:tc>
          <w:tcPr>
            <w:tcW w:w="825" w:type="dxa"/>
          </w:tcPr>
          <w:p w14:paraId="629C7AF6" w14:textId="77777777" w:rsidR="00153671" w:rsidRPr="00D96672" w:rsidRDefault="0047553F" w:rsidP="00500986">
            <w:pPr>
              <w:pStyle w:val="Reportcontent"/>
              <w:spacing w:before="160"/>
              <w:jc w:val="right"/>
            </w:pPr>
            <w:r>
              <w:t>109</w:t>
            </w:r>
          </w:p>
        </w:tc>
      </w:tr>
      <w:tr w:rsidR="00153671" w14:paraId="041851C0" w14:textId="77777777" w:rsidTr="00500986">
        <w:tc>
          <w:tcPr>
            <w:tcW w:w="4979" w:type="dxa"/>
          </w:tcPr>
          <w:p w14:paraId="5B8E8AA0" w14:textId="77777777" w:rsidR="00153671" w:rsidRPr="00D96672" w:rsidRDefault="0047553F" w:rsidP="00500986">
            <w:pPr>
              <w:pStyle w:val="Reportcontent"/>
              <w:spacing w:before="160"/>
            </w:pPr>
            <w:r w:rsidRPr="0047553F">
              <w:t>Appendix C: Related-entity transactions</w:t>
            </w:r>
          </w:p>
        </w:tc>
        <w:tc>
          <w:tcPr>
            <w:tcW w:w="825" w:type="dxa"/>
          </w:tcPr>
          <w:p w14:paraId="0668F8AA" w14:textId="77777777" w:rsidR="00153671" w:rsidRPr="00D96672" w:rsidRDefault="0047553F" w:rsidP="00500986">
            <w:pPr>
              <w:pStyle w:val="Reportcontent"/>
              <w:spacing w:before="160"/>
              <w:jc w:val="right"/>
            </w:pPr>
            <w:r>
              <w:t>110</w:t>
            </w:r>
          </w:p>
        </w:tc>
      </w:tr>
    </w:tbl>
    <w:p w14:paraId="3404EADF" w14:textId="77777777" w:rsidR="00153671" w:rsidRDefault="00153671" w:rsidP="005E0AFC">
      <w:pPr>
        <w:pStyle w:val="BodyText"/>
      </w:pPr>
    </w:p>
    <w:p w14:paraId="3BB348B9" w14:textId="77777777" w:rsidR="00153671" w:rsidRDefault="00153671" w:rsidP="005E0AFC">
      <w:pPr>
        <w:pStyle w:val="BodyText"/>
      </w:pPr>
    </w:p>
    <w:p w14:paraId="67F9C7A2" w14:textId="77777777" w:rsidR="002A58B5" w:rsidRDefault="002A58B5" w:rsidP="005E0AFC">
      <w:pPr>
        <w:pStyle w:val="BodyText"/>
        <w:sectPr w:rsidR="002A58B5" w:rsidSect="00153671">
          <w:headerReference w:type="even" r:id="rId104"/>
          <w:headerReference w:type="default" r:id="rId105"/>
          <w:footerReference w:type="even" r:id="rId106"/>
          <w:footerReference w:type="default" r:id="rId107"/>
          <w:pgSz w:w="9979" w:h="14175" w:code="34"/>
          <w:pgMar w:top="1418" w:right="680" w:bottom="851" w:left="1021" w:header="567" w:footer="397" w:gutter="0"/>
          <w:cols w:space="340"/>
          <w:noEndnote/>
        </w:sectPr>
      </w:pPr>
    </w:p>
    <w:p w14:paraId="746C774D" w14:textId="77777777" w:rsidR="002A58B5" w:rsidRDefault="002A58B5" w:rsidP="00C22F1D">
      <w:pPr>
        <w:pStyle w:val="Heading1"/>
      </w:pPr>
      <w:r>
        <w:lastRenderedPageBreak/>
        <w:t>Appendix A: Freedom of information summary</w:t>
      </w:r>
    </w:p>
    <w:p w14:paraId="0029C2EE" w14:textId="77777777" w:rsidR="002A58B5" w:rsidRPr="00C22F1D" w:rsidRDefault="002A58B5" w:rsidP="00C22F1D">
      <w:pPr>
        <w:pStyle w:val="BodyText"/>
      </w:pPr>
      <w:r w:rsidRPr="00C22F1D">
        <w:t>The following table summarises the year’s freedom of information (FOI) requests and their outcomes, as discussed on page 70.</w:t>
      </w:r>
    </w:p>
    <w:p w14:paraId="5D27E4F9" w14:textId="77777777" w:rsidR="002A58B5" w:rsidRPr="00011CF0" w:rsidRDefault="002A58B5" w:rsidP="00C22F1D">
      <w:pPr>
        <w:pStyle w:val="Figuretitle"/>
      </w:pPr>
      <w:r w:rsidRPr="00011CF0">
        <w:t>Table 7: Freedom of information summary 2016–17</w:t>
      </w:r>
    </w:p>
    <w:tbl>
      <w:tblPr>
        <w:tblW w:w="0" w:type="auto"/>
        <w:tblInd w:w="-8" w:type="dxa"/>
        <w:tblLayout w:type="fixed"/>
        <w:tblCellMar>
          <w:left w:w="0" w:type="dxa"/>
          <w:right w:w="0" w:type="dxa"/>
        </w:tblCellMar>
        <w:tblLook w:val="0000" w:firstRow="0" w:lastRow="0" w:firstColumn="0" w:lastColumn="0" w:noHBand="0" w:noVBand="0"/>
        <w:tblCaption w:val="Table 7: Freedom of information summary 2016–17"/>
      </w:tblPr>
      <w:tblGrid>
        <w:gridCol w:w="6803"/>
        <w:gridCol w:w="1474"/>
      </w:tblGrid>
      <w:tr w:rsidR="00C22F1D" w:rsidRPr="00C22F1D" w14:paraId="437E5DBD" w14:textId="77777777" w:rsidTr="00C22F1D">
        <w:trPr>
          <w:trHeight w:val="60"/>
        </w:trPr>
        <w:tc>
          <w:tcPr>
            <w:tcW w:w="6803" w:type="dxa"/>
            <w:tcBorders>
              <w:top w:val="single" w:sz="18" w:space="0" w:color="1C2E5B"/>
              <w:bottom w:val="single" w:sz="4" w:space="0" w:color="1C2E5B"/>
            </w:tcBorders>
            <w:shd w:val="solid" w:color="225098" w:fill="auto"/>
            <w:tcMar>
              <w:top w:w="57" w:type="dxa"/>
              <w:left w:w="113" w:type="dxa"/>
              <w:bottom w:w="57" w:type="dxa"/>
              <w:right w:w="113" w:type="dxa"/>
            </w:tcMar>
          </w:tcPr>
          <w:p w14:paraId="5E880D5B" w14:textId="77777777" w:rsidR="00C22F1D" w:rsidRPr="00C22F1D" w:rsidRDefault="00C22F1D" w:rsidP="00C22F1D">
            <w:pPr>
              <w:pStyle w:val="Tableheading"/>
              <w:rPr>
                <w:color w:val="000000"/>
              </w:rPr>
            </w:pPr>
            <w:r w:rsidRPr="00C22F1D">
              <w:t>Activity</w:t>
            </w:r>
          </w:p>
        </w:tc>
        <w:tc>
          <w:tcPr>
            <w:tcW w:w="1474" w:type="dxa"/>
            <w:tcBorders>
              <w:top w:val="single" w:sz="18" w:space="0" w:color="1C2E5B"/>
              <w:bottom w:val="single" w:sz="4" w:space="0" w:color="1C2E5B"/>
            </w:tcBorders>
            <w:shd w:val="solid" w:color="225098" w:fill="auto"/>
            <w:tcMar>
              <w:top w:w="57" w:type="dxa"/>
              <w:left w:w="113" w:type="dxa"/>
              <w:bottom w:w="57" w:type="dxa"/>
              <w:right w:w="227" w:type="dxa"/>
            </w:tcMar>
          </w:tcPr>
          <w:p w14:paraId="24754FAD" w14:textId="77777777" w:rsidR="00C22F1D" w:rsidRPr="00C22F1D" w:rsidRDefault="00C22F1D" w:rsidP="00C22F1D">
            <w:pPr>
              <w:pStyle w:val="Tableheading"/>
              <w:jc w:val="right"/>
              <w:rPr>
                <w:color w:val="000000"/>
              </w:rPr>
            </w:pPr>
            <w:r w:rsidRPr="00C22F1D">
              <w:t>Number</w:t>
            </w:r>
          </w:p>
        </w:tc>
      </w:tr>
      <w:tr w:rsidR="00C22F1D" w:rsidRPr="00C22F1D" w14:paraId="41B0BED8" w14:textId="77777777" w:rsidTr="00C22F1D">
        <w:trPr>
          <w:trHeight w:val="60"/>
        </w:trPr>
        <w:tc>
          <w:tcPr>
            <w:tcW w:w="8277" w:type="dxa"/>
            <w:gridSpan w:val="2"/>
            <w:tcBorders>
              <w:top w:val="single" w:sz="4" w:space="0" w:color="1C2E5B"/>
              <w:bottom w:val="single" w:sz="4" w:space="0" w:color="225098"/>
            </w:tcBorders>
            <w:shd w:val="clear" w:color="auto" w:fill="DFE1EF"/>
            <w:tcMar>
              <w:top w:w="57" w:type="dxa"/>
              <w:left w:w="113" w:type="dxa"/>
              <w:bottom w:w="57" w:type="dxa"/>
              <w:right w:w="113" w:type="dxa"/>
            </w:tcMar>
          </w:tcPr>
          <w:p w14:paraId="61DEF6D9" w14:textId="77777777" w:rsidR="00C22F1D" w:rsidRPr="00C22F1D" w:rsidRDefault="00C22F1D" w:rsidP="00C22F1D">
            <w:pPr>
              <w:pStyle w:val="Tabletext"/>
              <w:rPr>
                <w:rStyle w:val="Strong"/>
              </w:rPr>
            </w:pPr>
            <w:r w:rsidRPr="00C22F1D">
              <w:rPr>
                <w:rStyle w:val="Strong"/>
              </w:rPr>
              <w:t>Requests</w:t>
            </w:r>
          </w:p>
        </w:tc>
      </w:tr>
      <w:tr w:rsidR="00C22F1D" w:rsidRPr="00C22F1D" w14:paraId="237060D8" w14:textId="77777777" w:rsidTr="00C22F1D">
        <w:trPr>
          <w:trHeight w:val="60"/>
        </w:trPr>
        <w:tc>
          <w:tcPr>
            <w:tcW w:w="6803" w:type="dxa"/>
            <w:tcBorders>
              <w:top w:val="single" w:sz="4" w:space="0" w:color="225098"/>
              <w:bottom w:val="single" w:sz="4" w:space="0" w:color="225098"/>
            </w:tcBorders>
            <w:tcMar>
              <w:top w:w="57" w:type="dxa"/>
              <w:left w:w="113" w:type="dxa"/>
              <w:bottom w:w="57" w:type="dxa"/>
              <w:right w:w="113" w:type="dxa"/>
            </w:tcMar>
          </w:tcPr>
          <w:p w14:paraId="34964068" w14:textId="77777777" w:rsidR="00C22F1D" w:rsidRPr="00C22F1D" w:rsidRDefault="00C22F1D" w:rsidP="00C22F1D">
            <w:pPr>
              <w:pStyle w:val="Tabletext"/>
            </w:pPr>
            <w:r w:rsidRPr="00C22F1D">
              <w:t>On hand as at 1 July 2016</w:t>
            </w:r>
          </w:p>
        </w:tc>
        <w:tc>
          <w:tcPr>
            <w:tcW w:w="1474" w:type="dxa"/>
            <w:tcBorders>
              <w:top w:val="single" w:sz="4" w:space="0" w:color="225098"/>
              <w:bottom w:val="single" w:sz="4" w:space="0" w:color="225098"/>
            </w:tcBorders>
            <w:tcMar>
              <w:top w:w="57" w:type="dxa"/>
              <w:left w:w="113" w:type="dxa"/>
              <w:bottom w:w="57" w:type="dxa"/>
              <w:right w:w="227" w:type="dxa"/>
            </w:tcMar>
          </w:tcPr>
          <w:p w14:paraId="0331AAC1" w14:textId="77777777" w:rsidR="00C22F1D" w:rsidRPr="00C22F1D" w:rsidRDefault="00C22F1D" w:rsidP="00C22F1D">
            <w:pPr>
              <w:pStyle w:val="Tabletext"/>
              <w:jc w:val="right"/>
            </w:pPr>
            <w:r w:rsidRPr="00C22F1D">
              <w:t>0</w:t>
            </w:r>
          </w:p>
        </w:tc>
      </w:tr>
      <w:tr w:rsidR="00C22F1D" w:rsidRPr="00C22F1D" w14:paraId="398971D2" w14:textId="77777777" w:rsidTr="00C22F1D">
        <w:trPr>
          <w:trHeight w:val="60"/>
        </w:trPr>
        <w:tc>
          <w:tcPr>
            <w:tcW w:w="6803" w:type="dxa"/>
            <w:tcBorders>
              <w:top w:val="single" w:sz="4" w:space="0" w:color="225098"/>
              <w:bottom w:val="single" w:sz="4" w:space="0" w:color="225098"/>
            </w:tcBorders>
            <w:tcMar>
              <w:top w:w="57" w:type="dxa"/>
              <w:left w:w="113" w:type="dxa"/>
              <w:bottom w:w="57" w:type="dxa"/>
              <w:right w:w="113" w:type="dxa"/>
            </w:tcMar>
          </w:tcPr>
          <w:p w14:paraId="293FF0D3" w14:textId="77777777" w:rsidR="00C22F1D" w:rsidRPr="00C22F1D" w:rsidRDefault="00C22F1D" w:rsidP="00C22F1D">
            <w:pPr>
              <w:pStyle w:val="Tabletext"/>
            </w:pPr>
            <w:r w:rsidRPr="00C22F1D">
              <w:t>New requests received</w:t>
            </w:r>
          </w:p>
        </w:tc>
        <w:tc>
          <w:tcPr>
            <w:tcW w:w="1474" w:type="dxa"/>
            <w:tcBorders>
              <w:top w:val="single" w:sz="4" w:space="0" w:color="225098"/>
              <w:bottom w:val="single" w:sz="4" w:space="0" w:color="225098"/>
            </w:tcBorders>
            <w:tcMar>
              <w:top w:w="57" w:type="dxa"/>
              <w:left w:w="113" w:type="dxa"/>
              <w:bottom w:w="57" w:type="dxa"/>
              <w:right w:w="227" w:type="dxa"/>
            </w:tcMar>
          </w:tcPr>
          <w:p w14:paraId="15069B88" w14:textId="77777777" w:rsidR="00C22F1D" w:rsidRPr="00C22F1D" w:rsidRDefault="00C22F1D" w:rsidP="00C22F1D">
            <w:pPr>
              <w:pStyle w:val="Tabletext"/>
              <w:jc w:val="right"/>
            </w:pPr>
            <w:r w:rsidRPr="00C22F1D">
              <w:t>6</w:t>
            </w:r>
          </w:p>
        </w:tc>
      </w:tr>
      <w:tr w:rsidR="00C22F1D" w:rsidRPr="00C22F1D" w14:paraId="1C9D04BB" w14:textId="77777777" w:rsidTr="00C22F1D">
        <w:trPr>
          <w:trHeight w:val="60"/>
        </w:trPr>
        <w:tc>
          <w:tcPr>
            <w:tcW w:w="6803" w:type="dxa"/>
            <w:tcBorders>
              <w:top w:val="single" w:sz="4" w:space="0" w:color="225098"/>
              <w:bottom w:val="single" w:sz="4" w:space="0" w:color="225098"/>
            </w:tcBorders>
            <w:tcMar>
              <w:top w:w="57" w:type="dxa"/>
              <w:left w:w="113" w:type="dxa"/>
              <w:bottom w:w="57" w:type="dxa"/>
              <w:right w:w="113" w:type="dxa"/>
            </w:tcMar>
          </w:tcPr>
          <w:p w14:paraId="68E04EB7" w14:textId="77777777" w:rsidR="00C22F1D" w:rsidRPr="00C22F1D" w:rsidRDefault="00C22F1D" w:rsidP="00C22F1D">
            <w:pPr>
              <w:pStyle w:val="Tabletext"/>
            </w:pPr>
            <w:r w:rsidRPr="00C22F1D">
              <w:t>Total requests handled</w:t>
            </w:r>
          </w:p>
        </w:tc>
        <w:tc>
          <w:tcPr>
            <w:tcW w:w="1474" w:type="dxa"/>
            <w:tcBorders>
              <w:top w:val="single" w:sz="4" w:space="0" w:color="225098"/>
              <w:bottom w:val="single" w:sz="4" w:space="0" w:color="225098"/>
            </w:tcBorders>
            <w:tcMar>
              <w:top w:w="57" w:type="dxa"/>
              <w:left w:w="113" w:type="dxa"/>
              <w:bottom w:w="57" w:type="dxa"/>
              <w:right w:w="227" w:type="dxa"/>
            </w:tcMar>
          </w:tcPr>
          <w:p w14:paraId="0038C2FD" w14:textId="77777777" w:rsidR="00C22F1D" w:rsidRPr="00C22F1D" w:rsidRDefault="00C22F1D" w:rsidP="00C22F1D">
            <w:pPr>
              <w:pStyle w:val="Tabletext"/>
              <w:jc w:val="right"/>
            </w:pPr>
            <w:r w:rsidRPr="00C22F1D">
              <w:t>5</w:t>
            </w:r>
          </w:p>
        </w:tc>
      </w:tr>
      <w:tr w:rsidR="00C22F1D" w:rsidRPr="00C22F1D" w14:paraId="570AED37" w14:textId="77777777" w:rsidTr="00C22F1D">
        <w:trPr>
          <w:trHeight w:val="60"/>
        </w:trPr>
        <w:tc>
          <w:tcPr>
            <w:tcW w:w="6803" w:type="dxa"/>
            <w:tcBorders>
              <w:top w:val="single" w:sz="4" w:space="0" w:color="225098"/>
              <w:bottom w:val="single" w:sz="4" w:space="0" w:color="225098"/>
            </w:tcBorders>
            <w:tcMar>
              <w:top w:w="57" w:type="dxa"/>
              <w:left w:w="113" w:type="dxa"/>
              <w:bottom w:w="57" w:type="dxa"/>
              <w:right w:w="113" w:type="dxa"/>
            </w:tcMar>
          </w:tcPr>
          <w:p w14:paraId="4ECB42D7" w14:textId="77777777" w:rsidR="00C22F1D" w:rsidRPr="00C22F1D" w:rsidRDefault="00C22F1D" w:rsidP="00C22F1D">
            <w:pPr>
              <w:pStyle w:val="Tabletext"/>
            </w:pPr>
            <w:r w:rsidRPr="00C22F1D">
              <w:t>Total requests completed as at 30 June 2017</w:t>
            </w:r>
          </w:p>
        </w:tc>
        <w:tc>
          <w:tcPr>
            <w:tcW w:w="1474" w:type="dxa"/>
            <w:tcBorders>
              <w:top w:val="single" w:sz="4" w:space="0" w:color="225098"/>
              <w:bottom w:val="single" w:sz="4" w:space="0" w:color="225098"/>
            </w:tcBorders>
            <w:tcMar>
              <w:top w:w="57" w:type="dxa"/>
              <w:left w:w="113" w:type="dxa"/>
              <w:bottom w:w="57" w:type="dxa"/>
              <w:right w:w="227" w:type="dxa"/>
            </w:tcMar>
          </w:tcPr>
          <w:p w14:paraId="66D01037" w14:textId="77777777" w:rsidR="00C22F1D" w:rsidRPr="00C22F1D" w:rsidRDefault="00C22F1D" w:rsidP="00C22F1D">
            <w:pPr>
              <w:pStyle w:val="Tabletext"/>
              <w:jc w:val="right"/>
            </w:pPr>
            <w:r w:rsidRPr="00C22F1D">
              <w:t>5</w:t>
            </w:r>
          </w:p>
        </w:tc>
      </w:tr>
      <w:tr w:rsidR="00C22F1D" w:rsidRPr="00C22F1D" w14:paraId="660C614D" w14:textId="77777777" w:rsidTr="00C22F1D">
        <w:trPr>
          <w:trHeight w:val="60"/>
        </w:trPr>
        <w:tc>
          <w:tcPr>
            <w:tcW w:w="6803" w:type="dxa"/>
            <w:tcBorders>
              <w:top w:val="single" w:sz="4" w:space="0" w:color="225098"/>
              <w:bottom w:val="single" w:sz="4" w:space="0" w:color="225098"/>
            </w:tcBorders>
            <w:tcMar>
              <w:top w:w="57" w:type="dxa"/>
              <w:left w:w="113" w:type="dxa"/>
              <w:bottom w:w="57" w:type="dxa"/>
              <w:right w:w="113" w:type="dxa"/>
            </w:tcMar>
          </w:tcPr>
          <w:p w14:paraId="593B2BA6" w14:textId="77777777" w:rsidR="00C22F1D" w:rsidRPr="00C22F1D" w:rsidRDefault="00C22F1D" w:rsidP="00C22F1D">
            <w:pPr>
              <w:pStyle w:val="Tabletext"/>
            </w:pPr>
            <w:r w:rsidRPr="00C22F1D">
              <w:t>Total requests on hand as at 30 June 2017</w:t>
            </w:r>
          </w:p>
        </w:tc>
        <w:tc>
          <w:tcPr>
            <w:tcW w:w="1474" w:type="dxa"/>
            <w:tcBorders>
              <w:top w:val="single" w:sz="4" w:space="0" w:color="225098"/>
              <w:bottom w:val="single" w:sz="4" w:space="0" w:color="225098"/>
            </w:tcBorders>
            <w:tcMar>
              <w:top w:w="57" w:type="dxa"/>
              <w:left w:w="113" w:type="dxa"/>
              <w:bottom w:w="57" w:type="dxa"/>
              <w:right w:w="227" w:type="dxa"/>
            </w:tcMar>
          </w:tcPr>
          <w:p w14:paraId="4E0662E2" w14:textId="77777777" w:rsidR="00C22F1D" w:rsidRPr="00C22F1D" w:rsidRDefault="00C22F1D" w:rsidP="00C22F1D">
            <w:pPr>
              <w:pStyle w:val="Tabletext"/>
              <w:jc w:val="right"/>
            </w:pPr>
            <w:r w:rsidRPr="00C22F1D">
              <w:t>0</w:t>
            </w:r>
          </w:p>
        </w:tc>
      </w:tr>
      <w:tr w:rsidR="00C22F1D" w:rsidRPr="00C22F1D" w14:paraId="34319BAF" w14:textId="77777777" w:rsidTr="00C22F1D">
        <w:trPr>
          <w:trHeight w:val="60"/>
        </w:trPr>
        <w:tc>
          <w:tcPr>
            <w:tcW w:w="8277" w:type="dxa"/>
            <w:gridSpan w:val="2"/>
            <w:tcBorders>
              <w:top w:val="single" w:sz="4" w:space="0" w:color="225098"/>
              <w:bottom w:val="single" w:sz="4" w:space="0" w:color="225098"/>
            </w:tcBorders>
            <w:shd w:val="clear" w:color="auto" w:fill="DFE1EF"/>
            <w:tcMar>
              <w:top w:w="57" w:type="dxa"/>
              <w:left w:w="113" w:type="dxa"/>
              <w:bottom w:w="57" w:type="dxa"/>
              <w:right w:w="113" w:type="dxa"/>
            </w:tcMar>
          </w:tcPr>
          <w:p w14:paraId="03FDA1B7" w14:textId="77777777" w:rsidR="00C22F1D" w:rsidRPr="00C22F1D" w:rsidRDefault="00C22F1D" w:rsidP="00C22F1D">
            <w:pPr>
              <w:pStyle w:val="Tabletext"/>
              <w:rPr>
                <w:rStyle w:val="Strong"/>
              </w:rPr>
            </w:pPr>
            <w:r w:rsidRPr="00C22F1D">
              <w:rPr>
                <w:rStyle w:val="Strong"/>
              </w:rPr>
              <w:t>Action of request</w:t>
            </w:r>
          </w:p>
        </w:tc>
      </w:tr>
      <w:tr w:rsidR="00C22F1D" w:rsidRPr="00C22F1D" w14:paraId="3FA260F0" w14:textId="77777777" w:rsidTr="00C22F1D">
        <w:trPr>
          <w:trHeight w:val="60"/>
        </w:trPr>
        <w:tc>
          <w:tcPr>
            <w:tcW w:w="6803" w:type="dxa"/>
            <w:tcBorders>
              <w:top w:val="single" w:sz="4" w:space="0" w:color="225098"/>
              <w:bottom w:val="single" w:sz="4" w:space="0" w:color="225098"/>
            </w:tcBorders>
            <w:tcMar>
              <w:top w:w="57" w:type="dxa"/>
              <w:left w:w="113" w:type="dxa"/>
              <w:bottom w:w="57" w:type="dxa"/>
              <w:right w:w="113" w:type="dxa"/>
            </w:tcMar>
          </w:tcPr>
          <w:p w14:paraId="6E2E56DF" w14:textId="77777777" w:rsidR="00C22F1D" w:rsidRPr="00C22F1D" w:rsidRDefault="00C22F1D" w:rsidP="00C22F1D">
            <w:pPr>
              <w:pStyle w:val="Tabletext"/>
            </w:pPr>
            <w:r w:rsidRPr="00C22F1D">
              <w:t>Access granted in full</w:t>
            </w:r>
          </w:p>
        </w:tc>
        <w:tc>
          <w:tcPr>
            <w:tcW w:w="1474" w:type="dxa"/>
            <w:tcBorders>
              <w:top w:val="single" w:sz="4" w:space="0" w:color="225098"/>
              <w:bottom w:val="single" w:sz="4" w:space="0" w:color="225098"/>
            </w:tcBorders>
            <w:tcMar>
              <w:top w:w="57" w:type="dxa"/>
              <w:left w:w="113" w:type="dxa"/>
              <w:bottom w:w="57" w:type="dxa"/>
              <w:right w:w="227" w:type="dxa"/>
            </w:tcMar>
          </w:tcPr>
          <w:p w14:paraId="02C7A21A" w14:textId="77777777" w:rsidR="00C22F1D" w:rsidRPr="00C22F1D" w:rsidRDefault="00C22F1D" w:rsidP="00C22F1D">
            <w:pPr>
              <w:pStyle w:val="Tabletext"/>
              <w:jc w:val="right"/>
            </w:pPr>
            <w:r w:rsidRPr="00C22F1D">
              <w:t>2</w:t>
            </w:r>
          </w:p>
        </w:tc>
      </w:tr>
      <w:tr w:rsidR="00C22F1D" w:rsidRPr="00C22F1D" w14:paraId="328D21D8" w14:textId="77777777" w:rsidTr="00C22F1D">
        <w:trPr>
          <w:trHeight w:val="60"/>
        </w:trPr>
        <w:tc>
          <w:tcPr>
            <w:tcW w:w="6803" w:type="dxa"/>
            <w:tcBorders>
              <w:top w:val="single" w:sz="4" w:space="0" w:color="225098"/>
              <w:bottom w:val="single" w:sz="4" w:space="0" w:color="225098"/>
            </w:tcBorders>
            <w:tcMar>
              <w:top w:w="57" w:type="dxa"/>
              <w:left w:w="113" w:type="dxa"/>
              <w:bottom w:w="57" w:type="dxa"/>
              <w:right w:w="113" w:type="dxa"/>
            </w:tcMar>
          </w:tcPr>
          <w:p w14:paraId="536DB872" w14:textId="77777777" w:rsidR="00C22F1D" w:rsidRPr="00C22F1D" w:rsidRDefault="00C22F1D" w:rsidP="00C22F1D">
            <w:pPr>
              <w:pStyle w:val="Tabletext"/>
            </w:pPr>
            <w:r w:rsidRPr="00C22F1D">
              <w:t>Access granted in part</w:t>
            </w:r>
          </w:p>
        </w:tc>
        <w:tc>
          <w:tcPr>
            <w:tcW w:w="1474" w:type="dxa"/>
            <w:tcBorders>
              <w:top w:val="single" w:sz="4" w:space="0" w:color="225098"/>
              <w:bottom w:val="single" w:sz="4" w:space="0" w:color="225098"/>
            </w:tcBorders>
            <w:tcMar>
              <w:top w:w="57" w:type="dxa"/>
              <w:left w:w="113" w:type="dxa"/>
              <w:bottom w:w="57" w:type="dxa"/>
              <w:right w:w="227" w:type="dxa"/>
            </w:tcMar>
          </w:tcPr>
          <w:p w14:paraId="3349D56A" w14:textId="77777777" w:rsidR="00C22F1D" w:rsidRPr="00C22F1D" w:rsidRDefault="00C22F1D" w:rsidP="00C22F1D">
            <w:pPr>
              <w:pStyle w:val="Tabletext"/>
              <w:jc w:val="right"/>
            </w:pPr>
            <w:r w:rsidRPr="00C22F1D">
              <w:t>1</w:t>
            </w:r>
          </w:p>
        </w:tc>
      </w:tr>
      <w:tr w:rsidR="00C22F1D" w:rsidRPr="00C22F1D" w14:paraId="341A2295" w14:textId="77777777" w:rsidTr="00C22F1D">
        <w:trPr>
          <w:trHeight w:val="60"/>
        </w:trPr>
        <w:tc>
          <w:tcPr>
            <w:tcW w:w="6803" w:type="dxa"/>
            <w:tcBorders>
              <w:top w:val="single" w:sz="4" w:space="0" w:color="225098"/>
              <w:bottom w:val="single" w:sz="4" w:space="0" w:color="225098"/>
            </w:tcBorders>
            <w:tcMar>
              <w:top w:w="57" w:type="dxa"/>
              <w:left w:w="113" w:type="dxa"/>
              <w:bottom w:w="57" w:type="dxa"/>
              <w:right w:w="113" w:type="dxa"/>
            </w:tcMar>
          </w:tcPr>
          <w:p w14:paraId="6B58293E" w14:textId="77777777" w:rsidR="00C22F1D" w:rsidRPr="00C22F1D" w:rsidRDefault="00C22F1D" w:rsidP="00C22F1D">
            <w:pPr>
              <w:pStyle w:val="Tabletext"/>
            </w:pPr>
            <w:r w:rsidRPr="00C22F1D">
              <w:t>Access refused</w:t>
            </w:r>
          </w:p>
        </w:tc>
        <w:tc>
          <w:tcPr>
            <w:tcW w:w="1474" w:type="dxa"/>
            <w:tcBorders>
              <w:top w:val="single" w:sz="4" w:space="0" w:color="225098"/>
              <w:bottom w:val="single" w:sz="4" w:space="0" w:color="225098"/>
            </w:tcBorders>
            <w:tcMar>
              <w:top w:w="57" w:type="dxa"/>
              <w:left w:w="113" w:type="dxa"/>
              <w:bottom w:w="57" w:type="dxa"/>
              <w:right w:w="227" w:type="dxa"/>
            </w:tcMar>
          </w:tcPr>
          <w:p w14:paraId="30331E32" w14:textId="77777777" w:rsidR="00C22F1D" w:rsidRPr="00C22F1D" w:rsidRDefault="00C22F1D" w:rsidP="00C22F1D">
            <w:pPr>
              <w:pStyle w:val="Tabletext"/>
              <w:jc w:val="right"/>
            </w:pPr>
            <w:r w:rsidRPr="00C22F1D">
              <w:t>2</w:t>
            </w:r>
          </w:p>
        </w:tc>
      </w:tr>
      <w:tr w:rsidR="00C22F1D" w:rsidRPr="00C22F1D" w14:paraId="4AD98F68" w14:textId="77777777" w:rsidTr="00C22F1D">
        <w:trPr>
          <w:trHeight w:val="60"/>
        </w:trPr>
        <w:tc>
          <w:tcPr>
            <w:tcW w:w="6803" w:type="dxa"/>
            <w:tcBorders>
              <w:top w:val="single" w:sz="4" w:space="0" w:color="225098"/>
              <w:bottom w:val="single" w:sz="4" w:space="0" w:color="225098"/>
            </w:tcBorders>
            <w:tcMar>
              <w:top w:w="57" w:type="dxa"/>
              <w:left w:w="113" w:type="dxa"/>
              <w:bottom w:w="57" w:type="dxa"/>
              <w:right w:w="113" w:type="dxa"/>
            </w:tcMar>
          </w:tcPr>
          <w:p w14:paraId="69AD6D5E" w14:textId="77777777" w:rsidR="00C22F1D" w:rsidRPr="00C22F1D" w:rsidRDefault="00C22F1D" w:rsidP="00C22F1D">
            <w:pPr>
              <w:pStyle w:val="Tabletext"/>
            </w:pPr>
            <w:r w:rsidRPr="00C22F1D">
              <w:t>Access transferred in full</w:t>
            </w:r>
          </w:p>
        </w:tc>
        <w:tc>
          <w:tcPr>
            <w:tcW w:w="1474" w:type="dxa"/>
            <w:tcBorders>
              <w:top w:val="single" w:sz="4" w:space="0" w:color="225098"/>
              <w:bottom w:val="single" w:sz="4" w:space="0" w:color="225098"/>
            </w:tcBorders>
            <w:tcMar>
              <w:top w:w="57" w:type="dxa"/>
              <w:left w:w="113" w:type="dxa"/>
              <w:bottom w:w="57" w:type="dxa"/>
              <w:right w:w="227" w:type="dxa"/>
            </w:tcMar>
          </w:tcPr>
          <w:p w14:paraId="3D4994AD" w14:textId="77777777" w:rsidR="00C22F1D" w:rsidRPr="00C22F1D" w:rsidRDefault="00C22F1D" w:rsidP="00C22F1D">
            <w:pPr>
              <w:pStyle w:val="Tabletext"/>
              <w:jc w:val="right"/>
            </w:pPr>
            <w:r w:rsidRPr="00C22F1D">
              <w:t>0</w:t>
            </w:r>
          </w:p>
        </w:tc>
      </w:tr>
      <w:tr w:rsidR="00C22F1D" w:rsidRPr="00C22F1D" w14:paraId="1F9E2DD0" w14:textId="77777777" w:rsidTr="00C22F1D">
        <w:trPr>
          <w:trHeight w:val="60"/>
        </w:trPr>
        <w:tc>
          <w:tcPr>
            <w:tcW w:w="6803" w:type="dxa"/>
            <w:tcBorders>
              <w:top w:val="single" w:sz="4" w:space="0" w:color="225098"/>
              <w:bottom w:val="single" w:sz="4" w:space="0" w:color="225098"/>
            </w:tcBorders>
            <w:tcMar>
              <w:top w:w="57" w:type="dxa"/>
              <w:left w:w="113" w:type="dxa"/>
              <w:bottom w:w="57" w:type="dxa"/>
              <w:right w:w="113" w:type="dxa"/>
            </w:tcMar>
          </w:tcPr>
          <w:p w14:paraId="175F6B77" w14:textId="77777777" w:rsidR="00C22F1D" w:rsidRPr="00C22F1D" w:rsidRDefault="00C22F1D" w:rsidP="00C22F1D">
            <w:pPr>
              <w:pStyle w:val="Tabletext"/>
            </w:pPr>
            <w:r w:rsidRPr="00C22F1D">
              <w:t>Request withdrawn</w:t>
            </w:r>
          </w:p>
        </w:tc>
        <w:tc>
          <w:tcPr>
            <w:tcW w:w="1474" w:type="dxa"/>
            <w:tcBorders>
              <w:top w:val="single" w:sz="4" w:space="0" w:color="225098"/>
              <w:bottom w:val="single" w:sz="4" w:space="0" w:color="225098"/>
            </w:tcBorders>
            <w:tcMar>
              <w:top w:w="57" w:type="dxa"/>
              <w:left w:w="113" w:type="dxa"/>
              <w:bottom w:w="57" w:type="dxa"/>
              <w:right w:w="227" w:type="dxa"/>
            </w:tcMar>
          </w:tcPr>
          <w:p w14:paraId="42AA702C" w14:textId="77777777" w:rsidR="00C22F1D" w:rsidRPr="00C22F1D" w:rsidRDefault="00C22F1D" w:rsidP="00C22F1D">
            <w:pPr>
              <w:pStyle w:val="Tabletext"/>
              <w:jc w:val="right"/>
            </w:pPr>
            <w:r w:rsidRPr="00C22F1D">
              <w:t>1</w:t>
            </w:r>
          </w:p>
        </w:tc>
      </w:tr>
      <w:tr w:rsidR="00C22F1D" w:rsidRPr="00C22F1D" w14:paraId="534BDD2A" w14:textId="77777777" w:rsidTr="00C22F1D">
        <w:trPr>
          <w:trHeight w:val="60"/>
        </w:trPr>
        <w:tc>
          <w:tcPr>
            <w:tcW w:w="6803" w:type="dxa"/>
            <w:tcBorders>
              <w:top w:val="single" w:sz="4" w:space="0" w:color="225098"/>
              <w:bottom w:val="single" w:sz="4" w:space="0" w:color="225098"/>
            </w:tcBorders>
            <w:tcMar>
              <w:top w:w="57" w:type="dxa"/>
              <w:left w:w="113" w:type="dxa"/>
              <w:bottom w:w="57" w:type="dxa"/>
              <w:right w:w="113" w:type="dxa"/>
            </w:tcMar>
          </w:tcPr>
          <w:p w14:paraId="125058A3" w14:textId="77777777" w:rsidR="00C22F1D" w:rsidRPr="00C22F1D" w:rsidRDefault="00C22F1D" w:rsidP="00C22F1D">
            <w:pPr>
              <w:pStyle w:val="Tabletext"/>
            </w:pPr>
            <w:r w:rsidRPr="00C22F1D">
              <w:t>No records</w:t>
            </w:r>
          </w:p>
        </w:tc>
        <w:tc>
          <w:tcPr>
            <w:tcW w:w="1474" w:type="dxa"/>
            <w:tcBorders>
              <w:top w:val="single" w:sz="4" w:space="0" w:color="225098"/>
              <w:bottom w:val="single" w:sz="4" w:space="0" w:color="225098"/>
            </w:tcBorders>
            <w:tcMar>
              <w:top w:w="57" w:type="dxa"/>
              <w:left w:w="113" w:type="dxa"/>
              <w:bottom w:w="57" w:type="dxa"/>
              <w:right w:w="227" w:type="dxa"/>
            </w:tcMar>
          </w:tcPr>
          <w:p w14:paraId="2F65110D" w14:textId="77777777" w:rsidR="00C22F1D" w:rsidRPr="00C22F1D" w:rsidRDefault="00C22F1D" w:rsidP="00C22F1D">
            <w:pPr>
              <w:pStyle w:val="Tabletext"/>
              <w:jc w:val="right"/>
            </w:pPr>
            <w:r w:rsidRPr="00C22F1D">
              <w:t>0</w:t>
            </w:r>
          </w:p>
        </w:tc>
      </w:tr>
      <w:tr w:rsidR="00C22F1D" w:rsidRPr="00C22F1D" w14:paraId="13EC0A61" w14:textId="77777777" w:rsidTr="00C22F1D">
        <w:trPr>
          <w:trHeight w:val="60"/>
        </w:trPr>
        <w:tc>
          <w:tcPr>
            <w:tcW w:w="8277" w:type="dxa"/>
            <w:gridSpan w:val="2"/>
            <w:tcBorders>
              <w:top w:val="single" w:sz="4" w:space="0" w:color="225098"/>
              <w:bottom w:val="single" w:sz="4" w:space="0" w:color="225098"/>
            </w:tcBorders>
            <w:shd w:val="clear" w:color="auto" w:fill="DFE1EF"/>
            <w:tcMar>
              <w:top w:w="57" w:type="dxa"/>
              <w:left w:w="113" w:type="dxa"/>
              <w:bottom w:w="57" w:type="dxa"/>
              <w:right w:w="113" w:type="dxa"/>
            </w:tcMar>
          </w:tcPr>
          <w:p w14:paraId="20706C00" w14:textId="77777777" w:rsidR="00C22F1D" w:rsidRPr="00C22F1D" w:rsidRDefault="00C22F1D" w:rsidP="00C22F1D">
            <w:pPr>
              <w:pStyle w:val="Tabletext"/>
              <w:rPr>
                <w:rStyle w:val="Strong"/>
              </w:rPr>
            </w:pPr>
            <w:r w:rsidRPr="00C22F1D">
              <w:rPr>
                <w:rStyle w:val="Strong"/>
              </w:rPr>
              <w:t>Response times</w:t>
            </w:r>
          </w:p>
        </w:tc>
      </w:tr>
      <w:tr w:rsidR="00C22F1D" w:rsidRPr="00C22F1D" w14:paraId="4672B1C7" w14:textId="77777777" w:rsidTr="00C22F1D">
        <w:trPr>
          <w:trHeight w:val="60"/>
        </w:trPr>
        <w:tc>
          <w:tcPr>
            <w:tcW w:w="6803" w:type="dxa"/>
            <w:tcBorders>
              <w:top w:val="single" w:sz="4" w:space="0" w:color="225098"/>
              <w:bottom w:val="single" w:sz="4" w:space="0" w:color="225098"/>
            </w:tcBorders>
            <w:tcMar>
              <w:top w:w="57" w:type="dxa"/>
              <w:left w:w="113" w:type="dxa"/>
              <w:bottom w:w="57" w:type="dxa"/>
              <w:right w:w="113" w:type="dxa"/>
            </w:tcMar>
          </w:tcPr>
          <w:p w14:paraId="6156DE90" w14:textId="77777777" w:rsidR="00C22F1D" w:rsidRPr="00C22F1D" w:rsidRDefault="00C22F1D" w:rsidP="00C22F1D">
            <w:pPr>
              <w:pStyle w:val="Tabletext"/>
            </w:pPr>
            <w:r w:rsidRPr="00C22F1D">
              <w:t>0–30 days</w:t>
            </w:r>
          </w:p>
        </w:tc>
        <w:tc>
          <w:tcPr>
            <w:tcW w:w="1474" w:type="dxa"/>
            <w:tcBorders>
              <w:top w:val="single" w:sz="4" w:space="0" w:color="225098"/>
              <w:bottom w:val="single" w:sz="4" w:space="0" w:color="225098"/>
            </w:tcBorders>
            <w:tcMar>
              <w:top w:w="57" w:type="dxa"/>
              <w:left w:w="113" w:type="dxa"/>
              <w:bottom w:w="57" w:type="dxa"/>
              <w:right w:w="227" w:type="dxa"/>
            </w:tcMar>
          </w:tcPr>
          <w:p w14:paraId="5CA52469" w14:textId="77777777" w:rsidR="00C22F1D" w:rsidRPr="00C22F1D" w:rsidRDefault="00C22F1D" w:rsidP="00C22F1D">
            <w:pPr>
              <w:pStyle w:val="Tabletext"/>
              <w:jc w:val="right"/>
            </w:pPr>
            <w:r w:rsidRPr="00C22F1D">
              <w:t>6</w:t>
            </w:r>
          </w:p>
        </w:tc>
      </w:tr>
      <w:tr w:rsidR="00C22F1D" w:rsidRPr="00C22F1D" w14:paraId="0CEC029D" w14:textId="77777777" w:rsidTr="00C22F1D">
        <w:trPr>
          <w:trHeight w:val="60"/>
        </w:trPr>
        <w:tc>
          <w:tcPr>
            <w:tcW w:w="6803" w:type="dxa"/>
            <w:tcBorders>
              <w:top w:val="single" w:sz="4" w:space="0" w:color="225098"/>
              <w:bottom w:val="single" w:sz="4" w:space="0" w:color="225098"/>
            </w:tcBorders>
            <w:tcMar>
              <w:top w:w="57" w:type="dxa"/>
              <w:left w:w="113" w:type="dxa"/>
              <w:bottom w:w="57" w:type="dxa"/>
              <w:right w:w="113" w:type="dxa"/>
            </w:tcMar>
          </w:tcPr>
          <w:p w14:paraId="391AECC5" w14:textId="77777777" w:rsidR="00C22F1D" w:rsidRPr="00C22F1D" w:rsidRDefault="00C22F1D" w:rsidP="00C22F1D">
            <w:pPr>
              <w:pStyle w:val="Tabletext"/>
            </w:pPr>
            <w:r w:rsidRPr="00C22F1D">
              <w:t>30–60 days</w:t>
            </w:r>
          </w:p>
        </w:tc>
        <w:tc>
          <w:tcPr>
            <w:tcW w:w="1474" w:type="dxa"/>
            <w:tcBorders>
              <w:top w:val="single" w:sz="4" w:space="0" w:color="225098"/>
              <w:bottom w:val="single" w:sz="4" w:space="0" w:color="225098"/>
            </w:tcBorders>
            <w:tcMar>
              <w:top w:w="57" w:type="dxa"/>
              <w:left w:w="113" w:type="dxa"/>
              <w:bottom w:w="57" w:type="dxa"/>
              <w:right w:w="227" w:type="dxa"/>
            </w:tcMar>
          </w:tcPr>
          <w:p w14:paraId="58FA145C" w14:textId="77777777" w:rsidR="00C22F1D" w:rsidRPr="00C22F1D" w:rsidRDefault="00C22F1D" w:rsidP="00C22F1D">
            <w:pPr>
              <w:pStyle w:val="Tabletext"/>
              <w:jc w:val="right"/>
            </w:pPr>
            <w:r w:rsidRPr="00C22F1D">
              <w:t>0</w:t>
            </w:r>
          </w:p>
        </w:tc>
      </w:tr>
      <w:tr w:rsidR="00C22F1D" w:rsidRPr="00C22F1D" w14:paraId="392B9192" w14:textId="77777777" w:rsidTr="00C22F1D">
        <w:trPr>
          <w:trHeight w:val="60"/>
        </w:trPr>
        <w:tc>
          <w:tcPr>
            <w:tcW w:w="8277" w:type="dxa"/>
            <w:gridSpan w:val="2"/>
            <w:tcBorders>
              <w:top w:val="single" w:sz="4" w:space="0" w:color="225098"/>
              <w:bottom w:val="single" w:sz="4" w:space="0" w:color="225098"/>
            </w:tcBorders>
            <w:shd w:val="clear" w:color="auto" w:fill="DFE1EF"/>
            <w:tcMar>
              <w:top w:w="57" w:type="dxa"/>
              <w:left w:w="113" w:type="dxa"/>
              <w:bottom w:w="57" w:type="dxa"/>
              <w:right w:w="113" w:type="dxa"/>
            </w:tcMar>
          </w:tcPr>
          <w:p w14:paraId="552CF7CF" w14:textId="77777777" w:rsidR="00C22F1D" w:rsidRPr="00C22F1D" w:rsidRDefault="00C22F1D" w:rsidP="00C22F1D">
            <w:pPr>
              <w:pStyle w:val="Tabletext"/>
              <w:rPr>
                <w:rStyle w:val="Strong"/>
              </w:rPr>
            </w:pPr>
            <w:r w:rsidRPr="00C22F1D">
              <w:rPr>
                <w:rStyle w:val="Strong"/>
              </w:rPr>
              <w:t>Internal review</w:t>
            </w:r>
          </w:p>
        </w:tc>
      </w:tr>
      <w:tr w:rsidR="00C22F1D" w:rsidRPr="00C22F1D" w14:paraId="7DEDA6E1" w14:textId="77777777" w:rsidTr="00C22F1D">
        <w:trPr>
          <w:trHeight w:val="60"/>
        </w:trPr>
        <w:tc>
          <w:tcPr>
            <w:tcW w:w="6803" w:type="dxa"/>
            <w:tcBorders>
              <w:top w:val="single" w:sz="4" w:space="0" w:color="225098"/>
              <w:bottom w:val="single" w:sz="4" w:space="0" w:color="225098"/>
            </w:tcBorders>
            <w:tcMar>
              <w:top w:w="57" w:type="dxa"/>
              <w:left w:w="113" w:type="dxa"/>
              <w:bottom w:w="57" w:type="dxa"/>
              <w:right w:w="113" w:type="dxa"/>
            </w:tcMar>
          </w:tcPr>
          <w:p w14:paraId="577C71EB" w14:textId="77777777" w:rsidR="00C22F1D" w:rsidRPr="00C22F1D" w:rsidRDefault="00C22F1D" w:rsidP="00C22F1D">
            <w:pPr>
              <w:pStyle w:val="Tabletext"/>
            </w:pPr>
            <w:r w:rsidRPr="00C22F1D">
              <w:t>On hand as at 1 July 2017</w:t>
            </w:r>
          </w:p>
        </w:tc>
        <w:tc>
          <w:tcPr>
            <w:tcW w:w="1474" w:type="dxa"/>
            <w:tcBorders>
              <w:top w:val="single" w:sz="4" w:space="0" w:color="225098"/>
              <w:bottom w:val="single" w:sz="4" w:space="0" w:color="225098"/>
            </w:tcBorders>
            <w:tcMar>
              <w:top w:w="57" w:type="dxa"/>
              <w:left w:w="113" w:type="dxa"/>
              <w:bottom w:w="57" w:type="dxa"/>
              <w:right w:w="227" w:type="dxa"/>
            </w:tcMar>
          </w:tcPr>
          <w:p w14:paraId="5C2B2314" w14:textId="77777777" w:rsidR="00C22F1D" w:rsidRPr="00C22F1D" w:rsidRDefault="00C22F1D" w:rsidP="00C22F1D">
            <w:pPr>
              <w:pStyle w:val="Tabletext"/>
              <w:jc w:val="right"/>
            </w:pPr>
            <w:r w:rsidRPr="00C22F1D">
              <w:t>0</w:t>
            </w:r>
          </w:p>
        </w:tc>
      </w:tr>
      <w:tr w:rsidR="00C22F1D" w:rsidRPr="00C22F1D" w14:paraId="594C2182" w14:textId="77777777" w:rsidTr="00C22F1D">
        <w:trPr>
          <w:trHeight w:val="60"/>
        </w:trPr>
        <w:tc>
          <w:tcPr>
            <w:tcW w:w="6803" w:type="dxa"/>
            <w:tcBorders>
              <w:top w:val="single" w:sz="4" w:space="0" w:color="225098"/>
              <w:bottom w:val="single" w:sz="4" w:space="0" w:color="225098"/>
            </w:tcBorders>
            <w:tcMar>
              <w:top w:w="57" w:type="dxa"/>
              <w:left w:w="113" w:type="dxa"/>
              <w:bottom w:w="57" w:type="dxa"/>
              <w:right w:w="113" w:type="dxa"/>
            </w:tcMar>
          </w:tcPr>
          <w:p w14:paraId="2128062B" w14:textId="77777777" w:rsidR="00C22F1D" w:rsidRPr="00C22F1D" w:rsidRDefault="00C22F1D" w:rsidP="00C22F1D">
            <w:pPr>
              <w:pStyle w:val="Tabletext"/>
            </w:pPr>
            <w:r w:rsidRPr="00C22F1D">
              <w:t>Requests received</w:t>
            </w:r>
          </w:p>
        </w:tc>
        <w:tc>
          <w:tcPr>
            <w:tcW w:w="1474" w:type="dxa"/>
            <w:tcBorders>
              <w:top w:val="single" w:sz="4" w:space="0" w:color="225098"/>
              <w:bottom w:val="single" w:sz="4" w:space="0" w:color="225098"/>
            </w:tcBorders>
            <w:tcMar>
              <w:top w:w="57" w:type="dxa"/>
              <w:left w:w="113" w:type="dxa"/>
              <w:bottom w:w="57" w:type="dxa"/>
              <w:right w:w="227" w:type="dxa"/>
            </w:tcMar>
          </w:tcPr>
          <w:p w14:paraId="17815FFD" w14:textId="77777777" w:rsidR="00C22F1D" w:rsidRPr="00C22F1D" w:rsidRDefault="00C22F1D" w:rsidP="00C22F1D">
            <w:pPr>
              <w:pStyle w:val="Tabletext"/>
              <w:jc w:val="right"/>
            </w:pPr>
            <w:r w:rsidRPr="00C22F1D">
              <w:t>2</w:t>
            </w:r>
          </w:p>
        </w:tc>
      </w:tr>
      <w:tr w:rsidR="00C22F1D" w:rsidRPr="00C22F1D" w14:paraId="1508E894" w14:textId="77777777" w:rsidTr="00C22F1D">
        <w:trPr>
          <w:trHeight w:val="60"/>
        </w:trPr>
        <w:tc>
          <w:tcPr>
            <w:tcW w:w="6803" w:type="dxa"/>
            <w:tcBorders>
              <w:top w:val="single" w:sz="4" w:space="0" w:color="225098"/>
              <w:bottom w:val="single" w:sz="4" w:space="0" w:color="225098"/>
            </w:tcBorders>
            <w:tcMar>
              <w:top w:w="57" w:type="dxa"/>
              <w:left w:w="113" w:type="dxa"/>
              <w:bottom w:w="57" w:type="dxa"/>
              <w:right w:w="113" w:type="dxa"/>
            </w:tcMar>
          </w:tcPr>
          <w:p w14:paraId="58AE65B2" w14:textId="77777777" w:rsidR="00C22F1D" w:rsidRPr="00C22F1D" w:rsidRDefault="00C22F1D" w:rsidP="00C22F1D">
            <w:pPr>
              <w:pStyle w:val="Tabletext"/>
            </w:pPr>
            <w:r w:rsidRPr="00C22F1D">
              <w:t>Decision affirmed</w:t>
            </w:r>
          </w:p>
        </w:tc>
        <w:tc>
          <w:tcPr>
            <w:tcW w:w="1474" w:type="dxa"/>
            <w:tcBorders>
              <w:top w:val="single" w:sz="4" w:space="0" w:color="225098"/>
              <w:bottom w:val="single" w:sz="4" w:space="0" w:color="225098"/>
            </w:tcBorders>
            <w:tcMar>
              <w:top w:w="57" w:type="dxa"/>
              <w:left w:w="113" w:type="dxa"/>
              <w:bottom w:w="57" w:type="dxa"/>
              <w:right w:w="227" w:type="dxa"/>
            </w:tcMar>
          </w:tcPr>
          <w:p w14:paraId="358045F7" w14:textId="77777777" w:rsidR="00C22F1D" w:rsidRPr="00C22F1D" w:rsidRDefault="00C22F1D" w:rsidP="00C22F1D">
            <w:pPr>
              <w:pStyle w:val="Tabletext"/>
              <w:jc w:val="right"/>
            </w:pPr>
            <w:r w:rsidRPr="00C22F1D">
              <w:t>2</w:t>
            </w:r>
          </w:p>
        </w:tc>
      </w:tr>
      <w:tr w:rsidR="00C22F1D" w:rsidRPr="00C22F1D" w14:paraId="2C38E43B" w14:textId="77777777" w:rsidTr="00C22F1D">
        <w:trPr>
          <w:trHeight w:val="60"/>
        </w:trPr>
        <w:tc>
          <w:tcPr>
            <w:tcW w:w="6803" w:type="dxa"/>
            <w:tcBorders>
              <w:top w:val="single" w:sz="4" w:space="0" w:color="225098"/>
              <w:bottom w:val="single" w:sz="4" w:space="0" w:color="225098"/>
            </w:tcBorders>
            <w:tcMar>
              <w:top w:w="57" w:type="dxa"/>
              <w:left w:w="113" w:type="dxa"/>
              <w:bottom w:w="57" w:type="dxa"/>
              <w:right w:w="113" w:type="dxa"/>
            </w:tcMar>
          </w:tcPr>
          <w:p w14:paraId="11CF330F" w14:textId="77777777" w:rsidR="00C22F1D" w:rsidRPr="00C22F1D" w:rsidRDefault="00C22F1D" w:rsidP="00C22F1D">
            <w:pPr>
              <w:pStyle w:val="Tabletext"/>
            </w:pPr>
            <w:r w:rsidRPr="00C22F1D">
              <w:t>Decision amended</w:t>
            </w:r>
          </w:p>
        </w:tc>
        <w:tc>
          <w:tcPr>
            <w:tcW w:w="1474" w:type="dxa"/>
            <w:tcBorders>
              <w:top w:val="single" w:sz="4" w:space="0" w:color="225098"/>
              <w:bottom w:val="single" w:sz="4" w:space="0" w:color="225098"/>
            </w:tcBorders>
            <w:tcMar>
              <w:top w:w="57" w:type="dxa"/>
              <w:left w:w="113" w:type="dxa"/>
              <w:bottom w:w="57" w:type="dxa"/>
              <w:right w:w="227" w:type="dxa"/>
            </w:tcMar>
          </w:tcPr>
          <w:p w14:paraId="54E69041" w14:textId="77777777" w:rsidR="00C22F1D" w:rsidRPr="00C22F1D" w:rsidRDefault="00C22F1D" w:rsidP="00C22F1D">
            <w:pPr>
              <w:pStyle w:val="Tabletext"/>
              <w:jc w:val="right"/>
            </w:pPr>
            <w:r w:rsidRPr="00C22F1D">
              <w:t>0</w:t>
            </w:r>
          </w:p>
        </w:tc>
      </w:tr>
      <w:tr w:rsidR="00C22F1D" w:rsidRPr="00C22F1D" w14:paraId="4EE6E825" w14:textId="77777777" w:rsidTr="00C22F1D">
        <w:trPr>
          <w:trHeight w:val="60"/>
        </w:trPr>
        <w:tc>
          <w:tcPr>
            <w:tcW w:w="6803" w:type="dxa"/>
            <w:tcBorders>
              <w:top w:val="single" w:sz="4" w:space="0" w:color="225098"/>
              <w:bottom w:val="single" w:sz="4" w:space="0" w:color="225098"/>
            </w:tcBorders>
            <w:tcMar>
              <w:top w:w="57" w:type="dxa"/>
              <w:left w:w="113" w:type="dxa"/>
              <w:bottom w:w="57" w:type="dxa"/>
              <w:right w:w="113" w:type="dxa"/>
            </w:tcMar>
          </w:tcPr>
          <w:p w14:paraId="1D988460" w14:textId="77777777" w:rsidR="00C22F1D" w:rsidRPr="00C22F1D" w:rsidRDefault="00C22F1D" w:rsidP="00C22F1D">
            <w:pPr>
              <w:pStyle w:val="Tabletext"/>
            </w:pPr>
            <w:r w:rsidRPr="00C22F1D">
              <w:t>Request withdrawn</w:t>
            </w:r>
          </w:p>
        </w:tc>
        <w:tc>
          <w:tcPr>
            <w:tcW w:w="1474" w:type="dxa"/>
            <w:tcBorders>
              <w:top w:val="single" w:sz="4" w:space="0" w:color="225098"/>
              <w:bottom w:val="single" w:sz="4" w:space="0" w:color="225098"/>
            </w:tcBorders>
            <w:tcMar>
              <w:top w:w="57" w:type="dxa"/>
              <w:left w:w="113" w:type="dxa"/>
              <w:bottom w:w="57" w:type="dxa"/>
              <w:right w:w="227" w:type="dxa"/>
            </w:tcMar>
          </w:tcPr>
          <w:p w14:paraId="7F1B21A6" w14:textId="77777777" w:rsidR="00C22F1D" w:rsidRPr="00C22F1D" w:rsidRDefault="00C22F1D" w:rsidP="00C22F1D">
            <w:pPr>
              <w:pStyle w:val="Tabletext"/>
              <w:jc w:val="right"/>
            </w:pPr>
            <w:r w:rsidRPr="00C22F1D">
              <w:t>0</w:t>
            </w:r>
          </w:p>
        </w:tc>
      </w:tr>
      <w:tr w:rsidR="00C22F1D" w:rsidRPr="00C22F1D" w14:paraId="33B10E4A" w14:textId="77777777" w:rsidTr="00C22F1D">
        <w:trPr>
          <w:trHeight w:val="60"/>
        </w:trPr>
        <w:tc>
          <w:tcPr>
            <w:tcW w:w="8277" w:type="dxa"/>
            <w:gridSpan w:val="2"/>
            <w:tcBorders>
              <w:top w:val="single" w:sz="4" w:space="0" w:color="225098"/>
              <w:bottom w:val="single" w:sz="4" w:space="0" w:color="225098"/>
            </w:tcBorders>
            <w:shd w:val="clear" w:color="auto" w:fill="DFE1EF"/>
            <w:tcMar>
              <w:top w:w="57" w:type="dxa"/>
              <w:left w:w="113" w:type="dxa"/>
              <w:bottom w:w="57" w:type="dxa"/>
              <w:right w:w="113" w:type="dxa"/>
            </w:tcMar>
          </w:tcPr>
          <w:p w14:paraId="0B64C39D" w14:textId="77777777" w:rsidR="00C22F1D" w:rsidRPr="00C22F1D" w:rsidRDefault="00C22F1D" w:rsidP="00C22F1D">
            <w:pPr>
              <w:pStyle w:val="Tabletext"/>
              <w:rPr>
                <w:rStyle w:val="Strong"/>
              </w:rPr>
            </w:pPr>
            <w:r w:rsidRPr="00C22F1D">
              <w:rPr>
                <w:rStyle w:val="Strong"/>
              </w:rPr>
              <w:t>Review by the Administrative Appeals Tribunal</w:t>
            </w:r>
          </w:p>
        </w:tc>
      </w:tr>
      <w:tr w:rsidR="00C22F1D" w:rsidRPr="00C22F1D" w14:paraId="33787271" w14:textId="77777777" w:rsidTr="00C22F1D">
        <w:trPr>
          <w:trHeight w:val="60"/>
        </w:trPr>
        <w:tc>
          <w:tcPr>
            <w:tcW w:w="6803" w:type="dxa"/>
            <w:tcBorders>
              <w:top w:val="single" w:sz="4" w:space="0" w:color="225098"/>
              <w:bottom w:val="single" w:sz="4" w:space="0" w:color="225098"/>
            </w:tcBorders>
            <w:tcMar>
              <w:top w:w="57" w:type="dxa"/>
              <w:left w:w="113" w:type="dxa"/>
              <w:bottom w:w="57" w:type="dxa"/>
              <w:right w:w="113" w:type="dxa"/>
            </w:tcMar>
          </w:tcPr>
          <w:p w14:paraId="2A7E05D3" w14:textId="77777777" w:rsidR="00C22F1D" w:rsidRPr="00C22F1D" w:rsidRDefault="00C22F1D" w:rsidP="00C22F1D">
            <w:pPr>
              <w:pStyle w:val="Tabletext"/>
            </w:pPr>
            <w:r w:rsidRPr="00C22F1D">
              <w:t>Applications received</w:t>
            </w:r>
          </w:p>
        </w:tc>
        <w:tc>
          <w:tcPr>
            <w:tcW w:w="1474" w:type="dxa"/>
            <w:tcBorders>
              <w:top w:val="single" w:sz="4" w:space="0" w:color="225098"/>
              <w:bottom w:val="single" w:sz="4" w:space="0" w:color="225098"/>
            </w:tcBorders>
            <w:tcMar>
              <w:top w:w="57" w:type="dxa"/>
              <w:left w:w="113" w:type="dxa"/>
              <w:bottom w:w="57" w:type="dxa"/>
              <w:right w:w="227" w:type="dxa"/>
            </w:tcMar>
          </w:tcPr>
          <w:p w14:paraId="3FB23A6E" w14:textId="77777777" w:rsidR="00C22F1D" w:rsidRPr="00C22F1D" w:rsidRDefault="00C22F1D" w:rsidP="00C22F1D">
            <w:pPr>
              <w:pStyle w:val="Tabletext"/>
              <w:jc w:val="right"/>
            </w:pPr>
            <w:r w:rsidRPr="00C22F1D">
              <w:t>0</w:t>
            </w:r>
          </w:p>
        </w:tc>
      </w:tr>
      <w:tr w:rsidR="00C22F1D" w:rsidRPr="00C22F1D" w14:paraId="4202224E" w14:textId="77777777" w:rsidTr="00C22F1D">
        <w:trPr>
          <w:trHeight w:val="60"/>
        </w:trPr>
        <w:tc>
          <w:tcPr>
            <w:tcW w:w="8277" w:type="dxa"/>
            <w:gridSpan w:val="2"/>
            <w:tcBorders>
              <w:top w:val="single" w:sz="4" w:space="0" w:color="225098"/>
              <w:bottom w:val="single" w:sz="4" w:space="0" w:color="225098"/>
            </w:tcBorders>
            <w:shd w:val="clear" w:color="auto" w:fill="DFE1EF"/>
            <w:tcMar>
              <w:top w:w="57" w:type="dxa"/>
              <w:left w:w="113" w:type="dxa"/>
              <w:bottom w:w="57" w:type="dxa"/>
              <w:right w:w="113" w:type="dxa"/>
            </w:tcMar>
          </w:tcPr>
          <w:p w14:paraId="2ECB22C8" w14:textId="77777777" w:rsidR="00C22F1D" w:rsidRPr="00C22F1D" w:rsidRDefault="00C22F1D" w:rsidP="00C22F1D">
            <w:pPr>
              <w:pStyle w:val="Tabletext"/>
              <w:rPr>
                <w:rStyle w:val="Strong"/>
              </w:rPr>
            </w:pPr>
            <w:r w:rsidRPr="00C22F1D">
              <w:rPr>
                <w:rStyle w:val="Strong"/>
              </w:rPr>
              <w:t>Review by the Office of the Australian Information Commissioner</w:t>
            </w:r>
          </w:p>
        </w:tc>
      </w:tr>
      <w:tr w:rsidR="00C22F1D" w:rsidRPr="00C22F1D" w14:paraId="331DB681" w14:textId="77777777" w:rsidTr="00C22F1D">
        <w:trPr>
          <w:trHeight w:val="60"/>
        </w:trPr>
        <w:tc>
          <w:tcPr>
            <w:tcW w:w="6803" w:type="dxa"/>
            <w:tcBorders>
              <w:top w:val="single" w:sz="4" w:space="0" w:color="225098"/>
              <w:bottom w:val="single" w:sz="4" w:space="0" w:color="225098"/>
            </w:tcBorders>
            <w:tcMar>
              <w:top w:w="57" w:type="dxa"/>
              <w:left w:w="113" w:type="dxa"/>
              <w:bottom w:w="57" w:type="dxa"/>
              <w:right w:w="113" w:type="dxa"/>
            </w:tcMar>
          </w:tcPr>
          <w:p w14:paraId="66EAE765" w14:textId="77777777" w:rsidR="00C22F1D" w:rsidRPr="00C22F1D" w:rsidRDefault="00C22F1D" w:rsidP="00C22F1D">
            <w:pPr>
              <w:pStyle w:val="Tabletext"/>
            </w:pPr>
            <w:r w:rsidRPr="00C22F1D">
              <w:t>Applications received</w:t>
            </w:r>
          </w:p>
        </w:tc>
        <w:tc>
          <w:tcPr>
            <w:tcW w:w="1474" w:type="dxa"/>
            <w:tcBorders>
              <w:top w:val="single" w:sz="4" w:space="0" w:color="225098"/>
              <w:bottom w:val="single" w:sz="4" w:space="0" w:color="225098"/>
            </w:tcBorders>
            <w:tcMar>
              <w:top w:w="57" w:type="dxa"/>
              <w:left w:w="113" w:type="dxa"/>
              <w:bottom w:w="57" w:type="dxa"/>
              <w:right w:w="227" w:type="dxa"/>
            </w:tcMar>
          </w:tcPr>
          <w:p w14:paraId="5CBBFE75" w14:textId="77777777" w:rsidR="00C22F1D" w:rsidRPr="00C22F1D" w:rsidRDefault="00C22F1D" w:rsidP="00C22F1D">
            <w:pPr>
              <w:pStyle w:val="Tabletext"/>
              <w:jc w:val="right"/>
            </w:pPr>
            <w:r w:rsidRPr="00C22F1D">
              <w:t>0</w:t>
            </w:r>
          </w:p>
        </w:tc>
      </w:tr>
    </w:tbl>
    <w:p w14:paraId="15EF5133" w14:textId="77777777" w:rsidR="005E6960" w:rsidRDefault="005E6960">
      <w:pPr>
        <w:spacing w:after="160" w:line="259" w:lineRule="auto"/>
      </w:pPr>
      <w:r>
        <w:br w:type="page"/>
      </w:r>
    </w:p>
    <w:p w14:paraId="190ADF4E" w14:textId="77777777" w:rsidR="005E6960" w:rsidRDefault="005E6960" w:rsidP="00C9282C">
      <w:pPr>
        <w:pStyle w:val="Heading2"/>
      </w:pPr>
      <w:r>
        <w:lastRenderedPageBreak/>
        <w:t>Appendix B: Compliance with ecologically sustainable development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F0EE" w:themeFill="accent4"/>
        <w:tblCellMar>
          <w:top w:w="284" w:type="dxa"/>
          <w:left w:w="284" w:type="dxa"/>
          <w:bottom w:w="284" w:type="dxa"/>
          <w:right w:w="284" w:type="dxa"/>
        </w:tblCellMar>
        <w:tblLook w:val="04A0" w:firstRow="1" w:lastRow="0" w:firstColumn="1" w:lastColumn="0" w:noHBand="0" w:noVBand="1"/>
        <w:tblCaption w:val="Introductory text"/>
        <w:tblDescription w:val="Appendix B"/>
      </w:tblPr>
      <w:tblGrid>
        <w:gridCol w:w="8268"/>
      </w:tblGrid>
      <w:tr w:rsidR="005E6960" w14:paraId="26052749" w14:textId="77777777" w:rsidTr="007430AC">
        <w:tc>
          <w:tcPr>
            <w:tcW w:w="8268" w:type="dxa"/>
            <w:shd w:val="clear" w:color="auto" w:fill="F1F0EE" w:themeFill="accent4"/>
          </w:tcPr>
          <w:p w14:paraId="51257BA4" w14:textId="77777777" w:rsidR="005E6960" w:rsidRDefault="005E6960" w:rsidP="007430AC">
            <w:pPr>
              <w:pStyle w:val="IntroCopy0"/>
            </w:pPr>
            <w:r w:rsidRPr="005E6960">
              <w:t xml:space="preserve">The Commission is committed to making a positive contribution to ecological sustainability. The following table details the Commission’s activities in accordance with subsection </w:t>
            </w:r>
            <w:proofErr w:type="gramStart"/>
            <w:r w:rsidRPr="005E6960">
              <w:t>516A(</w:t>
            </w:r>
            <w:proofErr w:type="gramEnd"/>
            <w:r w:rsidRPr="005E6960">
              <w:t xml:space="preserve">6) of the </w:t>
            </w:r>
            <w:r w:rsidRPr="005E6960">
              <w:rPr>
                <w:rStyle w:val="Emphasis"/>
              </w:rPr>
              <w:t>Environmental Protection and Biodiversity Conservation Act 1999</w:t>
            </w:r>
            <w:r w:rsidRPr="005E6960">
              <w:t>.</w:t>
            </w:r>
          </w:p>
        </w:tc>
      </w:tr>
    </w:tbl>
    <w:p w14:paraId="2EC0D3CB" w14:textId="77777777" w:rsidR="005E6960" w:rsidRDefault="005E6960" w:rsidP="00C22F1D">
      <w:pPr>
        <w:pStyle w:val="Figuretitle"/>
        <w:spacing w:before="240"/>
      </w:pPr>
      <w:r>
        <w:t xml:space="preserve">Table 8: Summary of the Commission’s compliance with ecologically </w:t>
      </w:r>
      <w:r w:rsidR="00011CF0">
        <w:br/>
      </w:r>
      <w:r>
        <w:t>sustainable</w:t>
      </w:r>
      <w:r w:rsidR="00011CF0">
        <w:t xml:space="preserve"> </w:t>
      </w:r>
      <w:r>
        <w:t>development</w:t>
      </w:r>
    </w:p>
    <w:tbl>
      <w:tblPr>
        <w:tblW w:w="0" w:type="auto"/>
        <w:tblInd w:w="-1" w:type="dxa"/>
        <w:tblBorders>
          <w:top w:val="single" w:sz="18" w:space="0" w:color="1C2E5B"/>
          <w:bottom w:val="single" w:sz="8" w:space="0" w:color="225098"/>
        </w:tblBorders>
        <w:tblLayout w:type="fixed"/>
        <w:tblCellMar>
          <w:left w:w="0" w:type="dxa"/>
          <w:right w:w="0" w:type="dxa"/>
        </w:tblCellMar>
        <w:tblLook w:val="0000" w:firstRow="0" w:lastRow="0" w:firstColumn="0" w:lastColumn="0" w:noHBand="0" w:noVBand="0"/>
        <w:tblCaption w:val="Table 8: Summary of the Commission’s compliance with ecologically sustainable development"/>
      </w:tblPr>
      <w:tblGrid>
        <w:gridCol w:w="2410"/>
        <w:gridCol w:w="21"/>
        <w:gridCol w:w="5839"/>
      </w:tblGrid>
      <w:tr w:rsidR="00C22F1D" w:rsidRPr="00C22F1D" w14:paraId="44E98B8F" w14:textId="77777777" w:rsidTr="003B754D">
        <w:trPr>
          <w:trHeight w:val="20"/>
        </w:trPr>
        <w:tc>
          <w:tcPr>
            <w:tcW w:w="2410" w:type="dxa"/>
            <w:shd w:val="solid" w:color="225098" w:fill="auto"/>
            <w:tcMar>
              <w:top w:w="57" w:type="dxa"/>
              <w:left w:w="113" w:type="dxa"/>
              <w:bottom w:w="57" w:type="dxa"/>
              <w:right w:w="113" w:type="dxa"/>
            </w:tcMar>
          </w:tcPr>
          <w:p w14:paraId="3689D608" w14:textId="77777777" w:rsidR="00C22F1D" w:rsidRPr="00C22F1D" w:rsidRDefault="00C22F1D" w:rsidP="00C22F1D">
            <w:pPr>
              <w:pStyle w:val="Tableheading"/>
              <w:rPr>
                <w:color w:val="000000"/>
              </w:rPr>
            </w:pPr>
            <w:r w:rsidRPr="00C22F1D">
              <w:t xml:space="preserve">EPBC Act </w:t>
            </w:r>
            <w:r>
              <w:br/>
            </w:r>
            <w:r w:rsidRPr="00C22F1D">
              <w:t>requirement</w:t>
            </w:r>
          </w:p>
        </w:tc>
        <w:tc>
          <w:tcPr>
            <w:tcW w:w="5860" w:type="dxa"/>
            <w:gridSpan w:val="2"/>
            <w:shd w:val="solid" w:color="225098" w:fill="auto"/>
            <w:tcMar>
              <w:top w:w="57" w:type="dxa"/>
              <w:left w:w="113" w:type="dxa"/>
              <w:bottom w:w="57" w:type="dxa"/>
              <w:right w:w="113" w:type="dxa"/>
            </w:tcMar>
          </w:tcPr>
          <w:p w14:paraId="60E4CF17" w14:textId="77777777" w:rsidR="00C22F1D" w:rsidRPr="00C22F1D" w:rsidRDefault="00C22F1D" w:rsidP="00C22F1D">
            <w:pPr>
              <w:pStyle w:val="Tableheading"/>
              <w:rPr>
                <w:color w:val="000000"/>
              </w:rPr>
            </w:pPr>
            <w:r w:rsidRPr="00C22F1D">
              <w:t>Commission response</w:t>
            </w:r>
          </w:p>
        </w:tc>
      </w:tr>
      <w:tr w:rsidR="00C22F1D" w:rsidRPr="00C22F1D" w14:paraId="68817908" w14:textId="77777777" w:rsidTr="003B754D">
        <w:trPr>
          <w:trHeight w:val="20"/>
        </w:trPr>
        <w:tc>
          <w:tcPr>
            <w:tcW w:w="2431" w:type="dxa"/>
            <w:gridSpan w:val="2"/>
            <w:tcMar>
              <w:top w:w="57" w:type="dxa"/>
              <w:left w:w="113" w:type="dxa"/>
              <w:bottom w:w="57" w:type="dxa"/>
              <w:right w:w="113" w:type="dxa"/>
            </w:tcMar>
          </w:tcPr>
          <w:p w14:paraId="4E9BBD7F" w14:textId="7260DC27" w:rsidR="00C22F1D" w:rsidRPr="00C36315" w:rsidRDefault="00C22F1D" w:rsidP="00C22F1D">
            <w:pPr>
              <w:pStyle w:val="Tabletext"/>
            </w:pPr>
            <w:r w:rsidRPr="00C36315">
              <w:t xml:space="preserve">The activities of the Commission during </w:t>
            </w:r>
            <w:r w:rsidR="007B2B86">
              <w:br/>
            </w:r>
            <w:r w:rsidRPr="00C36315">
              <w:t>2016–17 accord with the principles of ecologically sustainable development</w:t>
            </w:r>
          </w:p>
        </w:tc>
        <w:tc>
          <w:tcPr>
            <w:tcW w:w="5839" w:type="dxa"/>
            <w:tcMar>
              <w:top w:w="57" w:type="dxa"/>
              <w:left w:w="113" w:type="dxa"/>
              <w:bottom w:w="57" w:type="dxa"/>
              <w:right w:w="113" w:type="dxa"/>
            </w:tcMar>
          </w:tcPr>
          <w:p w14:paraId="47C19517" w14:textId="77777777" w:rsidR="00C22F1D" w:rsidRPr="00C36315" w:rsidRDefault="00C22F1D" w:rsidP="00C22F1D">
            <w:pPr>
              <w:pStyle w:val="Tabletext"/>
            </w:pPr>
            <w:r w:rsidRPr="00C36315">
              <w:t>The Commission ensures its decision-making and operational activities mitigate environmental impact, with the principles of ecologically sustainable development embedded in the Commission’s approach to its work plan and in corporate, purchasing and operational guidelines.</w:t>
            </w:r>
          </w:p>
        </w:tc>
      </w:tr>
      <w:tr w:rsidR="00C22F1D" w:rsidRPr="00C22F1D" w14:paraId="5F52ED9D" w14:textId="77777777" w:rsidTr="003B754D">
        <w:trPr>
          <w:trHeight w:val="20"/>
        </w:trPr>
        <w:tc>
          <w:tcPr>
            <w:tcW w:w="2431" w:type="dxa"/>
            <w:gridSpan w:val="2"/>
            <w:shd w:val="clear" w:color="auto" w:fill="DFE1EF"/>
            <w:tcMar>
              <w:top w:w="57" w:type="dxa"/>
              <w:left w:w="113" w:type="dxa"/>
              <w:bottom w:w="57" w:type="dxa"/>
              <w:right w:w="113" w:type="dxa"/>
            </w:tcMar>
          </w:tcPr>
          <w:p w14:paraId="4A0D1467" w14:textId="77777777" w:rsidR="00C22F1D" w:rsidRPr="00C36315" w:rsidRDefault="00C22F1D" w:rsidP="00C22F1D">
            <w:pPr>
              <w:pStyle w:val="Tabletext"/>
            </w:pPr>
            <w:r w:rsidRPr="00C36315">
              <w:t>Outcomes specified for the Commission in an Appropriations Act for 2016–17 contribute to ecologically sustainable development</w:t>
            </w:r>
          </w:p>
        </w:tc>
        <w:tc>
          <w:tcPr>
            <w:tcW w:w="5839" w:type="dxa"/>
            <w:shd w:val="clear" w:color="auto" w:fill="DFE1EF"/>
            <w:tcMar>
              <w:top w:w="57" w:type="dxa"/>
              <w:left w:w="113" w:type="dxa"/>
              <w:bottom w:w="57" w:type="dxa"/>
              <w:right w:w="113" w:type="dxa"/>
            </w:tcMar>
          </w:tcPr>
          <w:p w14:paraId="72D48DDB" w14:textId="77777777" w:rsidR="00C22F1D" w:rsidRPr="00C36315" w:rsidRDefault="00C22F1D" w:rsidP="00C22F1D">
            <w:pPr>
              <w:pStyle w:val="Tabletext"/>
            </w:pPr>
            <w:r w:rsidRPr="00C36315">
              <w:t>The Commission’s single appropriations outcome focuses on improving safety and quality in health care across the Australian health system. As such, the Commission does not directly contribute to ecologically sustainable development.</w:t>
            </w:r>
          </w:p>
        </w:tc>
      </w:tr>
      <w:tr w:rsidR="00C22F1D" w:rsidRPr="00C22F1D" w14:paraId="6F84BE50" w14:textId="77777777" w:rsidTr="003B754D">
        <w:trPr>
          <w:trHeight w:val="20"/>
        </w:trPr>
        <w:tc>
          <w:tcPr>
            <w:tcW w:w="2431" w:type="dxa"/>
            <w:gridSpan w:val="2"/>
            <w:tcMar>
              <w:top w:w="57" w:type="dxa"/>
              <w:left w:w="113" w:type="dxa"/>
              <w:bottom w:w="57" w:type="dxa"/>
              <w:right w:w="113" w:type="dxa"/>
            </w:tcMar>
          </w:tcPr>
          <w:p w14:paraId="0B727EF9" w14:textId="77777777" w:rsidR="00C22F1D" w:rsidRPr="00C36315" w:rsidRDefault="00C22F1D" w:rsidP="00C22F1D">
            <w:pPr>
              <w:pStyle w:val="Tabletext"/>
            </w:pPr>
            <w:r w:rsidRPr="00C36315">
              <w:t>The effect of the Commission’s activities on the environment are documented</w:t>
            </w:r>
          </w:p>
        </w:tc>
        <w:tc>
          <w:tcPr>
            <w:tcW w:w="5839" w:type="dxa"/>
            <w:tcMar>
              <w:top w:w="57" w:type="dxa"/>
              <w:left w:w="113" w:type="dxa"/>
              <w:bottom w:w="57" w:type="dxa"/>
              <w:right w:w="113" w:type="dxa"/>
            </w:tcMar>
          </w:tcPr>
          <w:p w14:paraId="427DCF41" w14:textId="77777777" w:rsidR="00C22F1D" w:rsidRPr="00C36315" w:rsidRDefault="00C22F1D" w:rsidP="00C22F1D">
            <w:pPr>
              <w:pStyle w:val="Tabletext"/>
            </w:pPr>
            <w:r w:rsidRPr="00C36315">
              <w:t>The Commission’s offices are located across two 5-star (NABERS rating) buildings, with the Commission working proactively with building management to achieve energy savings where possible. The Commission continues to improve its use of electronic media to disseminate publications, reports and written materials to minimise its printing output.</w:t>
            </w:r>
          </w:p>
        </w:tc>
      </w:tr>
      <w:tr w:rsidR="00C22F1D" w:rsidRPr="00C22F1D" w14:paraId="4FE9F9C6" w14:textId="77777777" w:rsidTr="003B754D">
        <w:trPr>
          <w:trHeight w:val="20"/>
        </w:trPr>
        <w:tc>
          <w:tcPr>
            <w:tcW w:w="2431" w:type="dxa"/>
            <w:gridSpan w:val="2"/>
            <w:tcBorders>
              <w:bottom w:val="nil"/>
            </w:tcBorders>
            <w:shd w:val="clear" w:color="auto" w:fill="DFE1EF"/>
            <w:tcMar>
              <w:top w:w="57" w:type="dxa"/>
              <w:left w:w="113" w:type="dxa"/>
              <w:bottom w:w="57" w:type="dxa"/>
              <w:right w:w="113" w:type="dxa"/>
            </w:tcMar>
          </w:tcPr>
          <w:p w14:paraId="5285EAC3" w14:textId="77777777" w:rsidR="00C22F1D" w:rsidRPr="00C36315" w:rsidRDefault="00C22F1D" w:rsidP="00C22F1D">
            <w:pPr>
              <w:pStyle w:val="Tabletext"/>
            </w:pPr>
            <w:r w:rsidRPr="00C36315">
              <w:t>Measures the Commission is taking to minimise its impact on the environment are identified</w:t>
            </w:r>
          </w:p>
        </w:tc>
        <w:tc>
          <w:tcPr>
            <w:tcW w:w="5839" w:type="dxa"/>
            <w:tcBorders>
              <w:bottom w:val="nil"/>
            </w:tcBorders>
            <w:shd w:val="clear" w:color="auto" w:fill="DFE1EF"/>
            <w:tcMar>
              <w:top w:w="57" w:type="dxa"/>
              <w:left w:w="113" w:type="dxa"/>
              <w:bottom w:w="57" w:type="dxa"/>
              <w:right w:w="113" w:type="dxa"/>
            </w:tcMar>
          </w:tcPr>
          <w:p w14:paraId="768C23A9" w14:textId="77777777" w:rsidR="00C22F1D" w:rsidRPr="00C36315" w:rsidRDefault="00C22F1D" w:rsidP="007B2B86">
            <w:pPr>
              <w:pStyle w:val="Tabletext"/>
              <w:spacing w:after="120"/>
            </w:pPr>
            <w:r w:rsidRPr="00C36315">
              <w:t>The Commission is further reducing its environmental impact by improving its website functionality and increasing its use of multi</w:t>
            </w:r>
            <w:r w:rsidR="00C36315" w:rsidRPr="00C36315">
              <w:t>-</w:t>
            </w:r>
            <w:r w:rsidRPr="00C36315">
              <w:t>channel strategies to distribute information electronically. To reduce travel, the Commission uses remote meeting attendance options where feasible.</w:t>
            </w:r>
          </w:p>
          <w:p w14:paraId="79410F04" w14:textId="77777777" w:rsidR="00C22F1D" w:rsidRPr="00C36315" w:rsidRDefault="00C22F1D" w:rsidP="00C22F1D">
            <w:pPr>
              <w:pStyle w:val="Tabletext"/>
            </w:pPr>
            <w:r w:rsidRPr="00C36315">
              <w:t>All staff members and visitors are expected to responsibly use and dispose of materials, as well as responsibly use electricity and water.</w:t>
            </w:r>
          </w:p>
        </w:tc>
      </w:tr>
      <w:tr w:rsidR="00C22F1D" w:rsidRPr="00C22F1D" w14:paraId="3D4231AD" w14:textId="77777777" w:rsidTr="003B754D">
        <w:trPr>
          <w:trHeight w:val="20"/>
        </w:trPr>
        <w:tc>
          <w:tcPr>
            <w:tcW w:w="2431" w:type="dxa"/>
            <w:gridSpan w:val="2"/>
            <w:tcBorders>
              <w:top w:val="nil"/>
              <w:bottom w:val="single" w:sz="8" w:space="0" w:color="DFE1EF"/>
            </w:tcBorders>
            <w:tcMar>
              <w:top w:w="57" w:type="dxa"/>
              <w:left w:w="113" w:type="dxa"/>
              <w:bottom w:w="57" w:type="dxa"/>
              <w:right w:w="113" w:type="dxa"/>
            </w:tcMar>
          </w:tcPr>
          <w:p w14:paraId="5E1FFB5E" w14:textId="77777777" w:rsidR="00C22F1D" w:rsidRPr="00C36315" w:rsidRDefault="00C22F1D" w:rsidP="00C22F1D">
            <w:pPr>
              <w:pStyle w:val="Tabletext"/>
            </w:pPr>
            <w:r w:rsidRPr="00C36315">
              <w:t>Mechanisms for reviewing and increasing the effectiveness of those measures are identified</w:t>
            </w:r>
          </w:p>
        </w:tc>
        <w:tc>
          <w:tcPr>
            <w:tcW w:w="5839" w:type="dxa"/>
            <w:tcBorders>
              <w:top w:val="nil"/>
              <w:bottom w:val="single" w:sz="8" w:space="0" w:color="DFE1EF"/>
            </w:tcBorders>
            <w:tcMar>
              <w:top w:w="57" w:type="dxa"/>
              <w:left w:w="113" w:type="dxa"/>
              <w:bottom w:w="57" w:type="dxa"/>
              <w:right w:w="113" w:type="dxa"/>
            </w:tcMar>
          </w:tcPr>
          <w:p w14:paraId="0BFB2835" w14:textId="77777777" w:rsidR="00C22F1D" w:rsidRPr="00C36315" w:rsidRDefault="00C22F1D" w:rsidP="00C22F1D">
            <w:pPr>
              <w:pStyle w:val="Tabletext"/>
            </w:pPr>
            <w:r w:rsidRPr="00C36315">
              <w:t>The Commission has a range of mechanisms for reviewing current practices and policies. In addition, staff members are encouraged to identify behavioural, procedural or policy changes that may reduce their environmental impact, and that of their team and the Commission more broadly.</w:t>
            </w:r>
          </w:p>
        </w:tc>
      </w:tr>
    </w:tbl>
    <w:p w14:paraId="2F788B12" w14:textId="77777777" w:rsidR="005E6960" w:rsidRDefault="005E6960" w:rsidP="00C22F1D">
      <w:pPr>
        <w:pStyle w:val="Heading1"/>
      </w:pPr>
      <w:r>
        <w:lastRenderedPageBreak/>
        <w:t>Appendix C: Related-entity transactions</w:t>
      </w:r>
    </w:p>
    <w:p w14:paraId="3E7C077B" w14:textId="77777777" w:rsidR="005E6960" w:rsidRDefault="005E6960" w:rsidP="00C22F1D">
      <w:pPr>
        <w:pStyle w:val="Figuretitle"/>
      </w:pPr>
      <w:r>
        <w:t>Table 9: Related-entity transactions during 2016–17</w:t>
      </w:r>
    </w:p>
    <w:tbl>
      <w:tblPr>
        <w:tblW w:w="0" w:type="auto"/>
        <w:tblInd w:w="3" w:type="dxa"/>
        <w:tblBorders>
          <w:top w:val="single" w:sz="18" w:space="0" w:color="1C2E5B"/>
          <w:bottom w:val="single" w:sz="4" w:space="0" w:color="225098"/>
        </w:tblBorders>
        <w:tblLayout w:type="fixed"/>
        <w:tblCellMar>
          <w:left w:w="0" w:type="dxa"/>
          <w:right w:w="0" w:type="dxa"/>
        </w:tblCellMar>
        <w:tblLook w:val="0000" w:firstRow="0" w:lastRow="0" w:firstColumn="0" w:lastColumn="0" w:noHBand="0" w:noVBand="0"/>
        <w:tblCaption w:val="Table 9: Related-entity transactions during 2016–17"/>
      </w:tblPr>
      <w:tblGrid>
        <w:gridCol w:w="1406"/>
        <w:gridCol w:w="1871"/>
        <w:gridCol w:w="1644"/>
        <w:gridCol w:w="1644"/>
        <w:gridCol w:w="1701"/>
      </w:tblGrid>
      <w:tr w:rsidR="00C22F1D" w:rsidRPr="00C22F1D" w14:paraId="445CECB0" w14:textId="77777777" w:rsidTr="003B754D">
        <w:trPr>
          <w:trHeight w:val="60"/>
        </w:trPr>
        <w:tc>
          <w:tcPr>
            <w:tcW w:w="1406" w:type="dxa"/>
            <w:tcBorders>
              <w:top w:val="single" w:sz="18" w:space="0" w:color="1C2E5B"/>
              <w:bottom w:val="nil"/>
              <w:right w:val="nil"/>
            </w:tcBorders>
            <w:shd w:val="solid" w:color="225098" w:fill="auto"/>
            <w:tcMar>
              <w:top w:w="113" w:type="dxa"/>
              <w:left w:w="113" w:type="dxa"/>
              <w:bottom w:w="113" w:type="dxa"/>
              <w:right w:w="113" w:type="dxa"/>
            </w:tcMar>
            <w:vAlign w:val="bottom"/>
          </w:tcPr>
          <w:p w14:paraId="3737E0A3" w14:textId="77777777" w:rsidR="00C22F1D" w:rsidRPr="00C22F1D" w:rsidRDefault="00C22F1D" w:rsidP="00C22F1D">
            <w:pPr>
              <w:pStyle w:val="Tableheading"/>
              <w:rPr>
                <w:color w:val="000000"/>
              </w:rPr>
            </w:pPr>
            <w:r w:rsidRPr="00C22F1D">
              <w:t xml:space="preserve">Vendor No. </w:t>
            </w:r>
          </w:p>
        </w:tc>
        <w:tc>
          <w:tcPr>
            <w:tcW w:w="1871" w:type="dxa"/>
            <w:tcBorders>
              <w:top w:val="single" w:sz="18" w:space="0" w:color="1C2E5B"/>
              <w:left w:val="nil"/>
              <w:bottom w:val="nil"/>
              <w:right w:val="nil"/>
            </w:tcBorders>
            <w:shd w:val="solid" w:color="225098" w:fill="auto"/>
            <w:tcMar>
              <w:top w:w="113" w:type="dxa"/>
              <w:left w:w="113" w:type="dxa"/>
              <w:bottom w:w="113" w:type="dxa"/>
              <w:right w:w="113" w:type="dxa"/>
            </w:tcMar>
            <w:vAlign w:val="bottom"/>
          </w:tcPr>
          <w:p w14:paraId="75B196B7" w14:textId="77777777" w:rsidR="00C22F1D" w:rsidRPr="00C22F1D" w:rsidRDefault="00C22F1D" w:rsidP="00C22F1D">
            <w:pPr>
              <w:pStyle w:val="Tableheading"/>
              <w:rPr>
                <w:color w:val="000000"/>
              </w:rPr>
            </w:pPr>
            <w:r w:rsidRPr="00C22F1D">
              <w:t>Commonwealth Entity</w:t>
            </w:r>
          </w:p>
        </w:tc>
        <w:tc>
          <w:tcPr>
            <w:tcW w:w="1644" w:type="dxa"/>
            <w:tcBorders>
              <w:top w:val="single" w:sz="18" w:space="0" w:color="1C2E5B"/>
              <w:left w:val="nil"/>
              <w:bottom w:val="nil"/>
              <w:right w:val="nil"/>
            </w:tcBorders>
            <w:shd w:val="solid" w:color="225098" w:fill="auto"/>
            <w:tcMar>
              <w:top w:w="113" w:type="dxa"/>
              <w:left w:w="113" w:type="dxa"/>
              <w:bottom w:w="113" w:type="dxa"/>
              <w:right w:w="113" w:type="dxa"/>
            </w:tcMar>
            <w:vAlign w:val="bottom"/>
          </w:tcPr>
          <w:p w14:paraId="38EFF1F4" w14:textId="77777777" w:rsidR="00C22F1D" w:rsidRPr="00C22F1D" w:rsidRDefault="00C22F1D" w:rsidP="00C22F1D">
            <w:pPr>
              <w:pStyle w:val="Tableheading"/>
              <w:jc w:val="right"/>
              <w:rPr>
                <w:color w:val="000000"/>
              </w:rPr>
            </w:pPr>
            <w:r w:rsidRPr="00C22F1D">
              <w:t xml:space="preserve">Number of Transactions </w:t>
            </w:r>
          </w:p>
        </w:tc>
        <w:tc>
          <w:tcPr>
            <w:tcW w:w="1644" w:type="dxa"/>
            <w:tcBorders>
              <w:top w:val="single" w:sz="18" w:space="0" w:color="1C2E5B"/>
              <w:left w:val="nil"/>
              <w:bottom w:val="nil"/>
              <w:right w:val="nil"/>
            </w:tcBorders>
            <w:shd w:val="solid" w:color="225098" w:fill="auto"/>
            <w:tcMar>
              <w:top w:w="113" w:type="dxa"/>
              <w:left w:w="113" w:type="dxa"/>
              <w:bottom w:w="113" w:type="dxa"/>
              <w:right w:w="113" w:type="dxa"/>
            </w:tcMar>
            <w:vAlign w:val="bottom"/>
          </w:tcPr>
          <w:p w14:paraId="6821E0B3" w14:textId="77777777" w:rsidR="00C22F1D" w:rsidRPr="00C22F1D" w:rsidRDefault="00C22F1D" w:rsidP="00C22F1D">
            <w:pPr>
              <w:pStyle w:val="Tableheading"/>
              <w:jc w:val="right"/>
              <w:rPr>
                <w:color w:val="000000"/>
              </w:rPr>
            </w:pPr>
            <w:r w:rsidRPr="00C22F1D">
              <w:t xml:space="preserve">Transaction Value </w:t>
            </w:r>
          </w:p>
        </w:tc>
        <w:tc>
          <w:tcPr>
            <w:tcW w:w="1701" w:type="dxa"/>
            <w:tcBorders>
              <w:top w:val="single" w:sz="18" w:space="0" w:color="1C2E5B"/>
              <w:left w:val="nil"/>
              <w:bottom w:val="nil"/>
            </w:tcBorders>
            <w:shd w:val="solid" w:color="225098" w:fill="auto"/>
            <w:tcMar>
              <w:top w:w="113" w:type="dxa"/>
              <w:left w:w="113" w:type="dxa"/>
              <w:bottom w:w="113" w:type="dxa"/>
              <w:right w:w="113" w:type="dxa"/>
            </w:tcMar>
            <w:vAlign w:val="bottom"/>
          </w:tcPr>
          <w:p w14:paraId="76B622AB" w14:textId="77777777" w:rsidR="00C22F1D" w:rsidRPr="00C22F1D" w:rsidRDefault="00C22F1D" w:rsidP="00C22F1D">
            <w:pPr>
              <w:pStyle w:val="Tableheading"/>
              <w:rPr>
                <w:color w:val="000000"/>
              </w:rPr>
            </w:pPr>
            <w:r w:rsidRPr="00C22F1D">
              <w:t>Description</w:t>
            </w:r>
          </w:p>
        </w:tc>
      </w:tr>
      <w:tr w:rsidR="00C22F1D" w:rsidRPr="00C22F1D" w14:paraId="5D0F9125" w14:textId="77777777" w:rsidTr="003B754D">
        <w:trPr>
          <w:trHeight w:val="60"/>
        </w:trPr>
        <w:tc>
          <w:tcPr>
            <w:tcW w:w="1406" w:type="dxa"/>
            <w:tcBorders>
              <w:top w:val="nil"/>
            </w:tcBorders>
            <w:shd w:val="clear" w:color="auto" w:fill="DFE1EF"/>
            <w:tcMar>
              <w:top w:w="113" w:type="dxa"/>
              <w:left w:w="113" w:type="dxa"/>
              <w:bottom w:w="113" w:type="dxa"/>
              <w:right w:w="113" w:type="dxa"/>
            </w:tcMar>
          </w:tcPr>
          <w:p w14:paraId="3BF0EB70" w14:textId="77777777" w:rsidR="00C22F1D" w:rsidRPr="00C36315" w:rsidRDefault="00C22F1D" w:rsidP="00C22F1D">
            <w:pPr>
              <w:pStyle w:val="Tabletext"/>
            </w:pPr>
            <w:r w:rsidRPr="00C36315">
              <w:t>100362</w:t>
            </w:r>
          </w:p>
        </w:tc>
        <w:tc>
          <w:tcPr>
            <w:tcW w:w="1871" w:type="dxa"/>
            <w:tcBorders>
              <w:top w:val="nil"/>
            </w:tcBorders>
            <w:shd w:val="clear" w:color="auto" w:fill="DFE1EF"/>
            <w:tcMar>
              <w:top w:w="113" w:type="dxa"/>
              <w:left w:w="113" w:type="dxa"/>
              <w:bottom w:w="113" w:type="dxa"/>
              <w:right w:w="113" w:type="dxa"/>
            </w:tcMar>
          </w:tcPr>
          <w:p w14:paraId="2484F6D0" w14:textId="77777777" w:rsidR="00C22F1D" w:rsidRPr="00C36315" w:rsidRDefault="00C22F1D" w:rsidP="00C22F1D">
            <w:pPr>
              <w:pStyle w:val="Tabletext"/>
            </w:pPr>
            <w:r w:rsidRPr="00C36315">
              <w:t>Department of Health</w:t>
            </w:r>
          </w:p>
        </w:tc>
        <w:tc>
          <w:tcPr>
            <w:tcW w:w="1644" w:type="dxa"/>
            <w:tcBorders>
              <w:top w:val="nil"/>
            </w:tcBorders>
            <w:shd w:val="clear" w:color="auto" w:fill="DFE1EF"/>
            <w:tcMar>
              <w:top w:w="113" w:type="dxa"/>
              <w:left w:w="113" w:type="dxa"/>
              <w:bottom w:w="113" w:type="dxa"/>
              <w:right w:w="113" w:type="dxa"/>
            </w:tcMar>
          </w:tcPr>
          <w:p w14:paraId="1BFD5C36" w14:textId="77777777" w:rsidR="00C22F1D" w:rsidRPr="00C36315" w:rsidRDefault="00C22F1D" w:rsidP="00C36315">
            <w:pPr>
              <w:pStyle w:val="Tabletext"/>
              <w:jc w:val="right"/>
            </w:pPr>
            <w:r w:rsidRPr="00C36315">
              <w:t>11</w:t>
            </w:r>
          </w:p>
        </w:tc>
        <w:tc>
          <w:tcPr>
            <w:tcW w:w="1644" w:type="dxa"/>
            <w:tcBorders>
              <w:top w:val="nil"/>
            </w:tcBorders>
            <w:shd w:val="clear" w:color="auto" w:fill="DFE1EF"/>
            <w:tcMar>
              <w:top w:w="113" w:type="dxa"/>
              <w:left w:w="113" w:type="dxa"/>
              <w:bottom w:w="113" w:type="dxa"/>
              <w:right w:w="113" w:type="dxa"/>
            </w:tcMar>
          </w:tcPr>
          <w:p w14:paraId="61C74481" w14:textId="77777777" w:rsidR="00C22F1D" w:rsidRPr="00C36315" w:rsidRDefault="00C22F1D" w:rsidP="00C36315">
            <w:pPr>
              <w:pStyle w:val="Tabletext"/>
              <w:jc w:val="right"/>
            </w:pPr>
            <w:r w:rsidRPr="00C36315">
              <w:t xml:space="preserve"> $596,225.90 </w:t>
            </w:r>
          </w:p>
        </w:tc>
        <w:tc>
          <w:tcPr>
            <w:tcW w:w="1701" w:type="dxa"/>
            <w:tcBorders>
              <w:top w:val="nil"/>
            </w:tcBorders>
            <w:shd w:val="clear" w:color="auto" w:fill="DFE1EF"/>
            <w:tcMar>
              <w:top w:w="113" w:type="dxa"/>
              <w:left w:w="113" w:type="dxa"/>
              <w:bottom w:w="113" w:type="dxa"/>
              <w:right w:w="113" w:type="dxa"/>
            </w:tcMar>
          </w:tcPr>
          <w:p w14:paraId="349BEE3E" w14:textId="77777777" w:rsidR="00C22F1D" w:rsidRPr="00C36315" w:rsidRDefault="00C22F1D" w:rsidP="00C22F1D">
            <w:pPr>
              <w:pStyle w:val="Tabletext"/>
            </w:pPr>
            <w:r w:rsidRPr="00C36315">
              <w:t>Payments processed in 2016–17 for corporate services received from the Department of Health under a shared services agreement between the Commission and Health</w:t>
            </w:r>
          </w:p>
        </w:tc>
      </w:tr>
    </w:tbl>
    <w:p w14:paraId="3940235D" w14:textId="77777777" w:rsidR="005E6960" w:rsidRDefault="005E6960" w:rsidP="00C22F1D">
      <w:pPr>
        <w:pStyle w:val="BodyText"/>
      </w:pPr>
    </w:p>
    <w:p w14:paraId="6C998857" w14:textId="77777777" w:rsidR="005E6960" w:rsidRDefault="005E6960" w:rsidP="002A58B5">
      <w:pPr>
        <w:pStyle w:val="BodyText"/>
        <w:sectPr w:rsidR="005E6960" w:rsidSect="002A58B5">
          <w:headerReference w:type="even" r:id="rId108"/>
          <w:headerReference w:type="default" r:id="rId109"/>
          <w:footerReference w:type="even" r:id="rId110"/>
          <w:footerReference w:type="default" r:id="rId111"/>
          <w:pgSz w:w="9979" w:h="14175" w:code="34"/>
          <w:pgMar w:top="1418" w:right="680" w:bottom="851" w:left="1021" w:header="567" w:footer="397" w:gutter="0"/>
          <w:cols w:space="340"/>
          <w:noEndnote/>
        </w:sectPr>
      </w:pPr>
    </w:p>
    <w:p w14:paraId="59105E7A" w14:textId="77777777" w:rsidR="005E6960" w:rsidRDefault="005E6960" w:rsidP="002A58B5">
      <w:pPr>
        <w:pStyle w:val="BodyText"/>
      </w:pPr>
    </w:p>
    <w:p w14:paraId="6405454F" w14:textId="77777777" w:rsidR="005E6960" w:rsidRDefault="005E6960" w:rsidP="002A58B5">
      <w:pPr>
        <w:pStyle w:val="BodyText"/>
        <w:sectPr w:rsidR="005E6960" w:rsidSect="002A58B5">
          <w:headerReference w:type="default" r:id="rId112"/>
          <w:footerReference w:type="default" r:id="rId113"/>
          <w:pgSz w:w="9979" w:h="14175" w:code="34"/>
          <w:pgMar w:top="1418" w:right="680" w:bottom="851" w:left="1021" w:header="567" w:footer="397" w:gutter="0"/>
          <w:cols w:space="340"/>
          <w:noEndnote/>
        </w:sectPr>
      </w:pPr>
    </w:p>
    <w:p w14:paraId="3940E37B" w14:textId="77777777" w:rsidR="005E6960" w:rsidRDefault="005E6960" w:rsidP="002A58B5">
      <w:pPr>
        <w:pStyle w:val="BodyText"/>
      </w:pPr>
    </w:p>
    <w:p w14:paraId="0963C239" w14:textId="77777777" w:rsidR="005E6960" w:rsidRDefault="005E6960">
      <w:pPr>
        <w:spacing w:after="160" w:line="259" w:lineRule="auto"/>
      </w:pPr>
      <w:r>
        <w:br w:type="page"/>
      </w:r>
    </w:p>
    <w:p w14:paraId="531EC4B2" w14:textId="77777777" w:rsidR="00153671" w:rsidRDefault="00153671" w:rsidP="00153671">
      <w:pPr>
        <w:pStyle w:val="BodyText"/>
      </w:pPr>
    </w:p>
    <w:p w14:paraId="5E6CBF26" w14:textId="77777777" w:rsidR="005E6960" w:rsidRPr="00343E72" w:rsidRDefault="00343E72" w:rsidP="00153671">
      <w:pPr>
        <w:pStyle w:val="SectionHeading"/>
        <w:spacing w:before="1200" w:after="680"/>
        <w:rPr>
          <w:color w:val="162E38"/>
        </w:rPr>
      </w:pPr>
      <w:r w:rsidRPr="00343E72">
        <w:rPr>
          <w:color w:val="162E38"/>
        </w:rPr>
        <w:t>Indexes and references</w:t>
      </w:r>
    </w:p>
    <w:tbl>
      <w:tblPr>
        <w:tblStyle w:val="TableGrid"/>
        <w:tblW w:w="0" w:type="auto"/>
        <w:tblBorders>
          <w:top w:val="none" w:sz="0" w:space="0" w:color="auto"/>
          <w:left w:val="none" w:sz="0" w:space="0" w:color="auto"/>
          <w:bottom w:val="single" w:sz="8" w:space="0" w:color="FFFFFF" w:themeColor="background2"/>
          <w:right w:val="none" w:sz="0" w:space="0" w:color="auto"/>
          <w:insideH w:val="single" w:sz="8" w:space="0" w:color="FFFFFF" w:themeColor="background2"/>
          <w:insideV w:val="none" w:sz="0" w:space="0" w:color="auto"/>
        </w:tblBorders>
        <w:tblCellMar>
          <w:left w:w="0" w:type="dxa"/>
          <w:right w:w="0" w:type="dxa"/>
        </w:tblCellMar>
        <w:tblLook w:val="04A0" w:firstRow="1" w:lastRow="0" w:firstColumn="1" w:lastColumn="0" w:noHBand="0" w:noVBand="1"/>
        <w:tblCaption w:val="Table of contents"/>
        <w:tblDescription w:val="Indexes and references"/>
      </w:tblPr>
      <w:tblGrid>
        <w:gridCol w:w="4979"/>
        <w:gridCol w:w="825"/>
      </w:tblGrid>
      <w:tr w:rsidR="00153671" w14:paraId="30D014B1" w14:textId="77777777" w:rsidTr="00500986">
        <w:tc>
          <w:tcPr>
            <w:tcW w:w="4979" w:type="dxa"/>
          </w:tcPr>
          <w:p w14:paraId="0CEDF085" w14:textId="77777777" w:rsidR="00153671" w:rsidRPr="00D96672" w:rsidRDefault="00153671" w:rsidP="00500986">
            <w:pPr>
              <w:pStyle w:val="Reportcontent"/>
              <w:spacing w:before="160"/>
            </w:pPr>
            <w:r w:rsidRPr="00153671">
              <w:t>Acronyms and abbreviations</w:t>
            </w:r>
          </w:p>
        </w:tc>
        <w:tc>
          <w:tcPr>
            <w:tcW w:w="825" w:type="dxa"/>
          </w:tcPr>
          <w:p w14:paraId="1F30DE62" w14:textId="77777777" w:rsidR="00153671" w:rsidRPr="00D96672" w:rsidRDefault="00153671" w:rsidP="00500986">
            <w:pPr>
              <w:pStyle w:val="Reportcontent"/>
              <w:spacing w:before="160"/>
              <w:jc w:val="right"/>
            </w:pPr>
            <w:r>
              <w:t>114</w:t>
            </w:r>
          </w:p>
        </w:tc>
      </w:tr>
      <w:tr w:rsidR="00153671" w14:paraId="3C05986C" w14:textId="77777777" w:rsidTr="00500986">
        <w:tc>
          <w:tcPr>
            <w:tcW w:w="4979" w:type="dxa"/>
          </w:tcPr>
          <w:p w14:paraId="39B6A1E5" w14:textId="77777777" w:rsidR="00153671" w:rsidRPr="00D96672" w:rsidRDefault="00153671" w:rsidP="00500986">
            <w:pPr>
              <w:pStyle w:val="Reportcontent"/>
              <w:spacing w:before="160"/>
            </w:pPr>
            <w:r w:rsidRPr="00153671">
              <w:t>Glossary</w:t>
            </w:r>
          </w:p>
        </w:tc>
        <w:tc>
          <w:tcPr>
            <w:tcW w:w="825" w:type="dxa"/>
          </w:tcPr>
          <w:p w14:paraId="2E6D8EA2" w14:textId="77777777" w:rsidR="00153671" w:rsidRPr="00D96672" w:rsidRDefault="00153671" w:rsidP="00500986">
            <w:pPr>
              <w:pStyle w:val="Reportcontent"/>
              <w:spacing w:before="160"/>
              <w:jc w:val="right"/>
            </w:pPr>
            <w:r>
              <w:t>116</w:t>
            </w:r>
          </w:p>
        </w:tc>
      </w:tr>
      <w:tr w:rsidR="00153671" w14:paraId="24788324" w14:textId="77777777" w:rsidTr="00500986">
        <w:tc>
          <w:tcPr>
            <w:tcW w:w="4979" w:type="dxa"/>
          </w:tcPr>
          <w:p w14:paraId="3DB52A39" w14:textId="77777777" w:rsidR="00153671" w:rsidRPr="00D96672" w:rsidRDefault="00153671" w:rsidP="00500986">
            <w:pPr>
              <w:pStyle w:val="Reportcontent"/>
              <w:spacing w:before="160"/>
            </w:pPr>
            <w:r w:rsidRPr="00153671">
              <w:t>Index of tables</w:t>
            </w:r>
          </w:p>
        </w:tc>
        <w:tc>
          <w:tcPr>
            <w:tcW w:w="825" w:type="dxa"/>
          </w:tcPr>
          <w:p w14:paraId="6A218F04" w14:textId="77777777" w:rsidR="00153671" w:rsidRPr="00D96672" w:rsidRDefault="00153671" w:rsidP="00500986">
            <w:pPr>
              <w:pStyle w:val="Reportcontent"/>
              <w:spacing w:before="160"/>
              <w:jc w:val="right"/>
            </w:pPr>
            <w:r>
              <w:t>119</w:t>
            </w:r>
          </w:p>
        </w:tc>
      </w:tr>
      <w:tr w:rsidR="00153671" w14:paraId="66077121" w14:textId="77777777" w:rsidTr="00500986">
        <w:tc>
          <w:tcPr>
            <w:tcW w:w="4979" w:type="dxa"/>
          </w:tcPr>
          <w:p w14:paraId="3E4BCB21" w14:textId="77777777" w:rsidR="00153671" w:rsidRPr="00D96672" w:rsidRDefault="00153671" w:rsidP="00500986">
            <w:pPr>
              <w:pStyle w:val="Reportcontent"/>
              <w:spacing w:before="160"/>
            </w:pPr>
            <w:r w:rsidRPr="00153671">
              <w:t>Index of figures</w:t>
            </w:r>
          </w:p>
        </w:tc>
        <w:tc>
          <w:tcPr>
            <w:tcW w:w="825" w:type="dxa"/>
          </w:tcPr>
          <w:p w14:paraId="7CBC7CAA" w14:textId="77777777" w:rsidR="00153671" w:rsidRPr="00D96672" w:rsidRDefault="00153671" w:rsidP="00500986">
            <w:pPr>
              <w:pStyle w:val="Reportcontent"/>
              <w:spacing w:before="160"/>
              <w:jc w:val="right"/>
            </w:pPr>
            <w:r>
              <w:t>119</w:t>
            </w:r>
          </w:p>
        </w:tc>
      </w:tr>
      <w:tr w:rsidR="00153671" w14:paraId="00245AEE" w14:textId="77777777" w:rsidTr="00500986">
        <w:tc>
          <w:tcPr>
            <w:tcW w:w="4979" w:type="dxa"/>
          </w:tcPr>
          <w:p w14:paraId="468BE411" w14:textId="77777777" w:rsidR="00153671" w:rsidRPr="00D96672" w:rsidRDefault="00153671" w:rsidP="00500986">
            <w:pPr>
              <w:pStyle w:val="Reportcontent"/>
              <w:spacing w:before="160"/>
            </w:pPr>
            <w:r w:rsidRPr="00153671">
              <w:t>Compliance index</w:t>
            </w:r>
          </w:p>
        </w:tc>
        <w:tc>
          <w:tcPr>
            <w:tcW w:w="825" w:type="dxa"/>
          </w:tcPr>
          <w:p w14:paraId="7FB93B49" w14:textId="77777777" w:rsidR="00153671" w:rsidRPr="00D96672" w:rsidRDefault="00153671" w:rsidP="00500986">
            <w:pPr>
              <w:pStyle w:val="Reportcontent"/>
              <w:spacing w:before="160"/>
              <w:jc w:val="right"/>
            </w:pPr>
            <w:r>
              <w:t>120</w:t>
            </w:r>
          </w:p>
        </w:tc>
      </w:tr>
      <w:tr w:rsidR="00153671" w14:paraId="6E590D7E" w14:textId="77777777" w:rsidTr="00500986">
        <w:tc>
          <w:tcPr>
            <w:tcW w:w="4979" w:type="dxa"/>
          </w:tcPr>
          <w:p w14:paraId="0DC1163C" w14:textId="77777777" w:rsidR="00153671" w:rsidRPr="00E2255E" w:rsidRDefault="00153671" w:rsidP="00500986">
            <w:pPr>
              <w:pStyle w:val="Reportcontent"/>
              <w:spacing w:before="160"/>
            </w:pPr>
            <w:r w:rsidRPr="00153671">
              <w:t>Index</w:t>
            </w:r>
          </w:p>
        </w:tc>
        <w:tc>
          <w:tcPr>
            <w:tcW w:w="825" w:type="dxa"/>
          </w:tcPr>
          <w:p w14:paraId="437EB0FF" w14:textId="77777777" w:rsidR="00153671" w:rsidRPr="00E2255E" w:rsidRDefault="00153671" w:rsidP="00500986">
            <w:pPr>
              <w:pStyle w:val="Reportcontent"/>
              <w:spacing w:before="160"/>
              <w:jc w:val="right"/>
            </w:pPr>
            <w:r>
              <w:t>123</w:t>
            </w:r>
          </w:p>
        </w:tc>
      </w:tr>
      <w:tr w:rsidR="00153671" w14:paraId="5B77778E" w14:textId="77777777" w:rsidTr="00500986">
        <w:tc>
          <w:tcPr>
            <w:tcW w:w="4979" w:type="dxa"/>
          </w:tcPr>
          <w:p w14:paraId="69678B8A" w14:textId="77777777" w:rsidR="00153671" w:rsidRPr="00E2255E" w:rsidRDefault="00153671" w:rsidP="00500986">
            <w:pPr>
              <w:pStyle w:val="Reportcontent"/>
              <w:spacing w:before="160"/>
            </w:pPr>
            <w:r w:rsidRPr="00153671">
              <w:t>References</w:t>
            </w:r>
          </w:p>
        </w:tc>
        <w:tc>
          <w:tcPr>
            <w:tcW w:w="825" w:type="dxa"/>
          </w:tcPr>
          <w:p w14:paraId="44611535" w14:textId="77777777" w:rsidR="00153671" w:rsidRDefault="00153671" w:rsidP="00500986">
            <w:pPr>
              <w:pStyle w:val="Reportcontent"/>
              <w:spacing w:before="160"/>
              <w:jc w:val="right"/>
            </w:pPr>
            <w:r>
              <w:t>128</w:t>
            </w:r>
          </w:p>
        </w:tc>
      </w:tr>
    </w:tbl>
    <w:p w14:paraId="1132729B" w14:textId="77777777" w:rsidR="00343E72" w:rsidRDefault="00343E72" w:rsidP="00343E72">
      <w:pPr>
        <w:pStyle w:val="BodyText"/>
      </w:pPr>
    </w:p>
    <w:p w14:paraId="57636CFD" w14:textId="77777777" w:rsidR="005E6960" w:rsidRDefault="005E6960" w:rsidP="00343E72">
      <w:pPr>
        <w:pStyle w:val="BodyText"/>
        <w:sectPr w:rsidR="005E6960" w:rsidSect="002A58B5">
          <w:headerReference w:type="even" r:id="rId114"/>
          <w:headerReference w:type="default" r:id="rId115"/>
          <w:footerReference w:type="even" r:id="rId116"/>
          <w:footerReference w:type="default" r:id="rId117"/>
          <w:pgSz w:w="9979" w:h="14175" w:code="34"/>
          <w:pgMar w:top="1418" w:right="680" w:bottom="851" w:left="1021" w:header="567" w:footer="397" w:gutter="0"/>
          <w:cols w:space="340"/>
          <w:noEndnote/>
        </w:sectPr>
      </w:pPr>
    </w:p>
    <w:p w14:paraId="1C590718" w14:textId="77777777" w:rsidR="005E6960" w:rsidRPr="00C9282C" w:rsidRDefault="005E6960" w:rsidP="00C9282C">
      <w:pPr>
        <w:pStyle w:val="Heading2"/>
      </w:pPr>
      <w:r w:rsidRPr="00C9282C">
        <w:lastRenderedPageBreak/>
        <w:t>Acronyms and abbreviations</w:t>
      </w:r>
    </w:p>
    <w:tbl>
      <w:tblPr>
        <w:tblW w:w="0" w:type="auto"/>
        <w:tblInd w:w="-8" w:type="dxa"/>
        <w:tblLayout w:type="fixed"/>
        <w:tblCellMar>
          <w:left w:w="0" w:type="dxa"/>
          <w:right w:w="0" w:type="dxa"/>
        </w:tblCellMar>
        <w:tblLook w:val="0000" w:firstRow="0" w:lastRow="0" w:firstColumn="0" w:lastColumn="0" w:noHBand="0" w:noVBand="0"/>
        <w:tblCaption w:val="Acronyms and abbreviations"/>
      </w:tblPr>
      <w:tblGrid>
        <w:gridCol w:w="2041"/>
        <w:gridCol w:w="6236"/>
      </w:tblGrid>
      <w:tr w:rsidR="001D1DA5" w:rsidRPr="001D1DA5" w14:paraId="7A2EEE38" w14:textId="77777777" w:rsidTr="001D1DA5">
        <w:trPr>
          <w:trHeight w:val="60"/>
        </w:trPr>
        <w:tc>
          <w:tcPr>
            <w:tcW w:w="2041" w:type="dxa"/>
            <w:shd w:val="clear" w:color="auto" w:fill="DFE0E2"/>
            <w:tcMar>
              <w:top w:w="57" w:type="dxa"/>
              <w:left w:w="113" w:type="dxa"/>
              <w:bottom w:w="57" w:type="dxa"/>
              <w:right w:w="113" w:type="dxa"/>
            </w:tcMar>
          </w:tcPr>
          <w:p w14:paraId="1E71EDC0" w14:textId="77777777" w:rsidR="001D1DA5" w:rsidRPr="001D1DA5" w:rsidRDefault="001D1DA5" w:rsidP="001D1DA5">
            <w:pPr>
              <w:pStyle w:val="Tabletext"/>
              <w:rPr>
                <w:rStyle w:val="Strong"/>
              </w:rPr>
            </w:pPr>
            <w:r w:rsidRPr="001D1DA5">
              <w:rPr>
                <w:rStyle w:val="Strong"/>
              </w:rPr>
              <w:t>AC</w:t>
            </w:r>
          </w:p>
        </w:tc>
        <w:tc>
          <w:tcPr>
            <w:tcW w:w="6236" w:type="dxa"/>
            <w:shd w:val="clear" w:color="auto" w:fill="DFE0E2"/>
            <w:tcMar>
              <w:top w:w="57" w:type="dxa"/>
              <w:left w:w="113" w:type="dxa"/>
              <w:bottom w:w="57" w:type="dxa"/>
              <w:right w:w="113" w:type="dxa"/>
            </w:tcMar>
          </w:tcPr>
          <w:p w14:paraId="13BAA3E9" w14:textId="77777777" w:rsidR="001D1DA5" w:rsidRPr="00C36315" w:rsidRDefault="001D1DA5" w:rsidP="001D1DA5">
            <w:pPr>
              <w:pStyle w:val="Tabletext"/>
            </w:pPr>
            <w:r w:rsidRPr="00C36315">
              <w:t>Companion of the Order of Australia</w:t>
            </w:r>
          </w:p>
        </w:tc>
      </w:tr>
      <w:tr w:rsidR="001D1DA5" w:rsidRPr="001D1DA5" w14:paraId="3D047114" w14:textId="77777777" w:rsidTr="001D1DA5">
        <w:trPr>
          <w:trHeight w:val="60"/>
        </w:trPr>
        <w:tc>
          <w:tcPr>
            <w:tcW w:w="2041" w:type="dxa"/>
            <w:tcMar>
              <w:top w:w="57" w:type="dxa"/>
              <w:left w:w="113" w:type="dxa"/>
              <w:bottom w:w="57" w:type="dxa"/>
              <w:right w:w="113" w:type="dxa"/>
            </w:tcMar>
          </w:tcPr>
          <w:p w14:paraId="7575CC9B" w14:textId="77777777" w:rsidR="001D1DA5" w:rsidRPr="001D1DA5" w:rsidRDefault="001D1DA5" w:rsidP="001D1DA5">
            <w:pPr>
              <w:pStyle w:val="Tabletext"/>
              <w:rPr>
                <w:rStyle w:val="Strong"/>
              </w:rPr>
            </w:pPr>
            <w:r w:rsidRPr="001D1DA5">
              <w:rPr>
                <w:rStyle w:val="Strong"/>
              </w:rPr>
              <w:t>ACM HSMR</w:t>
            </w:r>
          </w:p>
        </w:tc>
        <w:tc>
          <w:tcPr>
            <w:tcW w:w="6236" w:type="dxa"/>
            <w:tcMar>
              <w:top w:w="57" w:type="dxa"/>
              <w:left w:w="113" w:type="dxa"/>
              <w:bottom w:w="57" w:type="dxa"/>
              <w:right w:w="113" w:type="dxa"/>
            </w:tcMar>
          </w:tcPr>
          <w:p w14:paraId="433756A9" w14:textId="77777777" w:rsidR="001D1DA5" w:rsidRPr="00C36315" w:rsidRDefault="001D1DA5" w:rsidP="001D1DA5">
            <w:pPr>
              <w:pStyle w:val="Tabletext"/>
            </w:pPr>
            <w:r w:rsidRPr="00C36315">
              <w:t>Australian Composite Model Hospital Standardised Mortality Ratio</w:t>
            </w:r>
          </w:p>
        </w:tc>
      </w:tr>
      <w:tr w:rsidR="001D1DA5" w:rsidRPr="001D1DA5" w14:paraId="2EBEA3AA" w14:textId="77777777" w:rsidTr="001D1DA5">
        <w:trPr>
          <w:trHeight w:val="60"/>
        </w:trPr>
        <w:tc>
          <w:tcPr>
            <w:tcW w:w="2041" w:type="dxa"/>
            <w:shd w:val="clear" w:color="auto" w:fill="DFE0E2"/>
            <w:tcMar>
              <w:top w:w="57" w:type="dxa"/>
              <w:left w:w="113" w:type="dxa"/>
              <w:bottom w:w="57" w:type="dxa"/>
              <w:right w:w="113" w:type="dxa"/>
            </w:tcMar>
          </w:tcPr>
          <w:p w14:paraId="6E72E461" w14:textId="77777777" w:rsidR="001D1DA5" w:rsidRPr="001D1DA5" w:rsidRDefault="001D1DA5" w:rsidP="001D1DA5">
            <w:pPr>
              <w:pStyle w:val="Tabletext"/>
              <w:rPr>
                <w:rStyle w:val="Strong"/>
              </w:rPr>
            </w:pPr>
            <w:r w:rsidRPr="001D1DA5">
              <w:rPr>
                <w:rStyle w:val="Strong"/>
              </w:rPr>
              <w:t>AHMAC</w:t>
            </w:r>
          </w:p>
        </w:tc>
        <w:tc>
          <w:tcPr>
            <w:tcW w:w="6236" w:type="dxa"/>
            <w:shd w:val="clear" w:color="auto" w:fill="DFE0E2"/>
            <w:tcMar>
              <w:top w:w="57" w:type="dxa"/>
              <w:left w:w="113" w:type="dxa"/>
              <w:bottom w:w="57" w:type="dxa"/>
              <w:right w:w="113" w:type="dxa"/>
            </w:tcMar>
          </w:tcPr>
          <w:p w14:paraId="48B04E74" w14:textId="77777777" w:rsidR="001D1DA5" w:rsidRPr="00C36315" w:rsidRDefault="001D1DA5" w:rsidP="001D1DA5">
            <w:pPr>
              <w:pStyle w:val="Tabletext"/>
            </w:pPr>
            <w:r w:rsidRPr="00C36315">
              <w:t>Australian Health Ministers’ Advisory Council</w:t>
            </w:r>
          </w:p>
        </w:tc>
      </w:tr>
      <w:tr w:rsidR="001D1DA5" w:rsidRPr="001D1DA5" w14:paraId="422D1D5B" w14:textId="77777777" w:rsidTr="001D1DA5">
        <w:trPr>
          <w:trHeight w:val="60"/>
        </w:trPr>
        <w:tc>
          <w:tcPr>
            <w:tcW w:w="2041" w:type="dxa"/>
            <w:tcMar>
              <w:top w:w="57" w:type="dxa"/>
              <w:left w:w="113" w:type="dxa"/>
              <w:bottom w:w="57" w:type="dxa"/>
              <w:right w:w="113" w:type="dxa"/>
            </w:tcMar>
          </w:tcPr>
          <w:p w14:paraId="62997D55" w14:textId="77777777" w:rsidR="001D1DA5" w:rsidRPr="001D1DA5" w:rsidRDefault="001D1DA5" w:rsidP="001D1DA5">
            <w:pPr>
              <w:pStyle w:val="Tabletext"/>
              <w:rPr>
                <w:rStyle w:val="Strong"/>
              </w:rPr>
            </w:pPr>
            <w:r w:rsidRPr="001D1DA5">
              <w:rPr>
                <w:rStyle w:val="Strong"/>
              </w:rPr>
              <w:t>AHSSQA Scheme</w:t>
            </w:r>
          </w:p>
        </w:tc>
        <w:tc>
          <w:tcPr>
            <w:tcW w:w="6236" w:type="dxa"/>
            <w:tcMar>
              <w:top w:w="57" w:type="dxa"/>
              <w:left w:w="113" w:type="dxa"/>
              <w:bottom w:w="57" w:type="dxa"/>
              <w:right w:w="113" w:type="dxa"/>
            </w:tcMar>
          </w:tcPr>
          <w:p w14:paraId="356A1825" w14:textId="77777777" w:rsidR="001D1DA5" w:rsidRPr="00C36315" w:rsidRDefault="001D1DA5" w:rsidP="001D1DA5">
            <w:pPr>
              <w:pStyle w:val="Tabletext"/>
            </w:pPr>
            <w:r w:rsidRPr="00C36315">
              <w:t>Australian Health Service Safety and Quality Accreditation Scheme</w:t>
            </w:r>
          </w:p>
        </w:tc>
      </w:tr>
      <w:tr w:rsidR="001D1DA5" w:rsidRPr="001D1DA5" w14:paraId="65935E35" w14:textId="77777777" w:rsidTr="001D1DA5">
        <w:trPr>
          <w:trHeight w:val="60"/>
        </w:trPr>
        <w:tc>
          <w:tcPr>
            <w:tcW w:w="2041" w:type="dxa"/>
            <w:shd w:val="clear" w:color="auto" w:fill="DFE0E2"/>
            <w:tcMar>
              <w:top w:w="57" w:type="dxa"/>
              <w:left w:w="113" w:type="dxa"/>
              <w:bottom w:w="57" w:type="dxa"/>
              <w:right w:w="113" w:type="dxa"/>
            </w:tcMar>
          </w:tcPr>
          <w:p w14:paraId="57CC04B3" w14:textId="77777777" w:rsidR="001D1DA5" w:rsidRPr="001D1DA5" w:rsidRDefault="001D1DA5" w:rsidP="001D1DA5">
            <w:pPr>
              <w:pStyle w:val="Tabletext"/>
              <w:rPr>
                <w:rStyle w:val="Strong"/>
              </w:rPr>
            </w:pPr>
            <w:r w:rsidRPr="001D1DA5">
              <w:rPr>
                <w:rStyle w:val="Strong"/>
              </w:rPr>
              <w:t>AM</w:t>
            </w:r>
          </w:p>
        </w:tc>
        <w:tc>
          <w:tcPr>
            <w:tcW w:w="6236" w:type="dxa"/>
            <w:shd w:val="clear" w:color="auto" w:fill="DFE0E2"/>
            <w:tcMar>
              <w:top w:w="57" w:type="dxa"/>
              <w:left w:w="113" w:type="dxa"/>
              <w:bottom w:w="57" w:type="dxa"/>
              <w:right w:w="113" w:type="dxa"/>
            </w:tcMar>
          </w:tcPr>
          <w:p w14:paraId="48DD1C4C" w14:textId="77777777" w:rsidR="001D1DA5" w:rsidRPr="00C36315" w:rsidRDefault="001D1DA5" w:rsidP="001D1DA5">
            <w:pPr>
              <w:pStyle w:val="Tabletext"/>
            </w:pPr>
            <w:r w:rsidRPr="00C36315">
              <w:t>Member of the Order of Australia</w:t>
            </w:r>
          </w:p>
        </w:tc>
      </w:tr>
      <w:tr w:rsidR="001D1DA5" w:rsidRPr="001D1DA5" w14:paraId="5B82246E" w14:textId="77777777" w:rsidTr="001D1DA5">
        <w:trPr>
          <w:trHeight w:val="60"/>
        </w:trPr>
        <w:tc>
          <w:tcPr>
            <w:tcW w:w="2041" w:type="dxa"/>
            <w:tcMar>
              <w:top w:w="57" w:type="dxa"/>
              <w:left w:w="113" w:type="dxa"/>
              <w:bottom w:w="57" w:type="dxa"/>
              <w:right w:w="113" w:type="dxa"/>
            </w:tcMar>
          </w:tcPr>
          <w:p w14:paraId="619205D9" w14:textId="77777777" w:rsidR="001D1DA5" w:rsidRPr="001D1DA5" w:rsidRDefault="001D1DA5" w:rsidP="001D1DA5">
            <w:pPr>
              <w:pStyle w:val="Tabletext"/>
              <w:rPr>
                <w:rStyle w:val="Strong"/>
              </w:rPr>
            </w:pPr>
            <w:r w:rsidRPr="001D1DA5">
              <w:rPr>
                <w:rStyle w:val="Strong"/>
              </w:rPr>
              <w:t>AMR</w:t>
            </w:r>
          </w:p>
        </w:tc>
        <w:tc>
          <w:tcPr>
            <w:tcW w:w="6236" w:type="dxa"/>
            <w:tcMar>
              <w:top w:w="57" w:type="dxa"/>
              <w:left w:w="113" w:type="dxa"/>
              <w:bottom w:w="57" w:type="dxa"/>
              <w:right w:w="113" w:type="dxa"/>
            </w:tcMar>
          </w:tcPr>
          <w:p w14:paraId="39F73391" w14:textId="77777777" w:rsidR="001D1DA5" w:rsidRPr="00C36315" w:rsidRDefault="001D1DA5" w:rsidP="001D1DA5">
            <w:pPr>
              <w:pStyle w:val="Tabletext"/>
            </w:pPr>
            <w:r w:rsidRPr="00C36315">
              <w:t>Antimicrobial resistance</w:t>
            </w:r>
          </w:p>
        </w:tc>
      </w:tr>
      <w:tr w:rsidR="001D1DA5" w:rsidRPr="001D1DA5" w14:paraId="2B7C2D4F" w14:textId="77777777" w:rsidTr="001D1DA5">
        <w:trPr>
          <w:trHeight w:val="60"/>
        </w:trPr>
        <w:tc>
          <w:tcPr>
            <w:tcW w:w="2041" w:type="dxa"/>
            <w:shd w:val="clear" w:color="auto" w:fill="DFE0E2"/>
            <w:tcMar>
              <w:top w:w="57" w:type="dxa"/>
              <w:left w:w="113" w:type="dxa"/>
              <w:bottom w:w="57" w:type="dxa"/>
              <w:right w:w="113" w:type="dxa"/>
            </w:tcMar>
          </w:tcPr>
          <w:p w14:paraId="2ABC793D" w14:textId="77777777" w:rsidR="001D1DA5" w:rsidRPr="001D1DA5" w:rsidRDefault="001D1DA5" w:rsidP="001D1DA5">
            <w:pPr>
              <w:pStyle w:val="Tabletext"/>
              <w:rPr>
                <w:rStyle w:val="Strong"/>
              </w:rPr>
            </w:pPr>
            <w:r w:rsidRPr="001D1DA5">
              <w:rPr>
                <w:rStyle w:val="Strong"/>
              </w:rPr>
              <w:t>ANZCA</w:t>
            </w:r>
          </w:p>
        </w:tc>
        <w:tc>
          <w:tcPr>
            <w:tcW w:w="6236" w:type="dxa"/>
            <w:shd w:val="clear" w:color="auto" w:fill="DFE0E2"/>
            <w:tcMar>
              <w:top w:w="57" w:type="dxa"/>
              <w:left w:w="113" w:type="dxa"/>
              <w:bottom w:w="57" w:type="dxa"/>
              <w:right w:w="113" w:type="dxa"/>
            </w:tcMar>
          </w:tcPr>
          <w:p w14:paraId="1B83D482" w14:textId="77777777" w:rsidR="001D1DA5" w:rsidRPr="00C36315" w:rsidRDefault="001D1DA5" w:rsidP="001D1DA5">
            <w:pPr>
              <w:pStyle w:val="Tabletext"/>
            </w:pPr>
            <w:r w:rsidRPr="00C36315">
              <w:t>Australian and New Zealand College of Anaesthetists</w:t>
            </w:r>
          </w:p>
        </w:tc>
      </w:tr>
      <w:tr w:rsidR="001D1DA5" w:rsidRPr="001D1DA5" w14:paraId="041C4A85" w14:textId="77777777" w:rsidTr="001D1DA5">
        <w:trPr>
          <w:trHeight w:val="60"/>
        </w:trPr>
        <w:tc>
          <w:tcPr>
            <w:tcW w:w="2041" w:type="dxa"/>
            <w:tcMar>
              <w:top w:w="57" w:type="dxa"/>
              <w:left w:w="113" w:type="dxa"/>
              <w:bottom w:w="57" w:type="dxa"/>
              <w:right w:w="113" w:type="dxa"/>
            </w:tcMar>
          </w:tcPr>
          <w:p w14:paraId="55E2FE5F" w14:textId="77777777" w:rsidR="001D1DA5" w:rsidRPr="001D1DA5" w:rsidRDefault="001D1DA5" w:rsidP="001D1DA5">
            <w:pPr>
              <w:pStyle w:val="Tabletext"/>
              <w:rPr>
                <w:rStyle w:val="Strong"/>
              </w:rPr>
            </w:pPr>
            <w:r w:rsidRPr="001D1DA5">
              <w:rPr>
                <w:rStyle w:val="Strong"/>
              </w:rPr>
              <w:t>AO</w:t>
            </w:r>
          </w:p>
        </w:tc>
        <w:tc>
          <w:tcPr>
            <w:tcW w:w="6236" w:type="dxa"/>
            <w:tcMar>
              <w:top w:w="57" w:type="dxa"/>
              <w:left w:w="113" w:type="dxa"/>
              <w:bottom w:w="57" w:type="dxa"/>
              <w:right w:w="113" w:type="dxa"/>
            </w:tcMar>
          </w:tcPr>
          <w:p w14:paraId="00457814" w14:textId="77777777" w:rsidR="001D1DA5" w:rsidRPr="00C36315" w:rsidRDefault="001D1DA5" w:rsidP="001D1DA5">
            <w:pPr>
              <w:pStyle w:val="Tabletext"/>
            </w:pPr>
            <w:r w:rsidRPr="00C36315">
              <w:t xml:space="preserve">Officer of the Order of Australia </w:t>
            </w:r>
          </w:p>
        </w:tc>
      </w:tr>
      <w:tr w:rsidR="001D1DA5" w:rsidRPr="001D1DA5" w14:paraId="7FFB8DED" w14:textId="77777777" w:rsidTr="001D1DA5">
        <w:trPr>
          <w:trHeight w:val="60"/>
        </w:trPr>
        <w:tc>
          <w:tcPr>
            <w:tcW w:w="2041" w:type="dxa"/>
            <w:shd w:val="clear" w:color="auto" w:fill="DFE0E2"/>
            <w:tcMar>
              <w:top w:w="57" w:type="dxa"/>
              <w:left w:w="113" w:type="dxa"/>
              <w:bottom w:w="57" w:type="dxa"/>
              <w:right w:w="113" w:type="dxa"/>
            </w:tcMar>
          </w:tcPr>
          <w:p w14:paraId="4C638D16" w14:textId="77777777" w:rsidR="001D1DA5" w:rsidRPr="001D1DA5" w:rsidRDefault="001D1DA5" w:rsidP="001D1DA5">
            <w:pPr>
              <w:pStyle w:val="Tabletext"/>
              <w:rPr>
                <w:rStyle w:val="Strong"/>
              </w:rPr>
            </w:pPr>
            <w:r w:rsidRPr="001D1DA5">
              <w:rPr>
                <w:rStyle w:val="Strong"/>
              </w:rPr>
              <w:t>APS</w:t>
            </w:r>
          </w:p>
        </w:tc>
        <w:tc>
          <w:tcPr>
            <w:tcW w:w="6236" w:type="dxa"/>
            <w:shd w:val="clear" w:color="auto" w:fill="DFE0E2"/>
            <w:tcMar>
              <w:top w:w="57" w:type="dxa"/>
              <w:left w:w="113" w:type="dxa"/>
              <w:bottom w:w="57" w:type="dxa"/>
              <w:right w:w="113" w:type="dxa"/>
            </w:tcMar>
          </w:tcPr>
          <w:p w14:paraId="222852C1" w14:textId="77777777" w:rsidR="001D1DA5" w:rsidRPr="00C36315" w:rsidRDefault="001D1DA5" w:rsidP="001D1DA5">
            <w:pPr>
              <w:pStyle w:val="Tabletext"/>
            </w:pPr>
            <w:r w:rsidRPr="00C36315">
              <w:t>Australian Public Service</w:t>
            </w:r>
          </w:p>
        </w:tc>
      </w:tr>
      <w:tr w:rsidR="001D1DA5" w:rsidRPr="001D1DA5" w14:paraId="1BA015D7" w14:textId="77777777" w:rsidTr="001D1DA5">
        <w:trPr>
          <w:trHeight w:val="60"/>
        </w:trPr>
        <w:tc>
          <w:tcPr>
            <w:tcW w:w="2041" w:type="dxa"/>
            <w:tcMar>
              <w:top w:w="57" w:type="dxa"/>
              <w:left w:w="113" w:type="dxa"/>
              <w:bottom w:w="57" w:type="dxa"/>
              <w:right w:w="113" w:type="dxa"/>
            </w:tcMar>
          </w:tcPr>
          <w:p w14:paraId="7080B8CD" w14:textId="77777777" w:rsidR="001D1DA5" w:rsidRPr="001D1DA5" w:rsidRDefault="001D1DA5" w:rsidP="001D1DA5">
            <w:pPr>
              <w:pStyle w:val="Tabletext"/>
              <w:rPr>
                <w:rStyle w:val="Strong"/>
              </w:rPr>
            </w:pPr>
            <w:r w:rsidRPr="001D1DA5">
              <w:rPr>
                <w:rStyle w:val="Strong"/>
              </w:rPr>
              <w:t>APSC</w:t>
            </w:r>
          </w:p>
        </w:tc>
        <w:tc>
          <w:tcPr>
            <w:tcW w:w="6236" w:type="dxa"/>
            <w:tcMar>
              <w:top w:w="57" w:type="dxa"/>
              <w:left w:w="113" w:type="dxa"/>
              <w:bottom w:w="57" w:type="dxa"/>
              <w:right w:w="113" w:type="dxa"/>
            </w:tcMar>
          </w:tcPr>
          <w:p w14:paraId="153E8C7B" w14:textId="77777777" w:rsidR="001D1DA5" w:rsidRPr="00C36315" w:rsidRDefault="001D1DA5" w:rsidP="001D1DA5">
            <w:pPr>
              <w:pStyle w:val="Tabletext"/>
            </w:pPr>
            <w:r w:rsidRPr="00C36315">
              <w:t>Australian Public Service Commission</w:t>
            </w:r>
          </w:p>
        </w:tc>
      </w:tr>
      <w:tr w:rsidR="001D1DA5" w:rsidRPr="001D1DA5" w14:paraId="58DB3A79" w14:textId="77777777" w:rsidTr="001D1DA5">
        <w:trPr>
          <w:trHeight w:val="60"/>
        </w:trPr>
        <w:tc>
          <w:tcPr>
            <w:tcW w:w="2041" w:type="dxa"/>
            <w:shd w:val="clear" w:color="auto" w:fill="DFE0E2"/>
            <w:tcMar>
              <w:top w:w="57" w:type="dxa"/>
              <w:left w:w="113" w:type="dxa"/>
              <w:bottom w:w="57" w:type="dxa"/>
              <w:right w:w="113" w:type="dxa"/>
            </w:tcMar>
          </w:tcPr>
          <w:p w14:paraId="677293B3" w14:textId="77777777" w:rsidR="001D1DA5" w:rsidRPr="001D1DA5" w:rsidRDefault="001D1DA5" w:rsidP="001D1DA5">
            <w:pPr>
              <w:pStyle w:val="Tabletext"/>
              <w:rPr>
                <w:rStyle w:val="Strong"/>
              </w:rPr>
            </w:pPr>
            <w:r w:rsidRPr="001D1DA5">
              <w:rPr>
                <w:rStyle w:val="Strong"/>
              </w:rPr>
              <w:t>AU</w:t>
            </w:r>
          </w:p>
        </w:tc>
        <w:tc>
          <w:tcPr>
            <w:tcW w:w="6236" w:type="dxa"/>
            <w:shd w:val="clear" w:color="auto" w:fill="DFE0E2"/>
            <w:tcMar>
              <w:top w:w="57" w:type="dxa"/>
              <w:left w:w="113" w:type="dxa"/>
              <w:bottom w:w="57" w:type="dxa"/>
              <w:right w:w="113" w:type="dxa"/>
            </w:tcMar>
          </w:tcPr>
          <w:p w14:paraId="31991584" w14:textId="77777777" w:rsidR="001D1DA5" w:rsidRPr="00C36315" w:rsidRDefault="001D1DA5" w:rsidP="001D1DA5">
            <w:pPr>
              <w:pStyle w:val="Tabletext"/>
            </w:pPr>
            <w:r w:rsidRPr="00C36315">
              <w:t>Antimicrobial use</w:t>
            </w:r>
          </w:p>
        </w:tc>
      </w:tr>
      <w:tr w:rsidR="001D1DA5" w:rsidRPr="001D1DA5" w14:paraId="01DE5B36" w14:textId="77777777" w:rsidTr="001D1DA5">
        <w:trPr>
          <w:trHeight w:val="60"/>
        </w:trPr>
        <w:tc>
          <w:tcPr>
            <w:tcW w:w="2041" w:type="dxa"/>
            <w:tcMar>
              <w:top w:w="57" w:type="dxa"/>
              <w:left w:w="113" w:type="dxa"/>
              <w:bottom w:w="57" w:type="dxa"/>
              <w:right w:w="113" w:type="dxa"/>
            </w:tcMar>
          </w:tcPr>
          <w:p w14:paraId="6D5F25C5" w14:textId="77777777" w:rsidR="001D1DA5" w:rsidRPr="001D1DA5" w:rsidRDefault="001D1DA5" w:rsidP="001D1DA5">
            <w:pPr>
              <w:pStyle w:val="Tabletext"/>
              <w:rPr>
                <w:rStyle w:val="Strong"/>
              </w:rPr>
            </w:pPr>
            <w:r w:rsidRPr="001D1DA5">
              <w:rPr>
                <w:rStyle w:val="Strong"/>
              </w:rPr>
              <w:t>AURA</w:t>
            </w:r>
          </w:p>
        </w:tc>
        <w:tc>
          <w:tcPr>
            <w:tcW w:w="6236" w:type="dxa"/>
            <w:tcMar>
              <w:top w:w="57" w:type="dxa"/>
              <w:left w:w="113" w:type="dxa"/>
              <w:bottom w:w="57" w:type="dxa"/>
              <w:right w:w="113" w:type="dxa"/>
            </w:tcMar>
          </w:tcPr>
          <w:p w14:paraId="7638F365" w14:textId="77777777" w:rsidR="001D1DA5" w:rsidRPr="00C36315" w:rsidRDefault="001D1DA5" w:rsidP="001D1DA5">
            <w:pPr>
              <w:pStyle w:val="Tabletext"/>
            </w:pPr>
            <w:r w:rsidRPr="00C36315">
              <w:t>Antimicrobial Use and Resistance in Australia</w:t>
            </w:r>
          </w:p>
        </w:tc>
      </w:tr>
      <w:tr w:rsidR="001D1DA5" w:rsidRPr="001D1DA5" w14:paraId="0DD84E3A" w14:textId="77777777" w:rsidTr="001D1DA5">
        <w:trPr>
          <w:trHeight w:val="60"/>
        </w:trPr>
        <w:tc>
          <w:tcPr>
            <w:tcW w:w="2041" w:type="dxa"/>
            <w:shd w:val="clear" w:color="auto" w:fill="DFE0E2"/>
            <w:tcMar>
              <w:top w:w="57" w:type="dxa"/>
              <w:left w:w="113" w:type="dxa"/>
              <w:bottom w:w="57" w:type="dxa"/>
              <w:right w:w="113" w:type="dxa"/>
            </w:tcMar>
          </w:tcPr>
          <w:p w14:paraId="4A5DE149" w14:textId="77777777" w:rsidR="001D1DA5" w:rsidRPr="001D1DA5" w:rsidRDefault="001D1DA5" w:rsidP="001D1DA5">
            <w:pPr>
              <w:pStyle w:val="Tabletext"/>
              <w:rPr>
                <w:rStyle w:val="Strong"/>
              </w:rPr>
            </w:pPr>
            <w:proofErr w:type="spellStart"/>
            <w:r w:rsidRPr="001D1DA5">
              <w:rPr>
                <w:rStyle w:val="Strong"/>
              </w:rPr>
              <w:t>BBus</w:t>
            </w:r>
            <w:proofErr w:type="spellEnd"/>
          </w:p>
        </w:tc>
        <w:tc>
          <w:tcPr>
            <w:tcW w:w="6236" w:type="dxa"/>
            <w:shd w:val="clear" w:color="auto" w:fill="DFE0E2"/>
            <w:tcMar>
              <w:top w:w="57" w:type="dxa"/>
              <w:left w:w="113" w:type="dxa"/>
              <w:bottom w:w="57" w:type="dxa"/>
              <w:right w:w="113" w:type="dxa"/>
            </w:tcMar>
          </w:tcPr>
          <w:p w14:paraId="0E988FFB" w14:textId="77777777" w:rsidR="001D1DA5" w:rsidRPr="00C36315" w:rsidRDefault="001D1DA5" w:rsidP="001D1DA5">
            <w:pPr>
              <w:pStyle w:val="Tabletext"/>
            </w:pPr>
            <w:r w:rsidRPr="00C36315">
              <w:t xml:space="preserve">Bachelor of Business </w:t>
            </w:r>
          </w:p>
        </w:tc>
      </w:tr>
      <w:tr w:rsidR="001D1DA5" w:rsidRPr="001D1DA5" w14:paraId="1195C27F" w14:textId="77777777" w:rsidTr="001D1DA5">
        <w:trPr>
          <w:trHeight w:val="60"/>
        </w:trPr>
        <w:tc>
          <w:tcPr>
            <w:tcW w:w="2041" w:type="dxa"/>
            <w:tcMar>
              <w:top w:w="57" w:type="dxa"/>
              <w:left w:w="113" w:type="dxa"/>
              <w:bottom w:w="57" w:type="dxa"/>
              <w:right w:w="113" w:type="dxa"/>
            </w:tcMar>
          </w:tcPr>
          <w:p w14:paraId="3E3DC9D5" w14:textId="77777777" w:rsidR="001D1DA5" w:rsidRPr="001D1DA5" w:rsidRDefault="001D1DA5" w:rsidP="001D1DA5">
            <w:pPr>
              <w:pStyle w:val="Tabletext"/>
              <w:rPr>
                <w:rStyle w:val="Strong"/>
              </w:rPr>
            </w:pPr>
            <w:r w:rsidRPr="001D1DA5">
              <w:rPr>
                <w:rStyle w:val="Strong"/>
              </w:rPr>
              <w:t>BHA</w:t>
            </w:r>
          </w:p>
        </w:tc>
        <w:tc>
          <w:tcPr>
            <w:tcW w:w="6236" w:type="dxa"/>
            <w:tcMar>
              <w:top w:w="57" w:type="dxa"/>
              <w:left w:w="113" w:type="dxa"/>
              <w:bottom w:w="57" w:type="dxa"/>
              <w:right w:w="113" w:type="dxa"/>
            </w:tcMar>
          </w:tcPr>
          <w:p w14:paraId="6374C426" w14:textId="77777777" w:rsidR="001D1DA5" w:rsidRPr="00C36315" w:rsidRDefault="001D1DA5" w:rsidP="001D1DA5">
            <w:pPr>
              <w:pStyle w:val="Tabletext"/>
            </w:pPr>
            <w:r w:rsidRPr="00C36315">
              <w:t>Bachelor of Health Administration</w:t>
            </w:r>
          </w:p>
        </w:tc>
      </w:tr>
      <w:tr w:rsidR="001D1DA5" w:rsidRPr="001D1DA5" w14:paraId="5A25C987" w14:textId="77777777" w:rsidTr="001D1DA5">
        <w:trPr>
          <w:trHeight w:val="60"/>
        </w:trPr>
        <w:tc>
          <w:tcPr>
            <w:tcW w:w="2041" w:type="dxa"/>
            <w:shd w:val="clear" w:color="auto" w:fill="DFE0E2"/>
            <w:tcMar>
              <w:top w:w="57" w:type="dxa"/>
              <w:left w:w="113" w:type="dxa"/>
              <w:bottom w:w="57" w:type="dxa"/>
              <w:right w:w="113" w:type="dxa"/>
            </w:tcMar>
          </w:tcPr>
          <w:p w14:paraId="395329B3" w14:textId="77777777" w:rsidR="001D1DA5" w:rsidRPr="001D1DA5" w:rsidRDefault="001D1DA5" w:rsidP="001D1DA5">
            <w:pPr>
              <w:pStyle w:val="Tabletext"/>
              <w:rPr>
                <w:rStyle w:val="Strong"/>
              </w:rPr>
            </w:pPr>
            <w:r w:rsidRPr="001D1DA5">
              <w:rPr>
                <w:rStyle w:val="Strong"/>
              </w:rPr>
              <w:t>BN</w:t>
            </w:r>
          </w:p>
        </w:tc>
        <w:tc>
          <w:tcPr>
            <w:tcW w:w="6236" w:type="dxa"/>
            <w:shd w:val="clear" w:color="auto" w:fill="DFE0E2"/>
            <w:tcMar>
              <w:top w:w="57" w:type="dxa"/>
              <w:left w:w="113" w:type="dxa"/>
              <w:bottom w:w="57" w:type="dxa"/>
              <w:right w:w="113" w:type="dxa"/>
            </w:tcMar>
          </w:tcPr>
          <w:p w14:paraId="46738E45" w14:textId="77777777" w:rsidR="001D1DA5" w:rsidRPr="00C36315" w:rsidRDefault="001D1DA5" w:rsidP="001D1DA5">
            <w:pPr>
              <w:pStyle w:val="Tabletext"/>
            </w:pPr>
            <w:r w:rsidRPr="00C36315">
              <w:t xml:space="preserve">Bachelor of Nursing </w:t>
            </w:r>
          </w:p>
        </w:tc>
      </w:tr>
      <w:tr w:rsidR="001D1DA5" w:rsidRPr="001D1DA5" w14:paraId="60F6553A" w14:textId="77777777" w:rsidTr="001D1DA5">
        <w:trPr>
          <w:trHeight w:val="60"/>
        </w:trPr>
        <w:tc>
          <w:tcPr>
            <w:tcW w:w="2041" w:type="dxa"/>
            <w:tcMar>
              <w:top w:w="57" w:type="dxa"/>
              <w:left w:w="113" w:type="dxa"/>
              <w:bottom w:w="57" w:type="dxa"/>
              <w:right w:w="113" w:type="dxa"/>
            </w:tcMar>
          </w:tcPr>
          <w:p w14:paraId="76B11F6C" w14:textId="77777777" w:rsidR="001D1DA5" w:rsidRPr="001D1DA5" w:rsidRDefault="001D1DA5" w:rsidP="001D1DA5">
            <w:pPr>
              <w:pStyle w:val="Tabletext"/>
              <w:rPr>
                <w:rStyle w:val="Strong"/>
              </w:rPr>
            </w:pPr>
            <w:r w:rsidRPr="001D1DA5">
              <w:rPr>
                <w:rStyle w:val="Strong"/>
              </w:rPr>
              <w:t>BSc</w:t>
            </w:r>
          </w:p>
        </w:tc>
        <w:tc>
          <w:tcPr>
            <w:tcW w:w="6236" w:type="dxa"/>
            <w:tcMar>
              <w:top w:w="57" w:type="dxa"/>
              <w:left w:w="113" w:type="dxa"/>
              <w:bottom w:w="57" w:type="dxa"/>
              <w:right w:w="113" w:type="dxa"/>
            </w:tcMar>
          </w:tcPr>
          <w:p w14:paraId="040F7B35" w14:textId="77777777" w:rsidR="001D1DA5" w:rsidRPr="00C36315" w:rsidRDefault="001D1DA5" w:rsidP="001D1DA5">
            <w:pPr>
              <w:pStyle w:val="Tabletext"/>
            </w:pPr>
            <w:r w:rsidRPr="00C36315">
              <w:t xml:space="preserve">Bachelor of Science </w:t>
            </w:r>
          </w:p>
        </w:tc>
      </w:tr>
      <w:tr w:rsidR="001D1DA5" w:rsidRPr="001D1DA5" w14:paraId="357E3A4F" w14:textId="77777777" w:rsidTr="001D1DA5">
        <w:trPr>
          <w:trHeight w:val="60"/>
        </w:trPr>
        <w:tc>
          <w:tcPr>
            <w:tcW w:w="2041" w:type="dxa"/>
            <w:shd w:val="clear" w:color="auto" w:fill="DFE0E2"/>
            <w:tcMar>
              <w:top w:w="57" w:type="dxa"/>
              <w:left w:w="113" w:type="dxa"/>
              <w:bottom w:w="57" w:type="dxa"/>
              <w:right w:w="113" w:type="dxa"/>
            </w:tcMar>
          </w:tcPr>
          <w:p w14:paraId="65307C04" w14:textId="77777777" w:rsidR="001D1DA5" w:rsidRPr="001D1DA5" w:rsidRDefault="001D1DA5" w:rsidP="001D1DA5">
            <w:pPr>
              <w:pStyle w:val="Tabletext"/>
              <w:rPr>
                <w:rStyle w:val="Strong"/>
              </w:rPr>
            </w:pPr>
            <w:r w:rsidRPr="001D1DA5">
              <w:rPr>
                <w:rStyle w:val="Strong"/>
              </w:rPr>
              <w:t>CARAlert</w:t>
            </w:r>
          </w:p>
        </w:tc>
        <w:tc>
          <w:tcPr>
            <w:tcW w:w="6236" w:type="dxa"/>
            <w:shd w:val="clear" w:color="auto" w:fill="DFE0E2"/>
            <w:tcMar>
              <w:top w:w="57" w:type="dxa"/>
              <w:left w:w="113" w:type="dxa"/>
              <w:bottom w:w="57" w:type="dxa"/>
              <w:right w:w="113" w:type="dxa"/>
            </w:tcMar>
          </w:tcPr>
          <w:p w14:paraId="10129F84" w14:textId="77777777" w:rsidR="001D1DA5" w:rsidRPr="00C36315" w:rsidRDefault="001D1DA5" w:rsidP="001D1DA5">
            <w:pPr>
              <w:pStyle w:val="Tabletext"/>
            </w:pPr>
            <w:r w:rsidRPr="00C36315">
              <w:t>National alert system for Critical Antimicrobial Resistances</w:t>
            </w:r>
          </w:p>
        </w:tc>
      </w:tr>
      <w:tr w:rsidR="001D1DA5" w:rsidRPr="001D1DA5" w14:paraId="69AF2898" w14:textId="77777777" w:rsidTr="001D1DA5">
        <w:trPr>
          <w:trHeight w:val="60"/>
        </w:trPr>
        <w:tc>
          <w:tcPr>
            <w:tcW w:w="2041" w:type="dxa"/>
            <w:tcMar>
              <w:top w:w="57" w:type="dxa"/>
              <w:left w:w="113" w:type="dxa"/>
              <w:bottom w:w="57" w:type="dxa"/>
              <w:right w:w="113" w:type="dxa"/>
            </w:tcMar>
          </w:tcPr>
          <w:p w14:paraId="468FBABF" w14:textId="77777777" w:rsidR="001D1DA5" w:rsidRPr="001D1DA5" w:rsidRDefault="001D1DA5" w:rsidP="001D1DA5">
            <w:pPr>
              <w:pStyle w:val="Tabletext"/>
              <w:rPr>
                <w:rStyle w:val="Strong"/>
              </w:rPr>
            </w:pPr>
            <w:r w:rsidRPr="001D1DA5">
              <w:rPr>
                <w:rStyle w:val="Strong"/>
              </w:rPr>
              <w:t>CHBOI</w:t>
            </w:r>
          </w:p>
        </w:tc>
        <w:tc>
          <w:tcPr>
            <w:tcW w:w="6236" w:type="dxa"/>
            <w:tcMar>
              <w:top w:w="57" w:type="dxa"/>
              <w:left w:w="113" w:type="dxa"/>
              <w:bottom w:w="57" w:type="dxa"/>
              <w:right w:w="113" w:type="dxa"/>
            </w:tcMar>
          </w:tcPr>
          <w:p w14:paraId="12FC0742" w14:textId="77777777" w:rsidR="001D1DA5" w:rsidRPr="00C36315" w:rsidRDefault="001D1DA5" w:rsidP="001D1DA5">
            <w:pPr>
              <w:pStyle w:val="Tabletext"/>
            </w:pPr>
            <w:r w:rsidRPr="00C36315">
              <w:t>Core Hospital-Based Outcome Indicators</w:t>
            </w:r>
          </w:p>
        </w:tc>
      </w:tr>
      <w:tr w:rsidR="001D1DA5" w:rsidRPr="001D1DA5" w14:paraId="1D913892" w14:textId="77777777" w:rsidTr="001D1DA5">
        <w:trPr>
          <w:trHeight w:val="60"/>
        </w:trPr>
        <w:tc>
          <w:tcPr>
            <w:tcW w:w="2041" w:type="dxa"/>
            <w:shd w:val="clear" w:color="auto" w:fill="DFE0E2"/>
            <w:tcMar>
              <w:top w:w="57" w:type="dxa"/>
              <w:left w:w="113" w:type="dxa"/>
              <w:bottom w:w="57" w:type="dxa"/>
              <w:right w:w="113" w:type="dxa"/>
            </w:tcMar>
          </w:tcPr>
          <w:p w14:paraId="7FB54334" w14:textId="77777777" w:rsidR="001D1DA5" w:rsidRPr="001D1DA5" w:rsidRDefault="001D1DA5" w:rsidP="001D1DA5">
            <w:pPr>
              <w:pStyle w:val="Tabletext"/>
              <w:rPr>
                <w:rStyle w:val="Strong"/>
              </w:rPr>
            </w:pPr>
            <w:r w:rsidRPr="001D1DA5">
              <w:rPr>
                <w:rStyle w:val="Strong"/>
              </w:rPr>
              <w:t>COAG</w:t>
            </w:r>
          </w:p>
        </w:tc>
        <w:tc>
          <w:tcPr>
            <w:tcW w:w="6236" w:type="dxa"/>
            <w:shd w:val="clear" w:color="auto" w:fill="DFE0E2"/>
            <w:tcMar>
              <w:top w:w="57" w:type="dxa"/>
              <w:left w:w="113" w:type="dxa"/>
              <w:bottom w:w="57" w:type="dxa"/>
              <w:right w:w="113" w:type="dxa"/>
            </w:tcMar>
          </w:tcPr>
          <w:p w14:paraId="67E028FC" w14:textId="77777777" w:rsidR="001D1DA5" w:rsidRPr="00C36315" w:rsidRDefault="001D1DA5" w:rsidP="001D1DA5">
            <w:pPr>
              <w:pStyle w:val="Tabletext"/>
            </w:pPr>
            <w:r w:rsidRPr="00C36315">
              <w:t>Council of Australian Governments</w:t>
            </w:r>
          </w:p>
        </w:tc>
      </w:tr>
      <w:tr w:rsidR="001D1DA5" w:rsidRPr="001D1DA5" w14:paraId="10218272" w14:textId="77777777" w:rsidTr="001D1DA5">
        <w:trPr>
          <w:trHeight w:val="60"/>
        </w:trPr>
        <w:tc>
          <w:tcPr>
            <w:tcW w:w="2041" w:type="dxa"/>
            <w:tcMar>
              <w:top w:w="57" w:type="dxa"/>
              <w:left w:w="113" w:type="dxa"/>
              <w:bottom w:w="57" w:type="dxa"/>
              <w:right w:w="113" w:type="dxa"/>
            </w:tcMar>
          </w:tcPr>
          <w:p w14:paraId="6733F787" w14:textId="77777777" w:rsidR="001D1DA5" w:rsidRPr="001D1DA5" w:rsidRDefault="001D1DA5" w:rsidP="001D1DA5">
            <w:pPr>
              <w:pStyle w:val="Tabletext"/>
              <w:rPr>
                <w:rStyle w:val="Strong"/>
              </w:rPr>
            </w:pPr>
            <w:r w:rsidRPr="001D1DA5">
              <w:rPr>
                <w:rStyle w:val="Strong"/>
              </w:rPr>
              <w:t>COPD</w:t>
            </w:r>
          </w:p>
        </w:tc>
        <w:tc>
          <w:tcPr>
            <w:tcW w:w="6236" w:type="dxa"/>
            <w:tcMar>
              <w:top w:w="57" w:type="dxa"/>
              <w:left w:w="113" w:type="dxa"/>
              <w:bottom w:w="57" w:type="dxa"/>
              <w:right w:w="113" w:type="dxa"/>
            </w:tcMar>
          </w:tcPr>
          <w:p w14:paraId="4FABE29D" w14:textId="77777777" w:rsidR="001D1DA5" w:rsidRPr="00C36315" w:rsidRDefault="001D1DA5" w:rsidP="001D1DA5">
            <w:pPr>
              <w:pStyle w:val="Tabletext"/>
            </w:pPr>
            <w:r w:rsidRPr="00C36315">
              <w:t>Chronic obstructive pulmonary disease</w:t>
            </w:r>
          </w:p>
        </w:tc>
      </w:tr>
      <w:tr w:rsidR="001D1DA5" w:rsidRPr="001D1DA5" w14:paraId="628F469A" w14:textId="77777777" w:rsidTr="001D1DA5">
        <w:trPr>
          <w:trHeight w:val="60"/>
        </w:trPr>
        <w:tc>
          <w:tcPr>
            <w:tcW w:w="2041" w:type="dxa"/>
            <w:shd w:val="clear" w:color="auto" w:fill="DFE0E2"/>
            <w:tcMar>
              <w:top w:w="57" w:type="dxa"/>
              <w:left w:w="113" w:type="dxa"/>
              <w:bottom w:w="57" w:type="dxa"/>
              <w:right w:w="113" w:type="dxa"/>
            </w:tcMar>
          </w:tcPr>
          <w:p w14:paraId="709607FB" w14:textId="77777777" w:rsidR="001D1DA5" w:rsidRPr="001D1DA5" w:rsidRDefault="001D1DA5" w:rsidP="001D1DA5">
            <w:pPr>
              <w:pStyle w:val="Tabletext"/>
              <w:rPr>
                <w:rStyle w:val="Strong"/>
              </w:rPr>
            </w:pPr>
            <w:proofErr w:type="spellStart"/>
            <w:r w:rsidRPr="001D1DA5">
              <w:rPr>
                <w:rStyle w:val="Strong"/>
              </w:rPr>
              <w:t>CorePEQS</w:t>
            </w:r>
            <w:proofErr w:type="spellEnd"/>
          </w:p>
        </w:tc>
        <w:tc>
          <w:tcPr>
            <w:tcW w:w="6236" w:type="dxa"/>
            <w:shd w:val="clear" w:color="auto" w:fill="DFE0E2"/>
            <w:tcMar>
              <w:top w:w="57" w:type="dxa"/>
              <w:left w:w="113" w:type="dxa"/>
              <w:bottom w:w="57" w:type="dxa"/>
              <w:right w:w="113" w:type="dxa"/>
            </w:tcMar>
          </w:tcPr>
          <w:p w14:paraId="46BD2DB5" w14:textId="77777777" w:rsidR="001D1DA5" w:rsidRPr="00C36315" w:rsidRDefault="001D1DA5" w:rsidP="001D1DA5">
            <w:pPr>
              <w:pStyle w:val="Tabletext"/>
            </w:pPr>
            <w:r w:rsidRPr="00C36315">
              <w:t>Australian Core Patient Experience Question Set</w:t>
            </w:r>
          </w:p>
        </w:tc>
      </w:tr>
      <w:tr w:rsidR="001D1DA5" w:rsidRPr="001D1DA5" w14:paraId="5F167820" w14:textId="77777777" w:rsidTr="001D1DA5">
        <w:trPr>
          <w:trHeight w:val="60"/>
        </w:trPr>
        <w:tc>
          <w:tcPr>
            <w:tcW w:w="2041" w:type="dxa"/>
            <w:tcMar>
              <w:top w:w="57" w:type="dxa"/>
              <w:left w:w="113" w:type="dxa"/>
              <w:bottom w:w="57" w:type="dxa"/>
              <w:right w:w="113" w:type="dxa"/>
            </w:tcMar>
          </w:tcPr>
          <w:p w14:paraId="2D947796" w14:textId="77777777" w:rsidR="001D1DA5" w:rsidRPr="001D1DA5" w:rsidRDefault="001D1DA5" w:rsidP="001D1DA5">
            <w:pPr>
              <w:pStyle w:val="Tabletext"/>
              <w:rPr>
                <w:rStyle w:val="Strong"/>
              </w:rPr>
            </w:pPr>
            <w:r w:rsidRPr="001D1DA5">
              <w:rPr>
                <w:rStyle w:val="Strong"/>
              </w:rPr>
              <w:t>FACN</w:t>
            </w:r>
          </w:p>
        </w:tc>
        <w:tc>
          <w:tcPr>
            <w:tcW w:w="6236" w:type="dxa"/>
            <w:tcMar>
              <w:top w:w="57" w:type="dxa"/>
              <w:left w:w="113" w:type="dxa"/>
              <w:bottom w:w="57" w:type="dxa"/>
              <w:right w:w="113" w:type="dxa"/>
            </w:tcMar>
          </w:tcPr>
          <w:p w14:paraId="33BC6FB6" w14:textId="77777777" w:rsidR="001D1DA5" w:rsidRPr="00C36315" w:rsidRDefault="001D1DA5" w:rsidP="001D1DA5">
            <w:pPr>
              <w:pStyle w:val="Tabletext"/>
            </w:pPr>
            <w:r w:rsidRPr="00C36315">
              <w:t>Fellow of the Australian College of Nursing</w:t>
            </w:r>
          </w:p>
        </w:tc>
      </w:tr>
      <w:tr w:rsidR="001D1DA5" w:rsidRPr="001D1DA5" w14:paraId="5AED8086" w14:textId="77777777" w:rsidTr="001D1DA5">
        <w:trPr>
          <w:trHeight w:val="60"/>
        </w:trPr>
        <w:tc>
          <w:tcPr>
            <w:tcW w:w="2041" w:type="dxa"/>
            <w:shd w:val="clear" w:color="auto" w:fill="DFE0E2"/>
            <w:tcMar>
              <w:top w:w="57" w:type="dxa"/>
              <w:left w:w="113" w:type="dxa"/>
              <w:bottom w:w="57" w:type="dxa"/>
              <w:right w:w="113" w:type="dxa"/>
            </w:tcMar>
          </w:tcPr>
          <w:p w14:paraId="7C0B49C0" w14:textId="77777777" w:rsidR="001D1DA5" w:rsidRPr="001D1DA5" w:rsidRDefault="001D1DA5" w:rsidP="001D1DA5">
            <w:pPr>
              <w:pStyle w:val="Tabletext"/>
              <w:rPr>
                <w:rStyle w:val="Strong"/>
              </w:rPr>
            </w:pPr>
            <w:r w:rsidRPr="001D1DA5">
              <w:rPr>
                <w:rStyle w:val="Strong"/>
              </w:rPr>
              <w:t>FIAA</w:t>
            </w:r>
          </w:p>
        </w:tc>
        <w:tc>
          <w:tcPr>
            <w:tcW w:w="6236" w:type="dxa"/>
            <w:shd w:val="clear" w:color="auto" w:fill="DFE0E2"/>
            <w:tcMar>
              <w:top w:w="57" w:type="dxa"/>
              <w:left w:w="113" w:type="dxa"/>
              <w:bottom w:w="57" w:type="dxa"/>
              <w:right w:w="113" w:type="dxa"/>
            </w:tcMar>
          </w:tcPr>
          <w:p w14:paraId="58193AB1" w14:textId="77777777" w:rsidR="001D1DA5" w:rsidRPr="00C36315" w:rsidRDefault="001D1DA5" w:rsidP="001D1DA5">
            <w:pPr>
              <w:pStyle w:val="Tabletext"/>
            </w:pPr>
            <w:r w:rsidRPr="00C36315">
              <w:t>Fellow of the Institute of Actuaries of Australia</w:t>
            </w:r>
          </w:p>
        </w:tc>
      </w:tr>
      <w:tr w:rsidR="001D1DA5" w:rsidRPr="001D1DA5" w14:paraId="5AE4BD3C" w14:textId="77777777" w:rsidTr="001D1DA5">
        <w:trPr>
          <w:trHeight w:val="60"/>
        </w:trPr>
        <w:tc>
          <w:tcPr>
            <w:tcW w:w="2041" w:type="dxa"/>
            <w:tcMar>
              <w:top w:w="57" w:type="dxa"/>
              <w:left w:w="113" w:type="dxa"/>
              <w:bottom w:w="57" w:type="dxa"/>
              <w:right w:w="113" w:type="dxa"/>
            </w:tcMar>
          </w:tcPr>
          <w:p w14:paraId="646887EB" w14:textId="77777777" w:rsidR="001D1DA5" w:rsidRPr="001D1DA5" w:rsidRDefault="001D1DA5" w:rsidP="001D1DA5">
            <w:pPr>
              <w:pStyle w:val="Tabletext"/>
              <w:rPr>
                <w:rStyle w:val="Strong"/>
              </w:rPr>
            </w:pPr>
            <w:r w:rsidRPr="001D1DA5">
              <w:rPr>
                <w:rStyle w:val="Strong"/>
              </w:rPr>
              <w:t>FRACS</w:t>
            </w:r>
          </w:p>
        </w:tc>
        <w:tc>
          <w:tcPr>
            <w:tcW w:w="6236" w:type="dxa"/>
            <w:tcMar>
              <w:top w:w="57" w:type="dxa"/>
              <w:left w:w="113" w:type="dxa"/>
              <w:bottom w:w="57" w:type="dxa"/>
              <w:right w:w="113" w:type="dxa"/>
            </w:tcMar>
          </w:tcPr>
          <w:p w14:paraId="19332A26" w14:textId="77777777" w:rsidR="001D1DA5" w:rsidRPr="00C36315" w:rsidRDefault="001D1DA5" w:rsidP="001D1DA5">
            <w:pPr>
              <w:pStyle w:val="Tabletext"/>
            </w:pPr>
            <w:r w:rsidRPr="00C36315">
              <w:t>Fellow of the Royal Australasian College of Surgeons</w:t>
            </w:r>
          </w:p>
        </w:tc>
      </w:tr>
      <w:tr w:rsidR="001D1DA5" w:rsidRPr="001D1DA5" w14:paraId="46048B6B" w14:textId="77777777" w:rsidTr="001D1DA5">
        <w:trPr>
          <w:trHeight w:val="60"/>
        </w:trPr>
        <w:tc>
          <w:tcPr>
            <w:tcW w:w="2041" w:type="dxa"/>
            <w:shd w:val="clear" w:color="auto" w:fill="DFE0E2"/>
            <w:tcMar>
              <w:top w:w="57" w:type="dxa"/>
              <w:left w:w="113" w:type="dxa"/>
              <w:bottom w:w="57" w:type="dxa"/>
              <w:right w:w="113" w:type="dxa"/>
            </w:tcMar>
          </w:tcPr>
          <w:p w14:paraId="143C80F0" w14:textId="77777777" w:rsidR="001D1DA5" w:rsidRPr="001D1DA5" w:rsidRDefault="001D1DA5" w:rsidP="001D1DA5">
            <w:pPr>
              <w:pStyle w:val="Tabletext"/>
              <w:rPr>
                <w:rStyle w:val="Strong"/>
              </w:rPr>
            </w:pPr>
            <w:r w:rsidRPr="001D1DA5">
              <w:rPr>
                <w:rStyle w:val="Strong"/>
              </w:rPr>
              <w:t>FRACGP</w:t>
            </w:r>
          </w:p>
        </w:tc>
        <w:tc>
          <w:tcPr>
            <w:tcW w:w="6236" w:type="dxa"/>
            <w:shd w:val="clear" w:color="auto" w:fill="DFE0E2"/>
            <w:tcMar>
              <w:top w:w="57" w:type="dxa"/>
              <w:left w:w="113" w:type="dxa"/>
              <w:bottom w:w="57" w:type="dxa"/>
              <w:right w:w="113" w:type="dxa"/>
            </w:tcMar>
          </w:tcPr>
          <w:p w14:paraId="702B3E5E" w14:textId="77777777" w:rsidR="001D1DA5" w:rsidRPr="00C36315" w:rsidRDefault="001D1DA5" w:rsidP="001D1DA5">
            <w:pPr>
              <w:pStyle w:val="Tabletext"/>
            </w:pPr>
            <w:r w:rsidRPr="00C36315">
              <w:t xml:space="preserve">Fellow of the Royal Australian College of General Practitioners </w:t>
            </w:r>
          </w:p>
        </w:tc>
      </w:tr>
    </w:tbl>
    <w:p w14:paraId="376557AC" w14:textId="77777777" w:rsidR="005E6960" w:rsidRDefault="005E6960" w:rsidP="001D1DA5">
      <w:pPr>
        <w:pStyle w:val="BodyText"/>
      </w:pPr>
      <w:r>
        <w:br w:type="page"/>
      </w:r>
    </w:p>
    <w:tbl>
      <w:tblPr>
        <w:tblW w:w="0" w:type="auto"/>
        <w:tblInd w:w="-8" w:type="dxa"/>
        <w:tblLayout w:type="fixed"/>
        <w:tblCellMar>
          <w:left w:w="0" w:type="dxa"/>
          <w:right w:w="0" w:type="dxa"/>
        </w:tblCellMar>
        <w:tblLook w:val="0000" w:firstRow="0" w:lastRow="0" w:firstColumn="0" w:lastColumn="0" w:noHBand="0" w:noVBand="0"/>
      </w:tblPr>
      <w:tblGrid>
        <w:gridCol w:w="2041"/>
        <w:gridCol w:w="6236"/>
      </w:tblGrid>
      <w:tr w:rsidR="001D1DA5" w:rsidRPr="001D1DA5" w14:paraId="768E58FB" w14:textId="77777777" w:rsidTr="006B5123">
        <w:trPr>
          <w:trHeight w:val="60"/>
        </w:trPr>
        <w:tc>
          <w:tcPr>
            <w:tcW w:w="2041" w:type="dxa"/>
            <w:shd w:val="clear" w:color="auto" w:fill="DFE0E2"/>
            <w:tcMar>
              <w:top w:w="57" w:type="dxa"/>
              <w:left w:w="113" w:type="dxa"/>
              <w:bottom w:w="57" w:type="dxa"/>
              <w:right w:w="113" w:type="dxa"/>
            </w:tcMar>
          </w:tcPr>
          <w:p w14:paraId="45E1261E" w14:textId="77777777" w:rsidR="001D1DA5" w:rsidRPr="001D1DA5" w:rsidRDefault="001D1DA5" w:rsidP="001D1DA5">
            <w:pPr>
              <w:pStyle w:val="Tabletext"/>
              <w:rPr>
                <w:rStyle w:val="Strong"/>
              </w:rPr>
            </w:pPr>
            <w:proofErr w:type="spellStart"/>
            <w:r w:rsidRPr="001D1DA5">
              <w:rPr>
                <w:rStyle w:val="Strong"/>
              </w:rPr>
              <w:lastRenderedPageBreak/>
              <w:t>GCPubSecMgmnt</w:t>
            </w:r>
            <w:proofErr w:type="spellEnd"/>
          </w:p>
        </w:tc>
        <w:tc>
          <w:tcPr>
            <w:tcW w:w="6236" w:type="dxa"/>
            <w:shd w:val="clear" w:color="auto" w:fill="DFE0E2"/>
            <w:tcMar>
              <w:top w:w="57" w:type="dxa"/>
              <w:left w:w="113" w:type="dxa"/>
              <w:bottom w:w="57" w:type="dxa"/>
              <w:right w:w="113" w:type="dxa"/>
            </w:tcMar>
          </w:tcPr>
          <w:p w14:paraId="6980356C" w14:textId="77777777" w:rsidR="001D1DA5" w:rsidRPr="00464333" w:rsidRDefault="001D1DA5" w:rsidP="001D1DA5">
            <w:pPr>
              <w:pStyle w:val="Tabletext"/>
            </w:pPr>
            <w:r w:rsidRPr="00464333">
              <w:t>Graduate Certificate in Public Sector Management</w:t>
            </w:r>
          </w:p>
        </w:tc>
      </w:tr>
      <w:tr w:rsidR="001D1DA5" w:rsidRPr="001D1DA5" w14:paraId="52D1BE31" w14:textId="77777777" w:rsidTr="006B5123">
        <w:trPr>
          <w:trHeight w:val="60"/>
        </w:trPr>
        <w:tc>
          <w:tcPr>
            <w:tcW w:w="2041" w:type="dxa"/>
            <w:tcMar>
              <w:top w:w="57" w:type="dxa"/>
              <w:left w:w="113" w:type="dxa"/>
              <w:bottom w:w="57" w:type="dxa"/>
              <w:right w:w="113" w:type="dxa"/>
            </w:tcMar>
          </w:tcPr>
          <w:p w14:paraId="4DF892D6" w14:textId="77777777" w:rsidR="001D1DA5" w:rsidRPr="001D1DA5" w:rsidRDefault="001D1DA5" w:rsidP="001D1DA5">
            <w:pPr>
              <w:pStyle w:val="Tabletext"/>
              <w:rPr>
                <w:rStyle w:val="Strong"/>
              </w:rPr>
            </w:pPr>
            <w:proofErr w:type="spellStart"/>
            <w:r w:rsidRPr="001D1DA5">
              <w:rPr>
                <w:rStyle w:val="Strong"/>
              </w:rPr>
              <w:t>GDip</w:t>
            </w:r>
            <w:proofErr w:type="spellEnd"/>
          </w:p>
        </w:tc>
        <w:tc>
          <w:tcPr>
            <w:tcW w:w="6236" w:type="dxa"/>
            <w:tcMar>
              <w:top w:w="57" w:type="dxa"/>
              <w:left w:w="113" w:type="dxa"/>
              <w:bottom w:w="57" w:type="dxa"/>
              <w:right w:w="113" w:type="dxa"/>
            </w:tcMar>
          </w:tcPr>
          <w:p w14:paraId="54260D1C" w14:textId="77777777" w:rsidR="001D1DA5" w:rsidRPr="00464333" w:rsidRDefault="001D1DA5" w:rsidP="001D1DA5">
            <w:pPr>
              <w:pStyle w:val="Tabletext"/>
            </w:pPr>
            <w:r w:rsidRPr="00464333">
              <w:t>Graduate Diploma</w:t>
            </w:r>
          </w:p>
        </w:tc>
      </w:tr>
      <w:tr w:rsidR="001D1DA5" w:rsidRPr="001D1DA5" w14:paraId="2F88EA35" w14:textId="77777777" w:rsidTr="006B5123">
        <w:trPr>
          <w:trHeight w:val="60"/>
        </w:trPr>
        <w:tc>
          <w:tcPr>
            <w:tcW w:w="2041" w:type="dxa"/>
            <w:shd w:val="clear" w:color="auto" w:fill="DFE0E2"/>
            <w:tcMar>
              <w:top w:w="57" w:type="dxa"/>
              <w:left w:w="113" w:type="dxa"/>
              <w:bottom w:w="57" w:type="dxa"/>
              <w:right w:w="113" w:type="dxa"/>
            </w:tcMar>
          </w:tcPr>
          <w:p w14:paraId="537A4188" w14:textId="77777777" w:rsidR="001D1DA5" w:rsidRPr="001D1DA5" w:rsidRDefault="001D1DA5" w:rsidP="001D1DA5">
            <w:pPr>
              <w:pStyle w:val="Tabletext"/>
              <w:rPr>
                <w:rStyle w:val="Strong"/>
              </w:rPr>
            </w:pPr>
            <w:r w:rsidRPr="001D1DA5">
              <w:rPr>
                <w:rStyle w:val="Strong"/>
              </w:rPr>
              <w:t>HCF</w:t>
            </w:r>
          </w:p>
        </w:tc>
        <w:tc>
          <w:tcPr>
            <w:tcW w:w="6236" w:type="dxa"/>
            <w:shd w:val="clear" w:color="auto" w:fill="DFE0E2"/>
            <w:tcMar>
              <w:top w:w="57" w:type="dxa"/>
              <w:left w:w="113" w:type="dxa"/>
              <w:bottom w:w="57" w:type="dxa"/>
              <w:right w:w="113" w:type="dxa"/>
            </w:tcMar>
          </w:tcPr>
          <w:p w14:paraId="1430CF2F" w14:textId="77777777" w:rsidR="001D1DA5" w:rsidRPr="00464333" w:rsidRDefault="001D1DA5" w:rsidP="001D1DA5">
            <w:pPr>
              <w:pStyle w:val="Tabletext"/>
            </w:pPr>
            <w:r w:rsidRPr="00464333">
              <w:t>Hospitals Contribution Fund of Australia</w:t>
            </w:r>
          </w:p>
        </w:tc>
      </w:tr>
      <w:tr w:rsidR="001D1DA5" w:rsidRPr="001D1DA5" w14:paraId="3090677C" w14:textId="77777777" w:rsidTr="006B5123">
        <w:trPr>
          <w:trHeight w:val="60"/>
        </w:trPr>
        <w:tc>
          <w:tcPr>
            <w:tcW w:w="2041" w:type="dxa"/>
            <w:tcMar>
              <w:top w:w="57" w:type="dxa"/>
              <w:left w:w="113" w:type="dxa"/>
              <w:bottom w:w="57" w:type="dxa"/>
              <w:right w:w="113" w:type="dxa"/>
            </w:tcMar>
          </w:tcPr>
          <w:p w14:paraId="328DCC92" w14:textId="77777777" w:rsidR="001D1DA5" w:rsidRPr="001D1DA5" w:rsidRDefault="001D1DA5" w:rsidP="001D1DA5">
            <w:pPr>
              <w:pStyle w:val="Tabletext"/>
              <w:rPr>
                <w:rStyle w:val="Strong"/>
              </w:rPr>
            </w:pPr>
            <w:r w:rsidRPr="001D1DA5">
              <w:rPr>
                <w:rStyle w:val="Strong"/>
              </w:rPr>
              <w:t>IHPA</w:t>
            </w:r>
          </w:p>
        </w:tc>
        <w:tc>
          <w:tcPr>
            <w:tcW w:w="6236" w:type="dxa"/>
            <w:tcMar>
              <w:top w:w="57" w:type="dxa"/>
              <w:left w:w="113" w:type="dxa"/>
              <w:bottom w:w="57" w:type="dxa"/>
              <w:right w:w="113" w:type="dxa"/>
            </w:tcMar>
          </w:tcPr>
          <w:p w14:paraId="04EDC44D" w14:textId="77777777" w:rsidR="001D1DA5" w:rsidRPr="00464333" w:rsidRDefault="001D1DA5" w:rsidP="001D1DA5">
            <w:pPr>
              <w:pStyle w:val="Tabletext"/>
            </w:pPr>
            <w:r w:rsidRPr="00464333">
              <w:t>Independent Hospital Pricing Authority</w:t>
            </w:r>
          </w:p>
        </w:tc>
      </w:tr>
      <w:tr w:rsidR="001D1DA5" w:rsidRPr="001D1DA5" w14:paraId="50C49FE1" w14:textId="77777777" w:rsidTr="006B5123">
        <w:trPr>
          <w:trHeight w:val="60"/>
        </w:trPr>
        <w:tc>
          <w:tcPr>
            <w:tcW w:w="2041" w:type="dxa"/>
            <w:shd w:val="clear" w:color="auto" w:fill="DFE0E2"/>
            <w:tcMar>
              <w:top w:w="57" w:type="dxa"/>
              <w:left w:w="113" w:type="dxa"/>
              <w:bottom w:w="57" w:type="dxa"/>
              <w:right w:w="113" w:type="dxa"/>
            </w:tcMar>
          </w:tcPr>
          <w:p w14:paraId="2EDECBA7" w14:textId="77777777" w:rsidR="001D1DA5" w:rsidRPr="001D1DA5" w:rsidRDefault="001D1DA5" w:rsidP="001D1DA5">
            <w:pPr>
              <w:pStyle w:val="Tabletext"/>
              <w:rPr>
                <w:rStyle w:val="Strong"/>
              </w:rPr>
            </w:pPr>
            <w:r w:rsidRPr="001D1DA5">
              <w:rPr>
                <w:rStyle w:val="Strong"/>
              </w:rPr>
              <w:t>KPI</w:t>
            </w:r>
          </w:p>
        </w:tc>
        <w:tc>
          <w:tcPr>
            <w:tcW w:w="6236" w:type="dxa"/>
            <w:shd w:val="clear" w:color="auto" w:fill="DFE0E2"/>
            <w:tcMar>
              <w:top w:w="57" w:type="dxa"/>
              <w:left w:w="113" w:type="dxa"/>
              <w:bottom w:w="57" w:type="dxa"/>
              <w:right w:w="113" w:type="dxa"/>
            </w:tcMar>
          </w:tcPr>
          <w:p w14:paraId="343783B6" w14:textId="77777777" w:rsidR="001D1DA5" w:rsidRPr="00464333" w:rsidRDefault="001D1DA5" w:rsidP="001D1DA5">
            <w:pPr>
              <w:pStyle w:val="Tabletext"/>
            </w:pPr>
            <w:r w:rsidRPr="00464333">
              <w:t>Key performance indicator</w:t>
            </w:r>
          </w:p>
        </w:tc>
      </w:tr>
      <w:tr w:rsidR="001D1DA5" w:rsidRPr="001D1DA5" w14:paraId="6912B7EE" w14:textId="77777777" w:rsidTr="006B5123">
        <w:trPr>
          <w:trHeight w:val="60"/>
        </w:trPr>
        <w:tc>
          <w:tcPr>
            <w:tcW w:w="2041" w:type="dxa"/>
            <w:tcMar>
              <w:top w:w="57" w:type="dxa"/>
              <w:left w:w="113" w:type="dxa"/>
              <w:bottom w:w="57" w:type="dxa"/>
              <w:right w:w="113" w:type="dxa"/>
            </w:tcMar>
          </w:tcPr>
          <w:p w14:paraId="22364E83" w14:textId="77777777" w:rsidR="001D1DA5" w:rsidRPr="001D1DA5" w:rsidRDefault="001D1DA5" w:rsidP="001D1DA5">
            <w:pPr>
              <w:pStyle w:val="Tabletext"/>
              <w:rPr>
                <w:rStyle w:val="Strong"/>
              </w:rPr>
            </w:pPr>
            <w:r w:rsidRPr="001D1DA5">
              <w:rPr>
                <w:rStyle w:val="Strong"/>
              </w:rPr>
              <w:t>LLB</w:t>
            </w:r>
          </w:p>
        </w:tc>
        <w:tc>
          <w:tcPr>
            <w:tcW w:w="6236" w:type="dxa"/>
            <w:tcMar>
              <w:top w:w="57" w:type="dxa"/>
              <w:left w:w="113" w:type="dxa"/>
              <w:bottom w:w="57" w:type="dxa"/>
              <w:right w:w="113" w:type="dxa"/>
            </w:tcMar>
          </w:tcPr>
          <w:p w14:paraId="186EADEA" w14:textId="77777777" w:rsidR="001D1DA5" w:rsidRPr="00464333" w:rsidRDefault="001D1DA5" w:rsidP="001D1DA5">
            <w:pPr>
              <w:pStyle w:val="Tabletext"/>
            </w:pPr>
            <w:r w:rsidRPr="00464333">
              <w:t>Bachelor of Laws</w:t>
            </w:r>
          </w:p>
        </w:tc>
      </w:tr>
      <w:tr w:rsidR="001D1DA5" w:rsidRPr="001D1DA5" w14:paraId="1801C69A" w14:textId="77777777" w:rsidTr="006B5123">
        <w:trPr>
          <w:trHeight w:val="60"/>
        </w:trPr>
        <w:tc>
          <w:tcPr>
            <w:tcW w:w="2041" w:type="dxa"/>
            <w:shd w:val="clear" w:color="auto" w:fill="DFE0E2"/>
            <w:tcMar>
              <w:top w:w="57" w:type="dxa"/>
              <w:left w:w="113" w:type="dxa"/>
              <w:bottom w:w="57" w:type="dxa"/>
              <w:right w:w="113" w:type="dxa"/>
            </w:tcMar>
          </w:tcPr>
          <w:p w14:paraId="0E272212" w14:textId="77777777" w:rsidR="001D1DA5" w:rsidRPr="001D1DA5" w:rsidRDefault="001D1DA5" w:rsidP="001D1DA5">
            <w:pPr>
              <w:pStyle w:val="Tabletext"/>
              <w:rPr>
                <w:rStyle w:val="Strong"/>
              </w:rPr>
            </w:pPr>
            <w:r w:rsidRPr="001D1DA5">
              <w:rPr>
                <w:rStyle w:val="Strong"/>
              </w:rPr>
              <w:t>MBA</w:t>
            </w:r>
          </w:p>
        </w:tc>
        <w:tc>
          <w:tcPr>
            <w:tcW w:w="6236" w:type="dxa"/>
            <w:shd w:val="clear" w:color="auto" w:fill="DFE0E2"/>
            <w:tcMar>
              <w:top w:w="57" w:type="dxa"/>
              <w:left w:w="113" w:type="dxa"/>
              <w:bottom w:w="57" w:type="dxa"/>
              <w:right w:w="113" w:type="dxa"/>
            </w:tcMar>
          </w:tcPr>
          <w:p w14:paraId="0E52C2A4" w14:textId="77777777" w:rsidR="001D1DA5" w:rsidRPr="00464333" w:rsidRDefault="001D1DA5" w:rsidP="001D1DA5">
            <w:pPr>
              <w:pStyle w:val="Tabletext"/>
            </w:pPr>
            <w:r w:rsidRPr="00464333">
              <w:t xml:space="preserve">Master of Business Administration </w:t>
            </w:r>
          </w:p>
        </w:tc>
      </w:tr>
      <w:tr w:rsidR="001D1DA5" w:rsidRPr="001D1DA5" w14:paraId="67A21FE0" w14:textId="77777777" w:rsidTr="006B5123">
        <w:trPr>
          <w:trHeight w:val="60"/>
        </w:trPr>
        <w:tc>
          <w:tcPr>
            <w:tcW w:w="2041" w:type="dxa"/>
            <w:tcMar>
              <w:top w:w="57" w:type="dxa"/>
              <w:left w:w="113" w:type="dxa"/>
              <w:bottom w:w="57" w:type="dxa"/>
              <w:right w:w="113" w:type="dxa"/>
            </w:tcMar>
          </w:tcPr>
          <w:p w14:paraId="172CBE31" w14:textId="77777777" w:rsidR="001D1DA5" w:rsidRPr="001D1DA5" w:rsidRDefault="001D1DA5" w:rsidP="001D1DA5">
            <w:pPr>
              <w:pStyle w:val="Tabletext"/>
              <w:rPr>
                <w:rStyle w:val="Strong"/>
              </w:rPr>
            </w:pPr>
            <w:r w:rsidRPr="001D1DA5">
              <w:rPr>
                <w:rStyle w:val="Strong"/>
              </w:rPr>
              <w:t>MBS</w:t>
            </w:r>
          </w:p>
        </w:tc>
        <w:tc>
          <w:tcPr>
            <w:tcW w:w="6236" w:type="dxa"/>
            <w:tcMar>
              <w:top w:w="57" w:type="dxa"/>
              <w:left w:w="113" w:type="dxa"/>
              <w:bottom w:w="57" w:type="dxa"/>
              <w:right w:w="113" w:type="dxa"/>
            </w:tcMar>
          </w:tcPr>
          <w:p w14:paraId="2A8912C7" w14:textId="77777777" w:rsidR="001D1DA5" w:rsidRPr="00464333" w:rsidRDefault="001D1DA5" w:rsidP="001D1DA5">
            <w:pPr>
              <w:pStyle w:val="Tabletext"/>
            </w:pPr>
            <w:r w:rsidRPr="00464333">
              <w:t>Medicare Benefits Schedule</w:t>
            </w:r>
          </w:p>
        </w:tc>
      </w:tr>
      <w:tr w:rsidR="001D1DA5" w:rsidRPr="001D1DA5" w14:paraId="791FCE0A" w14:textId="77777777" w:rsidTr="006B5123">
        <w:trPr>
          <w:trHeight w:val="60"/>
        </w:trPr>
        <w:tc>
          <w:tcPr>
            <w:tcW w:w="2041" w:type="dxa"/>
            <w:shd w:val="clear" w:color="auto" w:fill="DFE0E2"/>
            <w:tcMar>
              <w:top w:w="57" w:type="dxa"/>
              <w:left w:w="113" w:type="dxa"/>
              <w:bottom w:w="57" w:type="dxa"/>
              <w:right w:w="113" w:type="dxa"/>
            </w:tcMar>
          </w:tcPr>
          <w:p w14:paraId="51ADCE6F" w14:textId="77777777" w:rsidR="001D1DA5" w:rsidRPr="001D1DA5" w:rsidRDefault="001D1DA5" w:rsidP="001D1DA5">
            <w:pPr>
              <w:pStyle w:val="Tabletext"/>
              <w:rPr>
                <w:rStyle w:val="Strong"/>
              </w:rPr>
            </w:pPr>
            <w:r w:rsidRPr="001D1DA5">
              <w:rPr>
                <w:rStyle w:val="Strong"/>
              </w:rPr>
              <w:t>MBBS</w:t>
            </w:r>
          </w:p>
        </w:tc>
        <w:tc>
          <w:tcPr>
            <w:tcW w:w="6236" w:type="dxa"/>
            <w:shd w:val="clear" w:color="auto" w:fill="DFE0E2"/>
            <w:tcMar>
              <w:top w:w="57" w:type="dxa"/>
              <w:left w:w="113" w:type="dxa"/>
              <w:bottom w:w="57" w:type="dxa"/>
              <w:right w:w="113" w:type="dxa"/>
            </w:tcMar>
          </w:tcPr>
          <w:p w14:paraId="13D54E0C" w14:textId="77777777" w:rsidR="001D1DA5" w:rsidRPr="00464333" w:rsidRDefault="001D1DA5" w:rsidP="001D1DA5">
            <w:pPr>
              <w:pStyle w:val="Tabletext"/>
            </w:pPr>
            <w:r w:rsidRPr="00464333">
              <w:t>Bachelor of Medicine, Bachelor of Surgery</w:t>
            </w:r>
          </w:p>
        </w:tc>
      </w:tr>
      <w:tr w:rsidR="001D1DA5" w:rsidRPr="001D1DA5" w14:paraId="0342C370" w14:textId="77777777" w:rsidTr="006B5123">
        <w:trPr>
          <w:trHeight w:val="60"/>
        </w:trPr>
        <w:tc>
          <w:tcPr>
            <w:tcW w:w="2041" w:type="dxa"/>
            <w:tcMar>
              <w:top w:w="57" w:type="dxa"/>
              <w:left w:w="113" w:type="dxa"/>
              <w:bottom w:w="57" w:type="dxa"/>
              <w:right w:w="113" w:type="dxa"/>
            </w:tcMar>
          </w:tcPr>
          <w:p w14:paraId="543051DD" w14:textId="77777777" w:rsidR="001D1DA5" w:rsidRPr="001D1DA5" w:rsidRDefault="001D1DA5" w:rsidP="001D1DA5">
            <w:pPr>
              <w:pStyle w:val="Tabletext"/>
              <w:rPr>
                <w:rStyle w:val="Strong"/>
              </w:rPr>
            </w:pPr>
            <w:r w:rsidRPr="001D1DA5">
              <w:rPr>
                <w:rStyle w:val="Strong"/>
              </w:rPr>
              <w:t>MD</w:t>
            </w:r>
          </w:p>
        </w:tc>
        <w:tc>
          <w:tcPr>
            <w:tcW w:w="6236" w:type="dxa"/>
            <w:tcMar>
              <w:top w:w="57" w:type="dxa"/>
              <w:left w:w="113" w:type="dxa"/>
              <w:bottom w:w="57" w:type="dxa"/>
              <w:right w:w="113" w:type="dxa"/>
            </w:tcMar>
          </w:tcPr>
          <w:p w14:paraId="5CC16B6B" w14:textId="77777777" w:rsidR="001D1DA5" w:rsidRPr="00464333" w:rsidRDefault="001D1DA5" w:rsidP="001D1DA5">
            <w:pPr>
              <w:pStyle w:val="Tabletext"/>
            </w:pPr>
            <w:r w:rsidRPr="00464333">
              <w:t xml:space="preserve">Doctor of Medicine </w:t>
            </w:r>
          </w:p>
        </w:tc>
      </w:tr>
      <w:tr w:rsidR="001D1DA5" w:rsidRPr="001D1DA5" w14:paraId="0AAE7FD3" w14:textId="77777777" w:rsidTr="006B5123">
        <w:trPr>
          <w:trHeight w:val="60"/>
        </w:trPr>
        <w:tc>
          <w:tcPr>
            <w:tcW w:w="2041" w:type="dxa"/>
            <w:shd w:val="clear" w:color="auto" w:fill="DFE0E2"/>
            <w:tcMar>
              <w:top w:w="57" w:type="dxa"/>
              <w:left w:w="113" w:type="dxa"/>
              <w:bottom w:w="57" w:type="dxa"/>
              <w:right w:w="113" w:type="dxa"/>
            </w:tcMar>
          </w:tcPr>
          <w:p w14:paraId="335051D1" w14:textId="77777777" w:rsidR="001D1DA5" w:rsidRPr="001D1DA5" w:rsidRDefault="001D1DA5" w:rsidP="001D1DA5">
            <w:pPr>
              <w:pStyle w:val="Tabletext"/>
              <w:rPr>
                <w:rStyle w:val="Strong"/>
              </w:rPr>
            </w:pPr>
            <w:proofErr w:type="spellStart"/>
            <w:r w:rsidRPr="001D1DA5">
              <w:rPr>
                <w:rStyle w:val="Strong"/>
              </w:rPr>
              <w:t>MHSc</w:t>
            </w:r>
            <w:proofErr w:type="spellEnd"/>
          </w:p>
        </w:tc>
        <w:tc>
          <w:tcPr>
            <w:tcW w:w="6236" w:type="dxa"/>
            <w:shd w:val="clear" w:color="auto" w:fill="DFE0E2"/>
            <w:tcMar>
              <w:top w:w="57" w:type="dxa"/>
              <w:left w:w="113" w:type="dxa"/>
              <w:bottom w:w="57" w:type="dxa"/>
              <w:right w:w="113" w:type="dxa"/>
            </w:tcMar>
          </w:tcPr>
          <w:p w14:paraId="2B5F8643" w14:textId="77777777" w:rsidR="001D1DA5" w:rsidRPr="00464333" w:rsidRDefault="001D1DA5" w:rsidP="001D1DA5">
            <w:pPr>
              <w:pStyle w:val="Tabletext"/>
            </w:pPr>
            <w:r w:rsidRPr="00464333">
              <w:t xml:space="preserve">Master of Health Science </w:t>
            </w:r>
          </w:p>
        </w:tc>
      </w:tr>
      <w:tr w:rsidR="001D1DA5" w:rsidRPr="001D1DA5" w14:paraId="69AB44D2" w14:textId="77777777" w:rsidTr="006B5123">
        <w:trPr>
          <w:trHeight w:val="60"/>
        </w:trPr>
        <w:tc>
          <w:tcPr>
            <w:tcW w:w="2041" w:type="dxa"/>
            <w:tcMar>
              <w:top w:w="57" w:type="dxa"/>
              <w:left w:w="113" w:type="dxa"/>
              <w:bottom w:w="57" w:type="dxa"/>
              <w:right w:w="113" w:type="dxa"/>
            </w:tcMar>
          </w:tcPr>
          <w:p w14:paraId="636A8011" w14:textId="77777777" w:rsidR="001D1DA5" w:rsidRPr="001D1DA5" w:rsidRDefault="001D1DA5" w:rsidP="001D1DA5">
            <w:pPr>
              <w:pStyle w:val="Tabletext"/>
              <w:rPr>
                <w:rStyle w:val="Strong"/>
              </w:rPr>
            </w:pPr>
            <w:r w:rsidRPr="001D1DA5">
              <w:rPr>
                <w:rStyle w:val="Strong"/>
              </w:rPr>
              <w:t>NAPS</w:t>
            </w:r>
          </w:p>
        </w:tc>
        <w:tc>
          <w:tcPr>
            <w:tcW w:w="6236" w:type="dxa"/>
            <w:tcMar>
              <w:top w:w="57" w:type="dxa"/>
              <w:left w:w="113" w:type="dxa"/>
              <w:bottom w:w="57" w:type="dxa"/>
              <w:right w:w="113" w:type="dxa"/>
            </w:tcMar>
          </w:tcPr>
          <w:p w14:paraId="07BFF1C8" w14:textId="77777777" w:rsidR="001D1DA5" w:rsidRPr="00464333" w:rsidRDefault="001D1DA5" w:rsidP="001D1DA5">
            <w:pPr>
              <w:pStyle w:val="Tabletext"/>
            </w:pPr>
            <w:r w:rsidRPr="00464333">
              <w:t>National Antimicrobial Prescribing Survey</w:t>
            </w:r>
          </w:p>
        </w:tc>
      </w:tr>
      <w:tr w:rsidR="001D1DA5" w:rsidRPr="001D1DA5" w14:paraId="5CAEC8E5" w14:textId="77777777" w:rsidTr="006B5123">
        <w:trPr>
          <w:trHeight w:val="60"/>
        </w:trPr>
        <w:tc>
          <w:tcPr>
            <w:tcW w:w="2041" w:type="dxa"/>
            <w:shd w:val="clear" w:color="auto" w:fill="DFE0E2"/>
            <w:tcMar>
              <w:top w:w="57" w:type="dxa"/>
              <w:left w:w="113" w:type="dxa"/>
              <w:bottom w:w="57" w:type="dxa"/>
              <w:right w:w="113" w:type="dxa"/>
            </w:tcMar>
          </w:tcPr>
          <w:p w14:paraId="6A7C0AD9" w14:textId="77777777" w:rsidR="001D1DA5" w:rsidRPr="001D1DA5" w:rsidRDefault="001D1DA5" w:rsidP="001D1DA5">
            <w:pPr>
              <w:pStyle w:val="Tabletext"/>
              <w:rPr>
                <w:rStyle w:val="Strong"/>
              </w:rPr>
            </w:pPr>
            <w:r w:rsidRPr="001D1DA5">
              <w:rPr>
                <w:rStyle w:val="Strong"/>
              </w:rPr>
              <w:t>NAUSP</w:t>
            </w:r>
          </w:p>
        </w:tc>
        <w:tc>
          <w:tcPr>
            <w:tcW w:w="6236" w:type="dxa"/>
            <w:shd w:val="clear" w:color="auto" w:fill="DFE0E2"/>
            <w:tcMar>
              <w:top w:w="57" w:type="dxa"/>
              <w:left w:w="113" w:type="dxa"/>
              <w:bottom w:w="57" w:type="dxa"/>
              <w:right w:w="113" w:type="dxa"/>
            </w:tcMar>
          </w:tcPr>
          <w:p w14:paraId="33B90983" w14:textId="77777777" w:rsidR="001D1DA5" w:rsidRPr="00464333" w:rsidRDefault="001D1DA5" w:rsidP="001D1DA5">
            <w:pPr>
              <w:pStyle w:val="Tabletext"/>
            </w:pPr>
            <w:r w:rsidRPr="00464333">
              <w:t>National Antimicrobial Utilisation Surveillance Program</w:t>
            </w:r>
          </w:p>
        </w:tc>
      </w:tr>
      <w:tr w:rsidR="001D1DA5" w:rsidRPr="001D1DA5" w14:paraId="634654A9" w14:textId="77777777" w:rsidTr="006B5123">
        <w:trPr>
          <w:trHeight w:val="60"/>
        </w:trPr>
        <w:tc>
          <w:tcPr>
            <w:tcW w:w="2041" w:type="dxa"/>
            <w:tcMar>
              <w:top w:w="57" w:type="dxa"/>
              <w:left w:w="113" w:type="dxa"/>
              <w:bottom w:w="57" w:type="dxa"/>
              <w:right w:w="113" w:type="dxa"/>
            </w:tcMar>
          </w:tcPr>
          <w:p w14:paraId="385DDF05" w14:textId="77777777" w:rsidR="001D1DA5" w:rsidRPr="001D1DA5" w:rsidRDefault="001D1DA5" w:rsidP="001D1DA5">
            <w:pPr>
              <w:pStyle w:val="Tabletext"/>
              <w:rPr>
                <w:rStyle w:val="Strong"/>
              </w:rPr>
            </w:pPr>
            <w:r w:rsidRPr="001D1DA5">
              <w:rPr>
                <w:rStyle w:val="Strong"/>
              </w:rPr>
              <w:t>NBCSP</w:t>
            </w:r>
          </w:p>
        </w:tc>
        <w:tc>
          <w:tcPr>
            <w:tcW w:w="6236" w:type="dxa"/>
            <w:tcMar>
              <w:top w:w="57" w:type="dxa"/>
              <w:left w:w="113" w:type="dxa"/>
              <w:bottom w:w="57" w:type="dxa"/>
              <w:right w:w="113" w:type="dxa"/>
            </w:tcMar>
          </w:tcPr>
          <w:p w14:paraId="044196E4" w14:textId="77777777" w:rsidR="001D1DA5" w:rsidRPr="00464333" w:rsidRDefault="001D1DA5" w:rsidP="001D1DA5">
            <w:pPr>
              <w:pStyle w:val="Tabletext"/>
            </w:pPr>
            <w:r w:rsidRPr="00464333">
              <w:t>National Bowel Cancer Screening Program</w:t>
            </w:r>
          </w:p>
        </w:tc>
      </w:tr>
      <w:tr w:rsidR="001D1DA5" w:rsidRPr="001D1DA5" w14:paraId="2A8C0471" w14:textId="77777777" w:rsidTr="006B5123">
        <w:trPr>
          <w:trHeight w:val="60"/>
        </w:trPr>
        <w:tc>
          <w:tcPr>
            <w:tcW w:w="2041" w:type="dxa"/>
            <w:shd w:val="clear" w:color="auto" w:fill="DFE0E2"/>
            <w:tcMar>
              <w:top w:w="57" w:type="dxa"/>
              <w:left w:w="113" w:type="dxa"/>
              <w:bottom w:w="57" w:type="dxa"/>
              <w:right w:w="113" w:type="dxa"/>
            </w:tcMar>
          </w:tcPr>
          <w:p w14:paraId="1C2ABB34" w14:textId="77777777" w:rsidR="001D1DA5" w:rsidRPr="001D1DA5" w:rsidRDefault="001D1DA5" w:rsidP="001D1DA5">
            <w:pPr>
              <w:pStyle w:val="Tabletext"/>
              <w:rPr>
                <w:rStyle w:val="Strong"/>
              </w:rPr>
            </w:pPr>
            <w:r w:rsidRPr="001D1DA5">
              <w:rPr>
                <w:rStyle w:val="Strong"/>
              </w:rPr>
              <w:t>NSQHS Standards</w:t>
            </w:r>
          </w:p>
        </w:tc>
        <w:tc>
          <w:tcPr>
            <w:tcW w:w="6236" w:type="dxa"/>
            <w:shd w:val="clear" w:color="auto" w:fill="DFE0E2"/>
            <w:tcMar>
              <w:top w:w="57" w:type="dxa"/>
              <w:left w:w="113" w:type="dxa"/>
              <w:bottom w:w="57" w:type="dxa"/>
              <w:right w:w="113" w:type="dxa"/>
            </w:tcMar>
          </w:tcPr>
          <w:p w14:paraId="2E5C6B45" w14:textId="77777777" w:rsidR="001D1DA5" w:rsidRPr="00464333" w:rsidRDefault="001D1DA5" w:rsidP="001D1DA5">
            <w:pPr>
              <w:pStyle w:val="Tabletext"/>
            </w:pPr>
            <w:r w:rsidRPr="00464333">
              <w:t>National Safety and Quality Health Service Standards</w:t>
            </w:r>
          </w:p>
        </w:tc>
      </w:tr>
      <w:tr w:rsidR="001D1DA5" w:rsidRPr="001D1DA5" w14:paraId="1AF2DC1C" w14:textId="77777777" w:rsidTr="006B5123">
        <w:trPr>
          <w:trHeight w:val="60"/>
        </w:trPr>
        <w:tc>
          <w:tcPr>
            <w:tcW w:w="2041" w:type="dxa"/>
            <w:tcMar>
              <w:top w:w="57" w:type="dxa"/>
              <w:left w:w="113" w:type="dxa"/>
              <w:bottom w:w="57" w:type="dxa"/>
              <w:right w:w="113" w:type="dxa"/>
            </w:tcMar>
          </w:tcPr>
          <w:p w14:paraId="58933CBD" w14:textId="77777777" w:rsidR="001D1DA5" w:rsidRPr="001D1DA5" w:rsidRDefault="001D1DA5" w:rsidP="001D1DA5">
            <w:pPr>
              <w:pStyle w:val="Tabletext"/>
              <w:rPr>
                <w:rStyle w:val="Strong"/>
              </w:rPr>
            </w:pPr>
            <w:r w:rsidRPr="001D1DA5">
              <w:rPr>
                <w:rStyle w:val="Strong"/>
              </w:rPr>
              <w:t>PBS</w:t>
            </w:r>
          </w:p>
        </w:tc>
        <w:tc>
          <w:tcPr>
            <w:tcW w:w="6236" w:type="dxa"/>
            <w:tcMar>
              <w:top w:w="57" w:type="dxa"/>
              <w:left w:w="113" w:type="dxa"/>
              <w:bottom w:w="57" w:type="dxa"/>
              <w:right w:w="113" w:type="dxa"/>
            </w:tcMar>
          </w:tcPr>
          <w:p w14:paraId="238E08C3" w14:textId="77777777" w:rsidR="001D1DA5" w:rsidRPr="00464333" w:rsidRDefault="001D1DA5" w:rsidP="001D1DA5">
            <w:pPr>
              <w:pStyle w:val="Tabletext"/>
            </w:pPr>
            <w:r w:rsidRPr="00464333">
              <w:t>Pharmaceutical Benefits Scheme</w:t>
            </w:r>
          </w:p>
        </w:tc>
      </w:tr>
      <w:tr w:rsidR="001D1DA5" w:rsidRPr="001D1DA5" w14:paraId="348E3E59" w14:textId="77777777" w:rsidTr="006B5123">
        <w:trPr>
          <w:trHeight w:val="60"/>
        </w:trPr>
        <w:tc>
          <w:tcPr>
            <w:tcW w:w="2041" w:type="dxa"/>
            <w:shd w:val="clear" w:color="auto" w:fill="DFE0E2"/>
            <w:tcMar>
              <w:top w:w="57" w:type="dxa"/>
              <w:left w:w="113" w:type="dxa"/>
              <w:bottom w:w="57" w:type="dxa"/>
              <w:right w:w="113" w:type="dxa"/>
            </w:tcMar>
          </w:tcPr>
          <w:p w14:paraId="71F2EBA5" w14:textId="77777777" w:rsidR="001D1DA5" w:rsidRPr="001D1DA5" w:rsidRDefault="001D1DA5" w:rsidP="001D1DA5">
            <w:pPr>
              <w:pStyle w:val="Tabletext"/>
              <w:rPr>
                <w:rStyle w:val="Strong"/>
              </w:rPr>
            </w:pPr>
            <w:r w:rsidRPr="001D1DA5">
              <w:rPr>
                <w:rStyle w:val="Strong"/>
              </w:rPr>
              <w:t>PhD</w:t>
            </w:r>
          </w:p>
        </w:tc>
        <w:tc>
          <w:tcPr>
            <w:tcW w:w="6236" w:type="dxa"/>
            <w:shd w:val="clear" w:color="auto" w:fill="DFE0E2"/>
            <w:tcMar>
              <w:top w:w="57" w:type="dxa"/>
              <w:left w:w="113" w:type="dxa"/>
              <w:bottom w:w="57" w:type="dxa"/>
              <w:right w:w="113" w:type="dxa"/>
            </w:tcMar>
          </w:tcPr>
          <w:p w14:paraId="0F47121B" w14:textId="77777777" w:rsidR="001D1DA5" w:rsidRPr="00464333" w:rsidRDefault="001D1DA5" w:rsidP="001D1DA5">
            <w:pPr>
              <w:pStyle w:val="Tabletext"/>
            </w:pPr>
            <w:r w:rsidRPr="00464333">
              <w:t xml:space="preserve">Doctor of Philosophy </w:t>
            </w:r>
          </w:p>
        </w:tc>
      </w:tr>
      <w:tr w:rsidR="001D1DA5" w:rsidRPr="001D1DA5" w14:paraId="77DAF46B" w14:textId="77777777" w:rsidTr="006B5123">
        <w:trPr>
          <w:trHeight w:val="60"/>
        </w:trPr>
        <w:tc>
          <w:tcPr>
            <w:tcW w:w="2041" w:type="dxa"/>
            <w:tcMar>
              <w:top w:w="57" w:type="dxa"/>
              <w:left w:w="113" w:type="dxa"/>
              <w:bottom w:w="57" w:type="dxa"/>
              <w:right w:w="113" w:type="dxa"/>
            </w:tcMar>
          </w:tcPr>
          <w:p w14:paraId="4FFA9A13" w14:textId="77777777" w:rsidR="001D1DA5" w:rsidRPr="001D1DA5" w:rsidRDefault="001D1DA5" w:rsidP="001D1DA5">
            <w:pPr>
              <w:pStyle w:val="Tabletext"/>
              <w:rPr>
                <w:rStyle w:val="Strong"/>
              </w:rPr>
            </w:pPr>
            <w:r w:rsidRPr="001D1DA5">
              <w:rPr>
                <w:rStyle w:val="Strong"/>
              </w:rPr>
              <w:t>PSM</w:t>
            </w:r>
          </w:p>
        </w:tc>
        <w:tc>
          <w:tcPr>
            <w:tcW w:w="6236" w:type="dxa"/>
            <w:tcMar>
              <w:top w:w="57" w:type="dxa"/>
              <w:left w:w="113" w:type="dxa"/>
              <w:bottom w:w="57" w:type="dxa"/>
              <w:right w:w="113" w:type="dxa"/>
            </w:tcMar>
          </w:tcPr>
          <w:p w14:paraId="5BF59827" w14:textId="77777777" w:rsidR="001D1DA5" w:rsidRPr="00464333" w:rsidRDefault="001D1DA5" w:rsidP="001D1DA5">
            <w:pPr>
              <w:pStyle w:val="Tabletext"/>
            </w:pPr>
            <w:r w:rsidRPr="00464333">
              <w:t>Public Service Medal</w:t>
            </w:r>
          </w:p>
        </w:tc>
      </w:tr>
      <w:tr w:rsidR="001D1DA5" w:rsidRPr="001D1DA5" w14:paraId="765DC9B1" w14:textId="77777777" w:rsidTr="006B5123">
        <w:trPr>
          <w:trHeight w:val="60"/>
        </w:trPr>
        <w:tc>
          <w:tcPr>
            <w:tcW w:w="2041" w:type="dxa"/>
            <w:shd w:val="clear" w:color="auto" w:fill="DFE0E2"/>
            <w:tcMar>
              <w:top w:w="57" w:type="dxa"/>
              <w:left w:w="113" w:type="dxa"/>
              <w:bottom w:w="57" w:type="dxa"/>
              <w:right w:w="113" w:type="dxa"/>
            </w:tcMar>
          </w:tcPr>
          <w:p w14:paraId="25DFAE6D" w14:textId="77777777" w:rsidR="001D1DA5" w:rsidRPr="001D1DA5" w:rsidRDefault="001D1DA5" w:rsidP="001D1DA5">
            <w:pPr>
              <w:pStyle w:val="Tabletext"/>
              <w:rPr>
                <w:rStyle w:val="Strong"/>
              </w:rPr>
            </w:pPr>
            <w:r w:rsidRPr="001D1DA5">
              <w:rPr>
                <w:rStyle w:val="Strong"/>
              </w:rPr>
              <w:t>RACGP</w:t>
            </w:r>
          </w:p>
        </w:tc>
        <w:tc>
          <w:tcPr>
            <w:tcW w:w="6236" w:type="dxa"/>
            <w:shd w:val="clear" w:color="auto" w:fill="DFE0E2"/>
            <w:tcMar>
              <w:top w:w="57" w:type="dxa"/>
              <w:left w:w="113" w:type="dxa"/>
              <w:bottom w:w="57" w:type="dxa"/>
              <w:right w:w="113" w:type="dxa"/>
            </w:tcMar>
          </w:tcPr>
          <w:p w14:paraId="11334153" w14:textId="77777777" w:rsidR="001D1DA5" w:rsidRPr="00464333" w:rsidRDefault="001D1DA5" w:rsidP="001D1DA5">
            <w:pPr>
              <w:pStyle w:val="Tabletext"/>
            </w:pPr>
            <w:r w:rsidRPr="00464333">
              <w:t>Royal Australian College of General Practitioners</w:t>
            </w:r>
          </w:p>
        </w:tc>
      </w:tr>
      <w:tr w:rsidR="001D1DA5" w:rsidRPr="001D1DA5" w14:paraId="44478F26" w14:textId="77777777" w:rsidTr="006B5123">
        <w:trPr>
          <w:trHeight w:val="60"/>
        </w:trPr>
        <w:tc>
          <w:tcPr>
            <w:tcW w:w="2041" w:type="dxa"/>
            <w:tcMar>
              <w:top w:w="57" w:type="dxa"/>
              <w:left w:w="113" w:type="dxa"/>
              <w:bottom w:w="57" w:type="dxa"/>
              <w:right w:w="113" w:type="dxa"/>
            </w:tcMar>
          </w:tcPr>
          <w:p w14:paraId="070F8284" w14:textId="77777777" w:rsidR="001D1DA5" w:rsidRPr="001D1DA5" w:rsidRDefault="001D1DA5" w:rsidP="001D1DA5">
            <w:pPr>
              <w:pStyle w:val="Tabletext"/>
              <w:rPr>
                <w:rStyle w:val="Strong"/>
              </w:rPr>
            </w:pPr>
            <w:r w:rsidRPr="001D1DA5">
              <w:rPr>
                <w:rStyle w:val="Strong"/>
              </w:rPr>
              <w:t>RM</w:t>
            </w:r>
          </w:p>
        </w:tc>
        <w:tc>
          <w:tcPr>
            <w:tcW w:w="6236" w:type="dxa"/>
            <w:tcMar>
              <w:top w:w="57" w:type="dxa"/>
              <w:left w:w="113" w:type="dxa"/>
              <w:bottom w:w="57" w:type="dxa"/>
              <w:right w:w="113" w:type="dxa"/>
            </w:tcMar>
          </w:tcPr>
          <w:p w14:paraId="790EB520" w14:textId="77777777" w:rsidR="001D1DA5" w:rsidRPr="00464333" w:rsidRDefault="001D1DA5" w:rsidP="001D1DA5">
            <w:pPr>
              <w:pStyle w:val="Tabletext"/>
            </w:pPr>
            <w:r w:rsidRPr="00464333">
              <w:t>Registered midwife</w:t>
            </w:r>
          </w:p>
        </w:tc>
      </w:tr>
      <w:tr w:rsidR="001D1DA5" w:rsidRPr="001D1DA5" w14:paraId="571F25CF" w14:textId="77777777" w:rsidTr="006B5123">
        <w:trPr>
          <w:trHeight w:val="60"/>
        </w:trPr>
        <w:tc>
          <w:tcPr>
            <w:tcW w:w="2041" w:type="dxa"/>
            <w:shd w:val="clear" w:color="auto" w:fill="DFE0E2"/>
            <w:tcMar>
              <w:top w:w="57" w:type="dxa"/>
              <w:left w:w="113" w:type="dxa"/>
              <w:bottom w:w="57" w:type="dxa"/>
              <w:right w:w="113" w:type="dxa"/>
            </w:tcMar>
          </w:tcPr>
          <w:p w14:paraId="084B8ED5" w14:textId="77777777" w:rsidR="001D1DA5" w:rsidRPr="001D1DA5" w:rsidRDefault="001D1DA5" w:rsidP="001D1DA5">
            <w:pPr>
              <w:pStyle w:val="Tabletext"/>
              <w:rPr>
                <w:rStyle w:val="Strong"/>
              </w:rPr>
            </w:pPr>
            <w:r w:rsidRPr="001D1DA5">
              <w:rPr>
                <w:rStyle w:val="Strong"/>
              </w:rPr>
              <w:t>RN</w:t>
            </w:r>
          </w:p>
        </w:tc>
        <w:tc>
          <w:tcPr>
            <w:tcW w:w="6236" w:type="dxa"/>
            <w:shd w:val="clear" w:color="auto" w:fill="DFE0E2"/>
            <w:tcMar>
              <w:top w:w="57" w:type="dxa"/>
              <w:left w:w="113" w:type="dxa"/>
              <w:bottom w:w="57" w:type="dxa"/>
              <w:right w:w="113" w:type="dxa"/>
            </w:tcMar>
          </w:tcPr>
          <w:p w14:paraId="55B335AE" w14:textId="77777777" w:rsidR="001D1DA5" w:rsidRPr="00464333" w:rsidRDefault="001D1DA5" w:rsidP="001D1DA5">
            <w:pPr>
              <w:pStyle w:val="Tabletext"/>
            </w:pPr>
            <w:r w:rsidRPr="00464333">
              <w:t>Registered nurse</w:t>
            </w:r>
          </w:p>
        </w:tc>
      </w:tr>
      <w:tr w:rsidR="001D1DA5" w:rsidRPr="001D1DA5" w14:paraId="0BAFD38E" w14:textId="77777777" w:rsidTr="006B5123">
        <w:trPr>
          <w:trHeight w:val="60"/>
        </w:trPr>
        <w:tc>
          <w:tcPr>
            <w:tcW w:w="2041" w:type="dxa"/>
            <w:tcMar>
              <w:top w:w="57" w:type="dxa"/>
              <w:left w:w="113" w:type="dxa"/>
              <w:bottom w:w="57" w:type="dxa"/>
              <w:right w:w="113" w:type="dxa"/>
            </w:tcMar>
          </w:tcPr>
          <w:p w14:paraId="60FA489E" w14:textId="77777777" w:rsidR="001D1DA5" w:rsidRPr="001D1DA5" w:rsidRDefault="001D1DA5" w:rsidP="001D1DA5">
            <w:pPr>
              <w:pStyle w:val="Tabletext"/>
              <w:rPr>
                <w:rStyle w:val="Strong"/>
              </w:rPr>
            </w:pPr>
            <w:r w:rsidRPr="001D1DA5">
              <w:rPr>
                <w:rStyle w:val="Strong"/>
              </w:rPr>
              <w:t>RPBS</w:t>
            </w:r>
          </w:p>
        </w:tc>
        <w:tc>
          <w:tcPr>
            <w:tcW w:w="6236" w:type="dxa"/>
            <w:tcMar>
              <w:top w:w="57" w:type="dxa"/>
              <w:left w:w="113" w:type="dxa"/>
              <w:bottom w:w="57" w:type="dxa"/>
              <w:right w:w="113" w:type="dxa"/>
            </w:tcMar>
          </w:tcPr>
          <w:p w14:paraId="7CC0CE1B" w14:textId="77777777" w:rsidR="001D1DA5" w:rsidRPr="00464333" w:rsidRDefault="001D1DA5" w:rsidP="001D1DA5">
            <w:pPr>
              <w:pStyle w:val="Tabletext"/>
            </w:pPr>
            <w:r w:rsidRPr="00464333">
              <w:t>Repatriation Pharmaceutical Benefits Scheme</w:t>
            </w:r>
          </w:p>
        </w:tc>
      </w:tr>
    </w:tbl>
    <w:p w14:paraId="735397DE" w14:textId="77777777" w:rsidR="005E6960" w:rsidRPr="001D1DA5" w:rsidRDefault="005E6960">
      <w:pPr>
        <w:spacing w:after="160" w:line="259" w:lineRule="auto"/>
      </w:pPr>
      <w:r w:rsidRPr="001D1DA5">
        <w:br w:type="page"/>
      </w:r>
    </w:p>
    <w:p w14:paraId="68F62312" w14:textId="77777777" w:rsidR="005E6960" w:rsidRDefault="005E6960" w:rsidP="00261A75">
      <w:pPr>
        <w:pStyle w:val="Heading1"/>
      </w:pPr>
      <w:r>
        <w:lastRenderedPageBreak/>
        <w:t>Glossary</w:t>
      </w:r>
    </w:p>
    <w:tbl>
      <w:tblPr>
        <w:tblW w:w="0" w:type="auto"/>
        <w:tblInd w:w="-8" w:type="dxa"/>
        <w:tblBorders>
          <w:top w:val="single" w:sz="8" w:space="0" w:color="F1F0EE" w:themeColor="accent4"/>
          <w:bottom w:val="single" w:sz="8" w:space="0" w:color="F1F0EE" w:themeColor="accent4"/>
          <w:insideH w:val="single" w:sz="8" w:space="0" w:color="F1F0EE" w:themeColor="accent4"/>
        </w:tblBorders>
        <w:tblLayout w:type="fixed"/>
        <w:tblCellMar>
          <w:left w:w="0" w:type="dxa"/>
          <w:right w:w="0" w:type="dxa"/>
        </w:tblCellMar>
        <w:tblLook w:val="0000" w:firstRow="0" w:lastRow="0" w:firstColumn="0" w:lastColumn="0" w:noHBand="0" w:noVBand="0"/>
        <w:tblCaption w:val="Glossary"/>
      </w:tblPr>
      <w:tblGrid>
        <w:gridCol w:w="1757"/>
        <w:gridCol w:w="6520"/>
      </w:tblGrid>
      <w:tr w:rsidR="00261A75" w:rsidRPr="00261A75" w14:paraId="0EEA775D" w14:textId="77777777" w:rsidTr="00E023BE">
        <w:trPr>
          <w:trHeight w:val="60"/>
        </w:trPr>
        <w:tc>
          <w:tcPr>
            <w:tcW w:w="1757" w:type="dxa"/>
            <w:tcMar>
              <w:top w:w="57" w:type="dxa"/>
              <w:left w:w="113" w:type="dxa"/>
              <w:bottom w:w="57" w:type="dxa"/>
              <w:right w:w="113" w:type="dxa"/>
            </w:tcMar>
          </w:tcPr>
          <w:p w14:paraId="45AC5A75" w14:textId="77777777" w:rsidR="00261A75" w:rsidRPr="00261A75" w:rsidRDefault="00261A75" w:rsidP="00261A75">
            <w:pPr>
              <w:pStyle w:val="Tabletext"/>
              <w:rPr>
                <w:rStyle w:val="Strong"/>
                <w:color w:val="34515F"/>
              </w:rPr>
            </w:pPr>
            <w:r w:rsidRPr="00261A75">
              <w:rPr>
                <w:rStyle w:val="Strong"/>
                <w:color w:val="34515F"/>
              </w:rPr>
              <w:t xml:space="preserve">Accreditation </w:t>
            </w:r>
          </w:p>
        </w:tc>
        <w:tc>
          <w:tcPr>
            <w:tcW w:w="6520" w:type="dxa"/>
            <w:tcMar>
              <w:top w:w="57" w:type="dxa"/>
              <w:left w:w="113" w:type="dxa"/>
              <w:bottom w:w="57" w:type="dxa"/>
              <w:right w:w="113" w:type="dxa"/>
            </w:tcMar>
          </w:tcPr>
          <w:p w14:paraId="00170A15" w14:textId="77777777" w:rsidR="00261A75" w:rsidRPr="00464333" w:rsidRDefault="00261A75" w:rsidP="00261A75">
            <w:pPr>
              <w:pStyle w:val="Tabletext"/>
            </w:pPr>
            <w:r w:rsidRPr="00464333">
              <w:t>A status that is conferred on an organisation or individual when they have been assessed as having met particular standards. The two conditions for accreditation are compliance with an explicit definition of quality (that is, a standard) and passing an independent review process aimed at identifying the level of congruence between practices and quality standards.</w:t>
            </w:r>
          </w:p>
        </w:tc>
      </w:tr>
      <w:tr w:rsidR="00261A75" w:rsidRPr="00261A75" w14:paraId="6953F166" w14:textId="77777777" w:rsidTr="00E023BE">
        <w:trPr>
          <w:trHeight w:val="60"/>
        </w:trPr>
        <w:tc>
          <w:tcPr>
            <w:tcW w:w="1757" w:type="dxa"/>
            <w:tcMar>
              <w:top w:w="57" w:type="dxa"/>
              <w:left w:w="113" w:type="dxa"/>
              <w:bottom w:w="57" w:type="dxa"/>
              <w:right w:w="113" w:type="dxa"/>
            </w:tcMar>
          </w:tcPr>
          <w:p w14:paraId="53F1D2F2" w14:textId="77777777" w:rsidR="00261A75" w:rsidRPr="00261A75" w:rsidRDefault="00261A75" w:rsidP="00261A75">
            <w:pPr>
              <w:pStyle w:val="Tabletext"/>
              <w:rPr>
                <w:rStyle w:val="Strong"/>
                <w:color w:val="34515F"/>
              </w:rPr>
            </w:pPr>
            <w:r w:rsidRPr="00261A75">
              <w:rPr>
                <w:rStyle w:val="Strong"/>
                <w:color w:val="34515F"/>
              </w:rPr>
              <w:t xml:space="preserve">Adverse event </w:t>
            </w:r>
          </w:p>
        </w:tc>
        <w:tc>
          <w:tcPr>
            <w:tcW w:w="6520" w:type="dxa"/>
            <w:tcMar>
              <w:top w:w="57" w:type="dxa"/>
              <w:left w:w="113" w:type="dxa"/>
              <w:bottom w:w="57" w:type="dxa"/>
              <w:right w:w="113" w:type="dxa"/>
            </w:tcMar>
          </w:tcPr>
          <w:p w14:paraId="7F368331" w14:textId="77777777" w:rsidR="00261A75" w:rsidRPr="00464333" w:rsidRDefault="00261A75" w:rsidP="00261A75">
            <w:pPr>
              <w:pStyle w:val="Tabletext"/>
            </w:pPr>
            <w:r w:rsidRPr="00464333">
              <w:t xml:space="preserve">An incident that results in harm to a patient or consumer. </w:t>
            </w:r>
          </w:p>
        </w:tc>
      </w:tr>
      <w:tr w:rsidR="00261A75" w:rsidRPr="00261A75" w14:paraId="592D1EFF" w14:textId="77777777" w:rsidTr="00E023BE">
        <w:trPr>
          <w:trHeight w:val="60"/>
        </w:trPr>
        <w:tc>
          <w:tcPr>
            <w:tcW w:w="1757" w:type="dxa"/>
            <w:tcMar>
              <w:top w:w="57" w:type="dxa"/>
              <w:left w:w="113" w:type="dxa"/>
              <w:bottom w:w="57" w:type="dxa"/>
              <w:right w:w="113" w:type="dxa"/>
            </w:tcMar>
          </w:tcPr>
          <w:p w14:paraId="5460C6F8" w14:textId="77777777" w:rsidR="00261A75" w:rsidRPr="00261A75" w:rsidRDefault="00261A75" w:rsidP="00261A75">
            <w:pPr>
              <w:pStyle w:val="Tabletext"/>
              <w:rPr>
                <w:rStyle w:val="Strong"/>
                <w:color w:val="34515F"/>
              </w:rPr>
            </w:pPr>
            <w:r w:rsidRPr="00261A75">
              <w:rPr>
                <w:rStyle w:val="Strong"/>
                <w:color w:val="34515F"/>
              </w:rPr>
              <w:t xml:space="preserve">Antimicrobial </w:t>
            </w:r>
          </w:p>
        </w:tc>
        <w:tc>
          <w:tcPr>
            <w:tcW w:w="6520" w:type="dxa"/>
            <w:tcMar>
              <w:top w:w="57" w:type="dxa"/>
              <w:left w:w="113" w:type="dxa"/>
              <w:bottom w:w="57" w:type="dxa"/>
              <w:right w:w="113" w:type="dxa"/>
            </w:tcMar>
          </w:tcPr>
          <w:p w14:paraId="1FBE0E08" w14:textId="77777777" w:rsidR="00261A75" w:rsidRPr="00464333" w:rsidRDefault="00261A75" w:rsidP="00261A75">
            <w:pPr>
              <w:pStyle w:val="Tabletext"/>
            </w:pPr>
            <w:r w:rsidRPr="00464333">
              <w:t>A chemical substance that inhibits or destroys bacteria, viruses and fungi, including yeasts and moulds.</w:t>
            </w:r>
            <w:r w:rsidRPr="0044323F">
              <w:rPr>
                <w:vertAlign w:val="superscript"/>
              </w:rPr>
              <w:t>3</w:t>
            </w:r>
            <w:r w:rsidRPr="00464333">
              <w:t xml:space="preserve"> </w:t>
            </w:r>
          </w:p>
        </w:tc>
      </w:tr>
      <w:tr w:rsidR="00261A75" w:rsidRPr="00261A75" w14:paraId="49B97731" w14:textId="77777777" w:rsidTr="00E023BE">
        <w:trPr>
          <w:trHeight w:val="60"/>
        </w:trPr>
        <w:tc>
          <w:tcPr>
            <w:tcW w:w="1757" w:type="dxa"/>
            <w:tcMar>
              <w:top w:w="57" w:type="dxa"/>
              <w:left w:w="113" w:type="dxa"/>
              <w:bottom w:w="57" w:type="dxa"/>
              <w:right w:w="113" w:type="dxa"/>
            </w:tcMar>
          </w:tcPr>
          <w:p w14:paraId="330B1187" w14:textId="77777777" w:rsidR="00261A75" w:rsidRPr="00261A75" w:rsidRDefault="00261A75" w:rsidP="00261A75">
            <w:pPr>
              <w:pStyle w:val="Tabletext"/>
              <w:rPr>
                <w:rStyle w:val="Strong"/>
                <w:color w:val="34515F"/>
              </w:rPr>
            </w:pPr>
            <w:r w:rsidRPr="00261A75">
              <w:rPr>
                <w:rStyle w:val="Strong"/>
                <w:color w:val="34515F"/>
              </w:rPr>
              <w:t>Antimicrobial resistance</w:t>
            </w:r>
          </w:p>
        </w:tc>
        <w:tc>
          <w:tcPr>
            <w:tcW w:w="6520" w:type="dxa"/>
            <w:tcMar>
              <w:top w:w="57" w:type="dxa"/>
              <w:left w:w="113" w:type="dxa"/>
              <w:bottom w:w="57" w:type="dxa"/>
              <w:right w:w="113" w:type="dxa"/>
            </w:tcMar>
          </w:tcPr>
          <w:p w14:paraId="4AAC294E" w14:textId="77777777" w:rsidR="00261A75" w:rsidRPr="00464333" w:rsidRDefault="00261A75" w:rsidP="00261A75">
            <w:pPr>
              <w:pStyle w:val="Tabletext"/>
            </w:pPr>
            <w:r w:rsidRPr="00464333">
              <w:t>A property of organisms – including bacteria, viruses, fungi and parasites – that allows them to grow or survive in the presence of antimicrobial levels that would normally suppress growth or kill susceptible organisms.</w:t>
            </w:r>
            <w:r w:rsidRPr="0044323F">
              <w:rPr>
                <w:vertAlign w:val="superscript"/>
              </w:rPr>
              <w:t>3</w:t>
            </w:r>
            <w:r w:rsidRPr="00464333">
              <w:t xml:space="preserve"> </w:t>
            </w:r>
          </w:p>
        </w:tc>
      </w:tr>
      <w:tr w:rsidR="00261A75" w:rsidRPr="00261A75" w14:paraId="44A4152D" w14:textId="77777777" w:rsidTr="00E023BE">
        <w:trPr>
          <w:trHeight w:val="60"/>
        </w:trPr>
        <w:tc>
          <w:tcPr>
            <w:tcW w:w="1757" w:type="dxa"/>
            <w:tcMar>
              <w:top w:w="57" w:type="dxa"/>
              <w:left w:w="113" w:type="dxa"/>
              <w:bottom w:w="57" w:type="dxa"/>
              <w:right w:w="113" w:type="dxa"/>
            </w:tcMar>
          </w:tcPr>
          <w:p w14:paraId="6B1E752E" w14:textId="77777777" w:rsidR="00261A75" w:rsidRPr="00261A75" w:rsidRDefault="00261A75" w:rsidP="00261A75">
            <w:pPr>
              <w:pStyle w:val="Tabletext"/>
              <w:rPr>
                <w:rStyle w:val="Strong"/>
                <w:color w:val="34515F"/>
              </w:rPr>
            </w:pPr>
            <w:r w:rsidRPr="00261A75">
              <w:rPr>
                <w:rStyle w:val="Strong"/>
                <w:color w:val="34515F"/>
              </w:rPr>
              <w:t>Antimicrobial stewardship</w:t>
            </w:r>
          </w:p>
        </w:tc>
        <w:tc>
          <w:tcPr>
            <w:tcW w:w="6520" w:type="dxa"/>
            <w:tcMar>
              <w:top w:w="57" w:type="dxa"/>
              <w:left w:w="113" w:type="dxa"/>
              <w:bottom w:w="57" w:type="dxa"/>
              <w:right w:w="113" w:type="dxa"/>
            </w:tcMar>
          </w:tcPr>
          <w:p w14:paraId="0A825283" w14:textId="77777777" w:rsidR="00261A75" w:rsidRPr="00464333" w:rsidRDefault="00261A75" w:rsidP="00261A75">
            <w:pPr>
              <w:pStyle w:val="Tabletext"/>
            </w:pPr>
            <w:r w:rsidRPr="00464333">
              <w:t>A program implemented in a health service organisation to reduce the risks associated with increasing antimicrobial resistance, and to extend the effectiveness of antimicrobial treatments. Antimicrobial stewardship may incorporate a broad range of strategies, including monitoring and reviewing antimicrobial use.</w:t>
            </w:r>
            <w:r w:rsidRPr="0044323F">
              <w:rPr>
                <w:vertAlign w:val="superscript"/>
              </w:rPr>
              <w:t>3</w:t>
            </w:r>
            <w:r w:rsidRPr="00464333">
              <w:t xml:space="preserve"> </w:t>
            </w:r>
          </w:p>
        </w:tc>
      </w:tr>
      <w:tr w:rsidR="00261A75" w:rsidRPr="00261A75" w14:paraId="1950C42B" w14:textId="77777777" w:rsidTr="00E023BE">
        <w:trPr>
          <w:trHeight w:val="60"/>
        </w:trPr>
        <w:tc>
          <w:tcPr>
            <w:tcW w:w="1757" w:type="dxa"/>
            <w:tcMar>
              <w:top w:w="57" w:type="dxa"/>
              <w:left w:w="113" w:type="dxa"/>
              <w:bottom w:w="57" w:type="dxa"/>
              <w:right w:w="113" w:type="dxa"/>
            </w:tcMar>
          </w:tcPr>
          <w:p w14:paraId="65CD31EB" w14:textId="77777777" w:rsidR="00261A75" w:rsidRPr="00261A75" w:rsidRDefault="00261A75" w:rsidP="00261A75">
            <w:pPr>
              <w:pStyle w:val="Tabletext"/>
              <w:rPr>
                <w:rStyle w:val="Strong"/>
                <w:color w:val="34515F"/>
              </w:rPr>
            </w:pPr>
            <w:r w:rsidRPr="00261A75">
              <w:rPr>
                <w:rStyle w:val="Strong"/>
                <w:color w:val="34515F"/>
              </w:rPr>
              <w:t>Clinical care standards</w:t>
            </w:r>
          </w:p>
        </w:tc>
        <w:tc>
          <w:tcPr>
            <w:tcW w:w="6520" w:type="dxa"/>
            <w:tcMar>
              <w:top w:w="57" w:type="dxa"/>
              <w:left w:w="113" w:type="dxa"/>
              <w:bottom w:w="57" w:type="dxa"/>
              <w:right w:w="113" w:type="dxa"/>
            </w:tcMar>
          </w:tcPr>
          <w:p w14:paraId="0C00E4A8" w14:textId="77777777" w:rsidR="00261A75" w:rsidRPr="00464333" w:rsidRDefault="00261A75" w:rsidP="00261A75">
            <w:pPr>
              <w:pStyle w:val="Tabletext"/>
            </w:pPr>
            <w:r w:rsidRPr="00464333">
              <w:t>Standards developed by the Commission and endorsed by health ministers that identify and define the care people should expect to be offered or receive for specific conditions.</w:t>
            </w:r>
          </w:p>
        </w:tc>
      </w:tr>
      <w:tr w:rsidR="00261A75" w:rsidRPr="00261A75" w14:paraId="7239CC84" w14:textId="77777777" w:rsidTr="00E023BE">
        <w:trPr>
          <w:trHeight w:val="60"/>
        </w:trPr>
        <w:tc>
          <w:tcPr>
            <w:tcW w:w="1757" w:type="dxa"/>
            <w:tcMar>
              <w:top w:w="57" w:type="dxa"/>
              <w:left w:w="113" w:type="dxa"/>
              <w:bottom w:w="57" w:type="dxa"/>
              <w:right w:w="113" w:type="dxa"/>
            </w:tcMar>
          </w:tcPr>
          <w:p w14:paraId="4A8275DE" w14:textId="77777777" w:rsidR="00261A75" w:rsidRPr="00261A75" w:rsidRDefault="00261A75" w:rsidP="00261A75">
            <w:pPr>
              <w:pStyle w:val="Tabletext"/>
              <w:rPr>
                <w:rStyle w:val="Strong"/>
                <w:color w:val="34515F"/>
              </w:rPr>
            </w:pPr>
            <w:r w:rsidRPr="00261A75">
              <w:rPr>
                <w:rStyle w:val="Strong"/>
                <w:color w:val="34515F"/>
              </w:rPr>
              <w:t>Clinical communication</w:t>
            </w:r>
          </w:p>
        </w:tc>
        <w:tc>
          <w:tcPr>
            <w:tcW w:w="6520" w:type="dxa"/>
            <w:tcMar>
              <w:top w:w="57" w:type="dxa"/>
              <w:left w:w="113" w:type="dxa"/>
              <w:bottom w:w="57" w:type="dxa"/>
              <w:right w:w="113" w:type="dxa"/>
            </w:tcMar>
          </w:tcPr>
          <w:p w14:paraId="09F0B419" w14:textId="77777777" w:rsidR="00261A75" w:rsidRPr="00464333" w:rsidRDefault="00261A75" w:rsidP="00261A75">
            <w:pPr>
              <w:pStyle w:val="Tabletext"/>
            </w:pPr>
            <w:r w:rsidRPr="00464333">
              <w:t xml:space="preserve">The exchange of information about a person’s care that occurs between treating clinicians, the patient and members of a multidisciplinary team. Communication can take different forms, including face-to-face or electronic communication, or communication via telephone, written notes or other documentation. </w:t>
            </w:r>
          </w:p>
        </w:tc>
      </w:tr>
      <w:tr w:rsidR="00261A75" w:rsidRPr="00261A75" w14:paraId="12D9293A" w14:textId="77777777" w:rsidTr="00E023BE">
        <w:trPr>
          <w:trHeight w:val="60"/>
        </w:trPr>
        <w:tc>
          <w:tcPr>
            <w:tcW w:w="1757" w:type="dxa"/>
            <w:tcMar>
              <w:top w:w="57" w:type="dxa"/>
              <w:left w:w="113" w:type="dxa"/>
              <w:bottom w:w="57" w:type="dxa"/>
              <w:right w:w="113" w:type="dxa"/>
            </w:tcMar>
          </w:tcPr>
          <w:p w14:paraId="2E67CEF4" w14:textId="77777777" w:rsidR="00261A75" w:rsidRPr="00261A75" w:rsidRDefault="00261A75" w:rsidP="00261A75">
            <w:pPr>
              <w:pStyle w:val="Tabletext"/>
              <w:rPr>
                <w:rStyle w:val="Strong"/>
                <w:color w:val="34515F"/>
              </w:rPr>
            </w:pPr>
            <w:r w:rsidRPr="00261A75">
              <w:rPr>
                <w:rStyle w:val="Strong"/>
                <w:color w:val="34515F"/>
              </w:rPr>
              <w:t xml:space="preserve">Clinical governance </w:t>
            </w:r>
          </w:p>
        </w:tc>
        <w:tc>
          <w:tcPr>
            <w:tcW w:w="6520" w:type="dxa"/>
            <w:tcMar>
              <w:top w:w="57" w:type="dxa"/>
              <w:left w:w="113" w:type="dxa"/>
              <w:bottom w:w="57" w:type="dxa"/>
              <w:right w:w="113" w:type="dxa"/>
            </w:tcMar>
          </w:tcPr>
          <w:p w14:paraId="5F7B28CD" w14:textId="77777777" w:rsidR="00261A75" w:rsidRPr="00464333" w:rsidRDefault="00261A75" w:rsidP="00261A75">
            <w:pPr>
              <w:pStyle w:val="Tabletext"/>
            </w:pPr>
            <w:r w:rsidRPr="00464333">
              <w:t>The set of relationships and responsibilities established by a health service organisation between its department of health (for the public sector), governing body, executive, clinicians, patients, consumers and other stakeholders to ensure good clinical outcomes. It ensures the community and health service organisations can be confident that systems are in place to deliver safe and high-quality health care and continuously improve services.</w:t>
            </w:r>
          </w:p>
        </w:tc>
      </w:tr>
      <w:tr w:rsidR="00261A75" w:rsidRPr="00261A75" w14:paraId="513B9783" w14:textId="77777777" w:rsidTr="00E023BE">
        <w:trPr>
          <w:trHeight w:val="60"/>
        </w:trPr>
        <w:tc>
          <w:tcPr>
            <w:tcW w:w="1757" w:type="dxa"/>
            <w:tcMar>
              <w:top w:w="57" w:type="dxa"/>
              <w:left w:w="113" w:type="dxa"/>
              <w:bottom w:w="57" w:type="dxa"/>
              <w:right w:w="113" w:type="dxa"/>
            </w:tcMar>
          </w:tcPr>
          <w:p w14:paraId="300F4700" w14:textId="77777777" w:rsidR="00261A75" w:rsidRPr="00261A75" w:rsidRDefault="00261A75" w:rsidP="00261A75">
            <w:pPr>
              <w:pStyle w:val="Tabletext"/>
              <w:rPr>
                <w:rStyle w:val="Strong"/>
                <w:color w:val="34515F"/>
              </w:rPr>
            </w:pPr>
            <w:r w:rsidRPr="00261A75">
              <w:rPr>
                <w:rStyle w:val="Strong"/>
                <w:color w:val="34515F"/>
              </w:rPr>
              <w:t>Clinical handover</w:t>
            </w:r>
          </w:p>
        </w:tc>
        <w:tc>
          <w:tcPr>
            <w:tcW w:w="6520" w:type="dxa"/>
            <w:tcMar>
              <w:top w:w="57" w:type="dxa"/>
              <w:left w:w="113" w:type="dxa"/>
              <w:bottom w:w="57" w:type="dxa"/>
              <w:right w:w="113" w:type="dxa"/>
            </w:tcMar>
          </w:tcPr>
          <w:p w14:paraId="552395ED" w14:textId="77777777" w:rsidR="00261A75" w:rsidRPr="00464333" w:rsidRDefault="00261A75" w:rsidP="00261A75">
            <w:pPr>
              <w:pStyle w:val="Tabletext"/>
            </w:pPr>
            <w:r w:rsidRPr="00464333">
              <w:t>The transfer of professional responsibility and accountability for some or all aspects of care for a patient, or group of patients, to another person or professional group on a temporary or permanent basis.</w:t>
            </w:r>
            <w:r w:rsidRPr="0044323F">
              <w:rPr>
                <w:vertAlign w:val="superscript"/>
              </w:rPr>
              <w:t>4</w:t>
            </w:r>
            <w:r w:rsidRPr="00464333">
              <w:t xml:space="preserve"> </w:t>
            </w:r>
          </w:p>
        </w:tc>
      </w:tr>
      <w:tr w:rsidR="00261A75" w:rsidRPr="00261A75" w14:paraId="0118F8E0" w14:textId="77777777" w:rsidTr="00E023BE">
        <w:trPr>
          <w:trHeight w:val="60"/>
        </w:trPr>
        <w:tc>
          <w:tcPr>
            <w:tcW w:w="1757" w:type="dxa"/>
            <w:tcMar>
              <w:top w:w="57" w:type="dxa"/>
              <w:left w:w="113" w:type="dxa"/>
              <w:bottom w:w="57" w:type="dxa"/>
              <w:right w:w="113" w:type="dxa"/>
            </w:tcMar>
          </w:tcPr>
          <w:p w14:paraId="76306470" w14:textId="77777777" w:rsidR="00261A75" w:rsidRPr="00261A75" w:rsidRDefault="00261A75" w:rsidP="00261A75">
            <w:pPr>
              <w:pStyle w:val="Tabletext"/>
              <w:rPr>
                <w:rStyle w:val="Strong"/>
                <w:color w:val="34515F"/>
              </w:rPr>
            </w:pPr>
            <w:r w:rsidRPr="00261A75">
              <w:rPr>
                <w:rStyle w:val="Strong"/>
                <w:color w:val="34515F"/>
              </w:rPr>
              <w:t>Clinician</w:t>
            </w:r>
          </w:p>
        </w:tc>
        <w:tc>
          <w:tcPr>
            <w:tcW w:w="6520" w:type="dxa"/>
            <w:tcMar>
              <w:top w:w="57" w:type="dxa"/>
              <w:left w:w="113" w:type="dxa"/>
              <w:bottom w:w="57" w:type="dxa"/>
              <w:right w:w="113" w:type="dxa"/>
            </w:tcMar>
          </w:tcPr>
          <w:p w14:paraId="398A1373" w14:textId="77777777" w:rsidR="00261A75" w:rsidRPr="00464333" w:rsidRDefault="00261A75" w:rsidP="00261A75">
            <w:pPr>
              <w:pStyle w:val="Tabletext"/>
            </w:pPr>
            <w:r w:rsidRPr="00464333">
              <w:t>A healthcare provider, trained as a health professional. Clinicians include registered and non-registered practitioners, or teams of health professionals, who spend the majority of their time delivering direct clinical</w:t>
            </w:r>
            <w:r w:rsidR="0044323F">
              <w:t> </w:t>
            </w:r>
            <w:r w:rsidRPr="00464333">
              <w:t>care.</w:t>
            </w:r>
          </w:p>
        </w:tc>
      </w:tr>
    </w:tbl>
    <w:p w14:paraId="3610518A" w14:textId="77777777" w:rsidR="005E6960" w:rsidRDefault="005E6960">
      <w:pPr>
        <w:spacing w:after="160" w:line="259" w:lineRule="auto"/>
      </w:pPr>
      <w:r>
        <w:br w:type="page"/>
      </w:r>
    </w:p>
    <w:tbl>
      <w:tblPr>
        <w:tblW w:w="8289" w:type="dxa"/>
        <w:tblInd w:w="-8" w:type="dxa"/>
        <w:tblBorders>
          <w:top w:val="single" w:sz="8" w:space="0" w:color="F1F0EE" w:themeColor="accent4"/>
          <w:bottom w:val="single" w:sz="8" w:space="0" w:color="F1F0EE" w:themeColor="accent4"/>
          <w:insideH w:val="single" w:sz="8" w:space="0" w:color="F1F0EE" w:themeColor="accent4"/>
        </w:tblBorders>
        <w:tblLayout w:type="fixed"/>
        <w:tblCellMar>
          <w:top w:w="28" w:type="dxa"/>
          <w:left w:w="0" w:type="dxa"/>
          <w:bottom w:w="28" w:type="dxa"/>
          <w:right w:w="0" w:type="dxa"/>
        </w:tblCellMar>
        <w:tblLook w:val="0000" w:firstRow="0" w:lastRow="0" w:firstColumn="0" w:lastColumn="0" w:noHBand="0" w:noVBand="0"/>
      </w:tblPr>
      <w:tblGrid>
        <w:gridCol w:w="8"/>
        <w:gridCol w:w="1421"/>
        <w:gridCol w:w="425"/>
        <w:gridCol w:w="6427"/>
        <w:gridCol w:w="8"/>
      </w:tblGrid>
      <w:tr w:rsidR="00027CB2" w:rsidRPr="00261A75" w14:paraId="7C6BD973" w14:textId="77777777" w:rsidTr="00027CB2">
        <w:trPr>
          <w:gridAfter w:val="1"/>
          <w:wAfter w:w="8" w:type="dxa"/>
          <w:trHeight w:val="60"/>
        </w:trPr>
        <w:tc>
          <w:tcPr>
            <w:tcW w:w="1429" w:type="dxa"/>
            <w:gridSpan w:val="2"/>
            <w:tcMar>
              <w:top w:w="85" w:type="dxa"/>
              <w:left w:w="113" w:type="dxa"/>
              <w:bottom w:w="57" w:type="dxa"/>
              <w:right w:w="113" w:type="dxa"/>
            </w:tcMar>
          </w:tcPr>
          <w:p w14:paraId="2B14DC66" w14:textId="77777777" w:rsidR="00261A75" w:rsidRPr="00261A75" w:rsidRDefault="00261A75" w:rsidP="00261A75">
            <w:pPr>
              <w:pStyle w:val="Tabletext"/>
              <w:rPr>
                <w:rStyle w:val="Strong"/>
                <w:color w:val="34515F"/>
              </w:rPr>
            </w:pPr>
            <w:r w:rsidRPr="00261A75">
              <w:rPr>
                <w:rStyle w:val="Strong"/>
                <w:color w:val="34515F"/>
              </w:rPr>
              <w:lastRenderedPageBreak/>
              <w:t xml:space="preserve">Cognitive impairment </w:t>
            </w:r>
          </w:p>
        </w:tc>
        <w:tc>
          <w:tcPr>
            <w:tcW w:w="6852" w:type="dxa"/>
            <w:gridSpan w:val="2"/>
            <w:tcMar>
              <w:top w:w="85" w:type="dxa"/>
              <w:left w:w="113" w:type="dxa"/>
              <w:bottom w:w="57" w:type="dxa"/>
              <w:right w:w="113" w:type="dxa"/>
            </w:tcMar>
          </w:tcPr>
          <w:p w14:paraId="5A57FC03" w14:textId="77777777" w:rsidR="00261A75" w:rsidRPr="0044323F" w:rsidRDefault="00261A75" w:rsidP="00261A75">
            <w:pPr>
              <w:pStyle w:val="Tabletext"/>
            </w:pPr>
            <w:r w:rsidRPr="0044323F">
              <w:t>Deficits in one or more of the areas of memory, communication, attention, thinking and judgement. Cognitive impairment can be temporary or permanent, and can affect a person’s understanding, their ability to carry out tasks or follow instructions, their recognition of people or objects, how they relate to others and how they interpret the environment. Dementia and delirium are common forms of cognitive impairment seen in hospitalised older patients.</w:t>
            </w:r>
            <w:r w:rsidRPr="0044323F">
              <w:rPr>
                <w:vertAlign w:val="superscript"/>
              </w:rPr>
              <w:t>5</w:t>
            </w:r>
            <w:r w:rsidRPr="0044323F">
              <w:t xml:space="preserve"> Cognitive impairment can also be caused by a range of other conditions, such as an acquired brain injury, a stroke, intellectual disability or drug use.</w:t>
            </w:r>
          </w:p>
        </w:tc>
      </w:tr>
      <w:tr w:rsidR="00027CB2" w:rsidRPr="00261A75" w14:paraId="1105798B" w14:textId="77777777" w:rsidTr="00027CB2">
        <w:trPr>
          <w:gridAfter w:val="1"/>
          <w:wAfter w:w="8" w:type="dxa"/>
          <w:trHeight w:val="60"/>
        </w:trPr>
        <w:tc>
          <w:tcPr>
            <w:tcW w:w="1429" w:type="dxa"/>
            <w:gridSpan w:val="2"/>
            <w:tcMar>
              <w:top w:w="85" w:type="dxa"/>
              <w:left w:w="113" w:type="dxa"/>
              <w:bottom w:w="57" w:type="dxa"/>
              <w:right w:w="113" w:type="dxa"/>
            </w:tcMar>
          </w:tcPr>
          <w:p w14:paraId="5082133A" w14:textId="77777777" w:rsidR="00261A75" w:rsidRPr="00261A75" w:rsidRDefault="00261A75" w:rsidP="00261A75">
            <w:pPr>
              <w:pStyle w:val="Tabletext"/>
              <w:rPr>
                <w:rStyle w:val="Strong"/>
                <w:color w:val="34515F"/>
              </w:rPr>
            </w:pPr>
            <w:r w:rsidRPr="00261A75">
              <w:rPr>
                <w:rStyle w:val="Strong"/>
                <w:color w:val="34515F"/>
              </w:rPr>
              <w:t>Consumers</w:t>
            </w:r>
          </w:p>
        </w:tc>
        <w:tc>
          <w:tcPr>
            <w:tcW w:w="6852" w:type="dxa"/>
            <w:gridSpan w:val="2"/>
            <w:tcMar>
              <w:top w:w="85" w:type="dxa"/>
              <w:left w:w="113" w:type="dxa"/>
              <w:bottom w:w="57" w:type="dxa"/>
              <w:right w:w="113" w:type="dxa"/>
            </w:tcMar>
          </w:tcPr>
          <w:p w14:paraId="29287B0D" w14:textId="77777777" w:rsidR="00261A75" w:rsidRPr="0044323F" w:rsidRDefault="00261A75" w:rsidP="00261A75">
            <w:pPr>
              <w:pStyle w:val="Tabletext"/>
            </w:pPr>
            <w:r w:rsidRPr="0044323F">
              <w:t>A person who has used, or may potentially use, health services. A healthcare consumer may also act as a consumer representative to provide a consumer perspective, contribute consumer experiences, advocate for the interests of current and potential health service users, and take part in decision</w:t>
            </w:r>
            <w:r w:rsidR="00C36315" w:rsidRPr="0044323F">
              <w:t>-</w:t>
            </w:r>
            <w:r w:rsidRPr="0044323F">
              <w:t>making processes.</w:t>
            </w:r>
            <w:r w:rsidRPr="0044323F">
              <w:rPr>
                <w:vertAlign w:val="superscript"/>
              </w:rPr>
              <w:t xml:space="preserve">6 </w:t>
            </w:r>
          </w:p>
        </w:tc>
      </w:tr>
      <w:tr w:rsidR="00027CB2" w:rsidRPr="00261A75" w14:paraId="3274AFF0" w14:textId="77777777" w:rsidTr="00027CB2">
        <w:trPr>
          <w:gridAfter w:val="1"/>
          <w:wAfter w:w="8" w:type="dxa"/>
          <w:trHeight w:val="60"/>
        </w:trPr>
        <w:tc>
          <w:tcPr>
            <w:tcW w:w="1429" w:type="dxa"/>
            <w:gridSpan w:val="2"/>
            <w:tcMar>
              <w:top w:w="85" w:type="dxa"/>
              <w:left w:w="113" w:type="dxa"/>
              <w:bottom w:w="57" w:type="dxa"/>
              <w:right w:w="113" w:type="dxa"/>
            </w:tcMar>
          </w:tcPr>
          <w:p w14:paraId="1A14787B" w14:textId="77777777" w:rsidR="00261A75" w:rsidRPr="00261A75" w:rsidRDefault="00261A75" w:rsidP="00261A75">
            <w:pPr>
              <w:pStyle w:val="Tabletext"/>
              <w:rPr>
                <w:rStyle w:val="Strong"/>
                <w:color w:val="34515F"/>
              </w:rPr>
            </w:pPr>
            <w:r w:rsidRPr="00261A75">
              <w:rPr>
                <w:rStyle w:val="Strong"/>
                <w:color w:val="34515F"/>
              </w:rPr>
              <w:t>Core Hospital-Based Outcome Indicators (CHBOI)</w:t>
            </w:r>
          </w:p>
        </w:tc>
        <w:tc>
          <w:tcPr>
            <w:tcW w:w="6852" w:type="dxa"/>
            <w:gridSpan w:val="2"/>
            <w:tcMar>
              <w:top w:w="85" w:type="dxa"/>
              <w:left w:w="113" w:type="dxa"/>
              <w:bottom w:w="57" w:type="dxa"/>
              <w:right w:w="113" w:type="dxa"/>
            </w:tcMar>
          </w:tcPr>
          <w:p w14:paraId="1E5EB5E4" w14:textId="77777777" w:rsidR="00261A75" w:rsidRPr="0044323F" w:rsidRDefault="00261A75" w:rsidP="00261A75">
            <w:pPr>
              <w:pStyle w:val="Tabletext"/>
            </w:pPr>
            <w:r w:rsidRPr="0044323F">
              <w:t>A succinct set of indicators that hospitals routinely monitor and review. These hospital-based outcome indicators can be generated by state or territory health authorities or private hospital owners that hold the source data and reported back to the facilities that provide healthcare services.</w:t>
            </w:r>
          </w:p>
        </w:tc>
      </w:tr>
      <w:tr w:rsidR="00027CB2" w:rsidRPr="00261A75" w14:paraId="4060D523" w14:textId="77777777" w:rsidTr="00027CB2">
        <w:trPr>
          <w:gridAfter w:val="1"/>
          <w:wAfter w:w="8" w:type="dxa"/>
          <w:trHeight w:val="60"/>
        </w:trPr>
        <w:tc>
          <w:tcPr>
            <w:tcW w:w="1429" w:type="dxa"/>
            <w:gridSpan w:val="2"/>
            <w:tcMar>
              <w:top w:w="85" w:type="dxa"/>
              <w:left w:w="113" w:type="dxa"/>
              <w:bottom w:w="57" w:type="dxa"/>
              <w:right w:w="113" w:type="dxa"/>
            </w:tcMar>
          </w:tcPr>
          <w:p w14:paraId="418E684C" w14:textId="77777777" w:rsidR="00261A75" w:rsidRPr="00261A75" w:rsidRDefault="00261A75" w:rsidP="00261A75">
            <w:pPr>
              <w:pStyle w:val="Tabletext"/>
              <w:rPr>
                <w:rStyle w:val="Strong"/>
                <w:color w:val="34515F"/>
              </w:rPr>
            </w:pPr>
            <w:r w:rsidRPr="00261A75">
              <w:rPr>
                <w:rStyle w:val="Strong"/>
                <w:color w:val="34515F"/>
              </w:rPr>
              <w:t xml:space="preserve">Delirium </w:t>
            </w:r>
          </w:p>
        </w:tc>
        <w:tc>
          <w:tcPr>
            <w:tcW w:w="6852" w:type="dxa"/>
            <w:gridSpan w:val="2"/>
            <w:tcMar>
              <w:top w:w="85" w:type="dxa"/>
              <w:left w:w="113" w:type="dxa"/>
              <w:bottom w:w="57" w:type="dxa"/>
              <w:right w:w="113" w:type="dxa"/>
            </w:tcMar>
          </w:tcPr>
          <w:p w14:paraId="0F440AD9" w14:textId="77777777" w:rsidR="00261A75" w:rsidRPr="0044323F" w:rsidRDefault="00261A75" w:rsidP="00261A75">
            <w:pPr>
              <w:pStyle w:val="Tabletext"/>
            </w:pPr>
            <w:r w:rsidRPr="0044323F">
              <w:t>An acute disturbance of consciousness, attention, cognition and perception that tends to fluctuate during the course of the day. Delirium is a serious condition that can be prevented in 30–40% of cases, and should be treated promptly and appropriately. Hospitalised older people with existing dementia are at the greatest risk of developing delirium. Delirium can be hyperactive (the person has heightened arousal, or can be restless, agitated and aggressive) or hypoactive (the person is withdrawn, quiet and sleepy).</w:t>
            </w:r>
            <w:r w:rsidRPr="0044323F">
              <w:rPr>
                <w:vertAlign w:val="superscript"/>
              </w:rPr>
              <w:t>7</w:t>
            </w:r>
            <w:r w:rsidRPr="0044323F">
              <w:t xml:space="preserve"> </w:t>
            </w:r>
          </w:p>
        </w:tc>
      </w:tr>
      <w:tr w:rsidR="00027CB2" w:rsidRPr="00261A75" w14:paraId="022A9928" w14:textId="77777777" w:rsidTr="00027CB2">
        <w:trPr>
          <w:gridAfter w:val="1"/>
          <w:wAfter w:w="8" w:type="dxa"/>
          <w:trHeight w:val="60"/>
        </w:trPr>
        <w:tc>
          <w:tcPr>
            <w:tcW w:w="1429" w:type="dxa"/>
            <w:gridSpan w:val="2"/>
            <w:tcMar>
              <w:top w:w="85" w:type="dxa"/>
              <w:left w:w="113" w:type="dxa"/>
              <w:bottom w:w="57" w:type="dxa"/>
              <w:right w:w="113" w:type="dxa"/>
            </w:tcMar>
          </w:tcPr>
          <w:p w14:paraId="5DDD834B" w14:textId="77777777" w:rsidR="00261A75" w:rsidRPr="00261A75" w:rsidRDefault="00261A75" w:rsidP="00261A75">
            <w:pPr>
              <w:pStyle w:val="Tabletext"/>
              <w:rPr>
                <w:rStyle w:val="Strong"/>
                <w:color w:val="34515F"/>
              </w:rPr>
            </w:pPr>
            <w:r w:rsidRPr="00261A75">
              <w:rPr>
                <w:rStyle w:val="Strong"/>
                <w:color w:val="34515F"/>
              </w:rPr>
              <w:t>Electronic medication management system</w:t>
            </w:r>
          </w:p>
        </w:tc>
        <w:tc>
          <w:tcPr>
            <w:tcW w:w="6852" w:type="dxa"/>
            <w:gridSpan w:val="2"/>
            <w:tcMar>
              <w:top w:w="85" w:type="dxa"/>
              <w:left w:w="113" w:type="dxa"/>
              <w:bottom w:w="57" w:type="dxa"/>
              <w:right w:w="113" w:type="dxa"/>
            </w:tcMar>
          </w:tcPr>
          <w:p w14:paraId="1602BD73" w14:textId="77777777" w:rsidR="00261A75" w:rsidRPr="0044323F" w:rsidRDefault="00261A75" w:rsidP="00261A75">
            <w:pPr>
              <w:pStyle w:val="Tabletext"/>
            </w:pPr>
            <w:r w:rsidRPr="0044323F">
              <w:t>Enables medicines to be prescribed, dispensed, administered and reconciled electronically.</w:t>
            </w:r>
          </w:p>
        </w:tc>
      </w:tr>
      <w:tr w:rsidR="00027CB2" w:rsidRPr="00261A75" w14:paraId="591BD64E" w14:textId="77777777" w:rsidTr="00027CB2">
        <w:trPr>
          <w:gridAfter w:val="1"/>
          <w:wAfter w:w="8" w:type="dxa"/>
          <w:trHeight w:val="60"/>
        </w:trPr>
        <w:tc>
          <w:tcPr>
            <w:tcW w:w="1429" w:type="dxa"/>
            <w:gridSpan w:val="2"/>
            <w:tcMar>
              <w:top w:w="85" w:type="dxa"/>
              <w:left w:w="113" w:type="dxa"/>
              <w:bottom w:w="57" w:type="dxa"/>
              <w:right w:w="113" w:type="dxa"/>
            </w:tcMar>
          </w:tcPr>
          <w:p w14:paraId="374245BC" w14:textId="77777777" w:rsidR="00261A75" w:rsidRPr="00261A75" w:rsidRDefault="00261A75" w:rsidP="00261A75">
            <w:pPr>
              <w:pStyle w:val="Tabletext"/>
              <w:rPr>
                <w:rStyle w:val="Strong"/>
                <w:color w:val="34515F"/>
              </w:rPr>
            </w:pPr>
            <w:r w:rsidRPr="00261A75">
              <w:rPr>
                <w:rStyle w:val="Strong"/>
                <w:color w:val="34515F"/>
              </w:rPr>
              <w:t xml:space="preserve">End of life </w:t>
            </w:r>
          </w:p>
        </w:tc>
        <w:tc>
          <w:tcPr>
            <w:tcW w:w="6852" w:type="dxa"/>
            <w:gridSpan w:val="2"/>
            <w:tcMar>
              <w:top w:w="85" w:type="dxa"/>
              <w:left w:w="113" w:type="dxa"/>
              <w:bottom w:w="57" w:type="dxa"/>
              <w:right w:w="113" w:type="dxa"/>
            </w:tcMar>
          </w:tcPr>
          <w:p w14:paraId="047A0B9A" w14:textId="77777777" w:rsidR="00261A75" w:rsidRPr="0044323F" w:rsidRDefault="00261A75" w:rsidP="00261A75">
            <w:pPr>
              <w:pStyle w:val="Tabletext"/>
            </w:pPr>
            <w:r w:rsidRPr="0044323F">
              <w:t>The period when a patient is living with, and impaired by, a fatal condition, even if the trajectory is ambiguous or unknown. This period may be years in the case of patients with chronic or malignant disease, or very brief in the case of patients who suffer acute and unexpected illnesses or events such as sepsis, stroke or trauma.</w:t>
            </w:r>
            <w:r w:rsidRPr="0044323F">
              <w:rPr>
                <w:vertAlign w:val="superscript"/>
              </w:rPr>
              <w:t xml:space="preserve">8 </w:t>
            </w:r>
          </w:p>
        </w:tc>
      </w:tr>
      <w:tr w:rsidR="00027CB2" w:rsidRPr="00261A75" w14:paraId="1CF2E6B3" w14:textId="77777777" w:rsidTr="00027CB2">
        <w:trPr>
          <w:gridAfter w:val="1"/>
          <w:wAfter w:w="8" w:type="dxa"/>
          <w:trHeight w:val="60"/>
        </w:trPr>
        <w:tc>
          <w:tcPr>
            <w:tcW w:w="1429" w:type="dxa"/>
            <w:gridSpan w:val="2"/>
            <w:tcMar>
              <w:top w:w="85" w:type="dxa"/>
              <w:left w:w="113" w:type="dxa"/>
              <w:bottom w:w="57" w:type="dxa"/>
              <w:right w:w="113" w:type="dxa"/>
            </w:tcMar>
          </w:tcPr>
          <w:p w14:paraId="1BF9537E" w14:textId="77777777" w:rsidR="00261A75" w:rsidRPr="00261A75" w:rsidRDefault="00261A75" w:rsidP="00261A75">
            <w:pPr>
              <w:pStyle w:val="Tabletext"/>
              <w:rPr>
                <w:rStyle w:val="Strong"/>
                <w:color w:val="34515F"/>
              </w:rPr>
            </w:pPr>
            <w:r w:rsidRPr="00261A75">
              <w:rPr>
                <w:rStyle w:val="Strong"/>
                <w:color w:val="34515F"/>
              </w:rPr>
              <w:t>Hand hygiene</w:t>
            </w:r>
          </w:p>
        </w:tc>
        <w:tc>
          <w:tcPr>
            <w:tcW w:w="6852" w:type="dxa"/>
            <w:gridSpan w:val="2"/>
            <w:tcMar>
              <w:top w:w="85" w:type="dxa"/>
              <w:left w:w="113" w:type="dxa"/>
              <w:bottom w:w="57" w:type="dxa"/>
              <w:right w:w="113" w:type="dxa"/>
            </w:tcMar>
          </w:tcPr>
          <w:p w14:paraId="4704C47E" w14:textId="77777777" w:rsidR="00261A75" w:rsidRPr="0044323F" w:rsidRDefault="00261A75" w:rsidP="00261A75">
            <w:pPr>
              <w:pStyle w:val="Tabletext"/>
            </w:pPr>
            <w:r w:rsidRPr="0044323F">
              <w:t>A general term referring to any hand-cleansing action.</w:t>
            </w:r>
          </w:p>
        </w:tc>
      </w:tr>
      <w:tr w:rsidR="00027CB2" w:rsidRPr="00261A75" w14:paraId="040C498B" w14:textId="77777777" w:rsidTr="00027CB2">
        <w:trPr>
          <w:gridAfter w:val="1"/>
          <w:wAfter w:w="8" w:type="dxa"/>
          <w:trHeight w:val="60"/>
        </w:trPr>
        <w:tc>
          <w:tcPr>
            <w:tcW w:w="1429" w:type="dxa"/>
            <w:gridSpan w:val="2"/>
            <w:tcMar>
              <w:top w:w="85" w:type="dxa"/>
              <w:left w:w="113" w:type="dxa"/>
              <w:bottom w:w="57" w:type="dxa"/>
              <w:right w:w="113" w:type="dxa"/>
            </w:tcMar>
          </w:tcPr>
          <w:p w14:paraId="2D891B19" w14:textId="77777777" w:rsidR="00261A75" w:rsidRPr="00261A75" w:rsidRDefault="00261A75" w:rsidP="00261A75">
            <w:pPr>
              <w:pStyle w:val="Tabletext"/>
              <w:rPr>
                <w:rStyle w:val="Strong"/>
                <w:color w:val="34515F"/>
              </w:rPr>
            </w:pPr>
            <w:r w:rsidRPr="00261A75">
              <w:rPr>
                <w:rStyle w:val="Strong"/>
                <w:color w:val="34515F"/>
              </w:rPr>
              <w:t>Healthcare variation</w:t>
            </w:r>
          </w:p>
        </w:tc>
        <w:tc>
          <w:tcPr>
            <w:tcW w:w="6852" w:type="dxa"/>
            <w:gridSpan w:val="2"/>
            <w:tcMar>
              <w:top w:w="85" w:type="dxa"/>
              <w:left w:w="113" w:type="dxa"/>
              <w:bottom w:w="57" w:type="dxa"/>
              <w:right w:w="113" w:type="dxa"/>
            </w:tcMar>
          </w:tcPr>
          <w:p w14:paraId="7FE15F27" w14:textId="77777777" w:rsidR="00261A75" w:rsidRPr="0044323F" w:rsidRDefault="00261A75" w:rsidP="00261A75">
            <w:pPr>
              <w:pStyle w:val="Tabletext"/>
            </w:pPr>
            <w:r w:rsidRPr="0044323F">
              <w:t>This occurs where patients with the same condition receive different types of care. For example, among a group of patients with the same condition, some may have no active treatment, some may be treated in the community and others in hospital, and some may have surgery while others receive medication. Some variation in how health care is provided is desirable because of differences in patients’ needs, wants and preferences (see ‘unwarranted healthcare variation’).</w:t>
            </w:r>
          </w:p>
        </w:tc>
      </w:tr>
      <w:tr w:rsidR="00027CB2" w:rsidRPr="00261A75" w14:paraId="326E1617" w14:textId="77777777" w:rsidTr="00027CB2">
        <w:trPr>
          <w:gridBefore w:val="1"/>
          <w:wBefore w:w="8" w:type="dxa"/>
          <w:trHeight w:val="60"/>
        </w:trPr>
        <w:tc>
          <w:tcPr>
            <w:tcW w:w="1846" w:type="dxa"/>
            <w:gridSpan w:val="2"/>
            <w:tcMar>
              <w:top w:w="57" w:type="dxa"/>
              <w:left w:w="113" w:type="dxa"/>
              <w:bottom w:w="57" w:type="dxa"/>
              <w:right w:w="113" w:type="dxa"/>
            </w:tcMar>
          </w:tcPr>
          <w:p w14:paraId="666DFC09" w14:textId="77777777" w:rsidR="00261A75" w:rsidRPr="00261A75" w:rsidRDefault="00261A75" w:rsidP="00261A75">
            <w:pPr>
              <w:pStyle w:val="Tabletext"/>
              <w:rPr>
                <w:rStyle w:val="Strong"/>
                <w:color w:val="34515F"/>
              </w:rPr>
            </w:pPr>
            <w:r w:rsidRPr="00261A75">
              <w:rPr>
                <w:rStyle w:val="Strong"/>
                <w:color w:val="34515F"/>
              </w:rPr>
              <w:lastRenderedPageBreak/>
              <w:t>Healthcare-associated infections</w:t>
            </w:r>
          </w:p>
        </w:tc>
        <w:tc>
          <w:tcPr>
            <w:tcW w:w="6435" w:type="dxa"/>
            <w:gridSpan w:val="2"/>
            <w:tcMar>
              <w:top w:w="57" w:type="dxa"/>
              <w:left w:w="113" w:type="dxa"/>
              <w:bottom w:w="57" w:type="dxa"/>
              <w:right w:w="113" w:type="dxa"/>
            </w:tcMar>
          </w:tcPr>
          <w:p w14:paraId="246ADB5C" w14:textId="77777777" w:rsidR="00261A75" w:rsidRPr="0044323F" w:rsidRDefault="00261A75" w:rsidP="00261A75">
            <w:pPr>
              <w:pStyle w:val="Tabletext"/>
            </w:pPr>
            <w:r w:rsidRPr="0044323F">
              <w:t>Infections that are acquired in healthcare facilities (nosocomial infections) or that occur as a result of healthcare interventions (iatrogenic infections). Healthcare-associated infections may manifest after people leave healthcare facilities.</w:t>
            </w:r>
            <w:r w:rsidRPr="0044323F">
              <w:rPr>
                <w:vertAlign w:val="superscript"/>
              </w:rPr>
              <w:t xml:space="preserve">9 </w:t>
            </w:r>
          </w:p>
        </w:tc>
      </w:tr>
      <w:tr w:rsidR="00027CB2" w:rsidRPr="00261A75" w14:paraId="22BBC2AC" w14:textId="77777777" w:rsidTr="00027CB2">
        <w:trPr>
          <w:gridBefore w:val="1"/>
          <w:wBefore w:w="8" w:type="dxa"/>
          <w:trHeight w:val="60"/>
        </w:trPr>
        <w:tc>
          <w:tcPr>
            <w:tcW w:w="1846" w:type="dxa"/>
            <w:gridSpan w:val="2"/>
            <w:tcMar>
              <w:top w:w="57" w:type="dxa"/>
              <w:left w:w="113" w:type="dxa"/>
              <w:bottom w:w="57" w:type="dxa"/>
              <w:right w:w="113" w:type="dxa"/>
            </w:tcMar>
          </w:tcPr>
          <w:p w14:paraId="445236A3" w14:textId="77777777" w:rsidR="00261A75" w:rsidRPr="00261A75" w:rsidRDefault="00261A75" w:rsidP="00261A75">
            <w:pPr>
              <w:pStyle w:val="Tabletext"/>
              <w:rPr>
                <w:rStyle w:val="Strong"/>
                <w:color w:val="34515F"/>
              </w:rPr>
            </w:pPr>
            <w:r w:rsidRPr="00261A75">
              <w:rPr>
                <w:rStyle w:val="Strong"/>
                <w:color w:val="34515F"/>
              </w:rPr>
              <w:t>Medication chart</w:t>
            </w:r>
          </w:p>
        </w:tc>
        <w:tc>
          <w:tcPr>
            <w:tcW w:w="6435" w:type="dxa"/>
            <w:gridSpan w:val="2"/>
            <w:tcMar>
              <w:top w:w="57" w:type="dxa"/>
              <w:left w:w="113" w:type="dxa"/>
              <w:bottom w:w="57" w:type="dxa"/>
              <w:right w:w="113" w:type="dxa"/>
            </w:tcMar>
          </w:tcPr>
          <w:p w14:paraId="2106F398" w14:textId="77777777" w:rsidR="00261A75" w:rsidRPr="0044323F" w:rsidRDefault="00261A75" w:rsidP="00261A75">
            <w:pPr>
              <w:pStyle w:val="Tabletext"/>
            </w:pPr>
            <w:r w:rsidRPr="0044323F">
              <w:t>A chart used by an authorised prescriber to record medication and treatment orders, as well as by nursing staff to record and monitor the administration of such medicines and treatment.</w:t>
            </w:r>
          </w:p>
        </w:tc>
      </w:tr>
      <w:tr w:rsidR="00027CB2" w:rsidRPr="00261A75" w14:paraId="5BC126B6" w14:textId="77777777" w:rsidTr="00027CB2">
        <w:trPr>
          <w:gridBefore w:val="1"/>
          <w:wBefore w:w="8" w:type="dxa"/>
          <w:trHeight w:val="60"/>
        </w:trPr>
        <w:tc>
          <w:tcPr>
            <w:tcW w:w="1846" w:type="dxa"/>
            <w:gridSpan w:val="2"/>
            <w:tcMar>
              <w:top w:w="57" w:type="dxa"/>
              <w:left w:w="113" w:type="dxa"/>
              <w:bottom w:w="57" w:type="dxa"/>
              <w:right w:w="113" w:type="dxa"/>
            </w:tcMar>
          </w:tcPr>
          <w:p w14:paraId="1827F9A8" w14:textId="77777777" w:rsidR="00261A75" w:rsidRPr="00261A75" w:rsidRDefault="00261A75" w:rsidP="00261A75">
            <w:pPr>
              <w:pStyle w:val="Tabletext"/>
              <w:rPr>
                <w:rStyle w:val="Strong"/>
                <w:color w:val="34515F"/>
              </w:rPr>
            </w:pPr>
            <w:r w:rsidRPr="00261A75">
              <w:rPr>
                <w:rStyle w:val="Strong"/>
                <w:color w:val="34515F"/>
              </w:rPr>
              <w:t>My Health Record</w:t>
            </w:r>
          </w:p>
        </w:tc>
        <w:tc>
          <w:tcPr>
            <w:tcW w:w="6435" w:type="dxa"/>
            <w:gridSpan w:val="2"/>
            <w:tcMar>
              <w:top w:w="57" w:type="dxa"/>
              <w:left w:w="113" w:type="dxa"/>
              <w:bottom w:w="57" w:type="dxa"/>
              <w:right w:w="113" w:type="dxa"/>
            </w:tcMar>
          </w:tcPr>
          <w:p w14:paraId="50A16C36" w14:textId="77777777" w:rsidR="00261A75" w:rsidRPr="0044323F" w:rsidRDefault="00261A75" w:rsidP="00261A75">
            <w:pPr>
              <w:pStyle w:val="Tabletext"/>
            </w:pPr>
            <w:r w:rsidRPr="0044323F">
              <w:t>A secure online summary of a consumer’s health information, managed by the System Operator of the national e-health record system (the Secretary to the Australian Government Department of Health). Healthcare providers are able to share health records to a consumer’s My Health Record, in accordance with the consumer’s access controls. This may include information such as medical history and treatments, diagnoses, medications and allergies. Also known as a Personally Controlled Electronic Health Record.</w:t>
            </w:r>
          </w:p>
        </w:tc>
      </w:tr>
      <w:tr w:rsidR="00027CB2" w:rsidRPr="00261A75" w14:paraId="571154A3" w14:textId="77777777" w:rsidTr="00027CB2">
        <w:trPr>
          <w:gridBefore w:val="1"/>
          <w:wBefore w:w="8" w:type="dxa"/>
          <w:trHeight w:val="60"/>
        </w:trPr>
        <w:tc>
          <w:tcPr>
            <w:tcW w:w="1846" w:type="dxa"/>
            <w:gridSpan w:val="2"/>
            <w:tcMar>
              <w:top w:w="57" w:type="dxa"/>
              <w:left w:w="113" w:type="dxa"/>
              <w:bottom w:w="57" w:type="dxa"/>
              <w:right w:w="113" w:type="dxa"/>
            </w:tcMar>
          </w:tcPr>
          <w:p w14:paraId="1BF6FED1" w14:textId="77777777" w:rsidR="00261A75" w:rsidRPr="00261A75" w:rsidRDefault="00261A75" w:rsidP="00261A75">
            <w:pPr>
              <w:pStyle w:val="Tabletext"/>
              <w:rPr>
                <w:rStyle w:val="Strong"/>
                <w:color w:val="34515F"/>
              </w:rPr>
            </w:pPr>
            <w:r w:rsidRPr="00261A75">
              <w:rPr>
                <w:rStyle w:val="Strong"/>
                <w:color w:val="34515F"/>
              </w:rPr>
              <w:t>National Safety and Quality Health Service (NSQHS) Standards</w:t>
            </w:r>
          </w:p>
        </w:tc>
        <w:tc>
          <w:tcPr>
            <w:tcW w:w="6435" w:type="dxa"/>
            <w:gridSpan w:val="2"/>
            <w:tcMar>
              <w:top w:w="57" w:type="dxa"/>
              <w:left w:w="113" w:type="dxa"/>
              <w:bottom w:w="57" w:type="dxa"/>
              <w:right w:w="113" w:type="dxa"/>
            </w:tcMar>
          </w:tcPr>
          <w:p w14:paraId="6D9A6493" w14:textId="77777777" w:rsidR="00261A75" w:rsidRPr="0044323F" w:rsidRDefault="00261A75" w:rsidP="00261A75">
            <w:pPr>
              <w:pStyle w:val="Tabletext"/>
            </w:pPr>
            <w:r w:rsidRPr="0044323F">
              <w:t>Standards developed by the Commission in consultation and collaboration with states and territories, technical experts, health service organisations and patients. The NSQHS Standards aim to protect the public from harm, and to improve the quality of health services. They provide a quality assurance mechanism that tests whether relevant systems are in place to ensure minimum safety and quality standards are met, and a quality improvement mechanism that allows health service organisations to realise aspirational or developmental goals.</w:t>
            </w:r>
          </w:p>
        </w:tc>
      </w:tr>
      <w:tr w:rsidR="00027CB2" w:rsidRPr="00261A75" w14:paraId="07A9CE8E" w14:textId="77777777" w:rsidTr="00027CB2">
        <w:trPr>
          <w:gridBefore w:val="1"/>
          <w:wBefore w:w="8" w:type="dxa"/>
          <w:trHeight w:val="60"/>
        </w:trPr>
        <w:tc>
          <w:tcPr>
            <w:tcW w:w="1846" w:type="dxa"/>
            <w:gridSpan w:val="2"/>
            <w:tcMar>
              <w:top w:w="57" w:type="dxa"/>
              <w:left w:w="113" w:type="dxa"/>
              <w:bottom w:w="57" w:type="dxa"/>
              <w:right w:w="113" w:type="dxa"/>
            </w:tcMar>
          </w:tcPr>
          <w:p w14:paraId="4EE8C728" w14:textId="77777777" w:rsidR="00261A75" w:rsidRPr="00261A75" w:rsidRDefault="00261A75" w:rsidP="00261A75">
            <w:pPr>
              <w:pStyle w:val="Tabletext"/>
              <w:rPr>
                <w:rStyle w:val="Strong"/>
                <w:color w:val="34515F"/>
              </w:rPr>
            </w:pPr>
            <w:r w:rsidRPr="00261A75">
              <w:rPr>
                <w:rStyle w:val="Strong"/>
                <w:color w:val="34515F"/>
              </w:rPr>
              <w:t>Partnering with consumers</w:t>
            </w:r>
          </w:p>
        </w:tc>
        <w:tc>
          <w:tcPr>
            <w:tcW w:w="6435" w:type="dxa"/>
            <w:gridSpan w:val="2"/>
            <w:tcMar>
              <w:top w:w="57" w:type="dxa"/>
              <w:left w:w="113" w:type="dxa"/>
              <w:bottom w:w="57" w:type="dxa"/>
              <w:right w:w="113" w:type="dxa"/>
            </w:tcMar>
          </w:tcPr>
          <w:p w14:paraId="532D307B" w14:textId="77777777" w:rsidR="00261A75" w:rsidRPr="0044323F" w:rsidRDefault="00261A75" w:rsidP="00261A75">
            <w:pPr>
              <w:pStyle w:val="Tabletext"/>
            </w:pPr>
            <w:r w:rsidRPr="0044323F">
              <w:t>Treating consumers and/or carers with dignity and respect, communicating and sharing information between consumers and/or carers and health service organisations, encouraging and supporting consumers’ participation in decision-making, and fostering collaboration between consumers and/or carers and health service organisations in planning, designing, delivering and evaluating health care. Other terms are used internationally, such as patient-based, consumer-centred, person-centred, relationship-based, patient</w:t>
            </w:r>
            <w:r w:rsidR="00C36315" w:rsidRPr="0044323F">
              <w:t>-</w:t>
            </w:r>
            <w:r w:rsidRPr="0044323F">
              <w:t>centred, and patient- and family-centred care.</w:t>
            </w:r>
          </w:p>
        </w:tc>
      </w:tr>
      <w:tr w:rsidR="00027CB2" w:rsidRPr="00261A75" w14:paraId="3CBCA1D5" w14:textId="77777777" w:rsidTr="00027CB2">
        <w:trPr>
          <w:gridBefore w:val="1"/>
          <w:wBefore w:w="8" w:type="dxa"/>
          <w:trHeight w:val="60"/>
        </w:trPr>
        <w:tc>
          <w:tcPr>
            <w:tcW w:w="1846" w:type="dxa"/>
            <w:gridSpan w:val="2"/>
            <w:tcMar>
              <w:top w:w="57" w:type="dxa"/>
              <w:left w:w="113" w:type="dxa"/>
              <w:bottom w:w="57" w:type="dxa"/>
              <w:right w:w="113" w:type="dxa"/>
            </w:tcMar>
          </w:tcPr>
          <w:p w14:paraId="1865D855" w14:textId="77777777" w:rsidR="00261A75" w:rsidRPr="00261A75" w:rsidRDefault="00261A75" w:rsidP="00261A75">
            <w:pPr>
              <w:pStyle w:val="Tabletext"/>
              <w:rPr>
                <w:rStyle w:val="Strong"/>
                <w:color w:val="34515F"/>
              </w:rPr>
            </w:pPr>
            <w:r w:rsidRPr="00261A75">
              <w:rPr>
                <w:rStyle w:val="Strong"/>
                <w:color w:val="34515F"/>
              </w:rPr>
              <w:t>Patient</w:t>
            </w:r>
          </w:p>
        </w:tc>
        <w:tc>
          <w:tcPr>
            <w:tcW w:w="6435" w:type="dxa"/>
            <w:gridSpan w:val="2"/>
            <w:tcMar>
              <w:top w:w="57" w:type="dxa"/>
              <w:left w:w="113" w:type="dxa"/>
              <w:bottom w:w="57" w:type="dxa"/>
              <w:right w:w="113" w:type="dxa"/>
            </w:tcMar>
          </w:tcPr>
          <w:p w14:paraId="1628F7F1" w14:textId="77777777" w:rsidR="00261A75" w:rsidRPr="0044323F" w:rsidRDefault="00261A75" w:rsidP="00261A75">
            <w:pPr>
              <w:pStyle w:val="Tabletext"/>
            </w:pPr>
            <w:r w:rsidRPr="0044323F">
              <w:t>A person receiving health care. Synonyms for ‘patient’ include ‘consumer’ and ‘client’.</w:t>
            </w:r>
          </w:p>
        </w:tc>
      </w:tr>
      <w:tr w:rsidR="00027CB2" w:rsidRPr="00261A75" w14:paraId="50C59ABE" w14:textId="77777777" w:rsidTr="00027CB2">
        <w:trPr>
          <w:gridBefore w:val="1"/>
          <w:wBefore w:w="8" w:type="dxa"/>
          <w:trHeight w:val="60"/>
        </w:trPr>
        <w:tc>
          <w:tcPr>
            <w:tcW w:w="1846" w:type="dxa"/>
            <w:gridSpan w:val="2"/>
            <w:tcMar>
              <w:top w:w="57" w:type="dxa"/>
              <w:left w:w="113" w:type="dxa"/>
              <w:bottom w:w="57" w:type="dxa"/>
              <w:right w:w="113" w:type="dxa"/>
            </w:tcMar>
          </w:tcPr>
          <w:p w14:paraId="2B993495" w14:textId="77777777" w:rsidR="00261A75" w:rsidRPr="00261A75" w:rsidRDefault="00261A75" w:rsidP="00261A75">
            <w:pPr>
              <w:pStyle w:val="Tabletext"/>
              <w:rPr>
                <w:rStyle w:val="Strong"/>
                <w:color w:val="34515F"/>
              </w:rPr>
            </w:pPr>
            <w:r w:rsidRPr="00261A75">
              <w:rPr>
                <w:rStyle w:val="Strong"/>
                <w:color w:val="34515F"/>
              </w:rPr>
              <w:t>Patient safety</w:t>
            </w:r>
          </w:p>
        </w:tc>
        <w:tc>
          <w:tcPr>
            <w:tcW w:w="6435" w:type="dxa"/>
            <w:gridSpan w:val="2"/>
            <w:tcMar>
              <w:top w:w="57" w:type="dxa"/>
              <w:left w:w="113" w:type="dxa"/>
              <w:bottom w:w="57" w:type="dxa"/>
              <w:right w:w="113" w:type="dxa"/>
            </w:tcMar>
          </w:tcPr>
          <w:p w14:paraId="2F83078E" w14:textId="77777777" w:rsidR="00261A75" w:rsidRPr="0044323F" w:rsidRDefault="00261A75" w:rsidP="00261A75">
            <w:pPr>
              <w:pStyle w:val="Tabletext"/>
            </w:pPr>
            <w:r w:rsidRPr="0044323F">
              <w:t>Reducing the risk of unnecessary harm associated with health care to an acceptable minimum.</w:t>
            </w:r>
          </w:p>
        </w:tc>
      </w:tr>
      <w:tr w:rsidR="00027CB2" w:rsidRPr="00261A75" w14:paraId="083BD1E1" w14:textId="77777777" w:rsidTr="00027CB2">
        <w:trPr>
          <w:gridBefore w:val="1"/>
          <w:wBefore w:w="8" w:type="dxa"/>
          <w:trHeight w:val="60"/>
        </w:trPr>
        <w:tc>
          <w:tcPr>
            <w:tcW w:w="1846" w:type="dxa"/>
            <w:gridSpan w:val="2"/>
            <w:tcMar>
              <w:top w:w="57" w:type="dxa"/>
              <w:left w:w="113" w:type="dxa"/>
              <w:bottom w:w="57" w:type="dxa"/>
              <w:right w:w="113" w:type="dxa"/>
            </w:tcMar>
          </w:tcPr>
          <w:p w14:paraId="47CE41CA" w14:textId="77777777" w:rsidR="00261A75" w:rsidRPr="00261A75" w:rsidRDefault="00261A75" w:rsidP="00261A75">
            <w:pPr>
              <w:pStyle w:val="Tabletext"/>
              <w:rPr>
                <w:rStyle w:val="Strong"/>
                <w:color w:val="34515F"/>
              </w:rPr>
            </w:pPr>
            <w:r w:rsidRPr="00261A75">
              <w:rPr>
                <w:rStyle w:val="Strong"/>
                <w:color w:val="34515F"/>
              </w:rPr>
              <w:t>Shared decision making</w:t>
            </w:r>
          </w:p>
        </w:tc>
        <w:tc>
          <w:tcPr>
            <w:tcW w:w="6435" w:type="dxa"/>
            <w:gridSpan w:val="2"/>
            <w:tcMar>
              <w:top w:w="57" w:type="dxa"/>
              <w:left w:w="113" w:type="dxa"/>
              <w:bottom w:w="57" w:type="dxa"/>
              <w:right w:w="113" w:type="dxa"/>
            </w:tcMar>
          </w:tcPr>
          <w:p w14:paraId="4EBEC942" w14:textId="77777777" w:rsidR="00261A75" w:rsidRPr="0044323F" w:rsidRDefault="00261A75" w:rsidP="00261A75">
            <w:pPr>
              <w:pStyle w:val="Tabletext"/>
            </w:pPr>
            <w:r w:rsidRPr="0044323F">
              <w:t>The integration of a patient’s values, goals and concerns with the best available evidence about the benefits, risks and uncertainties of treatment to achieve appropriate healthcare decisions.</w:t>
            </w:r>
            <w:r w:rsidRPr="0044323F">
              <w:rPr>
                <w:vertAlign w:val="superscript"/>
              </w:rPr>
              <w:t>10</w:t>
            </w:r>
            <w:r w:rsidRPr="0044323F">
              <w:t xml:space="preserve"> </w:t>
            </w:r>
          </w:p>
        </w:tc>
      </w:tr>
      <w:tr w:rsidR="00027CB2" w:rsidRPr="00261A75" w14:paraId="24B94A97" w14:textId="77777777" w:rsidTr="00027CB2">
        <w:trPr>
          <w:gridBefore w:val="1"/>
          <w:wBefore w:w="8" w:type="dxa"/>
          <w:trHeight w:val="60"/>
        </w:trPr>
        <w:tc>
          <w:tcPr>
            <w:tcW w:w="1846" w:type="dxa"/>
            <w:gridSpan w:val="2"/>
            <w:tcMar>
              <w:top w:w="57" w:type="dxa"/>
              <w:left w:w="113" w:type="dxa"/>
              <w:bottom w:w="57" w:type="dxa"/>
              <w:right w:w="113" w:type="dxa"/>
            </w:tcMar>
          </w:tcPr>
          <w:p w14:paraId="79EF639A" w14:textId="77777777" w:rsidR="00261A75" w:rsidRPr="00261A75" w:rsidRDefault="00261A75" w:rsidP="00261A75">
            <w:pPr>
              <w:pStyle w:val="Tabletext"/>
              <w:rPr>
                <w:rStyle w:val="Strong"/>
                <w:color w:val="34515F"/>
              </w:rPr>
            </w:pPr>
            <w:r w:rsidRPr="00261A75">
              <w:rPr>
                <w:rStyle w:val="Strong"/>
                <w:color w:val="34515F"/>
              </w:rPr>
              <w:t>Standard</w:t>
            </w:r>
          </w:p>
        </w:tc>
        <w:tc>
          <w:tcPr>
            <w:tcW w:w="6435" w:type="dxa"/>
            <w:gridSpan w:val="2"/>
            <w:tcMar>
              <w:top w:w="57" w:type="dxa"/>
              <w:left w:w="113" w:type="dxa"/>
              <w:bottom w:w="57" w:type="dxa"/>
              <w:right w:w="113" w:type="dxa"/>
            </w:tcMar>
          </w:tcPr>
          <w:p w14:paraId="6FCCF3FE" w14:textId="77777777" w:rsidR="00261A75" w:rsidRPr="0044323F" w:rsidRDefault="00261A75" w:rsidP="00261A75">
            <w:pPr>
              <w:pStyle w:val="Tabletext"/>
            </w:pPr>
            <w:r w:rsidRPr="0044323F">
              <w:t>Agreed attributes and processes designed to ensure that a product, service or method will perform consistently at a designated level.</w:t>
            </w:r>
          </w:p>
        </w:tc>
      </w:tr>
      <w:tr w:rsidR="00027CB2" w:rsidRPr="00261A75" w14:paraId="62B1C825" w14:textId="77777777" w:rsidTr="00027CB2">
        <w:trPr>
          <w:gridBefore w:val="1"/>
          <w:wBefore w:w="8" w:type="dxa"/>
          <w:trHeight w:val="60"/>
        </w:trPr>
        <w:tc>
          <w:tcPr>
            <w:tcW w:w="1846" w:type="dxa"/>
            <w:gridSpan w:val="2"/>
            <w:tcMar>
              <w:top w:w="57" w:type="dxa"/>
              <w:left w:w="113" w:type="dxa"/>
              <w:bottom w:w="57" w:type="dxa"/>
              <w:right w:w="113" w:type="dxa"/>
            </w:tcMar>
          </w:tcPr>
          <w:p w14:paraId="736F4B4F" w14:textId="77777777" w:rsidR="00261A75" w:rsidRPr="00261A75" w:rsidRDefault="00261A75" w:rsidP="00261A75">
            <w:pPr>
              <w:pStyle w:val="Tabletext"/>
              <w:rPr>
                <w:rStyle w:val="Strong"/>
                <w:color w:val="34515F"/>
              </w:rPr>
            </w:pPr>
            <w:r w:rsidRPr="00261A75">
              <w:rPr>
                <w:rStyle w:val="Strong"/>
                <w:color w:val="34515F"/>
              </w:rPr>
              <w:t>Unwarranted healthcare variation</w:t>
            </w:r>
          </w:p>
        </w:tc>
        <w:tc>
          <w:tcPr>
            <w:tcW w:w="6435" w:type="dxa"/>
            <w:gridSpan w:val="2"/>
            <w:tcMar>
              <w:top w:w="57" w:type="dxa"/>
              <w:left w:w="113" w:type="dxa"/>
              <w:bottom w:w="57" w:type="dxa"/>
              <w:right w:w="113" w:type="dxa"/>
            </w:tcMar>
          </w:tcPr>
          <w:p w14:paraId="0FA90858" w14:textId="77777777" w:rsidR="00261A75" w:rsidRPr="0044323F" w:rsidRDefault="00261A75" w:rsidP="00261A75">
            <w:pPr>
              <w:pStyle w:val="Tabletext"/>
            </w:pPr>
            <w:r w:rsidRPr="0044323F">
              <w:t xml:space="preserve">Variation not attributed to a patient’s needs, wants or preferences. It may reflect differences in clinicians’ practices, the organisation of health care or people’s access to services. It may also reflect poor-quality care that is not in accordance with evidence-based practice. </w:t>
            </w:r>
          </w:p>
        </w:tc>
      </w:tr>
    </w:tbl>
    <w:p w14:paraId="59582BC6" w14:textId="77777777" w:rsidR="005E6960" w:rsidRDefault="005E6960" w:rsidP="00354EAF">
      <w:pPr>
        <w:pStyle w:val="Heading1"/>
      </w:pPr>
      <w:r>
        <w:lastRenderedPageBreak/>
        <w:t>Index of tables</w:t>
      </w:r>
    </w:p>
    <w:tbl>
      <w:tblPr>
        <w:tblW w:w="0" w:type="auto"/>
        <w:tblInd w:w="-8" w:type="dxa"/>
        <w:tblBorders>
          <w:top w:val="single" w:sz="36" w:space="0" w:color="33515E"/>
          <w:bottom w:val="single" w:sz="18" w:space="0" w:color="33515E"/>
          <w:insideH w:val="single" w:sz="4" w:space="0" w:color="33515E"/>
        </w:tblBorders>
        <w:tblLayout w:type="fixed"/>
        <w:tblCellMar>
          <w:left w:w="0" w:type="dxa"/>
          <w:right w:w="0" w:type="dxa"/>
        </w:tblCellMar>
        <w:tblLook w:val="0000" w:firstRow="0" w:lastRow="0" w:firstColumn="0" w:lastColumn="0" w:noHBand="0" w:noVBand="0"/>
        <w:tblCaption w:val="Index of tables"/>
      </w:tblPr>
      <w:tblGrid>
        <w:gridCol w:w="7162"/>
        <w:gridCol w:w="1115"/>
      </w:tblGrid>
      <w:tr w:rsidR="00354EAF" w:rsidRPr="00354EAF" w14:paraId="6FF14088" w14:textId="77777777" w:rsidTr="00354EAF">
        <w:trPr>
          <w:trHeight w:val="60"/>
        </w:trPr>
        <w:tc>
          <w:tcPr>
            <w:tcW w:w="7162" w:type="dxa"/>
            <w:tcMar>
              <w:top w:w="85" w:type="dxa"/>
              <w:left w:w="142" w:type="dxa"/>
              <w:bottom w:w="85" w:type="dxa"/>
              <w:right w:w="142" w:type="dxa"/>
            </w:tcMar>
          </w:tcPr>
          <w:p w14:paraId="26944032" w14:textId="77777777" w:rsidR="00354EAF" w:rsidRPr="00354EAF" w:rsidRDefault="00354EAF" w:rsidP="00354EAF">
            <w:pPr>
              <w:pStyle w:val="Tableheading2"/>
            </w:pPr>
            <w:r w:rsidRPr="00354EAF">
              <w:t>Table</w:t>
            </w:r>
          </w:p>
        </w:tc>
        <w:tc>
          <w:tcPr>
            <w:tcW w:w="1115" w:type="dxa"/>
            <w:tcMar>
              <w:top w:w="85" w:type="dxa"/>
              <w:left w:w="142" w:type="dxa"/>
              <w:bottom w:w="85" w:type="dxa"/>
              <w:right w:w="142" w:type="dxa"/>
            </w:tcMar>
          </w:tcPr>
          <w:p w14:paraId="206F7BE8" w14:textId="77777777" w:rsidR="00354EAF" w:rsidRPr="00354EAF" w:rsidRDefault="00354EAF" w:rsidP="00354EAF">
            <w:pPr>
              <w:pStyle w:val="Tableheading2"/>
              <w:jc w:val="right"/>
            </w:pPr>
            <w:r w:rsidRPr="00354EAF">
              <w:t>Page</w:t>
            </w:r>
          </w:p>
        </w:tc>
      </w:tr>
      <w:tr w:rsidR="00354EAF" w:rsidRPr="00354EAF" w14:paraId="64A212E1" w14:textId="77777777" w:rsidTr="00354EAF">
        <w:trPr>
          <w:trHeight w:val="60"/>
        </w:trPr>
        <w:tc>
          <w:tcPr>
            <w:tcW w:w="7162" w:type="dxa"/>
            <w:shd w:val="clear" w:color="auto" w:fill="DFE0E2"/>
            <w:tcMar>
              <w:top w:w="85" w:type="dxa"/>
              <w:left w:w="142" w:type="dxa"/>
              <w:bottom w:w="85" w:type="dxa"/>
              <w:right w:w="142" w:type="dxa"/>
            </w:tcMar>
          </w:tcPr>
          <w:p w14:paraId="154585AA" w14:textId="77777777" w:rsidR="00354EAF" w:rsidRPr="00354EAF" w:rsidRDefault="00354EAF" w:rsidP="00354EAF">
            <w:pPr>
              <w:pStyle w:val="Tabletext"/>
            </w:pPr>
            <w:r w:rsidRPr="00354EAF">
              <w:t>Table 1: Top core NSQHS Standards actions not met or met with merit</w:t>
            </w:r>
          </w:p>
        </w:tc>
        <w:tc>
          <w:tcPr>
            <w:tcW w:w="1115" w:type="dxa"/>
            <w:shd w:val="clear" w:color="auto" w:fill="DFE0E2"/>
            <w:tcMar>
              <w:top w:w="85" w:type="dxa"/>
              <w:left w:w="142" w:type="dxa"/>
              <w:bottom w:w="85" w:type="dxa"/>
              <w:right w:w="142" w:type="dxa"/>
            </w:tcMar>
          </w:tcPr>
          <w:p w14:paraId="27257FBC" w14:textId="77777777" w:rsidR="00354EAF" w:rsidRPr="00354EAF" w:rsidRDefault="00354EAF" w:rsidP="00354EAF">
            <w:pPr>
              <w:pStyle w:val="Tabletext"/>
              <w:jc w:val="right"/>
            </w:pPr>
            <w:r w:rsidRPr="00354EAF">
              <w:t>18</w:t>
            </w:r>
          </w:p>
        </w:tc>
      </w:tr>
      <w:tr w:rsidR="00354EAF" w:rsidRPr="00354EAF" w14:paraId="35CB5510" w14:textId="77777777" w:rsidTr="00354EAF">
        <w:trPr>
          <w:trHeight w:val="60"/>
        </w:trPr>
        <w:tc>
          <w:tcPr>
            <w:tcW w:w="7162" w:type="dxa"/>
            <w:shd w:val="clear" w:color="auto" w:fill="DFE0E2"/>
            <w:tcMar>
              <w:top w:w="85" w:type="dxa"/>
              <w:left w:w="142" w:type="dxa"/>
              <w:bottom w:w="85" w:type="dxa"/>
              <w:right w:w="142" w:type="dxa"/>
            </w:tcMar>
          </w:tcPr>
          <w:p w14:paraId="38BB3BCC" w14:textId="77777777" w:rsidR="00354EAF" w:rsidRPr="00354EAF" w:rsidRDefault="00354EAF" w:rsidP="00354EAF">
            <w:pPr>
              <w:pStyle w:val="Tabletext"/>
            </w:pPr>
            <w:r w:rsidRPr="00354EAF">
              <w:t xml:space="preserve">Table 2: </w:t>
            </w:r>
            <w:r w:rsidRPr="00354EAF">
              <w:rPr>
                <w:i/>
                <w:iCs/>
              </w:rPr>
              <w:t>Second Australian Atlas of Healthcare Variation</w:t>
            </w:r>
            <w:r w:rsidRPr="00354EAF">
              <w:t xml:space="preserve"> key findings and recommendations</w:t>
            </w:r>
          </w:p>
        </w:tc>
        <w:tc>
          <w:tcPr>
            <w:tcW w:w="1115" w:type="dxa"/>
            <w:shd w:val="clear" w:color="auto" w:fill="DFE0E2"/>
            <w:tcMar>
              <w:top w:w="85" w:type="dxa"/>
              <w:left w:w="142" w:type="dxa"/>
              <w:bottom w:w="85" w:type="dxa"/>
              <w:right w:w="142" w:type="dxa"/>
            </w:tcMar>
          </w:tcPr>
          <w:p w14:paraId="01F1D6D5" w14:textId="77777777" w:rsidR="00354EAF" w:rsidRPr="00354EAF" w:rsidRDefault="00354EAF" w:rsidP="00354EAF">
            <w:pPr>
              <w:pStyle w:val="Tabletext"/>
              <w:jc w:val="right"/>
            </w:pPr>
            <w:r w:rsidRPr="00354EAF">
              <w:t>39</w:t>
            </w:r>
          </w:p>
        </w:tc>
      </w:tr>
      <w:tr w:rsidR="00354EAF" w:rsidRPr="00354EAF" w14:paraId="3CA40716" w14:textId="77777777" w:rsidTr="00354EAF">
        <w:trPr>
          <w:trHeight w:val="60"/>
        </w:trPr>
        <w:tc>
          <w:tcPr>
            <w:tcW w:w="7162" w:type="dxa"/>
            <w:shd w:val="clear" w:color="auto" w:fill="DFE0E2"/>
            <w:tcMar>
              <w:top w:w="85" w:type="dxa"/>
              <w:left w:w="142" w:type="dxa"/>
              <w:bottom w:w="85" w:type="dxa"/>
              <w:right w:w="142" w:type="dxa"/>
            </w:tcMar>
          </w:tcPr>
          <w:p w14:paraId="548B1CAF" w14:textId="77777777" w:rsidR="00354EAF" w:rsidRPr="00354EAF" w:rsidRDefault="00354EAF" w:rsidP="00354EAF">
            <w:pPr>
              <w:pStyle w:val="Tabletext"/>
            </w:pPr>
            <w:r w:rsidRPr="00354EAF">
              <w:t>Table 3: Board meetings and attendance</w:t>
            </w:r>
          </w:p>
        </w:tc>
        <w:tc>
          <w:tcPr>
            <w:tcW w:w="1115" w:type="dxa"/>
            <w:shd w:val="clear" w:color="auto" w:fill="DFE0E2"/>
            <w:tcMar>
              <w:top w:w="85" w:type="dxa"/>
              <w:left w:w="142" w:type="dxa"/>
              <w:bottom w:w="85" w:type="dxa"/>
              <w:right w:w="142" w:type="dxa"/>
            </w:tcMar>
          </w:tcPr>
          <w:p w14:paraId="77D83632" w14:textId="77777777" w:rsidR="00354EAF" w:rsidRPr="00354EAF" w:rsidRDefault="00354EAF" w:rsidP="00354EAF">
            <w:pPr>
              <w:pStyle w:val="Tabletext"/>
              <w:jc w:val="right"/>
            </w:pPr>
            <w:r w:rsidRPr="00354EAF">
              <w:t>64</w:t>
            </w:r>
          </w:p>
        </w:tc>
      </w:tr>
      <w:tr w:rsidR="00354EAF" w:rsidRPr="00354EAF" w14:paraId="4AA2A9E4" w14:textId="77777777" w:rsidTr="00354EAF">
        <w:trPr>
          <w:trHeight w:val="60"/>
        </w:trPr>
        <w:tc>
          <w:tcPr>
            <w:tcW w:w="7162" w:type="dxa"/>
            <w:shd w:val="clear" w:color="auto" w:fill="DFE0E2"/>
            <w:tcMar>
              <w:top w:w="85" w:type="dxa"/>
              <w:left w:w="142" w:type="dxa"/>
              <w:bottom w:w="85" w:type="dxa"/>
              <w:right w:w="142" w:type="dxa"/>
            </w:tcMar>
          </w:tcPr>
          <w:p w14:paraId="7BB0B89F" w14:textId="77777777" w:rsidR="00354EAF" w:rsidRPr="00354EAF" w:rsidRDefault="00354EAF" w:rsidP="00354EAF">
            <w:pPr>
              <w:pStyle w:val="Tabletext"/>
            </w:pPr>
            <w:r w:rsidRPr="00354EAF">
              <w:t>Table 4: Remuneration paid to executives during 2016–17</w:t>
            </w:r>
          </w:p>
        </w:tc>
        <w:tc>
          <w:tcPr>
            <w:tcW w:w="1115" w:type="dxa"/>
            <w:shd w:val="clear" w:color="auto" w:fill="DFE0E2"/>
            <w:tcMar>
              <w:top w:w="85" w:type="dxa"/>
              <w:left w:w="142" w:type="dxa"/>
              <w:bottom w:w="85" w:type="dxa"/>
              <w:right w:w="142" w:type="dxa"/>
            </w:tcMar>
          </w:tcPr>
          <w:p w14:paraId="45A79F9A" w14:textId="77777777" w:rsidR="00354EAF" w:rsidRPr="00354EAF" w:rsidRDefault="00354EAF" w:rsidP="00354EAF">
            <w:pPr>
              <w:pStyle w:val="Tabletext"/>
              <w:jc w:val="right"/>
            </w:pPr>
            <w:r w:rsidRPr="00354EAF">
              <w:t>70</w:t>
            </w:r>
          </w:p>
        </w:tc>
      </w:tr>
      <w:tr w:rsidR="00354EAF" w:rsidRPr="00354EAF" w14:paraId="57B5E4DF" w14:textId="77777777" w:rsidTr="00354EAF">
        <w:trPr>
          <w:trHeight w:val="60"/>
        </w:trPr>
        <w:tc>
          <w:tcPr>
            <w:tcW w:w="7162" w:type="dxa"/>
            <w:shd w:val="clear" w:color="auto" w:fill="DFE0E2"/>
            <w:tcMar>
              <w:top w:w="85" w:type="dxa"/>
              <w:left w:w="142" w:type="dxa"/>
              <w:bottom w:w="85" w:type="dxa"/>
              <w:right w:w="142" w:type="dxa"/>
            </w:tcMar>
          </w:tcPr>
          <w:p w14:paraId="5D5C6C96" w14:textId="77777777" w:rsidR="00354EAF" w:rsidRPr="00354EAF" w:rsidRDefault="00354EAF" w:rsidP="00354EAF">
            <w:pPr>
              <w:pStyle w:val="Tabletext"/>
            </w:pPr>
            <w:r w:rsidRPr="00354EAF">
              <w:t>Table 5: Remuneration paid to highly paid staff during 2016–17</w:t>
            </w:r>
          </w:p>
        </w:tc>
        <w:tc>
          <w:tcPr>
            <w:tcW w:w="1115" w:type="dxa"/>
            <w:shd w:val="clear" w:color="auto" w:fill="DFE0E2"/>
            <w:tcMar>
              <w:top w:w="85" w:type="dxa"/>
              <w:left w:w="142" w:type="dxa"/>
              <w:bottom w:w="85" w:type="dxa"/>
              <w:right w:w="142" w:type="dxa"/>
            </w:tcMar>
          </w:tcPr>
          <w:p w14:paraId="3DBEB1C0" w14:textId="77777777" w:rsidR="00354EAF" w:rsidRPr="00354EAF" w:rsidRDefault="00354EAF" w:rsidP="00354EAF">
            <w:pPr>
              <w:pStyle w:val="Tabletext"/>
              <w:jc w:val="right"/>
            </w:pPr>
            <w:r w:rsidRPr="00354EAF">
              <w:t>71</w:t>
            </w:r>
          </w:p>
        </w:tc>
      </w:tr>
      <w:tr w:rsidR="00354EAF" w:rsidRPr="00354EAF" w14:paraId="6E518DD0" w14:textId="77777777" w:rsidTr="00354EAF">
        <w:trPr>
          <w:trHeight w:val="60"/>
        </w:trPr>
        <w:tc>
          <w:tcPr>
            <w:tcW w:w="7162" w:type="dxa"/>
            <w:shd w:val="clear" w:color="auto" w:fill="DFE0E2"/>
            <w:tcMar>
              <w:top w:w="85" w:type="dxa"/>
              <w:left w:w="142" w:type="dxa"/>
              <w:bottom w:w="85" w:type="dxa"/>
              <w:right w:w="142" w:type="dxa"/>
            </w:tcMar>
          </w:tcPr>
          <w:p w14:paraId="781A1BD8" w14:textId="77777777" w:rsidR="00354EAF" w:rsidRPr="00354EAF" w:rsidRDefault="00354EAF" w:rsidP="00354EAF">
            <w:pPr>
              <w:pStyle w:val="Tabletext"/>
            </w:pPr>
            <w:r w:rsidRPr="00354EAF">
              <w:t>Table 6: Employee profile as of 30 June 2017</w:t>
            </w:r>
          </w:p>
        </w:tc>
        <w:tc>
          <w:tcPr>
            <w:tcW w:w="1115" w:type="dxa"/>
            <w:shd w:val="clear" w:color="auto" w:fill="DFE0E2"/>
            <w:tcMar>
              <w:top w:w="85" w:type="dxa"/>
              <w:left w:w="142" w:type="dxa"/>
              <w:bottom w:w="85" w:type="dxa"/>
              <w:right w:w="142" w:type="dxa"/>
            </w:tcMar>
          </w:tcPr>
          <w:p w14:paraId="1CAB2FB2" w14:textId="77777777" w:rsidR="00354EAF" w:rsidRPr="00354EAF" w:rsidRDefault="00354EAF" w:rsidP="00354EAF">
            <w:pPr>
              <w:pStyle w:val="Tabletext"/>
              <w:jc w:val="right"/>
            </w:pPr>
            <w:r w:rsidRPr="00354EAF">
              <w:t>76</w:t>
            </w:r>
          </w:p>
        </w:tc>
      </w:tr>
      <w:tr w:rsidR="00354EAF" w:rsidRPr="00354EAF" w14:paraId="4C89E33B" w14:textId="77777777" w:rsidTr="00354EAF">
        <w:trPr>
          <w:trHeight w:val="60"/>
        </w:trPr>
        <w:tc>
          <w:tcPr>
            <w:tcW w:w="7162" w:type="dxa"/>
            <w:shd w:val="clear" w:color="auto" w:fill="DFE0E2"/>
            <w:tcMar>
              <w:top w:w="85" w:type="dxa"/>
              <w:left w:w="142" w:type="dxa"/>
              <w:bottom w:w="85" w:type="dxa"/>
              <w:right w:w="142" w:type="dxa"/>
            </w:tcMar>
          </w:tcPr>
          <w:p w14:paraId="49BA4FB6" w14:textId="77777777" w:rsidR="00354EAF" w:rsidRPr="00354EAF" w:rsidRDefault="00354EAF" w:rsidP="00354EAF">
            <w:pPr>
              <w:pStyle w:val="Tabletext"/>
            </w:pPr>
            <w:r w:rsidRPr="00354EAF">
              <w:t>Table 7: Freedom of information summary 2016–17</w:t>
            </w:r>
          </w:p>
        </w:tc>
        <w:tc>
          <w:tcPr>
            <w:tcW w:w="1115" w:type="dxa"/>
            <w:shd w:val="clear" w:color="auto" w:fill="DFE0E2"/>
            <w:tcMar>
              <w:top w:w="85" w:type="dxa"/>
              <w:left w:w="142" w:type="dxa"/>
              <w:bottom w:w="85" w:type="dxa"/>
              <w:right w:w="142" w:type="dxa"/>
            </w:tcMar>
          </w:tcPr>
          <w:p w14:paraId="0B90C95E" w14:textId="77777777" w:rsidR="00354EAF" w:rsidRPr="00354EAF" w:rsidRDefault="00354EAF" w:rsidP="00354EAF">
            <w:pPr>
              <w:pStyle w:val="Tabletext"/>
              <w:jc w:val="right"/>
            </w:pPr>
            <w:r w:rsidRPr="00354EAF">
              <w:t>108</w:t>
            </w:r>
          </w:p>
        </w:tc>
      </w:tr>
      <w:tr w:rsidR="00354EAF" w:rsidRPr="00354EAF" w14:paraId="57256C7C" w14:textId="77777777" w:rsidTr="00354EAF">
        <w:trPr>
          <w:trHeight w:val="60"/>
        </w:trPr>
        <w:tc>
          <w:tcPr>
            <w:tcW w:w="7162" w:type="dxa"/>
            <w:shd w:val="clear" w:color="auto" w:fill="DFE0E2"/>
            <w:tcMar>
              <w:top w:w="85" w:type="dxa"/>
              <w:left w:w="142" w:type="dxa"/>
              <w:bottom w:w="85" w:type="dxa"/>
              <w:right w:w="142" w:type="dxa"/>
            </w:tcMar>
          </w:tcPr>
          <w:p w14:paraId="60DF1E3B" w14:textId="77777777" w:rsidR="00354EAF" w:rsidRPr="00354EAF" w:rsidRDefault="00354EAF" w:rsidP="00354EAF">
            <w:pPr>
              <w:pStyle w:val="Tabletext"/>
            </w:pPr>
            <w:r w:rsidRPr="00354EAF">
              <w:t>Table 8: Summary of the Commission’s compliance with ecologically sustainable development</w:t>
            </w:r>
          </w:p>
        </w:tc>
        <w:tc>
          <w:tcPr>
            <w:tcW w:w="1115" w:type="dxa"/>
            <w:shd w:val="clear" w:color="auto" w:fill="DFE0E2"/>
            <w:tcMar>
              <w:top w:w="85" w:type="dxa"/>
              <w:left w:w="142" w:type="dxa"/>
              <w:bottom w:w="85" w:type="dxa"/>
              <w:right w:w="142" w:type="dxa"/>
            </w:tcMar>
          </w:tcPr>
          <w:p w14:paraId="6A97A86E" w14:textId="77777777" w:rsidR="00354EAF" w:rsidRPr="00354EAF" w:rsidRDefault="00354EAF" w:rsidP="00354EAF">
            <w:pPr>
              <w:pStyle w:val="Tabletext"/>
              <w:jc w:val="right"/>
            </w:pPr>
            <w:r w:rsidRPr="00354EAF">
              <w:t>109</w:t>
            </w:r>
          </w:p>
        </w:tc>
      </w:tr>
      <w:tr w:rsidR="00354EAF" w:rsidRPr="00354EAF" w14:paraId="2D94A059" w14:textId="77777777" w:rsidTr="00354EAF">
        <w:trPr>
          <w:trHeight w:val="60"/>
        </w:trPr>
        <w:tc>
          <w:tcPr>
            <w:tcW w:w="7162" w:type="dxa"/>
            <w:shd w:val="clear" w:color="auto" w:fill="DFE0E2"/>
            <w:tcMar>
              <w:top w:w="85" w:type="dxa"/>
              <w:left w:w="142" w:type="dxa"/>
              <w:bottom w:w="85" w:type="dxa"/>
              <w:right w:w="142" w:type="dxa"/>
            </w:tcMar>
          </w:tcPr>
          <w:p w14:paraId="51BFB9CC" w14:textId="77777777" w:rsidR="00354EAF" w:rsidRPr="00354EAF" w:rsidRDefault="00354EAF" w:rsidP="00354EAF">
            <w:pPr>
              <w:pStyle w:val="Tabletext"/>
            </w:pPr>
            <w:r w:rsidRPr="00354EAF">
              <w:t>Table 9: Related-entity transactions during 2016–17</w:t>
            </w:r>
          </w:p>
        </w:tc>
        <w:tc>
          <w:tcPr>
            <w:tcW w:w="1115" w:type="dxa"/>
            <w:shd w:val="clear" w:color="auto" w:fill="DFE0E2"/>
            <w:tcMar>
              <w:top w:w="85" w:type="dxa"/>
              <w:left w:w="142" w:type="dxa"/>
              <w:bottom w:w="85" w:type="dxa"/>
              <w:right w:w="142" w:type="dxa"/>
            </w:tcMar>
          </w:tcPr>
          <w:p w14:paraId="43479E67" w14:textId="77777777" w:rsidR="00354EAF" w:rsidRPr="00354EAF" w:rsidRDefault="00354EAF" w:rsidP="00354EAF">
            <w:pPr>
              <w:pStyle w:val="Tabletext"/>
              <w:jc w:val="right"/>
            </w:pPr>
            <w:r w:rsidRPr="00354EAF">
              <w:t>110</w:t>
            </w:r>
          </w:p>
        </w:tc>
      </w:tr>
    </w:tbl>
    <w:p w14:paraId="39D84263" w14:textId="77777777" w:rsidR="005E6960" w:rsidRDefault="005E6960" w:rsidP="002A58B5">
      <w:pPr>
        <w:pStyle w:val="BodyText"/>
      </w:pPr>
    </w:p>
    <w:p w14:paraId="38779174" w14:textId="77777777" w:rsidR="004F138E" w:rsidRDefault="004F138E" w:rsidP="004F138E">
      <w:pPr>
        <w:pStyle w:val="Heading1"/>
      </w:pPr>
      <w:r>
        <w:t>Index of figures</w:t>
      </w:r>
    </w:p>
    <w:tbl>
      <w:tblPr>
        <w:tblW w:w="0" w:type="auto"/>
        <w:tblInd w:w="-8" w:type="dxa"/>
        <w:tblBorders>
          <w:top w:val="single" w:sz="36" w:space="0" w:color="33515E"/>
          <w:bottom w:val="single" w:sz="18" w:space="0" w:color="33515E"/>
          <w:insideH w:val="single" w:sz="4" w:space="0" w:color="33515E"/>
        </w:tblBorders>
        <w:tblLayout w:type="fixed"/>
        <w:tblCellMar>
          <w:left w:w="0" w:type="dxa"/>
          <w:right w:w="0" w:type="dxa"/>
        </w:tblCellMar>
        <w:tblLook w:val="0000" w:firstRow="0" w:lastRow="0" w:firstColumn="0" w:lastColumn="0" w:noHBand="0" w:noVBand="0"/>
        <w:tblCaption w:val="Index of figures"/>
      </w:tblPr>
      <w:tblGrid>
        <w:gridCol w:w="7162"/>
        <w:gridCol w:w="1115"/>
      </w:tblGrid>
      <w:tr w:rsidR="004F138E" w:rsidRPr="004F138E" w14:paraId="5A14AAB9" w14:textId="77777777" w:rsidTr="006B5123">
        <w:trPr>
          <w:trHeight w:val="60"/>
        </w:trPr>
        <w:tc>
          <w:tcPr>
            <w:tcW w:w="7162" w:type="dxa"/>
            <w:tcMar>
              <w:top w:w="142" w:type="dxa"/>
              <w:left w:w="142" w:type="dxa"/>
              <w:bottom w:w="142" w:type="dxa"/>
              <w:right w:w="142" w:type="dxa"/>
            </w:tcMar>
          </w:tcPr>
          <w:p w14:paraId="5E13DF8A" w14:textId="77777777" w:rsidR="004F138E" w:rsidRPr="004F138E" w:rsidRDefault="004F138E" w:rsidP="006B5123">
            <w:pPr>
              <w:pStyle w:val="Tableheading2"/>
            </w:pPr>
            <w:r w:rsidRPr="004F138E">
              <w:t>Figure</w:t>
            </w:r>
          </w:p>
        </w:tc>
        <w:tc>
          <w:tcPr>
            <w:tcW w:w="1115" w:type="dxa"/>
            <w:tcMar>
              <w:top w:w="142" w:type="dxa"/>
              <w:left w:w="142" w:type="dxa"/>
              <w:bottom w:w="142" w:type="dxa"/>
              <w:right w:w="142" w:type="dxa"/>
            </w:tcMar>
          </w:tcPr>
          <w:p w14:paraId="3B738727" w14:textId="77777777" w:rsidR="004F138E" w:rsidRPr="004F138E" w:rsidRDefault="004F138E" w:rsidP="006B5123">
            <w:pPr>
              <w:pStyle w:val="Tableheading2"/>
              <w:jc w:val="right"/>
            </w:pPr>
            <w:r w:rsidRPr="004F138E">
              <w:t>Page</w:t>
            </w:r>
          </w:p>
        </w:tc>
      </w:tr>
      <w:tr w:rsidR="004F138E" w:rsidRPr="00464333" w14:paraId="08280B2B" w14:textId="77777777" w:rsidTr="006B5123">
        <w:trPr>
          <w:trHeight w:val="60"/>
        </w:trPr>
        <w:tc>
          <w:tcPr>
            <w:tcW w:w="7162" w:type="dxa"/>
            <w:shd w:val="clear" w:color="auto" w:fill="DFE0E2"/>
            <w:tcMar>
              <w:top w:w="142" w:type="dxa"/>
              <w:left w:w="142" w:type="dxa"/>
              <w:bottom w:w="142" w:type="dxa"/>
              <w:right w:w="142" w:type="dxa"/>
            </w:tcMar>
          </w:tcPr>
          <w:p w14:paraId="65E666F4" w14:textId="77777777" w:rsidR="004F138E" w:rsidRPr="00464333" w:rsidRDefault="004F138E" w:rsidP="006B5123">
            <w:pPr>
              <w:pStyle w:val="Tabletext"/>
            </w:pPr>
            <w:r w:rsidRPr="00464333">
              <w:t>Figure 1: Health service organisation accreditation 2016–17</w:t>
            </w:r>
          </w:p>
        </w:tc>
        <w:tc>
          <w:tcPr>
            <w:tcW w:w="1115" w:type="dxa"/>
            <w:shd w:val="clear" w:color="auto" w:fill="DFE0E2"/>
            <w:tcMar>
              <w:top w:w="142" w:type="dxa"/>
              <w:left w:w="142" w:type="dxa"/>
              <w:bottom w:w="142" w:type="dxa"/>
              <w:right w:w="142" w:type="dxa"/>
            </w:tcMar>
          </w:tcPr>
          <w:p w14:paraId="5308801F" w14:textId="77777777" w:rsidR="004F138E" w:rsidRPr="00464333" w:rsidRDefault="004F138E" w:rsidP="00464333">
            <w:pPr>
              <w:pStyle w:val="Tabletext"/>
              <w:jc w:val="right"/>
              <w:rPr>
                <w:rFonts w:cs="Helvetica 45 Light"/>
              </w:rPr>
            </w:pPr>
            <w:r w:rsidRPr="00464333">
              <w:rPr>
                <w:rFonts w:cs="Helvetica 45 Light"/>
              </w:rPr>
              <w:t>17</w:t>
            </w:r>
          </w:p>
        </w:tc>
      </w:tr>
      <w:tr w:rsidR="004F138E" w:rsidRPr="004F138E" w14:paraId="4BADF7C1" w14:textId="77777777" w:rsidTr="006B5123">
        <w:trPr>
          <w:trHeight w:val="60"/>
        </w:trPr>
        <w:tc>
          <w:tcPr>
            <w:tcW w:w="7162" w:type="dxa"/>
            <w:shd w:val="clear" w:color="auto" w:fill="DFE0E2"/>
            <w:tcMar>
              <w:top w:w="142" w:type="dxa"/>
              <w:left w:w="142" w:type="dxa"/>
              <w:bottom w:w="142" w:type="dxa"/>
              <w:right w:w="142" w:type="dxa"/>
            </w:tcMar>
          </w:tcPr>
          <w:p w14:paraId="0341254D" w14:textId="77777777" w:rsidR="004F138E" w:rsidRPr="00464333" w:rsidRDefault="004F138E" w:rsidP="006B5123">
            <w:pPr>
              <w:pStyle w:val="Tabletext"/>
            </w:pPr>
            <w:r w:rsidRPr="00464333">
              <w:t>Figure 2: Organisational structure</w:t>
            </w:r>
          </w:p>
        </w:tc>
        <w:tc>
          <w:tcPr>
            <w:tcW w:w="1115" w:type="dxa"/>
            <w:shd w:val="clear" w:color="auto" w:fill="DFE0E2"/>
            <w:tcMar>
              <w:top w:w="142" w:type="dxa"/>
              <w:left w:w="142" w:type="dxa"/>
              <w:bottom w:w="142" w:type="dxa"/>
              <w:right w:w="142" w:type="dxa"/>
            </w:tcMar>
          </w:tcPr>
          <w:p w14:paraId="7540A2AF" w14:textId="77777777" w:rsidR="004F138E" w:rsidRPr="00464333" w:rsidRDefault="004F138E" w:rsidP="00464333">
            <w:pPr>
              <w:pStyle w:val="Tabletext"/>
              <w:jc w:val="right"/>
            </w:pPr>
            <w:r w:rsidRPr="00464333">
              <w:t>74</w:t>
            </w:r>
          </w:p>
        </w:tc>
      </w:tr>
    </w:tbl>
    <w:p w14:paraId="6C069255" w14:textId="77777777" w:rsidR="004F138E" w:rsidRDefault="004F138E" w:rsidP="004F138E">
      <w:pPr>
        <w:pStyle w:val="BodyText"/>
      </w:pPr>
    </w:p>
    <w:p w14:paraId="5328C44F" w14:textId="77777777" w:rsidR="005E6960" w:rsidRDefault="005E6960">
      <w:pPr>
        <w:spacing w:after="160" w:line="259" w:lineRule="auto"/>
      </w:pPr>
      <w:r>
        <w:br w:type="page"/>
      </w:r>
    </w:p>
    <w:p w14:paraId="5DFFE73C" w14:textId="77777777" w:rsidR="005E6960" w:rsidRDefault="005E6960" w:rsidP="00354EAF">
      <w:pPr>
        <w:pStyle w:val="Heading1"/>
      </w:pPr>
      <w:r>
        <w:lastRenderedPageBreak/>
        <w:t>Compliance index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F0EE" w:themeFill="accent4"/>
        <w:tblCellMar>
          <w:top w:w="284" w:type="dxa"/>
          <w:left w:w="284" w:type="dxa"/>
          <w:bottom w:w="284" w:type="dxa"/>
          <w:right w:w="284" w:type="dxa"/>
        </w:tblCellMar>
        <w:tblLook w:val="04A0" w:firstRow="1" w:lastRow="0" w:firstColumn="1" w:lastColumn="0" w:noHBand="0" w:noVBand="1"/>
        <w:tblCaption w:val="Introductory text"/>
        <w:tblDescription w:val="Compliance"/>
      </w:tblPr>
      <w:tblGrid>
        <w:gridCol w:w="8268"/>
      </w:tblGrid>
      <w:tr w:rsidR="004F138E" w14:paraId="4655C34A" w14:textId="77777777" w:rsidTr="007430AC">
        <w:tc>
          <w:tcPr>
            <w:tcW w:w="8268" w:type="dxa"/>
            <w:shd w:val="clear" w:color="auto" w:fill="F1F0EE" w:themeFill="accent4"/>
          </w:tcPr>
          <w:p w14:paraId="3D56CF26" w14:textId="77777777" w:rsidR="004F138E" w:rsidRDefault="004F138E" w:rsidP="007430AC">
            <w:pPr>
              <w:pStyle w:val="IntroCopy0"/>
            </w:pPr>
            <w:r w:rsidRPr="004F138E">
              <w:t>The Commission is bound by various legislative requirements to disclose certain information in its Annual Report. The operative provisions of the Public Governance, Performance and Accountability Act came into effect on 1 July 2014. The Public Governance, Performance and Accountability Amendment (Corporate Commonwealth Entity Annual Reporting) Rule 2016 prescribes the reporting requirements for the Commission.</w:t>
            </w:r>
          </w:p>
        </w:tc>
      </w:tr>
    </w:tbl>
    <w:p w14:paraId="6331C998" w14:textId="77777777" w:rsidR="004F138E" w:rsidRDefault="004F138E" w:rsidP="00E06927">
      <w:pPr>
        <w:pStyle w:val="Figuretitle"/>
        <w:spacing w:before="240"/>
      </w:pPr>
      <w:r w:rsidRPr="004F138E">
        <w:t>Mandatory reporting orders as required under legislation</w:t>
      </w:r>
    </w:p>
    <w:tbl>
      <w:tblPr>
        <w:tblW w:w="8277" w:type="dxa"/>
        <w:tblInd w:w="-8" w:type="dxa"/>
        <w:tblLayout w:type="fixed"/>
        <w:tblCellMar>
          <w:left w:w="0" w:type="dxa"/>
          <w:right w:w="0" w:type="dxa"/>
        </w:tblCellMar>
        <w:tblLook w:val="0000" w:firstRow="0" w:lastRow="0" w:firstColumn="0" w:lastColumn="0" w:noHBand="0" w:noVBand="0"/>
        <w:tblCaption w:val="Mandatory reporting orders as required under legislation"/>
      </w:tblPr>
      <w:tblGrid>
        <w:gridCol w:w="3118"/>
        <w:gridCol w:w="3628"/>
        <w:gridCol w:w="1531"/>
      </w:tblGrid>
      <w:tr w:rsidR="004F138E" w:rsidRPr="004F138E" w14:paraId="74A8D3F4" w14:textId="77777777" w:rsidTr="00E06927">
        <w:trPr>
          <w:trHeight w:val="20"/>
          <w:tblHeader/>
        </w:trPr>
        <w:tc>
          <w:tcPr>
            <w:tcW w:w="3118" w:type="dxa"/>
            <w:tcBorders>
              <w:top w:val="single" w:sz="36" w:space="0" w:color="33515E"/>
              <w:bottom w:val="single" w:sz="8" w:space="0" w:color="33515E"/>
            </w:tcBorders>
            <w:tcMar>
              <w:top w:w="57" w:type="dxa"/>
              <w:left w:w="142" w:type="dxa"/>
              <w:bottom w:w="57" w:type="dxa"/>
              <w:right w:w="142" w:type="dxa"/>
            </w:tcMar>
          </w:tcPr>
          <w:p w14:paraId="080FB2A6" w14:textId="77777777" w:rsidR="004F138E" w:rsidRPr="004F138E" w:rsidRDefault="004F138E" w:rsidP="004F138E">
            <w:pPr>
              <w:pStyle w:val="Tableheading2"/>
            </w:pPr>
            <w:r w:rsidRPr="004F138E">
              <w:t>Requirement</w:t>
            </w:r>
          </w:p>
        </w:tc>
        <w:tc>
          <w:tcPr>
            <w:tcW w:w="3628" w:type="dxa"/>
            <w:tcBorders>
              <w:top w:val="single" w:sz="36" w:space="0" w:color="33515E"/>
              <w:bottom w:val="single" w:sz="8" w:space="0" w:color="33515E"/>
            </w:tcBorders>
            <w:tcMar>
              <w:top w:w="57" w:type="dxa"/>
              <w:left w:w="142" w:type="dxa"/>
              <w:bottom w:w="57" w:type="dxa"/>
              <w:right w:w="142" w:type="dxa"/>
            </w:tcMar>
          </w:tcPr>
          <w:p w14:paraId="5D454965" w14:textId="77777777" w:rsidR="004F138E" w:rsidRPr="004F138E" w:rsidRDefault="004F138E" w:rsidP="004F138E">
            <w:pPr>
              <w:pStyle w:val="Tableheading2"/>
            </w:pPr>
            <w:r w:rsidRPr="004F138E">
              <w:t>Reference</w:t>
            </w:r>
          </w:p>
        </w:tc>
        <w:tc>
          <w:tcPr>
            <w:tcW w:w="1531" w:type="dxa"/>
            <w:tcBorders>
              <w:top w:val="single" w:sz="36" w:space="0" w:color="33515E"/>
              <w:bottom w:val="single" w:sz="8" w:space="0" w:color="33515E"/>
            </w:tcBorders>
            <w:tcMar>
              <w:top w:w="57" w:type="dxa"/>
              <w:left w:w="142" w:type="dxa"/>
              <w:bottom w:w="57" w:type="dxa"/>
              <w:right w:w="142" w:type="dxa"/>
            </w:tcMar>
          </w:tcPr>
          <w:p w14:paraId="461D7F48" w14:textId="77777777" w:rsidR="004F138E" w:rsidRPr="004F138E" w:rsidRDefault="004F138E" w:rsidP="004F138E">
            <w:pPr>
              <w:pStyle w:val="Tableheading2"/>
            </w:pPr>
            <w:r w:rsidRPr="004F138E">
              <w:t>Page listing compliant information</w:t>
            </w:r>
          </w:p>
        </w:tc>
      </w:tr>
      <w:tr w:rsidR="004F138E" w:rsidRPr="004F138E" w14:paraId="7687529C" w14:textId="77777777" w:rsidTr="00E06927">
        <w:trPr>
          <w:trHeight w:val="20"/>
        </w:trPr>
        <w:tc>
          <w:tcPr>
            <w:tcW w:w="3118" w:type="dxa"/>
            <w:tcBorders>
              <w:top w:val="single" w:sz="8" w:space="0" w:color="33515E"/>
            </w:tcBorders>
            <w:shd w:val="clear" w:color="auto" w:fill="DFE0E2"/>
            <w:tcMar>
              <w:top w:w="57" w:type="dxa"/>
              <w:left w:w="142" w:type="dxa"/>
              <w:bottom w:w="57" w:type="dxa"/>
              <w:right w:w="142" w:type="dxa"/>
            </w:tcMar>
          </w:tcPr>
          <w:p w14:paraId="0BD83FF0" w14:textId="77777777" w:rsidR="004F138E" w:rsidRPr="004F138E" w:rsidRDefault="004F138E" w:rsidP="004F138E">
            <w:pPr>
              <w:pStyle w:val="Tabletext"/>
            </w:pPr>
            <w:r w:rsidRPr="004F138E">
              <w:t>Accountable authority</w:t>
            </w:r>
          </w:p>
        </w:tc>
        <w:tc>
          <w:tcPr>
            <w:tcW w:w="3628" w:type="dxa"/>
            <w:tcBorders>
              <w:top w:val="single" w:sz="8" w:space="0" w:color="33515E"/>
            </w:tcBorders>
            <w:shd w:val="clear" w:color="auto" w:fill="DFE0E2"/>
            <w:tcMar>
              <w:top w:w="57" w:type="dxa"/>
              <w:left w:w="142" w:type="dxa"/>
              <w:bottom w:w="57" w:type="dxa"/>
              <w:right w:w="142" w:type="dxa"/>
            </w:tcMar>
          </w:tcPr>
          <w:p w14:paraId="02199D41" w14:textId="77777777" w:rsidR="004F138E" w:rsidRPr="004F138E" w:rsidRDefault="004F138E" w:rsidP="004F138E">
            <w:pPr>
              <w:pStyle w:val="Tabletext"/>
            </w:pPr>
            <w:r w:rsidRPr="004F138E">
              <w:t>Public Governance, Performance and Accountability Rule, subsection 17BE(j)</w:t>
            </w:r>
          </w:p>
        </w:tc>
        <w:tc>
          <w:tcPr>
            <w:tcW w:w="1531" w:type="dxa"/>
            <w:tcBorders>
              <w:top w:val="single" w:sz="8" w:space="0" w:color="33515E"/>
            </w:tcBorders>
            <w:shd w:val="clear" w:color="auto" w:fill="DFE0E2"/>
            <w:tcMar>
              <w:top w:w="57" w:type="dxa"/>
              <w:left w:w="142" w:type="dxa"/>
              <w:bottom w:w="57" w:type="dxa"/>
              <w:right w:w="142" w:type="dxa"/>
            </w:tcMar>
          </w:tcPr>
          <w:p w14:paraId="2BB26988" w14:textId="77777777" w:rsidR="004F138E" w:rsidRPr="004F138E" w:rsidRDefault="004F138E" w:rsidP="004F138E">
            <w:pPr>
              <w:pStyle w:val="Tabletext"/>
            </w:pPr>
            <w:r w:rsidRPr="004F138E">
              <w:t>61–64</w:t>
            </w:r>
          </w:p>
        </w:tc>
      </w:tr>
      <w:tr w:rsidR="004F138E" w:rsidRPr="004F138E" w14:paraId="1864B644" w14:textId="77777777" w:rsidTr="00E06927">
        <w:trPr>
          <w:trHeight w:val="20"/>
        </w:trPr>
        <w:tc>
          <w:tcPr>
            <w:tcW w:w="3118" w:type="dxa"/>
            <w:shd w:val="clear" w:color="auto" w:fill="FFFFFF" w:themeFill="background2"/>
            <w:tcMar>
              <w:top w:w="57" w:type="dxa"/>
              <w:left w:w="142" w:type="dxa"/>
              <w:bottom w:w="57" w:type="dxa"/>
              <w:right w:w="142" w:type="dxa"/>
            </w:tcMar>
          </w:tcPr>
          <w:p w14:paraId="40791119" w14:textId="77777777" w:rsidR="004F138E" w:rsidRPr="004F138E" w:rsidRDefault="004F138E" w:rsidP="00E06927">
            <w:pPr>
              <w:pStyle w:val="Tabletext"/>
              <w:ind w:right="-149"/>
            </w:pPr>
            <w:r w:rsidRPr="004F138E">
              <w:t>Amendments to the Commission’s enabling legislation, and to any other legislation directly relevant to</w:t>
            </w:r>
            <w:r w:rsidR="0044323F">
              <w:t> </w:t>
            </w:r>
            <w:r w:rsidRPr="004F138E">
              <w:t>its</w:t>
            </w:r>
            <w:r w:rsidR="0044323F">
              <w:t> </w:t>
            </w:r>
            <w:r w:rsidRPr="004F138E">
              <w:t>operation</w:t>
            </w:r>
          </w:p>
        </w:tc>
        <w:tc>
          <w:tcPr>
            <w:tcW w:w="3628" w:type="dxa"/>
            <w:shd w:val="clear" w:color="auto" w:fill="FFFFFF" w:themeFill="background2"/>
            <w:tcMar>
              <w:top w:w="57" w:type="dxa"/>
              <w:left w:w="142" w:type="dxa"/>
              <w:bottom w:w="57" w:type="dxa"/>
              <w:right w:w="142" w:type="dxa"/>
            </w:tcMar>
          </w:tcPr>
          <w:p w14:paraId="7F91D19B" w14:textId="77777777" w:rsidR="004F138E" w:rsidRPr="004F138E" w:rsidRDefault="004F138E" w:rsidP="004F138E">
            <w:pPr>
              <w:pStyle w:val="Tabletext"/>
            </w:pPr>
            <w:r w:rsidRPr="004F138E">
              <w:t>Public Governance, Performance and Accountability Amendment (Corporate Commonwealth Entity Annual Reporting) Rule, subsection 17BE(a)</w:t>
            </w:r>
          </w:p>
        </w:tc>
        <w:tc>
          <w:tcPr>
            <w:tcW w:w="1531" w:type="dxa"/>
            <w:shd w:val="clear" w:color="auto" w:fill="FFFFFF" w:themeFill="background2"/>
            <w:tcMar>
              <w:top w:w="57" w:type="dxa"/>
              <w:left w:w="142" w:type="dxa"/>
              <w:bottom w:w="57" w:type="dxa"/>
              <w:right w:w="142" w:type="dxa"/>
            </w:tcMar>
          </w:tcPr>
          <w:p w14:paraId="18232C3C" w14:textId="77777777" w:rsidR="004F138E" w:rsidRPr="004F138E" w:rsidRDefault="004F138E" w:rsidP="004F138E">
            <w:pPr>
              <w:pStyle w:val="Tabletext"/>
            </w:pPr>
            <w:r w:rsidRPr="004F138E">
              <w:t>71</w:t>
            </w:r>
          </w:p>
        </w:tc>
      </w:tr>
      <w:tr w:rsidR="004F138E" w:rsidRPr="004F138E" w14:paraId="0361E321" w14:textId="77777777" w:rsidTr="00E06927">
        <w:trPr>
          <w:trHeight w:val="20"/>
        </w:trPr>
        <w:tc>
          <w:tcPr>
            <w:tcW w:w="3118" w:type="dxa"/>
            <w:shd w:val="clear" w:color="auto" w:fill="DFE0E2"/>
            <w:tcMar>
              <w:top w:w="57" w:type="dxa"/>
              <w:left w:w="142" w:type="dxa"/>
              <w:bottom w:w="57" w:type="dxa"/>
              <w:right w:w="142" w:type="dxa"/>
            </w:tcMar>
          </w:tcPr>
          <w:p w14:paraId="6AB11895" w14:textId="77777777" w:rsidR="004F138E" w:rsidRPr="004F138E" w:rsidRDefault="004F138E" w:rsidP="004F138E">
            <w:pPr>
              <w:pStyle w:val="Tabletext"/>
            </w:pPr>
            <w:r w:rsidRPr="004F138E">
              <w:t>Approval by the accountable</w:t>
            </w:r>
            <w:r w:rsidR="0044323F">
              <w:t> </w:t>
            </w:r>
            <w:r w:rsidRPr="004F138E">
              <w:t>authority</w:t>
            </w:r>
          </w:p>
        </w:tc>
        <w:tc>
          <w:tcPr>
            <w:tcW w:w="3628" w:type="dxa"/>
            <w:shd w:val="clear" w:color="auto" w:fill="DFE0E2"/>
            <w:tcMar>
              <w:top w:w="57" w:type="dxa"/>
              <w:left w:w="142" w:type="dxa"/>
              <w:bottom w:w="57" w:type="dxa"/>
              <w:right w:w="142" w:type="dxa"/>
            </w:tcMar>
          </w:tcPr>
          <w:p w14:paraId="2708E9B7" w14:textId="77777777" w:rsidR="004F138E" w:rsidRPr="004F138E" w:rsidRDefault="004F138E" w:rsidP="004F138E">
            <w:pPr>
              <w:pStyle w:val="Tabletext"/>
            </w:pPr>
            <w:r w:rsidRPr="004F138E">
              <w:t>Public Governance, Performance and Accountability Amendment (Corporate Commonwealth Entity Annual Reporting) Rule, section 17BB</w:t>
            </w:r>
          </w:p>
        </w:tc>
        <w:tc>
          <w:tcPr>
            <w:tcW w:w="1531" w:type="dxa"/>
            <w:shd w:val="clear" w:color="auto" w:fill="DFE0E2"/>
            <w:tcMar>
              <w:top w:w="57" w:type="dxa"/>
              <w:left w:w="142" w:type="dxa"/>
              <w:bottom w:w="57" w:type="dxa"/>
              <w:right w:w="142" w:type="dxa"/>
            </w:tcMar>
          </w:tcPr>
          <w:p w14:paraId="1BFAE64D" w14:textId="77777777" w:rsidR="004F138E" w:rsidRPr="004F138E" w:rsidRDefault="004F138E" w:rsidP="004F138E">
            <w:pPr>
              <w:pStyle w:val="Tabletext"/>
            </w:pPr>
            <w:r w:rsidRPr="004F138E">
              <w:t>1</w:t>
            </w:r>
          </w:p>
        </w:tc>
      </w:tr>
      <w:tr w:rsidR="004F138E" w:rsidRPr="004F138E" w14:paraId="5A708530" w14:textId="77777777" w:rsidTr="00E06927">
        <w:trPr>
          <w:trHeight w:val="20"/>
        </w:trPr>
        <w:tc>
          <w:tcPr>
            <w:tcW w:w="3118" w:type="dxa"/>
            <w:shd w:val="clear" w:color="auto" w:fill="FFFFFF" w:themeFill="background2"/>
            <w:tcMar>
              <w:top w:w="57" w:type="dxa"/>
              <w:left w:w="142" w:type="dxa"/>
              <w:bottom w:w="57" w:type="dxa"/>
              <w:right w:w="142" w:type="dxa"/>
            </w:tcMar>
          </w:tcPr>
          <w:p w14:paraId="5D532395" w14:textId="77777777" w:rsidR="004F138E" w:rsidRPr="004F138E" w:rsidRDefault="004F138E" w:rsidP="004F138E">
            <w:pPr>
              <w:pStyle w:val="Tabletext"/>
            </w:pPr>
            <w:r w:rsidRPr="004F138E">
              <w:t>Assessment of the impact of the performance of each of the Commission’s functions</w:t>
            </w:r>
          </w:p>
        </w:tc>
        <w:tc>
          <w:tcPr>
            <w:tcW w:w="3628" w:type="dxa"/>
            <w:shd w:val="clear" w:color="auto" w:fill="FFFFFF" w:themeFill="background2"/>
            <w:tcMar>
              <w:top w:w="57" w:type="dxa"/>
              <w:left w:w="142" w:type="dxa"/>
              <w:bottom w:w="57" w:type="dxa"/>
              <w:right w:w="142" w:type="dxa"/>
            </w:tcMar>
          </w:tcPr>
          <w:p w14:paraId="5988E69D" w14:textId="77777777" w:rsidR="004F138E" w:rsidRPr="004F138E" w:rsidRDefault="004F138E" w:rsidP="004F138E">
            <w:pPr>
              <w:pStyle w:val="Tabletext"/>
            </w:pPr>
            <w:r w:rsidRPr="004F138E">
              <w:t>National Health Reform Act, subsection</w:t>
            </w:r>
            <w:r w:rsidR="0044323F">
              <w:t> </w:t>
            </w:r>
            <w:r w:rsidRPr="004F138E">
              <w:t>53(a)</w:t>
            </w:r>
          </w:p>
        </w:tc>
        <w:tc>
          <w:tcPr>
            <w:tcW w:w="1531" w:type="dxa"/>
            <w:shd w:val="clear" w:color="auto" w:fill="FFFFFF" w:themeFill="background2"/>
            <w:tcMar>
              <w:top w:w="57" w:type="dxa"/>
              <w:left w:w="142" w:type="dxa"/>
              <w:bottom w:w="57" w:type="dxa"/>
              <w:right w:w="142" w:type="dxa"/>
            </w:tcMar>
          </w:tcPr>
          <w:p w14:paraId="74040CEB" w14:textId="77777777" w:rsidR="004F138E" w:rsidRPr="004F138E" w:rsidRDefault="004F138E" w:rsidP="004F138E">
            <w:pPr>
              <w:pStyle w:val="Tabletext"/>
            </w:pPr>
            <w:r w:rsidRPr="004F138E">
              <w:t>16–57</w:t>
            </w:r>
          </w:p>
        </w:tc>
      </w:tr>
      <w:tr w:rsidR="004F138E" w:rsidRPr="004F138E" w14:paraId="5027B811" w14:textId="77777777" w:rsidTr="00E06927">
        <w:trPr>
          <w:trHeight w:val="20"/>
        </w:trPr>
        <w:tc>
          <w:tcPr>
            <w:tcW w:w="3118" w:type="dxa"/>
            <w:shd w:val="clear" w:color="auto" w:fill="DFE0E2"/>
            <w:tcMar>
              <w:top w:w="57" w:type="dxa"/>
              <w:left w:w="142" w:type="dxa"/>
              <w:bottom w:w="57" w:type="dxa"/>
              <w:right w:w="142" w:type="dxa"/>
            </w:tcMar>
          </w:tcPr>
          <w:p w14:paraId="29B258FB" w14:textId="77777777" w:rsidR="004F138E" w:rsidRPr="004F138E" w:rsidRDefault="004F138E" w:rsidP="004F138E">
            <w:pPr>
              <w:pStyle w:val="Tabletext"/>
            </w:pPr>
            <w:r w:rsidRPr="004F138E">
              <w:t>Assessment of the quality of healthcare services provided</w:t>
            </w:r>
          </w:p>
        </w:tc>
        <w:tc>
          <w:tcPr>
            <w:tcW w:w="3628" w:type="dxa"/>
            <w:shd w:val="clear" w:color="auto" w:fill="DFE0E2"/>
            <w:tcMar>
              <w:top w:w="57" w:type="dxa"/>
              <w:left w:w="142" w:type="dxa"/>
              <w:bottom w:w="57" w:type="dxa"/>
              <w:right w:w="142" w:type="dxa"/>
            </w:tcMar>
          </w:tcPr>
          <w:p w14:paraId="3A0C6728" w14:textId="77777777" w:rsidR="004F138E" w:rsidRPr="004F138E" w:rsidRDefault="004F138E" w:rsidP="004F138E">
            <w:pPr>
              <w:pStyle w:val="Tabletext"/>
            </w:pPr>
            <w:r w:rsidRPr="004F138E">
              <w:t>National Health Reform Act, paragraph</w:t>
            </w:r>
            <w:r w:rsidR="0044323F">
              <w:t> </w:t>
            </w:r>
            <w:r w:rsidRPr="004F138E">
              <w:t>53(b)(ii)</w:t>
            </w:r>
          </w:p>
        </w:tc>
        <w:tc>
          <w:tcPr>
            <w:tcW w:w="1531" w:type="dxa"/>
            <w:shd w:val="clear" w:color="auto" w:fill="DFE0E2"/>
            <w:tcMar>
              <w:top w:w="57" w:type="dxa"/>
              <w:left w:w="142" w:type="dxa"/>
              <w:bottom w:w="57" w:type="dxa"/>
              <w:right w:w="142" w:type="dxa"/>
            </w:tcMar>
          </w:tcPr>
          <w:p w14:paraId="08DE386F" w14:textId="77777777" w:rsidR="004F138E" w:rsidRPr="004F138E" w:rsidRDefault="004F138E" w:rsidP="004F138E">
            <w:pPr>
              <w:pStyle w:val="Tabletext"/>
            </w:pPr>
            <w:r w:rsidRPr="004F138E">
              <w:t>47</w:t>
            </w:r>
          </w:p>
        </w:tc>
      </w:tr>
      <w:tr w:rsidR="004F138E" w:rsidRPr="004F138E" w14:paraId="6BD9EF9C" w14:textId="77777777" w:rsidTr="00E06927">
        <w:trPr>
          <w:trHeight w:val="20"/>
        </w:trPr>
        <w:tc>
          <w:tcPr>
            <w:tcW w:w="3118" w:type="dxa"/>
            <w:shd w:val="clear" w:color="auto" w:fill="FFFFFF" w:themeFill="background2"/>
            <w:tcMar>
              <w:top w:w="57" w:type="dxa"/>
              <w:left w:w="142" w:type="dxa"/>
              <w:bottom w:w="57" w:type="dxa"/>
              <w:right w:w="142" w:type="dxa"/>
            </w:tcMar>
          </w:tcPr>
          <w:p w14:paraId="1ECD316E" w14:textId="77777777" w:rsidR="004F138E" w:rsidRPr="004F138E" w:rsidRDefault="004F138E" w:rsidP="004F138E">
            <w:pPr>
              <w:pStyle w:val="Tabletext"/>
            </w:pPr>
            <w:r w:rsidRPr="004F138E">
              <w:t>Board committees</w:t>
            </w:r>
          </w:p>
        </w:tc>
        <w:tc>
          <w:tcPr>
            <w:tcW w:w="3628" w:type="dxa"/>
            <w:shd w:val="clear" w:color="auto" w:fill="FFFFFF" w:themeFill="background2"/>
            <w:tcMar>
              <w:top w:w="57" w:type="dxa"/>
              <w:left w:w="142" w:type="dxa"/>
              <w:bottom w:w="57" w:type="dxa"/>
              <w:right w:w="142" w:type="dxa"/>
            </w:tcMar>
          </w:tcPr>
          <w:p w14:paraId="40EE06DA" w14:textId="77777777" w:rsidR="004F138E" w:rsidRPr="004F138E" w:rsidRDefault="004F138E" w:rsidP="004F138E">
            <w:pPr>
              <w:pStyle w:val="Tabletext"/>
            </w:pPr>
            <w:r w:rsidRPr="004F138E">
              <w:t>Public Governance, Performance and Accountability Amendment (Corporate Commonwealth Entity Annual Reporting) Rule, subsection 17BE(j)</w:t>
            </w:r>
          </w:p>
        </w:tc>
        <w:tc>
          <w:tcPr>
            <w:tcW w:w="1531" w:type="dxa"/>
            <w:shd w:val="clear" w:color="auto" w:fill="FFFFFF" w:themeFill="background2"/>
            <w:tcMar>
              <w:top w:w="57" w:type="dxa"/>
              <w:left w:w="142" w:type="dxa"/>
              <w:bottom w:w="57" w:type="dxa"/>
              <w:right w:w="142" w:type="dxa"/>
            </w:tcMar>
          </w:tcPr>
          <w:p w14:paraId="0689B463" w14:textId="77777777" w:rsidR="004F138E" w:rsidRPr="004F138E" w:rsidRDefault="004F138E" w:rsidP="004F138E">
            <w:pPr>
              <w:pStyle w:val="Tabletext"/>
            </w:pPr>
            <w:r w:rsidRPr="004F138E">
              <w:t>67–68</w:t>
            </w:r>
          </w:p>
        </w:tc>
      </w:tr>
      <w:tr w:rsidR="004F138E" w:rsidRPr="004F138E" w14:paraId="08E66E8C" w14:textId="77777777" w:rsidTr="00E06927">
        <w:trPr>
          <w:trHeight w:val="20"/>
        </w:trPr>
        <w:tc>
          <w:tcPr>
            <w:tcW w:w="3118" w:type="dxa"/>
            <w:shd w:val="clear" w:color="auto" w:fill="DFE0E2"/>
            <w:tcMar>
              <w:top w:w="57" w:type="dxa"/>
              <w:left w:w="142" w:type="dxa"/>
              <w:bottom w:w="57" w:type="dxa"/>
              <w:right w:w="142" w:type="dxa"/>
            </w:tcMar>
          </w:tcPr>
          <w:p w14:paraId="22CA35F9" w14:textId="77777777" w:rsidR="004F138E" w:rsidRPr="004F138E" w:rsidRDefault="004F138E" w:rsidP="004F138E">
            <w:pPr>
              <w:pStyle w:val="Tabletext"/>
            </w:pPr>
            <w:r w:rsidRPr="004F138E">
              <w:t>Ecologically sustainable development and environmental performance</w:t>
            </w:r>
          </w:p>
        </w:tc>
        <w:tc>
          <w:tcPr>
            <w:tcW w:w="3628" w:type="dxa"/>
            <w:shd w:val="clear" w:color="auto" w:fill="DFE0E2"/>
            <w:tcMar>
              <w:top w:w="57" w:type="dxa"/>
              <w:left w:w="142" w:type="dxa"/>
              <w:bottom w:w="57" w:type="dxa"/>
              <w:right w:w="142" w:type="dxa"/>
            </w:tcMar>
          </w:tcPr>
          <w:p w14:paraId="42856680" w14:textId="77777777" w:rsidR="004F138E" w:rsidRPr="004F138E" w:rsidRDefault="004F138E" w:rsidP="004F138E">
            <w:pPr>
              <w:pStyle w:val="Tabletext"/>
            </w:pPr>
            <w:r w:rsidRPr="003B754D">
              <w:rPr>
                <w:i/>
              </w:rPr>
              <w:t>Environmental Protection and Biodiversity Conservation Act 1999</w:t>
            </w:r>
            <w:r w:rsidRPr="004F138E">
              <w:t>, section 516A</w:t>
            </w:r>
          </w:p>
        </w:tc>
        <w:tc>
          <w:tcPr>
            <w:tcW w:w="1531" w:type="dxa"/>
            <w:shd w:val="clear" w:color="auto" w:fill="DFE0E2"/>
            <w:tcMar>
              <w:top w:w="57" w:type="dxa"/>
              <w:left w:w="142" w:type="dxa"/>
              <w:bottom w:w="57" w:type="dxa"/>
              <w:right w:w="142" w:type="dxa"/>
            </w:tcMar>
          </w:tcPr>
          <w:p w14:paraId="12BA1C90" w14:textId="77777777" w:rsidR="004F138E" w:rsidRPr="004F138E" w:rsidRDefault="004F138E" w:rsidP="004F138E">
            <w:pPr>
              <w:pStyle w:val="Tabletext"/>
            </w:pPr>
            <w:r w:rsidRPr="004F138E">
              <w:t>71</w:t>
            </w:r>
          </w:p>
        </w:tc>
      </w:tr>
      <w:tr w:rsidR="004F138E" w:rsidRPr="004F138E" w14:paraId="1B5438C9" w14:textId="77777777" w:rsidTr="00E06927">
        <w:trPr>
          <w:trHeight w:val="20"/>
        </w:trPr>
        <w:tc>
          <w:tcPr>
            <w:tcW w:w="3118" w:type="dxa"/>
            <w:tcBorders>
              <w:bottom w:val="single" w:sz="8" w:space="0" w:color="F1F0EE" w:themeColor="accent4"/>
            </w:tcBorders>
            <w:shd w:val="clear" w:color="auto" w:fill="FFFFFF" w:themeFill="background2"/>
            <w:tcMar>
              <w:top w:w="57" w:type="dxa"/>
              <w:left w:w="142" w:type="dxa"/>
              <w:bottom w:w="57" w:type="dxa"/>
              <w:right w:w="142" w:type="dxa"/>
            </w:tcMar>
          </w:tcPr>
          <w:p w14:paraId="0B2BA71C" w14:textId="77777777" w:rsidR="004F138E" w:rsidRPr="004F138E" w:rsidRDefault="004F138E" w:rsidP="004F138E">
            <w:pPr>
              <w:pStyle w:val="Tabletext"/>
            </w:pPr>
            <w:r w:rsidRPr="004F138E">
              <w:t>Enabling legislation, functions and</w:t>
            </w:r>
            <w:r w:rsidR="0044323F">
              <w:t> </w:t>
            </w:r>
            <w:r w:rsidRPr="004F138E">
              <w:t>objectives</w:t>
            </w:r>
          </w:p>
        </w:tc>
        <w:tc>
          <w:tcPr>
            <w:tcW w:w="3628" w:type="dxa"/>
            <w:tcBorders>
              <w:bottom w:val="single" w:sz="8" w:space="0" w:color="F1F0EE" w:themeColor="accent4"/>
            </w:tcBorders>
            <w:shd w:val="clear" w:color="auto" w:fill="FFFFFF" w:themeFill="background2"/>
            <w:tcMar>
              <w:top w:w="57" w:type="dxa"/>
              <w:left w:w="142" w:type="dxa"/>
              <w:bottom w:w="57" w:type="dxa"/>
              <w:right w:w="142" w:type="dxa"/>
            </w:tcMar>
          </w:tcPr>
          <w:p w14:paraId="24B6A422" w14:textId="77777777" w:rsidR="004F138E" w:rsidRPr="004F138E" w:rsidRDefault="004F138E" w:rsidP="004F138E">
            <w:pPr>
              <w:pStyle w:val="Tabletext"/>
            </w:pPr>
            <w:r w:rsidRPr="004F138E">
              <w:t>Public Governance, Performance and Accountability Amendment (Corporate Commonwealth Entity Annual Reporting) Rule, subsection 17BE(a)</w:t>
            </w:r>
          </w:p>
        </w:tc>
        <w:tc>
          <w:tcPr>
            <w:tcW w:w="1531" w:type="dxa"/>
            <w:tcBorders>
              <w:bottom w:val="single" w:sz="8" w:space="0" w:color="F1F0EE" w:themeColor="accent4"/>
            </w:tcBorders>
            <w:shd w:val="clear" w:color="auto" w:fill="FFFFFF" w:themeFill="background2"/>
            <w:tcMar>
              <w:top w:w="57" w:type="dxa"/>
              <w:left w:w="142" w:type="dxa"/>
              <w:bottom w:w="57" w:type="dxa"/>
              <w:right w:w="142" w:type="dxa"/>
            </w:tcMar>
          </w:tcPr>
          <w:p w14:paraId="0DC3605B" w14:textId="77777777" w:rsidR="004F138E" w:rsidRPr="004F138E" w:rsidRDefault="004F138E" w:rsidP="004F138E">
            <w:pPr>
              <w:pStyle w:val="Tabletext"/>
            </w:pPr>
            <w:r w:rsidRPr="004F138E">
              <w:t>6, 60</w:t>
            </w:r>
          </w:p>
        </w:tc>
      </w:tr>
      <w:tr w:rsidR="00E06927" w:rsidRPr="00E06927" w14:paraId="067F309F" w14:textId="77777777" w:rsidTr="00E06927">
        <w:trPr>
          <w:trHeight w:val="20"/>
        </w:trPr>
        <w:tc>
          <w:tcPr>
            <w:tcW w:w="3118" w:type="dxa"/>
            <w:tcBorders>
              <w:bottom w:val="single" w:sz="8" w:space="0" w:color="F1F0EE" w:themeColor="accent4"/>
            </w:tcBorders>
            <w:shd w:val="clear" w:color="auto" w:fill="DFE0E2"/>
            <w:tcMar>
              <w:top w:w="57" w:type="dxa"/>
              <w:left w:w="142" w:type="dxa"/>
              <w:bottom w:w="57" w:type="dxa"/>
              <w:right w:w="142" w:type="dxa"/>
            </w:tcMar>
          </w:tcPr>
          <w:p w14:paraId="09133391" w14:textId="77777777" w:rsidR="00E06927" w:rsidRPr="00E06927" w:rsidRDefault="00E06927" w:rsidP="00E06927">
            <w:pPr>
              <w:pStyle w:val="Tabletext"/>
            </w:pPr>
            <w:r w:rsidRPr="00E06927">
              <w:lastRenderedPageBreak/>
              <w:t>Financial statements</w:t>
            </w:r>
          </w:p>
        </w:tc>
        <w:tc>
          <w:tcPr>
            <w:tcW w:w="3628" w:type="dxa"/>
            <w:tcBorders>
              <w:bottom w:val="single" w:sz="8" w:space="0" w:color="F1F0EE" w:themeColor="accent4"/>
            </w:tcBorders>
            <w:shd w:val="clear" w:color="auto" w:fill="DFE0E2"/>
            <w:tcMar>
              <w:top w:w="57" w:type="dxa"/>
              <w:left w:w="142" w:type="dxa"/>
              <w:bottom w:w="57" w:type="dxa"/>
              <w:right w:w="142" w:type="dxa"/>
            </w:tcMar>
          </w:tcPr>
          <w:p w14:paraId="40ADEC29" w14:textId="77777777" w:rsidR="00E06927" w:rsidRPr="00E06927" w:rsidRDefault="00E06927" w:rsidP="00E06927">
            <w:pPr>
              <w:pStyle w:val="Tabletext"/>
            </w:pPr>
            <w:r w:rsidRPr="00E06927">
              <w:t xml:space="preserve">Public Governance, Performance and Accountability Act, subsection 43(4) </w:t>
            </w:r>
          </w:p>
        </w:tc>
        <w:tc>
          <w:tcPr>
            <w:tcW w:w="1531" w:type="dxa"/>
            <w:tcBorders>
              <w:bottom w:val="single" w:sz="8" w:space="0" w:color="F1F0EE" w:themeColor="accent4"/>
            </w:tcBorders>
            <w:shd w:val="clear" w:color="auto" w:fill="DFE0E2"/>
            <w:tcMar>
              <w:top w:w="57" w:type="dxa"/>
              <w:left w:w="142" w:type="dxa"/>
              <w:bottom w:w="57" w:type="dxa"/>
              <w:right w:w="142" w:type="dxa"/>
            </w:tcMar>
          </w:tcPr>
          <w:p w14:paraId="6B49BA5B" w14:textId="77777777" w:rsidR="00E06927" w:rsidRPr="00E06927" w:rsidRDefault="00E06927" w:rsidP="00E06927">
            <w:pPr>
              <w:pStyle w:val="Tabletext"/>
            </w:pPr>
            <w:r w:rsidRPr="00E06927">
              <w:t>81–105</w:t>
            </w:r>
          </w:p>
        </w:tc>
      </w:tr>
      <w:tr w:rsidR="00E06927" w:rsidRPr="00E06927" w14:paraId="16D4E6BA" w14:textId="77777777" w:rsidTr="00E06927">
        <w:trPr>
          <w:trHeight w:val="20"/>
        </w:trPr>
        <w:tc>
          <w:tcPr>
            <w:tcW w:w="3118" w:type="dxa"/>
            <w:tcBorders>
              <w:bottom w:val="single" w:sz="8" w:space="0" w:color="F1F0EE" w:themeColor="accent4"/>
            </w:tcBorders>
            <w:shd w:val="clear" w:color="auto" w:fill="FFFFFF" w:themeFill="background2"/>
            <w:tcMar>
              <w:top w:w="57" w:type="dxa"/>
              <w:left w:w="142" w:type="dxa"/>
              <w:bottom w:w="57" w:type="dxa"/>
              <w:right w:w="142" w:type="dxa"/>
            </w:tcMar>
          </w:tcPr>
          <w:p w14:paraId="5878E51B" w14:textId="77777777" w:rsidR="00E06927" w:rsidRPr="00E06927" w:rsidRDefault="00E06927" w:rsidP="00E06927">
            <w:pPr>
              <w:pStyle w:val="Tabletext"/>
            </w:pPr>
            <w:r w:rsidRPr="00E06927">
              <w:t>Financial statements certification: Auditor-General’s Report</w:t>
            </w:r>
          </w:p>
        </w:tc>
        <w:tc>
          <w:tcPr>
            <w:tcW w:w="3628" w:type="dxa"/>
            <w:tcBorders>
              <w:bottom w:val="single" w:sz="8" w:space="0" w:color="F1F0EE" w:themeColor="accent4"/>
            </w:tcBorders>
            <w:shd w:val="clear" w:color="auto" w:fill="FFFFFF" w:themeFill="background2"/>
            <w:tcMar>
              <w:top w:w="57" w:type="dxa"/>
              <w:left w:w="142" w:type="dxa"/>
              <w:bottom w:w="57" w:type="dxa"/>
              <w:right w:w="142" w:type="dxa"/>
            </w:tcMar>
          </w:tcPr>
          <w:p w14:paraId="30FA1021" w14:textId="77777777" w:rsidR="00E06927" w:rsidRPr="00E06927" w:rsidRDefault="00E06927" w:rsidP="00E06927">
            <w:pPr>
              <w:pStyle w:val="Tabletext"/>
            </w:pPr>
            <w:r w:rsidRPr="00E06927">
              <w:t>Public Governance, Performance and Accountability Act, subsection 43(4)</w:t>
            </w:r>
          </w:p>
        </w:tc>
        <w:tc>
          <w:tcPr>
            <w:tcW w:w="1531" w:type="dxa"/>
            <w:tcBorders>
              <w:bottom w:val="single" w:sz="8" w:space="0" w:color="F1F0EE" w:themeColor="accent4"/>
            </w:tcBorders>
            <w:shd w:val="clear" w:color="auto" w:fill="FFFFFF" w:themeFill="background2"/>
            <w:tcMar>
              <w:top w:w="57" w:type="dxa"/>
              <w:left w:w="142" w:type="dxa"/>
              <w:bottom w:w="57" w:type="dxa"/>
              <w:right w:w="142" w:type="dxa"/>
            </w:tcMar>
          </w:tcPr>
          <w:p w14:paraId="04499B3B" w14:textId="77777777" w:rsidR="00E06927" w:rsidRPr="00E06927" w:rsidRDefault="00E06927" w:rsidP="00E06927">
            <w:pPr>
              <w:pStyle w:val="Tabletext"/>
            </w:pPr>
            <w:r w:rsidRPr="00E06927">
              <w:t>82–83</w:t>
            </w:r>
          </w:p>
        </w:tc>
      </w:tr>
      <w:tr w:rsidR="00E06927" w:rsidRPr="00E06927" w14:paraId="5ED6DC85" w14:textId="77777777" w:rsidTr="00E06927">
        <w:trPr>
          <w:trHeight w:val="20"/>
        </w:trPr>
        <w:tc>
          <w:tcPr>
            <w:tcW w:w="3118" w:type="dxa"/>
            <w:tcBorders>
              <w:bottom w:val="single" w:sz="8" w:space="0" w:color="F1F0EE" w:themeColor="accent4"/>
            </w:tcBorders>
            <w:shd w:val="clear" w:color="auto" w:fill="DFE0E2"/>
            <w:tcMar>
              <w:top w:w="57" w:type="dxa"/>
              <w:left w:w="142" w:type="dxa"/>
              <w:bottom w:w="57" w:type="dxa"/>
              <w:right w:w="142" w:type="dxa"/>
            </w:tcMar>
          </w:tcPr>
          <w:p w14:paraId="00A41B35" w14:textId="77777777" w:rsidR="00E06927" w:rsidRPr="00E06927" w:rsidRDefault="00E06927" w:rsidP="00E06927">
            <w:pPr>
              <w:pStyle w:val="Tabletext"/>
            </w:pPr>
            <w:r w:rsidRPr="00E06927">
              <w:t xml:space="preserve">Financial statements certification: a statement signed by the accountable authority </w:t>
            </w:r>
          </w:p>
        </w:tc>
        <w:tc>
          <w:tcPr>
            <w:tcW w:w="3628" w:type="dxa"/>
            <w:tcBorders>
              <w:bottom w:val="single" w:sz="8" w:space="0" w:color="F1F0EE" w:themeColor="accent4"/>
            </w:tcBorders>
            <w:shd w:val="clear" w:color="auto" w:fill="DFE0E2"/>
            <w:tcMar>
              <w:top w:w="57" w:type="dxa"/>
              <w:left w:w="142" w:type="dxa"/>
              <w:bottom w:w="57" w:type="dxa"/>
              <w:right w:w="142" w:type="dxa"/>
            </w:tcMar>
          </w:tcPr>
          <w:p w14:paraId="32B4651F" w14:textId="77777777" w:rsidR="00E06927" w:rsidRPr="00E06927" w:rsidRDefault="00E06927" w:rsidP="00E06927">
            <w:pPr>
              <w:pStyle w:val="Tabletext"/>
            </w:pPr>
            <w:r w:rsidRPr="00E06927">
              <w:t xml:space="preserve">Public Governance, Performance and Accountability Act, subsection 43(4) </w:t>
            </w:r>
          </w:p>
        </w:tc>
        <w:tc>
          <w:tcPr>
            <w:tcW w:w="1531" w:type="dxa"/>
            <w:tcBorders>
              <w:bottom w:val="single" w:sz="8" w:space="0" w:color="F1F0EE" w:themeColor="accent4"/>
            </w:tcBorders>
            <w:shd w:val="clear" w:color="auto" w:fill="DFE0E2"/>
            <w:tcMar>
              <w:top w:w="57" w:type="dxa"/>
              <w:left w:w="142" w:type="dxa"/>
              <w:bottom w:w="57" w:type="dxa"/>
              <w:right w:w="142" w:type="dxa"/>
            </w:tcMar>
          </w:tcPr>
          <w:p w14:paraId="4D9817D3" w14:textId="77777777" w:rsidR="00E06927" w:rsidRPr="00E06927" w:rsidRDefault="00E06927" w:rsidP="00E06927">
            <w:pPr>
              <w:pStyle w:val="Tabletext"/>
            </w:pPr>
            <w:r w:rsidRPr="00E06927">
              <w:t>84</w:t>
            </w:r>
          </w:p>
        </w:tc>
      </w:tr>
      <w:tr w:rsidR="00E06927" w:rsidRPr="00E06927" w14:paraId="58A0C24C" w14:textId="77777777" w:rsidTr="00E06927">
        <w:trPr>
          <w:trHeight w:val="20"/>
        </w:trPr>
        <w:tc>
          <w:tcPr>
            <w:tcW w:w="3118" w:type="dxa"/>
            <w:tcBorders>
              <w:bottom w:val="single" w:sz="8" w:space="0" w:color="F1F0EE" w:themeColor="accent4"/>
            </w:tcBorders>
            <w:shd w:val="clear" w:color="auto" w:fill="FFFFFF" w:themeFill="background2"/>
            <w:tcMar>
              <w:top w:w="57" w:type="dxa"/>
              <w:left w:w="142" w:type="dxa"/>
              <w:bottom w:w="57" w:type="dxa"/>
              <w:right w:w="142" w:type="dxa"/>
            </w:tcMar>
          </w:tcPr>
          <w:p w14:paraId="73D6BAD2" w14:textId="77777777" w:rsidR="00E06927" w:rsidRPr="00E06927" w:rsidRDefault="00E06927" w:rsidP="00E06927">
            <w:pPr>
              <w:pStyle w:val="Tabletext"/>
            </w:pPr>
            <w:r w:rsidRPr="00E06927">
              <w:t>Government policy orders</w:t>
            </w:r>
          </w:p>
        </w:tc>
        <w:tc>
          <w:tcPr>
            <w:tcW w:w="3628" w:type="dxa"/>
            <w:tcBorders>
              <w:bottom w:val="single" w:sz="8" w:space="0" w:color="F1F0EE" w:themeColor="accent4"/>
            </w:tcBorders>
            <w:shd w:val="clear" w:color="auto" w:fill="FFFFFF" w:themeFill="background2"/>
            <w:tcMar>
              <w:top w:w="57" w:type="dxa"/>
              <w:left w:w="142" w:type="dxa"/>
              <w:bottom w:w="57" w:type="dxa"/>
              <w:right w:w="142" w:type="dxa"/>
            </w:tcMar>
          </w:tcPr>
          <w:p w14:paraId="0FCA08B2" w14:textId="77777777" w:rsidR="00E06927" w:rsidRPr="00E06927" w:rsidRDefault="00E06927" w:rsidP="00E06927">
            <w:pPr>
              <w:pStyle w:val="Tabletext"/>
            </w:pPr>
            <w:r w:rsidRPr="00E06927">
              <w:t>Public Governance, Performance and Accountability Amendment (Corporate Commonwealth Entity Annual Reporting) Rule, subsection 17BE(e)</w:t>
            </w:r>
          </w:p>
        </w:tc>
        <w:tc>
          <w:tcPr>
            <w:tcW w:w="1531" w:type="dxa"/>
            <w:tcBorders>
              <w:bottom w:val="single" w:sz="8" w:space="0" w:color="F1F0EE" w:themeColor="accent4"/>
            </w:tcBorders>
            <w:shd w:val="clear" w:color="auto" w:fill="FFFFFF" w:themeFill="background2"/>
            <w:tcMar>
              <w:top w:w="57" w:type="dxa"/>
              <w:left w:w="142" w:type="dxa"/>
              <w:bottom w:w="57" w:type="dxa"/>
              <w:right w:w="142" w:type="dxa"/>
            </w:tcMar>
          </w:tcPr>
          <w:p w14:paraId="54BC58A0" w14:textId="77777777" w:rsidR="00E06927" w:rsidRPr="00E06927" w:rsidRDefault="00E06927" w:rsidP="00E06927">
            <w:pPr>
              <w:pStyle w:val="Tabletext"/>
            </w:pPr>
            <w:r w:rsidRPr="00E06927">
              <w:t>71</w:t>
            </w:r>
          </w:p>
        </w:tc>
      </w:tr>
      <w:tr w:rsidR="00E06927" w:rsidRPr="00E06927" w14:paraId="78FEADBF" w14:textId="77777777" w:rsidTr="00E06927">
        <w:trPr>
          <w:trHeight w:val="20"/>
        </w:trPr>
        <w:tc>
          <w:tcPr>
            <w:tcW w:w="3118" w:type="dxa"/>
            <w:tcBorders>
              <w:bottom w:val="single" w:sz="8" w:space="0" w:color="F1F0EE" w:themeColor="accent4"/>
            </w:tcBorders>
            <w:shd w:val="clear" w:color="auto" w:fill="DFE0E2"/>
            <w:tcMar>
              <w:top w:w="57" w:type="dxa"/>
              <w:left w:w="142" w:type="dxa"/>
              <w:bottom w:w="57" w:type="dxa"/>
              <w:right w:w="142" w:type="dxa"/>
            </w:tcMar>
          </w:tcPr>
          <w:p w14:paraId="2A4AC516" w14:textId="77777777" w:rsidR="00E06927" w:rsidRPr="00E06927" w:rsidRDefault="00E06927" w:rsidP="00E06927">
            <w:pPr>
              <w:pStyle w:val="Tabletext"/>
            </w:pPr>
            <w:r w:rsidRPr="00E06927">
              <w:t>Indemnities and insurance premiums for officers</w:t>
            </w:r>
          </w:p>
        </w:tc>
        <w:tc>
          <w:tcPr>
            <w:tcW w:w="3628" w:type="dxa"/>
            <w:tcBorders>
              <w:bottom w:val="single" w:sz="8" w:space="0" w:color="F1F0EE" w:themeColor="accent4"/>
            </w:tcBorders>
            <w:shd w:val="clear" w:color="auto" w:fill="DFE0E2"/>
            <w:tcMar>
              <w:top w:w="57" w:type="dxa"/>
              <w:left w:w="142" w:type="dxa"/>
              <w:bottom w:w="57" w:type="dxa"/>
              <w:right w:w="142" w:type="dxa"/>
            </w:tcMar>
          </w:tcPr>
          <w:p w14:paraId="1177B0EA" w14:textId="77777777" w:rsidR="00E06927" w:rsidRPr="00E06927" w:rsidRDefault="00E06927" w:rsidP="00E06927">
            <w:pPr>
              <w:pStyle w:val="Tabletext"/>
            </w:pPr>
            <w:r w:rsidRPr="00E06927">
              <w:t>Public Governance, Performance and Accountability Amendment (Corporate Commonwealth Entity Annual Reporting) Rule, subsection 17BE(t)</w:t>
            </w:r>
          </w:p>
        </w:tc>
        <w:tc>
          <w:tcPr>
            <w:tcW w:w="1531" w:type="dxa"/>
            <w:tcBorders>
              <w:bottom w:val="single" w:sz="8" w:space="0" w:color="F1F0EE" w:themeColor="accent4"/>
            </w:tcBorders>
            <w:shd w:val="clear" w:color="auto" w:fill="DFE0E2"/>
            <w:tcMar>
              <w:top w:w="57" w:type="dxa"/>
              <w:left w:w="142" w:type="dxa"/>
              <w:bottom w:w="57" w:type="dxa"/>
              <w:right w:w="142" w:type="dxa"/>
            </w:tcMar>
          </w:tcPr>
          <w:p w14:paraId="37CAC545" w14:textId="77777777" w:rsidR="00E06927" w:rsidRPr="00E06927" w:rsidRDefault="00E06927" w:rsidP="00E06927">
            <w:pPr>
              <w:pStyle w:val="Tabletext"/>
            </w:pPr>
            <w:r w:rsidRPr="00E06927">
              <w:t>65</w:t>
            </w:r>
          </w:p>
        </w:tc>
      </w:tr>
      <w:tr w:rsidR="00E06927" w:rsidRPr="00E06927" w14:paraId="509910BC" w14:textId="77777777" w:rsidTr="00E06927">
        <w:trPr>
          <w:trHeight w:val="20"/>
        </w:trPr>
        <w:tc>
          <w:tcPr>
            <w:tcW w:w="3118" w:type="dxa"/>
            <w:tcBorders>
              <w:bottom w:val="single" w:sz="8" w:space="0" w:color="F1F0EE" w:themeColor="accent4"/>
            </w:tcBorders>
            <w:shd w:val="clear" w:color="auto" w:fill="FFFFFF" w:themeFill="background2"/>
            <w:tcMar>
              <w:top w:w="57" w:type="dxa"/>
              <w:left w:w="142" w:type="dxa"/>
              <w:bottom w:w="57" w:type="dxa"/>
              <w:right w:w="142" w:type="dxa"/>
            </w:tcMar>
          </w:tcPr>
          <w:p w14:paraId="5D5C75BE" w14:textId="77777777" w:rsidR="00E06927" w:rsidRPr="00E06927" w:rsidRDefault="00E06927" w:rsidP="00E06927">
            <w:pPr>
              <w:pStyle w:val="Tabletext"/>
            </w:pPr>
            <w:r w:rsidRPr="00E06927">
              <w:t>Judicial decisions and decisions by administrative tribunals</w:t>
            </w:r>
          </w:p>
        </w:tc>
        <w:tc>
          <w:tcPr>
            <w:tcW w:w="3628" w:type="dxa"/>
            <w:tcBorders>
              <w:bottom w:val="single" w:sz="8" w:space="0" w:color="F1F0EE" w:themeColor="accent4"/>
            </w:tcBorders>
            <w:shd w:val="clear" w:color="auto" w:fill="FFFFFF" w:themeFill="background2"/>
            <w:tcMar>
              <w:top w:w="57" w:type="dxa"/>
              <w:left w:w="142" w:type="dxa"/>
              <w:bottom w:w="57" w:type="dxa"/>
              <w:right w:w="142" w:type="dxa"/>
            </w:tcMar>
          </w:tcPr>
          <w:p w14:paraId="3F1DCF84" w14:textId="77777777" w:rsidR="00E06927" w:rsidRPr="00E06927" w:rsidRDefault="00E06927" w:rsidP="00E06927">
            <w:pPr>
              <w:pStyle w:val="Tabletext"/>
            </w:pPr>
            <w:r w:rsidRPr="00E06927">
              <w:t>Public Governance, Performance and Accountability Amendment (Corporate Commonwealth Entity Annual Reporting) Rule, subsection 17BE(q)</w:t>
            </w:r>
          </w:p>
        </w:tc>
        <w:tc>
          <w:tcPr>
            <w:tcW w:w="1531" w:type="dxa"/>
            <w:tcBorders>
              <w:bottom w:val="single" w:sz="8" w:space="0" w:color="F1F0EE" w:themeColor="accent4"/>
            </w:tcBorders>
            <w:shd w:val="clear" w:color="auto" w:fill="FFFFFF" w:themeFill="background2"/>
            <w:tcMar>
              <w:top w:w="57" w:type="dxa"/>
              <w:left w:w="142" w:type="dxa"/>
              <w:bottom w:w="57" w:type="dxa"/>
              <w:right w:w="142" w:type="dxa"/>
            </w:tcMar>
          </w:tcPr>
          <w:p w14:paraId="75AEDE74" w14:textId="77777777" w:rsidR="00E06927" w:rsidRPr="00E06927" w:rsidRDefault="00E06927" w:rsidP="00E06927">
            <w:pPr>
              <w:pStyle w:val="Tabletext"/>
            </w:pPr>
            <w:r w:rsidRPr="00E06927">
              <w:t>70</w:t>
            </w:r>
          </w:p>
        </w:tc>
      </w:tr>
      <w:tr w:rsidR="00E06927" w:rsidRPr="00E06927" w14:paraId="604A1012" w14:textId="77777777" w:rsidTr="00E06927">
        <w:trPr>
          <w:trHeight w:val="20"/>
        </w:trPr>
        <w:tc>
          <w:tcPr>
            <w:tcW w:w="3118" w:type="dxa"/>
            <w:tcBorders>
              <w:bottom w:val="single" w:sz="8" w:space="0" w:color="F1F0EE" w:themeColor="accent4"/>
            </w:tcBorders>
            <w:shd w:val="clear" w:color="auto" w:fill="DFE0E2"/>
            <w:tcMar>
              <w:top w:w="57" w:type="dxa"/>
              <w:left w:w="142" w:type="dxa"/>
              <w:bottom w:w="57" w:type="dxa"/>
              <w:right w:w="142" w:type="dxa"/>
            </w:tcMar>
          </w:tcPr>
          <w:p w14:paraId="1B23DB3C" w14:textId="77777777" w:rsidR="00E06927" w:rsidRPr="00E06927" w:rsidRDefault="00E06927" w:rsidP="00E06927">
            <w:pPr>
              <w:pStyle w:val="Tabletext"/>
            </w:pPr>
            <w:r w:rsidRPr="00E06927">
              <w:t>Key activities and changes that have affected the Commission</w:t>
            </w:r>
          </w:p>
        </w:tc>
        <w:tc>
          <w:tcPr>
            <w:tcW w:w="3628" w:type="dxa"/>
            <w:tcBorders>
              <w:bottom w:val="single" w:sz="8" w:space="0" w:color="F1F0EE" w:themeColor="accent4"/>
            </w:tcBorders>
            <w:shd w:val="clear" w:color="auto" w:fill="DFE0E2"/>
            <w:tcMar>
              <w:top w:w="57" w:type="dxa"/>
              <w:left w:w="142" w:type="dxa"/>
              <w:bottom w:w="57" w:type="dxa"/>
              <w:right w:w="142" w:type="dxa"/>
            </w:tcMar>
          </w:tcPr>
          <w:p w14:paraId="499E4598" w14:textId="77777777" w:rsidR="00E06927" w:rsidRPr="00E06927" w:rsidRDefault="00E06927" w:rsidP="00E06927">
            <w:pPr>
              <w:pStyle w:val="Tabletext"/>
            </w:pPr>
            <w:r w:rsidRPr="00E06927">
              <w:t>Public Governance, Performance and Accountability Amendment (Corporate Commonwealth Entity Annual Reporting) Rule, subsection 17BE(p)</w:t>
            </w:r>
          </w:p>
        </w:tc>
        <w:tc>
          <w:tcPr>
            <w:tcW w:w="1531" w:type="dxa"/>
            <w:tcBorders>
              <w:bottom w:val="single" w:sz="8" w:space="0" w:color="F1F0EE" w:themeColor="accent4"/>
            </w:tcBorders>
            <w:shd w:val="clear" w:color="auto" w:fill="DFE0E2"/>
            <w:tcMar>
              <w:top w:w="57" w:type="dxa"/>
              <w:left w:w="142" w:type="dxa"/>
              <w:bottom w:w="57" w:type="dxa"/>
              <w:right w:w="142" w:type="dxa"/>
            </w:tcMar>
          </w:tcPr>
          <w:p w14:paraId="57E0A5EB" w14:textId="77777777" w:rsidR="00E06927" w:rsidRPr="00E06927" w:rsidRDefault="00E06927" w:rsidP="00E06927">
            <w:pPr>
              <w:pStyle w:val="Tabletext"/>
            </w:pPr>
            <w:r w:rsidRPr="00E06927">
              <w:t>70</w:t>
            </w:r>
          </w:p>
        </w:tc>
      </w:tr>
      <w:tr w:rsidR="00E06927" w:rsidRPr="00E06927" w14:paraId="3F9F7A20" w14:textId="77777777" w:rsidTr="00E06927">
        <w:trPr>
          <w:trHeight w:val="20"/>
        </w:trPr>
        <w:tc>
          <w:tcPr>
            <w:tcW w:w="3118" w:type="dxa"/>
            <w:tcBorders>
              <w:bottom w:val="single" w:sz="8" w:space="0" w:color="F1F0EE" w:themeColor="accent4"/>
            </w:tcBorders>
            <w:shd w:val="clear" w:color="auto" w:fill="FFFFFF" w:themeFill="background2"/>
            <w:tcMar>
              <w:top w:w="57" w:type="dxa"/>
              <w:left w:w="142" w:type="dxa"/>
              <w:bottom w:w="57" w:type="dxa"/>
              <w:right w:w="142" w:type="dxa"/>
            </w:tcMar>
          </w:tcPr>
          <w:p w14:paraId="14576B5E" w14:textId="77777777" w:rsidR="00E06927" w:rsidRPr="00E06927" w:rsidRDefault="00E06927" w:rsidP="00E06927">
            <w:pPr>
              <w:pStyle w:val="Tabletext"/>
            </w:pPr>
            <w:r w:rsidRPr="00E06927">
              <w:t>Location of major activities and facilities</w:t>
            </w:r>
          </w:p>
        </w:tc>
        <w:tc>
          <w:tcPr>
            <w:tcW w:w="3628" w:type="dxa"/>
            <w:tcBorders>
              <w:bottom w:val="single" w:sz="8" w:space="0" w:color="F1F0EE" w:themeColor="accent4"/>
            </w:tcBorders>
            <w:shd w:val="clear" w:color="auto" w:fill="FFFFFF" w:themeFill="background2"/>
            <w:tcMar>
              <w:top w:w="57" w:type="dxa"/>
              <w:left w:w="142" w:type="dxa"/>
              <w:bottom w:w="57" w:type="dxa"/>
              <w:right w:w="142" w:type="dxa"/>
            </w:tcMar>
          </w:tcPr>
          <w:p w14:paraId="78BEAD0B" w14:textId="77777777" w:rsidR="00E06927" w:rsidRPr="00E06927" w:rsidRDefault="00E06927" w:rsidP="00E06927">
            <w:pPr>
              <w:pStyle w:val="Tabletext"/>
            </w:pPr>
            <w:r w:rsidRPr="00E06927">
              <w:t>Public Governance, Performance and Accountability Amendment (Corporate Commonwealth Entity Annual Reporting) Rule, subsection 17BE(l)</w:t>
            </w:r>
          </w:p>
        </w:tc>
        <w:tc>
          <w:tcPr>
            <w:tcW w:w="1531" w:type="dxa"/>
            <w:tcBorders>
              <w:bottom w:val="single" w:sz="8" w:space="0" w:color="F1F0EE" w:themeColor="accent4"/>
            </w:tcBorders>
            <w:shd w:val="clear" w:color="auto" w:fill="FFFFFF" w:themeFill="background2"/>
            <w:tcMar>
              <w:top w:w="57" w:type="dxa"/>
              <w:left w:w="142" w:type="dxa"/>
              <w:bottom w:w="57" w:type="dxa"/>
              <w:right w:w="142" w:type="dxa"/>
            </w:tcMar>
          </w:tcPr>
          <w:p w14:paraId="46016C2B" w14:textId="77777777" w:rsidR="00E06927" w:rsidRPr="00E06927" w:rsidRDefault="00E06927" w:rsidP="00E06927">
            <w:pPr>
              <w:pStyle w:val="Tabletext"/>
            </w:pPr>
            <w:r w:rsidRPr="00E06927">
              <w:t>76</w:t>
            </w:r>
          </w:p>
        </w:tc>
      </w:tr>
      <w:tr w:rsidR="00E06927" w:rsidRPr="00E06927" w14:paraId="5EFCA05A" w14:textId="77777777" w:rsidTr="00E06927">
        <w:trPr>
          <w:trHeight w:val="20"/>
        </w:trPr>
        <w:tc>
          <w:tcPr>
            <w:tcW w:w="3118" w:type="dxa"/>
            <w:tcBorders>
              <w:bottom w:val="single" w:sz="8" w:space="0" w:color="F1F0EE" w:themeColor="accent4"/>
            </w:tcBorders>
            <w:shd w:val="clear" w:color="auto" w:fill="DFE0E2"/>
            <w:tcMar>
              <w:top w:w="57" w:type="dxa"/>
              <w:left w:w="142" w:type="dxa"/>
              <w:bottom w:w="57" w:type="dxa"/>
              <w:right w:w="142" w:type="dxa"/>
            </w:tcMar>
          </w:tcPr>
          <w:p w14:paraId="641CE28F" w14:textId="77777777" w:rsidR="00E06927" w:rsidRPr="00E06927" w:rsidRDefault="00E06927" w:rsidP="00E06927">
            <w:pPr>
              <w:pStyle w:val="Tabletext"/>
            </w:pPr>
            <w:r w:rsidRPr="00E06927">
              <w:t>Ministerial directions</w:t>
            </w:r>
          </w:p>
        </w:tc>
        <w:tc>
          <w:tcPr>
            <w:tcW w:w="3628" w:type="dxa"/>
            <w:tcBorders>
              <w:bottom w:val="single" w:sz="8" w:space="0" w:color="F1F0EE" w:themeColor="accent4"/>
            </w:tcBorders>
            <w:shd w:val="clear" w:color="auto" w:fill="DFE0E2"/>
            <w:tcMar>
              <w:top w:w="57" w:type="dxa"/>
              <w:left w:w="142" w:type="dxa"/>
              <w:bottom w:w="57" w:type="dxa"/>
              <w:right w:w="142" w:type="dxa"/>
            </w:tcMar>
          </w:tcPr>
          <w:p w14:paraId="432C65FC" w14:textId="77777777" w:rsidR="00E06927" w:rsidRPr="00E06927" w:rsidRDefault="00E06927" w:rsidP="00E06927">
            <w:pPr>
              <w:pStyle w:val="Tabletext"/>
            </w:pPr>
            <w:r w:rsidRPr="00E06927">
              <w:t>Public Governance, Performance and Accountability Amendment (Corporate Commonwealth Entity Annual Reporting) Rule, subsection 17BE(d)</w:t>
            </w:r>
          </w:p>
        </w:tc>
        <w:tc>
          <w:tcPr>
            <w:tcW w:w="1531" w:type="dxa"/>
            <w:tcBorders>
              <w:bottom w:val="single" w:sz="8" w:space="0" w:color="F1F0EE" w:themeColor="accent4"/>
            </w:tcBorders>
            <w:shd w:val="clear" w:color="auto" w:fill="DFE0E2"/>
            <w:tcMar>
              <w:top w:w="57" w:type="dxa"/>
              <w:left w:w="142" w:type="dxa"/>
              <w:bottom w:w="57" w:type="dxa"/>
              <w:right w:w="142" w:type="dxa"/>
            </w:tcMar>
          </w:tcPr>
          <w:p w14:paraId="19514CD1" w14:textId="77777777" w:rsidR="00E06927" w:rsidRPr="00E06927" w:rsidRDefault="00E06927" w:rsidP="00E06927">
            <w:pPr>
              <w:pStyle w:val="Tabletext"/>
            </w:pPr>
            <w:r w:rsidRPr="00E06927">
              <w:t>60</w:t>
            </w:r>
          </w:p>
        </w:tc>
      </w:tr>
      <w:tr w:rsidR="00E06927" w:rsidRPr="00E06927" w14:paraId="7D18BD9E" w14:textId="77777777" w:rsidTr="00E06927">
        <w:trPr>
          <w:trHeight w:val="20"/>
        </w:trPr>
        <w:tc>
          <w:tcPr>
            <w:tcW w:w="3118" w:type="dxa"/>
            <w:tcBorders>
              <w:bottom w:val="single" w:sz="8" w:space="0" w:color="F1F0EE" w:themeColor="accent4"/>
            </w:tcBorders>
            <w:shd w:val="clear" w:color="auto" w:fill="FFFFFF" w:themeFill="background2"/>
            <w:tcMar>
              <w:top w:w="57" w:type="dxa"/>
              <w:left w:w="142" w:type="dxa"/>
              <w:bottom w:w="57" w:type="dxa"/>
              <w:right w:w="142" w:type="dxa"/>
            </w:tcMar>
          </w:tcPr>
          <w:p w14:paraId="1CA07FE7" w14:textId="77777777" w:rsidR="00E06927" w:rsidRPr="00E06927" w:rsidRDefault="00E06927" w:rsidP="00E06927">
            <w:pPr>
              <w:pStyle w:val="Tabletext"/>
            </w:pPr>
            <w:r w:rsidRPr="00E06927">
              <w:t xml:space="preserve">Organisational structure </w:t>
            </w:r>
          </w:p>
        </w:tc>
        <w:tc>
          <w:tcPr>
            <w:tcW w:w="3628" w:type="dxa"/>
            <w:tcBorders>
              <w:bottom w:val="single" w:sz="8" w:space="0" w:color="F1F0EE" w:themeColor="accent4"/>
            </w:tcBorders>
            <w:shd w:val="clear" w:color="auto" w:fill="FFFFFF" w:themeFill="background2"/>
            <w:tcMar>
              <w:top w:w="57" w:type="dxa"/>
              <w:left w:w="142" w:type="dxa"/>
              <w:bottom w:w="57" w:type="dxa"/>
              <w:right w:w="142" w:type="dxa"/>
            </w:tcMar>
          </w:tcPr>
          <w:p w14:paraId="54578746" w14:textId="77777777" w:rsidR="00E06927" w:rsidRPr="00E06927" w:rsidRDefault="00E06927" w:rsidP="00E06927">
            <w:pPr>
              <w:pStyle w:val="Tabletext"/>
            </w:pPr>
            <w:r w:rsidRPr="00E06927">
              <w:t>Public Governance, Performance and Accountability Amendment (Corporate Commonwealth Entity Annual Reporting) Rule, subsection 17BE(k)</w:t>
            </w:r>
          </w:p>
        </w:tc>
        <w:tc>
          <w:tcPr>
            <w:tcW w:w="1531" w:type="dxa"/>
            <w:tcBorders>
              <w:bottom w:val="single" w:sz="8" w:space="0" w:color="F1F0EE" w:themeColor="accent4"/>
            </w:tcBorders>
            <w:shd w:val="clear" w:color="auto" w:fill="FFFFFF" w:themeFill="background2"/>
            <w:tcMar>
              <w:top w:w="57" w:type="dxa"/>
              <w:left w:w="142" w:type="dxa"/>
              <w:bottom w:w="57" w:type="dxa"/>
              <w:right w:w="142" w:type="dxa"/>
            </w:tcMar>
          </w:tcPr>
          <w:p w14:paraId="3CED77C6" w14:textId="77777777" w:rsidR="00E06927" w:rsidRPr="00E06927" w:rsidRDefault="00E06927" w:rsidP="00E06927">
            <w:pPr>
              <w:pStyle w:val="Tabletext"/>
            </w:pPr>
            <w:r w:rsidRPr="00E06927">
              <w:t>74–76</w:t>
            </w:r>
          </w:p>
        </w:tc>
      </w:tr>
      <w:tr w:rsidR="00E06927" w:rsidRPr="00E06927" w14:paraId="13D59D09" w14:textId="77777777" w:rsidTr="00E06927">
        <w:trPr>
          <w:trHeight w:val="20"/>
        </w:trPr>
        <w:tc>
          <w:tcPr>
            <w:tcW w:w="3118" w:type="dxa"/>
            <w:tcBorders>
              <w:bottom w:val="single" w:sz="8" w:space="0" w:color="F1F0EE" w:themeColor="accent4"/>
            </w:tcBorders>
            <w:shd w:val="clear" w:color="auto" w:fill="DFE0E2"/>
            <w:tcMar>
              <w:top w:w="57" w:type="dxa"/>
              <w:left w:w="142" w:type="dxa"/>
              <w:bottom w:w="57" w:type="dxa"/>
              <w:right w:w="142" w:type="dxa"/>
            </w:tcMar>
          </w:tcPr>
          <w:p w14:paraId="392F5CAC" w14:textId="77777777" w:rsidR="00E06927" w:rsidRPr="00E06927" w:rsidRDefault="00E06927" w:rsidP="00E06927">
            <w:pPr>
              <w:pStyle w:val="Tabletext"/>
            </w:pPr>
            <w:r w:rsidRPr="00E06927">
              <w:t>Related-entity transactions</w:t>
            </w:r>
          </w:p>
        </w:tc>
        <w:tc>
          <w:tcPr>
            <w:tcW w:w="3628" w:type="dxa"/>
            <w:tcBorders>
              <w:bottom w:val="single" w:sz="8" w:space="0" w:color="F1F0EE" w:themeColor="accent4"/>
            </w:tcBorders>
            <w:shd w:val="clear" w:color="auto" w:fill="DFE0E2"/>
            <w:tcMar>
              <w:top w:w="57" w:type="dxa"/>
              <w:left w:w="142" w:type="dxa"/>
              <w:bottom w:w="57" w:type="dxa"/>
              <w:right w:w="142" w:type="dxa"/>
            </w:tcMar>
          </w:tcPr>
          <w:p w14:paraId="6902F924" w14:textId="77777777" w:rsidR="00E06927" w:rsidRPr="00E06927" w:rsidRDefault="00E06927" w:rsidP="00E06927">
            <w:pPr>
              <w:pStyle w:val="Tabletext"/>
            </w:pPr>
            <w:r w:rsidRPr="00E06927">
              <w:t>Public Governance, Performance and Accountability Amendment (Corporate Commonwealth Entity Annual Reporting) Rule, subsections 17BE(n) and (o)</w:t>
            </w:r>
          </w:p>
        </w:tc>
        <w:tc>
          <w:tcPr>
            <w:tcW w:w="1531" w:type="dxa"/>
            <w:tcBorders>
              <w:bottom w:val="single" w:sz="8" w:space="0" w:color="F1F0EE" w:themeColor="accent4"/>
            </w:tcBorders>
            <w:shd w:val="clear" w:color="auto" w:fill="DFE0E2"/>
            <w:tcMar>
              <w:top w:w="57" w:type="dxa"/>
              <w:left w:w="142" w:type="dxa"/>
              <w:bottom w:w="57" w:type="dxa"/>
              <w:right w:w="142" w:type="dxa"/>
            </w:tcMar>
          </w:tcPr>
          <w:p w14:paraId="321CBEEF" w14:textId="77777777" w:rsidR="00E06927" w:rsidRPr="00E06927" w:rsidRDefault="00E06927" w:rsidP="00E06927">
            <w:pPr>
              <w:pStyle w:val="Tabletext"/>
            </w:pPr>
            <w:r w:rsidRPr="00E06927">
              <w:t>110</w:t>
            </w:r>
          </w:p>
        </w:tc>
      </w:tr>
      <w:tr w:rsidR="00E06927" w:rsidRPr="00E06927" w14:paraId="5D8184F5" w14:textId="77777777" w:rsidTr="00E06927">
        <w:trPr>
          <w:trHeight w:val="20"/>
        </w:trPr>
        <w:tc>
          <w:tcPr>
            <w:tcW w:w="3118" w:type="dxa"/>
            <w:tcBorders>
              <w:bottom w:val="single" w:sz="8" w:space="0" w:color="F1F0EE" w:themeColor="accent4"/>
            </w:tcBorders>
            <w:shd w:val="clear" w:color="auto" w:fill="FFFFFF" w:themeFill="background2"/>
            <w:tcMar>
              <w:top w:w="57" w:type="dxa"/>
              <w:left w:w="142" w:type="dxa"/>
              <w:bottom w:w="57" w:type="dxa"/>
              <w:right w:w="142" w:type="dxa"/>
            </w:tcMar>
          </w:tcPr>
          <w:p w14:paraId="04F61D51" w14:textId="77777777" w:rsidR="00E06927" w:rsidRPr="00E06927" w:rsidRDefault="00E06927" w:rsidP="00E06927">
            <w:pPr>
              <w:pStyle w:val="Tabletext"/>
            </w:pPr>
            <w:r w:rsidRPr="00E06927">
              <w:lastRenderedPageBreak/>
              <w:t>Reporting of significant decisions or issues</w:t>
            </w:r>
          </w:p>
        </w:tc>
        <w:tc>
          <w:tcPr>
            <w:tcW w:w="3628" w:type="dxa"/>
            <w:tcBorders>
              <w:bottom w:val="single" w:sz="8" w:space="0" w:color="F1F0EE" w:themeColor="accent4"/>
            </w:tcBorders>
            <w:shd w:val="clear" w:color="auto" w:fill="FFFFFF" w:themeFill="background2"/>
            <w:tcMar>
              <w:top w:w="57" w:type="dxa"/>
              <w:left w:w="142" w:type="dxa"/>
              <w:bottom w:w="57" w:type="dxa"/>
              <w:right w:w="142" w:type="dxa"/>
            </w:tcMar>
          </w:tcPr>
          <w:p w14:paraId="70CF64FE" w14:textId="77777777" w:rsidR="00E06927" w:rsidRPr="00E06927" w:rsidRDefault="00E06927" w:rsidP="00E06927">
            <w:pPr>
              <w:pStyle w:val="Tabletext"/>
            </w:pPr>
            <w:r w:rsidRPr="00E06927">
              <w:t>Public Governance, Performance and Accountability Amendment (Corporate Commonwealth Entity Annual Reporting) Rule, subsection 17BE(f)</w:t>
            </w:r>
          </w:p>
        </w:tc>
        <w:tc>
          <w:tcPr>
            <w:tcW w:w="1531" w:type="dxa"/>
            <w:tcBorders>
              <w:bottom w:val="single" w:sz="8" w:space="0" w:color="F1F0EE" w:themeColor="accent4"/>
            </w:tcBorders>
            <w:shd w:val="clear" w:color="auto" w:fill="FFFFFF" w:themeFill="background2"/>
            <w:tcMar>
              <w:top w:w="57" w:type="dxa"/>
              <w:left w:w="142" w:type="dxa"/>
              <w:bottom w:w="57" w:type="dxa"/>
              <w:right w:w="142" w:type="dxa"/>
            </w:tcMar>
          </w:tcPr>
          <w:p w14:paraId="5F6269CB" w14:textId="77777777" w:rsidR="00E06927" w:rsidRPr="00E06927" w:rsidRDefault="00E06927" w:rsidP="00E06927">
            <w:pPr>
              <w:pStyle w:val="Tabletext"/>
            </w:pPr>
            <w:r w:rsidRPr="00E06927">
              <w:t>70</w:t>
            </w:r>
          </w:p>
        </w:tc>
      </w:tr>
      <w:tr w:rsidR="00E06927" w:rsidRPr="00E06927" w14:paraId="53C6CF0B" w14:textId="77777777" w:rsidTr="00E06927">
        <w:trPr>
          <w:trHeight w:val="20"/>
        </w:trPr>
        <w:tc>
          <w:tcPr>
            <w:tcW w:w="3118" w:type="dxa"/>
            <w:tcBorders>
              <w:bottom w:val="single" w:sz="8" w:space="0" w:color="F1F0EE" w:themeColor="accent4"/>
            </w:tcBorders>
            <w:shd w:val="clear" w:color="auto" w:fill="DFE0E2"/>
            <w:tcMar>
              <w:top w:w="57" w:type="dxa"/>
              <w:left w:w="142" w:type="dxa"/>
              <w:bottom w:w="57" w:type="dxa"/>
              <w:right w:w="142" w:type="dxa"/>
            </w:tcMar>
          </w:tcPr>
          <w:p w14:paraId="4CD6A0A4" w14:textId="77777777" w:rsidR="00E06927" w:rsidRPr="00E06927" w:rsidRDefault="00E06927" w:rsidP="00E06927">
            <w:pPr>
              <w:pStyle w:val="Tabletext"/>
            </w:pPr>
            <w:r w:rsidRPr="00E06927">
              <w:t>Reports about the Commission by the Auditor-General, a parliamentary committee, the Commonwealth Ombudsman or the Office of the Australian Information Commissioner</w:t>
            </w:r>
          </w:p>
        </w:tc>
        <w:tc>
          <w:tcPr>
            <w:tcW w:w="3628" w:type="dxa"/>
            <w:tcBorders>
              <w:bottom w:val="single" w:sz="8" w:space="0" w:color="F1F0EE" w:themeColor="accent4"/>
            </w:tcBorders>
            <w:shd w:val="clear" w:color="auto" w:fill="DFE0E2"/>
            <w:tcMar>
              <w:top w:w="57" w:type="dxa"/>
              <w:left w:w="142" w:type="dxa"/>
              <w:bottom w:w="57" w:type="dxa"/>
              <w:right w:w="142" w:type="dxa"/>
            </w:tcMar>
          </w:tcPr>
          <w:p w14:paraId="60DD9429" w14:textId="77777777" w:rsidR="00E06927" w:rsidRPr="00E06927" w:rsidRDefault="00E06927" w:rsidP="00E06927">
            <w:pPr>
              <w:pStyle w:val="Tabletext"/>
            </w:pPr>
            <w:r w:rsidRPr="00E06927">
              <w:t>Public Governance, Performance and Accountability Amendment (Corporate Commonwealth Entity Annual Reporting) Rule, subsection 17BE(r)</w:t>
            </w:r>
          </w:p>
        </w:tc>
        <w:tc>
          <w:tcPr>
            <w:tcW w:w="1531" w:type="dxa"/>
            <w:tcBorders>
              <w:bottom w:val="single" w:sz="8" w:space="0" w:color="F1F0EE" w:themeColor="accent4"/>
            </w:tcBorders>
            <w:shd w:val="clear" w:color="auto" w:fill="DFE0E2"/>
            <w:tcMar>
              <w:top w:w="57" w:type="dxa"/>
              <w:left w:w="142" w:type="dxa"/>
              <w:bottom w:w="57" w:type="dxa"/>
              <w:right w:w="142" w:type="dxa"/>
            </w:tcMar>
          </w:tcPr>
          <w:p w14:paraId="2F89C7E8" w14:textId="77777777" w:rsidR="00E06927" w:rsidRPr="00E06927" w:rsidRDefault="00E06927" w:rsidP="00E06927">
            <w:pPr>
              <w:pStyle w:val="Tabletext"/>
            </w:pPr>
            <w:r w:rsidRPr="00E06927">
              <w:t>70</w:t>
            </w:r>
          </w:p>
        </w:tc>
      </w:tr>
      <w:tr w:rsidR="00E06927" w:rsidRPr="00E06927" w14:paraId="263F5599" w14:textId="77777777" w:rsidTr="00E06927">
        <w:trPr>
          <w:trHeight w:val="20"/>
        </w:trPr>
        <w:tc>
          <w:tcPr>
            <w:tcW w:w="3118" w:type="dxa"/>
            <w:tcBorders>
              <w:bottom w:val="single" w:sz="8" w:space="0" w:color="F1F0EE" w:themeColor="accent4"/>
            </w:tcBorders>
            <w:shd w:val="clear" w:color="auto" w:fill="FFFFFF" w:themeFill="background2"/>
            <w:tcMar>
              <w:top w:w="57" w:type="dxa"/>
              <w:left w:w="142" w:type="dxa"/>
              <w:bottom w:w="57" w:type="dxa"/>
              <w:right w:w="142" w:type="dxa"/>
            </w:tcMar>
          </w:tcPr>
          <w:p w14:paraId="0D01C8F1" w14:textId="77777777" w:rsidR="00E06927" w:rsidRPr="00E06927" w:rsidRDefault="00E06927" w:rsidP="00E06927">
            <w:pPr>
              <w:pStyle w:val="Tabletext"/>
            </w:pPr>
            <w:r w:rsidRPr="00E06927">
              <w:t>Responsible Minister</w:t>
            </w:r>
          </w:p>
        </w:tc>
        <w:tc>
          <w:tcPr>
            <w:tcW w:w="3628" w:type="dxa"/>
            <w:tcBorders>
              <w:bottom w:val="single" w:sz="8" w:space="0" w:color="F1F0EE" w:themeColor="accent4"/>
            </w:tcBorders>
            <w:shd w:val="clear" w:color="auto" w:fill="FFFFFF" w:themeFill="background2"/>
            <w:tcMar>
              <w:top w:w="57" w:type="dxa"/>
              <w:left w:w="142" w:type="dxa"/>
              <w:bottom w:w="57" w:type="dxa"/>
              <w:right w:w="142" w:type="dxa"/>
            </w:tcMar>
          </w:tcPr>
          <w:p w14:paraId="18868744" w14:textId="77777777" w:rsidR="00E06927" w:rsidRPr="00E06927" w:rsidRDefault="00E06927" w:rsidP="00E06927">
            <w:pPr>
              <w:pStyle w:val="Tabletext"/>
            </w:pPr>
            <w:r w:rsidRPr="00E06927">
              <w:t>Public Governance, Performance and Accountability Amendment (Corporate Commonwealth Entity Annual Reporting) Rule, subsection 17BE(c)</w:t>
            </w:r>
          </w:p>
        </w:tc>
        <w:tc>
          <w:tcPr>
            <w:tcW w:w="1531" w:type="dxa"/>
            <w:tcBorders>
              <w:bottom w:val="single" w:sz="8" w:space="0" w:color="F1F0EE" w:themeColor="accent4"/>
            </w:tcBorders>
            <w:shd w:val="clear" w:color="auto" w:fill="FFFFFF" w:themeFill="background2"/>
            <w:tcMar>
              <w:top w:w="57" w:type="dxa"/>
              <w:left w:w="142" w:type="dxa"/>
              <w:bottom w:w="57" w:type="dxa"/>
              <w:right w:w="142" w:type="dxa"/>
            </w:tcMar>
          </w:tcPr>
          <w:p w14:paraId="7BFFFAA4" w14:textId="77777777" w:rsidR="00E06927" w:rsidRPr="00E06927" w:rsidRDefault="00E06927" w:rsidP="00E06927">
            <w:pPr>
              <w:pStyle w:val="Tabletext"/>
            </w:pPr>
            <w:r w:rsidRPr="00E06927">
              <w:t>6, 60</w:t>
            </w:r>
          </w:p>
        </w:tc>
      </w:tr>
      <w:tr w:rsidR="00E06927" w:rsidRPr="00E06927" w14:paraId="24A0778E" w14:textId="77777777" w:rsidTr="00E06927">
        <w:trPr>
          <w:trHeight w:val="20"/>
        </w:trPr>
        <w:tc>
          <w:tcPr>
            <w:tcW w:w="3118" w:type="dxa"/>
            <w:tcBorders>
              <w:bottom w:val="single" w:sz="8" w:space="0" w:color="F1F0EE" w:themeColor="accent4"/>
            </w:tcBorders>
            <w:shd w:val="clear" w:color="auto" w:fill="DFE0E2"/>
            <w:tcMar>
              <w:top w:w="57" w:type="dxa"/>
              <w:left w:w="142" w:type="dxa"/>
              <w:bottom w:w="57" w:type="dxa"/>
              <w:right w:w="142" w:type="dxa"/>
            </w:tcMar>
          </w:tcPr>
          <w:p w14:paraId="66C39756" w14:textId="77777777" w:rsidR="00E06927" w:rsidRPr="00E06927" w:rsidRDefault="00E06927" w:rsidP="00E06927">
            <w:pPr>
              <w:pStyle w:val="Tabletext"/>
            </w:pPr>
            <w:r w:rsidRPr="00E06927">
              <w:t>Review of performance</w:t>
            </w:r>
          </w:p>
        </w:tc>
        <w:tc>
          <w:tcPr>
            <w:tcW w:w="3628" w:type="dxa"/>
            <w:tcBorders>
              <w:bottom w:val="single" w:sz="8" w:space="0" w:color="F1F0EE" w:themeColor="accent4"/>
            </w:tcBorders>
            <w:shd w:val="clear" w:color="auto" w:fill="DFE0E2"/>
            <w:tcMar>
              <w:top w:w="57" w:type="dxa"/>
              <w:left w:w="142" w:type="dxa"/>
              <w:bottom w:w="57" w:type="dxa"/>
              <w:right w:w="142" w:type="dxa"/>
            </w:tcMar>
          </w:tcPr>
          <w:p w14:paraId="7891A664" w14:textId="77777777" w:rsidR="00E06927" w:rsidRPr="00E06927" w:rsidRDefault="00E06927" w:rsidP="00E06927">
            <w:pPr>
              <w:pStyle w:val="Tabletext"/>
            </w:pPr>
            <w:r w:rsidRPr="00E06927">
              <w:t>Public Governance, Performance and Accountability Amendment (Corporate Commonwealth Entity Annual Reporting) Rule, subsection 17BE(g)</w:t>
            </w:r>
          </w:p>
        </w:tc>
        <w:tc>
          <w:tcPr>
            <w:tcW w:w="1531" w:type="dxa"/>
            <w:tcBorders>
              <w:bottom w:val="single" w:sz="8" w:space="0" w:color="F1F0EE" w:themeColor="accent4"/>
            </w:tcBorders>
            <w:shd w:val="clear" w:color="auto" w:fill="DFE0E2"/>
            <w:tcMar>
              <w:top w:w="57" w:type="dxa"/>
              <w:left w:w="142" w:type="dxa"/>
              <w:bottom w:w="57" w:type="dxa"/>
              <w:right w:w="142" w:type="dxa"/>
            </w:tcMar>
          </w:tcPr>
          <w:p w14:paraId="06A9369A" w14:textId="77777777" w:rsidR="00E06927" w:rsidRPr="00E06927" w:rsidRDefault="00E06927" w:rsidP="00E06927">
            <w:pPr>
              <w:pStyle w:val="Tabletext"/>
            </w:pPr>
            <w:r w:rsidRPr="00E06927">
              <w:t>49–57</w:t>
            </w:r>
          </w:p>
        </w:tc>
      </w:tr>
      <w:tr w:rsidR="00E06927" w:rsidRPr="00E06927" w14:paraId="57A1272A" w14:textId="77777777" w:rsidTr="00E06927">
        <w:trPr>
          <w:trHeight w:val="20"/>
        </w:trPr>
        <w:tc>
          <w:tcPr>
            <w:tcW w:w="3118" w:type="dxa"/>
            <w:tcBorders>
              <w:bottom w:val="single" w:sz="8" w:space="0" w:color="F1F0EE" w:themeColor="accent4"/>
            </w:tcBorders>
            <w:shd w:val="clear" w:color="auto" w:fill="FFFFFF" w:themeFill="background2"/>
            <w:tcMar>
              <w:top w:w="57" w:type="dxa"/>
              <w:left w:w="142" w:type="dxa"/>
              <w:bottom w:w="57" w:type="dxa"/>
              <w:right w:w="142" w:type="dxa"/>
            </w:tcMar>
          </w:tcPr>
          <w:p w14:paraId="3B17529C" w14:textId="77777777" w:rsidR="00E06927" w:rsidRPr="00E06927" w:rsidRDefault="00E06927" w:rsidP="00E06927">
            <w:pPr>
              <w:pStyle w:val="Tabletext"/>
            </w:pPr>
            <w:r w:rsidRPr="00E06927">
              <w:t>Statement on governance</w:t>
            </w:r>
          </w:p>
        </w:tc>
        <w:tc>
          <w:tcPr>
            <w:tcW w:w="3628" w:type="dxa"/>
            <w:tcBorders>
              <w:bottom w:val="single" w:sz="8" w:space="0" w:color="F1F0EE" w:themeColor="accent4"/>
            </w:tcBorders>
            <w:shd w:val="clear" w:color="auto" w:fill="FFFFFF" w:themeFill="background2"/>
            <w:tcMar>
              <w:top w:w="57" w:type="dxa"/>
              <w:left w:w="142" w:type="dxa"/>
              <w:bottom w:w="57" w:type="dxa"/>
              <w:right w:w="142" w:type="dxa"/>
            </w:tcMar>
          </w:tcPr>
          <w:p w14:paraId="08C90437" w14:textId="77777777" w:rsidR="00E06927" w:rsidRPr="00E06927" w:rsidRDefault="00E06927" w:rsidP="00E06927">
            <w:pPr>
              <w:pStyle w:val="Tabletext"/>
            </w:pPr>
            <w:r w:rsidRPr="00E06927">
              <w:t>Public Governance, Performance and Accountability Amendment (Corporate Commonwealth Entity Annual Reporting) Rule, subsection 17BE(m)</w:t>
            </w:r>
          </w:p>
        </w:tc>
        <w:tc>
          <w:tcPr>
            <w:tcW w:w="1531" w:type="dxa"/>
            <w:tcBorders>
              <w:bottom w:val="single" w:sz="8" w:space="0" w:color="F1F0EE" w:themeColor="accent4"/>
            </w:tcBorders>
            <w:shd w:val="clear" w:color="auto" w:fill="FFFFFF" w:themeFill="background2"/>
            <w:tcMar>
              <w:top w:w="57" w:type="dxa"/>
              <w:left w:w="142" w:type="dxa"/>
              <w:bottom w:w="57" w:type="dxa"/>
              <w:right w:w="142" w:type="dxa"/>
            </w:tcMar>
          </w:tcPr>
          <w:p w14:paraId="22B367C8" w14:textId="77777777" w:rsidR="00E06927" w:rsidRPr="00E06927" w:rsidRDefault="00E06927" w:rsidP="00E06927">
            <w:pPr>
              <w:pStyle w:val="Tabletext"/>
            </w:pPr>
            <w:r w:rsidRPr="00E06927">
              <w:t>69–70</w:t>
            </w:r>
          </w:p>
        </w:tc>
      </w:tr>
    </w:tbl>
    <w:p w14:paraId="5C686959" w14:textId="77777777" w:rsidR="005E6960" w:rsidRDefault="005E6960">
      <w:pPr>
        <w:spacing w:after="160" w:line="259" w:lineRule="auto"/>
      </w:pPr>
      <w:r>
        <w:br w:type="page"/>
      </w:r>
    </w:p>
    <w:p w14:paraId="2C9E552C" w14:textId="77777777" w:rsidR="005E6960" w:rsidRPr="005E6960" w:rsidRDefault="005E6960" w:rsidP="005E6960">
      <w:pPr>
        <w:tabs>
          <w:tab w:val="left" w:pos="567"/>
          <w:tab w:val="left" w:pos="1134"/>
          <w:tab w:val="left" w:pos="1701"/>
        </w:tabs>
        <w:suppressAutoHyphens/>
        <w:autoSpaceDE w:val="0"/>
        <w:autoSpaceDN w:val="0"/>
        <w:adjustRightInd w:val="0"/>
        <w:spacing w:before="227" w:after="113" w:line="400" w:lineRule="atLeast"/>
        <w:textAlignment w:val="center"/>
        <w:rPr>
          <w:rFonts w:ascii="Helvetica 65 Medium" w:hAnsi="Helvetica 65 Medium" w:cs="Helvetica 65 Medium"/>
          <w:color w:val="434546"/>
          <w:spacing w:val="-4"/>
          <w:sz w:val="36"/>
          <w:szCs w:val="36"/>
        </w:rPr>
      </w:pPr>
      <w:r w:rsidRPr="005E6960">
        <w:rPr>
          <w:rFonts w:ascii="Helvetica 65 Medium" w:hAnsi="Helvetica 65 Medium" w:cs="Helvetica 65 Medium"/>
          <w:color w:val="434546"/>
          <w:spacing w:val="-4"/>
          <w:sz w:val="36"/>
          <w:szCs w:val="36"/>
        </w:rPr>
        <w:lastRenderedPageBreak/>
        <w:t>Index</w:t>
      </w:r>
    </w:p>
    <w:p w14:paraId="51364AA8" w14:textId="77777777" w:rsidR="00E340EF" w:rsidRDefault="00E06927" w:rsidP="005207F5">
      <w:pPr>
        <w:pStyle w:val="BodyText"/>
        <w:spacing w:after="60"/>
        <w:sectPr w:rsidR="00E340EF" w:rsidSect="005207F5">
          <w:headerReference w:type="even" r:id="rId118"/>
          <w:headerReference w:type="default" r:id="rId119"/>
          <w:footerReference w:type="even" r:id="rId120"/>
          <w:footerReference w:type="default" r:id="rId121"/>
          <w:pgSz w:w="9979" w:h="14175" w:code="34"/>
          <w:pgMar w:top="1418" w:right="680" w:bottom="454" w:left="1021" w:header="567" w:footer="397" w:gutter="0"/>
          <w:cols w:space="340"/>
          <w:noEndnote/>
        </w:sectPr>
      </w:pPr>
      <w:r w:rsidRPr="00E06927">
        <w:t xml:space="preserve">Page range references in </w:t>
      </w:r>
      <w:r w:rsidRPr="00E06927">
        <w:rPr>
          <w:rStyle w:val="Strong"/>
        </w:rPr>
        <w:t>bold</w:t>
      </w:r>
      <w:r w:rsidRPr="00E06927">
        <w:t xml:space="preserve"> type refer to major discussions of a topic.</w:t>
      </w:r>
    </w:p>
    <w:p w14:paraId="2ADAE86C" w14:textId="77777777" w:rsidR="00E340EF" w:rsidRPr="00E340EF" w:rsidRDefault="00E340EF" w:rsidP="006B5123">
      <w:pPr>
        <w:pStyle w:val="IndexMain"/>
      </w:pPr>
      <w:r w:rsidRPr="00E340EF">
        <w:lastRenderedPageBreak/>
        <w:t>A</w:t>
      </w:r>
    </w:p>
    <w:p w14:paraId="2B134576" w14:textId="77777777" w:rsidR="00E340EF" w:rsidRPr="00E340EF" w:rsidRDefault="00E340EF" w:rsidP="006B5123">
      <w:pPr>
        <w:pStyle w:val="Indexbodycopy"/>
      </w:pPr>
      <w:r w:rsidRPr="00E340EF">
        <w:t xml:space="preserve">abbreviations, </w:t>
      </w:r>
      <w:r w:rsidRPr="0044323F">
        <w:rPr>
          <w:rFonts w:cs="Arial"/>
          <w:b/>
          <w:bCs/>
        </w:rPr>
        <w:t>114–115</w:t>
      </w:r>
    </w:p>
    <w:p w14:paraId="1D5C8B9F" w14:textId="77777777" w:rsidR="00E340EF" w:rsidRPr="00E340EF" w:rsidRDefault="00E340EF" w:rsidP="0096509F">
      <w:pPr>
        <w:pStyle w:val="Indexbodycopy"/>
        <w:ind w:right="-142"/>
      </w:pPr>
      <w:r w:rsidRPr="00E340EF">
        <w:t>Aboriginal and Torres Strait Islander Australians</w:t>
      </w:r>
    </w:p>
    <w:p w14:paraId="02651EBE" w14:textId="77777777" w:rsidR="00E340EF" w:rsidRPr="00E340EF" w:rsidRDefault="00E340EF" w:rsidP="00EB7AF1">
      <w:pPr>
        <w:pStyle w:val="Indexbodycopy"/>
      </w:pPr>
      <w:r w:rsidRPr="00E340EF">
        <w:tab/>
        <w:t>hospitalisation rates, 38</w:t>
      </w:r>
    </w:p>
    <w:p w14:paraId="7C59198A" w14:textId="77777777" w:rsidR="00E340EF" w:rsidRPr="00E340EF" w:rsidRDefault="00E340EF" w:rsidP="00EB7AF1">
      <w:pPr>
        <w:pStyle w:val="Indexbodycopy"/>
      </w:pPr>
      <w:r w:rsidRPr="00E340EF">
        <w:tab/>
        <w:t xml:space="preserve">staff, </w:t>
      </w:r>
      <w:r w:rsidRPr="0044323F">
        <w:rPr>
          <w:rFonts w:cs="Arial"/>
          <w:b/>
          <w:bCs/>
        </w:rPr>
        <w:t>78</w:t>
      </w:r>
    </w:p>
    <w:p w14:paraId="0135BE06" w14:textId="77777777" w:rsidR="00E340EF" w:rsidRPr="00E340EF" w:rsidRDefault="00E340EF" w:rsidP="00EB7AF1">
      <w:pPr>
        <w:pStyle w:val="Indexbodycopy"/>
      </w:pPr>
      <w:r w:rsidRPr="00E340EF">
        <w:t>accountability, 6, 60</w:t>
      </w:r>
    </w:p>
    <w:p w14:paraId="05C78C2E" w14:textId="77777777" w:rsidR="00E340EF" w:rsidRPr="00E340EF" w:rsidRDefault="00E340EF" w:rsidP="00EB7AF1">
      <w:pPr>
        <w:pStyle w:val="Indexbodycopy"/>
      </w:pPr>
      <w:r w:rsidRPr="00E340EF">
        <w:t>accreditation</w:t>
      </w:r>
    </w:p>
    <w:p w14:paraId="53596354" w14:textId="77777777" w:rsidR="00E340EF" w:rsidRPr="00E340EF" w:rsidRDefault="00E340EF" w:rsidP="00EB7AF1">
      <w:pPr>
        <w:pStyle w:val="Indexcopyindent"/>
      </w:pPr>
      <w:r w:rsidRPr="00E340EF">
        <w:tab/>
        <w:t xml:space="preserve">Australian Health Service Safety and Quality Accreditation Scheme, </w:t>
      </w:r>
      <w:r w:rsidRPr="0044323F">
        <w:rPr>
          <w:rFonts w:cs="Arial"/>
          <w:b/>
          <w:bCs/>
        </w:rPr>
        <w:t>20</w:t>
      </w:r>
      <w:r w:rsidRPr="00E340EF">
        <w:t>, 50</w:t>
      </w:r>
    </w:p>
    <w:p w14:paraId="27446FB5" w14:textId="77777777" w:rsidR="00E340EF" w:rsidRPr="00E340EF" w:rsidRDefault="00E340EF" w:rsidP="00EB7AF1">
      <w:pPr>
        <w:pStyle w:val="Indexcopyindent"/>
      </w:pPr>
      <w:r w:rsidRPr="00E340EF">
        <w:tab/>
        <w:t>National General Practice Accreditation Scheme, 11, 16</w:t>
      </w:r>
    </w:p>
    <w:p w14:paraId="077E3359" w14:textId="77777777" w:rsidR="00E340EF" w:rsidRPr="00E340EF" w:rsidRDefault="00E340EF" w:rsidP="00EB7AF1">
      <w:pPr>
        <w:pStyle w:val="Indexcopyindent"/>
      </w:pPr>
      <w:r w:rsidRPr="00E340EF">
        <w:tab/>
        <w:t>review of accrediting agencies, 16–17</w:t>
      </w:r>
    </w:p>
    <w:p w14:paraId="0F84807A" w14:textId="77777777" w:rsidR="00E340EF" w:rsidRPr="00E340EF" w:rsidRDefault="00E340EF" w:rsidP="00EB7AF1">
      <w:pPr>
        <w:pStyle w:val="Indexbodycopy"/>
      </w:pPr>
      <w:r w:rsidRPr="00E340EF">
        <w:t xml:space="preserve">acronyms, </w:t>
      </w:r>
      <w:r w:rsidRPr="0044323F">
        <w:rPr>
          <w:rFonts w:cs="Arial"/>
          <w:b/>
          <w:bCs/>
        </w:rPr>
        <w:t>114–115</w:t>
      </w:r>
    </w:p>
    <w:p w14:paraId="69418310" w14:textId="77777777" w:rsidR="00E340EF" w:rsidRPr="00E340EF" w:rsidRDefault="00E340EF" w:rsidP="00EB7AF1">
      <w:pPr>
        <w:pStyle w:val="Indexbodycopy"/>
      </w:pPr>
      <w:r w:rsidRPr="00E340EF">
        <w:t>advertising and market research, 71</w:t>
      </w:r>
    </w:p>
    <w:p w14:paraId="114DE63D" w14:textId="77777777" w:rsidR="00E340EF" w:rsidRPr="00E340EF" w:rsidRDefault="00E340EF" w:rsidP="00EB7AF1">
      <w:pPr>
        <w:pStyle w:val="Indexbodycopy"/>
      </w:pPr>
      <w:r w:rsidRPr="00E340EF">
        <w:t>anaemia, 26</w:t>
      </w:r>
    </w:p>
    <w:p w14:paraId="74867B70" w14:textId="77777777" w:rsidR="00E340EF" w:rsidRPr="00E340EF" w:rsidRDefault="00E340EF" w:rsidP="00EB7AF1">
      <w:pPr>
        <w:pStyle w:val="Indexbodycopy"/>
      </w:pPr>
      <w:r w:rsidRPr="00E340EF">
        <w:t>annual performance statements, 49–57</w:t>
      </w:r>
    </w:p>
    <w:p w14:paraId="663A6A40" w14:textId="77777777" w:rsidR="00E340EF" w:rsidRPr="00E340EF" w:rsidRDefault="00E340EF" w:rsidP="00EB7AF1">
      <w:pPr>
        <w:pStyle w:val="Indexcopyindent"/>
      </w:pPr>
      <w:r w:rsidRPr="00E340EF">
        <w:tab/>
        <w:t xml:space="preserve">entity purpose, </w:t>
      </w:r>
      <w:r w:rsidRPr="0044323F">
        <w:rPr>
          <w:rFonts w:cs="Arial"/>
          <w:b/>
          <w:bCs/>
        </w:rPr>
        <w:t>49</w:t>
      </w:r>
    </w:p>
    <w:p w14:paraId="6A0B0F1C" w14:textId="77777777" w:rsidR="00E340EF" w:rsidRPr="00E340EF" w:rsidRDefault="00E340EF" w:rsidP="00EB7AF1">
      <w:pPr>
        <w:pStyle w:val="Indexcopyindent"/>
      </w:pPr>
      <w:r w:rsidRPr="00E340EF">
        <w:tab/>
        <w:t xml:space="preserve">performance, </w:t>
      </w:r>
      <w:r w:rsidRPr="0044323F">
        <w:rPr>
          <w:rFonts w:cs="Arial"/>
          <w:b/>
          <w:bCs/>
        </w:rPr>
        <w:t>50–51</w:t>
      </w:r>
    </w:p>
    <w:p w14:paraId="454F9AA9" w14:textId="77777777" w:rsidR="00E340EF" w:rsidRPr="00E340EF" w:rsidRDefault="00E340EF" w:rsidP="00EB7AF1">
      <w:pPr>
        <w:pStyle w:val="Indexcopyindent"/>
      </w:pPr>
      <w:r w:rsidRPr="00E340EF">
        <w:tab/>
        <w:t>performance against Health Portfolio Budget</w:t>
      </w:r>
      <w:r w:rsidRPr="00E340EF">
        <w:rPr>
          <w:rFonts w:cs="Arial"/>
        </w:rPr>
        <w:t> </w:t>
      </w:r>
      <w:r w:rsidRPr="00E340EF">
        <w:t xml:space="preserve">Statements and Corporate plan 2016–17, </w:t>
      </w:r>
      <w:r w:rsidRPr="0044323F">
        <w:rPr>
          <w:rFonts w:cs="Arial"/>
          <w:b/>
          <w:bCs/>
        </w:rPr>
        <w:t>52–57</w:t>
      </w:r>
    </w:p>
    <w:p w14:paraId="19ED180B" w14:textId="77777777" w:rsidR="00E340EF" w:rsidRPr="00E340EF" w:rsidRDefault="00E340EF" w:rsidP="00EB7AF1">
      <w:pPr>
        <w:pStyle w:val="Indexbodycopy"/>
      </w:pPr>
      <w:r w:rsidRPr="00E340EF">
        <w:t>antibiotic usage, 51</w:t>
      </w:r>
    </w:p>
    <w:p w14:paraId="37C01EE3" w14:textId="77777777" w:rsidR="00E340EF" w:rsidRPr="00E340EF" w:rsidRDefault="00E340EF" w:rsidP="00EB7AF1">
      <w:pPr>
        <w:pStyle w:val="Indexbodycopy"/>
      </w:pPr>
      <w:r w:rsidRPr="00E340EF">
        <w:t xml:space="preserve">antimicrobial resistance, 11, </w:t>
      </w:r>
      <w:r w:rsidRPr="0044323F">
        <w:rPr>
          <w:rFonts w:cs="Arial"/>
          <w:b/>
          <w:bCs/>
        </w:rPr>
        <w:t>21–22</w:t>
      </w:r>
    </w:p>
    <w:p w14:paraId="606DA97A" w14:textId="77777777" w:rsidR="00E340EF" w:rsidRPr="00E340EF" w:rsidRDefault="00E340EF" w:rsidP="00EB7AF1">
      <w:pPr>
        <w:pStyle w:val="Indexbodycopy"/>
      </w:pPr>
      <w:r w:rsidRPr="00E340EF">
        <w:t xml:space="preserve">Antimicrobial Use and Resistance in Australia (AURA) Surveillance System, 11, </w:t>
      </w:r>
      <w:r w:rsidRPr="0044323F">
        <w:rPr>
          <w:rFonts w:cs="Arial"/>
          <w:b/>
          <w:bCs/>
        </w:rPr>
        <w:t>21–22</w:t>
      </w:r>
      <w:r w:rsidRPr="00E340EF">
        <w:t>, 51</w:t>
      </w:r>
    </w:p>
    <w:p w14:paraId="6A0BA44E" w14:textId="77777777" w:rsidR="00E340EF" w:rsidRPr="00E340EF" w:rsidRDefault="00E340EF" w:rsidP="00EB7AF1">
      <w:pPr>
        <w:pStyle w:val="Indexcopyindent"/>
      </w:pPr>
      <w:r w:rsidRPr="00E340EF">
        <w:tab/>
      </w:r>
      <w:r w:rsidRPr="00EB7AF1">
        <w:rPr>
          <w:rStyle w:val="Emphasis"/>
        </w:rPr>
        <w:t>AURA 2016: First Australian report on antimicrobial use and resistance in human health,</w:t>
      </w:r>
      <w:r w:rsidRPr="00E340EF">
        <w:t xml:space="preserve"> 21</w:t>
      </w:r>
    </w:p>
    <w:p w14:paraId="5BAB2F42" w14:textId="77777777" w:rsidR="00E340EF" w:rsidRPr="00E340EF" w:rsidRDefault="00E340EF" w:rsidP="00EB7AF1">
      <w:pPr>
        <w:pStyle w:val="Indexcopyindent"/>
      </w:pPr>
      <w:r w:rsidRPr="00E340EF">
        <w:tab/>
        <w:t>National Alert System for Critical Antimicrobial Resistances (CARAlert), 21</w:t>
      </w:r>
    </w:p>
    <w:p w14:paraId="5140D888" w14:textId="77777777" w:rsidR="00E340EF" w:rsidRPr="00E340EF" w:rsidRDefault="00E340EF" w:rsidP="00EB7AF1">
      <w:pPr>
        <w:pStyle w:val="Indexbodycopy"/>
      </w:pPr>
      <w:r w:rsidRPr="00E340EF">
        <w:t>antipsychotic medication, 27–28</w:t>
      </w:r>
    </w:p>
    <w:p w14:paraId="3FBFC647" w14:textId="77777777" w:rsidR="00E340EF" w:rsidRPr="00EB7AF1" w:rsidRDefault="00E340EF" w:rsidP="00EB7AF1">
      <w:pPr>
        <w:pStyle w:val="Indexcopyindent"/>
        <w:ind w:right="-142"/>
        <w:rPr>
          <w:rStyle w:val="Emphasis"/>
        </w:rPr>
      </w:pPr>
      <w:r w:rsidRPr="00E340EF">
        <w:tab/>
      </w:r>
      <w:r w:rsidRPr="00EB7AF1">
        <w:rPr>
          <w:rStyle w:val="Emphasis"/>
        </w:rPr>
        <w:t>Atlas of Healthcare Variation, see Australian Atlas of Healthcare Variation; Second Australian Atlas of Healthcare Variation</w:t>
      </w:r>
    </w:p>
    <w:p w14:paraId="3B2668B6" w14:textId="77777777" w:rsidR="00E340EF" w:rsidRPr="00E340EF" w:rsidRDefault="00E340EF" w:rsidP="00EB7AF1">
      <w:pPr>
        <w:pStyle w:val="Indexbodycopy"/>
      </w:pPr>
      <w:r w:rsidRPr="00E340EF">
        <w:t>Audit and Risk Committee, 67</w:t>
      </w:r>
    </w:p>
    <w:p w14:paraId="4B8BDC91" w14:textId="77777777" w:rsidR="00E340EF" w:rsidRPr="00E340EF" w:rsidRDefault="00E340EF" w:rsidP="00EB7AF1">
      <w:pPr>
        <w:pStyle w:val="Indexbodycopy"/>
      </w:pPr>
      <w:r w:rsidRPr="00E340EF">
        <w:t>audits</w:t>
      </w:r>
    </w:p>
    <w:p w14:paraId="4F998755" w14:textId="77777777" w:rsidR="00E340EF" w:rsidRPr="00E340EF" w:rsidRDefault="00E340EF" w:rsidP="00EB7AF1">
      <w:pPr>
        <w:pStyle w:val="Indexcopyindent"/>
      </w:pPr>
      <w:r w:rsidRPr="00E340EF">
        <w:tab/>
        <w:t xml:space="preserve">independent auditor’s report, </w:t>
      </w:r>
      <w:r w:rsidRPr="0044323F">
        <w:rPr>
          <w:rFonts w:cs="Arial"/>
          <w:b/>
          <w:bCs/>
        </w:rPr>
        <w:t>82–83</w:t>
      </w:r>
    </w:p>
    <w:p w14:paraId="4FE9ADDB" w14:textId="77777777" w:rsidR="00E340EF" w:rsidRPr="00E340EF" w:rsidRDefault="00E340EF" w:rsidP="00EB7AF1">
      <w:pPr>
        <w:pStyle w:val="Indexcopyindent"/>
      </w:pPr>
      <w:r w:rsidRPr="00E340EF">
        <w:tab/>
        <w:t>internal, 69</w:t>
      </w:r>
    </w:p>
    <w:p w14:paraId="52BF8C90" w14:textId="77777777" w:rsidR="00E340EF" w:rsidRPr="00E340EF" w:rsidRDefault="00E340EF" w:rsidP="00EB7AF1">
      <w:pPr>
        <w:pStyle w:val="Indexbodycopy"/>
      </w:pPr>
      <w:r w:rsidRPr="00E340EF">
        <w:t xml:space="preserve">AURA Surveillance System, </w:t>
      </w:r>
      <w:r w:rsidRPr="00E340EF">
        <w:rPr>
          <w:i/>
          <w:iCs/>
        </w:rPr>
        <w:t>see</w:t>
      </w:r>
      <w:r w:rsidRPr="00E340EF">
        <w:t xml:space="preserve"> Antimicrobial Use and Resistance in Australia (AURA) Surveillance System</w:t>
      </w:r>
    </w:p>
    <w:p w14:paraId="198060A2" w14:textId="77777777" w:rsidR="00E340EF" w:rsidRPr="00E340EF" w:rsidRDefault="00E340EF" w:rsidP="00EB7AF1">
      <w:pPr>
        <w:pStyle w:val="Indexbodycopy"/>
      </w:pPr>
      <w:r w:rsidRPr="00E340EF">
        <w:t>Australian and New Zealand Hip Fracture Registry, 42</w:t>
      </w:r>
    </w:p>
    <w:p w14:paraId="6D07E50A" w14:textId="77777777" w:rsidR="005207F5" w:rsidRPr="00E340EF" w:rsidRDefault="00E340EF" w:rsidP="00EB7AF1">
      <w:pPr>
        <w:pStyle w:val="Indexbodycopy"/>
      </w:pPr>
      <w:r w:rsidRPr="00EB7AF1">
        <w:rPr>
          <w:rStyle w:val="Emphasis"/>
        </w:rPr>
        <w:t>Australian Atlas of Healthcare Variation</w:t>
      </w:r>
      <w:r w:rsidRPr="00E340EF">
        <w:t xml:space="preserve">, 8, 27, 37, 47, 51; see also </w:t>
      </w:r>
      <w:r w:rsidRPr="00EB7AF1">
        <w:rPr>
          <w:rStyle w:val="Emphasis"/>
        </w:rPr>
        <w:t>Second Australian Atlas of Healthcare Variation</w:t>
      </w:r>
    </w:p>
    <w:p w14:paraId="62EAA7B1" w14:textId="77777777" w:rsidR="00E340EF" w:rsidRPr="00E340EF" w:rsidRDefault="00E340EF" w:rsidP="00EB7AF1">
      <w:pPr>
        <w:pStyle w:val="Indexbodycopy"/>
      </w:pPr>
      <w:r w:rsidRPr="00E340EF">
        <w:lastRenderedPageBreak/>
        <w:t xml:space="preserve">Australian Commission on Safety and Quality in Health Care </w:t>
      </w:r>
    </w:p>
    <w:p w14:paraId="5F302344" w14:textId="77777777" w:rsidR="00E340EF" w:rsidRPr="00E340EF" w:rsidRDefault="00E340EF" w:rsidP="00EB7AF1">
      <w:pPr>
        <w:pStyle w:val="Indexcopyindent"/>
      </w:pPr>
      <w:r w:rsidRPr="00E340EF">
        <w:tab/>
        <w:t xml:space="preserve">accountability, </w:t>
      </w:r>
      <w:r w:rsidRPr="0044323F">
        <w:rPr>
          <w:rFonts w:cs="Arial"/>
          <w:b/>
          <w:bCs/>
        </w:rPr>
        <w:t>6</w:t>
      </w:r>
      <w:r w:rsidRPr="00E340EF">
        <w:t>, 60</w:t>
      </w:r>
    </w:p>
    <w:p w14:paraId="54C5CC1B" w14:textId="77777777" w:rsidR="00E340EF" w:rsidRPr="00E340EF" w:rsidRDefault="00E340EF" w:rsidP="00EB7AF1">
      <w:pPr>
        <w:pStyle w:val="Indexcopyindent"/>
      </w:pPr>
      <w:r w:rsidRPr="00E340EF">
        <w:tab/>
        <w:t>Advice Centre, 16</w:t>
      </w:r>
    </w:p>
    <w:p w14:paraId="433410EF" w14:textId="77777777" w:rsidR="00E340EF" w:rsidRPr="00E340EF" w:rsidRDefault="00E340EF" w:rsidP="00EB7AF1">
      <w:pPr>
        <w:pStyle w:val="Indexcopyindent"/>
      </w:pPr>
      <w:r w:rsidRPr="00E340EF">
        <w:tab/>
        <w:t xml:space="preserve">corporate governance, 60, 69 </w:t>
      </w:r>
    </w:p>
    <w:p w14:paraId="3F7A7498" w14:textId="77777777" w:rsidR="00E340EF" w:rsidRPr="00E340EF" w:rsidRDefault="00E340EF" w:rsidP="00EB7AF1">
      <w:pPr>
        <w:pStyle w:val="Indexcopyindent"/>
      </w:pPr>
      <w:r w:rsidRPr="00E340EF">
        <w:tab/>
        <w:t>key achievements 2016–17, 50–51</w:t>
      </w:r>
    </w:p>
    <w:p w14:paraId="57D7C7E7" w14:textId="77777777" w:rsidR="00E340EF" w:rsidRPr="00E340EF" w:rsidRDefault="00E340EF" w:rsidP="00EB7AF1">
      <w:pPr>
        <w:pStyle w:val="Indexcopyindent"/>
      </w:pPr>
      <w:r w:rsidRPr="00E340EF">
        <w:tab/>
        <w:t>key performance indicators, 50, 52–57</w:t>
      </w:r>
    </w:p>
    <w:p w14:paraId="0C1CDD36" w14:textId="77777777" w:rsidR="00E340EF" w:rsidRPr="00E340EF" w:rsidRDefault="00E340EF" w:rsidP="00EB7AF1">
      <w:pPr>
        <w:pStyle w:val="Indexcopyindent"/>
      </w:pPr>
      <w:r w:rsidRPr="00E340EF">
        <w:tab/>
        <w:t xml:space="preserve">mission, </w:t>
      </w:r>
      <w:r w:rsidRPr="0044323F">
        <w:rPr>
          <w:rFonts w:cs="Arial"/>
          <w:b/>
          <w:bCs/>
        </w:rPr>
        <w:t>6</w:t>
      </w:r>
    </w:p>
    <w:p w14:paraId="4A5F107F" w14:textId="77777777" w:rsidR="00E340EF" w:rsidRPr="00E340EF" w:rsidRDefault="00E340EF" w:rsidP="00EB7AF1">
      <w:pPr>
        <w:pStyle w:val="Indexcopyindent"/>
      </w:pPr>
      <w:r w:rsidRPr="00E340EF">
        <w:tab/>
        <w:t xml:space="preserve">organisational structure, </w:t>
      </w:r>
      <w:r w:rsidRPr="0044323F">
        <w:rPr>
          <w:rFonts w:cs="Arial"/>
          <w:b/>
          <w:bCs/>
        </w:rPr>
        <w:t>74–75</w:t>
      </w:r>
    </w:p>
    <w:p w14:paraId="3C08B499" w14:textId="77777777" w:rsidR="00E340EF" w:rsidRPr="00E340EF" w:rsidRDefault="00E340EF" w:rsidP="00EB7AF1">
      <w:pPr>
        <w:pStyle w:val="Indexcopyindent"/>
      </w:pPr>
      <w:r w:rsidRPr="00E340EF">
        <w:tab/>
        <w:t>partnerships, 50</w:t>
      </w:r>
    </w:p>
    <w:p w14:paraId="350530F7" w14:textId="77777777" w:rsidR="00E340EF" w:rsidRPr="00E340EF" w:rsidRDefault="00E340EF" w:rsidP="00EB7AF1">
      <w:pPr>
        <w:pStyle w:val="Indexcopyindent"/>
      </w:pPr>
      <w:r w:rsidRPr="00E340EF">
        <w:tab/>
        <w:t xml:space="preserve">purpose and role, </w:t>
      </w:r>
      <w:r w:rsidRPr="0044323F">
        <w:rPr>
          <w:rFonts w:cs="Arial"/>
          <w:b/>
          <w:bCs/>
        </w:rPr>
        <w:t>6</w:t>
      </w:r>
      <w:r w:rsidRPr="00E340EF">
        <w:t>, 9, 10, 49</w:t>
      </w:r>
    </w:p>
    <w:p w14:paraId="23345657" w14:textId="77777777" w:rsidR="00E340EF" w:rsidRPr="00E340EF" w:rsidRDefault="00E340EF" w:rsidP="00EB7AF1">
      <w:pPr>
        <w:pStyle w:val="Indexcopyindent"/>
      </w:pPr>
      <w:r w:rsidRPr="00E340EF">
        <w:tab/>
        <w:t>strategic plan, 12–13</w:t>
      </w:r>
    </w:p>
    <w:p w14:paraId="29E0FC95" w14:textId="77777777" w:rsidR="00E340EF" w:rsidRPr="00E340EF" w:rsidRDefault="00E340EF" w:rsidP="00EB7AF1">
      <w:pPr>
        <w:pStyle w:val="Indexbodycopy"/>
      </w:pPr>
      <w:r w:rsidRPr="00E340EF">
        <w:t>Australian Composite Model Hospital Standardised Mortality Ratio, 44</w:t>
      </w:r>
    </w:p>
    <w:p w14:paraId="3746A3B7" w14:textId="77777777" w:rsidR="00E340EF" w:rsidRPr="00E340EF" w:rsidRDefault="00E340EF" w:rsidP="00EB7AF1">
      <w:pPr>
        <w:pStyle w:val="Indexbodycopy"/>
      </w:pPr>
      <w:r w:rsidRPr="00E340EF">
        <w:t>Australian Core Patient Experience Question Set, 45</w:t>
      </w:r>
    </w:p>
    <w:p w14:paraId="2C03772D" w14:textId="77777777" w:rsidR="00E340EF" w:rsidRPr="00E340EF" w:rsidRDefault="00E340EF" w:rsidP="00EB7AF1">
      <w:pPr>
        <w:pStyle w:val="Indexbodycopy"/>
      </w:pPr>
      <w:r w:rsidRPr="00E340EF">
        <w:t>Australian Digital Health Agency, 23</w:t>
      </w:r>
    </w:p>
    <w:p w14:paraId="1BFFCF11" w14:textId="77777777" w:rsidR="00E340EF" w:rsidRPr="00E340EF" w:rsidRDefault="00E340EF" w:rsidP="00EB7AF1">
      <w:pPr>
        <w:pStyle w:val="Indexbodycopy"/>
        <w:ind w:right="-142"/>
      </w:pPr>
      <w:r w:rsidRPr="00E340EF">
        <w:t>Australian health care safety and quality, 47–48</w:t>
      </w:r>
    </w:p>
    <w:p w14:paraId="3FB79139" w14:textId="77777777" w:rsidR="00E340EF" w:rsidRPr="00E340EF" w:rsidRDefault="00E340EF" w:rsidP="00EB7AF1">
      <w:pPr>
        <w:pStyle w:val="Indexbodycopy"/>
      </w:pPr>
      <w:r w:rsidRPr="00E340EF">
        <w:t>Australian Health Service Safety and Quality Accreditation (AHSSQA) Scheme, 50</w:t>
      </w:r>
    </w:p>
    <w:p w14:paraId="004B0D94" w14:textId="77777777" w:rsidR="00E340EF" w:rsidRPr="00E340EF" w:rsidRDefault="00E340EF" w:rsidP="00EB7AF1">
      <w:pPr>
        <w:pStyle w:val="Indexcopyindent"/>
      </w:pPr>
      <w:r w:rsidRPr="00E340EF">
        <w:tab/>
        <w:t xml:space="preserve">revision of, </w:t>
      </w:r>
      <w:r w:rsidRPr="0044323F">
        <w:rPr>
          <w:rFonts w:cs="Arial"/>
          <w:b/>
          <w:bCs/>
        </w:rPr>
        <w:t>20</w:t>
      </w:r>
    </w:p>
    <w:p w14:paraId="5A54A062" w14:textId="77777777" w:rsidR="00E340EF" w:rsidRPr="00E340EF" w:rsidRDefault="00E340EF" w:rsidP="00EB7AF1">
      <w:pPr>
        <w:pStyle w:val="Indexbodycopy"/>
      </w:pPr>
      <w:r w:rsidRPr="00E340EF">
        <w:t>Australian Public Service Commission, 76</w:t>
      </w:r>
    </w:p>
    <w:p w14:paraId="7B99C397" w14:textId="77777777" w:rsidR="00E340EF" w:rsidRPr="00E340EF" w:rsidRDefault="00E340EF" w:rsidP="006B5123">
      <w:pPr>
        <w:pStyle w:val="IndexMain"/>
      </w:pPr>
      <w:r w:rsidRPr="00E340EF">
        <w:t>B</w:t>
      </w:r>
    </w:p>
    <w:p w14:paraId="54F166F9" w14:textId="77777777" w:rsidR="00E340EF" w:rsidRPr="00E340EF" w:rsidRDefault="00E340EF" w:rsidP="00EB7AF1">
      <w:pPr>
        <w:pStyle w:val="Indexbodycopy"/>
      </w:pPr>
      <w:r w:rsidRPr="00E340EF">
        <w:t>bleeding, menstrual, 10, 34, 37, 39, 42, 44</w:t>
      </w:r>
    </w:p>
    <w:p w14:paraId="4C0846AF" w14:textId="77777777" w:rsidR="00E340EF" w:rsidRPr="00E340EF" w:rsidRDefault="00E340EF" w:rsidP="00EB7AF1">
      <w:pPr>
        <w:pStyle w:val="Indexbodycopy"/>
      </w:pPr>
      <w:r w:rsidRPr="00E340EF">
        <w:t>blood transfusions, 26</w:t>
      </w:r>
    </w:p>
    <w:p w14:paraId="748C7473" w14:textId="77777777" w:rsidR="00E340EF" w:rsidRPr="00E340EF" w:rsidRDefault="00E340EF" w:rsidP="00EB7AF1">
      <w:pPr>
        <w:pStyle w:val="Indexbodycopy"/>
      </w:pPr>
      <w:r w:rsidRPr="00E340EF">
        <w:t>Board</w:t>
      </w:r>
    </w:p>
    <w:p w14:paraId="4B5C478D" w14:textId="77777777" w:rsidR="00E340EF" w:rsidRPr="00E340EF" w:rsidRDefault="00E340EF" w:rsidP="00EB7AF1">
      <w:pPr>
        <w:pStyle w:val="Indexcopyindent"/>
      </w:pPr>
      <w:r w:rsidRPr="00E340EF">
        <w:tab/>
        <w:t xml:space="preserve">annual performance statements, </w:t>
      </w:r>
      <w:r w:rsidRPr="0044323F">
        <w:rPr>
          <w:rFonts w:cs="Arial"/>
          <w:b/>
          <w:bCs/>
        </w:rPr>
        <w:t>49–57</w:t>
      </w:r>
    </w:p>
    <w:p w14:paraId="2E31DC18" w14:textId="77777777" w:rsidR="00E340EF" w:rsidRPr="00E340EF" w:rsidRDefault="00E340EF" w:rsidP="00EB7AF1">
      <w:pPr>
        <w:pStyle w:val="Indexcopyindent"/>
      </w:pPr>
      <w:r w:rsidRPr="00E340EF">
        <w:tab/>
        <w:t xml:space="preserve">committees, </w:t>
      </w:r>
      <w:r w:rsidRPr="0044323F">
        <w:rPr>
          <w:rFonts w:cs="Arial"/>
          <w:b/>
          <w:bCs/>
        </w:rPr>
        <w:t>67–68</w:t>
      </w:r>
    </w:p>
    <w:p w14:paraId="49D53F76" w14:textId="77777777" w:rsidR="00E340EF" w:rsidRPr="00E340EF" w:rsidRDefault="00E340EF" w:rsidP="00EB7AF1">
      <w:pPr>
        <w:pStyle w:val="Indexcopyindent"/>
      </w:pPr>
      <w:r w:rsidRPr="00E340EF">
        <w:tab/>
        <w:t>meetings and attendance, 64</w:t>
      </w:r>
    </w:p>
    <w:p w14:paraId="14F07B4B" w14:textId="77777777" w:rsidR="00E340EF" w:rsidRPr="00E340EF" w:rsidRDefault="00E340EF" w:rsidP="00EB7AF1">
      <w:pPr>
        <w:pStyle w:val="Indexcopyindent"/>
      </w:pPr>
      <w:r w:rsidRPr="00E340EF">
        <w:tab/>
        <w:t xml:space="preserve">membership 2016–17, </w:t>
      </w:r>
      <w:r w:rsidRPr="0044323F">
        <w:rPr>
          <w:rFonts w:cs="Arial"/>
          <w:b/>
          <w:bCs/>
        </w:rPr>
        <w:t>61–64</w:t>
      </w:r>
      <w:r w:rsidRPr="00E340EF">
        <w:t>, 66</w:t>
      </w:r>
    </w:p>
    <w:p w14:paraId="68B6B586" w14:textId="77777777" w:rsidR="00E340EF" w:rsidRPr="00E340EF" w:rsidRDefault="00E340EF" w:rsidP="00EB7AF1">
      <w:pPr>
        <w:pStyle w:val="Indexcopyindent"/>
      </w:pPr>
      <w:r w:rsidRPr="00E340EF">
        <w:tab/>
        <w:t xml:space="preserve">organisational structure, </w:t>
      </w:r>
      <w:r w:rsidRPr="0044323F">
        <w:rPr>
          <w:rFonts w:cs="Arial"/>
          <w:b/>
          <w:bCs/>
        </w:rPr>
        <w:t>74–75</w:t>
      </w:r>
    </w:p>
    <w:p w14:paraId="445EC83F" w14:textId="77777777" w:rsidR="00E340EF" w:rsidRPr="00E340EF" w:rsidRDefault="00E340EF" w:rsidP="00EB7AF1">
      <w:pPr>
        <w:pStyle w:val="Indexcopyindent"/>
      </w:pPr>
      <w:r w:rsidRPr="00E340EF">
        <w:tab/>
        <w:t>role, 61</w:t>
      </w:r>
    </w:p>
    <w:p w14:paraId="0334E851" w14:textId="77777777" w:rsidR="00E340EF" w:rsidRPr="00E340EF" w:rsidRDefault="00E340EF" w:rsidP="00EB7AF1">
      <w:pPr>
        <w:pStyle w:val="Indexbodycopy"/>
      </w:pPr>
      <w:r w:rsidRPr="00E340EF">
        <w:t>Bowles, Martin, 62</w:t>
      </w:r>
    </w:p>
    <w:p w14:paraId="1FC10D39" w14:textId="77777777" w:rsidR="00E340EF" w:rsidRPr="00E340EF" w:rsidRDefault="00E340EF" w:rsidP="006B5123">
      <w:pPr>
        <w:pStyle w:val="IndexMain"/>
      </w:pPr>
      <w:r w:rsidRPr="00E340EF">
        <w:t>C</w:t>
      </w:r>
    </w:p>
    <w:p w14:paraId="4C24F41D" w14:textId="77777777" w:rsidR="00E340EF" w:rsidRPr="00E340EF" w:rsidRDefault="00E340EF" w:rsidP="00EB7AF1">
      <w:pPr>
        <w:pStyle w:val="Indexbodycopy"/>
      </w:pPr>
      <w:r w:rsidRPr="00E340EF">
        <w:t>Caring for Cognitive Impairment campaign, 27</w:t>
      </w:r>
    </w:p>
    <w:p w14:paraId="40B5D40D" w14:textId="77777777" w:rsidR="00E340EF" w:rsidRPr="00E340EF" w:rsidRDefault="00E340EF" w:rsidP="00EB7AF1">
      <w:pPr>
        <w:pStyle w:val="Indexbodycopy"/>
      </w:pPr>
      <w:r w:rsidRPr="00E340EF">
        <w:t>CARAlert, 21</w:t>
      </w:r>
    </w:p>
    <w:p w14:paraId="1A94D68F" w14:textId="77777777" w:rsidR="00E340EF" w:rsidRPr="00E340EF" w:rsidRDefault="00E340EF" w:rsidP="00EB7AF1">
      <w:pPr>
        <w:pStyle w:val="Indexbodycopy"/>
      </w:pPr>
      <w:r w:rsidRPr="00E340EF">
        <w:t xml:space="preserve">cardiac surgery heater-cooler devices and </w:t>
      </w:r>
      <w:r w:rsidRPr="00E340EF">
        <w:rPr>
          <w:i/>
          <w:iCs/>
        </w:rPr>
        <w:t>Mycobacterium chimaera</w:t>
      </w:r>
      <w:r w:rsidRPr="00E340EF">
        <w:t xml:space="preserve">, </w:t>
      </w:r>
      <w:r w:rsidRPr="0044323F">
        <w:rPr>
          <w:rFonts w:cs="Arial"/>
          <w:b/>
          <w:bCs/>
        </w:rPr>
        <w:t>22–23</w:t>
      </w:r>
    </w:p>
    <w:p w14:paraId="5AF7EBA3" w14:textId="77777777" w:rsidR="00E340EF" w:rsidRPr="00E340EF" w:rsidRDefault="00E340EF" w:rsidP="00EB7AF1">
      <w:pPr>
        <w:pStyle w:val="Indexbodycopy"/>
      </w:pPr>
      <w:r w:rsidRPr="00E340EF">
        <w:t xml:space="preserve">care appropriateness, </w:t>
      </w:r>
      <w:r w:rsidRPr="0044323F">
        <w:rPr>
          <w:rFonts w:cs="Arial"/>
          <w:b/>
          <w:bCs/>
        </w:rPr>
        <w:t>42</w:t>
      </w:r>
    </w:p>
    <w:p w14:paraId="7417B530" w14:textId="77777777" w:rsidR="00E340EF" w:rsidRPr="00E340EF" w:rsidRDefault="00E340EF" w:rsidP="00EB7AF1">
      <w:pPr>
        <w:pStyle w:val="Indexbodycopy"/>
      </w:pPr>
      <w:r w:rsidRPr="00E340EF">
        <w:t>CEO</w:t>
      </w:r>
    </w:p>
    <w:p w14:paraId="4C8EDEA2" w14:textId="77777777" w:rsidR="00E340EF" w:rsidRPr="00E340EF" w:rsidRDefault="00E340EF" w:rsidP="00EB7AF1">
      <w:pPr>
        <w:pStyle w:val="Indexcopyindent"/>
      </w:pPr>
      <w:r w:rsidRPr="00E340EF">
        <w:tab/>
        <w:t xml:space="preserve">report, </w:t>
      </w:r>
      <w:r w:rsidRPr="0044323F">
        <w:rPr>
          <w:rFonts w:cs="Arial"/>
          <w:b/>
          <w:bCs/>
        </w:rPr>
        <w:t>10–11</w:t>
      </w:r>
    </w:p>
    <w:p w14:paraId="1FFFD1C8" w14:textId="77777777" w:rsidR="005207F5" w:rsidRDefault="00E340EF" w:rsidP="00EB7AF1">
      <w:pPr>
        <w:pStyle w:val="Indexcopyindent"/>
      </w:pPr>
      <w:r w:rsidRPr="00E340EF">
        <w:tab/>
        <w:t>role, 69</w:t>
      </w:r>
    </w:p>
    <w:p w14:paraId="341FB2D5" w14:textId="77777777" w:rsidR="005207F5" w:rsidRPr="00C9282C" w:rsidRDefault="005207F5">
      <w:pPr>
        <w:spacing w:after="160" w:line="259" w:lineRule="auto"/>
      </w:pPr>
      <w:r>
        <w:br w:type="page"/>
      </w:r>
    </w:p>
    <w:p w14:paraId="3F1C72AA" w14:textId="77777777" w:rsidR="00E340EF" w:rsidRPr="00E340EF" w:rsidRDefault="00E340EF" w:rsidP="00EB7AF1">
      <w:pPr>
        <w:pStyle w:val="Indexbodycopy"/>
      </w:pPr>
      <w:r w:rsidRPr="00E340EF">
        <w:lastRenderedPageBreak/>
        <w:t>Chair, 61</w:t>
      </w:r>
    </w:p>
    <w:p w14:paraId="4167C311" w14:textId="77777777" w:rsidR="00E340EF" w:rsidRPr="00E340EF" w:rsidRDefault="00E340EF" w:rsidP="00EB7AF1">
      <w:pPr>
        <w:pStyle w:val="Indexcopyindent"/>
      </w:pPr>
      <w:r w:rsidRPr="00E340EF">
        <w:tab/>
        <w:t>annual performance statements, 49–57</w:t>
      </w:r>
    </w:p>
    <w:p w14:paraId="44B33ED0" w14:textId="77777777" w:rsidR="00E340EF" w:rsidRPr="00E340EF" w:rsidRDefault="00E340EF" w:rsidP="00EB7AF1">
      <w:pPr>
        <w:pStyle w:val="Indexcopyindent"/>
      </w:pPr>
      <w:r w:rsidRPr="00E340EF">
        <w:tab/>
        <w:t>letter of transmittal, 1</w:t>
      </w:r>
    </w:p>
    <w:p w14:paraId="2B7D9106" w14:textId="77777777" w:rsidR="00E340EF" w:rsidRPr="00E340EF" w:rsidRDefault="00E340EF" w:rsidP="00EB7AF1">
      <w:pPr>
        <w:pStyle w:val="Indexcopyindent"/>
      </w:pPr>
      <w:r w:rsidRPr="00E340EF">
        <w:tab/>
        <w:t xml:space="preserve">report, </w:t>
      </w:r>
      <w:r w:rsidRPr="0044323F">
        <w:rPr>
          <w:rFonts w:cs="Arial"/>
          <w:b/>
          <w:bCs/>
        </w:rPr>
        <w:t>8–9</w:t>
      </w:r>
    </w:p>
    <w:p w14:paraId="0B315665" w14:textId="2A5C89CE" w:rsidR="00E340EF" w:rsidRPr="00E340EF" w:rsidRDefault="00E340EF" w:rsidP="00EB7AF1">
      <w:pPr>
        <w:pStyle w:val="Indexcopyindent"/>
        <w:ind w:right="-284"/>
      </w:pPr>
      <w:r w:rsidRPr="00E340EF">
        <w:tab/>
        <w:t xml:space="preserve">chronic obstructive pulmonary disease, </w:t>
      </w:r>
      <w:r w:rsidR="003B754D">
        <w:br/>
      </w:r>
      <w:r w:rsidRPr="00E340EF">
        <w:t>39–40</w:t>
      </w:r>
    </w:p>
    <w:p w14:paraId="7ECC118B" w14:textId="77777777" w:rsidR="00E340EF" w:rsidRPr="00E340EF" w:rsidRDefault="00E340EF" w:rsidP="00EB7AF1">
      <w:pPr>
        <w:pStyle w:val="Indexcopyindent"/>
      </w:pPr>
      <w:r w:rsidRPr="00E340EF">
        <w:tab/>
        <w:t>clearing house portal for medication alerts and medical device safety notifications, 31</w:t>
      </w:r>
    </w:p>
    <w:p w14:paraId="75C9EBD1" w14:textId="77777777" w:rsidR="00E340EF" w:rsidRPr="00E340EF" w:rsidRDefault="00E340EF" w:rsidP="00EB7AF1">
      <w:pPr>
        <w:pStyle w:val="Indexcopyindent"/>
      </w:pPr>
      <w:r w:rsidRPr="00E340EF">
        <w:tab/>
        <w:t>clinical care standards, 42, 44, 51</w:t>
      </w:r>
    </w:p>
    <w:p w14:paraId="5E68A789" w14:textId="77777777" w:rsidR="00E340EF" w:rsidRPr="00E340EF" w:rsidRDefault="00E340EF" w:rsidP="00EB7AF1">
      <w:pPr>
        <w:pStyle w:val="Indexcopyindent"/>
      </w:pPr>
      <w:r w:rsidRPr="00E340EF">
        <w:tab/>
        <w:t>delirium, 10, 51</w:t>
      </w:r>
    </w:p>
    <w:p w14:paraId="6FF02149" w14:textId="77777777" w:rsidR="00E340EF" w:rsidRPr="00E340EF" w:rsidRDefault="00E340EF" w:rsidP="00EB7AF1">
      <w:pPr>
        <w:pStyle w:val="Indexcopyindent"/>
      </w:pPr>
      <w:r w:rsidRPr="00E340EF">
        <w:tab/>
        <w:t>heavy menstrual bleeding and venous thromboembolism, 10, 34, 37, 39, 42, 44</w:t>
      </w:r>
    </w:p>
    <w:p w14:paraId="6A39EAA6" w14:textId="77777777" w:rsidR="00E340EF" w:rsidRPr="00E340EF" w:rsidRDefault="00E340EF" w:rsidP="00EB7AF1">
      <w:pPr>
        <w:pStyle w:val="Indexcopyindent"/>
      </w:pPr>
      <w:r w:rsidRPr="00E340EF">
        <w:tab/>
        <w:t>hip fracture care, 10, 42, 51</w:t>
      </w:r>
    </w:p>
    <w:p w14:paraId="4AEBC955" w14:textId="77777777" w:rsidR="00E340EF" w:rsidRPr="00E340EF" w:rsidRDefault="00E340EF" w:rsidP="00EB7AF1">
      <w:pPr>
        <w:pStyle w:val="Indexcopyindent"/>
        <w:ind w:right="-284"/>
      </w:pPr>
      <w:r w:rsidRPr="00E340EF">
        <w:tab/>
        <w:t>osteoarthritis of the knee, 8, 10, 41, 42, 44, 51</w:t>
      </w:r>
    </w:p>
    <w:p w14:paraId="5297925A" w14:textId="77777777" w:rsidR="00E340EF" w:rsidRPr="00E340EF" w:rsidRDefault="00E340EF" w:rsidP="00EB7AF1">
      <w:pPr>
        <w:pStyle w:val="Indexcopyindent"/>
      </w:pPr>
      <w:r w:rsidRPr="00E340EF">
        <w:tab/>
        <w:t>review of, 42</w:t>
      </w:r>
    </w:p>
    <w:p w14:paraId="1BD663AF" w14:textId="77777777" w:rsidR="00E340EF" w:rsidRPr="00E340EF" w:rsidRDefault="00E340EF" w:rsidP="00EB7AF1">
      <w:pPr>
        <w:pStyle w:val="Indexcopyindent"/>
      </w:pPr>
      <w:r w:rsidRPr="00E340EF">
        <w:tab/>
        <w:t xml:space="preserve">see also </w:t>
      </w:r>
      <w:r w:rsidRPr="00EB7AF1">
        <w:rPr>
          <w:rStyle w:val="Emphasis"/>
        </w:rPr>
        <w:t>Australian Atlas of Healthcare Variation; Second Australian Atlas of Healthcare Variation</w:t>
      </w:r>
    </w:p>
    <w:p w14:paraId="0ABAF403" w14:textId="77777777" w:rsidR="00E340EF" w:rsidRPr="00E340EF" w:rsidRDefault="00E340EF" w:rsidP="00EB7AF1">
      <w:pPr>
        <w:pStyle w:val="Indexbodycopy"/>
      </w:pPr>
      <w:r w:rsidRPr="00E340EF">
        <w:t>Clinical care standards, 10, 42, 44, 57</w:t>
      </w:r>
    </w:p>
    <w:p w14:paraId="412FDCD9" w14:textId="77777777" w:rsidR="00E340EF" w:rsidRPr="00E340EF" w:rsidRDefault="00E340EF" w:rsidP="00EB7AF1">
      <w:pPr>
        <w:pStyle w:val="Indexbodycopy"/>
      </w:pPr>
      <w:r w:rsidRPr="00E340EF">
        <w:t xml:space="preserve">clinical communication for safety, </w:t>
      </w:r>
      <w:r w:rsidRPr="0044323F">
        <w:rPr>
          <w:rFonts w:cs="Arial"/>
          <w:b/>
          <w:bCs/>
        </w:rPr>
        <w:t>28</w:t>
      </w:r>
    </w:p>
    <w:p w14:paraId="64384ECA" w14:textId="77777777" w:rsidR="00E340EF" w:rsidRPr="00E340EF" w:rsidRDefault="00E340EF" w:rsidP="00EB7AF1">
      <w:pPr>
        <w:pStyle w:val="Indexbodycopy"/>
      </w:pPr>
      <w:r w:rsidRPr="00E340EF">
        <w:t xml:space="preserve">clinical governance framework, </w:t>
      </w:r>
      <w:r w:rsidRPr="0044323F">
        <w:rPr>
          <w:rFonts w:cs="Arial"/>
          <w:b/>
          <w:bCs/>
        </w:rPr>
        <w:t>29</w:t>
      </w:r>
      <w:r w:rsidRPr="00E340EF">
        <w:t>, 51</w:t>
      </w:r>
    </w:p>
    <w:p w14:paraId="5F33930B" w14:textId="77777777" w:rsidR="00E340EF" w:rsidRPr="00E340EF" w:rsidRDefault="00E340EF" w:rsidP="00EB7AF1">
      <w:pPr>
        <w:pStyle w:val="Indexcopyindent"/>
      </w:pPr>
      <w:r w:rsidRPr="00E340EF">
        <w:tab/>
        <w:t>National Model Clinical Governance Framework, 29</w:t>
      </w:r>
    </w:p>
    <w:p w14:paraId="589CE9E8" w14:textId="77777777" w:rsidR="00E340EF" w:rsidRPr="00E340EF" w:rsidRDefault="00E340EF" w:rsidP="00EB7AF1">
      <w:pPr>
        <w:pStyle w:val="Indexbodycopy"/>
      </w:pPr>
      <w:r w:rsidRPr="00E340EF">
        <w:t>clinician education modules, 11</w:t>
      </w:r>
    </w:p>
    <w:p w14:paraId="16C64C1D" w14:textId="77777777" w:rsidR="00E340EF" w:rsidRPr="00E340EF" w:rsidRDefault="00E340EF" w:rsidP="00EB7AF1">
      <w:pPr>
        <w:pStyle w:val="Indexbodycopy"/>
      </w:pPr>
      <w:r w:rsidRPr="00E340EF">
        <w:t>COAG, 6, 43</w:t>
      </w:r>
    </w:p>
    <w:p w14:paraId="5062BE6A" w14:textId="77777777" w:rsidR="00E340EF" w:rsidRPr="00E340EF" w:rsidRDefault="00E340EF" w:rsidP="00EB7AF1">
      <w:pPr>
        <w:pStyle w:val="Indexcopyindent"/>
      </w:pPr>
      <w:r w:rsidRPr="00E340EF">
        <w:tab/>
        <w:t>COAG Health Council 10–11</w:t>
      </w:r>
    </w:p>
    <w:p w14:paraId="772FC617" w14:textId="77777777" w:rsidR="00E340EF" w:rsidRPr="00E340EF" w:rsidRDefault="00E340EF" w:rsidP="00EB7AF1">
      <w:pPr>
        <w:pStyle w:val="Indexbodycopy"/>
      </w:pPr>
      <w:r w:rsidRPr="00E340EF">
        <w:t xml:space="preserve">cognitive impairment, </w:t>
      </w:r>
      <w:r w:rsidRPr="0044323F">
        <w:rPr>
          <w:rFonts w:cs="Arial"/>
          <w:b/>
          <w:bCs/>
        </w:rPr>
        <w:t>27–28</w:t>
      </w:r>
    </w:p>
    <w:p w14:paraId="7ECF5B89" w14:textId="77777777" w:rsidR="00E340EF" w:rsidRPr="00E340EF" w:rsidRDefault="00E340EF" w:rsidP="00EB7AF1">
      <w:pPr>
        <w:pStyle w:val="Indexcopyindent"/>
        <w:ind w:right="-284"/>
      </w:pPr>
      <w:r w:rsidRPr="00E340EF">
        <w:tab/>
        <w:t>Caring for Cognitive Impairment campaign, 27</w:t>
      </w:r>
    </w:p>
    <w:p w14:paraId="73F78848" w14:textId="77777777" w:rsidR="00E340EF" w:rsidRPr="00E340EF" w:rsidRDefault="00E340EF" w:rsidP="00EB7AF1">
      <w:pPr>
        <w:pStyle w:val="Indexbodycopy"/>
      </w:pPr>
      <w:r w:rsidRPr="00E340EF">
        <w:t xml:space="preserve">colonoscopy safety and quality model, </w:t>
      </w:r>
      <w:r w:rsidRPr="0044323F">
        <w:rPr>
          <w:rFonts w:cs="Arial"/>
          <w:b/>
          <w:bCs/>
        </w:rPr>
        <w:t>30–31</w:t>
      </w:r>
    </w:p>
    <w:p w14:paraId="7A34398C" w14:textId="77777777" w:rsidR="00E340EF" w:rsidRPr="00E340EF" w:rsidRDefault="00E340EF" w:rsidP="00EB7AF1">
      <w:pPr>
        <w:pStyle w:val="Indexbodycopy"/>
      </w:pPr>
      <w:r w:rsidRPr="00E340EF">
        <w:t xml:space="preserve">Communicating for Safety Standard, </w:t>
      </w:r>
      <w:r w:rsidRPr="0044323F">
        <w:rPr>
          <w:rFonts w:cs="Arial"/>
          <w:b/>
          <w:bCs/>
        </w:rPr>
        <w:t>28</w:t>
      </w:r>
    </w:p>
    <w:p w14:paraId="4090B8C1" w14:textId="77777777" w:rsidR="00E340EF" w:rsidRPr="00E340EF" w:rsidRDefault="00E340EF" w:rsidP="00EB7AF1">
      <w:pPr>
        <w:pStyle w:val="Indexbodycopy"/>
      </w:pPr>
      <w:r w:rsidRPr="00E340EF">
        <w:t xml:space="preserve">compliance index, </w:t>
      </w:r>
      <w:r w:rsidRPr="0044323F">
        <w:rPr>
          <w:rFonts w:cs="Arial"/>
          <w:b/>
          <w:bCs/>
        </w:rPr>
        <w:t>120–122</w:t>
      </w:r>
    </w:p>
    <w:p w14:paraId="0B0C9890" w14:textId="77777777" w:rsidR="00E340EF" w:rsidRPr="00E340EF" w:rsidRDefault="00E340EF" w:rsidP="00EB7AF1">
      <w:pPr>
        <w:pStyle w:val="Indexbodycopy"/>
      </w:pPr>
      <w:r w:rsidRPr="00E340EF">
        <w:t xml:space="preserve">Comprehensive Care Standard, </w:t>
      </w:r>
      <w:r w:rsidRPr="0044323F">
        <w:rPr>
          <w:rFonts w:cs="Arial"/>
          <w:b/>
          <w:bCs/>
        </w:rPr>
        <w:t>29–30</w:t>
      </w:r>
    </w:p>
    <w:p w14:paraId="7D45749F" w14:textId="77777777" w:rsidR="00E340EF" w:rsidRPr="00464333" w:rsidRDefault="00E340EF" w:rsidP="00EB7AF1">
      <w:pPr>
        <w:pStyle w:val="Indexbodycopy"/>
      </w:pPr>
      <w:r w:rsidRPr="00464333">
        <w:t>consumer resources, 11</w:t>
      </w:r>
    </w:p>
    <w:p w14:paraId="6C97ED52" w14:textId="77777777" w:rsidR="00E340EF" w:rsidRPr="00464333" w:rsidRDefault="00E340EF" w:rsidP="00EB7AF1">
      <w:pPr>
        <w:pStyle w:val="Indexbodycopy"/>
      </w:pPr>
      <w:r w:rsidRPr="00464333">
        <w:t>Core Hospital-Based Outcome Indicators, 44</w:t>
      </w:r>
    </w:p>
    <w:p w14:paraId="1B7862D8" w14:textId="77777777" w:rsidR="00E340EF" w:rsidRPr="00464333" w:rsidRDefault="00E340EF" w:rsidP="00EB7AF1">
      <w:pPr>
        <w:pStyle w:val="Indexbodycopy"/>
      </w:pPr>
      <w:r w:rsidRPr="00464333">
        <w:t>corporate governance, 60–71</w:t>
      </w:r>
    </w:p>
    <w:p w14:paraId="7474BC47" w14:textId="77777777" w:rsidR="00E340EF" w:rsidRPr="00E340EF" w:rsidRDefault="00E340EF" w:rsidP="00EB7AF1">
      <w:pPr>
        <w:pStyle w:val="Indexcopyindent"/>
      </w:pPr>
      <w:r w:rsidRPr="00E340EF">
        <w:tab/>
        <w:t xml:space="preserve">advertising and market research, </w:t>
      </w:r>
      <w:r w:rsidRPr="0044323F">
        <w:rPr>
          <w:rFonts w:cs="Arial"/>
          <w:b/>
          <w:bCs/>
        </w:rPr>
        <w:t>71</w:t>
      </w:r>
    </w:p>
    <w:p w14:paraId="3D67D865" w14:textId="77777777" w:rsidR="00E340EF" w:rsidRPr="00E340EF" w:rsidRDefault="00E340EF" w:rsidP="00EB7AF1">
      <w:pPr>
        <w:pStyle w:val="Indexcopyindent"/>
      </w:pPr>
      <w:r w:rsidRPr="00E340EF">
        <w:tab/>
        <w:t xml:space="preserve">Board, </w:t>
      </w:r>
      <w:r w:rsidRPr="0044323F">
        <w:rPr>
          <w:rFonts w:cs="Arial"/>
          <w:b/>
          <w:bCs/>
        </w:rPr>
        <w:t>61–66</w:t>
      </w:r>
    </w:p>
    <w:p w14:paraId="53E5640C" w14:textId="77777777" w:rsidR="00E340EF" w:rsidRPr="00E340EF" w:rsidRDefault="00E340EF" w:rsidP="00EB7AF1">
      <w:pPr>
        <w:pStyle w:val="Indexcopyindent"/>
      </w:pPr>
      <w:r w:rsidRPr="00E340EF">
        <w:tab/>
        <w:t xml:space="preserve">committees, </w:t>
      </w:r>
      <w:r w:rsidRPr="0044323F">
        <w:rPr>
          <w:rFonts w:cs="Arial"/>
          <w:b/>
          <w:bCs/>
        </w:rPr>
        <w:t>67–68</w:t>
      </w:r>
    </w:p>
    <w:p w14:paraId="223BF388" w14:textId="77777777" w:rsidR="00E340EF" w:rsidRPr="00E340EF" w:rsidRDefault="00E340EF" w:rsidP="00EB7AF1">
      <w:pPr>
        <w:pStyle w:val="Indexcopyindent"/>
      </w:pPr>
      <w:r w:rsidRPr="00E340EF">
        <w:tab/>
        <w:t xml:space="preserve">environmental performance and sustainable development, </w:t>
      </w:r>
      <w:r w:rsidRPr="0044323F">
        <w:rPr>
          <w:rFonts w:cs="Arial"/>
          <w:b/>
          <w:bCs/>
        </w:rPr>
        <w:t>71</w:t>
      </w:r>
    </w:p>
    <w:p w14:paraId="70FA73B5" w14:textId="77777777" w:rsidR="00E340EF" w:rsidRPr="00E340EF" w:rsidRDefault="00E340EF" w:rsidP="00EB7AF1">
      <w:pPr>
        <w:pStyle w:val="Indexcopyindent"/>
      </w:pPr>
      <w:r w:rsidRPr="00E340EF">
        <w:tab/>
        <w:t xml:space="preserve">external scrutiny, </w:t>
      </w:r>
      <w:r w:rsidRPr="0044323F">
        <w:rPr>
          <w:rFonts w:cs="Arial"/>
          <w:b/>
          <w:bCs/>
        </w:rPr>
        <w:t>70</w:t>
      </w:r>
    </w:p>
    <w:p w14:paraId="5335D5A6" w14:textId="77777777" w:rsidR="00E340EF" w:rsidRPr="00E340EF" w:rsidRDefault="00E340EF" w:rsidP="00EB7AF1">
      <w:pPr>
        <w:pStyle w:val="Indexcopyindent"/>
      </w:pPr>
      <w:r w:rsidRPr="00E340EF">
        <w:tab/>
        <w:t>government policy orders, 71</w:t>
      </w:r>
    </w:p>
    <w:p w14:paraId="5352148D" w14:textId="77777777" w:rsidR="00E340EF" w:rsidRPr="00E340EF" w:rsidRDefault="00E340EF" w:rsidP="00EB7AF1">
      <w:pPr>
        <w:pStyle w:val="Indexcopyindent"/>
      </w:pPr>
      <w:r w:rsidRPr="00E340EF">
        <w:tab/>
        <w:t xml:space="preserve">internal governance, </w:t>
      </w:r>
      <w:r w:rsidRPr="0044323F">
        <w:rPr>
          <w:rFonts w:cs="Arial"/>
          <w:b/>
          <w:bCs/>
        </w:rPr>
        <w:t>69</w:t>
      </w:r>
    </w:p>
    <w:p w14:paraId="0EEB377F" w14:textId="77777777" w:rsidR="00E340EF" w:rsidRPr="00E340EF" w:rsidRDefault="00E340EF" w:rsidP="00EB7AF1">
      <w:pPr>
        <w:pStyle w:val="Indexcopyindent"/>
      </w:pPr>
      <w:r w:rsidRPr="00E340EF">
        <w:tab/>
        <w:t xml:space="preserve">legislation requirements and compliance, </w:t>
      </w:r>
      <w:r w:rsidRPr="0044323F">
        <w:rPr>
          <w:rFonts w:cs="Arial"/>
          <w:b/>
          <w:bCs/>
        </w:rPr>
        <w:t>60</w:t>
      </w:r>
    </w:p>
    <w:p w14:paraId="70BCC78B" w14:textId="77777777" w:rsidR="00E340EF" w:rsidRPr="00E340EF" w:rsidRDefault="00E340EF" w:rsidP="00EB7AF1">
      <w:pPr>
        <w:pStyle w:val="Indexcopyindent"/>
      </w:pPr>
      <w:r w:rsidRPr="00E340EF">
        <w:tab/>
        <w:t xml:space="preserve">ministerial directions, </w:t>
      </w:r>
      <w:r w:rsidRPr="0044323F">
        <w:rPr>
          <w:rFonts w:cs="Arial"/>
          <w:b/>
          <w:bCs/>
        </w:rPr>
        <w:t>60</w:t>
      </w:r>
    </w:p>
    <w:p w14:paraId="1540197B" w14:textId="77777777" w:rsidR="00E340EF" w:rsidRPr="00E340EF" w:rsidRDefault="00E340EF" w:rsidP="00EB7AF1">
      <w:pPr>
        <w:pStyle w:val="Indexcopyindent"/>
        <w:ind w:right="-142"/>
      </w:pPr>
      <w:r w:rsidRPr="00E340EF">
        <w:tab/>
        <w:t>National Health Reform Act amendments, 71</w:t>
      </w:r>
    </w:p>
    <w:p w14:paraId="571E526F" w14:textId="77777777" w:rsidR="00E340EF" w:rsidRPr="00E340EF" w:rsidRDefault="00E340EF" w:rsidP="00EB7AF1">
      <w:pPr>
        <w:pStyle w:val="Indexcopyindent"/>
      </w:pPr>
      <w:r w:rsidRPr="00E340EF">
        <w:tab/>
        <w:t xml:space="preserve">significant events, </w:t>
      </w:r>
      <w:r w:rsidRPr="0044323F">
        <w:rPr>
          <w:rFonts w:cs="Arial"/>
          <w:b/>
          <w:bCs/>
        </w:rPr>
        <w:t>71</w:t>
      </w:r>
    </w:p>
    <w:p w14:paraId="414D427E" w14:textId="77777777" w:rsidR="00E340EF" w:rsidRPr="0044323F" w:rsidRDefault="00E340EF" w:rsidP="00EB7AF1">
      <w:pPr>
        <w:pStyle w:val="Indexcopyindent"/>
        <w:rPr>
          <w:rFonts w:cs="Arial"/>
          <w:b/>
          <w:bCs/>
        </w:rPr>
      </w:pPr>
      <w:r w:rsidRPr="00E340EF">
        <w:tab/>
        <w:t xml:space="preserve">strategic planning, </w:t>
      </w:r>
      <w:r w:rsidRPr="0044323F">
        <w:rPr>
          <w:rFonts w:cs="Arial"/>
          <w:b/>
          <w:bCs/>
        </w:rPr>
        <w:t>60</w:t>
      </w:r>
    </w:p>
    <w:p w14:paraId="4BFCB144" w14:textId="77777777" w:rsidR="005207F5" w:rsidRPr="00E340EF" w:rsidRDefault="005207F5" w:rsidP="00EB7AF1">
      <w:pPr>
        <w:pStyle w:val="Indexcopyindent"/>
      </w:pPr>
    </w:p>
    <w:p w14:paraId="38296135" w14:textId="77777777" w:rsidR="00E340EF" w:rsidRPr="00E340EF" w:rsidRDefault="00E340EF" w:rsidP="00EB7AF1">
      <w:pPr>
        <w:pStyle w:val="Indexbodycopy"/>
      </w:pPr>
      <w:r w:rsidRPr="00EB7AF1">
        <w:rPr>
          <w:rStyle w:val="Emphasis"/>
        </w:rPr>
        <w:lastRenderedPageBreak/>
        <w:t>Corporate Plan 2016</w:t>
      </w:r>
      <w:r w:rsidRPr="00E340EF">
        <w:t>–17, 52</w:t>
      </w:r>
    </w:p>
    <w:p w14:paraId="2683107D" w14:textId="77777777" w:rsidR="00E340EF" w:rsidRPr="00E340EF" w:rsidRDefault="00E340EF" w:rsidP="0094316D">
      <w:pPr>
        <w:pStyle w:val="Indexcopyindent"/>
      </w:pPr>
      <w:r w:rsidRPr="00E340EF">
        <w:tab/>
        <w:t xml:space="preserve">performance against, </w:t>
      </w:r>
      <w:r w:rsidRPr="0044323F">
        <w:rPr>
          <w:rFonts w:cs="Arial"/>
          <w:b/>
          <w:bCs/>
        </w:rPr>
        <w:t>52–57</w:t>
      </w:r>
    </w:p>
    <w:p w14:paraId="0D1C43E9" w14:textId="77777777" w:rsidR="00E340EF" w:rsidRPr="00E340EF" w:rsidRDefault="00E340EF" w:rsidP="0094316D">
      <w:pPr>
        <w:pStyle w:val="Indexbodycopy"/>
      </w:pPr>
      <w:r w:rsidRPr="00E340EF">
        <w:t xml:space="preserve">Council of Australian Governments, </w:t>
      </w:r>
      <w:r w:rsidRPr="00E340EF">
        <w:rPr>
          <w:i/>
          <w:iCs/>
        </w:rPr>
        <w:t>see</w:t>
      </w:r>
      <w:r w:rsidRPr="00E340EF">
        <w:t xml:space="preserve"> COAG</w:t>
      </w:r>
    </w:p>
    <w:p w14:paraId="1065F37A" w14:textId="77777777" w:rsidR="00E340EF" w:rsidRPr="00E340EF" w:rsidRDefault="00E340EF" w:rsidP="006B5123">
      <w:pPr>
        <w:pStyle w:val="IndexMain"/>
      </w:pPr>
      <w:r w:rsidRPr="00E340EF">
        <w:t>D</w:t>
      </w:r>
    </w:p>
    <w:p w14:paraId="323A3AC8" w14:textId="77777777" w:rsidR="00E340EF" w:rsidRPr="00E340EF" w:rsidRDefault="00E340EF" w:rsidP="0094316D">
      <w:pPr>
        <w:pStyle w:val="Indexbodycopy"/>
      </w:pPr>
      <w:r w:rsidRPr="0094316D">
        <w:rPr>
          <w:rStyle w:val="Emphasis"/>
        </w:rPr>
        <w:t>Data Governance Framework</w:t>
      </w:r>
      <w:r w:rsidRPr="00E340EF">
        <w:t>, 44</w:t>
      </w:r>
    </w:p>
    <w:p w14:paraId="7EEDCB9E" w14:textId="77777777" w:rsidR="00E340EF" w:rsidRPr="00E340EF" w:rsidRDefault="00E340EF" w:rsidP="0094316D">
      <w:pPr>
        <w:pStyle w:val="Indexbodycopy"/>
      </w:pPr>
      <w:r w:rsidRPr="0094316D">
        <w:rPr>
          <w:rStyle w:val="Emphasis"/>
        </w:rPr>
        <w:t>Data Plan</w:t>
      </w:r>
      <w:r w:rsidRPr="00E340EF">
        <w:t xml:space="preserve"> 2016–2019, 44</w:t>
      </w:r>
    </w:p>
    <w:p w14:paraId="03A958C0" w14:textId="77777777" w:rsidR="00E340EF" w:rsidRPr="00E340EF" w:rsidRDefault="00E340EF" w:rsidP="0094316D">
      <w:pPr>
        <w:pStyle w:val="Indexbodycopy"/>
      </w:pPr>
      <w:r w:rsidRPr="00E340EF">
        <w:t>delirium, 10, 51, 57</w:t>
      </w:r>
    </w:p>
    <w:p w14:paraId="12BE640B" w14:textId="77777777" w:rsidR="00E340EF" w:rsidRPr="00E340EF" w:rsidRDefault="00E340EF" w:rsidP="0094316D">
      <w:pPr>
        <w:pStyle w:val="Indexbodycopy"/>
      </w:pPr>
      <w:r w:rsidRPr="00E340EF">
        <w:t>Della, Professor Phillip, 63</w:t>
      </w:r>
    </w:p>
    <w:p w14:paraId="2D10A681" w14:textId="77777777" w:rsidR="00E340EF" w:rsidRPr="00E340EF" w:rsidRDefault="00E340EF" w:rsidP="0094316D">
      <w:pPr>
        <w:pStyle w:val="Indexbodycopy"/>
      </w:pPr>
      <w:r w:rsidRPr="00E340EF">
        <w:t xml:space="preserve">device safety, </w:t>
      </w:r>
      <w:r w:rsidRPr="0044323F">
        <w:rPr>
          <w:rFonts w:cs="Arial"/>
          <w:b/>
          <w:bCs/>
        </w:rPr>
        <w:t>31–32</w:t>
      </w:r>
    </w:p>
    <w:p w14:paraId="72D078A7" w14:textId="77777777" w:rsidR="00E340EF" w:rsidRPr="00E340EF" w:rsidRDefault="00E340EF" w:rsidP="0094316D">
      <w:pPr>
        <w:pStyle w:val="Indexbodycopy"/>
      </w:pPr>
      <w:r w:rsidRPr="00E340EF">
        <w:t>diabetes complications, 40</w:t>
      </w:r>
    </w:p>
    <w:p w14:paraId="42B19E0C" w14:textId="77777777" w:rsidR="00E340EF" w:rsidRPr="00E340EF" w:rsidRDefault="00E340EF" w:rsidP="0094316D">
      <w:pPr>
        <w:pStyle w:val="Indexbodycopy"/>
      </w:pPr>
      <w:r w:rsidRPr="00E340EF">
        <w:t>dementia, see cognitive impairment</w:t>
      </w:r>
    </w:p>
    <w:p w14:paraId="3309041B" w14:textId="77777777" w:rsidR="00E340EF" w:rsidRPr="00E340EF" w:rsidRDefault="00E340EF" w:rsidP="0094316D">
      <w:pPr>
        <w:pStyle w:val="Indexbodycopy"/>
      </w:pPr>
      <w:r w:rsidRPr="00E340EF">
        <w:t xml:space="preserve">digital patient safety, </w:t>
      </w:r>
      <w:r w:rsidRPr="0044323F">
        <w:rPr>
          <w:rFonts w:cs="Arial"/>
          <w:b/>
          <w:bCs/>
        </w:rPr>
        <w:t>23–24</w:t>
      </w:r>
    </w:p>
    <w:p w14:paraId="7BEF602A" w14:textId="77777777" w:rsidR="00E340EF" w:rsidRPr="00E340EF" w:rsidRDefault="00E340EF" w:rsidP="0094316D">
      <w:pPr>
        <w:pStyle w:val="Indexcopyindent"/>
      </w:pPr>
      <w:r w:rsidRPr="00E340EF">
        <w:tab/>
      </w:r>
      <w:r w:rsidRPr="0094316D">
        <w:rPr>
          <w:rStyle w:val="Emphasis"/>
        </w:rPr>
        <w:t xml:space="preserve">Barcoding and Other Scanning Technologies to Improve Medication Safety in Hospitals </w:t>
      </w:r>
      <w:r w:rsidRPr="00E340EF">
        <w:t>report, 24</w:t>
      </w:r>
    </w:p>
    <w:p w14:paraId="29491BBA" w14:textId="77777777" w:rsidR="00E340EF" w:rsidRPr="00E340EF" w:rsidRDefault="00E340EF" w:rsidP="0094316D">
      <w:pPr>
        <w:pStyle w:val="Indexcopyindent"/>
      </w:pPr>
      <w:r w:rsidRPr="00E340EF">
        <w:tab/>
      </w:r>
      <w:r w:rsidRPr="0094316D">
        <w:rPr>
          <w:rStyle w:val="Emphasis"/>
        </w:rPr>
        <w:t>Implementation of Electronic Medication Management Systems in Hospitals: A literature scan</w:t>
      </w:r>
      <w:r w:rsidRPr="00E340EF">
        <w:t>, 23</w:t>
      </w:r>
    </w:p>
    <w:p w14:paraId="74B97AC5" w14:textId="77777777" w:rsidR="00E340EF" w:rsidRPr="00E340EF" w:rsidRDefault="00E340EF" w:rsidP="0094316D">
      <w:pPr>
        <w:pStyle w:val="Indexcopyindent"/>
      </w:pPr>
      <w:r w:rsidRPr="00E340EF">
        <w:tab/>
      </w:r>
      <w:r w:rsidRPr="0094316D">
        <w:rPr>
          <w:rStyle w:val="Emphasis"/>
        </w:rPr>
        <w:t>Literature Review and Environmental Scan on Approaches to the Review and Investigation of Health IT-Related Patient Safety Incidents</w:t>
      </w:r>
      <w:r w:rsidRPr="00E340EF">
        <w:t>, 23</w:t>
      </w:r>
    </w:p>
    <w:p w14:paraId="0AA7CD5B" w14:textId="77777777" w:rsidR="00E340EF" w:rsidRPr="00E340EF" w:rsidRDefault="00E340EF" w:rsidP="0094316D">
      <w:pPr>
        <w:pStyle w:val="Indexcopyindent"/>
      </w:pPr>
      <w:r w:rsidRPr="00E340EF">
        <w:tab/>
      </w:r>
      <w:r w:rsidRPr="0094316D">
        <w:rPr>
          <w:rStyle w:val="Emphasis"/>
        </w:rPr>
        <w:t>National Guidelines for On-Screen Presentation</w:t>
      </w:r>
      <w:r w:rsidRPr="00E340EF">
        <w:t xml:space="preserve"> of Discharge Summaries report,</w:t>
      </w:r>
      <w:r w:rsidRPr="00E340EF">
        <w:rPr>
          <w:rFonts w:cs="Arial"/>
        </w:rPr>
        <w:t> </w:t>
      </w:r>
      <w:r w:rsidRPr="00E340EF">
        <w:t>24</w:t>
      </w:r>
    </w:p>
    <w:p w14:paraId="627DE436" w14:textId="77777777" w:rsidR="00E340EF" w:rsidRPr="00E340EF" w:rsidRDefault="00E340EF" w:rsidP="0094316D">
      <w:pPr>
        <w:pStyle w:val="Indexbodycopy"/>
      </w:pPr>
      <w:r w:rsidRPr="00E340EF">
        <w:t xml:space="preserve">disability strategy, </w:t>
      </w:r>
      <w:r w:rsidRPr="0044323F">
        <w:rPr>
          <w:rFonts w:cs="Arial"/>
          <w:b/>
          <w:bCs/>
        </w:rPr>
        <w:t>78</w:t>
      </w:r>
    </w:p>
    <w:p w14:paraId="12A8E8C0" w14:textId="77777777" w:rsidR="00E340EF" w:rsidRPr="00E340EF" w:rsidRDefault="00E340EF" w:rsidP="006B5123">
      <w:pPr>
        <w:pStyle w:val="IndexMain"/>
      </w:pPr>
      <w:r w:rsidRPr="00E340EF">
        <w:t>E</w:t>
      </w:r>
    </w:p>
    <w:p w14:paraId="74F5CE43" w14:textId="77777777" w:rsidR="00E340EF" w:rsidRPr="00E340EF" w:rsidRDefault="00E340EF" w:rsidP="0094316D">
      <w:pPr>
        <w:pStyle w:val="Indexbodycopy"/>
      </w:pPr>
      <w:r w:rsidRPr="00E340EF">
        <w:t xml:space="preserve">ecologically sustainable development, </w:t>
      </w:r>
      <w:r w:rsidRPr="0044323F">
        <w:rPr>
          <w:rFonts w:cs="Arial"/>
          <w:b/>
          <w:bCs/>
        </w:rPr>
        <w:t>71, 109</w:t>
      </w:r>
    </w:p>
    <w:p w14:paraId="14F6C93E" w14:textId="77777777" w:rsidR="00E340EF" w:rsidRPr="00E340EF" w:rsidRDefault="00E340EF" w:rsidP="0094316D">
      <w:pPr>
        <w:pStyle w:val="Indexbodycopy"/>
      </w:pPr>
      <w:r w:rsidRPr="00E340EF">
        <w:rPr>
          <w:i/>
          <w:iCs/>
        </w:rPr>
        <w:t>Economic Evaluation of Clinical Quality Registries</w:t>
      </w:r>
      <w:r w:rsidRPr="00E340EF">
        <w:t>, 46</w:t>
      </w:r>
    </w:p>
    <w:p w14:paraId="5A930E63" w14:textId="77777777" w:rsidR="00E340EF" w:rsidRPr="00E340EF" w:rsidRDefault="00E340EF" w:rsidP="0094316D">
      <w:pPr>
        <w:pStyle w:val="Indexbodycopy"/>
      </w:pPr>
      <w:r w:rsidRPr="00E340EF">
        <w:t xml:space="preserve">employees, </w:t>
      </w:r>
      <w:r w:rsidRPr="00E340EF">
        <w:rPr>
          <w:i/>
          <w:iCs/>
        </w:rPr>
        <w:t>see</w:t>
      </w:r>
      <w:r w:rsidRPr="00E340EF">
        <w:t xml:space="preserve"> staff</w:t>
      </w:r>
    </w:p>
    <w:p w14:paraId="569BD503" w14:textId="77777777" w:rsidR="00E340EF" w:rsidRPr="00E340EF" w:rsidRDefault="00E340EF" w:rsidP="0094316D">
      <w:pPr>
        <w:pStyle w:val="Indexbodycopy"/>
      </w:pPr>
      <w:r w:rsidRPr="00E340EF">
        <w:t xml:space="preserve">end-of-life care, </w:t>
      </w:r>
      <w:r w:rsidRPr="0044323F">
        <w:rPr>
          <w:rFonts w:cs="Arial"/>
          <w:b/>
          <w:bCs/>
        </w:rPr>
        <w:t>35</w:t>
      </w:r>
    </w:p>
    <w:p w14:paraId="3347C741" w14:textId="77777777" w:rsidR="00E340EF" w:rsidRPr="00E340EF" w:rsidRDefault="00E340EF" w:rsidP="0094316D">
      <w:pPr>
        <w:pStyle w:val="Indexbodycopy"/>
      </w:pPr>
      <w:r w:rsidRPr="00E340EF">
        <w:t>endometrial ablation, 37, 39</w:t>
      </w:r>
    </w:p>
    <w:p w14:paraId="63B3E96B" w14:textId="77777777" w:rsidR="00E340EF" w:rsidRPr="00E340EF" w:rsidRDefault="00E340EF" w:rsidP="0094316D">
      <w:pPr>
        <w:pStyle w:val="Indexbodycopy"/>
      </w:pPr>
      <w:r w:rsidRPr="00E340EF">
        <w:t>environmental performance, 71</w:t>
      </w:r>
    </w:p>
    <w:p w14:paraId="080EA1CA" w14:textId="77777777" w:rsidR="00E340EF" w:rsidRPr="00E340EF" w:rsidRDefault="00E340EF" w:rsidP="0094316D">
      <w:pPr>
        <w:pStyle w:val="Indexbodycopy"/>
      </w:pPr>
      <w:r w:rsidRPr="00E340EF">
        <w:t xml:space="preserve">external scrutiny, </w:t>
      </w:r>
      <w:r w:rsidRPr="0044323F">
        <w:rPr>
          <w:rFonts w:cs="Arial"/>
          <w:b/>
          <w:bCs/>
        </w:rPr>
        <w:t>70</w:t>
      </w:r>
    </w:p>
    <w:p w14:paraId="346175C9" w14:textId="77777777" w:rsidR="00E340EF" w:rsidRPr="00E340EF" w:rsidRDefault="00E340EF" w:rsidP="006B5123">
      <w:pPr>
        <w:pStyle w:val="IndexMain"/>
      </w:pPr>
      <w:r w:rsidRPr="00E340EF">
        <w:t>F</w:t>
      </w:r>
    </w:p>
    <w:p w14:paraId="19F06ABA" w14:textId="77777777" w:rsidR="00E340EF" w:rsidRPr="00E340EF" w:rsidRDefault="00E340EF" w:rsidP="0094316D">
      <w:pPr>
        <w:pStyle w:val="Indexbodycopy"/>
      </w:pPr>
      <w:r w:rsidRPr="00E340EF">
        <w:t>Filby, Dr David, 62</w:t>
      </w:r>
    </w:p>
    <w:p w14:paraId="373B18B8" w14:textId="77777777" w:rsidR="00E340EF" w:rsidRPr="00E340EF" w:rsidRDefault="00E340EF" w:rsidP="0094316D">
      <w:pPr>
        <w:pStyle w:val="Indexbodycopy"/>
      </w:pPr>
      <w:r w:rsidRPr="00E340EF">
        <w:t>financial statements, 81–105</w:t>
      </w:r>
    </w:p>
    <w:p w14:paraId="713018B1" w14:textId="77777777" w:rsidR="00E340EF" w:rsidRPr="00E340EF" w:rsidRDefault="00E340EF" w:rsidP="0094316D">
      <w:pPr>
        <w:pStyle w:val="Indexcopyindent"/>
      </w:pPr>
      <w:r w:rsidRPr="00E340EF">
        <w:tab/>
        <w:t xml:space="preserve">Cash Flow Statement, </w:t>
      </w:r>
      <w:r w:rsidRPr="0044323F">
        <w:rPr>
          <w:rFonts w:cs="Arial"/>
          <w:b/>
          <w:bCs/>
        </w:rPr>
        <w:t>88</w:t>
      </w:r>
    </w:p>
    <w:p w14:paraId="5D3033F0" w14:textId="77777777" w:rsidR="00E340EF" w:rsidRPr="00E340EF" w:rsidRDefault="00E340EF" w:rsidP="0094316D">
      <w:pPr>
        <w:pStyle w:val="Indexcopyindent"/>
      </w:pPr>
      <w:r w:rsidRPr="00E340EF">
        <w:tab/>
        <w:t xml:space="preserve">financial performance, </w:t>
      </w:r>
      <w:r w:rsidRPr="0044323F">
        <w:rPr>
          <w:rFonts w:cs="Arial"/>
          <w:b/>
          <w:bCs/>
        </w:rPr>
        <w:t>92–95</w:t>
      </w:r>
    </w:p>
    <w:p w14:paraId="1D455EEC" w14:textId="77777777" w:rsidR="00E340EF" w:rsidRPr="00E340EF" w:rsidRDefault="00E340EF" w:rsidP="0094316D">
      <w:pPr>
        <w:pStyle w:val="Indexcopyindent"/>
      </w:pPr>
      <w:r w:rsidRPr="00E340EF">
        <w:tab/>
        <w:t xml:space="preserve">financial position, </w:t>
      </w:r>
      <w:r w:rsidRPr="0044323F">
        <w:rPr>
          <w:rFonts w:cs="Arial"/>
          <w:b/>
          <w:bCs/>
        </w:rPr>
        <w:t>96–99</w:t>
      </w:r>
    </w:p>
    <w:p w14:paraId="09574A52" w14:textId="77777777" w:rsidR="00E340EF" w:rsidRPr="00E340EF" w:rsidRDefault="00E340EF" w:rsidP="0094316D">
      <w:pPr>
        <w:pStyle w:val="Indexcopyindent"/>
      </w:pPr>
      <w:r w:rsidRPr="00E340EF">
        <w:tab/>
        <w:t xml:space="preserve">independent auditor’s report, </w:t>
      </w:r>
      <w:r w:rsidRPr="0044323F">
        <w:rPr>
          <w:rFonts w:cs="Arial"/>
          <w:b/>
          <w:bCs/>
        </w:rPr>
        <w:t>82–83</w:t>
      </w:r>
    </w:p>
    <w:p w14:paraId="74CAE34F" w14:textId="77777777" w:rsidR="00E340EF" w:rsidRPr="00E340EF" w:rsidRDefault="00E340EF" w:rsidP="0094316D">
      <w:pPr>
        <w:pStyle w:val="Indexcopyindent"/>
      </w:pPr>
      <w:r w:rsidRPr="00E340EF">
        <w:tab/>
        <w:t xml:space="preserve">managing uncertainties, </w:t>
      </w:r>
      <w:r w:rsidRPr="0044323F">
        <w:rPr>
          <w:rFonts w:cs="Arial"/>
          <w:b/>
          <w:bCs/>
        </w:rPr>
        <w:t>103–104</w:t>
      </w:r>
    </w:p>
    <w:p w14:paraId="267F3E65" w14:textId="77777777" w:rsidR="00E340EF" w:rsidRPr="00E340EF" w:rsidRDefault="00E340EF" w:rsidP="0094316D">
      <w:pPr>
        <w:pStyle w:val="Indexcopyindent"/>
      </w:pPr>
      <w:r w:rsidRPr="00E340EF">
        <w:tab/>
        <w:t xml:space="preserve">overview, </w:t>
      </w:r>
      <w:r w:rsidRPr="0044323F">
        <w:rPr>
          <w:rFonts w:cs="Arial"/>
          <w:b/>
          <w:bCs/>
        </w:rPr>
        <w:t>90–91</w:t>
      </w:r>
    </w:p>
    <w:p w14:paraId="7A89635B" w14:textId="77777777" w:rsidR="005207F5" w:rsidRPr="0044323F" w:rsidRDefault="00E340EF" w:rsidP="0094316D">
      <w:pPr>
        <w:pStyle w:val="Indexcopyindent"/>
        <w:rPr>
          <w:rFonts w:cs="Arial"/>
          <w:b/>
          <w:bCs/>
        </w:rPr>
      </w:pPr>
      <w:r w:rsidRPr="00E340EF">
        <w:tab/>
        <w:t xml:space="preserve">people and relationships, </w:t>
      </w:r>
      <w:r w:rsidRPr="0044323F">
        <w:rPr>
          <w:rFonts w:cs="Arial"/>
          <w:b/>
          <w:bCs/>
        </w:rPr>
        <w:t>100–102</w:t>
      </w:r>
    </w:p>
    <w:p w14:paraId="03B5A2E2" w14:textId="77777777" w:rsidR="005207F5" w:rsidRPr="00C9282C" w:rsidRDefault="005207F5" w:rsidP="00C9282C">
      <w:r w:rsidRPr="00C9282C">
        <w:br w:type="page"/>
      </w:r>
    </w:p>
    <w:p w14:paraId="6A365F49" w14:textId="77777777" w:rsidR="00E340EF" w:rsidRPr="00E340EF" w:rsidRDefault="00E340EF" w:rsidP="0094316D">
      <w:pPr>
        <w:pStyle w:val="Indexbodycopy"/>
      </w:pPr>
      <w:r w:rsidRPr="00E340EF">
        <w:lastRenderedPageBreak/>
        <w:t xml:space="preserve">Statement by the Directors, Chief Executive and Chief Financial Officer, </w:t>
      </w:r>
      <w:r w:rsidRPr="0044323F">
        <w:rPr>
          <w:rFonts w:cs="Arial"/>
          <w:b/>
          <w:bCs/>
        </w:rPr>
        <w:t>84</w:t>
      </w:r>
    </w:p>
    <w:p w14:paraId="42F273A6" w14:textId="77777777" w:rsidR="00E340EF" w:rsidRPr="00E340EF" w:rsidRDefault="00E340EF" w:rsidP="0094316D">
      <w:pPr>
        <w:pStyle w:val="Indexcopyindent"/>
      </w:pPr>
      <w:r w:rsidRPr="00E340EF">
        <w:tab/>
        <w:t xml:space="preserve">Statement of Changes in Equity, </w:t>
      </w:r>
      <w:r w:rsidRPr="0044323F">
        <w:rPr>
          <w:rFonts w:cs="Arial"/>
          <w:b/>
          <w:bCs/>
        </w:rPr>
        <w:t>87</w:t>
      </w:r>
    </w:p>
    <w:p w14:paraId="6A4B7202" w14:textId="77777777" w:rsidR="00E340EF" w:rsidRPr="00E340EF" w:rsidRDefault="00E340EF" w:rsidP="0094316D">
      <w:pPr>
        <w:pStyle w:val="Indexcopyindent"/>
      </w:pPr>
      <w:r w:rsidRPr="00E340EF">
        <w:tab/>
        <w:t xml:space="preserve">Statement of Comprehensive Income, </w:t>
      </w:r>
      <w:r w:rsidRPr="0044323F">
        <w:rPr>
          <w:rFonts w:cs="Arial"/>
          <w:b/>
          <w:bCs/>
        </w:rPr>
        <w:t>85</w:t>
      </w:r>
    </w:p>
    <w:p w14:paraId="6B61943C" w14:textId="77777777" w:rsidR="00E340EF" w:rsidRPr="00E340EF" w:rsidRDefault="00E340EF" w:rsidP="0094316D">
      <w:pPr>
        <w:pStyle w:val="Indexcopyindent"/>
      </w:pPr>
      <w:r w:rsidRPr="00E340EF">
        <w:tab/>
        <w:t xml:space="preserve">Statement of Financial Position, </w:t>
      </w:r>
      <w:r w:rsidRPr="0044323F">
        <w:rPr>
          <w:rFonts w:cs="Arial"/>
          <w:b/>
          <w:bCs/>
        </w:rPr>
        <w:t>86</w:t>
      </w:r>
    </w:p>
    <w:p w14:paraId="1980B603" w14:textId="77777777" w:rsidR="00E340EF" w:rsidRPr="00E340EF" w:rsidRDefault="00E340EF" w:rsidP="0094316D">
      <w:pPr>
        <w:pStyle w:val="Indexbodycopy"/>
      </w:pPr>
      <w:r w:rsidRPr="0094316D">
        <w:rPr>
          <w:rStyle w:val="Emphasis"/>
        </w:rPr>
        <w:t>Framework for Australian Clinical Quality Registries</w:t>
      </w:r>
      <w:r w:rsidRPr="00E340EF">
        <w:t>, 46</w:t>
      </w:r>
    </w:p>
    <w:p w14:paraId="79D36070" w14:textId="77777777" w:rsidR="00E340EF" w:rsidRPr="00E340EF" w:rsidRDefault="00E340EF" w:rsidP="0094316D">
      <w:pPr>
        <w:pStyle w:val="Indexbodycopy"/>
      </w:pPr>
      <w:r w:rsidRPr="00E340EF">
        <w:t>fraud control, 69</w:t>
      </w:r>
    </w:p>
    <w:p w14:paraId="3D27903D" w14:textId="77777777" w:rsidR="00E340EF" w:rsidRPr="00E340EF" w:rsidRDefault="00E340EF" w:rsidP="0094316D">
      <w:pPr>
        <w:pStyle w:val="Indexbodycopy"/>
      </w:pPr>
      <w:r w:rsidRPr="00E340EF">
        <w:t xml:space="preserve">freedom of information, 70, </w:t>
      </w:r>
      <w:r w:rsidRPr="0044323F">
        <w:rPr>
          <w:rFonts w:cs="Arial"/>
          <w:b/>
          <w:bCs/>
        </w:rPr>
        <w:t>108</w:t>
      </w:r>
    </w:p>
    <w:p w14:paraId="31D54F33" w14:textId="77777777" w:rsidR="00E340EF" w:rsidRPr="00E340EF" w:rsidRDefault="00E340EF" w:rsidP="006B5123">
      <w:pPr>
        <w:pStyle w:val="IndexMain"/>
      </w:pPr>
      <w:r w:rsidRPr="00E340EF">
        <w:t>G</w:t>
      </w:r>
    </w:p>
    <w:p w14:paraId="5F4C259A" w14:textId="77777777" w:rsidR="00E340EF" w:rsidRPr="00E340EF" w:rsidRDefault="00E340EF" w:rsidP="0094316D">
      <w:pPr>
        <w:pStyle w:val="Indexbodycopy"/>
      </w:pPr>
      <w:r w:rsidRPr="00E340EF">
        <w:t>Gee, Christine, 63</w:t>
      </w:r>
    </w:p>
    <w:p w14:paraId="074B6921" w14:textId="77777777" w:rsidR="00E340EF" w:rsidRPr="00E340EF" w:rsidRDefault="00E340EF" w:rsidP="0094316D">
      <w:pPr>
        <w:pStyle w:val="Indexbodycopy"/>
      </w:pPr>
      <w:r w:rsidRPr="00E340EF">
        <w:t xml:space="preserve">glossary, </w:t>
      </w:r>
      <w:r w:rsidRPr="0044323F">
        <w:rPr>
          <w:rFonts w:cs="Arial"/>
          <w:b/>
          <w:bCs/>
        </w:rPr>
        <w:t>116–118</w:t>
      </w:r>
    </w:p>
    <w:p w14:paraId="730CC4D7" w14:textId="77777777" w:rsidR="00E340EF" w:rsidRPr="00E340EF" w:rsidRDefault="00E340EF" w:rsidP="0094316D">
      <w:pPr>
        <w:pStyle w:val="Indexbodycopy"/>
      </w:pPr>
      <w:r w:rsidRPr="00E340EF">
        <w:t>government policy orders, 71</w:t>
      </w:r>
    </w:p>
    <w:p w14:paraId="4BE8729A" w14:textId="77777777" w:rsidR="00E340EF" w:rsidRPr="00E340EF" w:rsidRDefault="00E340EF" w:rsidP="006B5123">
      <w:pPr>
        <w:pStyle w:val="IndexMain"/>
      </w:pPr>
      <w:r w:rsidRPr="00E340EF">
        <w:t>H</w:t>
      </w:r>
    </w:p>
    <w:p w14:paraId="2F815995" w14:textId="77777777" w:rsidR="00E340EF" w:rsidRPr="00E340EF" w:rsidRDefault="00E340EF" w:rsidP="0094316D">
      <w:pPr>
        <w:pStyle w:val="Indexbodycopy"/>
      </w:pPr>
      <w:r w:rsidRPr="00E340EF">
        <w:t>hand hygiene, 22, 44</w:t>
      </w:r>
    </w:p>
    <w:p w14:paraId="10568897" w14:textId="77777777" w:rsidR="00E340EF" w:rsidRPr="00E340EF" w:rsidRDefault="00E340EF" w:rsidP="0094316D">
      <w:pPr>
        <w:pStyle w:val="Indexbodycopy"/>
      </w:pPr>
      <w:r w:rsidRPr="00E340EF">
        <w:t>Harris, Wendy, 63</w:t>
      </w:r>
    </w:p>
    <w:p w14:paraId="62C2CC10" w14:textId="77777777" w:rsidR="00E340EF" w:rsidRPr="00E340EF" w:rsidRDefault="00E340EF" w:rsidP="0094316D">
      <w:pPr>
        <w:pStyle w:val="Indexbodycopy"/>
      </w:pPr>
      <w:r w:rsidRPr="00E340EF">
        <w:t xml:space="preserve">healthcare </w:t>
      </w:r>
    </w:p>
    <w:p w14:paraId="661B7F64" w14:textId="77777777" w:rsidR="00E340EF" w:rsidRPr="00E340EF" w:rsidRDefault="00E340EF" w:rsidP="0094316D">
      <w:pPr>
        <w:pStyle w:val="Indexcopyindent"/>
      </w:pPr>
      <w:r w:rsidRPr="00E340EF">
        <w:tab/>
        <w:t>healthcare-related harm, 45–46</w:t>
      </w:r>
    </w:p>
    <w:p w14:paraId="47F309A7" w14:textId="77777777" w:rsidR="00E340EF" w:rsidRPr="00E340EF" w:rsidRDefault="00E340EF" w:rsidP="0094316D">
      <w:pPr>
        <w:pStyle w:val="Indexcopyindent"/>
      </w:pPr>
      <w:r w:rsidRPr="00E340EF">
        <w:tab/>
        <w:t>quality 44–46</w:t>
      </w:r>
    </w:p>
    <w:p w14:paraId="51C61BD7" w14:textId="77777777" w:rsidR="00E340EF" w:rsidRPr="00E340EF" w:rsidRDefault="00E340EF" w:rsidP="0094316D">
      <w:pPr>
        <w:pStyle w:val="Indexcopyindent"/>
      </w:pPr>
      <w:r w:rsidRPr="00E340EF">
        <w:tab/>
      </w:r>
      <w:r w:rsidR="0094316D">
        <w:t>v</w:t>
      </w:r>
      <w:r w:rsidRPr="00E340EF">
        <w:t xml:space="preserve">ariation, </w:t>
      </w:r>
      <w:r w:rsidRPr="0044323F">
        <w:rPr>
          <w:rFonts w:cs="Arial"/>
          <w:b/>
          <w:bCs/>
        </w:rPr>
        <w:t>37</w:t>
      </w:r>
      <w:r w:rsidRPr="00E340EF">
        <w:t xml:space="preserve">; see also </w:t>
      </w:r>
      <w:r w:rsidRPr="0094316D">
        <w:rPr>
          <w:rStyle w:val="Emphasis"/>
        </w:rPr>
        <w:t>Australian Atlas of Healthcare Variation; Second Australian Atlas of Healthcare Variation</w:t>
      </w:r>
    </w:p>
    <w:p w14:paraId="3826EE95" w14:textId="3B1F6F84" w:rsidR="00E340EF" w:rsidRPr="00E340EF" w:rsidRDefault="00E340EF" w:rsidP="0094316D">
      <w:pPr>
        <w:pStyle w:val="Indexbodycopy"/>
      </w:pPr>
      <w:r w:rsidRPr="00E340EF">
        <w:t xml:space="preserve">Health Portfolio Budget Statements </w:t>
      </w:r>
      <w:r w:rsidR="003B754D">
        <w:br/>
      </w:r>
      <w:r w:rsidRPr="00E340EF">
        <w:t>2016–17,</w:t>
      </w:r>
      <w:r w:rsidRPr="00E340EF">
        <w:rPr>
          <w:rFonts w:cs="Arial"/>
        </w:rPr>
        <w:t> </w:t>
      </w:r>
      <w:r w:rsidRPr="00E340EF">
        <w:t>52–57</w:t>
      </w:r>
    </w:p>
    <w:p w14:paraId="489B9E0C" w14:textId="77777777" w:rsidR="00E340EF" w:rsidRPr="00E340EF" w:rsidRDefault="00E340EF" w:rsidP="0094316D">
      <w:pPr>
        <w:pStyle w:val="Indexbodycopy"/>
        <w:ind w:right="-142"/>
      </w:pPr>
      <w:r w:rsidRPr="00E340EF">
        <w:t>heavy menstrual bleeding, 10, 34, 37, 39, 42, 44</w:t>
      </w:r>
    </w:p>
    <w:p w14:paraId="150B1CFC" w14:textId="77777777" w:rsidR="00E340EF" w:rsidRPr="00E340EF" w:rsidRDefault="00E340EF" w:rsidP="0094316D">
      <w:pPr>
        <w:pStyle w:val="Indexbodycopy"/>
      </w:pPr>
      <w:r w:rsidRPr="00E340EF">
        <w:t>hip fracture care, 10, 42, 51, 57</w:t>
      </w:r>
    </w:p>
    <w:p w14:paraId="6663B53A" w14:textId="77777777" w:rsidR="00E340EF" w:rsidRPr="00E340EF" w:rsidRDefault="00E340EF" w:rsidP="0094316D">
      <w:pPr>
        <w:pStyle w:val="Indexcopyindent"/>
      </w:pPr>
      <w:r w:rsidRPr="00E340EF">
        <w:tab/>
      </w:r>
      <w:r w:rsidRPr="0094316D">
        <w:rPr>
          <w:rStyle w:val="Emphasis"/>
        </w:rPr>
        <w:t>Hip Fracture Care – The case for improvement</w:t>
      </w:r>
      <w:r w:rsidRPr="00E340EF">
        <w:t>, 42</w:t>
      </w:r>
    </w:p>
    <w:p w14:paraId="1A2C6F6E" w14:textId="77777777" w:rsidR="00E340EF" w:rsidRPr="00E340EF" w:rsidRDefault="00E340EF" w:rsidP="0094316D">
      <w:pPr>
        <w:pStyle w:val="Indexbodycopy"/>
      </w:pPr>
      <w:r w:rsidRPr="00E340EF">
        <w:t xml:space="preserve">hospitals </w:t>
      </w:r>
    </w:p>
    <w:p w14:paraId="35BB7E04" w14:textId="77777777" w:rsidR="00E340EF" w:rsidRPr="00E340EF" w:rsidRDefault="00E340EF" w:rsidP="0094316D">
      <w:pPr>
        <w:pStyle w:val="Indexcopyindent"/>
      </w:pPr>
      <w:r w:rsidRPr="00E340EF">
        <w:tab/>
        <w:t>avoidable readmissions, 43, 48</w:t>
      </w:r>
    </w:p>
    <w:p w14:paraId="74DE3BFD" w14:textId="77777777" w:rsidR="00E340EF" w:rsidRPr="00E340EF" w:rsidRDefault="00E340EF" w:rsidP="0094316D">
      <w:pPr>
        <w:pStyle w:val="Indexcopyindent"/>
        <w:ind w:right="-284"/>
      </w:pPr>
      <w:r w:rsidRPr="00E340EF">
        <w:tab/>
        <w:t>hospital-acquired complications, 43, 45–46, 48</w:t>
      </w:r>
    </w:p>
    <w:p w14:paraId="0CB03F44" w14:textId="77777777" w:rsidR="00E340EF" w:rsidRPr="00E340EF" w:rsidRDefault="00E340EF" w:rsidP="0094316D">
      <w:pPr>
        <w:pStyle w:val="Indexcopyindent"/>
      </w:pPr>
      <w:r w:rsidRPr="00E340EF">
        <w:tab/>
        <w:t xml:space="preserve">hospitalisation rates, 37–38, 43 </w:t>
      </w:r>
    </w:p>
    <w:p w14:paraId="6077CBF9" w14:textId="77777777" w:rsidR="00E340EF" w:rsidRPr="00E340EF" w:rsidRDefault="00E340EF" w:rsidP="0094316D">
      <w:pPr>
        <w:pStyle w:val="Indexcopyindent"/>
      </w:pPr>
      <w:r w:rsidRPr="00E340EF">
        <w:tab/>
        <w:t>pricing and funding, 11, 43, 48</w:t>
      </w:r>
    </w:p>
    <w:p w14:paraId="6ED8F91A" w14:textId="77777777" w:rsidR="00E340EF" w:rsidRPr="00E340EF" w:rsidRDefault="00E340EF" w:rsidP="0094316D">
      <w:pPr>
        <w:pStyle w:val="Indexbodycopy"/>
      </w:pPr>
      <w:r w:rsidRPr="00E340EF">
        <w:t>Hunt, Greg (Minister for Health), 6</w:t>
      </w:r>
    </w:p>
    <w:p w14:paraId="14D95EFF" w14:textId="77777777" w:rsidR="00E340EF" w:rsidRPr="00E340EF" w:rsidRDefault="00E340EF" w:rsidP="0094316D">
      <w:pPr>
        <w:pStyle w:val="Indexbodycopy"/>
      </w:pPr>
      <w:r w:rsidRPr="00E340EF">
        <w:t>hysterectomy, 37, 39</w:t>
      </w:r>
    </w:p>
    <w:p w14:paraId="721E1C8C" w14:textId="77777777" w:rsidR="00E340EF" w:rsidRPr="00E340EF" w:rsidRDefault="00E340EF" w:rsidP="006B5123">
      <w:pPr>
        <w:pStyle w:val="IndexMain"/>
      </w:pPr>
      <w:r w:rsidRPr="00E340EF">
        <w:t>I</w:t>
      </w:r>
    </w:p>
    <w:p w14:paraId="083A24BE" w14:textId="77777777" w:rsidR="00E340EF" w:rsidRPr="00E340EF" w:rsidRDefault="00E340EF" w:rsidP="0094316D">
      <w:pPr>
        <w:pStyle w:val="Indexbodycopy"/>
      </w:pPr>
      <w:r w:rsidRPr="00E340EF">
        <w:t xml:space="preserve">Income Statement, </w:t>
      </w:r>
      <w:r w:rsidRPr="0044323F">
        <w:rPr>
          <w:rFonts w:cs="Arial"/>
          <w:b/>
          <w:bCs/>
        </w:rPr>
        <w:t>85</w:t>
      </w:r>
    </w:p>
    <w:p w14:paraId="39A0467F" w14:textId="77777777" w:rsidR="00E340EF" w:rsidRPr="00E340EF" w:rsidRDefault="00E340EF" w:rsidP="0094316D">
      <w:pPr>
        <w:pStyle w:val="Indexbodycopy"/>
      </w:pPr>
      <w:r w:rsidRPr="00E340EF">
        <w:t>Independent Hospital Pricing Authority (IHPA), 43, 48</w:t>
      </w:r>
    </w:p>
    <w:p w14:paraId="54BD35D3" w14:textId="77777777" w:rsidR="00E340EF" w:rsidRPr="00E340EF" w:rsidRDefault="00E340EF" w:rsidP="0094316D">
      <w:pPr>
        <w:pStyle w:val="Indexbodycopy"/>
      </w:pPr>
      <w:r w:rsidRPr="00E340EF">
        <w:t xml:space="preserve">Indigenous recruitment and employment, </w:t>
      </w:r>
      <w:r w:rsidRPr="0044323F">
        <w:rPr>
          <w:rFonts w:cs="Arial"/>
          <w:b/>
          <w:bCs/>
        </w:rPr>
        <w:t>78</w:t>
      </w:r>
    </w:p>
    <w:p w14:paraId="79C6C8A0" w14:textId="77777777" w:rsidR="00E340EF" w:rsidRPr="00E340EF" w:rsidRDefault="00E340EF" w:rsidP="0094316D">
      <w:pPr>
        <w:pStyle w:val="Indexbodycopy"/>
      </w:pPr>
      <w:r w:rsidRPr="00E340EF">
        <w:t>infection control, 21–23</w:t>
      </w:r>
    </w:p>
    <w:p w14:paraId="5A0B8E52" w14:textId="77777777" w:rsidR="00E340EF" w:rsidRPr="00E340EF" w:rsidRDefault="00E340EF" w:rsidP="0094316D">
      <w:pPr>
        <w:pStyle w:val="Indexbodycopy"/>
      </w:pPr>
      <w:r w:rsidRPr="00E340EF">
        <w:t>injection of erroneous substances, 31–32</w:t>
      </w:r>
    </w:p>
    <w:p w14:paraId="085FC4B9" w14:textId="77777777" w:rsidR="00E340EF" w:rsidRPr="00E340EF" w:rsidRDefault="00E340EF" w:rsidP="0094316D">
      <w:pPr>
        <w:pStyle w:val="Indexbodycopy"/>
      </w:pPr>
      <w:r w:rsidRPr="00E340EF">
        <w:t>insulin charts, 25</w:t>
      </w:r>
    </w:p>
    <w:p w14:paraId="5D0A9405" w14:textId="77777777" w:rsidR="00E340EF" w:rsidRPr="00E340EF" w:rsidRDefault="00E340EF" w:rsidP="0094316D">
      <w:pPr>
        <w:pStyle w:val="Indexbodycopy"/>
      </w:pPr>
      <w:r w:rsidRPr="00E340EF">
        <w:t>Inter-Jurisdictional Committee, 68</w:t>
      </w:r>
    </w:p>
    <w:p w14:paraId="79DD6119" w14:textId="77777777" w:rsidR="00E340EF" w:rsidRPr="00E340EF" w:rsidRDefault="009217F2" w:rsidP="005207F5">
      <w:pPr>
        <w:pStyle w:val="Indexbodycopy"/>
      </w:pPr>
      <w:r>
        <w:br w:type="column"/>
      </w:r>
      <w:r w:rsidR="00E340EF" w:rsidRPr="00E340EF">
        <w:lastRenderedPageBreak/>
        <w:t xml:space="preserve">internal governance, </w:t>
      </w:r>
      <w:r w:rsidR="00E340EF" w:rsidRPr="0044323F">
        <w:rPr>
          <w:rFonts w:cs="Arial"/>
          <w:b/>
          <w:bCs/>
        </w:rPr>
        <w:t>69</w:t>
      </w:r>
    </w:p>
    <w:p w14:paraId="3CE301C1" w14:textId="77777777" w:rsidR="00E340EF" w:rsidRPr="00E340EF" w:rsidRDefault="00E340EF" w:rsidP="005207F5">
      <w:pPr>
        <w:pStyle w:val="Indexbodycopy"/>
      </w:pPr>
      <w:r w:rsidRPr="00E340EF">
        <w:t>iron deficiency, 26</w:t>
      </w:r>
    </w:p>
    <w:p w14:paraId="6BC724C0" w14:textId="77777777" w:rsidR="00E340EF" w:rsidRPr="00E340EF" w:rsidRDefault="00E340EF" w:rsidP="006B5123">
      <w:pPr>
        <w:pStyle w:val="IndexMain"/>
      </w:pPr>
      <w:r w:rsidRPr="00E340EF">
        <w:t>K</w:t>
      </w:r>
    </w:p>
    <w:p w14:paraId="51D9B935" w14:textId="77777777" w:rsidR="00E340EF" w:rsidRPr="00E340EF" w:rsidRDefault="00E340EF" w:rsidP="005207F5">
      <w:pPr>
        <w:pStyle w:val="Indexbodycopy"/>
      </w:pPr>
      <w:r w:rsidRPr="00E340EF">
        <w:t>knees</w:t>
      </w:r>
    </w:p>
    <w:p w14:paraId="28A30FFB" w14:textId="77777777" w:rsidR="00E340EF" w:rsidRPr="00E340EF" w:rsidRDefault="00E340EF" w:rsidP="005207F5">
      <w:pPr>
        <w:pStyle w:val="Indexcopyindent"/>
      </w:pPr>
      <w:r w:rsidRPr="00E340EF">
        <w:tab/>
        <w:t>osteoarthritis, 8, 41, 44, 51</w:t>
      </w:r>
    </w:p>
    <w:p w14:paraId="12A8CEFA" w14:textId="77777777" w:rsidR="00E340EF" w:rsidRPr="00E340EF" w:rsidRDefault="00E340EF" w:rsidP="005207F5">
      <w:pPr>
        <w:pStyle w:val="Indexcopyindent"/>
      </w:pPr>
      <w:r w:rsidRPr="00E340EF">
        <w:tab/>
        <w:t>replacement, 41</w:t>
      </w:r>
    </w:p>
    <w:p w14:paraId="71190889" w14:textId="77777777" w:rsidR="00E340EF" w:rsidRPr="00E340EF" w:rsidRDefault="00E340EF" w:rsidP="006B5123">
      <w:pPr>
        <w:pStyle w:val="IndexMain"/>
      </w:pPr>
      <w:r w:rsidRPr="00E340EF">
        <w:t>L</w:t>
      </w:r>
    </w:p>
    <w:p w14:paraId="6869670E" w14:textId="77777777" w:rsidR="00E340EF" w:rsidRPr="00E340EF" w:rsidRDefault="00E340EF" w:rsidP="005207F5">
      <w:pPr>
        <w:pStyle w:val="Indexbodycopy"/>
      </w:pPr>
      <w:r w:rsidRPr="00E340EF">
        <w:t>labelling, 25</w:t>
      </w:r>
    </w:p>
    <w:p w14:paraId="2EA36485" w14:textId="77777777" w:rsidR="00E340EF" w:rsidRPr="00E340EF" w:rsidRDefault="00E340EF" w:rsidP="005207F5">
      <w:pPr>
        <w:pStyle w:val="Indexbodycopy"/>
      </w:pPr>
      <w:r w:rsidRPr="00E340EF">
        <w:t>Larkin, Dr Shaun, 63</w:t>
      </w:r>
    </w:p>
    <w:p w14:paraId="4D541363" w14:textId="77777777" w:rsidR="00E340EF" w:rsidRPr="00E340EF" w:rsidRDefault="00E340EF" w:rsidP="005207F5">
      <w:pPr>
        <w:pStyle w:val="Indexbodycopy"/>
      </w:pPr>
      <w:r w:rsidRPr="00E340EF">
        <w:t xml:space="preserve">learning and development, </w:t>
      </w:r>
      <w:r w:rsidRPr="0044323F">
        <w:rPr>
          <w:rFonts w:cs="Arial"/>
          <w:b/>
          <w:bCs/>
        </w:rPr>
        <w:t>77</w:t>
      </w:r>
    </w:p>
    <w:p w14:paraId="2D78AB56" w14:textId="77777777" w:rsidR="00E340EF" w:rsidRPr="00E340EF" w:rsidRDefault="00E340EF" w:rsidP="005207F5">
      <w:pPr>
        <w:pStyle w:val="Indexbodycopy"/>
      </w:pPr>
      <w:r w:rsidRPr="00E340EF">
        <w:t>letter of transmittal, 1</w:t>
      </w:r>
    </w:p>
    <w:p w14:paraId="0951CB13" w14:textId="77777777" w:rsidR="00E340EF" w:rsidRPr="00E340EF" w:rsidRDefault="00E340EF" w:rsidP="006B5123">
      <w:pPr>
        <w:pStyle w:val="IndexMain"/>
      </w:pPr>
      <w:r w:rsidRPr="00E340EF">
        <w:t>M</w:t>
      </w:r>
    </w:p>
    <w:p w14:paraId="21E860A9" w14:textId="4005DFF6" w:rsidR="00E340EF" w:rsidRPr="00E340EF" w:rsidRDefault="00E340EF" w:rsidP="005207F5">
      <w:pPr>
        <w:pStyle w:val="Indexbodycopy"/>
      </w:pPr>
      <w:r w:rsidRPr="00E340EF">
        <w:t xml:space="preserve">Marshall, Professor Villis (Chair), 1, 8–9, </w:t>
      </w:r>
      <w:r w:rsidR="003B754D">
        <w:br/>
      </w:r>
      <w:r w:rsidRPr="00E340EF">
        <w:t>49, 61</w:t>
      </w:r>
    </w:p>
    <w:p w14:paraId="6AD0F52E" w14:textId="77777777" w:rsidR="00E340EF" w:rsidRPr="00E340EF" w:rsidRDefault="00E340EF" w:rsidP="005207F5">
      <w:pPr>
        <w:pStyle w:val="Indexbodycopy"/>
      </w:pPr>
      <w:r w:rsidRPr="00E340EF">
        <w:t>maternal morbidity, 44</w:t>
      </w:r>
    </w:p>
    <w:p w14:paraId="6D5AD1FB" w14:textId="77777777" w:rsidR="00E340EF" w:rsidRPr="00E340EF" w:rsidRDefault="00E340EF" w:rsidP="005207F5">
      <w:pPr>
        <w:pStyle w:val="Indexbodycopy"/>
      </w:pPr>
      <w:r w:rsidRPr="00E340EF">
        <w:t>medical devices</w:t>
      </w:r>
    </w:p>
    <w:p w14:paraId="50367628" w14:textId="77777777" w:rsidR="00E340EF" w:rsidRPr="00E340EF" w:rsidRDefault="00E340EF" w:rsidP="005207F5">
      <w:pPr>
        <w:pStyle w:val="Indexcopyindent"/>
      </w:pPr>
      <w:r w:rsidRPr="00E340EF">
        <w:tab/>
        <w:t>safety notifications, 31</w:t>
      </w:r>
    </w:p>
    <w:p w14:paraId="545FACA1" w14:textId="77777777" w:rsidR="00E340EF" w:rsidRPr="00E340EF" w:rsidRDefault="00E340EF" w:rsidP="005207F5">
      <w:pPr>
        <w:pStyle w:val="Indexcopyindent"/>
      </w:pPr>
      <w:r w:rsidRPr="00E340EF">
        <w:tab/>
        <w:t>small-bore connectors for liquids and gases in healthcare applications, 31–32</w:t>
      </w:r>
    </w:p>
    <w:p w14:paraId="756E7CFE" w14:textId="77777777" w:rsidR="00E340EF" w:rsidRPr="00E340EF" w:rsidRDefault="00E340EF" w:rsidP="005207F5">
      <w:pPr>
        <w:pStyle w:val="Indexbodycopy"/>
      </w:pPr>
      <w:r w:rsidRPr="00E340EF">
        <w:t xml:space="preserve">medication safety, </w:t>
      </w:r>
      <w:r w:rsidRPr="0044323F">
        <w:rPr>
          <w:rFonts w:cs="Arial"/>
          <w:b/>
          <w:bCs/>
        </w:rPr>
        <w:t>25–26</w:t>
      </w:r>
    </w:p>
    <w:p w14:paraId="2ABE1AAE" w14:textId="77777777" w:rsidR="00E340EF" w:rsidRPr="00E340EF" w:rsidRDefault="00E340EF" w:rsidP="005207F5">
      <w:pPr>
        <w:pStyle w:val="Indexcopyindent"/>
      </w:pPr>
      <w:r w:rsidRPr="00E340EF">
        <w:tab/>
        <w:t>medication alerts, 31</w:t>
      </w:r>
    </w:p>
    <w:p w14:paraId="5A12492B" w14:textId="77777777" w:rsidR="00E340EF" w:rsidRPr="00E340EF" w:rsidRDefault="00E340EF" w:rsidP="005207F5">
      <w:pPr>
        <w:pStyle w:val="Indexcopyindent"/>
        <w:ind w:right="-284"/>
      </w:pPr>
      <w:r w:rsidRPr="00E340EF">
        <w:tab/>
      </w:r>
      <w:r w:rsidRPr="005207F5">
        <w:rPr>
          <w:rStyle w:val="Emphasis"/>
        </w:rPr>
        <w:t>Medication Safety in Mental Health report</w:t>
      </w:r>
      <w:r w:rsidRPr="00E340EF">
        <w:t>, 25</w:t>
      </w:r>
    </w:p>
    <w:p w14:paraId="0A8DED29" w14:textId="77777777" w:rsidR="00E340EF" w:rsidRPr="00E340EF" w:rsidRDefault="00E340EF" w:rsidP="005207F5">
      <w:pPr>
        <w:pStyle w:val="Indexcopyindent"/>
      </w:pPr>
      <w:r w:rsidRPr="00E340EF">
        <w:tab/>
        <w:t>Pharmaceutical Benefits Scheme (PBS) Hospital Medication Chart, 25</w:t>
      </w:r>
    </w:p>
    <w:p w14:paraId="01CFFF03" w14:textId="77777777" w:rsidR="00E340EF" w:rsidRPr="00E340EF" w:rsidRDefault="00E340EF" w:rsidP="005207F5">
      <w:pPr>
        <w:pStyle w:val="Indexcopyindent"/>
      </w:pPr>
      <w:r w:rsidRPr="00E340EF">
        <w:tab/>
      </w:r>
      <w:r w:rsidRPr="005207F5">
        <w:rPr>
          <w:rStyle w:val="Emphasis"/>
        </w:rPr>
        <w:t>Recommendations for Terminology, Abbreviations and Symbols Used in Medicines Documentation</w:t>
      </w:r>
      <w:r w:rsidRPr="00E340EF">
        <w:t>, 25</w:t>
      </w:r>
    </w:p>
    <w:p w14:paraId="2376C3A6" w14:textId="77777777" w:rsidR="00E340EF" w:rsidRPr="00E340EF" w:rsidRDefault="00E340EF" w:rsidP="003B754D">
      <w:r w:rsidRPr="00E340EF">
        <w:t>menstrual bleeding, 10, 34, 37, 39, 42, 44</w:t>
      </w:r>
    </w:p>
    <w:p w14:paraId="1E3C7B92" w14:textId="77777777" w:rsidR="00E340EF" w:rsidRPr="00464333" w:rsidRDefault="00E340EF" w:rsidP="00E340EF">
      <w:pPr>
        <w:tabs>
          <w:tab w:val="left" w:pos="283"/>
          <w:tab w:val="left" w:pos="567"/>
          <w:tab w:val="left" w:pos="850"/>
          <w:tab w:val="left" w:pos="1134"/>
          <w:tab w:val="left" w:pos="1417"/>
          <w:tab w:val="left" w:pos="1701"/>
          <w:tab w:val="left" w:pos="1984"/>
          <w:tab w:val="left" w:pos="2268"/>
        </w:tabs>
        <w:suppressAutoHyphens/>
        <w:autoSpaceDE w:val="0"/>
        <w:autoSpaceDN w:val="0"/>
        <w:adjustRightInd w:val="0"/>
        <w:spacing w:after="57" w:line="198" w:lineRule="atLeast"/>
        <w:textAlignment w:val="center"/>
      </w:pPr>
      <w:r w:rsidRPr="00464333">
        <w:t xml:space="preserve">mental health, </w:t>
      </w:r>
      <w:r w:rsidRPr="00C9282C">
        <w:rPr>
          <w:rStyle w:val="Strong"/>
        </w:rPr>
        <w:t>27</w:t>
      </w:r>
    </w:p>
    <w:p w14:paraId="115D465E" w14:textId="77777777" w:rsidR="00E340EF" w:rsidRPr="00E340EF" w:rsidRDefault="00E340EF" w:rsidP="005207F5">
      <w:pPr>
        <w:pStyle w:val="Indexcopyindent"/>
      </w:pPr>
      <w:r w:rsidRPr="00E340EF">
        <w:tab/>
        <w:t>Fifth National Mental Health and Suicide Prevention Plan, 27</w:t>
      </w:r>
    </w:p>
    <w:p w14:paraId="42612BB6" w14:textId="77777777" w:rsidR="00E340EF" w:rsidRPr="00464333" w:rsidRDefault="00E340EF" w:rsidP="00E340EF">
      <w:pPr>
        <w:tabs>
          <w:tab w:val="left" w:pos="283"/>
          <w:tab w:val="left" w:pos="567"/>
          <w:tab w:val="left" w:pos="850"/>
          <w:tab w:val="left" w:pos="1134"/>
          <w:tab w:val="left" w:pos="1417"/>
          <w:tab w:val="left" w:pos="1701"/>
          <w:tab w:val="left" w:pos="1984"/>
          <w:tab w:val="left" w:pos="2268"/>
        </w:tabs>
        <w:suppressAutoHyphens/>
        <w:autoSpaceDE w:val="0"/>
        <w:autoSpaceDN w:val="0"/>
        <w:adjustRightInd w:val="0"/>
        <w:spacing w:after="57" w:line="198" w:lineRule="atLeast"/>
        <w:textAlignment w:val="center"/>
      </w:pPr>
      <w:r w:rsidRPr="00464333">
        <w:tab/>
        <w:t>and medication safety, 25</w:t>
      </w:r>
    </w:p>
    <w:p w14:paraId="24D6BB5D" w14:textId="77777777" w:rsidR="00E340EF" w:rsidRPr="00E340EF" w:rsidRDefault="00E340EF" w:rsidP="005207F5">
      <w:pPr>
        <w:pStyle w:val="Indexcopyindent"/>
      </w:pPr>
      <w:r w:rsidRPr="00E340EF">
        <w:tab/>
      </w:r>
      <w:r w:rsidRPr="005207F5">
        <w:rPr>
          <w:rStyle w:val="Emphasis"/>
        </w:rPr>
        <w:t>National Consensus Statement: Essential elements for recognising and responding to deterioration in a person’s mental state</w:t>
      </w:r>
      <w:r w:rsidRPr="00E340EF">
        <w:t>, 27</w:t>
      </w:r>
    </w:p>
    <w:p w14:paraId="5CDE94E2" w14:textId="77777777" w:rsidR="00E340EF" w:rsidRPr="00E340EF" w:rsidRDefault="00E340EF" w:rsidP="005207F5">
      <w:pPr>
        <w:pStyle w:val="Indexbodycopy"/>
      </w:pPr>
      <w:r w:rsidRPr="00E340EF">
        <w:t>Minister for Health, 6, 60, 61</w:t>
      </w:r>
    </w:p>
    <w:p w14:paraId="6202817C" w14:textId="77777777" w:rsidR="00E340EF" w:rsidRPr="00E340EF" w:rsidRDefault="00E340EF" w:rsidP="005207F5">
      <w:pPr>
        <w:pStyle w:val="Indexbodycopy"/>
      </w:pPr>
      <w:r w:rsidRPr="00E340EF">
        <w:rPr>
          <w:i/>
          <w:iCs/>
        </w:rPr>
        <w:t>Mycobacterium chimaera</w:t>
      </w:r>
      <w:r w:rsidRPr="00E340EF">
        <w:t xml:space="preserve"> and cardiac surgery heater-cooler devices, </w:t>
      </w:r>
      <w:r w:rsidRPr="0044323F">
        <w:rPr>
          <w:rFonts w:cs="Arial"/>
          <w:b/>
          <w:bCs/>
        </w:rPr>
        <w:t>22–23</w:t>
      </w:r>
    </w:p>
    <w:p w14:paraId="152E54A8" w14:textId="77777777" w:rsidR="00E340EF" w:rsidRPr="00E340EF" w:rsidRDefault="00E340EF" w:rsidP="005207F5">
      <w:pPr>
        <w:pStyle w:val="Indexbodycopy"/>
      </w:pPr>
      <w:r w:rsidRPr="00E340EF">
        <w:t>My Health Record system, 23–24</w:t>
      </w:r>
    </w:p>
    <w:p w14:paraId="2D726602" w14:textId="77777777" w:rsidR="00E340EF" w:rsidRPr="00E340EF" w:rsidRDefault="00E340EF" w:rsidP="005207F5">
      <w:pPr>
        <w:pStyle w:val="Indexcopyindent"/>
      </w:pPr>
      <w:r w:rsidRPr="00E340EF">
        <w:tab/>
        <w:t>Clinical Incident Management Unit, 23</w:t>
      </w:r>
    </w:p>
    <w:p w14:paraId="18C01E51" w14:textId="77777777" w:rsidR="00E340EF" w:rsidRPr="00E340EF" w:rsidRDefault="00E340EF" w:rsidP="006B5123">
      <w:pPr>
        <w:pStyle w:val="IndexMain"/>
      </w:pPr>
      <w:r w:rsidRPr="00E340EF">
        <w:t>N</w:t>
      </w:r>
    </w:p>
    <w:p w14:paraId="1D57B6C3" w14:textId="77777777" w:rsidR="00E340EF" w:rsidRPr="00E340EF" w:rsidRDefault="00E340EF" w:rsidP="005207F5">
      <w:pPr>
        <w:pStyle w:val="Indexbodycopy"/>
      </w:pPr>
      <w:r w:rsidRPr="00E340EF">
        <w:t>National Alert System for Critical Antimicrobial Resistances (CARAlert), 21</w:t>
      </w:r>
    </w:p>
    <w:p w14:paraId="490B0632" w14:textId="77777777" w:rsidR="00E340EF" w:rsidRPr="00E340EF" w:rsidRDefault="00E340EF" w:rsidP="005207F5">
      <w:pPr>
        <w:pStyle w:val="Indexbodycopy"/>
      </w:pPr>
      <w:r w:rsidRPr="00E340EF">
        <w:t>National Bowel Cancer Screening Program, 30</w:t>
      </w:r>
    </w:p>
    <w:p w14:paraId="46F97E36" w14:textId="6FFB8331" w:rsidR="003B754D" w:rsidRDefault="00E340EF" w:rsidP="005207F5">
      <w:pPr>
        <w:pStyle w:val="Indexbodycopy"/>
      </w:pPr>
      <w:r w:rsidRPr="00E340EF">
        <w:t>national clinical quality registries, 46</w:t>
      </w:r>
    </w:p>
    <w:p w14:paraId="5A39A1A8" w14:textId="77777777" w:rsidR="00E340EF" w:rsidRPr="00E340EF" w:rsidRDefault="003B754D" w:rsidP="005207F5">
      <w:pPr>
        <w:pStyle w:val="Indexbodycopy"/>
      </w:pPr>
      <w:r>
        <w:br w:type="column"/>
      </w:r>
    </w:p>
    <w:p w14:paraId="6C6BB37C" w14:textId="77777777" w:rsidR="00E340EF" w:rsidRPr="00E340EF" w:rsidRDefault="00E340EF" w:rsidP="005207F5">
      <w:pPr>
        <w:pStyle w:val="Indexbodycopy"/>
      </w:pPr>
      <w:r w:rsidRPr="00E340EF">
        <w:t>National General Practice Accreditation Scheme, 11, 16</w:t>
      </w:r>
    </w:p>
    <w:p w14:paraId="7AD17C07" w14:textId="77777777" w:rsidR="00E340EF" w:rsidRPr="00E340EF" w:rsidRDefault="00E340EF" w:rsidP="005207F5">
      <w:pPr>
        <w:pStyle w:val="Indexbodycopy"/>
      </w:pPr>
      <w:r w:rsidRPr="005207F5">
        <w:rPr>
          <w:rStyle w:val="Emphasis"/>
        </w:rPr>
        <w:t>National Guidelines for On-Screen Display of Consumer Medicines Information</w:t>
      </w:r>
      <w:r w:rsidRPr="00E340EF">
        <w:t>, 36</w:t>
      </w:r>
    </w:p>
    <w:p w14:paraId="51900C9B" w14:textId="77777777" w:rsidR="00E340EF" w:rsidRPr="00E340EF" w:rsidRDefault="00E340EF" w:rsidP="005207F5">
      <w:pPr>
        <w:pStyle w:val="Indexbodycopy"/>
      </w:pPr>
      <w:r w:rsidRPr="005207F5">
        <w:rPr>
          <w:rStyle w:val="Emphasis"/>
        </w:rPr>
        <w:t>National Guidelines for On-Screen Display of Clinical Medicines Information</w:t>
      </w:r>
      <w:r w:rsidRPr="00E340EF">
        <w:t>, 36</w:t>
      </w:r>
    </w:p>
    <w:p w14:paraId="1E407E16" w14:textId="77777777" w:rsidR="00E340EF" w:rsidRPr="00E340EF" w:rsidRDefault="00E340EF" w:rsidP="005207F5">
      <w:pPr>
        <w:pStyle w:val="Indexbodycopy"/>
      </w:pPr>
      <w:r w:rsidRPr="005207F5">
        <w:rPr>
          <w:rStyle w:val="Emphasis"/>
        </w:rPr>
        <w:t>National Health and Hospitals Network Act</w:t>
      </w:r>
      <w:r w:rsidRPr="00E340EF">
        <w:t xml:space="preserve"> 2011, 6</w:t>
      </w:r>
    </w:p>
    <w:p w14:paraId="2B31DB6C" w14:textId="77777777" w:rsidR="00E340EF" w:rsidRPr="00E340EF" w:rsidRDefault="00E340EF" w:rsidP="005207F5">
      <w:pPr>
        <w:pStyle w:val="Indexbodycopy"/>
      </w:pPr>
      <w:r w:rsidRPr="005207F5">
        <w:rPr>
          <w:rStyle w:val="Emphasis"/>
        </w:rPr>
        <w:t>National Health Reform Act 2011</w:t>
      </w:r>
      <w:r w:rsidRPr="00E340EF">
        <w:t>, 6, 49, 60</w:t>
      </w:r>
    </w:p>
    <w:p w14:paraId="32BB9860" w14:textId="77777777" w:rsidR="00E340EF" w:rsidRPr="00464333" w:rsidRDefault="00E340EF" w:rsidP="00E340EF">
      <w:pPr>
        <w:tabs>
          <w:tab w:val="left" w:pos="283"/>
          <w:tab w:val="left" w:pos="567"/>
          <w:tab w:val="left" w:pos="850"/>
          <w:tab w:val="left" w:pos="1134"/>
          <w:tab w:val="left" w:pos="1417"/>
          <w:tab w:val="left" w:pos="1701"/>
          <w:tab w:val="left" w:pos="1984"/>
          <w:tab w:val="left" w:pos="2268"/>
        </w:tabs>
        <w:suppressAutoHyphens/>
        <w:autoSpaceDE w:val="0"/>
        <w:autoSpaceDN w:val="0"/>
        <w:adjustRightInd w:val="0"/>
        <w:spacing w:after="57" w:line="198" w:lineRule="atLeast"/>
        <w:textAlignment w:val="center"/>
      </w:pPr>
      <w:r w:rsidRPr="00464333">
        <w:tab/>
        <w:t>amendments 71</w:t>
      </w:r>
    </w:p>
    <w:p w14:paraId="61D1620E" w14:textId="77777777" w:rsidR="00E340EF" w:rsidRPr="00E340EF" w:rsidRDefault="00E340EF" w:rsidP="005207F5">
      <w:pPr>
        <w:pStyle w:val="Indexbodycopy"/>
      </w:pPr>
      <w:r w:rsidRPr="00E340EF">
        <w:t>National Health Reform Agreement, 43</w:t>
      </w:r>
    </w:p>
    <w:p w14:paraId="38ABA25B" w14:textId="77777777" w:rsidR="00E340EF" w:rsidRPr="00E340EF" w:rsidRDefault="00E340EF" w:rsidP="005207F5">
      <w:pPr>
        <w:pStyle w:val="Indexbodycopy"/>
      </w:pPr>
      <w:r w:rsidRPr="00E340EF">
        <w:t>National Model Clinical Governance Framework,</w:t>
      </w:r>
      <w:r w:rsidRPr="00E340EF">
        <w:rPr>
          <w:rFonts w:cs="Arial"/>
        </w:rPr>
        <w:t> </w:t>
      </w:r>
      <w:r w:rsidRPr="00E340EF">
        <w:t>29</w:t>
      </w:r>
    </w:p>
    <w:p w14:paraId="2B804CC9" w14:textId="77777777" w:rsidR="00E340EF" w:rsidRPr="00E340EF" w:rsidRDefault="00E340EF" w:rsidP="005207F5">
      <w:pPr>
        <w:pStyle w:val="Indexbodycopy"/>
      </w:pPr>
      <w:r w:rsidRPr="00E340EF">
        <w:t xml:space="preserve">National Patient Blood Management Collaborative, </w:t>
      </w:r>
      <w:r w:rsidRPr="0044323F">
        <w:rPr>
          <w:rFonts w:cs="Arial"/>
          <w:b/>
          <w:bCs/>
        </w:rPr>
        <w:t>26</w:t>
      </w:r>
    </w:p>
    <w:p w14:paraId="740E78AF" w14:textId="77777777" w:rsidR="00E340EF" w:rsidRPr="00E340EF" w:rsidRDefault="00E340EF" w:rsidP="005207F5">
      <w:pPr>
        <w:pStyle w:val="Indexbodycopy"/>
      </w:pPr>
      <w:r w:rsidRPr="00E340EF">
        <w:t>National Safety and Quality Health Service (NSQHS) Standards</w:t>
      </w:r>
    </w:p>
    <w:p w14:paraId="6A38BE38" w14:textId="77777777" w:rsidR="00E340EF" w:rsidRPr="00E340EF" w:rsidRDefault="00E340EF" w:rsidP="005207F5">
      <w:pPr>
        <w:pStyle w:val="Indexcopyindent"/>
      </w:pPr>
      <w:r w:rsidRPr="00E340EF">
        <w:tab/>
        <w:t>Advice Centre, 10</w:t>
      </w:r>
    </w:p>
    <w:p w14:paraId="1DE652DF" w14:textId="77777777" w:rsidR="00E340EF" w:rsidRPr="00E340EF" w:rsidRDefault="00E340EF" w:rsidP="005207F5">
      <w:pPr>
        <w:pStyle w:val="Indexcopyindent"/>
      </w:pPr>
      <w:r w:rsidRPr="00E340EF">
        <w:tab/>
        <w:t>aims, 16</w:t>
      </w:r>
    </w:p>
    <w:p w14:paraId="2805F766" w14:textId="77777777" w:rsidR="00E340EF" w:rsidRPr="00E340EF" w:rsidRDefault="00E340EF" w:rsidP="005207F5">
      <w:pPr>
        <w:pStyle w:val="Indexcopyindent"/>
      </w:pPr>
      <w:r w:rsidRPr="00E340EF">
        <w:tab/>
        <w:t>Communicating for Safety, 28</w:t>
      </w:r>
    </w:p>
    <w:p w14:paraId="07F0DB5A" w14:textId="77777777" w:rsidR="00E340EF" w:rsidRPr="00E340EF" w:rsidRDefault="00E340EF" w:rsidP="005207F5">
      <w:pPr>
        <w:pStyle w:val="Indexcopyindent"/>
      </w:pPr>
      <w:r w:rsidRPr="00E340EF">
        <w:tab/>
        <w:t xml:space="preserve">Comprehensive Care Standard, </w:t>
      </w:r>
      <w:r w:rsidRPr="0044323F">
        <w:rPr>
          <w:rFonts w:cs="Arial"/>
          <w:b/>
          <w:bCs/>
        </w:rPr>
        <w:t>29–30</w:t>
      </w:r>
    </w:p>
    <w:p w14:paraId="3E1BB043" w14:textId="77777777" w:rsidR="00E340EF" w:rsidRPr="00E340EF" w:rsidRDefault="00E340EF" w:rsidP="005207F5">
      <w:pPr>
        <w:pStyle w:val="Indexcopyindent"/>
      </w:pPr>
      <w:r w:rsidRPr="00E340EF">
        <w:tab/>
        <w:t xml:space="preserve">implementation, </w:t>
      </w:r>
      <w:r w:rsidRPr="0044323F">
        <w:rPr>
          <w:rFonts w:cs="Arial"/>
          <w:b/>
          <w:bCs/>
        </w:rPr>
        <w:t>16–18</w:t>
      </w:r>
      <w:r w:rsidRPr="00E340EF">
        <w:t>, 50</w:t>
      </w:r>
    </w:p>
    <w:p w14:paraId="4745C664" w14:textId="77777777" w:rsidR="00E340EF" w:rsidRPr="00E340EF" w:rsidRDefault="00E340EF" w:rsidP="005207F5">
      <w:pPr>
        <w:pStyle w:val="Indexcopyindent"/>
      </w:pPr>
      <w:r w:rsidRPr="00E340EF">
        <w:tab/>
        <w:t>introduction of, 8, 10</w:t>
      </w:r>
    </w:p>
    <w:p w14:paraId="5AD8D22D" w14:textId="77777777" w:rsidR="00E340EF" w:rsidRPr="00E340EF" w:rsidRDefault="00E340EF" w:rsidP="005207F5">
      <w:pPr>
        <w:pStyle w:val="Indexcopyindent"/>
      </w:pPr>
      <w:r w:rsidRPr="00E340EF">
        <w:tab/>
        <w:t xml:space="preserve">model for colonoscopy, </w:t>
      </w:r>
      <w:r w:rsidRPr="0044323F">
        <w:rPr>
          <w:rFonts w:cs="Arial"/>
          <w:b/>
          <w:bCs/>
        </w:rPr>
        <w:t>30–31</w:t>
      </w:r>
    </w:p>
    <w:p w14:paraId="4B03FF1C" w14:textId="77777777" w:rsidR="00E340EF" w:rsidRPr="00E340EF" w:rsidRDefault="00E340EF" w:rsidP="005207F5">
      <w:pPr>
        <w:pStyle w:val="Indexcopyindent"/>
      </w:pPr>
      <w:r w:rsidRPr="00E340EF">
        <w:tab/>
        <w:t>person-centred healthcare, 33</w:t>
      </w:r>
    </w:p>
    <w:p w14:paraId="735EAB30" w14:textId="77777777" w:rsidR="00E340EF" w:rsidRPr="00E340EF" w:rsidRDefault="00E340EF" w:rsidP="005207F5">
      <w:pPr>
        <w:pStyle w:val="Indexcopyindent"/>
      </w:pPr>
      <w:r w:rsidRPr="00E340EF">
        <w:tab/>
        <w:t>and primary care, 50</w:t>
      </w:r>
    </w:p>
    <w:p w14:paraId="11DA3E5C" w14:textId="77777777" w:rsidR="00E340EF" w:rsidRPr="00E340EF" w:rsidRDefault="00E340EF" w:rsidP="005207F5">
      <w:pPr>
        <w:pStyle w:val="Indexcopyindent"/>
      </w:pPr>
      <w:r w:rsidRPr="00E340EF">
        <w:tab/>
        <w:t>quality management, 47</w:t>
      </w:r>
    </w:p>
    <w:p w14:paraId="7C9714E1" w14:textId="77777777" w:rsidR="00E340EF" w:rsidRPr="00E340EF" w:rsidRDefault="00E340EF" w:rsidP="005207F5">
      <w:pPr>
        <w:pStyle w:val="Indexcopyindent"/>
      </w:pPr>
      <w:r w:rsidRPr="00E340EF">
        <w:tab/>
        <w:t>review of first edition, 19</w:t>
      </w:r>
    </w:p>
    <w:p w14:paraId="4B08E430" w14:textId="77777777" w:rsidR="00E340EF" w:rsidRPr="00E340EF" w:rsidRDefault="00E340EF" w:rsidP="005207F5">
      <w:pPr>
        <w:pStyle w:val="Indexcopyindent"/>
      </w:pPr>
      <w:r w:rsidRPr="00E340EF">
        <w:tab/>
        <w:t xml:space="preserve">second edition, 8, 10, </w:t>
      </w:r>
      <w:r w:rsidRPr="0044323F">
        <w:rPr>
          <w:rFonts w:cs="Arial"/>
          <w:b/>
          <w:bCs/>
        </w:rPr>
        <w:t>19</w:t>
      </w:r>
      <w:r w:rsidRPr="00E340EF">
        <w:t xml:space="preserve">, </w:t>
      </w:r>
      <w:r w:rsidRPr="0044323F">
        <w:rPr>
          <w:rFonts w:cs="Arial"/>
          <w:b/>
          <w:bCs/>
        </w:rPr>
        <w:t>20</w:t>
      </w:r>
      <w:r w:rsidRPr="00E340EF">
        <w:t>, 29, 47, 50</w:t>
      </w:r>
    </w:p>
    <w:p w14:paraId="2F26E75F" w14:textId="77777777" w:rsidR="00E340EF" w:rsidRPr="00E340EF" w:rsidRDefault="00E340EF" w:rsidP="005207F5">
      <w:pPr>
        <w:pStyle w:val="Indexbodycopy"/>
      </w:pPr>
      <w:r w:rsidRPr="00E340EF">
        <w:t>national sentinel events list, 45–46</w:t>
      </w:r>
    </w:p>
    <w:p w14:paraId="0286EA80" w14:textId="77777777" w:rsidR="00E340EF" w:rsidRPr="00E340EF" w:rsidRDefault="00E340EF" w:rsidP="006B5123">
      <w:pPr>
        <w:pStyle w:val="IndexMain"/>
      </w:pPr>
      <w:r w:rsidRPr="00E340EF">
        <w:t>O</w:t>
      </w:r>
    </w:p>
    <w:p w14:paraId="0CDEF2D1" w14:textId="77777777" w:rsidR="00E340EF" w:rsidRPr="00E340EF" w:rsidRDefault="00E340EF" w:rsidP="005207F5">
      <w:pPr>
        <w:pStyle w:val="Indexbodycopy"/>
      </w:pPr>
      <w:r w:rsidRPr="00E340EF">
        <w:t xml:space="preserve">on-screen presentation of medicines information, </w:t>
      </w:r>
      <w:r w:rsidRPr="0044323F">
        <w:rPr>
          <w:rFonts w:cs="Arial"/>
          <w:b/>
          <w:bCs/>
        </w:rPr>
        <w:t>36</w:t>
      </w:r>
    </w:p>
    <w:p w14:paraId="6015E5E3" w14:textId="77777777" w:rsidR="00E340EF" w:rsidRPr="00E340EF" w:rsidRDefault="00E340EF" w:rsidP="005207F5">
      <w:pPr>
        <w:pStyle w:val="Indexbodycopy"/>
      </w:pPr>
      <w:r w:rsidRPr="00E340EF">
        <w:t xml:space="preserve">organisational structure, </w:t>
      </w:r>
      <w:r w:rsidRPr="0044323F">
        <w:rPr>
          <w:rFonts w:cs="Arial"/>
          <w:b/>
          <w:bCs/>
        </w:rPr>
        <w:t>74–75</w:t>
      </w:r>
    </w:p>
    <w:p w14:paraId="43211B82" w14:textId="77777777" w:rsidR="00E340EF" w:rsidRPr="00E340EF" w:rsidRDefault="00E340EF" w:rsidP="005207F5">
      <w:pPr>
        <w:pStyle w:val="Indexbodycopy"/>
      </w:pPr>
      <w:r w:rsidRPr="00E340EF">
        <w:t>osteoarthritis of the knee, 8, 41, 44, 51, 57</w:t>
      </w:r>
    </w:p>
    <w:p w14:paraId="682923EA" w14:textId="77777777" w:rsidR="00E340EF" w:rsidRPr="00E340EF" w:rsidRDefault="00E340EF" w:rsidP="006B5123">
      <w:pPr>
        <w:pStyle w:val="IndexMain"/>
      </w:pPr>
      <w:r w:rsidRPr="00E340EF">
        <w:t>P</w:t>
      </w:r>
    </w:p>
    <w:p w14:paraId="0D53B21C" w14:textId="77777777" w:rsidR="00E340EF" w:rsidRPr="00E340EF" w:rsidRDefault="00E340EF" w:rsidP="005207F5">
      <w:pPr>
        <w:pStyle w:val="Indexbodycopy"/>
      </w:pPr>
      <w:r w:rsidRPr="00E340EF">
        <w:t xml:space="preserve">partnering with patients, consumers and communities, 12–13, </w:t>
      </w:r>
      <w:r w:rsidRPr="0044323F">
        <w:rPr>
          <w:rFonts w:cs="Arial"/>
          <w:b/>
          <w:bCs/>
        </w:rPr>
        <w:t>33–36</w:t>
      </w:r>
    </w:p>
    <w:p w14:paraId="5EE49770" w14:textId="77777777" w:rsidR="00E340EF" w:rsidRPr="00E340EF" w:rsidRDefault="00E340EF" w:rsidP="005207F5">
      <w:pPr>
        <w:pStyle w:val="Indexcopyindent"/>
      </w:pPr>
      <w:r w:rsidRPr="00E340EF">
        <w:tab/>
        <w:t xml:space="preserve">end-of-life care, </w:t>
      </w:r>
      <w:r w:rsidRPr="0044323F">
        <w:rPr>
          <w:rFonts w:cs="Arial"/>
          <w:b/>
          <w:bCs/>
        </w:rPr>
        <w:t>35</w:t>
      </w:r>
    </w:p>
    <w:p w14:paraId="02929788" w14:textId="77777777" w:rsidR="00E340EF" w:rsidRPr="00E340EF" w:rsidRDefault="00E340EF" w:rsidP="005207F5">
      <w:pPr>
        <w:pStyle w:val="Indexcopyindent"/>
      </w:pPr>
      <w:r w:rsidRPr="00E340EF">
        <w:tab/>
        <w:t xml:space="preserve">national guidelines for on-screen presentation of medicines information, </w:t>
      </w:r>
      <w:r w:rsidRPr="0044323F">
        <w:rPr>
          <w:rFonts w:cs="Arial"/>
          <w:b/>
          <w:bCs/>
        </w:rPr>
        <w:t>36</w:t>
      </w:r>
    </w:p>
    <w:p w14:paraId="4CCBE8D7" w14:textId="77777777" w:rsidR="00E340EF" w:rsidRPr="00E340EF" w:rsidRDefault="00E340EF" w:rsidP="005207F5">
      <w:pPr>
        <w:pStyle w:val="Indexcopyindent"/>
      </w:pPr>
      <w:r w:rsidRPr="00E340EF">
        <w:tab/>
        <w:t xml:space="preserve">performance against </w:t>
      </w:r>
      <w:r w:rsidRPr="003B754D">
        <w:rPr>
          <w:i/>
        </w:rPr>
        <w:t>Health Portfolio Budget Statements and Corporate Plan</w:t>
      </w:r>
      <w:r w:rsidRPr="00E340EF">
        <w:t xml:space="preserve"> 2016–17, 54–55</w:t>
      </w:r>
    </w:p>
    <w:p w14:paraId="45B04EEF" w14:textId="77777777" w:rsidR="00E340EF" w:rsidRPr="00E340EF" w:rsidRDefault="00E340EF" w:rsidP="005207F5">
      <w:pPr>
        <w:pStyle w:val="Indexcopyindent"/>
      </w:pPr>
      <w:r w:rsidRPr="00E340EF">
        <w:tab/>
        <w:t xml:space="preserve">person-centred healthcare systems, </w:t>
      </w:r>
      <w:r w:rsidRPr="0044323F">
        <w:rPr>
          <w:rFonts w:cs="Arial"/>
          <w:b/>
          <w:bCs/>
        </w:rPr>
        <w:t>33</w:t>
      </w:r>
    </w:p>
    <w:p w14:paraId="17D0F49A" w14:textId="77777777" w:rsidR="00E340EF" w:rsidRPr="00E340EF" w:rsidRDefault="00E340EF" w:rsidP="005207F5">
      <w:pPr>
        <w:pStyle w:val="Indexcopyindent"/>
      </w:pPr>
      <w:r w:rsidRPr="00E340EF">
        <w:tab/>
        <w:t xml:space="preserve">shared decision making and health information, </w:t>
      </w:r>
      <w:r w:rsidRPr="0044323F">
        <w:rPr>
          <w:rFonts w:cs="Arial"/>
          <w:b/>
          <w:bCs/>
        </w:rPr>
        <w:t>34–35</w:t>
      </w:r>
    </w:p>
    <w:p w14:paraId="46448040" w14:textId="77777777" w:rsidR="00E340EF" w:rsidRPr="00E340EF" w:rsidRDefault="00E340EF" w:rsidP="005207F5">
      <w:pPr>
        <w:pStyle w:val="Indexcopyindent"/>
      </w:pPr>
      <w:r w:rsidRPr="00E340EF">
        <w:lastRenderedPageBreak/>
        <w:tab/>
      </w:r>
      <w:r w:rsidRPr="00E340EF">
        <w:br/>
        <w:t xml:space="preserve">supporting consumers to be partners in their own care, </w:t>
      </w:r>
      <w:r w:rsidRPr="0044323F">
        <w:rPr>
          <w:rFonts w:cs="Arial"/>
          <w:b/>
          <w:bCs/>
        </w:rPr>
        <w:t>34</w:t>
      </w:r>
    </w:p>
    <w:p w14:paraId="4CF8FBF4" w14:textId="77777777" w:rsidR="00E340EF" w:rsidRPr="00E340EF" w:rsidRDefault="00E340EF" w:rsidP="005207F5">
      <w:pPr>
        <w:pStyle w:val="Indexbodycopy"/>
      </w:pPr>
      <w:r w:rsidRPr="00E340EF">
        <w:t>patient safety, 12–13, 16–32</w:t>
      </w:r>
    </w:p>
    <w:p w14:paraId="06E69E47" w14:textId="77777777" w:rsidR="00E340EF" w:rsidRPr="00E340EF" w:rsidRDefault="00E340EF" w:rsidP="005207F5">
      <w:pPr>
        <w:pStyle w:val="Indexcopyindent"/>
        <w:ind w:right="-284"/>
      </w:pPr>
      <w:r w:rsidRPr="00E340EF">
        <w:tab/>
        <w:t xml:space="preserve">AURA Surveillance System, 11, </w:t>
      </w:r>
      <w:r w:rsidRPr="0044323F">
        <w:rPr>
          <w:rFonts w:cs="Arial"/>
          <w:b/>
          <w:bCs/>
        </w:rPr>
        <w:t>21–22</w:t>
      </w:r>
      <w:r w:rsidRPr="00E340EF">
        <w:t>, 48, 51</w:t>
      </w:r>
    </w:p>
    <w:p w14:paraId="5852CD14" w14:textId="77777777" w:rsidR="00E340EF" w:rsidRPr="00E340EF" w:rsidRDefault="00E340EF" w:rsidP="005207F5">
      <w:pPr>
        <w:pStyle w:val="Indexcopyindent"/>
      </w:pPr>
      <w:r w:rsidRPr="00E340EF">
        <w:tab/>
        <w:t xml:space="preserve">clinical communication, </w:t>
      </w:r>
      <w:r w:rsidRPr="0044323F">
        <w:rPr>
          <w:rFonts w:cs="Arial"/>
          <w:b/>
          <w:bCs/>
        </w:rPr>
        <w:t>28</w:t>
      </w:r>
    </w:p>
    <w:p w14:paraId="7B925672" w14:textId="77777777" w:rsidR="00E340EF" w:rsidRPr="00E340EF" w:rsidRDefault="00E340EF" w:rsidP="005207F5">
      <w:pPr>
        <w:pStyle w:val="Indexcopyindent"/>
      </w:pPr>
      <w:r w:rsidRPr="00E340EF">
        <w:tab/>
        <w:t xml:space="preserve">clinical governance framework, </w:t>
      </w:r>
      <w:r w:rsidRPr="0044323F">
        <w:rPr>
          <w:rFonts w:cs="Arial"/>
          <w:b/>
          <w:bCs/>
        </w:rPr>
        <w:t>29</w:t>
      </w:r>
    </w:p>
    <w:p w14:paraId="380B5FFB" w14:textId="77777777" w:rsidR="00E340EF" w:rsidRPr="00E340EF" w:rsidRDefault="00E340EF" w:rsidP="005207F5">
      <w:pPr>
        <w:pStyle w:val="Indexcopyindent"/>
      </w:pPr>
      <w:r w:rsidRPr="00E340EF">
        <w:tab/>
        <w:t xml:space="preserve">cognitive impairment, </w:t>
      </w:r>
      <w:r w:rsidRPr="0044323F">
        <w:rPr>
          <w:rFonts w:cs="Arial"/>
          <w:b/>
          <w:bCs/>
        </w:rPr>
        <w:t>27–28</w:t>
      </w:r>
    </w:p>
    <w:p w14:paraId="276DF0BC" w14:textId="77777777" w:rsidR="00E340EF" w:rsidRPr="00E340EF" w:rsidRDefault="00E340EF" w:rsidP="005207F5">
      <w:pPr>
        <w:pStyle w:val="Indexcopyindent"/>
      </w:pPr>
      <w:r w:rsidRPr="00E340EF">
        <w:tab/>
        <w:t xml:space="preserve">communicating for safety, </w:t>
      </w:r>
      <w:r w:rsidRPr="0044323F">
        <w:rPr>
          <w:rFonts w:cs="Arial"/>
          <w:b/>
          <w:bCs/>
        </w:rPr>
        <w:t>28</w:t>
      </w:r>
    </w:p>
    <w:p w14:paraId="3FB919E3" w14:textId="77777777" w:rsidR="00E340EF" w:rsidRPr="00E340EF" w:rsidRDefault="00E340EF" w:rsidP="005207F5">
      <w:pPr>
        <w:pStyle w:val="Indexcopyindent"/>
      </w:pPr>
      <w:r w:rsidRPr="00E340EF">
        <w:tab/>
        <w:t xml:space="preserve">Comprehensive Care Standard, </w:t>
      </w:r>
      <w:r w:rsidRPr="0044323F">
        <w:rPr>
          <w:rFonts w:cs="Arial"/>
          <w:b/>
          <w:bCs/>
        </w:rPr>
        <w:t>29–30</w:t>
      </w:r>
    </w:p>
    <w:p w14:paraId="3B22FF25" w14:textId="77777777" w:rsidR="00E340EF" w:rsidRPr="00E340EF" w:rsidRDefault="00E340EF" w:rsidP="005207F5">
      <w:pPr>
        <w:pStyle w:val="Indexcopyindent"/>
      </w:pPr>
      <w:r w:rsidRPr="00E340EF">
        <w:tab/>
        <w:t xml:space="preserve">device safety, </w:t>
      </w:r>
      <w:r w:rsidRPr="0044323F">
        <w:rPr>
          <w:rFonts w:cs="Arial"/>
          <w:b/>
          <w:bCs/>
        </w:rPr>
        <w:t>31–32</w:t>
      </w:r>
    </w:p>
    <w:p w14:paraId="48A2F493" w14:textId="77777777" w:rsidR="00E340EF" w:rsidRPr="00E340EF" w:rsidRDefault="00E340EF" w:rsidP="005207F5">
      <w:pPr>
        <w:pStyle w:val="Indexcopyindent"/>
      </w:pPr>
      <w:r w:rsidRPr="00E340EF">
        <w:tab/>
        <w:t xml:space="preserve">digital patient safety, </w:t>
      </w:r>
      <w:r w:rsidRPr="0044323F">
        <w:rPr>
          <w:rFonts w:cs="Arial"/>
          <w:b/>
          <w:bCs/>
        </w:rPr>
        <w:t>23–24</w:t>
      </w:r>
    </w:p>
    <w:p w14:paraId="2E8D85D8" w14:textId="77777777" w:rsidR="00E340EF" w:rsidRPr="00E340EF" w:rsidRDefault="00E340EF" w:rsidP="005207F5">
      <w:pPr>
        <w:pStyle w:val="Indexcopyindent"/>
        <w:ind w:right="-284"/>
      </w:pPr>
      <w:r w:rsidRPr="00E340EF">
        <w:tab/>
        <w:t xml:space="preserve">implementation of NSQHS Standards, </w:t>
      </w:r>
      <w:r w:rsidRPr="0044323F">
        <w:rPr>
          <w:rFonts w:cs="Arial"/>
          <w:b/>
          <w:bCs/>
        </w:rPr>
        <w:t>16–18</w:t>
      </w:r>
    </w:p>
    <w:p w14:paraId="06546C2A" w14:textId="77777777" w:rsidR="00E340EF" w:rsidRPr="00E340EF" w:rsidRDefault="00E340EF" w:rsidP="005207F5">
      <w:pPr>
        <w:pStyle w:val="Indexcopyindent"/>
      </w:pPr>
      <w:r w:rsidRPr="00E340EF">
        <w:tab/>
        <w:t xml:space="preserve">medication safety, </w:t>
      </w:r>
      <w:r w:rsidRPr="0044323F">
        <w:rPr>
          <w:rFonts w:cs="Arial"/>
          <w:b/>
          <w:bCs/>
        </w:rPr>
        <w:t>25–26</w:t>
      </w:r>
    </w:p>
    <w:p w14:paraId="6FC63FAD" w14:textId="77777777" w:rsidR="00E340EF" w:rsidRPr="00E340EF" w:rsidRDefault="00E340EF" w:rsidP="005207F5">
      <w:pPr>
        <w:pStyle w:val="Indexcopyindent"/>
      </w:pPr>
      <w:r w:rsidRPr="00E340EF">
        <w:tab/>
        <w:t xml:space="preserve">mental health, </w:t>
      </w:r>
      <w:r w:rsidRPr="0044323F">
        <w:rPr>
          <w:rFonts w:cs="Arial"/>
          <w:b/>
          <w:bCs/>
        </w:rPr>
        <w:t>27</w:t>
      </w:r>
    </w:p>
    <w:p w14:paraId="2385C76F" w14:textId="77777777" w:rsidR="00E340EF" w:rsidRPr="00E340EF" w:rsidRDefault="00E340EF" w:rsidP="005207F5">
      <w:pPr>
        <w:pStyle w:val="Indexcopyindent"/>
      </w:pPr>
      <w:r w:rsidRPr="00E340EF">
        <w:rPr>
          <w:i/>
          <w:iCs/>
        </w:rPr>
        <w:tab/>
        <w:t>Mycobacterium chimaera</w:t>
      </w:r>
      <w:r w:rsidRPr="00E340EF">
        <w:t xml:space="preserve"> and cardiac surgery heater-cooler devices, </w:t>
      </w:r>
      <w:r w:rsidRPr="0044323F">
        <w:rPr>
          <w:rFonts w:cs="Arial"/>
          <w:b/>
          <w:bCs/>
        </w:rPr>
        <w:t>22–23</w:t>
      </w:r>
    </w:p>
    <w:p w14:paraId="5E40C344" w14:textId="77777777" w:rsidR="00E340EF" w:rsidRPr="00E340EF" w:rsidRDefault="00E340EF" w:rsidP="005207F5">
      <w:pPr>
        <w:pStyle w:val="Indexcopyindent"/>
      </w:pPr>
      <w:r w:rsidRPr="00E340EF">
        <w:tab/>
        <w:t xml:space="preserve">National Patient Blood Management Collaborative, </w:t>
      </w:r>
      <w:r w:rsidRPr="0044323F">
        <w:rPr>
          <w:rFonts w:cs="Arial"/>
          <w:b/>
          <w:bCs/>
        </w:rPr>
        <w:t>26</w:t>
      </w:r>
    </w:p>
    <w:p w14:paraId="758FEEA7" w14:textId="77777777" w:rsidR="00E340EF" w:rsidRPr="00E340EF" w:rsidRDefault="00E340EF" w:rsidP="005207F5">
      <w:pPr>
        <w:pStyle w:val="Indexcopyindent"/>
      </w:pPr>
      <w:r w:rsidRPr="00E340EF">
        <w:tab/>
        <w:t xml:space="preserve">national safety and quality model for colonoscopy, </w:t>
      </w:r>
      <w:r w:rsidRPr="0044323F">
        <w:rPr>
          <w:rFonts w:cs="Arial"/>
          <w:b/>
          <w:bCs/>
        </w:rPr>
        <w:t>30–31</w:t>
      </w:r>
    </w:p>
    <w:p w14:paraId="2DC36C8A" w14:textId="77777777" w:rsidR="00E340EF" w:rsidRPr="00E340EF" w:rsidRDefault="00E340EF" w:rsidP="005207F5">
      <w:pPr>
        <w:pStyle w:val="Indexcopyindent"/>
      </w:pPr>
      <w:r w:rsidRPr="00E340EF">
        <w:tab/>
        <w:t xml:space="preserve">NSQHS Standards second edition, development of, </w:t>
      </w:r>
      <w:r w:rsidRPr="0044323F">
        <w:rPr>
          <w:rFonts w:cs="Arial"/>
          <w:b/>
          <w:bCs/>
        </w:rPr>
        <w:t>19</w:t>
      </w:r>
    </w:p>
    <w:p w14:paraId="3D27A4F4" w14:textId="77777777" w:rsidR="00E340EF" w:rsidRPr="00E340EF" w:rsidRDefault="00E340EF" w:rsidP="0044323F">
      <w:pPr>
        <w:pStyle w:val="Indexcopyindent"/>
        <w:ind w:right="-426"/>
      </w:pPr>
      <w:r w:rsidRPr="00E340EF">
        <w:tab/>
        <w:t xml:space="preserve">performance against </w:t>
      </w:r>
      <w:r w:rsidRPr="003B754D">
        <w:rPr>
          <w:i/>
        </w:rPr>
        <w:t>Health Portfolio Budget Statements and Corporate Plan 2016–17</w:t>
      </w:r>
      <w:r w:rsidRPr="0044323F">
        <w:t>, 52–54</w:t>
      </w:r>
    </w:p>
    <w:p w14:paraId="34EFEEAC" w14:textId="77777777" w:rsidR="00E340EF" w:rsidRPr="00E340EF" w:rsidRDefault="00E340EF" w:rsidP="005207F5">
      <w:pPr>
        <w:pStyle w:val="Indexcopyindent"/>
      </w:pPr>
      <w:r w:rsidRPr="00E340EF">
        <w:tab/>
        <w:t xml:space="preserve">in primary health care, </w:t>
      </w:r>
      <w:r w:rsidRPr="0044323F">
        <w:rPr>
          <w:rFonts w:cs="Arial"/>
          <w:b/>
          <w:bCs/>
        </w:rPr>
        <w:t>24–25</w:t>
      </w:r>
    </w:p>
    <w:p w14:paraId="73A401A4" w14:textId="77777777" w:rsidR="00E340EF" w:rsidRPr="00E340EF" w:rsidRDefault="00E340EF" w:rsidP="005207F5">
      <w:pPr>
        <w:pStyle w:val="Indexcopyindent"/>
      </w:pPr>
      <w:r w:rsidRPr="00E340EF">
        <w:tab/>
        <w:t xml:space="preserve">and quality in Australian health care, </w:t>
      </w:r>
      <w:r w:rsidRPr="0044323F">
        <w:rPr>
          <w:rFonts w:cs="Arial"/>
          <w:b/>
          <w:bCs/>
        </w:rPr>
        <w:t>47–48</w:t>
      </w:r>
    </w:p>
    <w:p w14:paraId="75DFE384" w14:textId="77777777" w:rsidR="00E340EF" w:rsidRPr="00E340EF" w:rsidRDefault="005207F5" w:rsidP="005207F5">
      <w:pPr>
        <w:pStyle w:val="Indexcopyindent"/>
        <w:ind w:right="-142"/>
      </w:pPr>
      <w:r>
        <w:tab/>
      </w:r>
      <w:r w:rsidR="00E340EF" w:rsidRPr="00E340EF">
        <w:t xml:space="preserve">response to </w:t>
      </w:r>
      <w:r w:rsidR="00E340EF" w:rsidRPr="00E340EF">
        <w:rPr>
          <w:i/>
          <w:iCs/>
        </w:rPr>
        <w:t>Mycobacterium chimaera</w:t>
      </w:r>
      <w:r w:rsidR="00E340EF" w:rsidRPr="00E340EF">
        <w:t xml:space="preserve"> and cardiac surgery heater-cooler devices, </w:t>
      </w:r>
      <w:r w:rsidR="00E340EF" w:rsidRPr="0044323F">
        <w:rPr>
          <w:rFonts w:cs="Arial"/>
          <w:b/>
          <w:bCs/>
        </w:rPr>
        <w:t>22–23</w:t>
      </w:r>
      <w:r w:rsidR="00E340EF" w:rsidRPr="00E340EF">
        <w:t xml:space="preserve"> </w:t>
      </w:r>
    </w:p>
    <w:p w14:paraId="2928315F" w14:textId="77777777" w:rsidR="00E340EF" w:rsidRPr="00E340EF" w:rsidRDefault="00E340EF" w:rsidP="005207F5">
      <w:pPr>
        <w:pStyle w:val="Indexcopyindent"/>
      </w:pPr>
      <w:r w:rsidRPr="00E340EF">
        <w:tab/>
        <w:t xml:space="preserve">revision of AHSSQA Scheme, </w:t>
      </w:r>
      <w:r w:rsidRPr="0044323F">
        <w:rPr>
          <w:rFonts w:cs="Arial"/>
          <w:b/>
          <w:bCs/>
        </w:rPr>
        <w:t>20</w:t>
      </w:r>
    </w:p>
    <w:p w14:paraId="05FACB14" w14:textId="77777777" w:rsidR="00E340EF" w:rsidRPr="00E340EF" w:rsidRDefault="00E340EF" w:rsidP="005207F5">
      <w:pPr>
        <w:pStyle w:val="Indexbodycopy"/>
      </w:pPr>
      <w:r w:rsidRPr="00E340EF">
        <w:t xml:space="preserve">patients, consumers and communities, </w:t>
      </w:r>
      <w:r w:rsidRPr="00E340EF">
        <w:rPr>
          <w:i/>
          <w:iCs/>
        </w:rPr>
        <w:t>see</w:t>
      </w:r>
      <w:r w:rsidRPr="00E340EF">
        <w:t xml:space="preserve"> partnering with patients, consumers and communities</w:t>
      </w:r>
    </w:p>
    <w:p w14:paraId="014D6F46" w14:textId="77777777" w:rsidR="00E340EF" w:rsidRPr="00E340EF" w:rsidRDefault="00E340EF" w:rsidP="005207F5">
      <w:pPr>
        <w:pStyle w:val="Indexbodycopy"/>
      </w:pPr>
      <w:r w:rsidRPr="00E340EF">
        <w:t>PBS Hospital Medication Chart, 25</w:t>
      </w:r>
    </w:p>
    <w:p w14:paraId="12B27BF7" w14:textId="77777777" w:rsidR="00E340EF" w:rsidRPr="00E340EF" w:rsidRDefault="00E340EF" w:rsidP="005207F5">
      <w:pPr>
        <w:pStyle w:val="Indexbodycopy"/>
      </w:pPr>
      <w:r w:rsidRPr="00E340EF">
        <w:t xml:space="preserve">performance statements, </w:t>
      </w:r>
      <w:r w:rsidRPr="00E340EF">
        <w:rPr>
          <w:i/>
          <w:iCs/>
        </w:rPr>
        <w:t>see</w:t>
      </w:r>
      <w:r w:rsidRPr="00E340EF">
        <w:t xml:space="preserve"> annual performance statements</w:t>
      </w:r>
    </w:p>
    <w:p w14:paraId="644A7AA9" w14:textId="77777777" w:rsidR="00E340EF" w:rsidRPr="00E340EF" w:rsidRDefault="00E340EF" w:rsidP="005207F5">
      <w:pPr>
        <w:pStyle w:val="Indexbodycopy"/>
      </w:pPr>
      <w:r w:rsidRPr="00E340EF">
        <w:t xml:space="preserve">person-centred healthcare systems, </w:t>
      </w:r>
      <w:r w:rsidRPr="0044323F">
        <w:rPr>
          <w:rFonts w:cs="Arial"/>
          <w:b/>
          <w:bCs/>
        </w:rPr>
        <w:t>33</w:t>
      </w:r>
    </w:p>
    <w:p w14:paraId="18509920" w14:textId="77777777" w:rsidR="00E340EF" w:rsidRPr="00E340EF" w:rsidRDefault="00E340EF" w:rsidP="005207F5">
      <w:pPr>
        <w:pStyle w:val="Indexbodycopy"/>
      </w:pPr>
      <w:r w:rsidRPr="00E340EF">
        <w:t xml:space="preserve">Portfolio Budget Statements </w:t>
      </w:r>
      <w:r w:rsidRPr="00E340EF">
        <w:rPr>
          <w:i/>
          <w:iCs/>
        </w:rPr>
        <w:t>see</w:t>
      </w:r>
      <w:r w:rsidRPr="00E340EF">
        <w:t xml:space="preserve"> Health</w:t>
      </w:r>
      <w:r w:rsidRPr="00E340EF">
        <w:rPr>
          <w:rFonts w:cs="Arial"/>
        </w:rPr>
        <w:t> </w:t>
      </w:r>
      <w:r w:rsidRPr="00E340EF">
        <w:t>Portfolio Budget Statements</w:t>
      </w:r>
    </w:p>
    <w:p w14:paraId="670F15D2" w14:textId="77777777" w:rsidR="00E340EF" w:rsidRPr="00E340EF" w:rsidRDefault="00E340EF" w:rsidP="005207F5">
      <w:pPr>
        <w:pStyle w:val="Indexbodycopy"/>
      </w:pPr>
      <w:proofErr w:type="spellStart"/>
      <w:r w:rsidRPr="00E340EF">
        <w:t>Picone</w:t>
      </w:r>
      <w:proofErr w:type="spellEnd"/>
      <w:r w:rsidRPr="00E340EF">
        <w:t>, Professor Debora (CEO), 10–11</w:t>
      </w:r>
    </w:p>
    <w:p w14:paraId="48C51824" w14:textId="77777777" w:rsidR="00E340EF" w:rsidRPr="00E340EF" w:rsidRDefault="00E340EF" w:rsidP="005207F5">
      <w:pPr>
        <w:pStyle w:val="Indexbodycopy"/>
      </w:pPr>
      <w:r w:rsidRPr="00E340EF">
        <w:t>post-partum haemorrhage indicators, 44</w:t>
      </w:r>
    </w:p>
    <w:p w14:paraId="4C3C0AC6" w14:textId="77777777" w:rsidR="00E340EF" w:rsidRPr="00E340EF" w:rsidRDefault="00E340EF" w:rsidP="005207F5">
      <w:pPr>
        <w:pStyle w:val="Indexbodycopy"/>
      </w:pPr>
      <w:r w:rsidRPr="00E340EF">
        <w:t>Primary Care Committee, 68</w:t>
      </w:r>
    </w:p>
    <w:p w14:paraId="367624C6" w14:textId="77777777" w:rsidR="00E340EF" w:rsidRPr="00E340EF" w:rsidRDefault="00E340EF" w:rsidP="005207F5">
      <w:pPr>
        <w:pStyle w:val="Indexbodycopy"/>
      </w:pPr>
      <w:r w:rsidRPr="00E340EF">
        <w:t>primary health care</w:t>
      </w:r>
    </w:p>
    <w:p w14:paraId="6D6D8769" w14:textId="77777777" w:rsidR="00E340EF" w:rsidRPr="00E340EF" w:rsidRDefault="00E340EF" w:rsidP="005207F5">
      <w:pPr>
        <w:pStyle w:val="Indexcopyindent"/>
      </w:pPr>
      <w:r w:rsidRPr="00E340EF">
        <w:tab/>
        <w:t xml:space="preserve">patient safety, </w:t>
      </w:r>
      <w:r w:rsidRPr="0044323F">
        <w:rPr>
          <w:rFonts w:cs="Arial"/>
          <w:b/>
          <w:bCs/>
        </w:rPr>
        <w:t>24–25</w:t>
      </w:r>
    </w:p>
    <w:p w14:paraId="1DF0ABED" w14:textId="77777777" w:rsidR="00E340EF" w:rsidRPr="00E340EF" w:rsidRDefault="00E340EF" w:rsidP="005207F5">
      <w:pPr>
        <w:pStyle w:val="Indexcopyindent"/>
      </w:pPr>
      <w:r w:rsidRPr="00E340EF">
        <w:tab/>
        <w:t>Primary Care Safety and Quality Framework Committee, 24</w:t>
      </w:r>
    </w:p>
    <w:p w14:paraId="3500626A" w14:textId="77777777" w:rsidR="00E340EF" w:rsidRPr="00E340EF" w:rsidRDefault="00E340EF" w:rsidP="005207F5">
      <w:pPr>
        <w:pStyle w:val="Indexbodycopy"/>
      </w:pPr>
      <w:r w:rsidRPr="005207F5">
        <w:rPr>
          <w:rStyle w:val="Emphasis"/>
        </w:rPr>
        <w:t>Prioritised List of Clinical Domains for Clinical Quality Registry Development</w:t>
      </w:r>
      <w:r w:rsidRPr="00E340EF">
        <w:t>, 46</w:t>
      </w:r>
    </w:p>
    <w:p w14:paraId="6ACC42A3" w14:textId="77777777" w:rsidR="00E340EF" w:rsidRPr="00E340EF" w:rsidRDefault="00E340EF" w:rsidP="005207F5">
      <w:pPr>
        <w:pStyle w:val="Indexbodycopy"/>
      </w:pPr>
      <w:r w:rsidRPr="00E340EF">
        <w:t>Private Hospital Sector Committee, 68</w:t>
      </w:r>
    </w:p>
    <w:p w14:paraId="39256804" w14:textId="1EE4F4DA" w:rsidR="00E340EF" w:rsidRPr="00E340EF" w:rsidRDefault="003B754D" w:rsidP="005207F5">
      <w:pPr>
        <w:pStyle w:val="Indexbodycopy"/>
      </w:pPr>
      <w:r>
        <w:rPr>
          <w:rStyle w:val="Emphasis"/>
        </w:rPr>
        <w:br w:type="column"/>
      </w:r>
      <w:r w:rsidR="00E340EF" w:rsidRPr="005207F5">
        <w:rPr>
          <w:rStyle w:val="Emphasis"/>
        </w:rPr>
        <w:lastRenderedPageBreak/>
        <w:t>Public Governance, Performance and Accountability Act 2013</w:t>
      </w:r>
      <w:r w:rsidR="00E340EF" w:rsidRPr="00E340EF">
        <w:t>, 49, 52, 60, 65</w:t>
      </w:r>
    </w:p>
    <w:p w14:paraId="6B144495" w14:textId="77777777" w:rsidR="00E340EF" w:rsidRPr="00E340EF" w:rsidRDefault="00E340EF" w:rsidP="005207F5">
      <w:pPr>
        <w:pStyle w:val="Indexbodycopy"/>
      </w:pPr>
      <w:r w:rsidRPr="00E340EF">
        <w:t>Public Governance, Performance and Accountability Rule 2014, 52, 60</w:t>
      </w:r>
    </w:p>
    <w:p w14:paraId="0397EDE3" w14:textId="77777777" w:rsidR="00E340EF" w:rsidRPr="00E340EF" w:rsidRDefault="00E340EF" w:rsidP="006B5123">
      <w:pPr>
        <w:pStyle w:val="IndexMain"/>
      </w:pPr>
      <w:r w:rsidRPr="00E340EF">
        <w:t>Q</w:t>
      </w:r>
    </w:p>
    <w:p w14:paraId="768DC45A" w14:textId="77777777" w:rsidR="00E340EF" w:rsidRPr="00E340EF" w:rsidRDefault="00E340EF" w:rsidP="005207F5">
      <w:pPr>
        <w:pStyle w:val="Indexbodycopy"/>
      </w:pPr>
      <w:r w:rsidRPr="00E340EF">
        <w:t>quality, cost and value, 12–13, 37–43</w:t>
      </w:r>
    </w:p>
    <w:p w14:paraId="37B294F3" w14:textId="77777777" w:rsidR="00E340EF" w:rsidRPr="00E340EF" w:rsidRDefault="00E340EF" w:rsidP="005207F5">
      <w:pPr>
        <w:pStyle w:val="Indexcopyindent"/>
      </w:pPr>
      <w:r w:rsidRPr="00E340EF">
        <w:tab/>
        <w:t xml:space="preserve">identifying healthcare variation, </w:t>
      </w:r>
      <w:r w:rsidRPr="0044323F">
        <w:rPr>
          <w:rFonts w:cs="Arial"/>
          <w:b/>
          <w:bCs/>
        </w:rPr>
        <w:t>37</w:t>
      </w:r>
    </w:p>
    <w:p w14:paraId="5909099D" w14:textId="77777777" w:rsidR="00E340EF" w:rsidRPr="00E340EF" w:rsidRDefault="00E340EF" w:rsidP="005207F5">
      <w:pPr>
        <w:pStyle w:val="Indexcopyindent"/>
      </w:pPr>
      <w:r w:rsidRPr="00E340EF">
        <w:tab/>
        <w:t xml:space="preserve">improving appropriateness of care, </w:t>
      </w:r>
      <w:r w:rsidRPr="0044323F">
        <w:rPr>
          <w:rFonts w:cs="Arial"/>
          <w:b/>
          <w:bCs/>
        </w:rPr>
        <w:t>42</w:t>
      </w:r>
    </w:p>
    <w:p w14:paraId="4AC2B5FC" w14:textId="77777777" w:rsidR="00E340EF" w:rsidRPr="00E340EF" w:rsidRDefault="00E340EF" w:rsidP="005207F5">
      <w:pPr>
        <w:pStyle w:val="Indexcopyindent"/>
        <w:ind w:right="-142"/>
      </w:pPr>
      <w:r w:rsidRPr="00E340EF">
        <w:tab/>
        <w:t xml:space="preserve">performance against </w:t>
      </w:r>
      <w:r w:rsidRPr="005207F5">
        <w:rPr>
          <w:rStyle w:val="Emphasis"/>
        </w:rPr>
        <w:t>Health Portfolio Budget Statements and Corporate Plan 2016–17</w:t>
      </w:r>
      <w:r w:rsidRPr="00E340EF">
        <w:t>, 55–56</w:t>
      </w:r>
    </w:p>
    <w:p w14:paraId="2ACC583E" w14:textId="77777777" w:rsidR="00E340EF" w:rsidRPr="00E340EF" w:rsidRDefault="00E340EF" w:rsidP="005207F5">
      <w:pPr>
        <w:pStyle w:val="Indexcopyindent"/>
      </w:pPr>
      <w:r w:rsidRPr="00E340EF">
        <w:tab/>
        <w:t xml:space="preserve">pricing for safety and quality, </w:t>
      </w:r>
      <w:r w:rsidRPr="0044323F">
        <w:rPr>
          <w:rFonts w:cs="Arial"/>
          <w:b/>
          <w:bCs/>
        </w:rPr>
        <w:t>43</w:t>
      </w:r>
    </w:p>
    <w:p w14:paraId="7C62183D" w14:textId="77777777" w:rsidR="00E340EF" w:rsidRPr="00E340EF" w:rsidRDefault="00E340EF" w:rsidP="005207F5">
      <w:pPr>
        <w:pStyle w:val="Indexcopyindent"/>
      </w:pPr>
      <w:r w:rsidRPr="00E340EF">
        <w:tab/>
        <w:t>reports on clinical quality registries, 46</w:t>
      </w:r>
    </w:p>
    <w:p w14:paraId="5A48D492" w14:textId="77777777" w:rsidR="00E340EF" w:rsidRPr="00E340EF" w:rsidRDefault="00E340EF" w:rsidP="005207F5">
      <w:pPr>
        <w:pStyle w:val="Indexcopyindent"/>
      </w:pPr>
      <w:r w:rsidRPr="00E340EF">
        <w:tab/>
        <w:t xml:space="preserve">see also </w:t>
      </w:r>
      <w:r w:rsidRPr="005207F5">
        <w:rPr>
          <w:rStyle w:val="Emphasis"/>
        </w:rPr>
        <w:t>Second Australian Atlas of Healthcare Variation</w:t>
      </w:r>
    </w:p>
    <w:p w14:paraId="370FBAFC" w14:textId="77777777" w:rsidR="00E340EF" w:rsidRPr="00E340EF" w:rsidRDefault="00E340EF" w:rsidP="005207F5">
      <w:pPr>
        <w:pStyle w:val="Indexbodycopy"/>
      </w:pPr>
      <w:r w:rsidRPr="00E340EF">
        <w:t>Question Builder (web-based patient tool), 11, 35, 51</w:t>
      </w:r>
    </w:p>
    <w:p w14:paraId="71851622" w14:textId="77777777" w:rsidR="00E340EF" w:rsidRPr="00E340EF" w:rsidRDefault="00E340EF" w:rsidP="006B5123">
      <w:pPr>
        <w:pStyle w:val="IndexMain"/>
      </w:pPr>
      <w:r w:rsidRPr="00E340EF">
        <w:t>R</w:t>
      </w:r>
    </w:p>
    <w:p w14:paraId="19AF0639" w14:textId="77777777" w:rsidR="00E340EF" w:rsidRPr="00E340EF" w:rsidRDefault="00E340EF" w:rsidP="005207F5">
      <w:pPr>
        <w:pStyle w:val="Indexbodycopy"/>
      </w:pPr>
      <w:r w:rsidRPr="00E340EF">
        <w:t xml:space="preserve">related-entity transactions, </w:t>
      </w:r>
      <w:r w:rsidRPr="0044323F">
        <w:rPr>
          <w:rFonts w:cs="Arial"/>
          <w:b/>
          <w:bCs/>
        </w:rPr>
        <w:t>110</w:t>
      </w:r>
    </w:p>
    <w:p w14:paraId="6A8E7386" w14:textId="77777777" w:rsidR="00E340EF" w:rsidRPr="00E340EF" w:rsidRDefault="00E340EF" w:rsidP="005207F5">
      <w:pPr>
        <w:pStyle w:val="Indexbodycopy"/>
      </w:pPr>
      <w:r w:rsidRPr="00E340EF">
        <w:t>remuneration</w:t>
      </w:r>
    </w:p>
    <w:p w14:paraId="75F2CC12" w14:textId="77777777" w:rsidR="00E340EF" w:rsidRPr="00E340EF" w:rsidRDefault="00E340EF" w:rsidP="005207F5">
      <w:pPr>
        <w:pStyle w:val="Indexcopyindent"/>
      </w:pPr>
      <w:r w:rsidRPr="00E340EF">
        <w:tab/>
        <w:t>executives, 70</w:t>
      </w:r>
    </w:p>
    <w:p w14:paraId="7E8BBA0F" w14:textId="77777777" w:rsidR="00E340EF" w:rsidRPr="00E340EF" w:rsidRDefault="00E340EF" w:rsidP="005207F5">
      <w:pPr>
        <w:pStyle w:val="Indexcopyindent"/>
      </w:pPr>
      <w:r w:rsidRPr="00E340EF">
        <w:tab/>
        <w:t>highly paid staff, 71</w:t>
      </w:r>
    </w:p>
    <w:p w14:paraId="516DC477" w14:textId="77777777" w:rsidR="00E340EF" w:rsidRPr="00E340EF" w:rsidRDefault="00E340EF" w:rsidP="005207F5">
      <w:pPr>
        <w:pStyle w:val="Indexbodycopy"/>
      </w:pPr>
      <w:r w:rsidRPr="00E340EF">
        <w:t>reports</w:t>
      </w:r>
    </w:p>
    <w:p w14:paraId="7B16DC2C" w14:textId="77777777" w:rsidR="00E340EF" w:rsidRPr="00E340EF" w:rsidRDefault="00E340EF" w:rsidP="005207F5">
      <w:pPr>
        <w:pStyle w:val="Indexcopyindent"/>
      </w:pPr>
      <w:r w:rsidRPr="00E340EF">
        <w:tab/>
      </w:r>
      <w:r w:rsidRPr="005207F5">
        <w:rPr>
          <w:rStyle w:val="Emphasis"/>
        </w:rPr>
        <w:t>AURA 2016: First Australian report on antimicrobial use and resistance in human health</w:t>
      </w:r>
      <w:r w:rsidRPr="00E340EF">
        <w:t>, 21</w:t>
      </w:r>
    </w:p>
    <w:p w14:paraId="3709871C" w14:textId="77777777" w:rsidR="00E340EF" w:rsidRPr="00E340EF" w:rsidRDefault="00E340EF" w:rsidP="005207F5">
      <w:pPr>
        <w:pStyle w:val="Indexcopyindent"/>
      </w:pPr>
      <w:r w:rsidRPr="00E340EF">
        <w:tab/>
      </w:r>
      <w:r w:rsidRPr="00992C37">
        <w:rPr>
          <w:rStyle w:val="Emphasis"/>
        </w:rPr>
        <w:t xml:space="preserve">Barcoding and Other Scanning Technologies to Improve Medication Safety in Hospitals </w:t>
      </w:r>
      <w:r w:rsidRPr="003B754D">
        <w:rPr>
          <w:rStyle w:val="Emphasis"/>
          <w:i w:val="0"/>
        </w:rPr>
        <w:t>report</w:t>
      </w:r>
      <w:r w:rsidRPr="00E340EF">
        <w:t>, 24</w:t>
      </w:r>
    </w:p>
    <w:p w14:paraId="03911238" w14:textId="77777777" w:rsidR="00E340EF" w:rsidRPr="00E340EF" w:rsidRDefault="00E340EF" w:rsidP="00992C37">
      <w:pPr>
        <w:pStyle w:val="Indexcopyindent"/>
        <w:ind w:right="-142"/>
      </w:pPr>
      <w:r w:rsidRPr="00E340EF">
        <w:tab/>
      </w:r>
      <w:r w:rsidRPr="00992C37">
        <w:rPr>
          <w:rStyle w:val="Emphasis"/>
        </w:rPr>
        <w:t xml:space="preserve">Medication Safety in Mental Health </w:t>
      </w:r>
      <w:r w:rsidRPr="00864C63">
        <w:rPr>
          <w:rStyle w:val="Emphasis"/>
          <w:i w:val="0"/>
        </w:rPr>
        <w:t>report</w:t>
      </w:r>
      <w:r w:rsidRPr="00E340EF">
        <w:t>, 25</w:t>
      </w:r>
    </w:p>
    <w:p w14:paraId="6F74A809" w14:textId="77777777" w:rsidR="00E340EF" w:rsidRPr="00E340EF" w:rsidRDefault="00E340EF" w:rsidP="00992C37">
      <w:pPr>
        <w:pStyle w:val="Indexcopyindent"/>
        <w:ind w:right="-142"/>
      </w:pPr>
      <w:r w:rsidRPr="00E340EF">
        <w:tab/>
      </w:r>
      <w:r w:rsidRPr="00992C37">
        <w:rPr>
          <w:rStyle w:val="Emphasis"/>
        </w:rPr>
        <w:t xml:space="preserve">National Guidelines for On-Screen Presentation of Discharge Summaries </w:t>
      </w:r>
      <w:r w:rsidR="00992C37">
        <w:rPr>
          <w:rStyle w:val="Emphasis"/>
        </w:rPr>
        <w:br/>
      </w:r>
      <w:r w:rsidRPr="00864C63">
        <w:rPr>
          <w:rStyle w:val="Emphasis"/>
          <w:i w:val="0"/>
        </w:rPr>
        <w:t>report</w:t>
      </w:r>
      <w:r w:rsidRPr="00864C63">
        <w:rPr>
          <w:i/>
          <w:spacing w:val="2"/>
        </w:rPr>
        <w:t>,</w:t>
      </w:r>
      <w:r w:rsidRPr="00E340EF">
        <w:rPr>
          <w:spacing w:val="2"/>
        </w:rPr>
        <w:t xml:space="preserve"> 24</w:t>
      </w:r>
    </w:p>
    <w:p w14:paraId="695F5C3A" w14:textId="77777777" w:rsidR="00E340EF" w:rsidRPr="00E340EF" w:rsidRDefault="00E340EF" w:rsidP="00992C37">
      <w:pPr>
        <w:pStyle w:val="Indexbodycopy"/>
      </w:pPr>
      <w:r w:rsidRPr="00E340EF">
        <w:t>risk management, 69</w:t>
      </w:r>
    </w:p>
    <w:p w14:paraId="0A61F9C3" w14:textId="77777777" w:rsidR="00E340EF" w:rsidRPr="00E340EF" w:rsidRDefault="00E340EF" w:rsidP="00992C37">
      <w:pPr>
        <w:pStyle w:val="Indexbodycopy"/>
      </w:pPr>
      <w:r w:rsidRPr="00E340EF">
        <w:t>Royal Australian College of General Practitioners (RACGP), 11</w:t>
      </w:r>
    </w:p>
    <w:p w14:paraId="6BB75566" w14:textId="77777777" w:rsidR="00E340EF" w:rsidRPr="00E340EF" w:rsidRDefault="00E340EF" w:rsidP="00992C37">
      <w:pPr>
        <w:pStyle w:val="Indexcopyindent"/>
      </w:pPr>
      <w:r w:rsidRPr="00E340EF">
        <w:tab/>
      </w:r>
      <w:r w:rsidRPr="00992C37">
        <w:rPr>
          <w:rStyle w:val="Emphasis"/>
        </w:rPr>
        <w:t>Standards for general practices</w:t>
      </w:r>
      <w:r w:rsidRPr="00E340EF">
        <w:t>, 16</w:t>
      </w:r>
    </w:p>
    <w:p w14:paraId="735426A8" w14:textId="77777777" w:rsidR="00E340EF" w:rsidRPr="00E340EF" w:rsidRDefault="00E340EF" w:rsidP="00992C37">
      <w:pPr>
        <w:pStyle w:val="Indexbodycopy"/>
      </w:pPr>
      <w:proofErr w:type="spellStart"/>
      <w:r w:rsidRPr="00E340EF">
        <w:t>Royle</w:t>
      </w:r>
      <w:proofErr w:type="spellEnd"/>
      <w:r w:rsidRPr="00E340EF">
        <w:t xml:space="preserve">, </w:t>
      </w:r>
      <w:proofErr w:type="spellStart"/>
      <w:r w:rsidRPr="00E340EF">
        <w:t>Cheryle</w:t>
      </w:r>
      <w:proofErr w:type="spellEnd"/>
      <w:r w:rsidRPr="00E340EF">
        <w:t>, 64</w:t>
      </w:r>
    </w:p>
    <w:p w14:paraId="7E5BFDED" w14:textId="77777777" w:rsidR="00E340EF" w:rsidRPr="00E340EF" w:rsidRDefault="00E340EF" w:rsidP="006B5123">
      <w:pPr>
        <w:pStyle w:val="IndexMain"/>
      </w:pPr>
      <w:r w:rsidRPr="00E340EF">
        <w:t>S</w:t>
      </w:r>
    </w:p>
    <w:p w14:paraId="2A2979E4" w14:textId="77777777" w:rsidR="00E340EF" w:rsidRPr="00E340EF" w:rsidRDefault="00E340EF" w:rsidP="00992C37">
      <w:pPr>
        <w:pStyle w:val="Indexbodycopy"/>
      </w:pPr>
      <w:r w:rsidRPr="00E340EF">
        <w:t xml:space="preserve">safety, </w:t>
      </w:r>
      <w:r w:rsidRPr="00E340EF">
        <w:rPr>
          <w:i/>
          <w:iCs/>
        </w:rPr>
        <w:t>see</w:t>
      </w:r>
      <w:r w:rsidRPr="00E340EF">
        <w:t xml:space="preserve"> patient safety </w:t>
      </w:r>
    </w:p>
    <w:p w14:paraId="1435DEFF" w14:textId="77777777" w:rsidR="00E340EF" w:rsidRPr="00E340EF" w:rsidRDefault="00E340EF" w:rsidP="00992C37">
      <w:pPr>
        <w:pStyle w:val="Indexbodycopy"/>
      </w:pPr>
      <w:r w:rsidRPr="00E340EF">
        <w:t xml:space="preserve">safety and quality in Australian health care, </w:t>
      </w:r>
      <w:r w:rsidR="00992C37">
        <w:br/>
      </w:r>
      <w:r w:rsidRPr="0044323F">
        <w:rPr>
          <w:rFonts w:cs="Arial"/>
          <w:b/>
          <w:bCs/>
        </w:rPr>
        <w:t>47–48</w:t>
      </w:r>
    </w:p>
    <w:p w14:paraId="71B894D5" w14:textId="77777777" w:rsidR="00E340EF" w:rsidRPr="00E340EF" w:rsidRDefault="00E340EF" w:rsidP="00992C37">
      <w:pPr>
        <w:pStyle w:val="Indexbodycopy"/>
      </w:pPr>
      <w:r w:rsidRPr="00992C37">
        <w:rPr>
          <w:rStyle w:val="Emphasis"/>
        </w:rPr>
        <w:t>Safety, Rehabilitation and Compensation Act</w:t>
      </w:r>
      <w:r w:rsidRPr="00E340EF">
        <w:t xml:space="preserve"> </w:t>
      </w:r>
      <w:r w:rsidRPr="00992C37">
        <w:rPr>
          <w:rStyle w:val="Emphasis"/>
        </w:rPr>
        <w:t>1988</w:t>
      </w:r>
      <w:r w:rsidRPr="00E340EF">
        <w:t xml:space="preserve">, </w:t>
      </w:r>
      <w:r w:rsidRPr="0044323F">
        <w:rPr>
          <w:rFonts w:cs="Arial"/>
          <w:b/>
          <w:bCs/>
        </w:rPr>
        <w:t>77</w:t>
      </w:r>
    </w:p>
    <w:p w14:paraId="5132920F" w14:textId="77777777" w:rsidR="00E340EF" w:rsidRPr="00E340EF" w:rsidRDefault="00E340EF" w:rsidP="00992C37">
      <w:pPr>
        <w:pStyle w:val="Indexbodycopy"/>
      </w:pPr>
      <w:r w:rsidRPr="00992C37">
        <w:rPr>
          <w:rStyle w:val="Emphasis"/>
        </w:rPr>
        <w:t>Second Australian Atlas of Healthcare Variation</w:t>
      </w:r>
      <w:r w:rsidRPr="00E340EF">
        <w:t>, 8, 10, 37–38, 39–41, 47, 51</w:t>
      </w:r>
    </w:p>
    <w:p w14:paraId="1C1A2BD5" w14:textId="26497B8E" w:rsidR="00864C63" w:rsidRDefault="00E340EF" w:rsidP="00992C37">
      <w:pPr>
        <w:pStyle w:val="Indexbodycopy"/>
        <w:rPr>
          <w:rFonts w:cs="Arial"/>
          <w:b/>
          <w:bCs/>
        </w:rPr>
      </w:pPr>
      <w:r w:rsidRPr="00E340EF">
        <w:t>shared decision making and health information,</w:t>
      </w:r>
      <w:r w:rsidRPr="00E340EF">
        <w:rPr>
          <w:rFonts w:cs="Arial"/>
        </w:rPr>
        <w:t> </w:t>
      </w:r>
      <w:r w:rsidRPr="0044323F">
        <w:rPr>
          <w:rFonts w:cs="Arial"/>
          <w:b/>
          <w:bCs/>
        </w:rPr>
        <w:t>34</w:t>
      </w:r>
    </w:p>
    <w:p w14:paraId="331050D0" w14:textId="6C15CF60" w:rsidR="00E340EF" w:rsidRPr="00E340EF" w:rsidRDefault="00864C63" w:rsidP="00992C37">
      <w:pPr>
        <w:pStyle w:val="Indexbodycopy"/>
      </w:pPr>
      <w:r>
        <w:rPr>
          <w:rFonts w:cs="Arial"/>
          <w:b/>
          <w:bCs/>
        </w:rPr>
        <w:br w:type="column"/>
      </w:r>
      <w:r w:rsidR="00E340EF" w:rsidRPr="00E340EF">
        <w:lastRenderedPageBreak/>
        <w:t>significant developments and events, 71</w:t>
      </w:r>
    </w:p>
    <w:p w14:paraId="13F90B84" w14:textId="77777777" w:rsidR="00E340EF" w:rsidRPr="00E340EF" w:rsidRDefault="00E340EF" w:rsidP="00992C37">
      <w:pPr>
        <w:pStyle w:val="Indexbodycopy"/>
      </w:pPr>
      <w:r w:rsidRPr="00E340EF">
        <w:t>staff, 73</w:t>
      </w:r>
    </w:p>
    <w:p w14:paraId="543B7329" w14:textId="77777777" w:rsidR="00E340EF" w:rsidRPr="00E340EF" w:rsidRDefault="00E340EF" w:rsidP="00992C37">
      <w:pPr>
        <w:pStyle w:val="Indexcopyindent"/>
      </w:pPr>
      <w:r w:rsidRPr="00E340EF">
        <w:tab/>
        <w:t xml:space="preserve">disability strategy, </w:t>
      </w:r>
      <w:r w:rsidRPr="0044323F">
        <w:rPr>
          <w:rFonts w:cs="Arial"/>
          <w:b/>
          <w:bCs/>
        </w:rPr>
        <w:t>78</w:t>
      </w:r>
    </w:p>
    <w:p w14:paraId="07BDCC2E" w14:textId="77777777" w:rsidR="00E340EF" w:rsidRPr="00E340EF" w:rsidRDefault="00E340EF" w:rsidP="00992C37">
      <w:pPr>
        <w:pStyle w:val="Indexcopyindent"/>
      </w:pPr>
      <w:r w:rsidRPr="00E340EF">
        <w:tab/>
        <w:t xml:space="preserve">Indigenous employment, </w:t>
      </w:r>
      <w:r w:rsidRPr="0044323F">
        <w:rPr>
          <w:rFonts w:cs="Arial"/>
          <w:b/>
          <w:bCs/>
        </w:rPr>
        <w:t>78</w:t>
      </w:r>
    </w:p>
    <w:p w14:paraId="174EC3D9" w14:textId="77777777" w:rsidR="00E340EF" w:rsidRPr="00E340EF" w:rsidRDefault="00E340EF" w:rsidP="00992C37">
      <w:pPr>
        <w:pStyle w:val="Indexcopyindent"/>
      </w:pPr>
      <w:r w:rsidRPr="00E340EF">
        <w:tab/>
        <w:t xml:space="preserve">learning and development, </w:t>
      </w:r>
      <w:r w:rsidRPr="0044323F">
        <w:rPr>
          <w:rFonts w:cs="Arial"/>
          <w:b/>
          <w:bCs/>
        </w:rPr>
        <w:t>77</w:t>
      </w:r>
    </w:p>
    <w:p w14:paraId="43BC2C15" w14:textId="77777777" w:rsidR="00E340EF" w:rsidRPr="00E340EF" w:rsidRDefault="00E340EF" w:rsidP="00992C37">
      <w:pPr>
        <w:pStyle w:val="Indexcopyindent"/>
      </w:pPr>
      <w:r w:rsidRPr="00E340EF">
        <w:tab/>
        <w:t xml:space="preserve">profile, </w:t>
      </w:r>
      <w:r w:rsidRPr="0044323F">
        <w:rPr>
          <w:rFonts w:cs="Arial"/>
          <w:b/>
          <w:bCs/>
        </w:rPr>
        <w:t>76</w:t>
      </w:r>
    </w:p>
    <w:p w14:paraId="24F3E9B6" w14:textId="77777777" w:rsidR="00E340EF" w:rsidRPr="00E340EF" w:rsidRDefault="00E340EF" w:rsidP="00992C37">
      <w:pPr>
        <w:pStyle w:val="Indexcopyindent"/>
      </w:pPr>
      <w:r w:rsidRPr="00E340EF">
        <w:tab/>
        <w:t>remuneration, 70–71</w:t>
      </w:r>
    </w:p>
    <w:p w14:paraId="3C59BAEB" w14:textId="77777777" w:rsidR="00E340EF" w:rsidRPr="00E340EF" w:rsidRDefault="00E340EF" w:rsidP="00992C37">
      <w:pPr>
        <w:pStyle w:val="Indexcopyindent"/>
      </w:pPr>
      <w:r w:rsidRPr="00E340EF">
        <w:tab/>
        <w:t xml:space="preserve">workplace health and safety, </w:t>
      </w:r>
      <w:r w:rsidRPr="0044323F">
        <w:rPr>
          <w:rFonts w:cs="Arial"/>
          <w:b/>
          <w:bCs/>
        </w:rPr>
        <w:t>77</w:t>
      </w:r>
    </w:p>
    <w:p w14:paraId="59648E01" w14:textId="77777777" w:rsidR="00E340EF" w:rsidRPr="00E340EF" w:rsidRDefault="00E340EF" w:rsidP="00992C37">
      <w:pPr>
        <w:pStyle w:val="Indexbodycopy"/>
      </w:pPr>
      <w:r w:rsidRPr="00E340EF">
        <w:t>standards</w:t>
      </w:r>
    </w:p>
    <w:p w14:paraId="01A8A4E4" w14:textId="77777777" w:rsidR="00E340EF" w:rsidRPr="00E340EF" w:rsidRDefault="00E340EF" w:rsidP="00992C37">
      <w:pPr>
        <w:pStyle w:val="Indexcopyindent"/>
      </w:pPr>
      <w:r w:rsidRPr="00E340EF">
        <w:tab/>
        <w:t>Communicating for Safety Standard, 28</w:t>
      </w:r>
    </w:p>
    <w:p w14:paraId="3DCA8137" w14:textId="77777777" w:rsidR="00E340EF" w:rsidRPr="00E340EF" w:rsidRDefault="00E340EF" w:rsidP="00992C37">
      <w:pPr>
        <w:pStyle w:val="Indexcopyindent"/>
      </w:pPr>
      <w:r w:rsidRPr="00E340EF">
        <w:tab/>
        <w:t xml:space="preserve">Comprehensive Care Standard, </w:t>
      </w:r>
      <w:r w:rsidRPr="0044323F">
        <w:rPr>
          <w:rFonts w:cs="Arial"/>
          <w:b/>
          <w:bCs/>
        </w:rPr>
        <w:t>29–30</w:t>
      </w:r>
    </w:p>
    <w:p w14:paraId="1CCBF247" w14:textId="77777777" w:rsidR="00E340EF" w:rsidRPr="00E340EF" w:rsidRDefault="00E340EF" w:rsidP="00992C37">
      <w:pPr>
        <w:pStyle w:val="Indexcopyindent"/>
      </w:pPr>
      <w:r w:rsidRPr="00E340EF">
        <w:tab/>
        <w:t xml:space="preserve">RACGP </w:t>
      </w:r>
      <w:r w:rsidRPr="00E340EF">
        <w:rPr>
          <w:i/>
          <w:iCs/>
        </w:rPr>
        <w:t>Standards for general practices</w:t>
      </w:r>
      <w:r w:rsidRPr="00E340EF">
        <w:t xml:space="preserve">, 16 </w:t>
      </w:r>
    </w:p>
    <w:p w14:paraId="571A3DD2" w14:textId="77777777" w:rsidR="00E340EF" w:rsidRPr="00E340EF" w:rsidRDefault="00E340EF" w:rsidP="00992C37">
      <w:pPr>
        <w:pStyle w:val="Indexcopyindent"/>
      </w:pPr>
      <w:r w:rsidRPr="00E340EF">
        <w:tab/>
      </w:r>
      <w:r w:rsidRPr="00E340EF">
        <w:rPr>
          <w:i/>
          <w:iCs/>
        </w:rPr>
        <w:t>see also</w:t>
      </w:r>
      <w:r w:rsidRPr="00E340EF">
        <w:t xml:space="preserve"> National Safety and Quality Health Service (NSQHS) Standards</w:t>
      </w:r>
    </w:p>
    <w:p w14:paraId="24C28BB0" w14:textId="77777777" w:rsidR="00E340EF" w:rsidRPr="00E340EF" w:rsidRDefault="00E340EF" w:rsidP="00992C37">
      <w:pPr>
        <w:pStyle w:val="Indexbodycopy"/>
      </w:pPr>
      <w:r w:rsidRPr="00E340EF">
        <w:t xml:space="preserve">strategic plan, </w:t>
      </w:r>
      <w:r w:rsidRPr="0044323F">
        <w:rPr>
          <w:rFonts w:cs="Arial"/>
          <w:b/>
          <w:bCs/>
        </w:rPr>
        <w:t>12–13</w:t>
      </w:r>
      <w:r w:rsidRPr="00E340EF">
        <w:t>, 60</w:t>
      </w:r>
    </w:p>
    <w:p w14:paraId="5675B614" w14:textId="77777777" w:rsidR="00E340EF" w:rsidRPr="00E340EF" w:rsidRDefault="00E340EF" w:rsidP="00992C37">
      <w:pPr>
        <w:pStyle w:val="Indexcopyindent"/>
      </w:pPr>
      <w:r w:rsidRPr="00E340EF">
        <w:tab/>
      </w:r>
      <w:r w:rsidRPr="00E340EF">
        <w:rPr>
          <w:i/>
          <w:iCs/>
        </w:rPr>
        <w:t>see also</w:t>
      </w:r>
      <w:r w:rsidRPr="00E340EF">
        <w:t xml:space="preserve"> partnering with patients, consumers and communities; patient safety; quality, cost and value; supporting health professionals to provide safe, high-quality care</w:t>
      </w:r>
    </w:p>
    <w:p w14:paraId="7CD7009E" w14:textId="77777777" w:rsidR="00E340EF" w:rsidRPr="00E340EF" w:rsidRDefault="00E340EF" w:rsidP="00992C37">
      <w:pPr>
        <w:pStyle w:val="Indexbodycopy"/>
      </w:pPr>
      <w:r w:rsidRPr="00E340EF">
        <w:t>supporting health professionals to provide safe, high-quality care, 12–13, 44–46</w:t>
      </w:r>
    </w:p>
    <w:p w14:paraId="5F3FA80E" w14:textId="77777777" w:rsidR="00E340EF" w:rsidRPr="00E340EF" w:rsidRDefault="00E340EF" w:rsidP="00992C37">
      <w:pPr>
        <w:pStyle w:val="Indexcopyindent"/>
      </w:pPr>
      <w:r w:rsidRPr="00E340EF">
        <w:tab/>
        <w:t xml:space="preserve">indicators and dataset specifications, </w:t>
      </w:r>
      <w:r w:rsidRPr="0044323F">
        <w:rPr>
          <w:rFonts w:cs="Arial"/>
          <w:b/>
          <w:bCs/>
        </w:rPr>
        <w:t>44</w:t>
      </w:r>
    </w:p>
    <w:p w14:paraId="281F0844" w14:textId="77777777" w:rsidR="00E340EF" w:rsidRPr="00E340EF" w:rsidRDefault="00E340EF" w:rsidP="00992C37">
      <w:pPr>
        <w:pStyle w:val="Indexcopyindent"/>
      </w:pPr>
      <w:r w:rsidRPr="00E340EF">
        <w:tab/>
        <w:t xml:space="preserve">minimising healthcare-related harm, </w:t>
      </w:r>
      <w:r w:rsidRPr="0044323F">
        <w:rPr>
          <w:rFonts w:cs="Arial"/>
          <w:b/>
          <w:bCs/>
        </w:rPr>
        <w:t>45</w:t>
      </w:r>
    </w:p>
    <w:p w14:paraId="498CD0C0" w14:textId="77777777" w:rsidR="00E340EF" w:rsidRPr="00E340EF" w:rsidRDefault="00E340EF" w:rsidP="00992C37">
      <w:pPr>
        <w:pStyle w:val="Indexcopyindent"/>
      </w:pPr>
      <w:r w:rsidRPr="00E340EF">
        <w:tab/>
        <w:t xml:space="preserve">national clinical quality registries, </w:t>
      </w:r>
      <w:r w:rsidRPr="0044323F">
        <w:rPr>
          <w:rFonts w:cs="Arial"/>
          <w:b/>
          <w:bCs/>
        </w:rPr>
        <w:t>46</w:t>
      </w:r>
    </w:p>
    <w:p w14:paraId="3A312A7F" w14:textId="77777777" w:rsidR="00E340EF" w:rsidRPr="00E340EF" w:rsidRDefault="00E340EF" w:rsidP="00992C37">
      <w:pPr>
        <w:pStyle w:val="Indexcopyindent"/>
      </w:pPr>
      <w:r w:rsidRPr="00E340EF">
        <w:tab/>
        <w:t xml:space="preserve">patient-reported experience measures, </w:t>
      </w:r>
      <w:r w:rsidRPr="0044323F">
        <w:rPr>
          <w:rFonts w:cs="Arial"/>
          <w:b/>
          <w:bCs/>
        </w:rPr>
        <w:t>45</w:t>
      </w:r>
    </w:p>
    <w:p w14:paraId="0B380E53" w14:textId="77777777" w:rsidR="00E340EF" w:rsidRPr="00E340EF" w:rsidRDefault="00E340EF" w:rsidP="00992C37">
      <w:pPr>
        <w:pStyle w:val="Indexcopyindent"/>
      </w:pPr>
      <w:r w:rsidRPr="00E340EF">
        <w:tab/>
        <w:t xml:space="preserve">performance against </w:t>
      </w:r>
      <w:r w:rsidRPr="00992C37">
        <w:rPr>
          <w:rStyle w:val="Emphasis"/>
        </w:rPr>
        <w:t>Health Portfolio Budget Statements and Corporate Plan 2016–17</w:t>
      </w:r>
      <w:r w:rsidRPr="00E340EF">
        <w:t>, 56–57</w:t>
      </w:r>
    </w:p>
    <w:p w14:paraId="008A44DF" w14:textId="77777777" w:rsidR="00E340EF" w:rsidRPr="00E340EF" w:rsidRDefault="00E340EF" w:rsidP="006B5123">
      <w:pPr>
        <w:pStyle w:val="IndexMain"/>
      </w:pPr>
      <w:r w:rsidRPr="00E340EF">
        <w:t>T</w:t>
      </w:r>
    </w:p>
    <w:p w14:paraId="5380D3C3" w14:textId="77777777" w:rsidR="00E340EF" w:rsidRPr="00E340EF" w:rsidRDefault="00E340EF" w:rsidP="00992C37">
      <w:pPr>
        <w:pStyle w:val="Indexbodycopy"/>
      </w:pPr>
      <w:r w:rsidRPr="00992C37">
        <w:rPr>
          <w:rStyle w:val="Emphasis"/>
        </w:rPr>
        <w:t>Toolkit for Developing Safety and Quality Indicators</w:t>
      </w:r>
      <w:r w:rsidRPr="00E340EF">
        <w:t>, 44</w:t>
      </w:r>
    </w:p>
    <w:p w14:paraId="1048B4E3" w14:textId="77777777" w:rsidR="00E340EF" w:rsidRPr="00E340EF" w:rsidRDefault="00E340EF" w:rsidP="00992C37">
      <w:pPr>
        <w:pStyle w:val="Indexbodycopy"/>
      </w:pPr>
      <w:r w:rsidRPr="00992C37">
        <w:rPr>
          <w:rStyle w:val="Emphasis"/>
        </w:rPr>
        <w:t>Top Tips for Safe Health Care</w:t>
      </w:r>
      <w:r w:rsidRPr="00E340EF">
        <w:t>, 11, 34, 51</w:t>
      </w:r>
    </w:p>
    <w:p w14:paraId="50502D9F" w14:textId="77777777" w:rsidR="00E340EF" w:rsidRPr="00E340EF" w:rsidRDefault="00E340EF" w:rsidP="006B5123">
      <w:pPr>
        <w:pStyle w:val="IndexMain"/>
      </w:pPr>
      <w:r w:rsidRPr="00E340EF">
        <w:t>U</w:t>
      </w:r>
    </w:p>
    <w:p w14:paraId="2EF31FB4" w14:textId="77777777" w:rsidR="00E340EF" w:rsidRPr="00E340EF" w:rsidRDefault="00E340EF" w:rsidP="00992C37">
      <w:pPr>
        <w:pStyle w:val="Indexbodycopy"/>
      </w:pPr>
      <w:r w:rsidRPr="00E340EF">
        <w:t>uterine bleeding, 10, 37</w:t>
      </w:r>
    </w:p>
    <w:p w14:paraId="4014084B" w14:textId="77777777" w:rsidR="00E340EF" w:rsidRPr="00E340EF" w:rsidRDefault="00E340EF" w:rsidP="006B5123">
      <w:pPr>
        <w:pStyle w:val="IndexMain"/>
      </w:pPr>
      <w:r w:rsidRPr="00E340EF">
        <w:t>V</w:t>
      </w:r>
    </w:p>
    <w:p w14:paraId="5B8EFF29" w14:textId="77777777" w:rsidR="00E340EF" w:rsidRPr="00E340EF" w:rsidRDefault="00E340EF" w:rsidP="00992C37">
      <w:pPr>
        <w:pStyle w:val="Indexbodycopy"/>
      </w:pPr>
      <w:r w:rsidRPr="00E340EF">
        <w:t xml:space="preserve">variation in healthcare, </w:t>
      </w:r>
      <w:r w:rsidRPr="0044323F">
        <w:rPr>
          <w:rFonts w:cs="Arial"/>
          <w:b/>
          <w:bCs/>
        </w:rPr>
        <w:t>37</w:t>
      </w:r>
      <w:r w:rsidRPr="00E340EF">
        <w:t xml:space="preserve">; </w:t>
      </w:r>
      <w:r w:rsidRPr="00864C63">
        <w:rPr>
          <w:i/>
        </w:rPr>
        <w:t>see also</w:t>
      </w:r>
      <w:r w:rsidRPr="00E340EF">
        <w:t xml:space="preserve"> </w:t>
      </w:r>
      <w:r w:rsidRPr="00992C37">
        <w:rPr>
          <w:rStyle w:val="Emphasis"/>
        </w:rPr>
        <w:t>Australian Atlas of Healthcare Variation</w:t>
      </w:r>
      <w:r w:rsidRPr="00E340EF">
        <w:t xml:space="preserve">; </w:t>
      </w:r>
      <w:r w:rsidRPr="00992C37">
        <w:rPr>
          <w:rStyle w:val="Emphasis"/>
        </w:rPr>
        <w:t>Second Australian Atlas of Healthcare Variation</w:t>
      </w:r>
    </w:p>
    <w:p w14:paraId="17DFA08A" w14:textId="77777777" w:rsidR="00E340EF" w:rsidRPr="00E340EF" w:rsidRDefault="00E340EF" w:rsidP="00992C37">
      <w:pPr>
        <w:pStyle w:val="Indexbodycopy"/>
      </w:pPr>
      <w:r w:rsidRPr="00E340EF">
        <w:t>venous thromboembolism, 42, 44</w:t>
      </w:r>
    </w:p>
    <w:p w14:paraId="791E7D09" w14:textId="77777777" w:rsidR="00E340EF" w:rsidRPr="00E340EF" w:rsidRDefault="00E340EF" w:rsidP="00992C37">
      <w:pPr>
        <w:pStyle w:val="Indexbodycopy"/>
      </w:pPr>
      <w:r w:rsidRPr="00992C37">
        <w:rPr>
          <w:rStyle w:val="Emphasis"/>
        </w:rPr>
        <w:t>Vital Signs 2016–17</w:t>
      </w:r>
      <w:r w:rsidRPr="00E340EF">
        <w:t>, p48</w:t>
      </w:r>
    </w:p>
    <w:p w14:paraId="21AFB73C" w14:textId="77777777" w:rsidR="00E340EF" w:rsidRPr="00E340EF" w:rsidRDefault="00E340EF" w:rsidP="006B5123">
      <w:pPr>
        <w:pStyle w:val="IndexMain"/>
      </w:pPr>
      <w:r w:rsidRPr="00E340EF">
        <w:t>W</w:t>
      </w:r>
    </w:p>
    <w:p w14:paraId="6D15411A" w14:textId="77777777" w:rsidR="00E340EF" w:rsidRPr="00E340EF" w:rsidRDefault="00E340EF" w:rsidP="00992C37">
      <w:pPr>
        <w:pStyle w:val="Indexbodycopy"/>
      </w:pPr>
      <w:r w:rsidRPr="00E340EF">
        <w:t>Walsh, Professor John, 62</w:t>
      </w:r>
    </w:p>
    <w:p w14:paraId="636F6726" w14:textId="77777777" w:rsidR="00E340EF" w:rsidRPr="00E340EF" w:rsidRDefault="00E340EF" w:rsidP="00992C37">
      <w:pPr>
        <w:pStyle w:val="Indexbodycopy"/>
      </w:pPr>
      <w:r w:rsidRPr="00E340EF">
        <w:t>Williams, Dr Helena, 64</w:t>
      </w:r>
    </w:p>
    <w:p w14:paraId="43D4FB70" w14:textId="77777777" w:rsidR="00E340EF" w:rsidRPr="00E340EF" w:rsidRDefault="00E340EF" w:rsidP="00992C37">
      <w:pPr>
        <w:pStyle w:val="Indexbodycopy"/>
      </w:pPr>
      <w:r w:rsidRPr="00E340EF">
        <w:rPr>
          <w:i/>
          <w:iCs/>
        </w:rPr>
        <w:t>Work Health and Safety Act 2011</w:t>
      </w:r>
      <w:r w:rsidRPr="00E340EF">
        <w:t>, 77</w:t>
      </w:r>
    </w:p>
    <w:p w14:paraId="5CBEE156" w14:textId="77777777" w:rsidR="00E340EF" w:rsidRDefault="00E340EF" w:rsidP="00992C37">
      <w:pPr>
        <w:pStyle w:val="Indexbodycopy"/>
      </w:pPr>
      <w:r w:rsidRPr="00E340EF">
        <w:t xml:space="preserve">workplace health and safety, </w:t>
      </w:r>
      <w:r w:rsidRPr="0044323F">
        <w:rPr>
          <w:rFonts w:cs="Arial"/>
          <w:b/>
          <w:bCs/>
        </w:rPr>
        <w:t>77</w:t>
      </w:r>
    </w:p>
    <w:p w14:paraId="21D77E6E" w14:textId="77777777" w:rsidR="005E6960" w:rsidRDefault="005E6960" w:rsidP="002A58B5">
      <w:pPr>
        <w:pStyle w:val="BodyText"/>
        <w:sectPr w:rsidR="005E6960" w:rsidSect="00E340EF">
          <w:type w:val="continuous"/>
          <w:pgSz w:w="9979" w:h="14175" w:code="34"/>
          <w:pgMar w:top="1418" w:right="680" w:bottom="567" w:left="1021" w:header="567" w:footer="397" w:gutter="0"/>
          <w:cols w:num="2" w:space="340"/>
          <w:noEndnote/>
        </w:sectPr>
      </w:pPr>
    </w:p>
    <w:p w14:paraId="631A01CC" w14:textId="77777777" w:rsidR="00E340EF" w:rsidRPr="00E340EF" w:rsidRDefault="00E340EF" w:rsidP="00992C37">
      <w:pPr>
        <w:pStyle w:val="Heading1"/>
      </w:pPr>
      <w:r w:rsidRPr="00E340EF">
        <w:lastRenderedPageBreak/>
        <w:t>References</w:t>
      </w:r>
    </w:p>
    <w:p w14:paraId="77C3E604" w14:textId="77777777" w:rsidR="00E340EF" w:rsidRPr="00153671" w:rsidRDefault="00E340EF" w:rsidP="00153671">
      <w:pPr>
        <w:pStyle w:val="BodyText"/>
        <w:ind w:left="284" w:hanging="284"/>
      </w:pPr>
      <w:r w:rsidRPr="00153671">
        <w:t>1.</w:t>
      </w:r>
      <w:r w:rsidRPr="00153671">
        <w:tab/>
        <w:t>Primary Health Care Advisory Group. Better outcomes for people with chronic and complex health conditions. Canberra: Department of Health; 2015.</w:t>
      </w:r>
    </w:p>
    <w:p w14:paraId="315C31C6" w14:textId="77777777" w:rsidR="00E340EF" w:rsidRPr="00153671" w:rsidRDefault="00E340EF" w:rsidP="00153671">
      <w:pPr>
        <w:pStyle w:val="BodyText"/>
        <w:ind w:left="284" w:hanging="284"/>
      </w:pPr>
      <w:r w:rsidRPr="00153671">
        <w:t>2.</w:t>
      </w:r>
      <w:r w:rsidRPr="00153671">
        <w:tab/>
      </w:r>
      <w:proofErr w:type="spellStart"/>
      <w:r w:rsidRPr="00153671">
        <w:t>Starfield</w:t>
      </w:r>
      <w:proofErr w:type="spellEnd"/>
      <w:r w:rsidRPr="00153671">
        <w:t xml:space="preserve"> B, </w:t>
      </w:r>
      <w:proofErr w:type="spellStart"/>
      <w:r w:rsidRPr="00153671">
        <w:t>Macinko</w:t>
      </w:r>
      <w:proofErr w:type="spellEnd"/>
      <w:r w:rsidRPr="00153671">
        <w:t xml:space="preserve"> J. Contribution of primary care to health systems and health. Milbank Q. 2005</w:t>
      </w:r>
      <w:proofErr w:type="gramStart"/>
      <w:r w:rsidRPr="00153671">
        <w:t>;83:457</w:t>
      </w:r>
      <w:proofErr w:type="gramEnd"/>
      <w:r w:rsidRPr="00153671">
        <w:t>–502.</w:t>
      </w:r>
    </w:p>
    <w:p w14:paraId="38EE3865" w14:textId="77777777" w:rsidR="00E340EF" w:rsidRPr="00153671" w:rsidRDefault="00E340EF" w:rsidP="00153671">
      <w:pPr>
        <w:pStyle w:val="BodyText"/>
        <w:ind w:left="284" w:hanging="284"/>
      </w:pPr>
      <w:r w:rsidRPr="00153671">
        <w:t>3.</w:t>
      </w:r>
      <w:r w:rsidRPr="00153671">
        <w:tab/>
        <w:t>Australian Commission on Safety and Quality in Health Care. AURA 2016: first Australian report on antimicrobial use and resistance in human health. Sydney: ACSQHC; 2016.</w:t>
      </w:r>
    </w:p>
    <w:p w14:paraId="25F64EC3" w14:textId="77777777" w:rsidR="00E340EF" w:rsidRPr="00153671" w:rsidRDefault="00E340EF" w:rsidP="00153671">
      <w:pPr>
        <w:pStyle w:val="BodyText"/>
        <w:ind w:left="284" w:hanging="284"/>
      </w:pPr>
      <w:r w:rsidRPr="00153671">
        <w:t>4.</w:t>
      </w:r>
      <w:r w:rsidRPr="00153671">
        <w:tab/>
        <w:t>National Patient Safety Agency. Seven steps to patient safety. London: NPSA; 2004.</w:t>
      </w:r>
    </w:p>
    <w:p w14:paraId="75386109" w14:textId="77777777" w:rsidR="00E340EF" w:rsidRPr="00153671" w:rsidRDefault="00E340EF" w:rsidP="00153671">
      <w:pPr>
        <w:pStyle w:val="BodyText"/>
        <w:ind w:left="284" w:hanging="284"/>
      </w:pPr>
      <w:r w:rsidRPr="00153671">
        <w:t>5.</w:t>
      </w:r>
      <w:r w:rsidRPr="00153671">
        <w:tab/>
        <w:t>Australian Commission on Safety and Quality in Health Care. A better way to care: safe and high</w:t>
      </w:r>
      <w:r w:rsidR="00C36315">
        <w:t>-</w:t>
      </w:r>
      <w:r w:rsidRPr="00153671">
        <w:t>quality care for patients with cognitive impairment (dementia and delirium) in hospital. Sydney: ACSQHC; 2014.</w:t>
      </w:r>
    </w:p>
    <w:p w14:paraId="0EEF7A14" w14:textId="77777777" w:rsidR="00E340EF" w:rsidRPr="00153671" w:rsidRDefault="00E340EF" w:rsidP="00153671">
      <w:pPr>
        <w:pStyle w:val="BodyText"/>
        <w:ind w:left="284" w:hanging="284"/>
      </w:pPr>
      <w:r w:rsidRPr="00153671">
        <w:t>6.</w:t>
      </w:r>
      <w:r w:rsidRPr="00153671">
        <w:tab/>
        <w:t xml:space="preserve">Consumers Health Forum of Australia. About consumer representation [Internet]. Australia: CHF; [cited 2017 1 June]; Available from: </w:t>
      </w:r>
      <w:r w:rsidRPr="00153671">
        <w:rPr>
          <w:rStyle w:val="Strong"/>
        </w:rPr>
        <w:t>www.chf.org.au/representation</w:t>
      </w:r>
      <w:r w:rsidRPr="00153671">
        <w:t>.</w:t>
      </w:r>
    </w:p>
    <w:p w14:paraId="142B02A5" w14:textId="77777777" w:rsidR="00E340EF" w:rsidRPr="00153671" w:rsidRDefault="00E340EF" w:rsidP="00153671">
      <w:pPr>
        <w:pStyle w:val="BodyText"/>
        <w:ind w:left="284" w:hanging="284"/>
      </w:pPr>
      <w:r w:rsidRPr="00153671">
        <w:t>7.</w:t>
      </w:r>
      <w:r w:rsidRPr="00153671">
        <w:tab/>
        <w:t>National Institute for Health and Clinical Excellence. Delirium: diagnosis, prevention and management. London: NICE; 2010.</w:t>
      </w:r>
    </w:p>
    <w:p w14:paraId="51114251" w14:textId="77777777" w:rsidR="00E340EF" w:rsidRPr="00153671" w:rsidRDefault="00E340EF" w:rsidP="00153671">
      <w:pPr>
        <w:pStyle w:val="BodyText"/>
        <w:ind w:left="284" w:hanging="284"/>
      </w:pPr>
      <w:r w:rsidRPr="00153671">
        <w:t>8.</w:t>
      </w:r>
      <w:r w:rsidRPr="00153671">
        <w:tab/>
        <w:t xml:space="preserve">General Medical Council. Treatment and care towards the end of life: good practice in decision making [Internet]. United Kingdom: GMC; [cited 2017 1 June]; Available from: </w:t>
      </w:r>
      <w:r w:rsidRPr="00153671">
        <w:br/>
      </w:r>
      <w:r w:rsidRPr="00153671">
        <w:rPr>
          <w:rStyle w:val="Strong"/>
        </w:rPr>
        <w:t>www.gmc-uk.org/guidance/ethical_guidance/end_of_life_care.asp</w:t>
      </w:r>
      <w:r w:rsidRPr="00153671">
        <w:t>.</w:t>
      </w:r>
    </w:p>
    <w:p w14:paraId="1E29F71E" w14:textId="77777777" w:rsidR="00E340EF" w:rsidRPr="00153671" w:rsidRDefault="00E340EF" w:rsidP="00153671">
      <w:pPr>
        <w:pStyle w:val="BodyText"/>
        <w:ind w:left="284" w:hanging="284"/>
      </w:pPr>
      <w:r w:rsidRPr="00153671">
        <w:t>9.</w:t>
      </w:r>
      <w:r w:rsidRPr="00153671">
        <w:tab/>
        <w:t>Cruickshank M, Ferguson J editors. Reducing harm to patients from health care associated infection: the role of surveillance. Sydney: ACSQHC; 2008.</w:t>
      </w:r>
    </w:p>
    <w:p w14:paraId="4AF9FDA2" w14:textId="77777777" w:rsidR="005E6960" w:rsidRDefault="00E340EF" w:rsidP="00153671">
      <w:pPr>
        <w:pStyle w:val="BodyText"/>
        <w:ind w:left="284" w:hanging="284"/>
      </w:pPr>
      <w:r w:rsidRPr="00153671">
        <w:t>10.</w:t>
      </w:r>
      <w:r w:rsidRPr="00153671">
        <w:tab/>
        <w:t xml:space="preserve">Hoffmann TC, </w:t>
      </w:r>
      <w:proofErr w:type="spellStart"/>
      <w:r w:rsidRPr="00153671">
        <w:t>Légaré</w:t>
      </w:r>
      <w:proofErr w:type="spellEnd"/>
      <w:r w:rsidRPr="00153671">
        <w:t xml:space="preserve"> F, Simmons MB, McNamara K, </w:t>
      </w:r>
      <w:proofErr w:type="spellStart"/>
      <w:r w:rsidRPr="00153671">
        <w:t>McCaffery</w:t>
      </w:r>
      <w:proofErr w:type="spellEnd"/>
      <w:r w:rsidRPr="00153671">
        <w:t xml:space="preserve"> K, Trevena LJ, et al. Shared decision making: what do clinicians need to know and why should they bother? Med J Aust. 2014</w:t>
      </w:r>
      <w:proofErr w:type="gramStart"/>
      <w:r w:rsidRPr="00153671">
        <w:t>;201:35</w:t>
      </w:r>
      <w:proofErr w:type="gramEnd"/>
      <w:r w:rsidRPr="00153671">
        <w:t>–9.</w:t>
      </w:r>
    </w:p>
    <w:p w14:paraId="7384117B" w14:textId="77777777" w:rsidR="00153671" w:rsidRDefault="00153671" w:rsidP="00153671">
      <w:pPr>
        <w:pStyle w:val="BodyText"/>
        <w:ind w:left="284" w:hanging="284"/>
        <w:sectPr w:rsidR="00153671" w:rsidSect="002A58B5">
          <w:headerReference w:type="default" r:id="rId122"/>
          <w:footerReference w:type="default" r:id="rId123"/>
          <w:pgSz w:w="9979" w:h="14175" w:code="34"/>
          <w:pgMar w:top="1418" w:right="680" w:bottom="851" w:left="1021" w:header="567" w:footer="397" w:gutter="0"/>
          <w:cols w:space="340"/>
          <w:noEndnote/>
        </w:sectPr>
      </w:pPr>
    </w:p>
    <w:p w14:paraId="2C9F8F86" w14:textId="77777777" w:rsidR="00153671" w:rsidRPr="00153671" w:rsidRDefault="00153671" w:rsidP="00153671">
      <w:pPr>
        <w:pStyle w:val="BodyText"/>
        <w:ind w:left="284" w:hanging="284"/>
      </w:pPr>
    </w:p>
    <w:sectPr w:rsidR="00153671" w:rsidRPr="00153671" w:rsidSect="002A58B5">
      <w:pgSz w:w="9979" w:h="14175" w:code="34"/>
      <w:pgMar w:top="1418" w:right="680" w:bottom="851" w:left="1021" w:header="567" w:footer="397" w:gutter="0"/>
      <w:cols w:space="34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3795A1" w14:textId="77777777" w:rsidR="00924EF8" w:rsidRDefault="00924EF8" w:rsidP="00AD0CFF">
      <w:r>
        <w:separator/>
      </w:r>
    </w:p>
  </w:endnote>
  <w:endnote w:type="continuationSeparator" w:id="0">
    <w:p w14:paraId="15E6CD8C" w14:textId="77777777" w:rsidR="00924EF8" w:rsidRDefault="00924EF8" w:rsidP="00AD0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otham Medium">
    <w:altName w:val="Times New Roman"/>
    <w:charset w:val="00"/>
    <w:family w:val="auto"/>
    <w:pitch w:val="variable"/>
    <w:sig w:usb0="00000001" w:usb1="40000048" w:usb2="00000000" w:usb3="00000000" w:csb0="00000111" w:csb1="00000000"/>
  </w:font>
  <w:font w:name="Gotham Bold">
    <w:altName w:val="Arial"/>
    <w:panose1 w:val="00000000000000000000"/>
    <w:charset w:val="00"/>
    <w:family w:val="modern"/>
    <w:notTrueType/>
    <w:pitch w:val="variable"/>
    <w:sig w:usb0="A10000FF" w:usb1="4000005B" w:usb2="00000000" w:usb3="00000000" w:csb0="0000009B" w:csb1="00000000"/>
  </w:font>
  <w:font w:name="Segoe UI">
    <w:panose1 w:val="020B0502040204020203"/>
    <w:charset w:val="00"/>
    <w:family w:val="swiss"/>
    <w:pitch w:val="variable"/>
    <w:sig w:usb0="E10022FF" w:usb1="C000E47F" w:usb2="00000029" w:usb3="00000000" w:csb0="000001DF" w:csb1="00000000"/>
  </w:font>
  <w:font w:name="Helvetica 45 Light">
    <w:charset w:val="00"/>
    <w:family w:val="auto"/>
    <w:pitch w:val="variable"/>
    <w:sig w:usb0="800000AF" w:usb1="4000204A" w:usb2="00000000" w:usb3="00000000" w:csb0="00000001" w:csb1="00000000"/>
  </w:font>
  <w:font w:name="Helvetica Neue">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5F" w:usb2="00000000" w:usb3="00000000" w:csb0="0000019F" w:csb1="00000000"/>
  </w:font>
  <w:font w:name="Helvetica 65 Medium">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E7FAB" w14:textId="77777777" w:rsidR="00924EF8" w:rsidRDefault="00924EF8" w:rsidP="002D796E">
    <w:pPr>
      <w:pStyle w:val="Footer"/>
      <w:tabs>
        <w:tab w:val="clear" w:pos="4513"/>
        <w:tab w:val="right" w:pos="6663"/>
      </w:tabs>
      <w:jc w:val="right"/>
    </w:pPr>
    <w:r w:rsidRPr="007F42F8">
      <w:t xml:space="preserve">Australian Commission on Safety and Quality in Health Care | </w:t>
    </w:r>
    <w:r w:rsidRPr="007F42F8">
      <w:rPr>
        <w:rStyle w:val="Strong"/>
      </w:rPr>
      <w:t>Annual Report 2016–17</w:t>
    </w:r>
    <w:r>
      <w:rPr>
        <w:rStyle w:val="Strong"/>
      </w:rPr>
      <w:tab/>
    </w:r>
    <w:r>
      <w:rPr>
        <w:rStyle w:val="PageNumber"/>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387C0" w14:textId="77777777" w:rsidR="00924EF8" w:rsidRDefault="00924EF8" w:rsidP="002D796E">
    <w:pPr>
      <w:pStyle w:val="Footer"/>
      <w:tabs>
        <w:tab w:val="clear" w:pos="4513"/>
        <w:tab w:val="left" w:pos="426"/>
      </w:tabs>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758BE" w14:textId="77777777" w:rsidR="00924EF8" w:rsidRDefault="00924EF8" w:rsidP="002D796E">
    <w:pPr>
      <w:pStyle w:val="Footer"/>
      <w:tabs>
        <w:tab w:val="clear" w:pos="4513"/>
        <w:tab w:val="right" w:pos="6663"/>
      </w:tabs>
      <w:jc w:val="right"/>
    </w:pPr>
    <w:r w:rsidRPr="007F42F8">
      <w:t xml:space="preserve">Australian Commission on Safety and Quality in Health Care | </w:t>
    </w:r>
    <w:r w:rsidRPr="007F42F8">
      <w:rPr>
        <w:rStyle w:val="Strong"/>
      </w:rPr>
      <w:t>Annual Report 2016–17</w:t>
    </w:r>
    <w:r>
      <w:rPr>
        <w:rStyle w:val="Strong"/>
      </w:rPr>
      <w:tab/>
    </w:r>
    <w:r>
      <w:rPr>
        <w:rStyle w:val="PageNumber"/>
      </w:rPr>
      <w:fldChar w:fldCharType="begin"/>
    </w:r>
    <w:r>
      <w:rPr>
        <w:rStyle w:val="PageNumber"/>
      </w:rPr>
      <w:instrText xml:space="preserve"> PAGE  \* Arabic </w:instrText>
    </w:r>
    <w:r>
      <w:rPr>
        <w:rStyle w:val="PageNumber"/>
      </w:rPr>
      <w:fldChar w:fldCharType="separate"/>
    </w:r>
    <w:r w:rsidR="00954605">
      <w:rPr>
        <w:rStyle w:val="PageNumber"/>
        <w:noProof/>
      </w:rPr>
      <w:t>105</w:t>
    </w:r>
    <w:r>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D6B97D" w14:textId="77777777" w:rsidR="00924EF8" w:rsidRDefault="00924EF8" w:rsidP="002D796E">
    <w:pPr>
      <w:pStyle w:val="Footer"/>
      <w:tabs>
        <w:tab w:val="clear" w:pos="4513"/>
        <w:tab w:val="left" w:pos="426"/>
      </w:tabs>
    </w:pPr>
    <w:r>
      <w:rPr>
        <w:rStyle w:val="PageNumber"/>
      </w:rPr>
      <w:fldChar w:fldCharType="begin"/>
    </w:r>
    <w:r>
      <w:rPr>
        <w:rStyle w:val="PageNumber"/>
      </w:rPr>
      <w:instrText xml:space="preserve"> PAGE  \* Arabic </w:instrText>
    </w:r>
    <w:r>
      <w:rPr>
        <w:rStyle w:val="PageNumber"/>
      </w:rPr>
      <w:fldChar w:fldCharType="separate"/>
    </w:r>
    <w:r w:rsidR="00954605">
      <w:rPr>
        <w:rStyle w:val="PageNumber"/>
        <w:noProof/>
      </w:rPr>
      <w:t>60</w:t>
    </w:r>
    <w:r>
      <w:rPr>
        <w:rStyle w:val="PageNumber"/>
      </w:rPr>
      <w:fldChar w:fldCharType="end"/>
    </w:r>
    <w:r>
      <w:tab/>
    </w:r>
    <w:r w:rsidRPr="002D796E">
      <w:t xml:space="preserve">Australian Commission on Safety and Quality in Health Care | </w:t>
    </w:r>
    <w:r w:rsidRPr="002D796E">
      <w:rPr>
        <w:rStyle w:val="Strong"/>
      </w:rPr>
      <w:t>Annual Report 2016–17</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3F65F" w14:textId="77777777" w:rsidR="00924EF8" w:rsidRDefault="00924EF8" w:rsidP="002D796E">
    <w:pPr>
      <w:pStyle w:val="Footer"/>
      <w:tabs>
        <w:tab w:val="clear" w:pos="4513"/>
        <w:tab w:val="left" w:pos="426"/>
      </w:tabs>
    </w:pPr>
    <w:r>
      <w:rPr>
        <w:rStyle w:val="PageNumber"/>
      </w:rPr>
      <w:fldChar w:fldCharType="begin"/>
    </w:r>
    <w:r>
      <w:rPr>
        <w:rStyle w:val="PageNumber"/>
      </w:rPr>
      <w:instrText xml:space="preserve"> PAGE  \* Arabic </w:instrText>
    </w:r>
    <w:r>
      <w:rPr>
        <w:rStyle w:val="PageNumber"/>
      </w:rPr>
      <w:fldChar w:fldCharType="separate"/>
    </w:r>
    <w:r w:rsidR="00954605">
      <w:rPr>
        <w:rStyle w:val="PageNumber"/>
        <w:noProof/>
      </w:rPr>
      <w:t>70</w:t>
    </w:r>
    <w:r>
      <w:rPr>
        <w:rStyle w:val="PageNumber"/>
      </w:rPr>
      <w:fldChar w:fldCharType="end"/>
    </w:r>
    <w:r>
      <w:tab/>
    </w:r>
    <w:r w:rsidRPr="002D796E">
      <w:t xml:space="preserve">Australian Commission on Safety and Quality in Health Care | </w:t>
    </w:r>
    <w:r w:rsidRPr="002D796E">
      <w:rPr>
        <w:rStyle w:val="Strong"/>
      </w:rPr>
      <w:t>Annual Report 2016–17</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0AE91" w14:textId="77777777" w:rsidR="00924EF8" w:rsidRDefault="00924EF8" w:rsidP="002D796E">
    <w:pPr>
      <w:pStyle w:val="Footer"/>
      <w:tabs>
        <w:tab w:val="clear" w:pos="4513"/>
        <w:tab w:val="left" w:pos="426"/>
      </w:tabs>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C88E9C" w14:textId="77777777" w:rsidR="00924EF8" w:rsidRDefault="00924EF8" w:rsidP="002D796E">
    <w:pPr>
      <w:pStyle w:val="Footer"/>
      <w:tabs>
        <w:tab w:val="clear" w:pos="4513"/>
        <w:tab w:val="left" w:pos="426"/>
      </w:tabs>
    </w:pPr>
    <w:r>
      <w:rPr>
        <w:rStyle w:val="PageNumber"/>
      </w:rPr>
      <w:fldChar w:fldCharType="begin"/>
    </w:r>
    <w:r>
      <w:rPr>
        <w:rStyle w:val="PageNumber"/>
      </w:rPr>
      <w:instrText xml:space="preserve"> PAGE  \* Arabic </w:instrText>
    </w:r>
    <w:r>
      <w:rPr>
        <w:rStyle w:val="PageNumber"/>
      </w:rPr>
      <w:fldChar w:fldCharType="separate"/>
    </w:r>
    <w:r w:rsidR="00954605">
      <w:rPr>
        <w:rStyle w:val="PageNumber"/>
        <w:noProof/>
      </w:rPr>
      <w:t>78</w:t>
    </w:r>
    <w:r>
      <w:rPr>
        <w:rStyle w:val="PageNumber"/>
      </w:rPr>
      <w:fldChar w:fldCharType="end"/>
    </w:r>
    <w:r>
      <w:tab/>
    </w:r>
    <w:r w:rsidRPr="002D796E">
      <w:t xml:space="preserve">Australian Commission on Safety and Quality in Health Care | </w:t>
    </w:r>
    <w:r w:rsidRPr="002D796E">
      <w:rPr>
        <w:rStyle w:val="Strong"/>
      </w:rPr>
      <w:t>Annual Report 2016–17</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F01E8" w14:textId="77777777" w:rsidR="00924EF8" w:rsidRDefault="00924EF8" w:rsidP="002D796E">
    <w:pPr>
      <w:pStyle w:val="Footer"/>
      <w:tabs>
        <w:tab w:val="clear" w:pos="4513"/>
        <w:tab w:val="left" w:pos="426"/>
      </w:tabs>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2B5FC" w14:textId="77777777" w:rsidR="00924EF8" w:rsidRDefault="00924EF8" w:rsidP="002D796E">
    <w:pPr>
      <w:pStyle w:val="Footer"/>
      <w:tabs>
        <w:tab w:val="clear" w:pos="4513"/>
        <w:tab w:val="left" w:pos="426"/>
      </w:tabs>
    </w:pPr>
    <w:r>
      <w:rPr>
        <w:rStyle w:val="PageNumber"/>
      </w:rPr>
      <w:fldChar w:fldCharType="begin"/>
    </w:r>
    <w:r>
      <w:rPr>
        <w:rStyle w:val="PageNumber"/>
      </w:rPr>
      <w:instrText xml:space="preserve"> PAGE  \* Arabic </w:instrText>
    </w:r>
    <w:r>
      <w:rPr>
        <w:rStyle w:val="PageNumber"/>
      </w:rPr>
      <w:fldChar w:fldCharType="separate"/>
    </w:r>
    <w:r w:rsidR="00954605">
      <w:rPr>
        <w:rStyle w:val="PageNumber"/>
        <w:noProof/>
      </w:rPr>
      <w:t>104</w:t>
    </w:r>
    <w:r>
      <w:rPr>
        <w:rStyle w:val="PageNumber"/>
      </w:rPr>
      <w:fldChar w:fldCharType="end"/>
    </w:r>
    <w:r>
      <w:tab/>
    </w:r>
    <w:r w:rsidRPr="002D796E">
      <w:t xml:space="preserve">Australian Commission on Safety and Quality in Health Care | </w:t>
    </w:r>
    <w:r w:rsidRPr="002D796E">
      <w:rPr>
        <w:rStyle w:val="Strong"/>
      </w:rPr>
      <w:t>Annual Report 2016–17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70DF9" w14:textId="77777777" w:rsidR="00924EF8" w:rsidRDefault="00924EF8" w:rsidP="002D796E">
    <w:pPr>
      <w:pStyle w:val="Footer"/>
      <w:tabs>
        <w:tab w:val="clear" w:pos="4513"/>
        <w:tab w:val="left" w:pos="426"/>
      </w:tabs>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E81F0" w14:textId="77777777" w:rsidR="00924EF8" w:rsidRPr="00C22F1D" w:rsidRDefault="00924EF8" w:rsidP="002D796E">
    <w:pPr>
      <w:pStyle w:val="Footer"/>
      <w:tabs>
        <w:tab w:val="clear" w:pos="4513"/>
        <w:tab w:val="right" w:pos="6663"/>
      </w:tabs>
      <w:jc w:val="right"/>
      <w:rPr>
        <w:color w:val="FFFFFF" w:themeColor="background2"/>
      </w:rPr>
    </w:pPr>
    <w:r w:rsidRPr="00C22F1D">
      <w:rPr>
        <w:color w:val="FFFFFF" w:themeColor="background2"/>
      </w:rPr>
      <w:t xml:space="preserve">Australian Commission on Safety and Quality in Health Care | </w:t>
    </w:r>
    <w:r w:rsidRPr="00C22F1D">
      <w:rPr>
        <w:rStyle w:val="Strong"/>
        <w:color w:val="FFFFFF" w:themeColor="background2"/>
      </w:rPr>
      <w:t>Annual Report 2016–17</w:t>
    </w:r>
    <w:r w:rsidRPr="00C22F1D">
      <w:rPr>
        <w:rStyle w:val="Strong"/>
        <w:color w:val="FFFFFF" w:themeColor="background2"/>
      </w:rPr>
      <w:tab/>
    </w:r>
    <w:r w:rsidRPr="00C22F1D">
      <w:rPr>
        <w:rStyle w:val="PageNumber"/>
        <w:color w:val="FFFFFF" w:themeColor="background2"/>
      </w:rPr>
      <w:fldChar w:fldCharType="begin"/>
    </w:r>
    <w:r w:rsidRPr="00C22F1D">
      <w:rPr>
        <w:rStyle w:val="PageNumber"/>
        <w:color w:val="FFFFFF" w:themeColor="background2"/>
      </w:rPr>
      <w:instrText xml:space="preserve"> PAGE  \* Arabic </w:instrText>
    </w:r>
    <w:r w:rsidRPr="00C22F1D">
      <w:rPr>
        <w:rStyle w:val="PageNumber"/>
        <w:color w:val="FFFFFF" w:themeColor="background2"/>
      </w:rPr>
      <w:fldChar w:fldCharType="separate"/>
    </w:r>
    <w:r w:rsidR="00954605">
      <w:rPr>
        <w:rStyle w:val="PageNumber"/>
        <w:noProof/>
        <w:color w:val="FFFFFF" w:themeColor="background2"/>
      </w:rPr>
      <w:t>107</w:t>
    </w:r>
    <w:r w:rsidRPr="00C22F1D">
      <w:rPr>
        <w:rStyle w:val="PageNumber"/>
        <w:color w:val="FFFFFF" w:themeColor="background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E2DEB" w14:textId="77777777" w:rsidR="00924EF8" w:rsidRDefault="00924EF8" w:rsidP="002D796E">
    <w:pPr>
      <w:pStyle w:val="Footer"/>
      <w:tabs>
        <w:tab w:val="clear" w:pos="4513"/>
        <w:tab w:val="left" w:pos="426"/>
      </w:tabs>
    </w:pPr>
    <w:r>
      <w:rPr>
        <w:rStyle w:val="PageNumber"/>
      </w:rPr>
      <w:t>2</w:t>
    </w:r>
    <w:r>
      <w:tab/>
    </w:r>
    <w:r w:rsidRPr="002D796E">
      <w:t xml:space="preserve">Australian Commission on Safety and Quality in Health Care | </w:t>
    </w:r>
    <w:r w:rsidRPr="002D796E">
      <w:rPr>
        <w:rStyle w:val="Strong"/>
      </w:rPr>
      <w:t>Annual Report 2016–17</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B78E3" w14:textId="77777777" w:rsidR="00924EF8" w:rsidRDefault="00924EF8" w:rsidP="002D796E">
    <w:pPr>
      <w:pStyle w:val="Footer"/>
      <w:tabs>
        <w:tab w:val="clear" w:pos="4513"/>
        <w:tab w:val="left" w:pos="426"/>
      </w:tabs>
    </w:pPr>
    <w:r>
      <w:rPr>
        <w:rStyle w:val="PageNumber"/>
      </w:rPr>
      <w:fldChar w:fldCharType="begin"/>
    </w:r>
    <w:r>
      <w:rPr>
        <w:rStyle w:val="PageNumber"/>
      </w:rPr>
      <w:instrText xml:space="preserve"> PAGE  \* Arabic </w:instrText>
    </w:r>
    <w:r>
      <w:rPr>
        <w:rStyle w:val="PageNumber"/>
      </w:rPr>
      <w:fldChar w:fldCharType="separate"/>
    </w:r>
    <w:r w:rsidR="00954605">
      <w:rPr>
        <w:rStyle w:val="PageNumber"/>
        <w:noProof/>
      </w:rPr>
      <w:t>110</w:t>
    </w:r>
    <w:r>
      <w:rPr>
        <w:rStyle w:val="PageNumber"/>
      </w:rPr>
      <w:fldChar w:fldCharType="end"/>
    </w:r>
    <w:r>
      <w:tab/>
    </w:r>
    <w:r w:rsidRPr="002D796E">
      <w:t xml:space="preserve">Australian Commission on Safety and Quality in Health Care | </w:t>
    </w:r>
    <w:r w:rsidRPr="002D796E">
      <w:rPr>
        <w:rStyle w:val="Strong"/>
      </w:rPr>
      <w:t>Annual Report 2016–17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B08541" w14:textId="77777777" w:rsidR="00924EF8" w:rsidRPr="00F825EF" w:rsidRDefault="00924EF8" w:rsidP="002D796E">
    <w:pPr>
      <w:pStyle w:val="Footer"/>
      <w:tabs>
        <w:tab w:val="clear" w:pos="4513"/>
        <w:tab w:val="right" w:pos="6663"/>
      </w:tabs>
      <w:jc w:val="right"/>
      <w:rPr>
        <w:color w:val="000000" w:themeColor="text1"/>
      </w:rPr>
    </w:pPr>
    <w:r w:rsidRPr="00F825EF">
      <w:rPr>
        <w:color w:val="000000" w:themeColor="text1"/>
      </w:rPr>
      <w:t xml:space="preserve">Australian Commission on Safety and Quality in Health Care | </w:t>
    </w:r>
    <w:r w:rsidRPr="00F825EF">
      <w:rPr>
        <w:rStyle w:val="Strong"/>
        <w:color w:val="000000" w:themeColor="text1"/>
      </w:rPr>
      <w:t>Annual Report 2016–17</w:t>
    </w:r>
    <w:r w:rsidRPr="00F825EF">
      <w:rPr>
        <w:rStyle w:val="Strong"/>
        <w:color w:val="000000" w:themeColor="text1"/>
      </w:rPr>
      <w:tab/>
    </w:r>
    <w:r w:rsidRPr="00F825EF">
      <w:rPr>
        <w:rStyle w:val="PageNumber"/>
        <w:color w:val="000000" w:themeColor="text1"/>
      </w:rPr>
      <w:fldChar w:fldCharType="begin"/>
    </w:r>
    <w:r w:rsidRPr="00F825EF">
      <w:rPr>
        <w:rStyle w:val="PageNumber"/>
        <w:color w:val="000000" w:themeColor="text1"/>
      </w:rPr>
      <w:instrText xml:space="preserve"> PAGE  \* Arabic </w:instrText>
    </w:r>
    <w:r w:rsidRPr="00F825EF">
      <w:rPr>
        <w:rStyle w:val="PageNumber"/>
        <w:color w:val="000000" w:themeColor="text1"/>
      </w:rPr>
      <w:fldChar w:fldCharType="separate"/>
    </w:r>
    <w:r w:rsidR="00954605">
      <w:rPr>
        <w:rStyle w:val="PageNumber"/>
        <w:noProof/>
        <w:color w:val="000000" w:themeColor="text1"/>
      </w:rPr>
      <w:t>109</w:t>
    </w:r>
    <w:r w:rsidRPr="00F825EF">
      <w:rPr>
        <w:rStyle w:val="PageNumber"/>
        <w:color w:val="000000" w:themeColor="text1"/>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87E29" w14:textId="77777777" w:rsidR="00924EF8" w:rsidRPr="00E33989" w:rsidRDefault="00924EF8" w:rsidP="002D796E">
    <w:pPr>
      <w:pStyle w:val="Footer"/>
      <w:tabs>
        <w:tab w:val="clear" w:pos="4513"/>
        <w:tab w:val="right" w:pos="6663"/>
      </w:tabs>
      <w:jc w:val="right"/>
      <w:rPr>
        <w:color w:val="000000" w:themeColor="text1"/>
      </w:rPr>
    </w:pPr>
    <w:r w:rsidRPr="00E33989">
      <w:rPr>
        <w:color w:val="000000" w:themeColor="text1"/>
      </w:rPr>
      <w:t xml:space="preserve">Australian Commission on Safety and Quality in Health Care | </w:t>
    </w:r>
    <w:r w:rsidRPr="00E33989">
      <w:rPr>
        <w:rStyle w:val="Strong"/>
        <w:color w:val="000000" w:themeColor="text1"/>
      </w:rPr>
      <w:t>Annual Report 2016–17</w:t>
    </w:r>
    <w:r w:rsidRPr="00E33989">
      <w:rPr>
        <w:rStyle w:val="Strong"/>
        <w:color w:val="000000" w:themeColor="text1"/>
      </w:rPr>
      <w:tab/>
    </w:r>
    <w:r w:rsidRPr="00E33989">
      <w:rPr>
        <w:rStyle w:val="PageNumber"/>
        <w:color w:val="000000" w:themeColor="text1"/>
      </w:rPr>
      <w:fldChar w:fldCharType="begin"/>
    </w:r>
    <w:r w:rsidRPr="00E33989">
      <w:rPr>
        <w:rStyle w:val="PageNumber"/>
        <w:color w:val="000000" w:themeColor="text1"/>
      </w:rPr>
      <w:instrText xml:space="preserve"> PAGE  \* Arabic </w:instrText>
    </w:r>
    <w:r w:rsidRPr="00E33989">
      <w:rPr>
        <w:rStyle w:val="PageNumber"/>
        <w:color w:val="000000" w:themeColor="text1"/>
      </w:rPr>
      <w:fldChar w:fldCharType="separate"/>
    </w:r>
    <w:r w:rsidR="00954605">
      <w:rPr>
        <w:rStyle w:val="PageNumber"/>
        <w:noProof/>
        <w:color w:val="000000" w:themeColor="text1"/>
      </w:rPr>
      <w:t>111</w:t>
    </w:r>
    <w:r w:rsidRPr="00E33989">
      <w:rPr>
        <w:rStyle w:val="PageNumber"/>
        <w:color w:val="000000" w:themeColor="text1"/>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45B41" w14:textId="77777777" w:rsidR="00924EF8" w:rsidRDefault="00924EF8" w:rsidP="002D796E">
    <w:pPr>
      <w:pStyle w:val="Footer"/>
      <w:tabs>
        <w:tab w:val="clear" w:pos="4513"/>
        <w:tab w:val="left" w:pos="426"/>
      </w:tabs>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E3610" w14:textId="77777777" w:rsidR="00924EF8" w:rsidRDefault="00924EF8" w:rsidP="002D796E">
    <w:pPr>
      <w:pStyle w:val="Footer"/>
      <w:tabs>
        <w:tab w:val="clear" w:pos="4513"/>
        <w:tab w:val="right" w:pos="6663"/>
      </w:tabs>
      <w:jc w:val="right"/>
    </w:pPr>
    <w:r w:rsidRPr="007F42F8">
      <w:t xml:space="preserve">Australian Commission on Safety and Quality in Health Care | </w:t>
    </w:r>
    <w:r w:rsidRPr="007F42F8">
      <w:rPr>
        <w:rStyle w:val="Strong"/>
      </w:rPr>
      <w:t>Annual Report 2016–17</w:t>
    </w:r>
    <w:r>
      <w:rPr>
        <w:rStyle w:val="Strong"/>
      </w:rPr>
      <w:tab/>
    </w:r>
    <w:r>
      <w:rPr>
        <w:rStyle w:val="PageNumber"/>
      </w:rPr>
      <w:fldChar w:fldCharType="begin"/>
    </w:r>
    <w:r>
      <w:rPr>
        <w:rStyle w:val="PageNumber"/>
      </w:rPr>
      <w:instrText xml:space="preserve"> PAGE  \* Arabic </w:instrText>
    </w:r>
    <w:r>
      <w:rPr>
        <w:rStyle w:val="PageNumber"/>
      </w:rPr>
      <w:fldChar w:fldCharType="separate"/>
    </w:r>
    <w:r w:rsidR="00954605">
      <w:rPr>
        <w:rStyle w:val="PageNumber"/>
        <w:noProof/>
      </w:rPr>
      <w:t>113</w:t>
    </w:r>
    <w:r>
      <w:rPr>
        <w:rStyle w:val="PageNumber"/>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E4877" w14:textId="77777777" w:rsidR="00924EF8" w:rsidRDefault="00924EF8" w:rsidP="002D796E">
    <w:pPr>
      <w:pStyle w:val="Footer"/>
      <w:tabs>
        <w:tab w:val="clear" w:pos="4513"/>
        <w:tab w:val="left" w:pos="426"/>
      </w:tabs>
    </w:pPr>
    <w:r>
      <w:rPr>
        <w:rStyle w:val="PageNumber"/>
      </w:rPr>
      <w:fldChar w:fldCharType="begin"/>
    </w:r>
    <w:r>
      <w:rPr>
        <w:rStyle w:val="PageNumber"/>
      </w:rPr>
      <w:instrText xml:space="preserve"> PAGE  \* Arabic </w:instrText>
    </w:r>
    <w:r>
      <w:rPr>
        <w:rStyle w:val="PageNumber"/>
      </w:rPr>
      <w:fldChar w:fldCharType="separate"/>
    </w:r>
    <w:r w:rsidR="00954605">
      <w:rPr>
        <w:rStyle w:val="PageNumber"/>
        <w:noProof/>
      </w:rPr>
      <w:t>114</w:t>
    </w:r>
    <w:r>
      <w:rPr>
        <w:rStyle w:val="PageNumber"/>
      </w:rPr>
      <w:fldChar w:fldCharType="end"/>
    </w:r>
    <w:r>
      <w:tab/>
    </w:r>
    <w:r w:rsidRPr="002D796E">
      <w:t xml:space="preserve">Australian Commission on Safety and Quality in Health Care | </w:t>
    </w:r>
    <w:r w:rsidRPr="002D796E">
      <w:rPr>
        <w:rStyle w:val="Strong"/>
      </w:rPr>
      <w:t>Annual Report 2016–17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D6D8D" w14:textId="77777777" w:rsidR="00924EF8" w:rsidRDefault="00924EF8" w:rsidP="002D796E">
    <w:pPr>
      <w:pStyle w:val="Footer"/>
      <w:tabs>
        <w:tab w:val="clear" w:pos="4513"/>
        <w:tab w:val="right" w:pos="6663"/>
      </w:tabs>
      <w:jc w:val="right"/>
    </w:pPr>
    <w:r w:rsidRPr="007F42F8">
      <w:t xml:space="preserve">Australian Commission on Safety and Quality in Health Care | </w:t>
    </w:r>
    <w:r w:rsidRPr="007F42F8">
      <w:rPr>
        <w:rStyle w:val="Strong"/>
      </w:rPr>
      <w:t>Annual Report 2016–17</w:t>
    </w:r>
    <w:r>
      <w:rPr>
        <w:rStyle w:val="Strong"/>
      </w:rPr>
      <w:tab/>
    </w:r>
    <w:r>
      <w:rPr>
        <w:rStyle w:val="PageNumber"/>
      </w:rPr>
      <w:fldChar w:fldCharType="begin"/>
    </w:r>
    <w:r>
      <w:rPr>
        <w:rStyle w:val="PageNumber"/>
      </w:rPr>
      <w:instrText xml:space="preserve"> PAGE  \* Arabic </w:instrText>
    </w:r>
    <w:r>
      <w:rPr>
        <w:rStyle w:val="PageNumber"/>
      </w:rPr>
      <w:fldChar w:fldCharType="separate"/>
    </w:r>
    <w:r w:rsidR="00954605">
      <w:rPr>
        <w:rStyle w:val="PageNumber"/>
        <w:noProof/>
      </w:rPr>
      <w:t>127</w:t>
    </w:r>
    <w:r>
      <w:rPr>
        <w:rStyle w:val="PageNumber"/>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AA4BD" w14:textId="77777777" w:rsidR="00924EF8" w:rsidRDefault="00924EF8" w:rsidP="002D796E">
    <w:pPr>
      <w:pStyle w:val="Footer"/>
      <w:tabs>
        <w:tab w:val="clear" w:pos="4513"/>
        <w:tab w:val="right" w:pos="6663"/>
      </w:tabs>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4F1B7" w14:textId="77777777" w:rsidR="00924EF8" w:rsidRDefault="00924EF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28235" w14:textId="77777777" w:rsidR="00924EF8" w:rsidRDefault="00924EF8" w:rsidP="002D796E">
    <w:pPr>
      <w:pStyle w:val="Footer"/>
      <w:tabs>
        <w:tab w:val="clear" w:pos="4513"/>
        <w:tab w:val="right" w:pos="6663"/>
      </w:tabs>
      <w:jc w:val="right"/>
    </w:pPr>
    <w:r w:rsidRPr="007F42F8">
      <w:t xml:space="preserve">Australian Commission on Safety and Quality in Health Care | </w:t>
    </w:r>
    <w:r w:rsidRPr="007F42F8">
      <w:rPr>
        <w:rStyle w:val="Strong"/>
      </w:rPr>
      <w:t>Annual Report 2016–17</w:t>
    </w:r>
    <w:r>
      <w:rPr>
        <w:rStyle w:val="Strong"/>
      </w:rPr>
      <w:tab/>
    </w:r>
    <w:r>
      <w:rPr>
        <w:rStyle w:val="PageNumber"/>
      </w:rPr>
      <w:fldChar w:fldCharType="begin"/>
    </w:r>
    <w:r>
      <w:rPr>
        <w:rStyle w:val="PageNumber"/>
      </w:rPr>
      <w:instrText xml:space="preserve"> PAGE  \* Arabic </w:instrText>
    </w:r>
    <w:r>
      <w:rPr>
        <w:rStyle w:val="PageNumber"/>
      </w:rPr>
      <w:fldChar w:fldCharType="separate"/>
    </w:r>
    <w:r w:rsidR="00954605">
      <w:rPr>
        <w:rStyle w:val="PageNumber"/>
        <w:noProof/>
      </w:rPr>
      <w:t>3</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42AFA" w14:textId="77777777" w:rsidR="00924EF8" w:rsidRDefault="00924EF8" w:rsidP="002D796E">
    <w:pPr>
      <w:pStyle w:val="Footer"/>
      <w:tabs>
        <w:tab w:val="clear" w:pos="4513"/>
        <w:tab w:val="left" w:pos="426"/>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0CCBE" w14:textId="77777777" w:rsidR="00924EF8" w:rsidRDefault="00924EF8" w:rsidP="002D796E">
    <w:pPr>
      <w:pStyle w:val="Footer"/>
      <w:tabs>
        <w:tab w:val="clear" w:pos="4513"/>
        <w:tab w:val="right" w:pos="6663"/>
      </w:tabs>
      <w:jc w:val="right"/>
    </w:pPr>
    <w:r w:rsidRPr="007F42F8">
      <w:t xml:space="preserve">Australian Commission on Safety and Quality in Health Care | </w:t>
    </w:r>
    <w:r w:rsidRPr="007F42F8">
      <w:rPr>
        <w:rStyle w:val="Strong"/>
      </w:rPr>
      <w:t>Annual Report 2016–17</w:t>
    </w:r>
    <w:r>
      <w:rPr>
        <w:rStyle w:val="Strong"/>
      </w:rPr>
      <w:tab/>
    </w:r>
    <w:r>
      <w:rPr>
        <w:rStyle w:val="PageNumber"/>
      </w:rPr>
      <w:fldChar w:fldCharType="begin"/>
    </w:r>
    <w:r>
      <w:rPr>
        <w:rStyle w:val="PageNumber"/>
      </w:rPr>
      <w:instrText xml:space="preserve"> PAGE  \* Arabic </w:instrText>
    </w:r>
    <w:r>
      <w:rPr>
        <w:rStyle w:val="PageNumber"/>
      </w:rPr>
      <w:fldChar w:fldCharType="separate"/>
    </w:r>
    <w:r w:rsidR="00954605">
      <w:rPr>
        <w:rStyle w:val="PageNumber"/>
        <w:noProof/>
      </w:rPr>
      <w:t>57</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1C9F8" w14:textId="77777777" w:rsidR="00924EF8" w:rsidRDefault="00924EF8" w:rsidP="002D796E">
    <w:pPr>
      <w:pStyle w:val="Footer"/>
      <w:tabs>
        <w:tab w:val="clear" w:pos="4513"/>
        <w:tab w:val="left" w:pos="426"/>
      </w:tabs>
    </w:pPr>
    <w:r>
      <w:rPr>
        <w:rStyle w:val="PageNumber"/>
      </w:rPr>
      <w:fldChar w:fldCharType="begin"/>
    </w:r>
    <w:r>
      <w:rPr>
        <w:rStyle w:val="PageNumber"/>
      </w:rPr>
      <w:instrText xml:space="preserve"> PAGE  \* Arabic </w:instrText>
    </w:r>
    <w:r>
      <w:rPr>
        <w:rStyle w:val="PageNumber"/>
      </w:rPr>
      <w:fldChar w:fldCharType="separate"/>
    </w:r>
    <w:r w:rsidR="00954605">
      <w:rPr>
        <w:rStyle w:val="PageNumber"/>
        <w:noProof/>
      </w:rPr>
      <w:t>12</w:t>
    </w:r>
    <w:r>
      <w:rPr>
        <w:rStyle w:val="PageNumber"/>
      </w:rPr>
      <w:fldChar w:fldCharType="end"/>
    </w:r>
    <w:r>
      <w:tab/>
    </w:r>
    <w:r w:rsidRPr="002D796E">
      <w:t xml:space="preserve">Australian Commission on Safety and Quality in Health Care | </w:t>
    </w:r>
    <w:r w:rsidRPr="002D796E">
      <w:rPr>
        <w:rStyle w:val="Strong"/>
      </w:rPr>
      <w:t>Annual Report 2016–17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88F7F" w14:textId="77777777" w:rsidR="00924EF8" w:rsidRDefault="00924EF8" w:rsidP="002D796E">
    <w:pPr>
      <w:pStyle w:val="Footer"/>
      <w:tabs>
        <w:tab w:val="clear" w:pos="4513"/>
        <w:tab w:val="left" w:pos="426"/>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A56EB" w14:textId="77777777" w:rsidR="00924EF8" w:rsidRDefault="00924EF8" w:rsidP="002D796E">
    <w:pPr>
      <w:pStyle w:val="Footer"/>
      <w:tabs>
        <w:tab w:val="clear" w:pos="4513"/>
        <w:tab w:val="left" w:pos="426"/>
      </w:tabs>
    </w:pPr>
    <w:r>
      <w:rPr>
        <w:rStyle w:val="PageNumber"/>
      </w:rPr>
      <w:fldChar w:fldCharType="begin"/>
    </w:r>
    <w:r>
      <w:rPr>
        <w:rStyle w:val="PageNumber"/>
      </w:rPr>
      <w:instrText xml:space="preserve"> PAGE  \* Arabic </w:instrText>
    </w:r>
    <w:r>
      <w:rPr>
        <w:rStyle w:val="PageNumber"/>
      </w:rPr>
      <w:fldChar w:fldCharType="separate"/>
    </w:r>
    <w:r w:rsidR="00954605">
      <w:rPr>
        <w:rStyle w:val="PageNumber"/>
        <w:noProof/>
      </w:rPr>
      <w:t>56</w:t>
    </w:r>
    <w:r>
      <w:rPr>
        <w:rStyle w:val="PageNumber"/>
      </w:rPr>
      <w:fldChar w:fldCharType="end"/>
    </w:r>
    <w:r>
      <w:tab/>
    </w:r>
    <w:r w:rsidRPr="002D796E">
      <w:t xml:space="preserve">Australian Commission on Safety and Quality in Health Care | </w:t>
    </w:r>
    <w:r w:rsidRPr="002D796E">
      <w:rPr>
        <w:rStyle w:val="Strong"/>
      </w:rPr>
      <w:t>Annual Report 2016–17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3CAA74" w14:textId="77777777" w:rsidR="00924EF8" w:rsidRDefault="00924EF8" w:rsidP="00AD0CFF">
      <w:r>
        <w:separator/>
      </w:r>
    </w:p>
  </w:footnote>
  <w:footnote w:type="continuationSeparator" w:id="0">
    <w:p w14:paraId="0EF9A488" w14:textId="77777777" w:rsidR="00924EF8" w:rsidRDefault="00924EF8" w:rsidP="00AD0C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FFBD3" w14:textId="77777777" w:rsidR="00924EF8" w:rsidRDefault="00924EF8" w:rsidP="00C36598">
    <w:pPr>
      <w:pStyle w:val="Header"/>
    </w:pPr>
    <w:r>
      <w:rPr>
        <w:noProof/>
        <w:lang w:val="en-AU" w:eastAsia="en-AU"/>
      </w:rPr>
      <w:drawing>
        <wp:anchor distT="0" distB="0" distL="114300" distR="114300" simplePos="0" relativeHeight="251697152" behindDoc="1" locked="0" layoutInCell="1" allowOverlap="0" wp14:anchorId="24A1E91D" wp14:editId="7278BF05">
          <wp:simplePos x="914400" y="451757"/>
          <wp:positionH relativeFrom="page">
            <wp:align>center</wp:align>
          </wp:positionH>
          <wp:positionV relativeFrom="page">
            <wp:align>top</wp:align>
          </wp:positionV>
          <wp:extent cx="6336000" cy="9000000"/>
          <wp:effectExtent l="0" t="0" r="8255" b="0"/>
          <wp:wrapNone/>
          <wp:docPr id="32" name="Picture 32"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nside cover.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6000" cy="90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9A574" w14:textId="77777777" w:rsidR="00924EF8" w:rsidRDefault="00924EF8" w:rsidP="00AE5F74">
    <w:pPr>
      <w:pStyle w:val="Header"/>
    </w:pPr>
    <w:r>
      <w:rPr>
        <w:noProof/>
        <w:lang w:val="en-AU" w:eastAsia="en-AU"/>
      </w:rPr>
      <w:drawing>
        <wp:anchor distT="0" distB="0" distL="114300" distR="114300" simplePos="0" relativeHeight="251726848" behindDoc="1" locked="0" layoutInCell="1" allowOverlap="0" wp14:anchorId="6E7099B2" wp14:editId="70C53AF8">
          <wp:simplePos x="0" y="0"/>
          <wp:positionH relativeFrom="page">
            <wp:align>left</wp:align>
          </wp:positionH>
          <wp:positionV relativeFrom="page">
            <wp:align>top</wp:align>
          </wp:positionV>
          <wp:extent cx="6336000" cy="9000000"/>
          <wp:effectExtent l="0" t="0" r="8255" b="0"/>
          <wp:wrapNone/>
          <wp:docPr id="120" name="Picture 120"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s page 1.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6000" cy="9000000"/>
                  </a:xfrm>
                  <a:prstGeom prst="rect">
                    <a:avLst/>
                  </a:prstGeom>
                </pic:spPr>
              </pic:pic>
            </a:graphicData>
          </a:graphic>
          <wp14:sizeRelH relativeFrom="page">
            <wp14:pctWidth>0</wp14:pctWidth>
          </wp14:sizeRelH>
          <wp14:sizeRelV relativeFrom="page">
            <wp14:pctHeight>0</wp14:pctHeight>
          </wp14:sizeRelV>
        </wp:anchor>
      </w:drawing>
    </w:r>
    <w:r>
      <w:t>1. Overview</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B582D" w14:textId="77777777" w:rsidR="00924EF8" w:rsidRPr="008224F8" w:rsidRDefault="00924EF8" w:rsidP="008224F8">
    <w:pPr>
      <w:pStyle w:val="Header"/>
    </w:pPr>
    <w:r>
      <w:rPr>
        <w:noProof/>
        <w:lang w:val="en-AU" w:eastAsia="en-AU"/>
      </w:rPr>
      <w:drawing>
        <wp:anchor distT="0" distB="0" distL="114300" distR="114300" simplePos="0" relativeHeight="251675648" behindDoc="1" locked="0" layoutInCell="1" allowOverlap="0" wp14:anchorId="59743F4B" wp14:editId="5BACFC2F">
          <wp:simplePos x="0" y="0"/>
          <wp:positionH relativeFrom="page">
            <wp:align>left</wp:align>
          </wp:positionH>
          <wp:positionV relativeFrom="page">
            <wp:align>top</wp:align>
          </wp:positionV>
          <wp:extent cx="6336000" cy="9000000"/>
          <wp:effectExtent l="0" t="0" r="8255" b="0"/>
          <wp:wrapNone/>
          <wp:docPr id="121" name="Picture 121" descr="This is a photograph of Professor Villis Marshall AC, Chair of the Commission." title="Image of the Chair (Report from the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s page 1.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6000" cy="9000000"/>
                  </a:xfrm>
                  <a:prstGeom prst="rect">
                    <a:avLst/>
                  </a:prstGeom>
                </pic:spPr>
              </pic:pic>
            </a:graphicData>
          </a:graphic>
          <wp14:sizeRelH relativeFrom="page">
            <wp14:pctWidth>0</wp14:pctWidth>
          </wp14:sizeRelH>
          <wp14:sizeRelV relativeFrom="page">
            <wp14:pctHeight>0</wp14:pctHeight>
          </wp14:sizeRelV>
        </wp:anchor>
      </w:drawing>
    </w:r>
    <w:r>
      <w:t>1. Overview</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0069F" w14:textId="77777777" w:rsidR="00924EF8" w:rsidRDefault="00924EF8" w:rsidP="00C36598">
    <w:pPr>
      <w:pStyle w:val="Header"/>
    </w:pPr>
    <w:r>
      <w:rPr>
        <w:noProof/>
        <w:lang w:val="en-AU" w:eastAsia="en-AU"/>
      </w:rPr>
      <w:drawing>
        <wp:anchor distT="0" distB="0" distL="114300" distR="114300" simplePos="0" relativeHeight="251673600" behindDoc="1" locked="0" layoutInCell="1" allowOverlap="1" wp14:anchorId="16536C0C" wp14:editId="1964BB17">
          <wp:simplePos x="914400" y="450850"/>
          <wp:positionH relativeFrom="page">
            <wp:align>center</wp:align>
          </wp:positionH>
          <wp:positionV relativeFrom="page">
            <wp:align>top</wp:align>
          </wp:positionV>
          <wp:extent cx="6336000" cy="9000000"/>
          <wp:effectExtent l="0" t="0" r="8255" b="0"/>
          <wp:wrapNone/>
          <wp:docPr id="122" name="Picture 122"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ents page 2.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6000" cy="90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CFE72" w14:textId="77777777" w:rsidR="00924EF8" w:rsidRDefault="00924EF8" w:rsidP="00C36598">
    <w:pPr>
      <w:pStyle w:val="Header"/>
    </w:pPr>
    <w:r>
      <w:t>1. Overview</w:t>
    </w:r>
    <w:r>
      <w:rPr>
        <w:noProof/>
      </w:rPr>
      <w:t xml:space="preserve"> </w:t>
    </w:r>
    <w:r>
      <w:rPr>
        <w:noProof/>
        <w:lang w:val="en-AU" w:eastAsia="en-AU"/>
      </w:rPr>
      <w:drawing>
        <wp:anchor distT="0" distB="0" distL="114300" distR="114300" simplePos="0" relativeHeight="251679744" behindDoc="1" locked="0" layoutInCell="1" allowOverlap="0" wp14:anchorId="486A13B5" wp14:editId="2882E2FE">
          <wp:simplePos x="0" y="0"/>
          <wp:positionH relativeFrom="page">
            <wp:align>left</wp:align>
          </wp:positionH>
          <wp:positionV relativeFrom="page">
            <wp:align>top</wp:align>
          </wp:positionV>
          <wp:extent cx="6336000" cy="9000000"/>
          <wp:effectExtent l="0" t="0" r="8255" b="0"/>
          <wp:wrapNone/>
          <wp:docPr id="123" name="Picture 123" descr="This is a photograph of Adjunct Professor Deborah Picone AM, CEO of the Commission." title=" Image of the CEO (Report from the C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s page 1.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6000" cy="9000000"/>
                  </a:xfrm>
                  <a:prstGeom prst="rect">
                    <a:avLst/>
                  </a:prstGeom>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A0634" w14:textId="77777777" w:rsidR="00924EF8" w:rsidRDefault="00924EF8" w:rsidP="00C36598">
    <w:pPr>
      <w:pStyle w:val="Header"/>
    </w:pPr>
    <w:r>
      <w:rPr>
        <w:noProof/>
        <w:lang w:val="en-AU" w:eastAsia="en-AU"/>
      </w:rPr>
      <w:drawing>
        <wp:anchor distT="0" distB="0" distL="114300" distR="114300" simplePos="0" relativeHeight="251677696" behindDoc="1" locked="0" layoutInCell="1" allowOverlap="1" wp14:anchorId="404AF4C1" wp14:editId="169C58B9">
          <wp:simplePos x="914400" y="450850"/>
          <wp:positionH relativeFrom="page">
            <wp:align>center</wp:align>
          </wp:positionH>
          <wp:positionV relativeFrom="page">
            <wp:align>top</wp:align>
          </wp:positionV>
          <wp:extent cx="6336000" cy="9000000"/>
          <wp:effectExtent l="0" t="0" r="8255" b="0"/>
          <wp:wrapNone/>
          <wp:docPr id="124" name="Picture 124"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ents page 2.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6000" cy="90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E7DB0" w14:textId="77777777" w:rsidR="00924EF8" w:rsidRDefault="00924EF8" w:rsidP="00C36598">
    <w:pPr>
      <w:pStyle w:val="Header"/>
    </w:pPr>
    <w:r>
      <w:t>1. Overview</w:t>
    </w:r>
    <w:r>
      <w:rPr>
        <w:noProof/>
      </w:rPr>
      <w:t xml:space="preserve"> </w:t>
    </w:r>
    <w:r>
      <w:rPr>
        <w:noProof/>
        <w:lang w:val="en-AU" w:eastAsia="en-AU"/>
      </w:rPr>
      <w:drawing>
        <wp:anchor distT="0" distB="0" distL="114300" distR="114300" simplePos="0" relativeHeight="251683840" behindDoc="1" locked="0" layoutInCell="1" allowOverlap="0" wp14:anchorId="07046510" wp14:editId="4EA5BE99">
          <wp:simplePos x="0" y="0"/>
          <wp:positionH relativeFrom="page">
            <wp:align>left</wp:align>
          </wp:positionH>
          <wp:positionV relativeFrom="page">
            <wp:align>top</wp:align>
          </wp:positionV>
          <wp:extent cx="6336000" cy="9000000"/>
          <wp:effectExtent l="0" t="0" r="8255" b="0"/>
          <wp:wrapNone/>
          <wp:docPr id="125" name="Picture 125" descr="This diagram shows the Commission’s Strategic Plan. The Commission leads and coordinates national improvements in the safety and quality of health care based on best available evidence. The Commission works in partnership with patients, consumers, clinicians, managers, policy makers and healthcare organisations to achieve a sustainable, safe and high-quality health system.&#10;&#10; &#10;&#10;The Commission works in four priority areas: patient safety; partnering with patients, consumers and communities; quality, cost and value; supporting health professionals to provide safe and high-quality care.&#10;&#10; &#10;&#10;Safety. Quality. Every person. Everywhere. Every time" title="Strategic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s page 1.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6000" cy="9000000"/>
                  </a:xfrm>
                  <a:prstGeom prst="rect">
                    <a:avLst/>
                  </a:prstGeom>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160E3" w14:textId="77777777" w:rsidR="00924EF8" w:rsidRDefault="00924EF8" w:rsidP="00C36598">
    <w:pPr>
      <w:pStyle w:val="Header"/>
    </w:pPr>
    <w:r>
      <w:rPr>
        <w:noProof/>
        <w:lang w:val="en-AU" w:eastAsia="en-AU"/>
      </w:rPr>
      <w:drawing>
        <wp:anchor distT="0" distB="0" distL="114300" distR="114300" simplePos="0" relativeHeight="251681792" behindDoc="1" locked="0" layoutInCell="1" allowOverlap="1" wp14:anchorId="478DDEBB" wp14:editId="28A67C09">
          <wp:simplePos x="914400" y="450850"/>
          <wp:positionH relativeFrom="page">
            <wp:align>center</wp:align>
          </wp:positionH>
          <wp:positionV relativeFrom="page">
            <wp:align>top</wp:align>
          </wp:positionV>
          <wp:extent cx="6336000" cy="9000000"/>
          <wp:effectExtent l="0" t="0" r="8255" b="0"/>
          <wp:wrapNone/>
          <wp:docPr id="126" name="Picture 126" descr="This diagram shows the Commission’s Strategic Plan. The Commission leads and coordinates national improvements in the safety and quality of health care based on best available evidence. The Commission works in partnership with patients, consumers, clinicians, managers, policy makers and healthcare organisations to achieve a sustainable, safe and high-quality health system.&#10;&#10; &#10;&#10;The Commission works in four priority areas: patient safety; partnering with patients, consumers and communities; quality, cost and value; supporting health professionals to provide safe and high-quality care.&#10;&#10; &#10;&#10;Safety. Quality. Every person. Everywhere. Every time" title="Strategic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ents page 2.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6000" cy="90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C4ABE" w14:textId="77777777" w:rsidR="00924EF8" w:rsidRDefault="00924EF8" w:rsidP="00C36598">
    <w:pPr>
      <w:pStyle w:val="Header"/>
    </w:pPr>
    <w:r>
      <w:rPr>
        <w:noProof/>
        <w:lang w:val="en-AU" w:eastAsia="en-AU"/>
      </w:rPr>
      <w:drawing>
        <wp:anchor distT="0" distB="0" distL="114300" distR="114300" simplePos="0" relativeHeight="251687936" behindDoc="1" locked="0" layoutInCell="1" allowOverlap="0" wp14:anchorId="15F11F6B" wp14:editId="5E4EFD8C">
          <wp:simplePos x="0" y="0"/>
          <wp:positionH relativeFrom="page">
            <wp:align>left</wp:align>
          </wp:positionH>
          <wp:positionV relativeFrom="page">
            <wp:align>top</wp:align>
          </wp:positionV>
          <wp:extent cx="6336000" cy="9000000"/>
          <wp:effectExtent l="0" t="0" r="8255" b="0"/>
          <wp:wrapNone/>
          <wp:docPr id="127" name="Picture 127"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s page 1.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6000" cy="9000000"/>
                  </a:xfrm>
                  <a:prstGeom prst="rect">
                    <a:avLst/>
                  </a:prstGeom>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C3A7F" w14:textId="77777777" w:rsidR="00924EF8" w:rsidRDefault="00924EF8" w:rsidP="00C36598">
    <w:pPr>
      <w:pStyle w:val="Header"/>
    </w:pPr>
    <w:r>
      <w:rPr>
        <w:noProof/>
        <w:lang w:val="en-AU" w:eastAsia="en-AU"/>
      </w:rPr>
      <w:drawing>
        <wp:anchor distT="0" distB="0" distL="114300" distR="114300" simplePos="0" relativeHeight="251685888" behindDoc="1" locked="0" layoutInCell="1" allowOverlap="1" wp14:anchorId="1761CE1C" wp14:editId="1E2CD161">
          <wp:simplePos x="914400" y="450850"/>
          <wp:positionH relativeFrom="page">
            <wp:align>center</wp:align>
          </wp:positionH>
          <wp:positionV relativeFrom="page">
            <wp:align>top</wp:align>
          </wp:positionV>
          <wp:extent cx="6336000" cy="9000000"/>
          <wp:effectExtent l="0" t="0" r="8255" b="0"/>
          <wp:wrapNone/>
          <wp:docPr id="128" name="Picture 128"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ents page 2.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6000" cy="90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74F7C" w14:textId="77777777" w:rsidR="00924EF8" w:rsidRDefault="00924EF8" w:rsidP="00C36598">
    <w:pPr>
      <w:pStyle w:val="Header"/>
    </w:pPr>
    <w:r>
      <w:rPr>
        <w:noProof/>
        <w:lang w:val="en-AU" w:eastAsia="en-AU"/>
      </w:rPr>
      <w:drawing>
        <wp:anchor distT="0" distB="0" distL="114300" distR="114300" simplePos="0" relativeHeight="251692032" behindDoc="1" locked="0" layoutInCell="1" allowOverlap="0" wp14:anchorId="38693B79" wp14:editId="381B6481">
          <wp:simplePos x="0" y="0"/>
          <wp:positionH relativeFrom="page">
            <wp:align>left</wp:align>
          </wp:positionH>
          <wp:positionV relativeFrom="page">
            <wp:align>top</wp:align>
          </wp:positionV>
          <wp:extent cx="6336000" cy="9000000"/>
          <wp:effectExtent l="0" t="0" r="8255" b="0"/>
          <wp:wrapNone/>
          <wp:docPr id="129" name="Picture 129"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s page 1.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6000" cy="9000000"/>
                  </a:xfrm>
                  <a:prstGeom prst="rect">
                    <a:avLst/>
                  </a:prstGeom>
                </pic:spPr>
              </pic:pic>
            </a:graphicData>
          </a:graphic>
          <wp14:sizeRelH relativeFrom="page">
            <wp14:pctWidth>0</wp14:pctWidth>
          </wp14:sizeRelH>
          <wp14:sizeRelV relativeFrom="page">
            <wp14:pctHeight>0</wp14:pctHeight>
          </wp14:sizeRelV>
        </wp:anchor>
      </w:drawing>
    </w:r>
    <w:r>
      <w:t>2. Report on performance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38151" w14:textId="77777777" w:rsidR="00924EF8" w:rsidRDefault="00924EF8" w:rsidP="00C36598">
    <w:pPr>
      <w:pStyle w:val="Header"/>
    </w:pPr>
    <w:r>
      <w:rPr>
        <w:noProof/>
        <w:lang w:val="en-AU" w:eastAsia="en-AU"/>
      </w:rPr>
      <w:drawing>
        <wp:anchor distT="0" distB="0" distL="114300" distR="114300" simplePos="0" relativeHeight="251658240" behindDoc="1" locked="0" layoutInCell="1" allowOverlap="0" wp14:anchorId="1D451995" wp14:editId="7EF318DB">
          <wp:simplePos x="0" y="0"/>
          <wp:positionH relativeFrom="page">
            <wp:align>left</wp:align>
          </wp:positionH>
          <wp:positionV relativeFrom="page">
            <wp:align>center</wp:align>
          </wp:positionV>
          <wp:extent cx="6336000" cy="9000000"/>
          <wp:effectExtent l="0" t="0" r="8255" b="0"/>
          <wp:wrapNone/>
          <wp:docPr id="35" name="Picture 35"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nt cover.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6000" cy="9000000"/>
                  </a:xfrm>
                  <a:prstGeom prst="rect">
                    <a:avLst/>
                  </a:prstGeom>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16B73" w14:textId="77777777" w:rsidR="00924EF8" w:rsidRDefault="00924EF8" w:rsidP="00C36598">
    <w:pPr>
      <w:pStyle w:val="Header"/>
    </w:pPr>
    <w:r>
      <w:rPr>
        <w:noProof/>
        <w:lang w:val="en-AU" w:eastAsia="en-AU"/>
      </w:rPr>
      <w:drawing>
        <wp:anchor distT="0" distB="0" distL="114300" distR="114300" simplePos="0" relativeHeight="251689984" behindDoc="1" locked="0" layoutInCell="1" allowOverlap="1" wp14:anchorId="0DEB70A6" wp14:editId="1C4D443C">
          <wp:simplePos x="914400" y="450850"/>
          <wp:positionH relativeFrom="page">
            <wp:align>center</wp:align>
          </wp:positionH>
          <wp:positionV relativeFrom="page">
            <wp:align>top</wp:align>
          </wp:positionV>
          <wp:extent cx="6336000" cy="9000000"/>
          <wp:effectExtent l="0" t="0" r="8255" b="0"/>
          <wp:wrapNone/>
          <wp:docPr id="130" name="Picture 130"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ents page 2.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6000" cy="90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BE5BF" w14:textId="77777777" w:rsidR="00924EF8" w:rsidRDefault="00924EF8" w:rsidP="00C36598">
    <w:pPr>
      <w:pStyle w:val="Header"/>
    </w:pPr>
    <w:r>
      <w:rPr>
        <w:noProof/>
        <w:lang w:val="en-AU" w:eastAsia="en-AU"/>
      </w:rPr>
      <w:drawing>
        <wp:anchor distT="0" distB="0" distL="114300" distR="114300" simplePos="0" relativeHeight="251696128" behindDoc="1" locked="0" layoutInCell="1" allowOverlap="0" wp14:anchorId="5B3F608D" wp14:editId="2967E840">
          <wp:simplePos x="0" y="0"/>
          <wp:positionH relativeFrom="page">
            <wp:align>left</wp:align>
          </wp:positionH>
          <wp:positionV relativeFrom="page">
            <wp:align>top</wp:align>
          </wp:positionV>
          <wp:extent cx="6335395" cy="8999220"/>
          <wp:effectExtent l="0" t="0" r="8255" b="0"/>
          <wp:wrapNone/>
          <wp:docPr id="131" name="Picture 131"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s page 1.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6000" cy="8999619"/>
                  </a:xfrm>
                  <a:prstGeom prst="rect">
                    <a:avLst/>
                  </a:prstGeom>
                </pic:spPr>
              </pic:pic>
            </a:graphicData>
          </a:graphic>
          <wp14:sizeRelH relativeFrom="page">
            <wp14:pctWidth>0</wp14:pctWidth>
          </wp14:sizeRelH>
          <wp14:sizeRelV relativeFrom="page">
            <wp14:pctHeight>0</wp14:pctHeight>
          </wp14:sizeRelV>
        </wp:anchor>
      </w:drawing>
    </w:r>
    <w:r>
      <w:t>2. Report on performance</w:t>
    </w:r>
    <w:r>
      <w:rPr>
        <w:noProof/>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FC43A" w14:textId="77777777" w:rsidR="00924EF8" w:rsidRDefault="00924EF8" w:rsidP="00C36598">
    <w:pPr>
      <w:pStyle w:val="Header"/>
    </w:pPr>
    <w:r>
      <w:rPr>
        <w:noProof/>
        <w:lang w:val="en-AU" w:eastAsia="en-AU"/>
      </w:rPr>
      <w:drawing>
        <wp:anchor distT="0" distB="0" distL="114300" distR="114300" simplePos="0" relativeHeight="251694080" behindDoc="1" locked="0" layoutInCell="1" allowOverlap="1" wp14:anchorId="1245AFBA" wp14:editId="16732932">
          <wp:simplePos x="914400" y="450850"/>
          <wp:positionH relativeFrom="page">
            <wp:align>center</wp:align>
          </wp:positionH>
          <wp:positionV relativeFrom="page">
            <wp:align>top</wp:align>
          </wp:positionV>
          <wp:extent cx="6336000" cy="9000000"/>
          <wp:effectExtent l="0" t="0" r="8255" b="0"/>
          <wp:wrapNone/>
          <wp:docPr id="132" name="Picture 132"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ents page 2.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6000" cy="90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4FDF4A" w14:textId="77777777" w:rsidR="00924EF8" w:rsidRDefault="00924EF8" w:rsidP="00C36598">
    <w:pPr>
      <w:pStyle w:val="Header"/>
    </w:pPr>
    <w:r>
      <w:rPr>
        <w:noProof/>
        <w:lang w:val="en-AU" w:eastAsia="en-AU"/>
      </w:rPr>
      <w:drawing>
        <wp:anchor distT="0" distB="0" distL="114300" distR="114300" simplePos="0" relativeHeight="251699200" behindDoc="1" locked="0" layoutInCell="1" allowOverlap="0" wp14:anchorId="5B002699" wp14:editId="2FD5A7B4">
          <wp:simplePos x="0" y="0"/>
          <wp:positionH relativeFrom="page">
            <wp:align>left</wp:align>
          </wp:positionH>
          <wp:positionV relativeFrom="page">
            <wp:align>top</wp:align>
          </wp:positionV>
          <wp:extent cx="6336000" cy="9000000"/>
          <wp:effectExtent l="0" t="0" r="8255" b="0"/>
          <wp:wrapNone/>
          <wp:docPr id="133" name="Picture 133"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s page 1.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6000" cy="9000000"/>
                  </a:xfrm>
                  <a:prstGeom prst="rect">
                    <a:avLst/>
                  </a:prstGeom>
                </pic:spPr>
              </pic:pic>
            </a:graphicData>
          </a:graphic>
          <wp14:sizeRelH relativeFrom="page">
            <wp14:pctWidth>0</wp14:pctWidth>
          </wp14:sizeRelH>
          <wp14:sizeRelV relativeFrom="page">
            <wp14:pctHeight>0</wp14:pctHeight>
          </wp14:sizeRelV>
        </wp:anchor>
      </w:drawing>
    </w:r>
    <w:r>
      <w:t>2. Report on performance</w:t>
    </w:r>
    <w:r>
      <w:rPr>
        <w:noProof/>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4907A" w14:textId="77777777" w:rsidR="00924EF8" w:rsidRDefault="00924EF8" w:rsidP="00C36598">
    <w:pPr>
      <w:pStyle w:val="Header"/>
    </w:pPr>
    <w:r>
      <w:rPr>
        <w:noProof/>
        <w:lang w:val="en-AU" w:eastAsia="en-AU"/>
      </w:rPr>
      <w:drawing>
        <wp:anchor distT="0" distB="0" distL="114300" distR="114300" simplePos="0" relativeHeight="251728896" behindDoc="1" locked="0" layoutInCell="1" allowOverlap="1" wp14:anchorId="328F825A" wp14:editId="468887FE">
          <wp:simplePos x="914400" y="450850"/>
          <wp:positionH relativeFrom="page">
            <wp:align>center</wp:align>
          </wp:positionH>
          <wp:positionV relativeFrom="page">
            <wp:align>top</wp:align>
          </wp:positionV>
          <wp:extent cx="6336000" cy="9000000"/>
          <wp:effectExtent l="0" t="0" r="8255" b="0"/>
          <wp:wrapNone/>
          <wp:docPr id="134" name="Picture 134"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ents page 2.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6000" cy="90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6E414" w14:textId="77777777" w:rsidR="00924EF8" w:rsidRDefault="00924EF8" w:rsidP="00C36598">
    <w:pPr>
      <w:pStyle w:val="Header"/>
    </w:pPr>
    <w:r>
      <w:rPr>
        <w:noProof/>
        <w:lang w:val="en-AU" w:eastAsia="en-AU"/>
      </w:rPr>
      <w:drawing>
        <wp:anchor distT="0" distB="0" distL="114300" distR="114300" simplePos="0" relativeHeight="251701248" behindDoc="1" locked="0" layoutInCell="1" allowOverlap="0" wp14:anchorId="7ED5F82E" wp14:editId="719F05E7">
          <wp:simplePos x="0" y="0"/>
          <wp:positionH relativeFrom="page">
            <wp:align>left</wp:align>
          </wp:positionH>
          <wp:positionV relativeFrom="page">
            <wp:align>top</wp:align>
          </wp:positionV>
          <wp:extent cx="6336000" cy="9000000"/>
          <wp:effectExtent l="0" t="0" r="8255" b="0"/>
          <wp:wrapNone/>
          <wp:docPr id="135" name="Picture 135"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s page 1.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6000" cy="9000000"/>
                  </a:xfrm>
                  <a:prstGeom prst="rect">
                    <a:avLst/>
                  </a:prstGeom>
                </pic:spPr>
              </pic:pic>
            </a:graphicData>
          </a:graphic>
          <wp14:sizeRelH relativeFrom="page">
            <wp14:pctWidth>0</wp14:pctWidth>
          </wp14:sizeRelH>
          <wp14:sizeRelV relativeFrom="page">
            <wp14:pctHeight>0</wp14:pctHeight>
          </wp14:sizeRelV>
        </wp:anchor>
      </w:drawing>
    </w:r>
    <w:r>
      <w:t>2. Report on performance</w:t>
    </w:r>
    <w:r>
      <w:rPr>
        <w:noProof/>
      </w:rPr>
      <w:t xml:space="preserve">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1F48E" w14:textId="77777777" w:rsidR="00924EF8" w:rsidRDefault="00924EF8" w:rsidP="00C36598">
    <w:pPr>
      <w:pStyle w:val="Header"/>
    </w:pPr>
    <w:r>
      <w:rPr>
        <w:noProof/>
        <w:lang w:val="en-AU" w:eastAsia="en-AU"/>
      </w:rPr>
      <w:drawing>
        <wp:anchor distT="0" distB="0" distL="114300" distR="114300" simplePos="0" relativeHeight="251703296" behindDoc="1" locked="0" layoutInCell="1" allowOverlap="0" wp14:anchorId="7CB25F3B" wp14:editId="61FC656D">
          <wp:simplePos x="0" y="0"/>
          <wp:positionH relativeFrom="page">
            <wp:align>left</wp:align>
          </wp:positionH>
          <wp:positionV relativeFrom="page">
            <wp:align>top</wp:align>
          </wp:positionV>
          <wp:extent cx="6336000" cy="9000000"/>
          <wp:effectExtent l="0" t="0" r="8255" b="0"/>
          <wp:wrapNone/>
          <wp:docPr id="136" name="Picture 136"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s page 1.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6000" cy="9000000"/>
                  </a:xfrm>
                  <a:prstGeom prst="rect">
                    <a:avLst/>
                  </a:prstGeom>
                </pic:spPr>
              </pic:pic>
            </a:graphicData>
          </a:graphic>
          <wp14:sizeRelH relativeFrom="page">
            <wp14:pctWidth>0</wp14:pctWidth>
          </wp14:sizeRelH>
          <wp14:sizeRelV relativeFrom="page">
            <wp14:pctHeight>0</wp14:pctHeight>
          </wp14:sizeRelV>
        </wp:anchor>
      </w:drawing>
    </w:r>
    <w:r>
      <w:t>2. Report on performance</w:t>
    </w:r>
    <w:r>
      <w:rPr>
        <w:noProof/>
      </w:rPr>
      <w:t xml:space="preserve">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053CC" w14:textId="77777777" w:rsidR="00924EF8" w:rsidRDefault="00924EF8" w:rsidP="00C36598">
    <w:pPr>
      <w:pStyle w:val="Header"/>
    </w:pPr>
    <w:r>
      <w:rPr>
        <w:noProof/>
        <w:lang w:val="en-AU" w:eastAsia="en-AU"/>
      </w:rPr>
      <w:drawing>
        <wp:anchor distT="0" distB="0" distL="114300" distR="114300" simplePos="0" relativeHeight="251705344" behindDoc="1" locked="0" layoutInCell="1" allowOverlap="0" wp14:anchorId="2ACBDE57" wp14:editId="6A1D7DFA">
          <wp:simplePos x="0" y="0"/>
          <wp:positionH relativeFrom="page">
            <wp:align>left</wp:align>
          </wp:positionH>
          <wp:positionV relativeFrom="page">
            <wp:align>top</wp:align>
          </wp:positionV>
          <wp:extent cx="6337900" cy="9003600"/>
          <wp:effectExtent l="0" t="0" r="6350" b="7620"/>
          <wp:wrapNone/>
          <wp:docPr id="137" name="Picture 137"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s page 1.jpg"/>
                  <pic:cNvPicPr/>
                </pic:nvPicPr>
                <pic:blipFill>
                  <a:blip r:embed="rId1">
                    <a:extLst>
                      <a:ext uri="{28A0092B-C50C-407E-A947-70E740481C1C}">
                        <a14:useLocalDpi xmlns:a14="http://schemas.microsoft.com/office/drawing/2010/main"/>
                      </a:ext>
                    </a:extLst>
                  </a:blip>
                  <a:stretch>
                    <a:fillRect/>
                  </a:stretch>
                </pic:blipFill>
                <pic:spPr>
                  <a:xfrm>
                    <a:off x="0" y="0"/>
                    <a:ext cx="6337900" cy="9003600"/>
                  </a:xfrm>
                  <a:prstGeom prst="rect">
                    <a:avLst/>
                  </a:prstGeom>
                </pic:spPr>
              </pic:pic>
            </a:graphicData>
          </a:graphic>
          <wp14:sizeRelH relativeFrom="page">
            <wp14:pctWidth>0</wp14:pctWidth>
          </wp14:sizeRelH>
          <wp14:sizeRelV relativeFrom="page">
            <wp14:pctHeight>0</wp14:pctHeight>
          </wp14:sizeRelV>
        </wp:anchor>
      </w:drawing>
    </w:r>
    <w:r>
      <w:t>2. Report on performance</w:t>
    </w:r>
    <w:r>
      <w:rPr>
        <w:noProof/>
      </w:rP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097FB" w14:textId="77777777" w:rsidR="00924EF8" w:rsidRDefault="00924EF8" w:rsidP="00C36598">
    <w:pPr>
      <w:pStyle w:val="Header"/>
    </w:pPr>
    <w:r>
      <w:rPr>
        <w:noProof/>
        <w:lang w:val="en-AU" w:eastAsia="en-AU"/>
      </w:rPr>
      <w:drawing>
        <wp:anchor distT="0" distB="0" distL="114300" distR="114300" simplePos="0" relativeHeight="251707392" behindDoc="1" locked="0" layoutInCell="1" allowOverlap="0" wp14:anchorId="0876DFE0" wp14:editId="5377581C">
          <wp:simplePos x="0" y="0"/>
          <wp:positionH relativeFrom="page">
            <wp:align>left</wp:align>
          </wp:positionH>
          <wp:positionV relativeFrom="page">
            <wp:align>top</wp:align>
          </wp:positionV>
          <wp:extent cx="6335365" cy="9000000"/>
          <wp:effectExtent l="0" t="0" r="8890" b="0"/>
          <wp:wrapNone/>
          <wp:docPr id="138" name="Picture 138"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s page 1.jpg"/>
                  <pic:cNvPicPr/>
                </pic:nvPicPr>
                <pic:blipFill>
                  <a:blip r:embed="rId1">
                    <a:extLst>
                      <a:ext uri="{28A0092B-C50C-407E-A947-70E740481C1C}">
                        <a14:useLocalDpi xmlns:a14="http://schemas.microsoft.com/office/drawing/2010/main"/>
                      </a:ext>
                    </a:extLst>
                  </a:blip>
                  <a:stretch>
                    <a:fillRect/>
                  </a:stretch>
                </pic:blipFill>
                <pic:spPr>
                  <a:xfrm>
                    <a:off x="0" y="0"/>
                    <a:ext cx="6335365" cy="9000000"/>
                  </a:xfrm>
                  <a:prstGeom prst="rect">
                    <a:avLst/>
                  </a:prstGeom>
                </pic:spPr>
              </pic:pic>
            </a:graphicData>
          </a:graphic>
          <wp14:sizeRelH relativeFrom="page">
            <wp14:pctWidth>0</wp14:pctWidth>
          </wp14:sizeRelH>
          <wp14:sizeRelV relativeFrom="page">
            <wp14:pctHeight>0</wp14:pctHeight>
          </wp14:sizeRelV>
        </wp:anchor>
      </w:drawing>
    </w:r>
    <w:r>
      <w:t>2. Report on performance</w:t>
    </w:r>
    <w:r>
      <w:rPr>
        <w:noProof/>
      </w:rPr>
      <w:t xml:space="preserve">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6C45F" w14:textId="77777777" w:rsidR="00924EF8" w:rsidRDefault="00924EF8" w:rsidP="00C36598">
    <w:pPr>
      <w:pStyle w:val="Header"/>
    </w:pPr>
    <w:r>
      <w:rPr>
        <w:noProof/>
        <w:lang w:val="en-AU" w:eastAsia="en-AU"/>
      </w:rPr>
      <w:drawing>
        <wp:anchor distT="0" distB="0" distL="114300" distR="114300" simplePos="0" relativeHeight="251709440" behindDoc="1" locked="0" layoutInCell="1" allowOverlap="0" wp14:anchorId="247C0BCE" wp14:editId="45DDAB50">
          <wp:simplePos x="0" y="0"/>
          <wp:positionH relativeFrom="page">
            <wp:align>left</wp:align>
          </wp:positionH>
          <wp:positionV relativeFrom="page">
            <wp:align>top</wp:align>
          </wp:positionV>
          <wp:extent cx="6336000" cy="9000000"/>
          <wp:effectExtent l="0" t="0" r="8255" b="0"/>
          <wp:wrapNone/>
          <wp:docPr id="139" name="Picture 139"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s page 1.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6000" cy="9000000"/>
                  </a:xfrm>
                  <a:prstGeom prst="rect">
                    <a:avLst/>
                  </a:prstGeom>
                </pic:spPr>
              </pic:pic>
            </a:graphicData>
          </a:graphic>
          <wp14:sizeRelH relativeFrom="page">
            <wp14:pctWidth>0</wp14:pctWidth>
          </wp14:sizeRelH>
          <wp14:sizeRelV relativeFrom="page">
            <wp14:pctHeight>0</wp14:pctHeight>
          </wp14:sizeRelV>
        </wp:anchor>
      </w:drawing>
    </w:r>
    <w:r>
      <w:t>2. Report on performance</w:t>
    </w:r>
    <w:r>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9C077" w14:textId="77777777" w:rsidR="00924EF8" w:rsidRDefault="00924EF8" w:rsidP="00C36598">
    <w:pPr>
      <w:pStyle w:val="MainHeading"/>
    </w:pPr>
    <w:r>
      <w:rPr>
        <w:noProof/>
        <w:lang w:val="en-AU" w:eastAsia="en-AU"/>
      </w:rPr>
      <w:drawing>
        <wp:anchor distT="0" distB="0" distL="114300" distR="114300" simplePos="0" relativeHeight="251662336" behindDoc="1" locked="0" layoutInCell="1" allowOverlap="0" wp14:anchorId="4F0D7E72" wp14:editId="53B8C30A">
          <wp:simplePos x="0" y="0"/>
          <wp:positionH relativeFrom="page">
            <wp:align>left</wp:align>
          </wp:positionH>
          <wp:positionV relativeFrom="page">
            <wp:align>top</wp:align>
          </wp:positionV>
          <wp:extent cx="6336000" cy="9000000"/>
          <wp:effectExtent l="0" t="0" r="8255" b="0"/>
          <wp:wrapNone/>
          <wp:docPr id="39" name="Picture 39"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s page 1.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6000" cy="9000000"/>
                  </a:xfrm>
                  <a:prstGeom prst="rect">
                    <a:avLst/>
                  </a:prstGeom>
                </pic:spPr>
              </pic:pic>
            </a:graphicData>
          </a:graphic>
          <wp14:sizeRelH relativeFrom="page">
            <wp14:pctWidth>0</wp14:pctWidth>
          </wp14:sizeRelH>
          <wp14:sizeRelV relativeFrom="page">
            <wp14:pctHeight>0</wp14:pctHeight>
          </wp14:sizeRelV>
        </wp:anchor>
      </w:drawing>
    </w:r>
    <w:r>
      <w:t>Contents</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0101F" w14:textId="77777777" w:rsidR="00924EF8" w:rsidRDefault="00924EF8" w:rsidP="00C36598">
    <w:pPr>
      <w:pStyle w:val="Header"/>
    </w:pPr>
    <w:r>
      <w:rPr>
        <w:noProof/>
        <w:lang w:val="en-AU" w:eastAsia="en-AU"/>
      </w:rPr>
      <w:drawing>
        <wp:anchor distT="0" distB="0" distL="114300" distR="114300" simplePos="0" relativeHeight="251711488" behindDoc="1" locked="0" layoutInCell="1" allowOverlap="1" wp14:anchorId="6401EEDB" wp14:editId="39353CBF">
          <wp:simplePos x="914400" y="450850"/>
          <wp:positionH relativeFrom="page">
            <wp:align>center</wp:align>
          </wp:positionH>
          <wp:positionV relativeFrom="page">
            <wp:align>top</wp:align>
          </wp:positionV>
          <wp:extent cx="6336000" cy="9000000"/>
          <wp:effectExtent l="0" t="0" r="8255" b="0"/>
          <wp:wrapNone/>
          <wp:docPr id="140" name="Picture 140"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ents page 2.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6000" cy="90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48B66" w14:textId="77777777" w:rsidR="00924EF8" w:rsidRDefault="00924EF8" w:rsidP="00C36598">
    <w:pPr>
      <w:pStyle w:val="Header"/>
    </w:pPr>
    <w:r>
      <w:rPr>
        <w:noProof/>
        <w:lang w:val="en-AU" w:eastAsia="en-AU"/>
      </w:rPr>
      <w:drawing>
        <wp:anchor distT="0" distB="0" distL="114300" distR="114300" simplePos="0" relativeHeight="251722752" behindDoc="1" locked="0" layoutInCell="1" allowOverlap="1" wp14:anchorId="4A684886" wp14:editId="1DB30E0E">
          <wp:simplePos x="914400" y="450850"/>
          <wp:positionH relativeFrom="page">
            <wp:align>center</wp:align>
          </wp:positionH>
          <wp:positionV relativeFrom="page">
            <wp:align>top</wp:align>
          </wp:positionV>
          <wp:extent cx="6335999" cy="8999617"/>
          <wp:effectExtent l="0" t="0" r="8255" b="0"/>
          <wp:wrapNone/>
          <wp:docPr id="141" name="Picture 141"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ents page 2.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5999" cy="8999617"/>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713536" behindDoc="1" locked="0" layoutInCell="1" allowOverlap="1" wp14:anchorId="792EEC99" wp14:editId="1837AEA8">
          <wp:simplePos x="914400" y="450850"/>
          <wp:positionH relativeFrom="page">
            <wp:align>center</wp:align>
          </wp:positionH>
          <wp:positionV relativeFrom="page">
            <wp:align>top</wp:align>
          </wp:positionV>
          <wp:extent cx="6336000" cy="9000000"/>
          <wp:effectExtent l="0" t="0" r="8255" b="0"/>
          <wp:wrapNone/>
          <wp:docPr id="142" name="Picture 142"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ents page 2.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6000" cy="90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00973" w14:textId="77777777" w:rsidR="00924EF8" w:rsidRDefault="00924EF8" w:rsidP="00C36598">
    <w:pPr>
      <w:pStyle w:val="Header"/>
    </w:pPr>
    <w:r>
      <w:rPr>
        <w:noProof/>
        <w:lang w:val="en-AU" w:eastAsia="en-AU"/>
      </w:rPr>
      <w:drawing>
        <wp:anchor distT="0" distB="0" distL="114300" distR="114300" simplePos="0" relativeHeight="251715584" behindDoc="1" locked="0" layoutInCell="1" allowOverlap="0" wp14:anchorId="2B342D49" wp14:editId="0BBA2396">
          <wp:simplePos x="0" y="0"/>
          <wp:positionH relativeFrom="page">
            <wp:align>left</wp:align>
          </wp:positionH>
          <wp:positionV relativeFrom="page">
            <wp:align>top</wp:align>
          </wp:positionV>
          <wp:extent cx="6335365" cy="9000000"/>
          <wp:effectExtent l="0" t="0" r="8890" b="0"/>
          <wp:wrapNone/>
          <wp:docPr id="143" name="Picture 143"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s page 1.jpg"/>
                  <pic:cNvPicPr/>
                </pic:nvPicPr>
                <pic:blipFill>
                  <a:blip r:embed="rId1">
                    <a:extLst>
                      <a:ext uri="{28A0092B-C50C-407E-A947-70E740481C1C}">
                        <a14:useLocalDpi xmlns:a14="http://schemas.microsoft.com/office/drawing/2010/main"/>
                      </a:ext>
                    </a:extLst>
                  </a:blip>
                  <a:stretch>
                    <a:fillRect/>
                  </a:stretch>
                </pic:blipFill>
                <pic:spPr>
                  <a:xfrm>
                    <a:off x="0" y="0"/>
                    <a:ext cx="6335365" cy="9000000"/>
                  </a:xfrm>
                  <a:prstGeom prst="rect">
                    <a:avLst/>
                  </a:prstGeom>
                </pic:spPr>
              </pic:pic>
            </a:graphicData>
          </a:graphic>
          <wp14:sizeRelH relativeFrom="page">
            <wp14:pctWidth>0</wp14:pctWidth>
          </wp14:sizeRelH>
          <wp14:sizeRelV relativeFrom="page">
            <wp14:pctHeight>0</wp14:pctHeight>
          </wp14:sizeRelV>
        </wp:anchor>
      </w:drawing>
    </w:r>
    <w:r>
      <w:t>2. Report on performance</w:t>
    </w:r>
    <w:r>
      <w:rPr>
        <w:noProof/>
      </w:rPr>
      <w:t xml:space="preserve"> </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A009B3" w14:textId="77777777" w:rsidR="00924EF8" w:rsidRDefault="00924EF8" w:rsidP="00C36598">
    <w:pPr>
      <w:pStyle w:val="Header"/>
    </w:pPr>
    <w:r>
      <w:rPr>
        <w:noProof/>
        <w:lang w:val="en-AU" w:eastAsia="en-AU"/>
      </w:rPr>
      <w:drawing>
        <wp:anchor distT="0" distB="0" distL="114300" distR="114300" simplePos="0" relativeHeight="251719680" behindDoc="1" locked="0" layoutInCell="1" allowOverlap="1" wp14:anchorId="7EF3F1B4" wp14:editId="6F8C79C7">
          <wp:simplePos x="914400" y="450850"/>
          <wp:positionH relativeFrom="page">
            <wp:align>center</wp:align>
          </wp:positionH>
          <wp:positionV relativeFrom="page">
            <wp:align>top</wp:align>
          </wp:positionV>
          <wp:extent cx="6336000" cy="8999619"/>
          <wp:effectExtent l="0" t="0" r="8255" b="0"/>
          <wp:wrapNone/>
          <wp:docPr id="144" name="Picture 144"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ents page 2.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6000" cy="8999619"/>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717632" behindDoc="1" locked="0" layoutInCell="1" allowOverlap="0" wp14:anchorId="7B28BD01" wp14:editId="64E7B6FD">
          <wp:simplePos x="0" y="0"/>
          <wp:positionH relativeFrom="page">
            <wp:align>left</wp:align>
          </wp:positionH>
          <wp:positionV relativeFrom="page">
            <wp:align>top</wp:align>
          </wp:positionV>
          <wp:extent cx="6336000" cy="9000000"/>
          <wp:effectExtent l="0" t="0" r="8255" b="0"/>
          <wp:wrapNone/>
          <wp:docPr id="145" name="Picture 145"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s page 1.jpg"/>
                  <pic:cNvPicPr/>
                </pic:nvPicPr>
                <pic:blipFill>
                  <a:blip r:embed="rId2" cstate="screen">
                    <a:extLst>
                      <a:ext uri="{28A0092B-C50C-407E-A947-70E740481C1C}">
                        <a14:useLocalDpi xmlns:a14="http://schemas.microsoft.com/office/drawing/2010/main"/>
                      </a:ext>
                    </a:extLst>
                  </a:blip>
                  <a:stretch>
                    <a:fillRect/>
                  </a:stretch>
                </pic:blipFill>
                <pic:spPr>
                  <a:xfrm>
                    <a:off x="0" y="0"/>
                    <a:ext cx="6336000" cy="9000000"/>
                  </a:xfrm>
                  <a:prstGeom prst="rect">
                    <a:avLst/>
                  </a:prstGeom>
                </pic:spPr>
              </pic:pic>
            </a:graphicData>
          </a:graphic>
          <wp14:sizeRelH relativeFrom="page">
            <wp14:pctWidth>0</wp14:pctWidth>
          </wp14:sizeRelH>
          <wp14:sizeRelV relativeFrom="page">
            <wp14:pctHeight>0</wp14:pctHeight>
          </wp14:sizeRelV>
        </wp:anchor>
      </w:drawing>
    </w:r>
    <w:r>
      <w:t>2. Report on performance</w:t>
    </w:r>
    <w:r>
      <w:rPr>
        <w:noProof/>
      </w:rPr>
      <w:t xml:space="preserve"> </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54C3F" w14:textId="77777777" w:rsidR="00924EF8" w:rsidRDefault="00924EF8" w:rsidP="00C36598">
    <w:pPr>
      <w:pStyle w:val="Header"/>
    </w:pPr>
    <w:r>
      <w:rPr>
        <w:noProof/>
        <w:lang w:val="en-AU" w:eastAsia="en-AU"/>
      </w:rPr>
      <w:drawing>
        <wp:anchor distT="0" distB="0" distL="114300" distR="114300" simplePos="0" relativeHeight="251721728" behindDoc="1" locked="0" layoutInCell="1" allowOverlap="0" wp14:anchorId="2863E9D8" wp14:editId="1C0EC675">
          <wp:simplePos x="0" y="0"/>
          <wp:positionH relativeFrom="page">
            <wp:align>left</wp:align>
          </wp:positionH>
          <wp:positionV relativeFrom="page">
            <wp:align>top</wp:align>
          </wp:positionV>
          <wp:extent cx="6336000" cy="8999619"/>
          <wp:effectExtent l="0" t="0" r="8255" b="0"/>
          <wp:wrapNone/>
          <wp:docPr id="146" name="Picture 146"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s page 1.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6000" cy="8999619"/>
                  </a:xfrm>
                  <a:prstGeom prst="rect">
                    <a:avLst/>
                  </a:prstGeom>
                </pic:spPr>
              </pic:pic>
            </a:graphicData>
          </a:graphic>
          <wp14:sizeRelH relativeFrom="page">
            <wp14:pctWidth>0</wp14:pctWidth>
          </wp14:sizeRelH>
          <wp14:sizeRelV relativeFrom="page">
            <wp14:pctHeight>0</wp14:pctHeight>
          </wp14:sizeRelV>
        </wp:anchor>
      </w:drawing>
    </w:r>
    <w:r>
      <w:t>2. Report on performance</w:t>
    </w:r>
    <w:r>
      <w:rPr>
        <w:noProof/>
      </w:rPr>
      <w:t xml:space="preserve"> </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FC6F2" w14:textId="77777777" w:rsidR="00924EF8" w:rsidRDefault="00924EF8" w:rsidP="00C36598">
    <w:pPr>
      <w:pStyle w:val="Header"/>
    </w:pPr>
    <w:r>
      <w:rPr>
        <w:noProof/>
        <w:lang w:val="en-AU" w:eastAsia="en-AU"/>
      </w:rPr>
      <w:drawing>
        <wp:anchor distT="0" distB="0" distL="114300" distR="114300" simplePos="0" relativeHeight="251730944" behindDoc="1" locked="0" layoutInCell="1" allowOverlap="0" wp14:anchorId="7DE038D0" wp14:editId="1DF07A40">
          <wp:simplePos x="0" y="0"/>
          <wp:positionH relativeFrom="page">
            <wp:align>left</wp:align>
          </wp:positionH>
          <wp:positionV relativeFrom="page">
            <wp:align>top</wp:align>
          </wp:positionV>
          <wp:extent cx="6336000" cy="8999619"/>
          <wp:effectExtent l="0" t="0" r="8255" b="0"/>
          <wp:wrapNone/>
          <wp:docPr id="147" name="Picture 147"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s page 1.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6000" cy="8999619"/>
                  </a:xfrm>
                  <a:prstGeom prst="rect">
                    <a:avLst/>
                  </a:prstGeom>
                </pic:spPr>
              </pic:pic>
            </a:graphicData>
          </a:graphic>
          <wp14:sizeRelH relativeFrom="page">
            <wp14:pctWidth>0</wp14:pctWidth>
          </wp14:sizeRelH>
          <wp14:sizeRelV relativeFrom="page">
            <wp14:pctHeight>0</wp14:pctHeight>
          </wp14:sizeRelV>
        </wp:anchor>
      </w:drawing>
    </w:r>
    <w:r>
      <w:t>2. Report on performance</w:t>
    </w:r>
    <w:r>
      <w:rPr>
        <w:noProof/>
      </w:rPr>
      <w:t xml:space="preserve"> </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EDEFC" w14:textId="77777777" w:rsidR="00924EF8" w:rsidRDefault="00924EF8" w:rsidP="00C36598">
    <w:pPr>
      <w:pStyle w:val="Header"/>
    </w:pPr>
    <w:r>
      <w:rPr>
        <w:noProof/>
        <w:lang w:val="en-AU" w:eastAsia="en-AU"/>
      </w:rPr>
      <w:drawing>
        <wp:anchor distT="0" distB="0" distL="114300" distR="114300" simplePos="0" relativeHeight="251724800" behindDoc="1" locked="0" layoutInCell="1" allowOverlap="1" wp14:anchorId="2D8EB84D" wp14:editId="57412DA6">
          <wp:simplePos x="914400" y="450850"/>
          <wp:positionH relativeFrom="page">
            <wp:align>center</wp:align>
          </wp:positionH>
          <wp:positionV relativeFrom="page">
            <wp:align>top</wp:align>
          </wp:positionV>
          <wp:extent cx="6336000" cy="8999619"/>
          <wp:effectExtent l="0" t="0" r="8255" b="0"/>
          <wp:wrapNone/>
          <wp:docPr id="148" name="Picture 148"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ents page 2.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6000" cy="8999619"/>
                  </a:xfrm>
                  <a:prstGeom prst="rect">
                    <a:avLst/>
                  </a:prstGeom>
                </pic:spPr>
              </pic:pic>
            </a:graphicData>
          </a:graphic>
          <wp14:sizeRelH relativeFrom="margin">
            <wp14:pctWidth>0</wp14:pctWidth>
          </wp14:sizeRelH>
          <wp14:sizeRelV relativeFrom="margin">
            <wp14:pctHeight>0</wp14:pctHeight>
          </wp14:sizeRelV>
        </wp:anchor>
      </w:drawing>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DEAEC" w14:textId="77777777" w:rsidR="00924EF8" w:rsidRDefault="00924EF8" w:rsidP="00C36598">
    <w:pPr>
      <w:pStyle w:val="Header"/>
    </w:pPr>
    <w:r>
      <w:rPr>
        <w:noProof/>
        <w:lang w:val="en-AU" w:eastAsia="en-AU"/>
      </w:rPr>
      <w:drawing>
        <wp:anchor distT="0" distB="0" distL="114300" distR="114300" simplePos="0" relativeHeight="251735040" behindDoc="1" locked="0" layoutInCell="1" allowOverlap="0" wp14:anchorId="7A8124AC" wp14:editId="4768E5DA">
          <wp:simplePos x="0" y="0"/>
          <wp:positionH relativeFrom="page">
            <wp:align>left</wp:align>
          </wp:positionH>
          <wp:positionV relativeFrom="page">
            <wp:align>top</wp:align>
          </wp:positionV>
          <wp:extent cx="6335999" cy="8999619"/>
          <wp:effectExtent l="0" t="0" r="8255" b="0"/>
          <wp:wrapNone/>
          <wp:docPr id="149" name="Picture 149"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s page 1.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5999" cy="8999619"/>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F0124" w14:textId="77777777" w:rsidR="00924EF8" w:rsidRDefault="00924EF8" w:rsidP="00C36598">
    <w:pPr>
      <w:pStyle w:val="Header"/>
    </w:pPr>
    <w:r>
      <w:rPr>
        <w:noProof/>
        <w:lang w:val="en-AU" w:eastAsia="en-AU"/>
      </w:rPr>
      <w:drawing>
        <wp:anchor distT="0" distB="0" distL="114300" distR="114300" simplePos="0" relativeHeight="251732992" behindDoc="1" locked="0" layoutInCell="1" allowOverlap="1" wp14:anchorId="1E46B058" wp14:editId="18E7D2C6">
          <wp:simplePos x="914400" y="450850"/>
          <wp:positionH relativeFrom="page">
            <wp:align>center</wp:align>
          </wp:positionH>
          <wp:positionV relativeFrom="page">
            <wp:align>top</wp:align>
          </wp:positionV>
          <wp:extent cx="6335999" cy="8999619"/>
          <wp:effectExtent l="0" t="0" r="8255" b="0"/>
          <wp:wrapNone/>
          <wp:docPr id="150" name="Picture 150"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ents page 2.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5999" cy="8999619"/>
                  </a:xfrm>
                  <a:prstGeom prst="rect">
                    <a:avLst/>
                  </a:prstGeom>
                </pic:spPr>
              </pic:pic>
            </a:graphicData>
          </a:graphic>
          <wp14:sizeRelH relativeFrom="margin">
            <wp14:pctWidth>0</wp14:pctWidth>
          </wp14:sizeRelH>
          <wp14:sizeRelV relativeFrom="margin">
            <wp14:pctHeight>0</wp14:pctHeight>
          </wp14:sizeRelV>
        </wp:anchor>
      </w:drawing>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ACFC7" w14:textId="77777777" w:rsidR="00924EF8" w:rsidRDefault="00924EF8" w:rsidP="00C36598">
    <w:pPr>
      <w:pStyle w:val="Header"/>
    </w:pPr>
    <w:r>
      <w:rPr>
        <w:noProof/>
        <w:lang w:val="en-AU" w:eastAsia="en-AU"/>
      </w:rPr>
      <w:drawing>
        <wp:anchor distT="0" distB="0" distL="114300" distR="114300" simplePos="0" relativeHeight="251737088" behindDoc="1" locked="0" layoutInCell="1" allowOverlap="0" wp14:anchorId="108DAF41" wp14:editId="2689025E">
          <wp:simplePos x="0" y="0"/>
          <wp:positionH relativeFrom="page">
            <wp:align>left</wp:align>
          </wp:positionH>
          <wp:positionV relativeFrom="page">
            <wp:align>top</wp:align>
          </wp:positionV>
          <wp:extent cx="6335999" cy="8999617"/>
          <wp:effectExtent l="0" t="0" r="8255" b="0"/>
          <wp:wrapNone/>
          <wp:docPr id="151" name="Picture 151"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s page 1.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5999" cy="8999617"/>
                  </a:xfrm>
                  <a:prstGeom prst="rect">
                    <a:avLst/>
                  </a:prstGeom>
                </pic:spPr>
              </pic:pic>
            </a:graphicData>
          </a:graphic>
          <wp14:sizeRelH relativeFrom="page">
            <wp14:pctWidth>0</wp14:pctWidth>
          </wp14:sizeRelH>
          <wp14:sizeRelV relativeFrom="page">
            <wp14:pctHeight>0</wp14:pctHeight>
          </wp14:sizeRelV>
        </wp:anchor>
      </w:drawing>
    </w:r>
    <w:r w:rsidRPr="00347A7C">
      <w:t>3. Corporate governance and accountability</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35DA34" w14:textId="77777777" w:rsidR="00924EF8" w:rsidRDefault="00924EF8" w:rsidP="00C36598">
    <w:pPr>
      <w:pStyle w:val="Header"/>
    </w:pPr>
    <w:r>
      <w:rPr>
        <w:noProof/>
        <w:lang w:val="en-AU" w:eastAsia="en-AU"/>
      </w:rPr>
      <w:drawing>
        <wp:anchor distT="0" distB="0" distL="114300" distR="114300" simplePos="0" relativeHeight="251663360" behindDoc="1" locked="0" layoutInCell="1" allowOverlap="1" wp14:anchorId="721F387D" wp14:editId="32C6F5CB">
          <wp:simplePos x="914400" y="450850"/>
          <wp:positionH relativeFrom="page">
            <wp:align>center</wp:align>
          </wp:positionH>
          <wp:positionV relativeFrom="page">
            <wp:align>top</wp:align>
          </wp:positionV>
          <wp:extent cx="6336000" cy="9000000"/>
          <wp:effectExtent l="0" t="0" r="8255" b="0"/>
          <wp:wrapNone/>
          <wp:docPr id="40" name="Picture 40"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ents page 2.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6000" cy="90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1D524" w14:textId="77777777" w:rsidR="00924EF8" w:rsidRDefault="00924EF8" w:rsidP="00C36598">
    <w:pPr>
      <w:pStyle w:val="Header"/>
    </w:pPr>
    <w:r>
      <w:rPr>
        <w:noProof/>
        <w:lang w:val="en-AU" w:eastAsia="en-AU"/>
      </w:rPr>
      <w:drawing>
        <wp:anchor distT="0" distB="0" distL="114300" distR="114300" simplePos="0" relativeHeight="251739136" behindDoc="1" locked="0" layoutInCell="1" allowOverlap="1" wp14:anchorId="712C9B00" wp14:editId="57433A72">
          <wp:simplePos x="914400" y="450850"/>
          <wp:positionH relativeFrom="page">
            <wp:align>center</wp:align>
          </wp:positionH>
          <wp:positionV relativeFrom="page">
            <wp:align>top</wp:align>
          </wp:positionV>
          <wp:extent cx="6335999" cy="8999617"/>
          <wp:effectExtent l="0" t="0" r="8255" b="0"/>
          <wp:wrapNone/>
          <wp:docPr id="152" name="Picture 152"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ents page 2.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5999" cy="8999617"/>
                  </a:xfrm>
                  <a:prstGeom prst="rect">
                    <a:avLst/>
                  </a:prstGeom>
                </pic:spPr>
              </pic:pic>
            </a:graphicData>
          </a:graphic>
          <wp14:sizeRelH relativeFrom="margin">
            <wp14:pctWidth>0</wp14:pctWidth>
          </wp14:sizeRelH>
          <wp14:sizeRelV relativeFrom="margin">
            <wp14:pctHeight>0</wp14:pctHeight>
          </wp14:sizeRelV>
        </wp:anchor>
      </w:drawing>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DAA89" w14:textId="77777777" w:rsidR="00924EF8" w:rsidRDefault="00924EF8" w:rsidP="00C36598">
    <w:pPr>
      <w:pStyle w:val="Header"/>
    </w:pPr>
    <w:r>
      <w:rPr>
        <w:noProof/>
        <w:lang w:val="en-AU" w:eastAsia="en-AU"/>
      </w:rPr>
      <w:drawing>
        <wp:anchor distT="0" distB="0" distL="114300" distR="114300" simplePos="0" relativeHeight="251741184" behindDoc="1" locked="0" layoutInCell="1" allowOverlap="0" wp14:anchorId="49261389" wp14:editId="54C84CBB">
          <wp:simplePos x="0" y="0"/>
          <wp:positionH relativeFrom="page">
            <wp:align>left</wp:align>
          </wp:positionH>
          <wp:positionV relativeFrom="page">
            <wp:align>top</wp:align>
          </wp:positionV>
          <wp:extent cx="6335998" cy="8999617"/>
          <wp:effectExtent l="0" t="0" r="8255" b="0"/>
          <wp:wrapNone/>
          <wp:docPr id="153" name="Picture 153" descr="Front row left to right: Professor Villis Marshall AC (Chair), Adjunct Professor John Walsh AM.&#10;&#10; &#10;&#10;Back row left to right: Ms Wendy Harris QC, Professor Phillip Della, Dr David Filby PSM, Ms Christine Gee, Dr Shaun Larkin and Mrs Cheryle Royle" title="This is a photograph of members of the Commission’s 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s page 1.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5998" cy="8999617"/>
                  </a:xfrm>
                  <a:prstGeom prst="rect">
                    <a:avLst/>
                  </a:prstGeom>
                </pic:spPr>
              </pic:pic>
            </a:graphicData>
          </a:graphic>
          <wp14:sizeRelH relativeFrom="page">
            <wp14:pctWidth>0</wp14:pctWidth>
          </wp14:sizeRelH>
          <wp14:sizeRelV relativeFrom="page">
            <wp14:pctHeight>0</wp14:pctHeight>
          </wp14:sizeRelV>
        </wp:anchor>
      </w:drawing>
    </w:r>
    <w:r w:rsidRPr="00347A7C">
      <w:t>3. Corporate governance and accountability</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64BEE" w14:textId="77777777" w:rsidR="00924EF8" w:rsidRDefault="00924EF8" w:rsidP="00C36598">
    <w:pPr>
      <w:pStyle w:val="Header"/>
    </w:pPr>
    <w:r>
      <w:rPr>
        <w:noProof/>
        <w:lang w:val="en-AU" w:eastAsia="en-AU"/>
      </w:rPr>
      <w:drawing>
        <wp:anchor distT="0" distB="0" distL="114300" distR="114300" simplePos="0" relativeHeight="251743232" behindDoc="1" locked="0" layoutInCell="1" allowOverlap="0" wp14:anchorId="2334733C" wp14:editId="2E357B59">
          <wp:simplePos x="0" y="0"/>
          <wp:positionH relativeFrom="page">
            <wp:align>left</wp:align>
          </wp:positionH>
          <wp:positionV relativeFrom="page">
            <wp:align>top</wp:align>
          </wp:positionV>
          <wp:extent cx="6335998" cy="8999616"/>
          <wp:effectExtent l="0" t="0" r="8255" b="0"/>
          <wp:wrapNone/>
          <wp:docPr id="154" name="Picture 154"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s page 1.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5998" cy="8999616"/>
                  </a:xfrm>
                  <a:prstGeom prst="rect">
                    <a:avLst/>
                  </a:prstGeom>
                </pic:spPr>
              </pic:pic>
            </a:graphicData>
          </a:graphic>
          <wp14:sizeRelH relativeFrom="page">
            <wp14:pctWidth>0</wp14:pctWidth>
          </wp14:sizeRelH>
          <wp14:sizeRelV relativeFrom="page">
            <wp14:pctHeight>0</wp14:pctHeight>
          </wp14:sizeRelV>
        </wp:anchor>
      </w:drawing>
    </w:r>
    <w:r w:rsidRPr="00347A7C">
      <w:t>3. Corporate governance and accountability</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5A5EC" w14:textId="77777777" w:rsidR="00924EF8" w:rsidRDefault="00924EF8" w:rsidP="00C36598">
    <w:pPr>
      <w:pStyle w:val="Header"/>
    </w:pPr>
    <w:r>
      <w:rPr>
        <w:noProof/>
        <w:lang w:val="en-AU" w:eastAsia="en-AU"/>
      </w:rPr>
      <w:drawing>
        <wp:anchor distT="0" distB="0" distL="114300" distR="114300" simplePos="0" relativeHeight="251745280" behindDoc="1" locked="0" layoutInCell="1" allowOverlap="0" wp14:anchorId="54C9C1CC" wp14:editId="5B1C9F5A">
          <wp:simplePos x="0" y="0"/>
          <wp:positionH relativeFrom="page">
            <wp:align>left</wp:align>
          </wp:positionH>
          <wp:positionV relativeFrom="page">
            <wp:align>top</wp:align>
          </wp:positionV>
          <wp:extent cx="6335095" cy="8999616"/>
          <wp:effectExtent l="0" t="0" r="8890" b="0"/>
          <wp:wrapNone/>
          <wp:docPr id="155" name="Picture 155"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s page 1.jpg"/>
                  <pic:cNvPicPr/>
                </pic:nvPicPr>
                <pic:blipFill>
                  <a:blip r:embed="rId1">
                    <a:extLst>
                      <a:ext uri="{28A0092B-C50C-407E-A947-70E740481C1C}">
                        <a14:useLocalDpi xmlns:a14="http://schemas.microsoft.com/office/drawing/2010/main"/>
                      </a:ext>
                    </a:extLst>
                  </a:blip>
                  <a:stretch>
                    <a:fillRect/>
                  </a:stretch>
                </pic:blipFill>
                <pic:spPr>
                  <a:xfrm>
                    <a:off x="0" y="0"/>
                    <a:ext cx="6335095" cy="8999616"/>
                  </a:xfrm>
                  <a:prstGeom prst="rect">
                    <a:avLst/>
                  </a:prstGeom>
                </pic:spPr>
              </pic:pic>
            </a:graphicData>
          </a:graphic>
          <wp14:sizeRelH relativeFrom="page">
            <wp14:pctWidth>0</wp14:pctWidth>
          </wp14:sizeRelH>
          <wp14:sizeRelV relativeFrom="page">
            <wp14:pctHeight>0</wp14:pctHeight>
          </wp14:sizeRelV>
        </wp:anchor>
      </w:drawing>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0BE3F" w14:textId="77777777" w:rsidR="00924EF8" w:rsidRDefault="00924EF8" w:rsidP="00C36598">
    <w:pPr>
      <w:pStyle w:val="Header"/>
    </w:pPr>
    <w:r>
      <w:rPr>
        <w:noProof/>
        <w:lang w:val="en-AU" w:eastAsia="en-AU"/>
      </w:rPr>
      <w:drawing>
        <wp:anchor distT="0" distB="0" distL="114300" distR="114300" simplePos="0" relativeHeight="251747328" behindDoc="1" locked="0" layoutInCell="1" allowOverlap="1" wp14:anchorId="741A1D47" wp14:editId="28E227FA">
          <wp:simplePos x="914400" y="450850"/>
          <wp:positionH relativeFrom="page">
            <wp:align>center</wp:align>
          </wp:positionH>
          <wp:positionV relativeFrom="page">
            <wp:align>top</wp:align>
          </wp:positionV>
          <wp:extent cx="6335998" cy="8999617"/>
          <wp:effectExtent l="0" t="0" r="8255" b="0"/>
          <wp:wrapNone/>
          <wp:docPr id="156" name="Picture 156"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ents page 2.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5998" cy="8999617"/>
                  </a:xfrm>
                  <a:prstGeom prst="rect">
                    <a:avLst/>
                  </a:prstGeom>
                </pic:spPr>
              </pic:pic>
            </a:graphicData>
          </a:graphic>
          <wp14:sizeRelH relativeFrom="margin">
            <wp14:pctWidth>0</wp14:pctWidth>
          </wp14:sizeRelH>
          <wp14:sizeRelV relativeFrom="margin">
            <wp14:pctHeight>0</wp14:pctHeight>
          </wp14:sizeRelV>
        </wp:anchor>
      </w:drawing>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4DA5A" w14:textId="77777777" w:rsidR="00924EF8" w:rsidRDefault="00924EF8" w:rsidP="00C36598">
    <w:pPr>
      <w:pStyle w:val="Header"/>
    </w:pPr>
    <w:r>
      <w:t>4</w:t>
    </w:r>
    <w:r w:rsidRPr="00347A7C">
      <w:t>. </w:t>
    </w:r>
    <w:r>
      <w:t>Our organisation</w:t>
    </w:r>
    <w:r>
      <w:rPr>
        <w:noProof/>
      </w:rPr>
      <w:t xml:space="preserve"> </w:t>
    </w:r>
    <w:r>
      <w:rPr>
        <w:noProof/>
        <w:lang w:val="en-AU" w:eastAsia="en-AU"/>
      </w:rPr>
      <w:drawing>
        <wp:anchor distT="0" distB="0" distL="114300" distR="114300" simplePos="0" relativeHeight="251749376" behindDoc="1" locked="0" layoutInCell="1" allowOverlap="0" wp14:anchorId="07246CFA" wp14:editId="1B756D6B">
          <wp:simplePos x="0" y="0"/>
          <wp:positionH relativeFrom="page">
            <wp:align>left</wp:align>
          </wp:positionH>
          <wp:positionV relativeFrom="page">
            <wp:align>top</wp:align>
          </wp:positionV>
          <wp:extent cx="6335997" cy="8999614"/>
          <wp:effectExtent l="0" t="0" r="8255" b="0"/>
          <wp:wrapNone/>
          <wp:docPr id="157" name="Picture 157" descr="This diagram shows the Commission’s organisational structure. The Commission's Board governs the organisation and is responsible for the performance of its functions. The Chief Executive Officer leads the organisation. The Commission’s employees work within several different program streams under the direction of the Executive Director Strategy and Development, Executive Director Healthcare Variation, Chief Operations Officer and Clinical Director.  " title="Figure 2: Organisation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s page 1.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5997" cy="8999614"/>
                  </a:xfrm>
                  <a:prstGeom prst="rect">
                    <a:avLst/>
                  </a:prstGeom>
                </pic:spPr>
              </pic:pic>
            </a:graphicData>
          </a:graphic>
          <wp14:sizeRelH relativeFrom="page">
            <wp14:pctWidth>0</wp14:pctWidth>
          </wp14:sizeRelH>
          <wp14:sizeRelV relativeFrom="page">
            <wp14:pctHeight>0</wp14:pctHeight>
          </wp14:sizeRelV>
        </wp:anchor>
      </w:drawing>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12A0D" w14:textId="77777777" w:rsidR="00924EF8" w:rsidRDefault="00924EF8" w:rsidP="00C36598">
    <w:pPr>
      <w:pStyle w:val="Header"/>
    </w:pPr>
    <w:r>
      <w:rPr>
        <w:noProof/>
        <w:lang w:val="en-AU" w:eastAsia="en-AU"/>
      </w:rPr>
      <w:drawing>
        <wp:anchor distT="0" distB="0" distL="114300" distR="114300" simplePos="0" relativeHeight="251751424" behindDoc="1" locked="0" layoutInCell="1" allowOverlap="1" wp14:anchorId="02F35700" wp14:editId="4C5D4629">
          <wp:simplePos x="914400" y="450850"/>
          <wp:positionH relativeFrom="page">
            <wp:align>center</wp:align>
          </wp:positionH>
          <wp:positionV relativeFrom="page">
            <wp:align>top</wp:align>
          </wp:positionV>
          <wp:extent cx="6335998" cy="8999616"/>
          <wp:effectExtent l="0" t="0" r="8255" b="0"/>
          <wp:wrapNone/>
          <wp:docPr id="158" name="Picture 158" descr="This diagram shows the Commission’s organisational structure. The Commission's Board governs the organisation and is responsible for the performance of its functions. The Chief Executive Officer leads the organisation. The Commission’s employees work within several different program streams under the direction of the Executive Director Strategy and Development, Executive Director Healthcare Variation, Chief Operations Officer and Clinical Director.  " title="   Figure 2: Organisation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ents page 2.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5998" cy="8999616"/>
                  </a:xfrm>
                  <a:prstGeom prst="rect">
                    <a:avLst/>
                  </a:prstGeom>
                </pic:spPr>
              </pic:pic>
            </a:graphicData>
          </a:graphic>
          <wp14:sizeRelH relativeFrom="margin">
            <wp14:pctWidth>0</wp14:pctWidth>
          </wp14:sizeRelH>
          <wp14:sizeRelV relativeFrom="margin">
            <wp14:pctHeight>0</wp14:pctHeight>
          </wp14:sizeRelV>
        </wp:anchor>
      </w:drawing>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3FE38" w14:textId="77777777" w:rsidR="00924EF8" w:rsidRDefault="00924EF8" w:rsidP="00C36598">
    <w:pPr>
      <w:pStyle w:val="Header"/>
    </w:pPr>
    <w:r>
      <w:rPr>
        <w:noProof/>
        <w:lang w:val="en-AU" w:eastAsia="en-AU"/>
      </w:rPr>
      <w:drawing>
        <wp:anchor distT="0" distB="0" distL="114300" distR="114300" simplePos="0" relativeHeight="251753472" behindDoc="1" locked="0" layoutInCell="1" allowOverlap="0" wp14:anchorId="31595E5A" wp14:editId="4C8569CD">
          <wp:simplePos x="0" y="0"/>
          <wp:positionH relativeFrom="page">
            <wp:align>left</wp:align>
          </wp:positionH>
          <wp:positionV relativeFrom="page">
            <wp:align>top</wp:align>
          </wp:positionV>
          <wp:extent cx="6335395" cy="8999220"/>
          <wp:effectExtent l="0" t="0" r="8255" b="0"/>
          <wp:wrapNone/>
          <wp:docPr id="159" name="Picture 159"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s page 1.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5996" cy="8999614"/>
                  </a:xfrm>
                  <a:prstGeom prst="rect">
                    <a:avLst/>
                  </a:prstGeom>
                </pic:spPr>
              </pic:pic>
            </a:graphicData>
          </a:graphic>
          <wp14:sizeRelH relativeFrom="page">
            <wp14:pctWidth>0</wp14:pctWidth>
          </wp14:sizeRelH>
          <wp14:sizeRelV relativeFrom="page">
            <wp14:pctHeight>0</wp14:pctHeight>
          </wp14:sizeRelV>
        </wp:anchor>
      </w:drawing>
    </w:r>
    <w:r>
      <w:t>4</w:t>
    </w:r>
    <w:r w:rsidRPr="00347A7C">
      <w:t>. </w:t>
    </w:r>
    <w:r>
      <w:t>Our organisation</w:t>
    </w:r>
    <w:r>
      <w:rPr>
        <w:noProof/>
      </w:rPr>
      <w:t xml:space="preserve"> </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1A13B" w14:textId="77777777" w:rsidR="00924EF8" w:rsidRDefault="00924EF8" w:rsidP="00C36598">
    <w:pPr>
      <w:pStyle w:val="Header"/>
    </w:pPr>
    <w:r>
      <w:rPr>
        <w:noProof/>
        <w:lang w:val="en-AU" w:eastAsia="en-AU"/>
      </w:rPr>
      <w:drawing>
        <wp:anchor distT="0" distB="0" distL="114300" distR="114300" simplePos="0" relativeHeight="251755520" behindDoc="1" locked="0" layoutInCell="1" allowOverlap="1" wp14:anchorId="3538C5C6" wp14:editId="5E0810C6">
          <wp:simplePos x="914400" y="450850"/>
          <wp:positionH relativeFrom="page">
            <wp:align>center</wp:align>
          </wp:positionH>
          <wp:positionV relativeFrom="page">
            <wp:align>top</wp:align>
          </wp:positionV>
          <wp:extent cx="6335997" cy="8999616"/>
          <wp:effectExtent l="0" t="0" r="8255" b="0"/>
          <wp:wrapNone/>
          <wp:docPr id="160" name="Picture 160" title="   Figure 2: Organisation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ents page 2.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5997" cy="8999616"/>
                  </a:xfrm>
                  <a:prstGeom prst="rect">
                    <a:avLst/>
                  </a:prstGeom>
                </pic:spPr>
              </pic:pic>
            </a:graphicData>
          </a:graphic>
          <wp14:sizeRelH relativeFrom="margin">
            <wp14:pctWidth>0</wp14:pctWidth>
          </wp14:sizeRelH>
          <wp14:sizeRelV relativeFrom="margin">
            <wp14:pctHeight>0</wp14:pctHeight>
          </wp14:sizeRelV>
        </wp:anchor>
      </w:drawing>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4CD01" w14:textId="77777777" w:rsidR="00924EF8" w:rsidRDefault="00924EF8" w:rsidP="00C36598">
    <w:pPr>
      <w:pStyle w:val="Header"/>
    </w:pPr>
    <w:r>
      <w:rPr>
        <w:noProof/>
        <w:lang w:val="en-AU" w:eastAsia="en-AU"/>
      </w:rPr>
      <w:drawing>
        <wp:anchor distT="0" distB="0" distL="114300" distR="114300" simplePos="0" relativeHeight="251757568" behindDoc="1" locked="0" layoutInCell="1" allowOverlap="1" wp14:anchorId="76785F95" wp14:editId="02F7C74D">
          <wp:simplePos x="914400" y="450850"/>
          <wp:positionH relativeFrom="page">
            <wp:align>center</wp:align>
          </wp:positionH>
          <wp:positionV relativeFrom="page">
            <wp:align>top</wp:align>
          </wp:positionV>
          <wp:extent cx="6335997" cy="8999614"/>
          <wp:effectExtent l="0" t="0" r="8255" b="0"/>
          <wp:wrapNone/>
          <wp:docPr id="161" name="Picture 161"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ents page 2.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5997" cy="8999614"/>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99F22" w14:textId="77777777" w:rsidR="00924EF8" w:rsidRDefault="00924EF8" w:rsidP="00C36598">
    <w:pPr>
      <w:pStyle w:val="Header"/>
    </w:pPr>
    <w:r>
      <w:rPr>
        <w:noProof/>
        <w:lang w:val="en-AU" w:eastAsia="en-AU"/>
      </w:rPr>
      <w:drawing>
        <wp:anchor distT="0" distB="0" distL="114300" distR="114300" simplePos="0" relativeHeight="251661312" behindDoc="1" locked="0" layoutInCell="1" allowOverlap="0" wp14:anchorId="15D03342" wp14:editId="6F4B1B87">
          <wp:simplePos x="0" y="0"/>
          <wp:positionH relativeFrom="column">
            <wp:posOffset>-895350</wp:posOffset>
          </wp:positionH>
          <wp:positionV relativeFrom="page">
            <wp:align>top</wp:align>
          </wp:positionV>
          <wp:extent cx="7550505" cy="10725150"/>
          <wp:effectExtent l="0" t="0" r="0" b="0"/>
          <wp:wrapNone/>
          <wp:docPr id="41" name="Picture 41"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nt cove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53968" cy="10730069"/>
                  </a:xfrm>
                  <a:prstGeom prst="rect">
                    <a:avLst/>
                  </a:prstGeom>
                </pic:spPr>
              </pic:pic>
            </a:graphicData>
          </a:graphic>
          <wp14:sizeRelH relativeFrom="page">
            <wp14:pctWidth>0</wp14:pctWidth>
          </wp14:sizeRelH>
          <wp14:sizeRelV relativeFrom="page">
            <wp14:pctHeight>0</wp14:pctHeight>
          </wp14:sizeRelV>
        </wp:anchor>
      </w:drawing>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7A23A" w14:textId="77777777" w:rsidR="00924EF8" w:rsidRDefault="00924EF8" w:rsidP="00C36598">
    <w:pPr>
      <w:pStyle w:val="Header"/>
    </w:pPr>
    <w:r>
      <w:rPr>
        <w:noProof/>
        <w:lang w:val="en-AU" w:eastAsia="en-AU"/>
      </w:rPr>
      <w:drawing>
        <wp:anchor distT="0" distB="0" distL="114300" distR="114300" simplePos="0" relativeHeight="251759616" behindDoc="1" locked="0" layoutInCell="1" allowOverlap="0" wp14:anchorId="76A5854C" wp14:editId="46F7BAE2">
          <wp:simplePos x="0" y="0"/>
          <wp:positionH relativeFrom="page">
            <wp:align>left</wp:align>
          </wp:positionH>
          <wp:positionV relativeFrom="page">
            <wp:align>top</wp:align>
          </wp:positionV>
          <wp:extent cx="6335996" cy="8999613"/>
          <wp:effectExtent l="0" t="0" r="8255" b="0"/>
          <wp:wrapNone/>
          <wp:docPr id="162" name="Picture 162"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s page 1.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5996" cy="8999613"/>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3E3D4" w14:textId="77777777" w:rsidR="00924EF8" w:rsidRDefault="00924EF8" w:rsidP="00C36598">
    <w:pPr>
      <w:pStyle w:val="Header"/>
    </w:pPr>
    <w:r>
      <w:rPr>
        <w:noProof/>
        <w:lang w:val="en-AU" w:eastAsia="en-AU"/>
      </w:rPr>
      <w:drawing>
        <wp:anchor distT="0" distB="0" distL="114300" distR="114300" simplePos="0" relativeHeight="251761664" behindDoc="1" locked="0" layoutInCell="1" allowOverlap="1" wp14:anchorId="28C94DD7" wp14:editId="4DBBED7F">
          <wp:simplePos x="914400" y="450850"/>
          <wp:positionH relativeFrom="page">
            <wp:align>center</wp:align>
          </wp:positionH>
          <wp:positionV relativeFrom="page">
            <wp:align>top</wp:align>
          </wp:positionV>
          <wp:extent cx="6335996" cy="8999614"/>
          <wp:effectExtent l="0" t="0" r="8255" b="0"/>
          <wp:wrapNone/>
          <wp:docPr id="163" name="Picture 163"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ents page 2.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5996" cy="8999614"/>
                  </a:xfrm>
                  <a:prstGeom prst="rect">
                    <a:avLst/>
                  </a:prstGeom>
                </pic:spPr>
              </pic:pic>
            </a:graphicData>
          </a:graphic>
          <wp14:sizeRelH relativeFrom="margin">
            <wp14:pctWidth>0</wp14:pctWidth>
          </wp14:sizeRelH>
          <wp14:sizeRelV relativeFrom="margin">
            <wp14:pctHeight>0</wp14:pctHeight>
          </wp14:sizeRelV>
        </wp:anchor>
      </w:drawing>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76487" w14:textId="77777777" w:rsidR="00924EF8" w:rsidRDefault="00924EF8" w:rsidP="00C36598">
    <w:pPr>
      <w:pStyle w:val="Header"/>
    </w:pPr>
    <w:r>
      <w:rPr>
        <w:noProof/>
        <w:lang w:val="en-AU" w:eastAsia="en-AU"/>
      </w:rPr>
      <w:drawing>
        <wp:anchor distT="0" distB="0" distL="114300" distR="114300" simplePos="0" relativeHeight="251763712" behindDoc="1" locked="0" layoutInCell="1" allowOverlap="0" wp14:anchorId="3D930A69" wp14:editId="4D033FDA">
          <wp:simplePos x="0" y="0"/>
          <wp:positionH relativeFrom="page">
            <wp:align>left</wp:align>
          </wp:positionH>
          <wp:positionV relativeFrom="page">
            <wp:align>top</wp:align>
          </wp:positionV>
          <wp:extent cx="6335995" cy="8999613"/>
          <wp:effectExtent l="0" t="0" r="8255" b="0"/>
          <wp:wrapNone/>
          <wp:docPr id="164" name="Picture 164"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s page 1.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5995" cy="8999613"/>
                  </a:xfrm>
                  <a:prstGeom prst="rect">
                    <a:avLst/>
                  </a:prstGeom>
                </pic:spPr>
              </pic:pic>
            </a:graphicData>
          </a:graphic>
          <wp14:sizeRelH relativeFrom="page">
            <wp14:pctWidth>0</wp14:pctWidth>
          </wp14:sizeRelH>
          <wp14:sizeRelV relativeFrom="page">
            <wp14:pctHeight>0</wp14:pctHeight>
          </wp14:sizeRelV>
        </wp:anchor>
      </w:drawing>
    </w:r>
    <w:r>
      <w:t>5</w:t>
    </w:r>
    <w:r w:rsidRPr="00347A7C">
      <w:t>. </w:t>
    </w:r>
    <w:r>
      <w:t>Financial statements</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FB911" w14:textId="77777777" w:rsidR="00924EF8" w:rsidRDefault="00924EF8" w:rsidP="00C36598">
    <w:pPr>
      <w:pStyle w:val="Header"/>
    </w:pPr>
    <w:r>
      <w:rPr>
        <w:noProof/>
        <w:lang w:val="en-AU" w:eastAsia="en-AU"/>
      </w:rPr>
      <w:drawing>
        <wp:anchor distT="0" distB="0" distL="114300" distR="114300" simplePos="0" relativeHeight="251765760" behindDoc="1" locked="0" layoutInCell="1" allowOverlap="1" wp14:anchorId="10B562A5" wp14:editId="1995FC41">
          <wp:simplePos x="914400" y="450850"/>
          <wp:positionH relativeFrom="page">
            <wp:align>center</wp:align>
          </wp:positionH>
          <wp:positionV relativeFrom="page">
            <wp:align>top</wp:align>
          </wp:positionV>
          <wp:extent cx="6335995" cy="8999613"/>
          <wp:effectExtent l="0" t="0" r="8255" b="0"/>
          <wp:wrapNone/>
          <wp:docPr id="165" name="Picture 165"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ents page 2.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5995" cy="8999613"/>
                  </a:xfrm>
                  <a:prstGeom prst="rect">
                    <a:avLst/>
                  </a:prstGeom>
                </pic:spPr>
              </pic:pic>
            </a:graphicData>
          </a:graphic>
          <wp14:sizeRelH relativeFrom="margin">
            <wp14:pctWidth>0</wp14:pctWidth>
          </wp14:sizeRelH>
          <wp14:sizeRelV relativeFrom="margin">
            <wp14:pctHeight>0</wp14:pctHeight>
          </wp14:sizeRelV>
        </wp:anchor>
      </w:drawing>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8692A" w14:textId="77777777" w:rsidR="00924EF8" w:rsidRDefault="00924EF8" w:rsidP="00C36598">
    <w:pPr>
      <w:pStyle w:val="Header"/>
    </w:pPr>
    <w:r>
      <w:rPr>
        <w:noProof/>
        <w:lang w:val="en-AU" w:eastAsia="en-AU"/>
      </w:rPr>
      <w:drawing>
        <wp:anchor distT="0" distB="0" distL="114300" distR="114300" simplePos="0" relativeHeight="251767808" behindDoc="1" locked="0" layoutInCell="1" allowOverlap="0" wp14:anchorId="29FB18D0" wp14:editId="20F3BD2E">
          <wp:simplePos x="0" y="0"/>
          <wp:positionH relativeFrom="page">
            <wp:align>left</wp:align>
          </wp:positionH>
          <wp:positionV relativeFrom="page">
            <wp:align>top</wp:align>
          </wp:positionV>
          <wp:extent cx="6335995" cy="8999613"/>
          <wp:effectExtent l="0" t="0" r="8255" b="0"/>
          <wp:wrapNone/>
          <wp:docPr id="59" name="Picture 59"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s page 1.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5995" cy="8999613"/>
                  </a:xfrm>
                  <a:prstGeom prst="rect">
                    <a:avLst/>
                  </a:prstGeom>
                </pic:spPr>
              </pic:pic>
            </a:graphicData>
          </a:graphic>
          <wp14:sizeRelH relativeFrom="page">
            <wp14:pctWidth>0</wp14:pctWidth>
          </wp14:sizeRelH>
          <wp14:sizeRelV relativeFrom="page">
            <wp14:pctHeight>0</wp14:pctHeight>
          </wp14:sizeRelV>
        </wp:anchor>
      </w:drawing>
    </w:r>
    <w:r>
      <w:t>5</w:t>
    </w:r>
    <w:r w:rsidRPr="00347A7C">
      <w:t>. </w:t>
    </w:r>
    <w:r>
      <w:t>Financial statements</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1C4B7" w14:textId="77777777" w:rsidR="00924EF8" w:rsidRDefault="00924EF8" w:rsidP="00C36598">
    <w:pPr>
      <w:pStyle w:val="Header"/>
    </w:pPr>
    <w:r>
      <w:rPr>
        <w:noProof/>
        <w:lang w:val="en-AU" w:eastAsia="en-AU"/>
      </w:rPr>
      <w:drawing>
        <wp:anchor distT="0" distB="0" distL="114300" distR="114300" simplePos="0" relativeHeight="251768832" behindDoc="1" locked="0" layoutInCell="1" allowOverlap="0" wp14:anchorId="41AD4A7A" wp14:editId="300F1013">
          <wp:simplePos x="647700" y="361950"/>
          <wp:positionH relativeFrom="page">
            <wp:align>center</wp:align>
          </wp:positionH>
          <wp:positionV relativeFrom="page">
            <wp:align>top</wp:align>
          </wp:positionV>
          <wp:extent cx="6336000" cy="9000000"/>
          <wp:effectExtent l="0" t="0" r="8255" b="0"/>
          <wp:wrapNone/>
          <wp:docPr id="76" name="Picture 76"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ection 5_page 6.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6000" cy="90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57E05" w14:textId="77777777" w:rsidR="00924EF8" w:rsidRDefault="00924EF8" w:rsidP="00C36598">
    <w:pPr>
      <w:pStyle w:val="Header"/>
    </w:pPr>
    <w:r>
      <w:rPr>
        <w:noProof/>
        <w:lang w:val="en-AU" w:eastAsia="en-AU"/>
      </w:rPr>
      <w:drawing>
        <wp:anchor distT="0" distB="0" distL="114300" distR="114300" simplePos="0" relativeHeight="251769856" behindDoc="1" locked="0" layoutInCell="1" allowOverlap="0" wp14:anchorId="4CE87601" wp14:editId="0D03DAAF">
          <wp:simplePos x="647700" y="361950"/>
          <wp:positionH relativeFrom="page">
            <wp:align>center</wp:align>
          </wp:positionH>
          <wp:positionV relativeFrom="page">
            <wp:align>top</wp:align>
          </wp:positionV>
          <wp:extent cx="6336000" cy="9000000"/>
          <wp:effectExtent l="0" t="0" r="8255" b="0"/>
          <wp:wrapNone/>
          <wp:docPr id="78" name="Picture 78"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ection 5_page 7.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6000" cy="90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1953F" w14:textId="77777777" w:rsidR="00924EF8" w:rsidRDefault="00924EF8" w:rsidP="00C36598">
    <w:pPr>
      <w:pStyle w:val="Header"/>
    </w:pPr>
    <w:r>
      <w:rPr>
        <w:noProof/>
        <w:lang w:val="en-AU" w:eastAsia="en-AU"/>
      </w:rPr>
      <w:drawing>
        <wp:anchor distT="0" distB="0" distL="114300" distR="114300" simplePos="0" relativeHeight="251771904" behindDoc="1" locked="0" layoutInCell="1" allowOverlap="0" wp14:anchorId="67E928A3" wp14:editId="76C8F6D6">
          <wp:simplePos x="0" y="0"/>
          <wp:positionH relativeFrom="page">
            <wp:align>left</wp:align>
          </wp:positionH>
          <wp:positionV relativeFrom="page">
            <wp:align>top</wp:align>
          </wp:positionV>
          <wp:extent cx="6335995" cy="8999611"/>
          <wp:effectExtent l="0" t="0" r="8255" b="0"/>
          <wp:wrapNone/>
          <wp:docPr id="3" name="Picture 3"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s page 1.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5995" cy="8999611"/>
                  </a:xfrm>
                  <a:prstGeom prst="rect">
                    <a:avLst/>
                  </a:prstGeom>
                </pic:spPr>
              </pic:pic>
            </a:graphicData>
          </a:graphic>
          <wp14:sizeRelH relativeFrom="page">
            <wp14:pctWidth>0</wp14:pctWidth>
          </wp14:sizeRelH>
          <wp14:sizeRelV relativeFrom="page">
            <wp14:pctHeight>0</wp14:pctHeight>
          </wp14:sizeRelV>
        </wp:anchor>
      </w:drawing>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FF6E5" w14:textId="77777777" w:rsidR="00924EF8" w:rsidRDefault="00924EF8" w:rsidP="00C36598">
    <w:pPr>
      <w:pStyle w:val="Header"/>
    </w:pPr>
    <w:r>
      <w:rPr>
        <w:noProof/>
        <w:lang w:val="en-AU" w:eastAsia="en-AU"/>
      </w:rPr>
      <w:drawing>
        <wp:anchor distT="0" distB="0" distL="114300" distR="114300" simplePos="0" relativeHeight="251773952" behindDoc="1" locked="0" layoutInCell="1" allowOverlap="0" wp14:anchorId="16B27917" wp14:editId="57DC18E2">
          <wp:simplePos x="647700" y="361950"/>
          <wp:positionH relativeFrom="page">
            <wp:align>center</wp:align>
          </wp:positionH>
          <wp:positionV relativeFrom="page">
            <wp:align>top</wp:align>
          </wp:positionV>
          <wp:extent cx="6336000" cy="8999619"/>
          <wp:effectExtent l="0" t="0" r="8255" b="0"/>
          <wp:wrapNone/>
          <wp:docPr id="4" name="Picture 4"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ection 5_page 7.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6000" cy="8999619"/>
                  </a:xfrm>
                  <a:prstGeom prst="rect">
                    <a:avLst/>
                  </a:prstGeom>
                </pic:spPr>
              </pic:pic>
            </a:graphicData>
          </a:graphic>
          <wp14:sizeRelH relativeFrom="margin">
            <wp14:pctWidth>0</wp14:pctWidth>
          </wp14:sizeRelH>
          <wp14:sizeRelV relativeFrom="margin">
            <wp14:pctHeight>0</wp14:pctHeight>
          </wp14:sizeRelV>
        </wp:anchor>
      </w:drawing>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4185B" w14:textId="77777777" w:rsidR="00924EF8" w:rsidRDefault="00924EF8" w:rsidP="00C36598">
    <w:pPr>
      <w:pStyle w:val="Header"/>
    </w:pPr>
    <w:r>
      <w:rPr>
        <w:noProof/>
        <w:lang w:val="en-AU" w:eastAsia="en-AU"/>
      </w:rPr>
      <w:drawing>
        <wp:anchor distT="0" distB="0" distL="114300" distR="114300" simplePos="0" relativeHeight="251776000" behindDoc="1" locked="0" layoutInCell="1" allowOverlap="0" wp14:anchorId="31B3726A" wp14:editId="4C391DF4">
          <wp:simplePos x="0" y="0"/>
          <wp:positionH relativeFrom="page">
            <wp:align>left</wp:align>
          </wp:positionH>
          <wp:positionV relativeFrom="page">
            <wp:align>top</wp:align>
          </wp:positionV>
          <wp:extent cx="6335994" cy="8999611"/>
          <wp:effectExtent l="0" t="0" r="8255" b="0"/>
          <wp:wrapNone/>
          <wp:docPr id="5" name="Picture 5"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s page 1.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5994" cy="8999611"/>
                  </a:xfrm>
                  <a:prstGeom prst="rect">
                    <a:avLst/>
                  </a:prstGeom>
                </pic:spPr>
              </pic:pic>
            </a:graphicData>
          </a:graphic>
          <wp14:sizeRelH relativeFrom="page">
            <wp14:pctWidth>0</wp14:pctWidth>
          </wp14:sizeRelH>
          <wp14:sizeRelV relativeFrom="page">
            <wp14:pctHeight>0</wp14:pctHeight>
          </wp14:sizeRelV>
        </wp:anchor>
      </w:drawing>
    </w:r>
    <w:r>
      <w:t>6</w:t>
    </w:r>
    <w:r w:rsidRPr="00347A7C">
      <w:t>. </w:t>
    </w:r>
    <w:r>
      <w:t xml:space="preserve">Appendices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50C9C" w14:textId="77777777" w:rsidR="00924EF8" w:rsidRDefault="00924EF8" w:rsidP="00C36598">
    <w:pPr>
      <w:pStyle w:val="Header"/>
    </w:pPr>
    <w:r>
      <w:rPr>
        <w:noProof/>
        <w:lang w:val="en-AU" w:eastAsia="en-AU"/>
      </w:rPr>
      <w:drawing>
        <wp:anchor distT="0" distB="0" distL="114300" distR="114300" simplePos="0" relativeHeight="251665408" behindDoc="1" locked="0" layoutInCell="1" allowOverlap="0" wp14:anchorId="2F6BFEDC" wp14:editId="5D1CF84A">
          <wp:simplePos x="0" y="0"/>
          <wp:positionH relativeFrom="page">
            <wp:align>left</wp:align>
          </wp:positionH>
          <wp:positionV relativeFrom="page">
            <wp:align>top</wp:align>
          </wp:positionV>
          <wp:extent cx="6336000" cy="9000000"/>
          <wp:effectExtent l="0" t="0" r="8255" b="0"/>
          <wp:wrapNone/>
          <wp:docPr id="116" name="Picture 116"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s page 1.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6000" cy="9000000"/>
                  </a:xfrm>
                  <a:prstGeom prst="rect">
                    <a:avLst/>
                  </a:prstGeom>
                </pic:spPr>
              </pic:pic>
            </a:graphicData>
          </a:graphic>
          <wp14:sizeRelH relativeFrom="page">
            <wp14:pctWidth>0</wp14:pctWidth>
          </wp14:sizeRelH>
          <wp14:sizeRelV relativeFrom="page">
            <wp14:pctHeight>0</wp14:pctHeight>
          </wp14:sizeRelV>
        </wp:anchor>
      </w:drawing>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DD2FE" w14:textId="77777777" w:rsidR="00924EF8" w:rsidRDefault="00924EF8" w:rsidP="00C36598">
    <w:pPr>
      <w:pStyle w:val="Header"/>
    </w:pPr>
    <w:r>
      <w:rPr>
        <w:noProof/>
        <w:lang w:val="en-AU" w:eastAsia="en-AU"/>
      </w:rPr>
      <w:drawing>
        <wp:anchor distT="0" distB="0" distL="114300" distR="114300" simplePos="0" relativeHeight="251777024" behindDoc="1" locked="0" layoutInCell="1" allowOverlap="0" wp14:anchorId="463F047D" wp14:editId="7A9C09FF">
          <wp:simplePos x="647700" y="361950"/>
          <wp:positionH relativeFrom="page">
            <wp:align>center</wp:align>
          </wp:positionH>
          <wp:positionV relativeFrom="page">
            <wp:align>top</wp:align>
          </wp:positionV>
          <wp:extent cx="6336000" cy="9000000"/>
          <wp:effectExtent l="0" t="0" r="8255" b="0"/>
          <wp:wrapNone/>
          <wp:docPr id="8" name="Picture 8"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ection 6_page 4.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6000" cy="90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940BA" w14:textId="77777777" w:rsidR="00924EF8" w:rsidRDefault="00924EF8" w:rsidP="00C36598">
    <w:pPr>
      <w:pStyle w:val="Header"/>
    </w:pPr>
    <w:r>
      <w:rPr>
        <w:noProof/>
        <w:lang w:val="en-AU" w:eastAsia="en-AU"/>
      </w:rPr>
      <w:drawing>
        <wp:anchor distT="0" distB="0" distL="114300" distR="114300" simplePos="0" relativeHeight="251779072" behindDoc="1" locked="0" layoutInCell="1" allowOverlap="0" wp14:anchorId="4F386CA1" wp14:editId="42AC3308">
          <wp:simplePos x="647700" y="361950"/>
          <wp:positionH relativeFrom="page">
            <wp:align>center</wp:align>
          </wp:positionH>
          <wp:positionV relativeFrom="page">
            <wp:align>top</wp:align>
          </wp:positionV>
          <wp:extent cx="6336000" cy="8999619"/>
          <wp:effectExtent l="0" t="0" r="8255" b="0"/>
          <wp:wrapNone/>
          <wp:docPr id="9" name="Picture 9"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ection 6_page 4.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6000" cy="8999619"/>
                  </a:xfrm>
                  <a:prstGeom prst="rect">
                    <a:avLst/>
                  </a:prstGeom>
                </pic:spPr>
              </pic:pic>
            </a:graphicData>
          </a:graphic>
          <wp14:sizeRelH relativeFrom="margin">
            <wp14:pctWidth>0</wp14:pctWidth>
          </wp14:sizeRelH>
          <wp14:sizeRelV relativeFrom="margin">
            <wp14:pctHeight>0</wp14:pctHeight>
          </wp14:sizeRelV>
        </wp:anchor>
      </w:drawing>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669F3" w14:textId="77777777" w:rsidR="00924EF8" w:rsidRDefault="00924EF8" w:rsidP="00C36598">
    <w:pPr>
      <w:pStyle w:val="Header"/>
    </w:pPr>
    <w:r>
      <w:rPr>
        <w:noProof/>
        <w:lang w:val="en-AU" w:eastAsia="en-AU"/>
      </w:rPr>
      <w:drawing>
        <wp:anchor distT="0" distB="0" distL="114300" distR="114300" simplePos="0" relativeHeight="251781120" behindDoc="1" locked="0" layoutInCell="1" allowOverlap="0" wp14:anchorId="632E8BE0" wp14:editId="0BB905A4">
          <wp:simplePos x="0" y="0"/>
          <wp:positionH relativeFrom="page">
            <wp:align>left</wp:align>
          </wp:positionH>
          <wp:positionV relativeFrom="page">
            <wp:align>top</wp:align>
          </wp:positionV>
          <wp:extent cx="6335994" cy="8999610"/>
          <wp:effectExtent l="0" t="0" r="8255" b="0"/>
          <wp:wrapNone/>
          <wp:docPr id="13" name="Picture 13"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s page 1.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5994" cy="8999610"/>
                  </a:xfrm>
                  <a:prstGeom prst="rect">
                    <a:avLst/>
                  </a:prstGeom>
                </pic:spPr>
              </pic:pic>
            </a:graphicData>
          </a:graphic>
          <wp14:sizeRelH relativeFrom="page">
            <wp14:pctWidth>0</wp14:pctWidth>
          </wp14:sizeRelH>
          <wp14:sizeRelV relativeFrom="page">
            <wp14:pctHeight>0</wp14:pctHeight>
          </wp14:sizeRelV>
        </wp:anchor>
      </w:drawing>
    </w:r>
    <w:r>
      <w:t xml:space="preserve"> </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F5FD8" w14:textId="77777777" w:rsidR="00924EF8" w:rsidRDefault="00924EF8" w:rsidP="00C36598">
    <w:pPr>
      <w:pStyle w:val="Header"/>
    </w:pPr>
    <w:r>
      <w:rPr>
        <w:noProof/>
        <w:lang w:val="en-AU" w:eastAsia="en-AU"/>
      </w:rPr>
      <w:drawing>
        <wp:anchor distT="0" distB="0" distL="114300" distR="114300" simplePos="0" relativeHeight="251783168" behindDoc="1" locked="0" layoutInCell="1" allowOverlap="0" wp14:anchorId="541A2251" wp14:editId="09A3710B">
          <wp:simplePos x="647700" y="361950"/>
          <wp:positionH relativeFrom="page">
            <wp:align>center</wp:align>
          </wp:positionH>
          <wp:positionV relativeFrom="page">
            <wp:align>top</wp:align>
          </wp:positionV>
          <wp:extent cx="6335999" cy="8999619"/>
          <wp:effectExtent l="0" t="0" r="8255" b="0"/>
          <wp:wrapNone/>
          <wp:docPr id="14" name="Picture 14"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ection 6_page 4.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5999" cy="8999619"/>
                  </a:xfrm>
                  <a:prstGeom prst="rect">
                    <a:avLst/>
                  </a:prstGeom>
                </pic:spPr>
              </pic:pic>
            </a:graphicData>
          </a:graphic>
          <wp14:sizeRelH relativeFrom="margin">
            <wp14:pctWidth>0</wp14:pctWidth>
          </wp14:sizeRelH>
          <wp14:sizeRelV relativeFrom="margin">
            <wp14:pctHeight>0</wp14:pctHeight>
          </wp14:sizeRelV>
        </wp:anchor>
      </w:drawing>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C023E" w14:textId="77777777" w:rsidR="00924EF8" w:rsidRDefault="00924EF8" w:rsidP="00C36598">
    <w:pPr>
      <w:pStyle w:val="Header"/>
    </w:pPr>
    <w:r>
      <w:rPr>
        <w:noProof/>
        <w:lang w:val="en-AU" w:eastAsia="en-AU"/>
      </w:rPr>
      <w:drawing>
        <wp:anchor distT="0" distB="0" distL="114300" distR="114300" simplePos="0" relativeHeight="251785216" behindDoc="1" locked="0" layoutInCell="1" allowOverlap="0" wp14:anchorId="5E3470E3" wp14:editId="1CDB8FA8">
          <wp:simplePos x="0" y="0"/>
          <wp:positionH relativeFrom="page">
            <wp:align>left</wp:align>
          </wp:positionH>
          <wp:positionV relativeFrom="page">
            <wp:align>top</wp:align>
          </wp:positionV>
          <wp:extent cx="6335993" cy="8999610"/>
          <wp:effectExtent l="0" t="0" r="8255" b="0"/>
          <wp:wrapNone/>
          <wp:docPr id="15" name="Picture 15"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s page 1.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5993" cy="8999610"/>
                  </a:xfrm>
                  <a:prstGeom prst="rect">
                    <a:avLst/>
                  </a:prstGeom>
                </pic:spPr>
              </pic:pic>
            </a:graphicData>
          </a:graphic>
          <wp14:sizeRelH relativeFrom="page">
            <wp14:pctWidth>0</wp14:pctWidth>
          </wp14:sizeRelH>
          <wp14:sizeRelV relativeFrom="page">
            <wp14:pctHeight>0</wp14:pctHeight>
          </wp14:sizeRelV>
        </wp:anchor>
      </w:drawing>
    </w:r>
    <w:r>
      <w:t>7</w:t>
    </w:r>
    <w:r w:rsidRPr="00347A7C">
      <w:t>. </w:t>
    </w:r>
    <w:r>
      <w:t>Indexes and References</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9B651" w14:textId="77777777" w:rsidR="00924EF8" w:rsidRDefault="00924EF8" w:rsidP="00C36598">
    <w:pPr>
      <w:pStyle w:val="Header"/>
    </w:pPr>
    <w:r>
      <w:rPr>
        <w:noProof/>
        <w:lang w:val="en-AU" w:eastAsia="en-AU"/>
      </w:rPr>
      <w:drawing>
        <wp:anchor distT="0" distB="0" distL="114300" distR="114300" simplePos="0" relativeHeight="251787264" behindDoc="1" locked="0" layoutInCell="1" allowOverlap="0" wp14:anchorId="2E22D5AE" wp14:editId="096C5027">
          <wp:simplePos x="647700" y="361950"/>
          <wp:positionH relativeFrom="page">
            <wp:align>center</wp:align>
          </wp:positionH>
          <wp:positionV relativeFrom="page">
            <wp:align>top</wp:align>
          </wp:positionV>
          <wp:extent cx="6335999" cy="8999617"/>
          <wp:effectExtent l="0" t="0" r="8255" b="0"/>
          <wp:wrapNone/>
          <wp:docPr id="20" name="Picture 20"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ection 6_page 4.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5999" cy="8999617"/>
                  </a:xfrm>
                  <a:prstGeom prst="rect">
                    <a:avLst/>
                  </a:prstGeom>
                </pic:spPr>
              </pic:pic>
            </a:graphicData>
          </a:graphic>
          <wp14:sizeRelH relativeFrom="margin">
            <wp14:pctWidth>0</wp14:pctWidth>
          </wp14:sizeRelH>
          <wp14:sizeRelV relativeFrom="margin">
            <wp14:pctHeight>0</wp14:pctHeight>
          </wp14:sizeRelV>
        </wp:anchor>
      </w:drawing>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BCCD0" w14:textId="77777777" w:rsidR="00924EF8" w:rsidRDefault="00924EF8" w:rsidP="00C36598">
    <w:pPr>
      <w:pStyle w:val="Header"/>
    </w:pPr>
    <w:r>
      <w:rPr>
        <w:noProof/>
        <w:lang w:val="en-AU" w:eastAsia="en-AU"/>
      </w:rPr>
      <w:drawing>
        <wp:anchor distT="0" distB="0" distL="114300" distR="114300" simplePos="0" relativeHeight="251789312" behindDoc="1" locked="0" layoutInCell="1" allowOverlap="0" wp14:anchorId="1B4B96C7" wp14:editId="3DE40305">
          <wp:simplePos x="647700" y="361950"/>
          <wp:positionH relativeFrom="page">
            <wp:align>center</wp:align>
          </wp:positionH>
          <wp:positionV relativeFrom="page">
            <wp:align>top</wp:align>
          </wp:positionV>
          <wp:extent cx="6335998" cy="8999617"/>
          <wp:effectExtent l="0" t="0" r="8255" b="0"/>
          <wp:wrapNone/>
          <wp:docPr id="22" name="Picture 22"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ection 6_page 4.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5998" cy="8999617"/>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D55BB" w14:textId="77777777" w:rsidR="00924EF8" w:rsidRDefault="00924EF8" w:rsidP="00C36598">
    <w:pPr>
      <w:pStyle w:val="Header"/>
    </w:pPr>
    <w:r>
      <w:rPr>
        <w:noProof/>
        <w:lang w:val="en-AU" w:eastAsia="en-AU"/>
      </w:rPr>
      <w:drawing>
        <wp:anchor distT="0" distB="0" distL="114300" distR="114300" simplePos="0" relativeHeight="251667456" behindDoc="1" locked="0" layoutInCell="1" allowOverlap="1" wp14:anchorId="3B6E1BD4" wp14:editId="0A2E71E8">
          <wp:simplePos x="914400" y="450850"/>
          <wp:positionH relativeFrom="page">
            <wp:align>center</wp:align>
          </wp:positionH>
          <wp:positionV relativeFrom="page">
            <wp:align>top</wp:align>
          </wp:positionV>
          <wp:extent cx="6336000" cy="9000000"/>
          <wp:effectExtent l="0" t="0" r="8255" b="0"/>
          <wp:wrapNone/>
          <wp:docPr id="117" name="Picture 117"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ents page 2.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6000" cy="90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5E0BB" w14:textId="77777777" w:rsidR="00924EF8" w:rsidRDefault="00924EF8" w:rsidP="00C36598">
    <w:pPr>
      <w:pStyle w:val="Header"/>
    </w:pPr>
    <w:r>
      <w:rPr>
        <w:noProof/>
        <w:lang w:val="en-AU" w:eastAsia="en-AU"/>
      </w:rPr>
      <w:drawing>
        <wp:anchor distT="0" distB="0" distL="114300" distR="114300" simplePos="0" relativeHeight="251669504" behindDoc="1" locked="0" layoutInCell="1" allowOverlap="0" wp14:anchorId="32D4753F" wp14:editId="1BA2D2EC">
          <wp:simplePos x="0" y="0"/>
          <wp:positionH relativeFrom="page">
            <wp:align>left</wp:align>
          </wp:positionH>
          <wp:positionV relativeFrom="page">
            <wp:align>top</wp:align>
          </wp:positionV>
          <wp:extent cx="6336000" cy="9000000"/>
          <wp:effectExtent l="0" t="0" r="8255" b="0"/>
          <wp:wrapNone/>
          <wp:docPr id="118" name="Picture 118"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s page 1.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6000" cy="9000000"/>
                  </a:xfrm>
                  <a:prstGeom prst="rect">
                    <a:avLst/>
                  </a:prstGeom>
                </pic:spPr>
              </pic:pic>
            </a:graphicData>
          </a:graphic>
          <wp14:sizeRelH relativeFrom="page">
            <wp14:pctWidth>0</wp14:pctWidth>
          </wp14:sizeRelH>
          <wp14:sizeRelV relativeFrom="page">
            <wp14:pctHeight>0</wp14:pctHeight>
          </wp14:sizeRelV>
        </wp:anchor>
      </w:drawing>
    </w:r>
    <w:r>
      <w:t>1. Overview</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533F1" w14:textId="77777777" w:rsidR="00924EF8" w:rsidRDefault="00924EF8" w:rsidP="00C36598">
    <w:pPr>
      <w:pStyle w:val="Header"/>
    </w:pPr>
    <w:r>
      <w:rPr>
        <w:noProof/>
        <w:lang w:val="en-AU" w:eastAsia="en-AU"/>
      </w:rPr>
      <w:drawing>
        <wp:anchor distT="0" distB="0" distL="114300" distR="114300" simplePos="0" relativeHeight="251671552" behindDoc="1" locked="0" layoutInCell="1" allowOverlap="1" wp14:anchorId="508263D4" wp14:editId="353C896B">
          <wp:simplePos x="914400" y="450850"/>
          <wp:positionH relativeFrom="page">
            <wp:align>center</wp:align>
          </wp:positionH>
          <wp:positionV relativeFrom="page">
            <wp:align>top</wp:align>
          </wp:positionV>
          <wp:extent cx="6336000" cy="9000000"/>
          <wp:effectExtent l="0" t="0" r="8255" b="0"/>
          <wp:wrapNone/>
          <wp:docPr id="119" name="Picture 119"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ents page 2.jpg"/>
                  <pic:cNvPicPr/>
                </pic:nvPicPr>
                <pic:blipFill>
                  <a:blip r:embed="rId1" cstate="screen">
                    <a:extLst>
                      <a:ext uri="{28A0092B-C50C-407E-A947-70E740481C1C}">
                        <a14:useLocalDpi xmlns:a14="http://schemas.microsoft.com/office/drawing/2010/main"/>
                      </a:ext>
                    </a:extLst>
                  </a:blip>
                  <a:stretch>
                    <a:fillRect/>
                  </a:stretch>
                </pic:blipFill>
                <pic:spPr>
                  <a:xfrm>
                    <a:off x="0" y="0"/>
                    <a:ext cx="6336000" cy="900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74181"/>
    <w:multiLevelType w:val="hybridMultilevel"/>
    <w:tmpl w:val="497204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57C5ED8"/>
    <w:multiLevelType w:val="hybridMultilevel"/>
    <w:tmpl w:val="16FAC558"/>
    <w:lvl w:ilvl="0" w:tplc="4B4E7434">
      <w:start w:val="1"/>
      <w:numFmt w:val="bullet"/>
      <w:pStyle w:val="Bullets"/>
      <w:lvlText w:val=""/>
      <w:lvlJc w:val="left"/>
      <w:pPr>
        <w:ind w:left="720" w:hanging="360"/>
      </w:pPr>
      <w:rPr>
        <w:rFonts w:ascii="Symbol" w:hAnsi="Symbol" w:hint="default"/>
        <w:color w:val="837C6C" w:themeColor="accent4"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804B1D"/>
    <w:multiLevelType w:val="hybridMultilevel"/>
    <w:tmpl w:val="47E45CF2"/>
    <w:lvl w:ilvl="0" w:tplc="377C0A14">
      <w:start w:val="1"/>
      <w:numFmt w:val="decimal"/>
      <w:pStyle w:val="TOCHeading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E0D6F0A"/>
    <w:multiLevelType w:val="hybridMultilevel"/>
    <w:tmpl w:val="4302F91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57E5012"/>
    <w:multiLevelType w:val="hybridMultilevel"/>
    <w:tmpl w:val="F774BD52"/>
    <w:lvl w:ilvl="0" w:tplc="44363430">
      <w:start w:val="1"/>
      <w:numFmt w:val="bullet"/>
      <w:pStyle w:val="Tablebullets"/>
      <w:lvlText w:val=""/>
      <w:lvlJc w:val="left"/>
      <w:pPr>
        <w:ind w:left="720" w:hanging="360"/>
      </w:pPr>
      <w:rPr>
        <w:rFonts w:ascii="Symbol" w:hAnsi="Symbol" w:hint="default"/>
        <w:color w:val="837C6C" w:themeColor="accent4"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FED28A8"/>
    <w:multiLevelType w:val="hybridMultilevel"/>
    <w:tmpl w:val="BDF26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3764385"/>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3B24672"/>
    <w:multiLevelType w:val="hybridMultilevel"/>
    <w:tmpl w:val="9DEC0CA8"/>
    <w:lvl w:ilvl="0" w:tplc="0C090017">
      <w:start w:val="1"/>
      <w:numFmt w:val="lowerLetter"/>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8">
    <w:nsid w:val="5BAF10CF"/>
    <w:multiLevelType w:val="hybridMultilevel"/>
    <w:tmpl w:val="91948866"/>
    <w:lvl w:ilvl="0" w:tplc="3E3A8DD6">
      <w:start w:val="1"/>
      <w:numFmt w:val="bullet"/>
      <w:pStyle w:val="Lettertextbullets"/>
      <w:lvlText w:val=""/>
      <w:lvlJc w:val="left"/>
      <w:pPr>
        <w:ind w:left="720" w:hanging="360"/>
      </w:pPr>
      <w:rPr>
        <w:rFonts w:ascii="Symbol" w:hAnsi="Symbol" w:hint="default"/>
        <w:color w:val="837C6C" w:themeColor="accent4"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F4F5509"/>
    <w:multiLevelType w:val="hybridMultilevel"/>
    <w:tmpl w:val="97C015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9"/>
  </w:num>
  <w:num w:numId="3">
    <w:abstractNumId w:val="0"/>
  </w:num>
  <w:num w:numId="4">
    <w:abstractNumId w:val="1"/>
  </w:num>
  <w:num w:numId="5">
    <w:abstractNumId w:val="4"/>
  </w:num>
  <w:num w:numId="6">
    <w:abstractNumId w:val="2"/>
  </w:num>
  <w:num w:numId="7">
    <w:abstractNumId w:val="6"/>
  </w:num>
  <w:num w:numId="8">
    <w:abstractNumId w:val="7"/>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mirrorMargins/>
  <w:proofState w:spelling="clean" w:grammar="clean"/>
  <w:stylePaneFormatFilter w:val="1121" w:allStyles="1" w:customStyles="0" w:latentStyles="0" w:stylesInUse="0" w:headingStyles="1" w:numberingStyles="0" w:tableStyles="0" w:directFormattingOnRuns="1"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3E9"/>
    <w:rsid w:val="00004B89"/>
    <w:rsid w:val="00011CF0"/>
    <w:rsid w:val="000258B1"/>
    <w:rsid w:val="00027CB2"/>
    <w:rsid w:val="000446B6"/>
    <w:rsid w:val="00046497"/>
    <w:rsid w:val="00057146"/>
    <w:rsid w:val="000674E6"/>
    <w:rsid w:val="000A1350"/>
    <w:rsid w:val="000A47E1"/>
    <w:rsid w:val="000C1726"/>
    <w:rsid w:val="000E2719"/>
    <w:rsid w:val="0011663A"/>
    <w:rsid w:val="00132D0C"/>
    <w:rsid w:val="0015139A"/>
    <w:rsid w:val="00153671"/>
    <w:rsid w:val="001640CE"/>
    <w:rsid w:val="001833B3"/>
    <w:rsid w:val="00195B38"/>
    <w:rsid w:val="00195E07"/>
    <w:rsid w:val="001A2157"/>
    <w:rsid w:val="001B182A"/>
    <w:rsid w:val="001B2816"/>
    <w:rsid w:val="001D1DA5"/>
    <w:rsid w:val="001F7188"/>
    <w:rsid w:val="002214DD"/>
    <w:rsid w:val="002215A6"/>
    <w:rsid w:val="00230C98"/>
    <w:rsid w:val="00246359"/>
    <w:rsid w:val="002513B9"/>
    <w:rsid w:val="002539C2"/>
    <w:rsid w:val="00261A75"/>
    <w:rsid w:val="00263EF8"/>
    <w:rsid w:val="0027340F"/>
    <w:rsid w:val="002839DD"/>
    <w:rsid w:val="002872D8"/>
    <w:rsid w:val="00295140"/>
    <w:rsid w:val="00297F6E"/>
    <w:rsid w:val="002A58B5"/>
    <w:rsid w:val="002B4F27"/>
    <w:rsid w:val="002D0665"/>
    <w:rsid w:val="002D6AA9"/>
    <w:rsid w:val="002D796E"/>
    <w:rsid w:val="002F12C7"/>
    <w:rsid w:val="003123F3"/>
    <w:rsid w:val="00343E72"/>
    <w:rsid w:val="003463E2"/>
    <w:rsid w:val="00347A7C"/>
    <w:rsid w:val="003513D8"/>
    <w:rsid w:val="00352008"/>
    <w:rsid w:val="00354EAF"/>
    <w:rsid w:val="003564F0"/>
    <w:rsid w:val="00365A86"/>
    <w:rsid w:val="003B626B"/>
    <w:rsid w:val="003B754D"/>
    <w:rsid w:val="003D2CC7"/>
    <w:rsid w:val="003D3323"/>
    <w:rsid w:val="003F393F"/>
    <w:rsid w:val="00415AA7"/>
    <w:rsid w:val="00426558"/>
    <w:rsid w:val="00427488"/>
    <w:rsid w:val="0044323F"/>
    <w:rsid w:val="00445743"/>
    <w:rsid w:val="00454565"/>
    <w:rsid w:val="0045757A"/>
    <w:rsid w:val="00464333"/>
    <w:rsid w:val="0047553F"/>
    <w:rsid w:val="0047700B"/>
    <w:rsid w:val="00496BA2"/>
    <w:rsid w:val="004B6C41"/>
    <w:rsid w:val="004D7AD7"/>
    <w:rsid w:val="004F138E"/>
    <w:rsid w:val="00500986"/>
    <w:rsid w:val="00505D1D"/>
    <w:rsid w:val="00506394"/>
    <w:rsid w:val="00506B95"/>
    <w:rsid w:val="005207F5"/>
    <w:rsid w:val="00547042"/>
    <w:rsid w:val="00552D01"/>
    <w:rsid w:val="005A0D2B"/>
    <w:rsid w:val="005D03E9"/>
    <w:rsid w:val="005D18CB"/>
    <w:rsid w:val="005E0173"/>
    <w:rsid w:val="005E0AFC"/>
    <w:rsid w:val="005E6960"/>
    <w:rsid w:val="005F1364"/>
    <w:rsid w:val="005F6613"/>
    <w:rsid w:val="006024E9"/>
    <w:rsid w:val="00604089"/>
    <w:rsid w:val="00611B17"/>
    <w:rsid w:val="00640684"/>
    <w:rsid w:val="00640B9D"/>
    <w:rsid w:val="006675CF"/>
    <w:rsid w:val="0067547E"/>
    <w:rsid w:val="006B355C"/>
    <w:rsid w:val="006B5123"/>
    <w:rsid w:val="006C23A0"/>
    <w:rsid w:val="006E6209"/>
    <w:rsid w:val="00731D29"/>
    <w:rsid w:val="007430AC"/>
    <w:rsid w:val="007545C1"/>
    <w:rsid w:val="00757456"/>
    <w:rsid w:val="007718AE"/>
    <w:rsid w:val="00776130"/>
    <w:rsid w:val="007A5403"/>
    <w:rsid w:val="007B2B86"/>
    <w:rsid w:val="007C3F2D"/>
    <w:rsid w:val="007D7BC6"/>
    <w:rsid w:val="007E21F6"/>
    <w:rsid w:val="007F42F8"/>
    <w:rsid w:val="00816ABE"/>
    <w:rsid w:val="00817C50"/>
    <w:rsid w:val="008224F8"/>
    <w:rsid w:val="00864C63"/>
    <w:rsid w:val="00874274"/>
    <w:rsid w:val="008768B0"/>
    <w:rsid w:val="00885BE7"/>
    <w:rsid w:val="00890266"/>
    <w:rsid w:val="008951EC"/>
    <w:rsid w:val="00897446"/>
    <w:rsid w:val="008A2CB7"/>
    <w:rsid w:val="008F3C87"/>
    <w:rsid w:val="009217F2"/>
    <w:rsid w:val="00924EF8"/>
    <w:rsid w:val="00925D12"/>
    <w:rsid w:val="00932BFE"/>
    <w:rsid w:val="00941CB1"/>
    <w:rsid w:val="0094316D"/>
    <w:rsid w:val="0095432F"/>
    <w:rsid w:val="00954605"/>
    <w:rsid w:val="0096509F"/>
    <w:rsid w:val="00965C3F"/>
    <w:rsid w:val="0097478C"/>
    <w:rsid w:val="00974D38"/>
    <w:rsid w:val="00981093"/>
    <w:rsid w:val="009858ED"/>
    <w:rsid w:val="00992C37"/>
    <w:rsid w:val="00993939"/>
    <w:rsid w:val="009B6DAF"/>
    <w:rsid w:val="009B70D2"/>
    <w:rsid w:val="009C4D0C"/>
    <w:rsid w:val="009D3EDB"/>
    <w:rsid w:val="009E155B"/>
    <w:rsid w:val="009F1AAF"/>
    <w:rsid w:val="00A01217"/>
    <w:rsid w:val="00A0796A"/>
    <w:rsid w:val="00A20E04"/>
    <w:rsid w:val="00A36C34"/>
    <w:rsid w:val="00A50D2D"/>
    <w:rsid w:val="00A56909"/>
    <w:rsid w:val="00A66E3B"/>
    <w:rsid w:val="00A728C2"/>
    <w:rsid w:val="00A92BB1"/>
    <w:rsid w:val="00AA7B44"/>
    <w:rsid w:val="00AA7EB3"/>
    <w:rsid w:val="00AB2AE6"/>
    <w:rsid w:val="00AC24A4"/>
    <w:rsid w:val="00AC31DF"/>
    <w:rsid w:val="00AD0CFF"/>
    <w:rsid w:val="00AD48C3"/>
    <w:rsid w:val="00AD4E01"/>
    <w:rsid w:val="00AE5F74"/>
    <w:rsid w:val="00B1378B"/>
    <w:rsid w:val="00B32099"/>
    <w:rsid w:val="00B36313"/>
    <w:rsid w:val="00B45FF5"/>
    <w:rsid w:val="00B6092A"/>
    <w:rsid w:val="00B72246"/>
    <w:rsid w:val="00B744F1"/>
    <w:rsid w:val="00B91479"/>
    <w:rsid w:val="00BA1347"/>
    <w:rsid w:val="00BA2A1F"/>
    <w:rsid w:val="00BA605F"/>
    <w:rsid w:val="00C0483F"/>
    <w:rsid w:val="00C116BD"/>
    <w:rsid w:val="00C22F1D"/>
    <w:rsid w:val="00C36315"/>
    <w:rsid w:val="00C36598"/>
    <w:rsid w:val="00C501BF"/>
    <w:rsid w:val="00C505AD"/>
    <w:rsid w:val="00C62431"/>
    <w:rsid w:val="00C84796"/>
    <w:rsid w:val="00C90DA4"/>
    <w:rsid w:val="00C9282C"/>
    <w:rsid w:val="00C97622"/>
    <w:rsid w:val="00CA582A"/>
    <w:rsid w:val="00CC7B8B"/>
    <w:rsid w:val="00CD22D0"/>
    <w:rsid w:val="00CF377B"/>
    <w:rsid w:val="00D10CB4"/>
    <w:rsid w:val="00D1141A"/>
    <w:rsid w:val="00D20916"/>
    <w:rsid w:val="00D246E3"/>
    <w:rsid w:val="00D4025B"/>
    <w:rsid w:val="00D62B78"/>
    <w:rsid w:val="00D651C5"/>
    <w:rsid w:val="00D756F7"/>
    <w:rsid w:val="00D80F6C"/>
    <w:rsid w:val="00D87CD0"/>
    <w:rsid w:val="00D96672"/>
    <w:rsid w:val="00DB4ED7"/>
    <w:rsid w:val="00DC040A"/>
    <w:rsid w:val="00DE4394"/>
    <w:rsid w:val="00DF314E"/>
    <w:rsid w:val="00DF68E5"/>
    <w:rsid w:val="00E023BE"/>
    <w:rsid w:val="00E06927"/>
    <w:rsid w:val="00E14DD3"/>
    <w:rsid w:val="00E2255E"/>
    <w:rsid w:val="00E3219B"/>
    <w:rsid w:val="00E33989"/>
    <w:rsid w:val="00E340EF"/>
    <w:rsid w:val="00E6472D"/>
    <w:rsid w:val="00E914A8"/>
    <w:rsid w:val="00E9324F"/>
    <w:rsid w:val="00EB2C5F"/>
    <w:rsid w:val="00EB7AF1"/>
    <w:rsid w:val="00ED4BF4"/>
    <w:rsid w:val="00ED4C36"/>
    <w:rsid w:val="00F22104"/>
    <w:rsid w:val="00F508A0"/>
    <w:rsid w:val="00F5152E"/>
    <w:rsid w:val="00F531AA"/>
    <w:rsid w:val="00F64A4C"/>
    <w:rsid w:val="00F74C9E"/>
    <w:rsid w:val="00F81B5F"/>
    <w:rsid w:val="00F825EF"/>
    <w:rsid w:val="00F84D61"/>
    <w:rsid w:val="00FA117E"/>
    <w:rsid w:val="00FF07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DED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82C"/>
    <w:pPr>
      <w:spacing w:after="0" w:line="240" w:lineRule="auto"/>
    </w:pPr>
    <w:rPr>
      <w:rFonts w:ascii="Arial" w:hAnsi="Arial"/>
      <w:sz w:val="18"/>
    </w:rPr>
  </w:style>
  <w:style w:type="paragraph" w:styleId="Heading1">
    <w:name w:val="heading 1"/>
    <w:basedOn w:val="Normal"/>
    <w:next w:val="Normal"/>
    <w:link w:val="Heading1Char"/>
    <w:uiPriority w:val="9"/>
    <w:qFormat/>
    <w:rsid w:val="00F84D61"/>
    <w:pPr>
      <w:keepNext/>
      <w:keepLines/>
      <w:spacing w:after="170" w:line="400" w:lineRule="atLeast"/>
      <w:outlineLvl w:val="0"/>
    </w:pPr>
    <w:rPr>
      <w:rFonts w:eastAsiaTheme="majorEastAsia" w:cstheme="majorBidi"/>
      <w:b/>
      <w:color w:val="434547" w:themeColor="text2"/>
      <w:sz w:val="36"/>
      <w:szCs w:val="32"/>
    </w:rPr>
  </w:style>
  <w:style w:type="paragraph" w:styleId="Heading2">
    <w:name w:val="heading 2"/>
    <w:basedOn w:val="Normal"/>
    <w:next w:val="Normal"/>
    <w:link w:val="Heading2Char"/>
    <w:uiPriority w:val="9"/>
    <w:unhideWhenUsed/>
    <w:qFormat/>
    <w:rsid w:val="00890266"/>
    <w:pPr>
      <w:keepNext/>
      <w:keepLines/>
      <w:spacing w:after="85" w:line="300" w:lineRule="atLeast"/>
      <w:outlineLvl w:val="1"/>
    </w:pPr>
    <w:rPr>
      <w:rFonts w:eastAsiaTheme="majorEastAsia" w:cs="Arial"/>
      <w:b/>
      <w:color w:val="434547" w:themeColor="text2"/>
      <w:sz w:val="26"/>
      <w:szCs w:val="26"/>
    </w:rPr>
  </w:style>
  <w:style w:type="paragraph" w:styleId="Heading3">
    <w:name w:val="heading 3"/>
    <w:basedOn w:val="Normal"/>
    <w:next w:val="Normal"/>
    <w:link w:val="Heading3Char"/>
    <w:uiPriority w:val="9"/>
    <w:unhideWhenUsed/>
    <w:qFormat/>
    <w:rsid w:val="007430AC"/>
    <w:pPr>
      <w:keepNext/>
      <w:keepLines/>
      <w:spacing w:after="57" w:line="240" w:lineRule="atLeast"/>
      <w:outlineLvl w:val="2"/>
    </w:pPr>
    <w:rPr>
      <w:rFonts w:eastAsiaTheme="majorEastAsia" w:cs="Arial"/>
      <w:b/>
      <w:color w:val="434547" w:themeColor="text2"/>
      <w:sz w:val="20"/>
      <w:szCs w:val="20"/>
      <w:lang w:val="en-AU"/>
    </w:rPr>
  </w:style>
  <w:style w:type="paragraph" w:styleId="Heading4">
    <w:name w:val="heading 4"/>
    <w:basedOn w:val="Normal"/>
    <w:next w:val="Normal"/>
    <w:link w:val="Heading4Char"/>
    <w:uiPriority w:val="9"/>
    <w:unhideWhenUsed/>
    <w:qFormat/>
    <w:rsid w:val="002215A6"/>
    <w:pPr>
      <w:keepNext/>
      <w:keepLines/>
      <w:spacing w:before="40"/>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E5F74"/>
    <w:pPr>
      <w:tabs>
        <w:tab w:val="center" w:pos="4513"/>
        <w:tab w:val="right" w:pos="9026"/>
      </w:tabs>
    </w:pPr>
    <w:rPr>
      <w:b/>
      <w:color w:val="FFFFFF" w:themeColor="background2"/>
      <w:sz w:val="24"/>
    </w:rPr>
  </w:style>
  <w:style w:type="character" w:customStyle="1" w:styleId="HeaderChar">
    <w:name w:val="Header Char"/>
    <w:basedOn w:val="DefaultParagraphFont"/>
    <w:link w:val="Header"/>
    <w:uiPriority w:val="99"/>
    <w:rsid w:val="00AE5F74"/>
    <w:rPr>
      <w:rFonts w:ascii="Arial" w:hAnsi="Arial"/>
      <w:b/>
      <w:color w:val="FFFFFF" w:themeColor="background2"/>
      <w:sz w:val="24"/>
    </w:rPr>
  </w:style>
  <w:style w:type="paragraph" w:styleId="Footer">
    <w:name w:val="footer"/>
    <w:basedOn w:val="Normal"/>
    <w:link w:val="FooterChar"/>
    <w:uiPriority w:val="99"/>
    <w:unhideWhenUsed/>
    <w:rsid w:val="007F42F8"/>
    <w:pPr>
      <w:tabs>
        <w:tab w:val="center" w:pos="4513"/>
        <w:tab w:val="right" w:pos="9026"/>
      </w:tabs>
      <w:spacing w:line="240" w:lineRule="atLeast"/>
    </w:pPr>
    <w:rPr>
      <w:color w:val="434547" w:themeColor="text2"/>
      <w:sz w:val="16"/>
    </w:rPr>
  </w:style>
  <w:style w:type="character" w:customStyle="1" w:styleId="FooterChar">
    <w:name w:val="Footer Char"/>
    <w:basedOn w:val="DefaultParagraphFont"/>
    <w:link w:val="Footer"/>
    <w:uiPriority w:val="99"/>
    <w:rsid w:val="007F42F8"/>
    <w:rPr>
      <w:rFonts w:ascii="Arial" w:hAnsi="Arial"/>
      <w:color w:val="434547" w:themeColor="text2"/>
      <w:sz w:val="16"/>
    </w:rPr>
  </w:style>
  <w:style w:type="paragraph" w:styleId="BodyText">
    <w:name w:val="Body Text"/>
    <w:basedOn w:val="Normal"/>
    <w:link w:val="BodyTextChar"/>
    <w:uiPriority w:val="99"/>
    <w:unhideWhenUsed/>
    <w:rsid w:val="00AE5F74"/>
    <w:pPr>
      <w:spacing w:after="170" w:line="240" w:lineRule="atLeast"/>
    </w:pPr>
  </w:style>
  <w:style w:type="character" w:customStyle="1" w:styleId="BodyTextChar">
    <w:name w:val="Body Text Char"/>
    <w:basedOn w:val="DefaultParagraphFont"/>
    <w:link w:val="BodyText"/>
    <w:uiPriority w:val="99"/>
    <w:rsid w:val="00AE5F74"/>
    <w:rPr>
      <w:rFonts w:ascii="Arial" w:hAnsi="Arial"/>
      <w:sz w:val="18"/>
    </w:rPr>
  </w:style>
  <w:style w:type="paragraph" w:customStyle="1" w:styleId="Disclaimer">
    <w:name w:val="Disclaimer"/>
    <w:basedOn w:val="Normal"/>
    <w:qFormat/>
    <w:rsid w:val="00B744F1"/>
    <w:pPr>
      <w:spacing w:after="113" w:line="200" w:lineRule="atLeast"/>
    </w:pPr>
    <w:rPr>
      <w:sz w:val="16"/>
    </w:rPr>
  </w:style>
  <w:style w:type="character" w:styleId="Strong">
    <w:name w:val="Strong"/>
    <w:basedOn w:val="DefaultParagraphFont"/>
    <w:uiPriority w:val="22"/>
    <w:qFormat/>
    <w:rsid w:val="00B744F1"/>
    <w:rPr>
      <w:b/>
      <w:bCs/>
    </w:rPr>
  </w:style>
  <w:style w:type="character" w:customStyle="1" w:styleId="Heading1Char">
    <w:name w:val="Heading 1 Char"/>
    <w:basedOn w:val="DefaultParagraphFont"/>
    <w:link w:val="Heading1"/>
    <w:uiPriority w:val="9"/>
    <w:rsid w:val="00F84D61"/>
    <w:rPr>
      <w:rFonts w:ascii="Arial" w:eastAsiaTheme="majorEastAsia" w:hAnsi="Arial" w:cstheme="majorBidi"/>
      <w:b/>
      <w:color w:val="434547" w:themeColor="text2"/>
      <w:sz w:val="36"/>
      <w:szCs w:val="32"/>
    </w:rPr>
  </w:style>
  <w:style w:type="table" w:styleId="TableGrid">
    <w:name w:val="Table Grid"/>
    <w:basedOn w:val="TableNormal"/>
    <w:uiPriority w:val="39"/>
    <w:rsid w:val="00A012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ttertext">
    <w:name w:val="Letter text"/>
    <w:basedOn w:val="Normal"/>
    <w:qFormat/>
    <w:rsid w:val="00A01217"/>
    <w:pPr>
      <w:spacing w:after="113" w:line="230" w:lineRule="atLeast"/>
    </w:pPr>
    <w:rPr>
      <w:color w:val="000000" w:themeColor="text1"/>
      <w:sz w:val="17"/>
    </w:rPr>
  </w:style>
  <w:style w:type="character" w:styleId="Emphasis">
    <w:name w:val="Emphasis"/>
    <w:basedOn w:val="DefaultParagraphFont"/>
    <w:uiPriority w:val="20"/>
    <w:qFormat/>
    <w:rsid w:val="009B6DAF"/>
    <w:rPr>
      <w:i/>
      <w:iCs/>
    </w:rPr>
  </w:style>
  <w:style w:type="paragraph" w:customStyle="1" w:styleId="Lettertextbullets">
    <w:name w:val="Letter text bullets"/>
    <w:basedOn w:val="Lettertext"/>
    <w:qFormat/>
    <w:rsid w:val="009B6DAF"/>
    <w:pPr>
      <w:numPr>
        <w:numId w:val="1"/>
      </w:numPr>
      <w:spacing w:after="57"/>
      <w:ind w:left="284" w:right="482" w:hanging="284"/>
    </w:pPr>
  </w:style>
  <w:style w:type="paragraph" w:customStyle="1" w:styleId="MainHeading">
    <w:name w:val="Main Heading"/>
    <w:basedOn w:val="Header"/>
    <w:qFormat/>
    <w:rsid w:val="00C36598"/>
    <w:pPr>
      <w:spacing w:line="620" w:lineRule="atLeast"/>
    </w:pPr>
    <w:rPr>
      <w:b w:val="0"/>
      <w:sz w:val="64"/>
    </w:rPr>
  </w:style>
  <w:style w:type="character" w:customStyle="1" w:styleId="Gothammediumitalic">
    <w:name w:val="Gotham medium italic"/>
    <w:uiPriority w:val="99"/>
    <w:rsid w:val="00897446"/>
    <w:rPr>
      <w:rFonts w:ascii="Gotham Medium" w:hAnsi="Gotham Medium" w:cs="Gotham Medium"/>
      <w:i/>
      <w:iCs/>
    </w:rPr>
  </w:style>
  <w:style w:type="paragraph" w:customStyle="1" w:styleId="NoParagraphStyle">
    <w:name w:val="[No Paragraph Style]"/>
    <w:rsid w:val="00897446"/>
    <w:pPr>
      <w:autoSpaceDE w:val="0"/>
      <w:autoSpaceDN w:val="0"/>
      <w:adjustRightInd w:val="0"/>
      <w:spacing w:after="0" w:line="288" w:lineRule="auto"/>
      <w:textAlignment w:val="center"/>
    </w:pPr>
    <w:rPr>
      <w:rFonts w:ascii="Gotham Bold" w:hAnsi="Gotham Bold"/>
      <w:color w:val="000000"/>
      <w:sz w:val="24"/>
      <w:szCs w:val="24"/>
      <w:lang w:val="en-US"/>
    </w:rPr>
  </w:style>
  <w:style w:type="character" w:customStyle="1" w:styleId="white">
    <w:name w:val="white"/>
    <w:uiPriority w:val="99"/>
    <w:rsid w:val="00897446"/>
    <w:rPr>
      <w:color w:val="FFFFFF"/>
    </w:rPr>
  </w:style>
  <w:style w:type="paragraph" w:customStyle="1" w:styleId="ReportHeadings">
    <w:name w:val="Report Headings"/>
    <w:basedOn w:val="Normal"/>
    <w:qFormat/>
    <w:rsid w:val="00445743"/>
    <w:pPr>
      <w:spacing w:before="720" w:line="400" w:lineRule="atLeast"/>
      <w:ind w:left="3444"/>
    </w:pPr>
    <w:rPr>
      <w:b/>
      <w:color w:val="FFFFFF" w:themeColor="background2"/>
      <w:sz w:val="36"/>
    </w:rPr>
  </w:style>
  <w:style w:type="paragraph" w:customStyle="1" w:styleId="ReportSubheading">
    <w:name w:val="Report Subheading"/>
    <w:basedOn w:val="Normal"/>
    <w:qFormat/>
    <w:rsid w:val="00445743"/>
    <w:pPr>
      <w:spacing w:before="360" w:after="1560" w:line="240" w:lineRule="atLeast"/>
      <w:ind w:left="3458"/>
    </w:pPr>
    <w:rPr>
      <w:b/>
      <w:color w:val="FFFFFF" w:themeColor="background2"/>
      <w:sz w:val="20"/>
    </w:rPr>
  </w:style>
  <w:style w:type="paragraph" w:customStyle="1" w:styleId="SectionHeading">
    <w:name w:val="Section Heading"/>
    <w:basedOn w:val="Normal"/>
    <w:qFormat/>
    <w:rsid w:val="002214DD"/>
    <w:pPr>
      <w:spacing w:before="1560" w:line="620" w:lineRule="atLeast"/>
    </w:pPr>
    <w:rPr>
      <w:b/>
      <w:color w:val="1E5F55" w:themeColor="accent3"/>
      <w:sz w:val="52"/>
    </w:rPr>
  </w:style>
  <w:style w:type="paragraph" w:customStyle="1" w:styleId="SectionIntroCopy">
    <w:name w:val="Section Intro Copy"/>
    <w:basedOn w:val="Normal"/>
    <w:qFormat/>
    <w:rsid w:val="002214DD"/>
    <w:pPr>
      <w:spacing w:after="397" w:line="300" w:lineRule="atLeast"/>
      <w:ind w:right="2268"/>
    </w:pPr>
    <w:rPr>
      <w:color w:val="1E5F55" w:themeColor="accent3"/>
      <w:sz w:val="22"/>
    </w:rPr>
  </w:style>
  <w:style w:type="paragraph" w:customStyle="1" w:styleId="Reportcontent">
    <w:name w:val="Report content"/>
    <w:basedOn w:val="Normal"/>
    <w:qFormat/>
    <w:rsid w:val="00E2255E"/>
    <w:pPr>
      <w:tabs>
        <w:tab w:val="right" w:pos="5670"/>
      </w:tabs>
      <w:spacing w:after="60" w:line="240" w:lineRule="atLeast"/>
      <w:ind w:right="74"/>
    </w:pPr>
    <w:rPr>
      <w:b/>
      <w:color w:val="434547" w:themeColor="text2"/>
      <w:sz w:val="20"/>
    </w:rPr>
  </w:style>
  <w:style w:type="table" w:customStyle="1" w:styleId="Introcopy">
    <w:name w:val="Intro copy"/>
    <w:basedOn w:val="TableNormal"/>
    <w:uiPriority w:val="99"/>
    <w:rsid w:val="00890266"/>
    <w:pPr>
      <w:spacing w:after="0" w:line="240" w:lineRule="auto"/>
    </w:pPr>
    <w:tblPr/>
  </w:style>
  <w:style w:type="paragraph" w:customStyle="1" w:styleId="IntroCopy0">
    <w:name w:val="Intro Copy"/>
    <w:basedOn w:val="Normal"/>
    <w:qFormat/>
    <w:rsid w:val="00890266"/>
    <w:pPr>
      <w:spacing w:line="300" w:lineRule="atLeast"/>
    </w:pPr>
    <w:rPr>
      <w:sz w:val="24"/>
    </w:rPr>
  </w:style>
  <w:style w:type="character" w:customStyle="1" w:styleId="Heading2Char">
    <w:name w:val="Heading 2 Char"/>
    <w:basedOn w:val="DefaultParagraphFont"/>
    <w:link w:val="Heading2"/>
    <w:uiPriority w:val="9"/>
    <w:rsid w:val="00890266"/>
    <w:rPr>
      <w:rFonts w:ascii="Arial" w:eastAsiaTheme="majorEastAsia" w:hAnsi="Arial" w:cs="Arial"/>
      <w:b/>
      <w:color w:val="434547" w:themeColor="text2"/>
      <w:sz w:val="26"/>
      <w:szCs w:val="26"/>
    </w:rPr>
  </w:style>
  <w:style w:type="paragraph" w:customStyle="1" w:styleId="Figuretitle">
    <w:name w:val="Figure title"/>
    <w:basedOn w:val="Normal"/>
    <w:qFormat/>
    <w:rsid w:val="00454565"/>
    <w:pPr>
      <w:spacing w:after="85" w:line="260" w:lineRule="atLeast"/>
    </w:pPr>
    <w:rPr>
      <w:b/>
      <w:color w:val="434547" w:themeColor="text2"/>
      <w:sz w:val="20"/>
    </w:rPr>
  </w:style>
  <w:style w:type="paragraph" w:customStyle="1" w:styleId="Tabletext">
    <w:name w:val="Table text"/>
    <w:basedOn w:val="Normal"/>
    <w:qFormat/>
    <w:rsid w:val="00454565"/>
    <w:pPr>
      <w:tabs>
        <w:tab w:val="left" w:pos="283"/>
        <w:tab w:val="left" w:pos="567"/>
        <w:tab w:val="left" w:pos="850"/>
        <w:tab w:val="left" w:pos="1134"/>
        <w:tab w:val="left" w:pos="1417"/>
        <w:tab w:val="left" w:pos="1701"/>
        <w:tab w:val="left" w:pos="1984"/>
        <w:tab w:val="left" w:pos="2268"/>
      </w:tabs>
      <w:suppressAutoHyphens/>
      <w:autoSpaceDE w:val="0"/>
      <w:autoSpaceDN w:val="0"/>
      <w:adjustRightInd w:val="0"/>
      <w:spacing w:line="240" w:lineRule="atLeast"/>
      <w:textAlignment w:val="center"/>
    </w:pPr>
    <w:rPr>
      <w:rFonts w:cs="Arial"/>
      <w:color w:val="000000"/>
      <w:spacing w:val="4"/>
      <w:szCs w:val="18"/>
    </w:rPr>
  </w:style>
  <w:style w:type="paragraph" w:customStyle="1" w:styleId="Tableheading">
    <w:name w:val="Table heading"/>
    <w:basedOn w:val="Normal"/>
    <w:qFormat/>
    <w:rsid w:val="00454565"/>
    <w:pPr>
      <w:tabs>
        <w:tab w:val="left" w:pos="283"/>
        <w:tab w:val="left" w:pos="567"/>
        <w:tab w:val="left" w:pos="850"/>
        <w:tab w:val="left" w:pos="1134"/>
        <w:tab w:val="left" w:pos="1417"/>
        <w:tab w:val="left" w:pos="1701"/>
      </w:tabs>
      <w:suppressAutoHyphens/>
      <w:autoSpaceDE w:val="0"/>
      <w:autoSpaceDN w:val="0"/>
      <w:adjustRightInd w:val="0"/>
      <w:spacing w:line="220" w:lineRule="atLeast"/>
      <w:textAlignment w:val="center"/>
    </w:pPr>
    <w:rPr>
      <w:rFonts w:cs="Gotham Bold"/>
      <w:b/>
      <w:bCs/>
      <w:color w:val="FFFFFF" w:themeColor="background2"/>
      <w:spacing w:val="-2"/>
      <w:sz w:val="20"/>
      <w:szCs w:val="20"/>
    </w:rPr>
  </w:style>
  <w:style w:type="paragraph" w:customStyle="1" w:styleId="Bullets">
    <w:name w:val="Bullets"/>
    <w:basedOn w:val="BodyText"/>
    <w:qFormat/>
    <w:rsid w:val="00454565"/>
    <w:pPr>
      <w:numPr>
        <w:numId w:val="4"/>
      </w:numPr>
      <w:spacing w:after="85"/>
      <w:ind w:left="284" w:hanging="284"/>
    </w:pPr>
  </w:style>
  <w:style w:type="paragraph" w:customStyle="1" w:styleId="Bodytextbeforebullets">
    <w:name w:val="Body text before bullets"/>
    <w:basedOn w:val="BodyText"/>
    <w:qFormat/>
    <w:rsid w:val="00454565"/>
    <w:pPr>
      <w:spacing w:after="85"/>
    </w:pPr>
  </w:style>
  <w:style w:type="paragraph" w:customStyle="1" w:styleId="BulletLast">
    <w:name w:val="Bullet Last"/>
    <w:basedOn w:val="Bullets"/>
    <w:qFormat/>
    <w:rsid w:val="00454565"/>
    <w:pPr>
      <w:spacing w:after="170"/>
    </w:pPr>
  </w:style>
  <w:style w:type="paragraph" w:customStyle="1" w:styleId="Tablebullets">
    <w:name w:val="Table bullets"/>
    <w:basedOn w:val="Tabletext"/>
    <w:qFormat/>
    <w:rsid w:val="00454565"/>
    <w:pPr>
      <w:numPr>
        <w:numId w:val="5"/>
      </w:numPr>
      <w:spacing w:after="85"/>
      <w:ind w:left="284" w:hanging="284"/>
    </w:pPr>
  </w:style>
  <w:style w:type="paragraph" w:customStyle="1" w:styleId="Tableheading2">
    <w:name w:val="Table heading 2"/>
    <w:basedOn w:val="Tableheading"/>
    <w:qFormat/>
    <w:rsid w:val="00454565"/>
    <w:rPr>
      <w:color w:val="434547" w:themeColor="text2"/>
    </w:rPr>
  </w:style>
  <w:style w:type="table" w:customStyle="1" w:styleId="Highlightstable">
    <w:name w:val="Highlights table"/>
    <w:basedOn w:val="TableNormal"/>
    <w:uiPriority w:val="99"/>
    <w:rsid w:val="00454565"/>
    <w:pPr>
      <w:spacing w:after="0" w:line="240" w:lineRule="auto"/>
    </w:pPr>
    <w:tblPr/>
  </w:style>
  <w:style w:type="character" w:customStyle="1" w:styleId="Heading3Char">
    <w:name w:val="Heading 3 Char"/>
    <w:basedOn w:val="DefaultParagraphFont"/>
    <w:link w:val="Heading3"/>
    <w:uiPriority w:val="9"/>
    <w:rsid w:val="007430AC"/>
    <w:rPr>
      <w:rFonts w:ascii="Arial" w:eastAsiaTheme="majorEastAsia" w:hAnsi="Arial" w:cs="Arial"/>
      <w:b/>
      <w:color w:val="434547" w:themeColor="text2"/>
      <w:sz w:val="20"/>
      <w:szCs w:val="20"/>
      <w:lang w:val="en-AU"/>
    </w:rPr>
  </w:style>
  <w:style w:type="paragraph" w:customStyle="1" w:styleId="Tabletextindent">
    <w:name w:val="Table text indent"/>
    <w:basedOn w:val="Tabletext"/>
    <w:qFormat/>
    <w:rsid w:val="006E6209"/>
    <w:pPr>
      <w:spacing w:after="113" w:line="230" w:lineRule="atLeast"/>
      <w:ind w:left="284" w:hanging="284"/>
    </w:pPr>
    <w:rPr>
      <w:sz w:val="17"/>
    </w:rPr>
  </w:style>
  <w:style w:type="paragraph" w:customStyle="1" w:styleId="TAbletextindent2">
    <w:name w:val="TAble text indent 2"/>
    <w:basedOn w:val="Tabletextindent"/>
    <w:qFormat/>
    <w:rsid w:val="00B72246"/>
    <w:pPr>
      <w:ind w:left="568"/>
    </w:pPr>
  </w:style>
  <w:style w:type="paragraph" w:customStyle="1" w:styleId="Tablesubheading">
    <w:name w:val="Table subheading"/>
    <w:basedOn w:val="Tabletext"/>
    <w:qFormat/>
    <w:rsid w:val="006E6209"/>
    <w:rPr>
      <w:b/>
      <w:sz w:val="17"/>
    </w:rPr>
  </w:style>
  <w:style w:type="paragraph" w:customStyle="1" w:styleId="Tabletextsmall">
    <w:name w:val="Table text small"/>
    <w:basedOn w:val="Tabletext"/>
    <w:qFormat/>
    <w:rsid w:val="006E6209"/>
    <w:pPr>
      <w:spacing w:line="230" w:lineRule="atLeast"/>
    </w:pPr>
    <w:rPr>
      <w:sz w:val="17"/>
    </w:rPr>
  </w:style>
  <w:style w:type="character" w:styleId="CommentReference">
    <w:name w:val="annotation reference"/>
    <w:basedOn w:val="DefaultParagraphFont"/>
    <w:uiPriority w:val="99"/>
    <w:semiHidden/>
    <w:unhideWhenUsed/>
    <w:rsid w:val="006E6209"/>
    <w:rPr>
      <w:sz w:val="16"/>
      <w:szCs w:val="16"/>
    </w:rPr>
  </w:style>
  <w:style w:type="paragraph" w:styleId="CommentText">
    <w:name w:val="annotation text"/>
    <w:basedOn w:val="Normal"/>
    <w:link w:val="CommentTextChar"/>
    <w:uiPriority w:val="99"/>
    <w:semiHidden/>
    <w:unhideWhenUsed/>
    <w:rsid w:val="006E6209"/>
    <w:rPr>
      <w:sz w:val="20"/>
      <w:szCs w:val="20"/>
    </w:rPr>
  </w:style>
  <w:style w:type="character" w:customStyle="1" w:styleId="CommentTextChar">
    <w:name w:val="Comment Text Char"/>
    <w:basedOn w:val="DefaultParagraphFont"/>
    <w:link w:val="CommentText"/>
    <w:uiPriority w:val="99"/>
    <w:semiHidden/>
    <w:rsid w:val="006E620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E6209"/>
    <w:rPr>
      <w:b/>
      <w:bCs/>
    </w:rPr>
  </w:style>
  <w:style w:type="character" w:customStyle="1" w:styleId="CommentSubjectChar">
    <w:name w:val="Comment Subject Char"/>
    <w:basedOn w:val="CommentTextChar"/>
    <w:link w:val="CommentSubject"/>
    <w:uiPriority w:val="99"/>
    <w:semiHidden/>
    <w:rsid w:val="006E6209"/>
    <w:rPr>
      <w:rFonts w:ascii="Arial" w:hAnsi="Arial"/>
      <w:b/>
      <w:bCs/>
      <w:sz w:val="20"/>
      <w:szCs w:val="20"/>
    </w:rPr>
  </w:style>
  <w:style w:type="paragraph" w:styleId="BalloonText">
    <w:name w:val="Balloon Text"/>
    <w:basedOn w:val="Normal"/>
    <w:link w:val="BalloonTextChar"/>
    <w:uiPriority w:val="99"/>
    <w:semiHidden/>
    <w:unhideWhenUsed/>
    <w:rsid w:val="006E6209"/>
    <w:rPr>
      <w:rFonts w:ascii="Segoe UI" w:hAnsi="Segoe UI" w:cs="Segoe UI"/>
      <w:szCs w:val="18"/>
    </w:rPr>
  </w:style>
  <w:style w:type="character" w:customStyle="1" w:styleId="BalloonTextChar">
    <w:name w:val="Balloon Text Char"/>
    <w:basedOn w:val="DefaultParagraphFont"/>
    <w:link w:val="BalloonText"/>
    <w:uiPriority w:val="99"/>
    <w:semiHidden/>
    <w:rsid w:val="006E6209"/>
    <w:rPr>
      <w:rFonts w:ascii="Segoe UI" w:hAnsi="Segoe UI" w:cs="Segoe UI"/>
      <w:sz w:val="18"/>
      <w:szCs w:val="18"/>
    </w:rPr>
  </w:style>
  <w:style w:type="paragraph" w:customStyle="1" w:styleId="Footnote">
    <w:name w:val="Footnote"/>
    <w:basedOn w:val="Normal"/>
    <w:qFormat/>
    <w:rsid w:val="00B72246"/>
    <w:pPr>
      <w:spacing w:line="200" w:lineRule="atLeast"/>
    </w:pPr>
    <w:rPr>
      <w:sz w:val="16"/>
    </w:rPr>
  </w:style>
  <w:style w:type="paragraph" w:customStyle="1" w:styleId="Heading3-white">
    <w:name w:val="Heading 3 - white"/>
    <w:basedOn w:val="Heading3"/>
    <w:qFormat/>
    <w:rsid w:val="003F393F"/>
    <w:pPr>
      <w:spacing w:before="80" w:after="80"/>
      <w:outlineLvl w:val="9"/>
    </w:pPr>
    <w:rPr>
      <w:color w:val="FFFFFF" w:themeColor="background2"/>
    </w:rPr>
  </w:style>
  <w:style w:type="paragraph" w:customStyle="1" w:styleId="BodyText-spacebefore">
    <w:name w:val="Body Text - space before"/>
    <w:basedOn w:val="BodyText"/>
    <w:qFormat/>
    <w:rsid w:val="003F393F"/>
    <w:pPr>
      <w:spacing w:before="80"/>
    </w:pPr>
  </w:style>
  <w:style w:type="character" w:customStyle="1" w:styleId="PageNumber">
    <w:name w:val="PageNumber"/>
    <w:basedOn w:val="Strong"/>
    <w:uiPriority w:val="1"/>
    <w:qFormat/>
    <w:rsid w:val="002D796E"/>
    <w:rPr>
      <w:b/>
      <w:bCs/>
      <w:sz w:val="20"/>
    </w:rPr>
  </w:style>
  <w:style w:type="paragraph" w:customStyle="1" w:styleId="IndexMain">
    <w:name w:val="Index Main"/>
    <w:basedOn w:val="Normal"/>
    <w:qFormat/>
    <w:rsid w:val="006B5123"/>
    <w:pPr>
      <w:keepNext/>
      <w:tabs>
        <w:tab w:val="left" w:pos="567"/>
        <w:tab w:val="left" w:pos="680"/>
        <w:tab w:val="left" w:pos="794"/>
        <w:tab w:val="left" w:pos="907"/>
        <w:tab w:val="left" w:pos="1020"/>
      </w:tabs>
      <w:suppressAutoHyphens/>
      <w:autoSpaceDE w:val="0"/>
      <w:autoSpaceDN w:val="0"/>
      <w:adjustRightInd w:val="0"/>
      <w:spacing w:before="113" w:after="85" w:line="300" w:lineRule="atLeast"/>
      <w:textAlignment w:val="center"/>
    </w:pPr>
    <w:rPr>
      <w:rFonts w:cs="Gotham Medium"/>
      <w:b/>
      <w:color w:val="434546"/>
      <w:spacing w:val="-8"/>
      <w:sz w:val="26"/>
      <w:szCs w:val="26"/>
    </w:rPr>
  </w:style>
  <w:style w:type="paragraph" w:customStyle="1" w:styleId="Indexbodycopy">
    <w:name w:val="Index body copy"/>
    <w:basedOn w:val="Normal"/>
    <w:qFormat/>
    <w:rsid w:val="005207F5"/>
    <w:pPr>
      <w:tabs>
        <w:tab w:val="left" w:pos="283"/>
        <w:tab w:val="left" w:pos="567"/>
        <w:tab w:val="left" w:pos="850"/>
        <w:tab w:val="left" w:pos="1134"/>
        <w:tab w:val="left" w:pos="1417"/>
        <w:tab w:val="left" w:pos="1701"/>
        <w:tab w:val="left" w:pos="1984"/>
        <w:tab w:val="left" w:pos="2268"/>
      </w:tabs>
      <w:suppressAutoHyphens/>
      <w:autoSpaceDE w:val="0"/>
      <w:autoSpaceDN w:val="0"/>
      <w:adjustRightInd w:val="0"/>
      <w:spacing w:after="44" w:line="198" w:lineRule="atLeast"/>
      <w:textAlignment w:val="center"/>
    </w:pPr>
    <w:rPr>
      <w:rFonts w:cs="Helvetica 45 Light"/>
      <w:color w:val="000000"/>
      <w:spacing w:val="4"/>
      <w:szCs w:val="18"/>
    </w:rPr>
  </w:style>
  <w:style w:type="paragraph" w:customStyle="1" w:styleId="Indexcopyindent">
    <w:name w:val="Index copy indent"/>
    <w:basedOn w:val="Indexbodycopy"/>
    <w:qFormat/>
    <w:rsid w:val="00EB7AF1"/>
    <w:pPr>
      <w:ind w:left="284" w:hanging="284"/>
    </w:pPr>
  </w:style>
  <w:style w:type="paragraph" w:customStyle="1" w:styleId="TOCHeading1">
    <w:name w:val="TOC_Heading 1"/>
    <w:basedOn w:val="Normal"/>
    <w:qFormat/>
    <w:rsid w:val="00F81B5F"/>
    <w:pPr>
      <w:numPr>
        <w:numId w:val="6"/>
      </w:numPr>
      <w:tabs>
        <w:tab w:val="left" w:pos="283"/>
        <w:tab w:val="right" w:pos="3724"/>
      </w:tabs>
      <w:suppressAutoHyphens/>
      <w:autoSpaceDE w:val="0"/>
      <w:autoSpaceDN w:val="0"/>
      <w:adjustRightInd w:val="0"/>
      <w:spacing w:after="170" w:line="260" w:lineRule="atLeast"/>
      <w:ind w:left="284" w:hanging="284"/>
      <w:textAlignment w:val="center"/>
    </w:pPr>
    <w:rPr>
      <w:rFonts w:cs="Gotham Bold"/>
      <w:b/>
      <w:bCs/>
      <w:color w:val="434546"/>
      <w:spacing w:val="-2"/>
      <w:sz w:val="20"/>
      <w:szCs w:val="20"/>
    </w:rPr>
  </w:style>
  <w:style w:type="paragraph" w:customStyle="1" w:styleId="TOCContent">
    <w:name w:val="TOC Content"/>
    <w:basedOn w:val="TOCHeading1"/>
    <w:qFormat/>
    <w:rsid w:val="00500986"/>
    <w:pPr>
      <w:numPr>
        <w:numId w:val="0"/>
      </w:numPr>
      <w:spacing w:after="113" w:line="240" w:lineRule="atLeast"/>
      <w:ind w:left="306"/>
    </w:pPr>
    <w:rPr>
      <w:b w:val="0"/>
      <w:sz w:val="18"/>
    </w:rPr>
  </w:style>
  <w:style w:type="character" w:customStyle="1" w:styleId="Heading4Char">
    <w:name w:val="Heading 4 Char"/>
    <w:basedOn w:val="DefaultParagraphFont"/>
    <w:link w:val="Heading4"/>
    <w:uiPriority w:val="9"/>
    <w:rsid w:val="002215A6"/>
    <w:rPr>
      <w:rFonts w:ascii="Arial" w:eastAsiaTheme="majorEastAsia" w:hAnsi="Arial" w:cstheme="majorBidi"/>
      <w:b/>
      <w:iCs/>
      <w:color w:val="000000" w:themeColor="text1"/>
      <w:sz w:val="18"/>
    </w:rPr>
  </w:style>
  <w:style w:type="paragraph" w:customStyle="1" w:styleId="FinTableText">
    <w:name w:val="FinTable Text"/>
    <w:basedOn w:val="Normal"/>
    <w:qFormat/>
    <w:rsid w:val="002215A6"/>
    <w:pPr>
      <w:autoSpaceDE w:val="0"/>
      <w:autoSpaceDN w:val="0"/>
      <w:adjustRightInd w:val="0"/>
    </w:pPr>
    <w:rPr>
      <w:bCs/>
      <w:color w:val="000000" w:themeColor="text1"/>
      <w:szCs w:val="18"/>
      <w:lang w:val="en-US"/>
    </w:rPr>
  </w:style>
  <w:style w:type="paragraph" w:customStyle="1" w:styleId="p1">
    <w:name w:val="p1"/>
    <w:basedOn w:val="Normal"/>
    <w:rsid w:val="00CD22D0"/>
    <w:pPr>
      <w:spacing w:after="44" w:line="150" w:lineRule="atLeast"/>
    </w:pPr>
    <w:rPr>
      <w:rFonts w:ascii="Helvetica Neue" w:hAnsi="Helvetica Neue" w:cs="Times New Roman"/>
      <w:sz w:val="12"/>
      <w:szCs w:val="12"/>
      <w:lang w:eastAsia="en-GB"/>
    </w:rPr>
  </w:style>
  <w:style w:type="character" w:customStyle="1" w:styleId="s1">
    <w:name w:val="s1"/>
    <w:basedOn w:val="DefaultParagraphFont"/>
    <w:rsid w:val="00CD22D0"/>
    <w:rPr>
      <w:spacing w:val="2"/>
    </w:rPr>
  </w:style>
  <w:style w:type="character" w:customStyle="1" w:styleId="apple-tab-span">
    <w:name w:val="apple-tab-span"/>
    <w:basedOn w:val="DefaultParagraphFont"/>
    <w:rsid w:val="00CD22D0"/>
  </w:style>
  <w:style w:type="paragraph" w:styleId="ListParagraph">
    <w:name w:val="List Paragraph"/>
    <w:basedOn w:val="Normal"/>
    <w:uiPriority w:val="34"/>
    <w:qFormat/>
    <w:rsid w:val="0024635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82C"/>
    <w:pPr>
      <w:spacing w:after="0" w:line="240" w:lineRule="auto"/>
    </w:pPr>
    <w:rPr>
      <w:rFonts w:ascii="Arial" w:hAnsi="Arial"/>
      <w:sz w:val="18"/>
    </w:rPr>
  </w:style>
  <w:style w:type="paragraph" w:styleId="Heading1">
    <w:name w:val="heading 1"/>
    <w:basedOn w:val="Normal"/>
    <w:next w:val="Normal"/>
    <w:link w:val="Heading1Char"/>
    <w:uiPriority w:val="9"/>
    <w:qFormat/>
    <w:rsid w:val="00F84D61"/>
    <w:pPr>
      <w:keepNext/>
      <w:keepLines/>
      <w:spacing w:after="170" w:line="400" w:lineRule="atLeast"/>
      <w:outlineLvl w:val="0"/>
    </w:pPr>
    <w:rPr>
      <w:rFonts w:eastAsiaTheme="majorEastAsia" w:cstheme="majorBidi"/>
      <w:b/>
      <w:color w:val="434547" w:themeColor="text2"/>
      <w:sz w:val="36"/>
      <w:szCs w:val="32"/>
    </w:rPr>
  </w:style>
  <w:style w:type="paragraph" w:styleId="Heading2">
    <w:name w:val="heading 2"/>
    <w:basedOn w:val="Normal"/>
    <w:next w:val="Normal"/>
    <w:link w:val="Heading2Char"/>
    <w:uiPriority w:val="9"/>
    <w:unhideWhenUsed/>
    <w:qFormat/>
    <w:rsid w:val="00890266"/>
    <w:pPr>
      <w:keepNext/>
      <w:keepLines/>
      <w:spacing w:after="85" w:line="300" w:lineRule="atLeast"/>
      <w:outlineLvl w:val="1"/>
    </w:pPr>
    <w:rPr>
      <w:rFonts w:eastAsiaTheme="majorEastAsia" w:cs="Arial"/>
      <w:b/>
      <w:color w:val="434547" w:themeColor="text2"/>
      <w:sz w:val="26"/>
      <w:szCs w:val="26"/>
    </w:rPr>
  </w:style>
  <w:style w:type="paragraph" w:styleId="Heading3">
    <w:name w:val="heading 3"/>
    <w:basedOn w:val="Normal"/>
    <w:next w:val="Normal"/>
    <w:link w:val="Heading3Char"/>
    <w:uiPriority w:val="9"/>
    <w:unhideWhenUsed/>
    <w:qFormat/>
    <w:rsid w:val="007430AC"/>
    <w:pPr>
      <w:keepNext/>
      <w:keepLines/>
      <w:spacing w:after="57" w:line="240" w:lineRule="atLeast"/>
      <w:outlineLvl w:val="2"/>
    </w:pPr>
    <w:rPr>
      <w:rFonts w:eastAsiaTheme="majorEastAsia" w:cs="Arial"/>
      <w:b/>
      <w:color w:val="434547" w:themeColor="text2"/>
      <w:sz w:val="20"/>
      <w:szCs w:val="20"/>
      <w:lang w:val="en-AU"/>
    </w:rPr>
  </w:style>
  <w:style w:type="paragraph" w:styleId="Heading4">
    <w:name w:val="heading 4"/>
    <w:basedOn w:val="Normal"/>
    <w:next w:val="Normal"/>
    <w:link w:val="Heading4Char"/>
    <w:uiPriority w:val="9"/>
    <w:unhideWhenUsed/>
    <w:qFormat/>
    <w:rsid w:val="002215A6"/>
    <w:pPr>
      <w:keepNext/>
      <w:keepLines/>
      <w:spacing w:before="40"/>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E5F74"/>
    <w:pPr>
      <w:tabs>
        <w:tab w:val="center" w:pos="4513"/>
        <w:tab w:val="right" w:pos="9026"/>
      </w:tabs>
    </w:pPr>
    <w:rPr>
      <w:b/>
      <w:color w:val="FFFFFF" w:themeColor="background2"/>
      <w:sz w:val="24"/>
    </w:rPr>
  </w:style>
  <w:style w:type="character" w:customStyle="1" w:styleId="HeaderChar">
    <w:name w:val="Header Char"/>
    <w:basedOn w:val="DefaultParagraphFont"/>
    <w:link w:val="Header"/>
    <w:uiPriority w:val="99"/>
    <w:rsid w:val="00AE5F74"/>
    <w:rPr>
      <w:rFonts w:ascii="Arial" w:hAnsi="Arial"/>
      <w:b/>
      <w:color w:val="FFFFFF" w:themeColor="background2"/>
      <w:sz w:val="24"/>
    </w:rPr>
  </w:style>
  <w:style w:type="paragraph" w:styleId="Footer">
    <w:name w:val="footer"/>
    <w:basedOn w:val="Normal"/>
    <w:link w:val="FooterChar"/>
    <w:uiPriority w:val="99"/>
    <w:unhideWhenUsed/>
    <w:rsid w:val="007F42F8"/>
    <w:pPr>
      <w:tabs>
        <w:tab w:val="center" w:pos="4513"/>
        <w:tab w:val="right" w:pos="9026"/>
      </w:tabs>
      <w:spacing w:line="240" w:lineRule="atLeast"/>
    </w:pPr>
    <w:rPr>
      <w:color w:val="434547" w:themeColor="text2"/>
      <w:sz w:val="16"/>
    </w:rPr>
  </w:style>
  <w:style w:type="character" w:customStyle="1" w:styleId="FooterChar">
    <w:name w:val="Footer Char"/>
    <w:basedOn w:val="DefaultParagraphFont"/>
    <w:link w:val="Footer"/>
    <w:uiPriority w:val="99"/>
    <w:rsid w:val="007F42F8"/>
    <w:rPr>
      <w:rFonts w:ascii="Arial" w:hAnsi="Arial"/>
      <w:color w:val="434547" w:themeColor="text2"/>
      <w:sz w:val="16"/>
    </w:rPr>
  </w:style>
  <w:style w:type="paragraph" w:styleId="BodyText">
    <w:name w:val="Body Text"/>
    <w:basedOn w:val="Normal"/>
    <w:link w:val="BodyTextChar"/>
    <w:uiPriority w:val="99"/>
    <w:unhideWhenUsed/>
    <w:rsid w:val="00AE5F74"/>
    <w:pPr>
      <w:spacing w:after="170" w:line="240" w:lineRule="atLeast"/>
    </w:pPr>
  </w:style>
  <w:style w:type="character" w:customStyle="1" w:styleId="BodyTextChar">
    <w:name w:val="Body Text Char"/>
    <w:basedOn w:val="DefaultParagraphFont"/>
    <w:link w:val="BodyText"/>
    <w:uiPriority w:val="99"/>
    <w:rsid w:val="00AE5F74"/>
    <w:rPr>
      <w:rFonts w:ascii="Arial" w:hAnsi="Arial"/>
      <w:sz w:val="18"/>
    </w:rPr>
  </w:style>
  <w:style w:type="paragraph" w:customStyle="1" w:styleId="Disclaimer">
    <w:name w:val="Disclaimer"/>
    <w:basedOn w:val="Normal"/>
    <w:qFormat/>
    <w:rsid w:val="00B744F1"/>
    <w:pPr>
      <w:spacing w:after="113" w:line="200" w:lineRule="atLeast"/>
    </w:pPr>
    <w:rPr>
      <w:sz w:val="16"/>
    </w:rPr>
  </w:style>
  <w:style w:type="character" w:styleId="Strong">
    <w:name w:val="Strong"/>
    <w:basedOn w:val="DefaultParagraphFont"/>
    <w:uiPriority w:val="22"/>
    <w:qFormat/>
    <w:rsid w:val="00B744F1"/>
    <w:rPr>
      <w:b/>
      <w:bCs/>
    </w:rPr>
  </w:style>
  <w:style w:type="character" w:customStyle="1" w:styleId="Heading1Char">
    <w:name w:val="Heading 1 Char"/>
    <w:basedOn w:val="DefaultParagraphFont"/>
    <w:link w:val="Heading1"/>
    <w:uiPriority w:val="9"/>
    <w:rsid w:val="00F84D61"/>
    <w:rPr>
      <w:rFonts w:ascii="Arial" w:eastAsiaTheme="majorEastAsia" w:hAnsi="Arial" w:cstheme="majorBidi"/>
      <w:b/>
      <w:color w:val="434547" w:themeColor="text2"/>
      <w:sz w:val="36"/>
      <w:szCs w:val="32"/>
    </w:rPr>
  </w:style>
  <w:style w:type="table" w:styleId="TableGrid">
    <w:name w:val="Table Grid"/>
    <w:basedOn w:val="TableNormal"/>
    <w:uiPriority w:val="39"/>
    <w:rsid w:val="00A012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ttertext">
    <w:name w:val="Letter text"/>
    <w:basedOn w:val="Normal"/>
    <w:qFormat/>
    <w:rsid w:val="00A01217"/>
    <w:pPr>
      <w:spacing w:after="113" w:line="230" w:lineRule="atLeast"/>
    </w:pPr>
    <w:rPr>
      <w:color w:val="000000" w:themeColor="text1"/>
      <w:sz w:val="17"/>
    </w:rPr>
  </w:style>
  <w:style w:type="character" w:styleId="Emphasis">
    <w:name w:val="Emphasis"/>
    <w:basedOn w:val="DefaultParagraphFont"/>
    <w:uiPriority w:val="20"/>
    <w:qFormat/>
    <w:rsid w:val="009B6DAF"/>
    <w:rPr>
      <w:i/>
      <w:iCs/>
    </w:rPr>
  </w:style>
  <w:style w:type="paragraph" w:customStyle="1" w:styleId="Lettertextbullets">
    <w:name w:val="Letter text bullets"/>
    <w:basedOn w:val="Lettertext"/>
    <w:qFormat/>
    <w:rsid w:val="009B6DAF"/>
    <w:pPr>
      <w:numPr>
        <w:numId w:val="1"/>
      </w:numPr>
      <w:spacing w:after="57"/>
      <w:ind w:left="284" w:right="482" w:hanging="284"/>
    </w:pPr>
  </w:style>
  <w:style w:type="paragraph" w:customStyle="1" w:styleId="MainHeading">
    <w:name w:val="Main Heading"/>
    <w:basedOn w:val="Header"/>
    <w:qFormat/>
    <w:rsid w:val="00C36598"/>
    <w:pPr>
      <w:spacing w:line="620" w:lineRule="atLeast"/>
    </w:pPr>
    <w:rPr>
      <w:b w:val="0"/>
      <w:sz w:val="64"/>
    </w:rPr>
  </w:style>
  <w:style w:type="character" w:customStyle="1" w:styleId="Gothammediumitalic">
    <w:name w:val="Gotham medium italic"/>
    <w:uiPriority w:val="99"/>
    <w:rsid w:val="00897446"/>
    <w:rPr>
      <w:rFonts w:ascii="Gotham Medium" w:hAnsi="Gotham Medium" w:cs="Gotham Medium"/>
      <w:i/>
      <w:iCs/>
    </w:rPr>
  </w:style>
  <w:style w:type="paragraph" w:customStyle="1" w:styleId="NoParagraphStyle">
    <w:name w:val="[No Paragraph Style]"/>
    <w:rsid w:val="00897446"/>
    <w:pPr>
      <w:autoSpaceDE w:val="0"/>
      <w:autoSpaceDN w:val="0"/>
      <w:adjustRightInd w:val="0"/>
      <w:spacing w:after="0" w:line="288" w:lineRule="auto"/>
      <w:textAlignment w:val="center"/>
    </w:pPr>
    <w:rPr>
      <w:rFonts w:ascii="Gotham Bold" w:hAnsi="Gotham Bold"/>
      <w:color w:val="000000"/>
      <w:sz w:val="24"/>
      <w:szCs w:val="24"/>
      <w:lang w:val="en-US"/>
    </w:rPr>
  </w:style>
  <w:style w:type="character" w:customStyle="1" w:styleId="white">
    <w:name w:val="white"/>
    <w:uiPriority w:val="99"/>
    <w:rsid w:val="00897446"/>
    <w:rPr>
      <w:color w:val="FFFFFF"/>
    </w:rPr>
  </w:style>
  <w:style w:type="paragraph" w:customStyle="1" w:styleId="ReportHeadings">
    <w:name w:val="Report Headings"/>
    <w:basedOn w:val="Normal"/>
    <w:qFormat/>
    <w:rsid w:val="00445743"/>
    <w:pPr>
      <w:spacing w:before="720" w:line="400" w:lineRule="atLeast"/>
      <w:ind w:left="3444"/>
    </w:pPr>
    <w:rPr>
      <w:b/>
      <w:color w:val="FFFFFF" w:themeColor="background2"/>
      <w:sz w:val="36"/>
    </w:rPr>
  </w:style>
  <w:style w:type="paragraph" w:customStyle="1" w:styleId="ReportSubheading">
    <w:name w:val="Report Subheading"/>
    <w:basedOn w:val="Normal"/>
    <w:qFormat/>
    <w:rsid w:val="00445743"/>
    <w:pPr>
      <w:spacing w:before="360" w:after="1560" w:line="240" w:lineRule="atLeast"/>
      <w:ind w:left="3458"/>
    </w:pPr>
    <w:rPr>
      <w:b/>
      <w:color w:val="FFFFFF" w:themeColor="background2"/>
      <w:sz w:val="20"/>
    </w:rPr>
  </w:style>
  <w:style w:type="paragraph" w:customStyle="1" w:styleId="SectionHeading">
    <w:name w:val="Section Heading"/>
    <w:basedOn w:val="Normal"/>
    <w:qFormat/>
    <w:rsid w:val="002214DD"/>
    <w:pPr>
      <w:spacing w:before="1560" w:line="620" w:lineRule="atLeast"/>
    </w:pPr>
    <w:rPr>
      <w:b/>
      <w:color w:val="1E5F55" w:themeColor="accent3"/>
      <w:sz w:val="52"/>
    </w:rPr>
  </w:style>
  <w:style w:type="paragraph" w:customStyle="1" w:styleId="SectionIntroCopy">
    <w:name w:val="Section Intro Copy"/>
    <w:basedOn w:val="Normal"/>
    <w:qFormat/>
    <w:rsid w:val="002214DD"/>
    <w:pPr>
      <w:spacing w:after="397" w:line="300" w:lineRule="atLeast"/>
      <w:ind w:right="2268"/>
    </w:pPr>
    <w:rPr>
      <w:color w:val="1E5F55" w:themeColor="accent3"/>
      <w:sz w:val="22"/>
    </w:rPr>
  </w:style>
  <w:style w:type="paragraph" w:customStyle="1" w:styleId="Reportcontent">
    <w:name w:val="Report content"/>
    <w:basedOn w:val="Normal"/>
    <w:qFormat/>
    <w:rsid w:val="00E2255E"/>
    <w:pPr>
      <w:tabs>
        <w:tab w:val="right" w:pos="5670"/>
      </w:tabs>
      <w:spacing w:after="60" w:line="240" w:lineRule="atLeast"/>
      <w:ind w:right="74"/>
    </w:pPr>
    <w:rPr>
      <w:b/>
      <w:color w:val="434547" w:themeColor="text2"/>
      <w:sz w:val="20"/>
    </w:rPr>
  </w:style>
  <w:style w:type="table" w:customStyle="1" w:styleId="Introcopy">
    <w:name w:val="Intro copy"/>
    <w:basedOn w:val="TableNormal"/>
    <w:uiPriority w:val="99"/>
    <w:rsid w:val="00890266"/>
    <w:pPr>
      <w:spacing w:after="0" w:line="240" w:lineRule="auto"/>
    </w:pPr>
    <w:tblPr/>
  </w:style>
  <w:style w:type="paragraph" w:customStyle="1" w:styleId="IntroCopy0">
    <w:name w:val="Intro Copy"/>
    <w:basedOn w:val="Normal"/>
    <w:qFormat/>
    <w:rsid w:val="00890266"/>
    <w:pPr>
      <w:spacing w:line="300" w:lineRule="atLeast"/>
    </w:pPr>
    <w:rPr>
      <w:sz w:val="24"/>
    </w:rPr>
  </w:style>
  <w:style w:type="character" w:customStyle="1" w:styleId="Heading2Char">
    <w:name w:val="Heading 2 Char"/>
    <w:basedOn w:val="DefaultParagraphFont"/>
    <w:link w:val="Heading2"/>
    <w:uiPriority w:val="9"/>
    <w:rsid w:val="00890266"/>
    <w:rPr>
      <w:rFonts w:ascii="Arial" w:eastAsiaTheme="majorEastAsia" w:hAnsi="Arial" w:cs="Arial"/>
      <w:b/>
      <w:color w:val="434547" w:themeColor="text2"/>
      <w:sz w:val="26"/>
      <w:szCs w:val="26"/>
    </w:rPr>
  </w:style>
  <w:style w:type="paragraph" w:customStyle="1" w:styleId="Figuretitle">
    <w:name w:val="Figure title"/>
    <w:basedOn w:val="Normal"/>
    <w:qFormat/>
    <w:rsid w:val="00454565"/>
    <w:pPr>
      <w:spacing w:after="85" w:line="260" w:lineRule="atLeast"/>
    </w:pPr>
    <w:rPr>
      <w:b/>
      <w:color w:val="434547" w:themeColor="text2"/>
      <w:sz w:val="20"/>
    </w:rPr>
  </w:style>
  <w:style w:type="paragraph" w:customStyle="1" w:styleId="Tabletext">
    <w:name w:val="Table text"/>
    <w:basedOn w:val="Normal"/>
    <w:qFormat/>
    <w:rsid w:val="00454565"/>
    <w:pPr>
      <w:tabs>
        <w:tab w:val="left" w:pos="283"/>
        <w:tab w:val="left" w:pos="567"/>
        <w:tab w:val="left" w:pos="850"/>
        <w:tab w:val="left" w:pos="1134"/>
        <w:tab w:val="left" w:pos="1417"/>
        <w:tab w:val="left" w:pos="1701"/>
        <w:tab w:val="left" w:pos="1984"/>
        <w:tab w:val="left" w:pos="2268"/>
      </w:tabs>
      <w:suppressAutoHyphens/>
      <w:autoSpaceDE w:val="0"/>
      <w:autoSpaceDN w:val="0"/>
      <w:adjustRightInd w:val="0"/>
      <w:spacing w:line="240" w:lineRule="atLeast"/>
      <w:textAlignment w:val="center"/>
    </w:pPr>
    <w:rPr>
      <w:rFonts w:cs="Arial"/>
      <w:color w:val="000000"/>
      <w:spacing w:val="4"/>
      <w:szCs w:val="18"/>
    </w:rPr>
  </w:style>
  <w:style w:type="paragraph" w:customStyle="1" w:styleId="Tableheading">
    <w:name w:val="Table heading"/>
    <w:basedOn w:val="Normal"/>
    <w:qFormat/>
    <w:rsid w:val="00454565"/>
    <w:pPr>
      <w:tabs>
        <w:tab w:val="left" w:pos="283"/>
        <w:tab w:val="left" w:pos="567"/>
        <w:tab w:val="left" w:pos="850"/>
        <w:tab w:val="left" w:pos="1134"/>
        <w:tab w:val="left" w:pos="1417"/>
        <w:tab w:val="left" w:pos="1701"/>
      </w:tabs>
      <w:suppressAutoHyphens/>
      <w:autoSpaceDE w:val="0"/>
      <w:autoSpaceDN w:val="0"/>
      <w:adjustRightInd w:val="0"/>
      <w:spacing w:line="220" w:lineRule="atLeast"/>
      <w:textAlignment w:val="center"/>
    </w:pPr>
    <w:rPr>
      <w:rFonts w:cs="Gotham Bold"/>
      <w:b/>
      <w:bCs/>
      <w:color w:val="FFFFFF" w:themeColor="background2"/>
      <w:spacing w:val="-2"/>
      <w:sz w:val="20"/>
      <w:szCs w:val="20"/>
    </w:rPr>
  </w:style>
  <w:style w:type="paragraph" w:customStyle="1" w:styleId="Bullets">
    <w:name w:val="Bullets"/>
    <w:basedOn w:val="BodyText"/>
    <w:qFormat/>
    <w:rsid w:val="00454565"/>
    <w:pPr>
      <w:numPr>
        <w:numId w:val="4"/>
      </w:numPr>
      <w:spacing w:after="85"/>
      <w:ind w:left="284" w:hanging="284"/>
    </w:pPr>
  </w:style>
  <w:style w:type="paragraph" w:customStyle="1" w:styleId="Bodytextbeforebullets">
    <w:name w:val="Body text before bullets"/>
    <w:basedOn w:val="BodyText"/>
    <w:qFormat/>
    <w:rsid w:val="00454565"/>
    <w:pPr>
      <w:spacing w:after="85"/>
    </w:pPr>
  </w:style>
  <w:style w:type="paragraph" w:customStyle="1" w:styleId="BulletLast">
    <w:name w:val="Bullet Last"/>
    <w:basedOn w:val="Bullets"/>
    <w:qFormat/>
    <w:rsid w:val="00454565"/>
    <w:pPr>
      <w:spacing w:after="170"/>
    </w:pPr>
  </w:style>
  <w:style w:type="paragraph" w:customStyle="1" w:styleId="Tablebullets">
    <w:name w:val="Table bullets"/>
    <w:basedOn w:val="Tabletext"/>
    <w:qFormat/>
    <w:rsid w:val="00454565"/>
    <w:pPr>
      <w:numPr>
        <w:numId w:val="5"/>
      </w:numPr>
      <w:spacing w:after="85"/>
      <w:ind w:left="284" w:hanging="284"/>
    </w:pPr>
  </w:style>
  <w:style w:type="paragraph" w:customStyle="1" w:styleId="Tableheading2">
    <w:name w:val="Table heading 2"/>
    <w:basedOn w:val="Tableheading"/>
    <w:qFormat/>
    <w:rsid w:val="00454565"/>
    <w:rPr>
      <w:color w:val="434547" w:themeColor="text2"/>
    </w:rPr>
  </w:style>
  <w:style w:type="table" w:customStyle="1" w:styleId="Highlightstable">
    <w:name w:val="Highlights table"/>
    <w:basedOn w:val="TableNormal"/>
    <w:uiPriority w:val="99"/>
    <w:rsid w:val="00454565"/>
    <w:pPr>
      <w:spacing w:after="0" w:line="240" w:lineRule="auto"/>
    </w:pPr>
    <w:tblPr/>
  </w:style>
  <w:style w:type="character" w:customStyle="1" w:styleId="Heading3Char">
    <w:name w:val="Heading 3 Char"/>
    <w:basedOn w:val="DefaultParagraphFont"/>
    <w:link w:val="Heading3"/>
    <w:uiPriority w:val="9"/>
    <w:rsid w:val="007430AC"/>
    <w:rPr>
      <w:rFonts w:ascii="Arial" w:eastAsiaTheme="majorEastAsia" w:hAnsi="Arial" w:cs="Arial"/>
      <w:b/>
      <w:color w:val="434547" w:themeColor="text2"/>
      <w:sz w:val="20"/>
      <w:szCs w:val="20"/>
      <w:lang w:val="en-AU"/>
    </w:rPr>
  </w:style>
  <w:style w:type="paragraph" w:customStyle="1" w:styleId="Tabletextindent">
    <w:name w:val="Table text indent"/>
    <w:basedOn w:val="Tabletext"/>
    <w:qFormat/>
    <w:rsid w:val="006E6209"/>
    <w:pPr>
      <w:spacing w:after="113" w:line="230" w:lineRule="atLeast"/>
      <w:ind w:left="284" w:hanging="284"/>
    </w:pPr>
    <w:rPr>
      <w:sz w:val="17"/>
    </w:rPr>
  </w:style>
  <w:style w:type="paragraph" w:customStyle="1" w:styleId="TAbletextindent2">
    <w:name w:val="TAble text indent 2"/>
    <w:basedOn w:val="Tabletextindent"/>
    <w:qFormat/>
    <w:rsid w:val="00B72246"/>
    <w:pPr>
      <w:ind w:left="568"/>
    </w:pPr>
  </w:style>
  <w:style w:type="paragraph" w:customStyle="1" w:styleId="Tablesubheading">
    <w:name w:val="Table subheading"/>
    <w:basedOn w:val="Tabletext"/>
    <w:qFormat/>
    <w:rsid w:val="006E6209"/>
    <w:rPr>
      <w:b/>
      <w:sz w:val="17"/>
    </w:rPr>
  </w:style>
  <w:style w:type="paragraph" w:customStyle="1" w:styleId="Tabletextsmall">
    <w:name w:val="Table text small"/>
    <w:basedOn w:val="Tabletext"/>
    <w:qFormat/>
    <w:rsid w:val="006E6209"/>
    <w:pPr>
      <w:spacing w:line="230" w:lineRule="atLeast"/>
    </w:pPr>
    <w:rPr>
      <w:sz w:val="17"/>
    </w:rPr>
  </w:style>
  <w:style w:type="character" w:styleId="CommentReference">
    <w:name w:val="annotation reference"/>
    <w:basedOn w:val="DefaultParagraphFont"/>
    <w:uiPriority w:val="99"/>
    <w:semiHidden/>
    <w:unhideWhenUsed/>
    <w:rsid w:val="006E6209"/>
    <w:rPr>
      <w:sz w:val="16"/>
      <w:szCs w:val="16"/>
    </w:rPr>
  </w:style>
  <w:style w:type="paragraph" w:styleId="CommentText">
    <w:name w:val="annotation text"/>
    <w:basedOn w:val="Normal"/>
    <w:link w:val="CommentTextChar"/>
    <w:uiPriority w:val="99"/>
    <w:semiHidden/>
    <w:unhideWhenUsed/>
    <w:rsid w:val="006E6209"/>
    <w:rPr>
      <w:sz w:val="20"/>
      <w:szCs w:val="20"/>
    </w:rPr>
  </w:style>
  <w:style w:type="character" w:customStyle="1" w:styleId="CommentTextChar">
    <w:name w:val="Comment Text Char"/>
    <w:basedOn w:val="DefaultParagraphFont"/>
    <w:link w:val="CommentText"/>
    <w:uiPriority w:val="99"/>
    <w:semiHidden/>
    <w:rsid w:val="006E620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E6209"/>
    <w:rPr>
      <w:b/>
      <w:bCs/>
    </w:rPr>
  </w:style>
  <w:style w:type="character" w:customStyle="1" w:styleId="CommentSubjectChar">
    <w:name w:val="Comment Subject Char"/>
    <w:basedOn w:val="CommentTextChar"/>
    <w:link w:val="CommentSubject"/>
    <w:uiPriority w:val="99"/>
    <w:semiHidden/>
    <w:rsid w:val="006E6209"/>
    <w:rPr>
      <w:rFonts w:ascii="Arial" w:hAnsi="Arial"/>
      <w:b/>
      <w:bCs/>
      <w:sz w:val="20"/>
      <w:szCs w:val="20"/>
    </w:rPr>
  </w:style>
  <w:style w:type="paragraph" w:styleId="BalloonText">
    <w:name w:val="Balloon Text"/>
    <w:basedOn w:val="Normal"/>
    <w:link w:val="BalloonTextChar"/>
    <w:uiPriority w:val="99"/>
    <w:semiHidden/>
    <w:unhideWhenUsed/>
    <w:rsid w:val="006E6209"/>
    <w:rPr>
      <w:rFonts w:ascii="Segoe UI" w:hAnsi="Segoe UI" w:cs="Segoe UI"/>
      <w:szCs w:val="18"/>
    </w:rPr>
  </w:style>
  <w:style w:type="character" w:customStyle="1" w:styleId="BalloonTextChar">
    <w:name w:val="Balloon Text Char"/>
    <w:basedOn w:val="DefaultParagraphFont"/>
    <w:link w:val="BalloonText"/>
    <w:uiPriority w:val="99"/>
    <w:semiHidden/>
    <w:rsid w:val="006E6209"/>
    <w:rPr>
      <w:rFonts w:ascii="Segoe UI" w:hAnsi="Segoe UI" w:cs="Segoe UI"/>
      <w:sz w:val="18"/>
      <w:szCs w:val="18"/>
    </w:rPr>
  </w:style>
  <w:style w:type="paragraph" w:customStyle="1" w:styleId="Footnote">
    <w:name w:val="Footnote"/>
    <w:basedOn w:val="Normal"/>
    <w:qFormat/>
    <w:rsid w:val="00B72246"/>
    <w:pPr>
      <w:spacing w:line="200" w:lineRule="atLeast"/>
    </w:pPr>
    <w:rPr>
      <w:sz w:val="16"/>
    </w:rPr>
  </w:style>
  <w:style w:type="paragraph" w:customStyle="1" w:styleId="Heading3-white">
    <w:name w:val="Heading 3 - white"/>
    <w:basedOn w:val="Heading3"/>
    <w:qFormat/>
    <w:rsid w:val="003F393F"/>
    <w:pPr>
      <w:spacing w:before="80" w:after="80"/>
      <w:outlineLvl w:val="9"/>
    </w:pPr>
    <w:rPr>
      <w:color w:val="FFFFFF" w:themeColor="background2"/>
    </w:rPr>
  </w:style>
  <w:style w:type="paragraph" w:customStyle="1" w:styleId="BodyText-spacebefore">
    <w:name w:val="Body Text - space before"/>
    <w:basedOn w:val="BodyText"/>
    <w:qFormat/>
    <w:rsid w:val="003F393F"/>
    <w:pPr>
      <w:spacing w:before="80"/>
    </w:pPr>
  </w:style>
  <w:style w:type="character" w:customStyle="1" w:styleId="PageNumber">
    <w:name w:val="PageNumber"/>
    <w:basedOn w:val="Strong"/>
    <w:uiPriority w:val="1"/>
    <w:qFormat/>
    <w:rsid w:val="002D796E"/>
    <w:rPr>
      <w:b/>
      <w:bCs/>
      <w:sz w:val="20"/>
    </w:rPr>
  </w:style>
  <w:style w:type="paragraph" w:customStyle="1" w:styleId="IndexMain">
    <w:name w:val="Index Main"/>
    <w:basedOn w:val="Normal"/>
    <w:qFormat/>
    <w:rsid w:val="006B5123"/>
    <w:pPr>
      <w:keepNext/>
      <w:tabs>
        <w:tab w:val="left" w:pos="567"/>
        <w:tab w:val="left" w:pos="680"/>
        <w:tab w:val="left" w:pos="794"/>
        <w:tab w:val="left" w:pos="907"/>
        <w:tab w:val="left" w:pos="1020"/>
      </w:tabs>
      <w:suppressAutoHyphens/>
      <w:autoSpaceDE w:val="0"/>
      <w:autoSpaceDN w:val="0"/>
      <w:adjustRightInd w:val="0"/>
      <w:spacing w:before="113" w:after="85" w:line="300" w:lineRule="atLeast"/>
      <w:textAlignment w:val="center"/>
    </w:pPr>
    <w:rPr>
      <w:rFonts w:cs="Gotham Medium"/>
      <w:b/>
      <w:color w:val="434546"/>
      <w:spacing w:val="-8"/>
      <w:sz w:val="26"/>
      <w:szCs w:val="26"/>
    </w:rPr>
  </w:style>
  <w:style w:type="paragraph" w:customStyle="1" w:styleId="Indexbodycopy">
    <w:name w:val="Index body copy"/>
    <w:basedOn w:val="Normal"/>
    <w:qFormat/>
    <w:rsid w:val="005207F5"/>
    <w:pPr>
      <w:tabs>
        <w:tab w:val="left" w:pos="283"/>
        <w:tab w:val="left" w:pos="567"/>
        <w:tab w:val="left" w:pos="850"/>
        <w:tab w:val="left" w:pos="1134"/>
        <w:tab w:val="left" w:pos="1417"/>
        <w:tab w:val="left" w:pos="1701"/>
        <w:tab w:val="left" w:pos="1984"/>
        <w:tab w:val="left" w:pos="2268"/>
      </w:tabs>
      <w:suppressAutoHyphens/>
      <w:autoSpaceDE w:val="0"/>
      <w:autoSpaceDN w:val="0"/>
      <w:adjustRightInd w:val="0"/>
      <w:spacing w:after="44" w:line="198" w:lineRule="atLeast"/>
      <w:textAlignment w:val="center"/>
    </w:pPr>
    <w:rPr>
      <w:rFonts w:cs="Helvetica 45 Light"/>
      <w:color w:val="000000"/>
      <w:spacing w:val="4"/>
      <w:szCs w:val="18"/>
    </w:rPr>
  </w:style>
  <w:style w:type="paragraph" w:customStyle="1" w:styleId="Indexcopyindent">
    <w:name w:val="Index copy indent"/>
    <w:basedOn w:val="Indexbodycopy"/>
    <w:qFormat/>
    <w:rsid w:val="00EB7AF1"/>
    <w:pPr>
      <w:ind w:left="284" w:hanging="284"/>
    </w:pPr>
  </w:style>
  <w:style w:type="paragraph" w:customStyle="1" w:styleId="TOCHeading1">
    <w:name w:val="TOC_Heading 1"/>
    <w:basedOn w:val="Normal"/>
    <w:qFormat/>
    <w:rsid w:val="00F81B5F"/>
    <w:pPr>
      <w:numPr>
        <w:numId w:val="6"/>
      </w:numPr>
      <w:tabs>
        <w:tab w:val="left" w:pos="283"/>
        <w:tab w:val="right" w:pos="3724"/>
      </w:tabs>
      <w:suppressAutoHyphens/>
      <w:autoSpaceDE w:val="0"/>
      <w:autoSpaceDN w:val="0"/>
      <w:adjustRightInd w:val="0"/>
      <w:spacing w:after="170" w:line="260" w:lineRule="atLeast"/>
      <w:ind w:left="284" w:hanging="284"/>
      <w:textAlignment w:val="center"/>
    </w:pPr>
    <w:rPr>
      <w:rFonts w:cs="Gotham Bold"/>
      <w:b/>
      <w:bCs/>
      <w:color w:val="434546"/>
      <w:spacing w:val="-2"/>
      <w:sz w:val="20"/>
      <w:szCs w:val="20"/>
    </w:rPr>
  </w:style>
  <w:style w:type="paragraph" w:customStyle="1" w:styleId="TOCContent">
    <w:name w:val="TOC Content"/>
    <w:basedOn w:val="TOCHeading1"/>
    <w:qFormat/>
    <w:rsid w:val="00500986"/>
    <w:pPr>
      <w:numPr>
        <w:numId w:val="0"/>
      </w:numPr>
      <w:spacing w:after="113" w:line="240" w:lineRule="atLeast"/>
      <w:ind w:left="306"/>
    </w:pPr>
    <w:rPr>
      <w:b w:val="0"/>
      <w:sz w:val="18"/>
    </w:rPr>
  </w:style>
  <w:style w:type="character" w:customStyle="1" w:styleId="Heading4Char">
    <w:name w:val="Heading 4 Char"/>
    <w:basedOn w:val="DefaultParagraphFont"/>
    <w:link w:val="Heading4"/>
    <w:uiPriority w:val="9"/>
    <w:rsid w:val="002215A6"/>
    <w:rPr>
      <w:rFonts w:ascii="Arial" w:eastAsiaTheme="majorEastAsia" w:hAnsi="Arial" w:cstheme="majorBidi"/>
      <w:b/>
      <w:iCs/>
      <w:color w:val="000000" w:themeColor="text1"/>
      <w:sz w:val="18"/>
    </w:rPr>
  </w:style>
  <w:style w:type="paragraph" w:customStyle="1" w:styleId="FinTableText">
    <w:name w:val="FinTable Text"/>
    <w:basedOn w:val="Normal"/>
    <w:qFormat/>
    <w:rsid w:val="002215A6"/>
    <w:pPr>
      <w:autoSpaceDE w:val="0"/>
      <w:autoSpaceDN w:val="0"/>
      <w:adjustRightInd w:val="0"/>
    </w:pPr>
    <w:rPr>
      <w:bCs/>
      <w:color w:val="000000" w:themeColor="text1"/>
      <w:szCs w:val="18"/>
      <w:lang w:val="en-US"/>
    </w:rPr>
  </w:style>
  <w:style w:type="paragraph" w:customStyle="1" w:styleId="p1">
    <w:name w:val="p1"/>
    <w:basedOn w:val="Normal"/>
    <w:rsid w:val="00CD22D0"/>
    <w:pPr>
      <w:spacing w:after="44" w:line="150" w:lineRule="atLeast"/>
    </w:pPr>
    <w:rPr>
      <w:rFonts w:ascii="Helvetica Neue" w:hAnsi="Helvetica Neue" w:cs="Times New Roman"/>
      <w:sz w:val="12"/>
      <w:szCs w:val="12"/>
      <w:lang w:eastAsia="en-GB"/>
    </w:rPr>
  </w:style>
  <w:style w:type="character" w:customStyle="1" w:styleId="s1">
    <w:name w:val="s1"/>
    <w:basedOn w:val="DefaultParagraphFont"/>
    <w:rsid w:val="00CD22D0"/>
    <w:rPr>
      <w:spacing w:val="2"/>
    </w:rPr>
  </w:style>
  <w:style w:type="character" w:customStyle="1" w:styleId="apple-tab-span">
    <w:name w:val="apple-tab-span"/>
    <w:basedOn w:val="DefaultParagraphFont"/>
    <w:rsid w:val="00CD22D0"/>
  </w:style>
  <w:style w:type="paragraph" w:styleId="ListParagraph">
    <w:name w:val="List Paragraph"/>
    <w:basedOn w:val="Normal"/>
    <w:uiPriority w:val="34"/>
    <w:qFormat/>
    <w:rsid w:val="002463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649334">
      <w:bodyDiv w:val="1"/>
      <w:marLeft w:val="0"/>
      <w:marRight w:val="0"/>
      <w:marTop w:val="0"/>
      <w:marBottom w:val="0"/>
      <w:divBdr>
        <w:top w:val="none" w:sz="0" w:space="0" w:color="auto"/>
        <w:left w:val="none" w:sz="0" w:space="0" w:color="auto"/>
        <w:bottom w:val="none" w:sz="0" w:space="0" w:color="auto"/>
        <w:right w:val="none" w:sz="0" w:space="0" w:color="auto"/>
      </w:divBdr>
    </w:div>
    <w:div w:id="1390305711">
      <w:bodyDiv w:val="1"/>
      <w:marLeft w:val="0"/>
      <w:marRight w:val="0"/>
      <w:marTop w:val="0"/>
      <w:marBottom w:val="0"/>
      <w:divBdr>
        <w:top w:val="none" w:sz="0" w:space="0" w:color="auto"/>
        <w:left w:val="none" w:sz="0" w:space="0" w:color="auto"/>
        <w:bottom w:val="none" w:sz="0" w:space="0" w:color="auto"/>
        <w:right w:val="none" w:sz="0" w:space="0" w:color="auto"/>
      </w:divBdr>
    </w:div>
    <w:div w:id="144261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footer" Target="footer24.xml"/><Relationship Id="rId21" Type="http://schemas.openxmlformats.org/officeDocument/2006/relationships/header" Target="header6.xml"/><Relationship Id="rId42" Type="http://schemas.openxmlformats.org/officeDocument/2006/relationships/header" Target="header21.xml"/><Relationship Id="rId47" Type="http://schemas.openxmlformats.org/officeDocument/2006/relationships/header" Target="header26.xml"/><Relationship Id="rId63" Type="http://schemas.openxmlformats.org/officeDocument/2006/relationships/header" Target="header40.xml"/><Relationship Id="rId68" Type="http://schemas.openxmlformats.org/officeDocument/2006/relationships/header" Target="header42.xml"/><Relationship Id="rId84" Type="http://schemas.openxmlformats.org/officeDocument/2006/relationships/image" Target="media/image48.jpg"/><Relationship Id="rId89" Type="http://schemas.openxmlformats.org/officeDocument/2006/relationships/hyperlink" Target="file:///D:\DOCUME~1\johnni\LOCALS~1\Temp\notesBCBF1C\2012FinStats_Year%20End.xls" TargetMode="External"/><Relationship Id="rId112" Type="http://schemas.openxmlformats.org/officeDocument/2006/relationships/header" Target="header61.xml"/><Relationship Id="rId16" Type="http://schemas.openxmlformats.org/officeDocument/2006/relationships/header" Target="header4.xml"/><Relationship Id="rId107" Type="http://schemas.openxmlformats.org/officeDocument/2006/relationships/footer" Target="footer19.xml"/><Relationship Id="rId11" Type="http://schemas.openxmlformats.org/officeDocument/2006/relationships/image" Target="media/image3.png"/><Relationship Id="rId32" Type="http://schemas.openxmlformats.org/officeDocument/2006/relationships/header" Target="header14.xml"/><Relationship Id="rId37" Type="http://schemas.openxmlformats.org/officeDocument/2006/relationships/footer" Target="footer8.xml"/><Relationship Id="rId53" Type="http://schemas.openxmlformats.org/officeDocument/2006/relationships/header" Target="header32.xml"/><Relationship Id="rId58" Type="http://schemas.openxmlformats.org/officeDocument/2006/relationships/header" Target="header37.xml"/><Relationship Id="rId74" Type="http://schemas.openxmlformats.org/officeDocument/2006/relationships/footer" Target="footer15.xml"/><Relationship Id="rId79" Type="http://schemas.openxmlformats.org/officeDocument/2006/relationships/header" Target="header51.xml"/><Relationship Id="rId102" Type="http://schemas.openxmlformats.org/officeDocument/2006/relationships/header" Target="header55.xml"/><Relationship Id="rId123" Type="http://schemas.openxmlformats.org/officeDocument/2006/relationships/footer" Target="footer27.xml"/><Relationship Id="rId5" Type="http://schemas.openxmlformats.org/officeDocument/2006/relationships/settings" Target="settings.xml"/><Relationship Id="rId61" Type="http://schemas.openxmlformats.org/officeDocument/2006/relationships/footer" Target="footer11.xml"/><Relationship Id="rId82" Type="http://schemas.openxmlformats.org/officeDocument/2006/relationships/header" Target="header53.xml"/><Relationship Id="rId90" Type="http://schemas.openxmlformats.org/officeDocument/2006/relationships/hyperlink" Target="file:///D:\DOCUME~1\johnni\LOCALS~1\Temp\notesBCBF1C\2012FinStats_Year%20End.xls" TargetMode="External"/><Relationship Id="rId95" Type="http://schemas.openxmlformats.org/officeDocument/2006/relationships/hyperlink" Target="file:///D:\DOCUME~1\johnni\LOCALS~1\Temp\notesBCBF1C\2012FinStats_Year%20End.xls" TargetMode="External"/><Relationship Id="rId19" Type="http://schemas.openxmlformats.org/officeDocument/2006/relationships/footer" Target="footer3.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footer" Target="footer7.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header" Target="header22.xml"/><Relationship Id="rId48" Type="http://schemas.openxmlformats.org/officeDocument/2006/relationships/header" Target="header27.xml"/><Relationship Id="rId56" Type="http://schemas.openxmlformats.org/officeDocument/2006/relationships/header" Target="header35.xml"/><Relationship Id="rId64" Type="http://schemas.openxmlformats.org/officeDocument/2006/relationships/footer" Target="footer12.xml"/><Relationship Id="rId69" Type="http://schemas.openxmlformats.org/officeDocument/2006/relationships/header" Target="header43.xml"/><Relationship Id="rId77" Type="http://schemas.openxmlformats.org/officeDocument/2006/relationships/header" Target="header49.xml"/><Relationship Id="rId100" Type="http://schemas.openxmlformats.org/officeDocument/2006/relationships/hyperlink" Target="file:///D:\DOCUME~1\johnni\LOCALS~1\Temp\notesBCBF1C\2012FinStats_Year%20End.xls" TargetMode="External"/><Relationship Id="rId105" Type="http://schemas.openxmlformats.org/officeDocument/2006/relationships/header" Target="header58.xml"/><Relationship Id="rId113" Type="http://schemas.openxmlformats.org/officeDocument/2006/relationships/footer" Target="footer22.xml"/><Relationship Id="rId118" Type="http://schemas.openxmlformats.org/officeDocument/2006/relationships/header" Target="header64.xml"/><Relationship Id="rId8" Type="http://schemas.openxmlformats.org/officeDocument/2006/relationships/endnotes" Target="endnotes.xml"/><Relationship Id="rId51" Type="http://schemas.openxmlformats.org/officeDocument/2006/relationships/header" Target="header30.xml"/><Relationship Id="rId72" Type="http://schemas.openxmlformats.org/officeDocument/2006/relationships/header" Target="header45.xml"/><Relationship Id="rId80" Type="http://schemas.openxmlformats.org/officeDocument/2006/relationships/footer" Target="footer16.xml"/><Relationship Id="rId85" Type="http://schemas.openxmlformats.org/officeDocument/2006/relationships/image" Target="media/image49.jpg"/><Relationship Id="rId93" Type="http://schemas.openxmlformats.org/officeDocument/2006/relationships/hyperlink" Target="file:///D:\DOCUME~1\johnni\LOCALS~1\Temp\notesBCBF1C\2012FinStats_Year%20End.xls" TargetMode="External"/><Relationship Id="rId98" Type="http://schemas.openxmlformats.org/officeDocument/2006/relationships/hyperlink" Target="file:///D:\DOCUME~1\johnni\LOCALS~1\Temp\notesBCBF1C\2012FinStats_Year%20End.xls" TargetMode="External"/><Relationship Id="rId121" Type="http://schemas.openxmlformats.org/officeDocument/2006/relationships/footer" Target="footer26.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eader" Target="header8.xml"/><Relationship Id="rId33" Type="http://schemas.openxmlformats.org/officeDocument/2006/relationships/header" Target="header15.xml"/><Relationship Id="rId38" Type="http://schemas.openxmlformats.org/officeDocument/2006/relationships/header" Target="header19.xml"/><Relationship Id="rId46" Type="http://schemas.openxmlformats.org/officeDocument/2006/relationships/header" Target="header25.xml"/><Relationship Id="rId59" Type="http://schemas.openxmlformats.org/officeDocument/2006/relationships/header" Target="header38.xml"/><Relationship Id="rId67" Type="http://schemas.openxmlformats.org/officeDocument/2006/relationships/header" Target="header41.xml"/><Relationship Id="rId103" Type="http://schemas.openxmlformats.org/officeDocument/2006/relationships/header" Target="header56.xml"/><Relationship Id="rId108" Type="http://schemas.openxmlformats.org/officeDocument/2006/relationships/header" Target="header59.xml"/><Relationship Id="rId116" Type="http://schemas.openxmlformats.org/officeDocument/2006/relationships/footer" Target="footer23.xml"/><Relationship Id="rId124"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image" Target="media/image22.jpeg"/><Relationship Id="rId54" Type="http://schemas.openxmlformats.org/officeDocument/2006/relationships/header" Target="header33.xml"/><Relationship Id="rId62" Type="http://schemas.openxmlformats.org/officeDocument/2006/relationships/header" Target="header39.xml"/><Relationship Id="rId70" Type="http://schemas.openxmlformats.org/officeDocument/2006/relationships/header" Target="header44.xml"/><Relationship Id="rId75" Type="http://schemas.openxmlformats.org/officeDocument/2006/relationships/header" Target="header47.xml"/><Relationship Id="rId83" Type="http://schemas.openxmlformats.org/officeDocument/2006/relationships/footer" Target="footer17.xml"/><Relationship Id="rId88" Type="http://schemas.openxmlformats.org/officeDocument/2006/relationships/hyperlink" Target="file:///D:\DOCUME~1\johnni\LOCALS~1\Temp\notesBCBF1C\2012FinStats_Year%20End.xls" TargetMode="External"/><Relationship Id="rId91" Type="http://schemas.openxmlformats.org/officeDocument/2006/relationships/hyperlink" Target="file:///D:\DOCUME~1\johnni\LOCALS~1\Temp\notesBCBF1C\2012FinStats_Year%20End.xls" TargetMode="External"/><Relationship Id="rId96" Type="http://schemas.openxmlformats.org/officeDocument/2006/relationships/hyperlink" Target="file:///D:\DOCUME~1\johnni\LOCALS~1\Temp\notesBCBF1C\2012FinStats_Year%20End.xls" TargetMode="External"/><Relationship Id="rId111"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header" Target="header10.xml"/><Relationship Id="rId36" Type="http://schemas.openxmlformats.org/officeDocument/2006/relationships/header" Target="header18.xml"/><Relationship Id="rId49" Type="http://schemas.openxmlformats.org/officeDocument/2006/relationships/header" Target="header28.xml"/><Relationship Id="rId57" Type="http://schemas.openxmlformats.org/officeDocument/2006/relationships/header" Target="header36.xml"/><Relationship Id="rId106" Type="http://schemas.openxmlformats.org/officeDocument/2006/relationships/footer" Target="footer18.xml"/><Relationship Id="rId114" Type="http://schemas.openxmlformats.org/officeDocument/2006/relationships/header" Target="header62.xml"/><Relationship Id="rId119" Type="http://schemas.openxmlformats.org/officeDocument/2006/relationships/header" Target="header65.xml"/><Relationship Id="rId10" Type="http://schemas.openxmlformats.org/officeDocument/2006/relationships/image" Target="media/image2.png"/><Relationship Id="rId31" Type="http://schemas.openxmlformats.org/officeDocument/2006/relationships/header" Target="header13.xml"/><Relationship Id="rId44" Type="http://schemas.openxmlformats.org/officeDocument/2006/relationships/header" Target="header23.xml"/><Relationship Id="rId52" Type="http://schemas.openxmlformats.org/officeDocument/2006/relationships/header" Target="header31.xml"/><Relationship Id="rId60" Type="http://schemas.openxmlformats.org/officeDocument/2006/relationships/footer" Target="footer10.xml"/><Relationship Id="rId65" Type="http://schemas.openxmlformats.org/officeDocument/2006/relationships/footer" Target="footer13.xml"/><Relationship Id="rId73" Type="http://schemas.openxmlformats.org/officeDocument/2006/relationships/header" Target="header46.xml"/><Relationship Id="rId78" Type="http://schemas.openxmlformats.org/officeDocument/2006/relationships/header" Target="header50.xml"/><Relationship Id="rId81" Type="http://schemas.openxmlformats.org/officeDocument/2006/relationships/header" Target="header52.xml"/><Relationship Id="rId86" Type="http://schemas.openxmlformats.org/officeDocument/2006/relationships/image" Target="media/image50.jpg"/><Relationship Id="rId94" Type="http://schemas.openxmlformats.org/officeDocument/2006/relationships/hyperlink" Target="file:///D:\DOCUME~1\johnni\LOCALS~1\Temp\notesBCBF1C\2012FinStats_Year%20End.xls" TargetMode="External"/><Relationship Id="rId99" Type="http://schemas.openxmlformats.org/officeDocument/2006/relationships/hyperlink" Target="file:///D:\DOCUME~1\johnni\LOCALS~1\Temp\notesBCBF1C\2012FinStats_Year%20End.xls" TargetMode="External"/><Relationship Id="rId101" Type="http://schemas.openxmlformats.org/officeDocument/2006/relationships/header" Target="header54.xml"/><Relationship Id="rId122" Type="http://schemas.openxmlformats.org/officeDocument/2006/relationships/header" Target="header66.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eader" Target="header20.xml"/><Relationship Id="rId109" Type="http://schemas.openxmlformats.org/officeDocument/2006/relationships/header" Target="header60.xml"/><Relationship Id="rId34" Type="http://schemas.openxmlformats.org/officeDocument/2006/relationships/header" Target="header16.xml"/><Relationship Id="rId50" Type="http://schemas.openxmlformats.org/officeDocument/2006/relationships/header" Target="header29.xml"/><Relationship Id="rId55" Type="http://schemas.openxmlformats.org/officeDocument/2006/relationships/header" Target="header34.xml"/><Relationship Id="rId76" Type="http://schemas.openxmlformats.org/officeDocument/2006/relationships/header" Target="header48.xml"/><Relationship Id="rId97" Type="http://schemas.openxmlformats.org/officeDocument/2006/relationships/image" Target="media/image51.png"/><Relationship Id="rId104" Type="http://schemas.openxmlformats.org/officeDocument/2006/relationships/header" Target="header57.xml"/><Relationship Id="rId120" Type="http://schemas.openxmlformats.org/officeDocument/2006/relationships/footer" Target="footer25.xml"/><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14.xml"/><Relationship Id="rId92" Type="http://schemas.openxmlformats.org/officeDocument/2006/relationships/hyperlink" Target="file:///D:\DOCUME~1\johnni\LOCALS~1\Temp\notesBCBF1C\2012FinStats_Year%20End.xls" TargetMode="Externa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footer" Target="footer6.xml"/><Relationship Id="rId40" Type="http://schemas.openxmlformats.org/officeDocument/2006/relationships/footer" Target="footer9.xml"/><Relationship Id="rId45" Type="http://schemas.openxmlformats.org/officeDocument/2006/relationships/header" Target="header24.xml"/><Relationship Id="rId66" Type="http://schemas.openxmlformats.org/officeDocument/2006/relationships/image" Target="media/image35.jpg"/><Relationship Id="rId87" Type="http://schemas.openxmlformats.org/officeDocument/2006/relationships/hyperlink" Target="file:///D:\DOCUME~1\johnni\LOCALS~1\Temp\notesBCBF1C\2012FinStats_Year%20End.xls" TargetMode="External"/><Relationship Id="rId110" Type="http://schemas.openxmlformats.org/officeDocument/2006/relationships/footer" Target="footer20.xml"/><Relationship Id="rId115" Type="http://schemas.openxmlformats.org/officeDocument/2006/relationships/header" Target="header6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10.xml.rels><?xml version="1.0" encoding="UTF-8" standalone="yes"?>
<Relationships xmlns="http://schemas.openxmlformats.org/package/2006/relationships"><Relationship Id="rId1" Type="http://schemas.openxmlformats.org/officeDocument/2006/relationships/image" Target="media/image11.jpeg"/></Relationships>
</file>

<file path=word/_rels/header11.xml.rels><?xml version="1.0" encoding="UTF-8" standalone="yes"?>
<Relationships xmlns="http://schemas.openxmlformats.org/package/2006/relationships"><Relationship Id="rId1" Type="http://schemas.openxmlformats.org/officeDocument/2006/relationships/image" Target="media/image13.jpeg"/></Relationships>
</file>

<file path=word/_rels/header12.xml.rels><?xml version="1.0" encoding="UTF-8" standalone="yes"?>
<Relationships xmlns="http://schemas.openxmlformats.org/package/2006/relationships"><Relationship Id="rId1" Type="http://schemas.openxmlformats.org/officeDocument/2006/relationships/image" Target="media/image14.jpeg"/></Relationships>
</file>

<file path=word/_rels/header13.xml.rels><?xml version="1.0" encoding="UTF-8" standalone="yes"?>
<Relationships xmlns="http://schemas.openxmlformats.org/package/2006/relationships"><Relationship Id="rId1" Type="http://schemas.openxmlformats.org/officeDocument/2006/relationships/image" Target="media/image15.jpeg"/></Relationships>
</file>

<file path=word/_rels/header14.xml.rels><?xml version="1.0" encoding="UTF-8" standalone="yes"?>
<Relationships xmlns="http://schemas.openxmlformats.org/package/2006/relationships"><Relationship Id="rId1" Type="http://schemas.openxmlformats.org/officeDocument/2006/relationships/image" Target="media/image14.jpeg"/></Relationships>
</file>

<file path=word/_rels/header15.xml.rels><?xml version="1.0" encoding="UTF-8" standalone="yes"?>
<Relationships xmlns="http://schemas.openxmlformats.org/package/2006/relationships"><Relationship Id="rId1" Type="http://schemas.openxmlformats.org/officeDocument/2006/relationships/image" Target="media/image16.jpeg"/></Relationships>
</file>

<file path=word/_rels/header16.xml.rels><?xml version="1.0" encoding="UTF-8" standalone="yes"?>
<Relationships xmlns="http://schemas.openxmlformats.org/package/2006/relationships"><Relationship Id="rId1" Type="http://schemas.openxmlformats.org/officeDocument/2006/relationships/image" Target="media/image17.jpeg"/></Relationships>
</file>

<file path=word/_rels/header17.xml.rels><?xml version="1.0" encoding="UTF-8" standalone="yes"?>
<Relationships xmlns="http://schemas.openxmlformats.org/package/2006/relationships"><Relationship Id="rId1" Type="http://schemas.openxmlformats.org/officeDocument/2006/relationships/image" Target="media/image18.jpeg"/></Relationships>
</file>

<file path=word/_rels/header18.xml.rels><?xml version="1.0" encoding="UTF-8" standalone="yes"?>
<Relationships xmlns="http://schemas.openxmlformats.org/package/2006/relationships"><Relationship Id="rId1" Type="http://schemas.openxmlformats.org/officeDocument/2006/relationships/image" Target="media/image19.jpeg"/></Relationships>
</file>

<file path=word/_rels/header19.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20.xml.rels><?xml version="1.0" encoding="UTF-8" standalone="yes"?>
<Relationships xmlns="http://schemas.openxmlformats.org/package/2006/relationships"><Relationship Id="rId1" Type="http://schemas.openxmlformats.org/officeDocument/2006/relationships/image" Target="media/image21.jpeg"/></Relationships>
</file>

<file path=word/_rels/header21.xml.rels><?xml version="1.0" encoding="UTF-8" standalone="yes"?>
<Relationships xmlns="http://schemas.openxmlformats.org/package/2006/relationships"><Relationship Id="rId1" Type="http://schemas.openxmlformats.org/officeDocument/2006/relationships/image" Target="media/image23.jpeg"/></Relationships>
</file>

<file path=word/_rels/header22.xml.rels><?xml version="1.0" encoding="UTF-8" standalone="yes"?>
<Relationships xmlns="http://schemas.openxmlformats.org/package/2006/relationships"><Relationship Id="rId1" Type="http://schemas.openxmlformats.org/officeDocument/2006/relationships/image" Target="media/image21.jpeg"/></Relationships>
</file>

<file path=word/_rels/header23.xml.rels><?xml version="1.0" encoding="UTF-8" standalone="yes"?>
<Relationships xmlns="http://schemas.openxmlformats.org/package/2006/relationships"><Relationship Id="rId1" Type="http://schemas.openxmlformats.org/officeDocument/2006/relationships/image" Target="media/image20.jpeg"/></Relationships>
</file>

<file path=word/_rels/header24.xml.rels><?xml version="1.0" encoding="UTF-8" standalone="yes"?>
<Relationships xmlns="http://schemas.openxmlformats.org/package/2006/relationships"><Relationship Id="rId1" Type="http://schemas.openxmlformats.org/officeDocument/2006/relationships/image" Target="media/image21.jpeg"/></Relationships>
</file>

<file path=word/_rels/header25.xml.rels><?xml version="1.0" encoding="UTF-8" standalone="yes"?>
<Relationships xmlns="http://schemas.openxmlformats.org/package/2006/relationships"><Relationship Id="rId1" Type="http://schemas.openxmlformats.org/officeDocument/2006/relationships/image" Target="media/image24.jpeg"/></Relationships>
</file>

<file path=word/_rels/header26.xml.rels><?xml version="1.0" encoding="UTF-8" standalone="yes"?>
<Relationships xmlns="http://schemas.openxmlformats.org/package/2006/relationships"><Relationship Id="rId1" Type="http://schemas.openxmlformats.org/officeDocument/2006/relationships/image" Target="media/image20.jpeg"/></Relationships>
</file>

<file path=word/_rels/header27.xml.rels><?xml version="1.0" encoding="UTF-8" standalone="yes"?>
<Relationships xmlns="http://schemas.openxmlformats.org/package/2006/relationships"><Relationship Id="rId1" Type="http://schemas.openxmlformats.org/officeDocument/2006/relationships/image" Target="media/image25.jpg"/></Relationships>
</file>

<file path=word/_rels/header28.xml.rels><?xml version="1.0" encoding="UTF-8" standalone="yes"?>
<Relationships xmlns="http://schemas.openxmlformats.org/package/2006/relationships"><Relationship Id="rId1" Type="http://schemas.openxmlformats.org/officeDocument/2006/relationships/image" Target="media/image26.jpg"/></Relationships>
</file>

<file path=word/_rels/header29.xml.rels><?xml version="1.0" encoding="UTF-8" standalone="yes"?>
<Relationships xmlns="http://schemas.openxmlformats.org/package/2006/relationships"><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30.xml.rels><?xml version="1.0" encoding="UTF-8" standalone="yes"?>
<Relationships xmlns="http://schemas.openxmlformats.org/package/2006/relationships"><Relationship Id="rId1" Type="http://schemas.openxmlformats.org/officeDocument/2006/relationships/image" Target="media/image27.jpeg"/></Relationships>
</file>

<file path=word/_rels/header31.xml.rels><?xml version="1.0" encoding="UTF-8" standalone="yes"?>
<Relationships xmlns="http://schemas.openxmlformats.org/package/2006/relationships"><Relationship Id="rId1" Type="http://schemas.openxmlformats.org/officeDocument/2006/relationships/image" Target="media/image21.jpeg"/></Relationships>
</file>

<file path=word/_rels/header32.xml.rels><?xml version="1.0" encoding="UTF-8" standalone="yes"?>
<Relationships xmlns="http://schemas.openxmlformats.org/package/2006/relationships"><Relationship Id="rId1" Type="http://schemas.openxmlformats.org/officeDocument/2006/relationships/image" Target="media/image28.jpg"/></Relationships>
</file>

<file path=word/_rels/header33.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0.jpeg"/></Relationships>
</file>

<file path=word/_rels/header34.xml.rels><?xml version="1.0" encoding="UTF-8" standalone="yes"?>
<Relationships xmlns="http://schemas.openxmlformats.org/package/2006/relationships"><Relationship Id="rId1" Type="http://schemas.openxmlformats.org/officeDocument/2006/relationships/image" Target="media/image20.jpeg"/></Relationships>
</file>

<file path=word/_rels/header35.xml.rels><?xml version="1.0" encoding="UTF-8" standalone="yes"?>
<Relationships xmlns="http://schemas.openxmlformats.org/package/2006/relationships"><Relationship Id="rId1" Type="http://schemas.openxmlformats.org/officeDocument/2006/relationships/image" Target="media/image20.jpeg"/></Relationships>
</file>

<file path=word/_rels/header36.xml.rels><?xml version="1.0" encoding="UTF-8" standalone="yes"?>
<Relationships xmlns="http://schemas.openxmlformats.org/package/2006/relationships"><Relationship Id="rId1" Type="http://schemas.openxmlformats.org/officeDocument/2006/relationships/image" Target="media/image30.jpeg"/></Relationships>
</file>

<file path=word/_rels/header37.xml.rels><?xml version="1.0" encoding="UTF-8" standalone="yes"?>
<Relationships xmlns="http://schemas.openxmlformats.org/package/2006/relationships"><Relationship Id="rId1" Type="http://schemas.openxmlformats.org/officeDocument/2006/relationships/image" Target="media/image31.jpeg"/></Relationships>
</file>

<file path=word/_rels/header38.xml.rels><?xml version="1.0" encoding="UTF-8" standalone="yes"?>
<Relationships xmlns="http://schemas.openxmlformats.org/package/2006/relationships"><Relationship Id="rId1" Type="http://schemas.openxmlformats.org/officeDocument/2006/relationships/image" Target="media/image32.jpeg"/></Relationships>
</file>

<file path=word/_rels/header39.xml.rels><?xml version="1.0" encoding="UTF-8" standalone="yes"?>
<Relationships xmlns="http://schemas.openxmlformats.org/package/2006/relationships"><Relationship Id="rId1" Type="http://schemas.openxmlformats.org/officeDocument/2006/relationships/image" Target="media/image33.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40.xml.rels><?xml version="1.0" encoding="UTF-8" standalone="yes"?>
<Relationships xmlns="http://schemas.openxmlformats.org/package/2006/relationships"><Relationship Id="rId1" Type="http://schemas.openxmlformats.org/officeDocument/2006/relationships/image" Target="media/image34.jpeg"/></Relationships>
</file>

<file path=word/_rels/header41.xml.rels><?xml version="1.0" encoding="UTF-8" standalone="yes"?>
<Relationships xmlns="http://schemas.openxmlformats.org/package/2006/relationships"><Relationship Id="rId1" Type="http://schemas.openxmlformats.org/officeDocument/2006/relationships/image" Target="media/image36.jpeg"/></Relationships>
</file>

<file path=word/_rels/header42.xml.rels><?xml version="1.0" encoding="UTF-8" standalone="yes"?>
<Relationships xmlns="http://schemas.openxmlformats.org/package/2006/relationships"><Relationship Id="rId1" Type="http://schemas.openxmlformats.org/officeDocument/2006/relationships/image" Target="media/image33.jpeg"/></Relationships>
</file>

<file path=word/_rels/header43.xml.rels><?xml version="1.0" encoding="UTF-8" standalone="yes"?>
<Relationships xmlns="http://schemas.openxmlformats.org/package/2006/relationships"><Relationship Id="rId1" Type="http://schemas.openxmlformats.org/officeDocument/2006/relationships/image" Target="media/image37.jpg"/></Relationships>
</file>

<file path=word/_rels/header44.xml.rels><?xml version="1.0" encoding="UTF-8" standalone="yes"?>
<Relationships xmlns="http://schemas.openxmlformats.org/package/2006/relationships"><Relationship Id="rId1" Type="http://schemas.openxmlformats.org/officeDocument/2006/relationships/image" Target="media/image38.jpeg"/></Relationships>
</file>

<file path=word/_rels/header45.xml.rels><?xml version="1.0" encoding="UTF-8" standalone="yes"?>
<Relationships xmlns="http://schemas.openxmlformats.org/package/2006/relationships"><Relationship Id="rId1" Type="http://schemas.openxmlformats.org/officeDocument/2006/relationships/image" Target="media/image39.jpeg"/></Relationships>
</file>

<file path=word/_rels/header46.xml.rels><?xml version="1.0" encoding="UTF-8" standalone="yes"?>
<Relationships xmlns="http://schemas.openxmlformats.org/package/2006/relationships"><Relationship Id="rId1" Type="http://schemas.openxmlformats.org/officeDocument/2006/relationships/image" Target="media/image40.jpeg"/></Relationships>
</file>

<file path=word/_rels/header47.xml.rels><?xml version="1.0" encoding="UTF-8" standalone="yes"?>
<Relationships xmlns="http://schemas.openxmlformats.org/package/2006/relationships"><Relationship Id="rId1" Type="http://schemas.openxmlformats.org/officeDocument/2006/relationships/image" Target="media/image41.jpeg"/></Relationships>
</file>

<file path=word/_rels/header48.xml.rels><?xml version="1.0" encoding="UTF-8" standalone="yes"?>
<Relationships xmlns="http://schemas.openxmlformats.org/package/2006/relationships"><Relationship Id="rId1" Type="http://schemas.openxmlformats.org/officeDocument/2006/relationships/image" Target="media/image42.jpeg"/></Relationships>
</file>

<file path=word/_rels/header49.xml.rels><?xml version="1.0" encoding="UTF-8" standalone="yes"?>
<Relationships xmlns="http://schemas.openxmlformats.org/package/2006/relationships"><Relationship Id="rId1" Type="http://schemas.openxmlformats.org/officeDocument/2006/relationships/image" Target="media/image43.jpeg"/></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_rels/header50.xml.rels><?xml version="1.0" encoding="UTF-8" standalone="yes"?>
<Relationships xmlns="http://schemas.openxmlformats.org/package/2006/relationships"><Relationship Id="rId1" Type="http://schemas.openxmlformats.org/officeDocument/2006/relationships/image" Target="media/image44.jpeg"/></Relationships>
</file>

<file path=word/_rels/header51.xml.rels><?xml version="1.0" encoding="UTF-8" standalone="yes"?>
<Relationships xmlns="http://schemas.openxmlformats.org/package/2006/relationships"><Relationship Id="rId1" Type="http://schemas.openxmlformats.org/officeDocument/2006/relationships/image" Target="media/image45.jpeg"/></Relationships>
</file>

<file path=word/_rels/header52.xml.rels><?xml version="1.0" encoding="UTF-8" standalone="yes"?>
<Relationships xmlns="http://schemas.openxmlformats.org/package/2006/relationships"><Relationship Id="rId1" Type="http://schemas.openxmlformats.org/officeDocument/2006/relationships/image" Target="media/image46.jpeg"/></Relationships>
</file>

<file path=word/_rels/header53.xml.rels><?xml version="1.0" encoding="UTF-8" standalone="yes"?>
<Relationships xmlns="http://schemas.openxmlformats.org/package/2006/relationships"><Relationship Id="rId1" Type="http://schemas.openxmlformats.org/officeDocument/2006/relationships/image" Target="media/image47.jpeg"/></Relationships>
</file>

<file path=word/_rels/header54.xml.rels><?xml version="1.0" encoding="UTF-8" standalone="yes"?>
<Relationships xmlns="http://schemas.openxmlformats.org/package/2006/relationships"><Relationship Id="rId1" Type="http://schemas.openxmlformats.org/officeDocument/2006/relationships/image" Target="media/image46.jpeg"/></Relationships>
</file>

<file path=word/_rels/header55.xml.rels><?xml version="1.0" encoding="UTF-8" standalone="yes"?>
<Relationships xmlns="http://schemas.openxmlformats.org/package/2006/relationships"><Relationship Id="rId1" Type="http://schemas.openxmlformats.org/officeDocument/2006/relationships/image" Target="media/image47.jpeg"/></Relationships>
</file>

<file path=word/_rels/header56.xml.rels><?xml version="1.0" encoding="UTF-8" standalone="yes"?>
<Relationships xmlns="http://schemas.openxmlformats.org/package/2006/relationships"><Relationship Id="rId1" Type="http://schemas.openxmlformats.org/officeDocument/2006/relationships/image" Target="media/image52.jpeg"/></Relationships>
</file>

<file path=word/_rels/header57.xml.rels><?xml version="1.0" encoding="UTF-8" standalone="yes"?>
<Relationships xmlns="http://schemas.openxmlformats.org/package/2006/relationships"><Relationship Id="rId1" Type="http://schemas.openxmlformats.org/officeDocument/2006/relationships/image" Target="media/image53.jpeg"/></Relationships>
</file>

<file path=word/_rels/header58.xml.rels><?xml version="1.0" encoding="UTF-8" standalone="yes"?>
<Relationships xmlns="http://schemas.openxmlformats.org/package/2006/relationships"><Relationship Id="rId1" Type="http://schemas.openxmlformats.org/officeDocument/2006/relationships/image" Target="media/image54.jpeg"/></Relationships>
</file>

<file path=word/_rels/header59.xml.rels><?xml version="1.0" encoding="UTF-8" standalone="yes"?>
<Relationships xmlns="http://schemas.openxmlformats.org/package/2006/relationships"><Relationship Id="rId1" Type="http://schemas.openxmlformats.org/officeDocument/2006/relationships/image" Target="media/image55.jpeg"/></Relationships>
</file>

<file path=word/_rels/header6.xml.rels><?xml version="1.0" encoding="UTF-8" standalone="yes"?>
<Relationships xmlns="http://schemas.openxmlformats.org/package/2006/relationships"><Relationship Id="rId1" Type="http://schemas.openxmlformats.org/officeDocument/2006/relationships/image" Target="media/image9.jpeg"/></Relationships>
</file>

<file path=word/_rels/header60.xml.rels><?xml version="1.0" encoding="UTF-8" standalone="yes"?>
<Relationships xmlns="http://schemas.openxmlformats.org/package/2006/relationships"><Relationship Id="rId1" Type="http://schemas.openxmlformats.org/officeDocument/2006/relationships/image" Target="media/image56.jpeg"/></Relationships>
</file>

<file path=word/_rels/header61.xml.rels><?xml version="1.0" encoding="UTF-8" standalone="yes"?>
<Relationships xmlns="http://schemas.openxmlformats.org/package/2006/relationships"><Relationship Id="rId1" Type="http://schemas.openxmlformats.org/officeDocument/2006/relationships/image" Target="media/image57.jpeg"/></Relationships>
</file>

<file path=word/_rels/header62.xml.rels><?xml version="1.0" encoding="UTF-8" standalone="yes"?>
<Relationships xmlns="http://schemas.openxmlformats.org/package/2006/relationships"><Relationship Id="rId1" Type="http://schemas.openxmlformats.org/officeDocument/2006/relationships/image" Target="media/image58.jpeg"/></Relationships>
</file>

<file path=word/_rels/header63.xml.rels><?xml version="1.0" encoding="UTF-8" standalone="yes"?>
<Relationships xmlns="http://schemas.openxmlformats.org/package/2006/relationships"><Relationship Id="rId1" Type="http://schemas.openxmlformats.org/officeDocument/2006/relationships/image" Target="media/image59.jpeg"/></Relationships>
</file>

<file path=word/_rels/header64.xml.rels><?xml version="1.0" encoding="UTF-8" standalone="yes"?>
<Relationships xmlns="http://schemas.openxmlformats.org/package/2006/relationships"><Relationship Id="rId1" Type="http://schemas.openxmlformats.org/officeDocument/2006/relationships/image" Target="media/image60.jpeg"/></Relationships>
</file>

<file path=word/_rels/header65.xml.rels><?xml version="1.0" encoding="UTF-8" standalone="yes"?>
<Relationships xmlns="http://schemas.openxmlformats.org/package/2006/relationships"><Relationship Id="rId1" Type="http://schemas.openxmlformats.org/officeDocument/2006/relationships/image" Target="media/image61.jpeg"/></Relationships>
</file>

<file path=word/_rels/header66.xml.rels><?xml version="1.0" encoding="UTF-8" standalone="yes"?>
<Relationships xmlns="http://schemas.openxmlformats.org/package/2006/relationships"><Relationship Id="rId1" Type="http://schemas.openxmlformats.org/officeDocument/2006/relationships/image" Target="media/image62.jpeg"/></Relationships>
</file>

<file path=word/_rels/header7.xml.rels><?xml version="1.0" encoding="UTF-8" standalone="yes"?>
<Relationships xmlns="http://schemas.openxmlformats.org/package/2006/relationships"><Relationship Id="rId1" Type="http://schemas.openxmlformats.org/officeDocument/2006/relationships/image" Target="media/image10.jpeg"/></Relationships>
</file>

<file path=word/_rels/header8.xml.rels><?xml version="1.0" encoding="UTF-8" standalone="yes"?>
<Relationships xmlns="http://schemas.openxmlformats.org/package/2006/relationships"><Relationship Id="rId1" Type="http://schemas.openxmlformats.org/officeDocument/2006/relationships/image" Target="media/image11.jpeg"/></Relationships>
</file>

<file path=word/_rels/header9.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SAQ7053">
      <a:dk1>
        <a:sysClr val="windowText" lastClr="000000"/>
      </a:dk1>
      <a:lt1>
        <a:sysClr val="window" lastClr="FFFFFF"/>
      </a:lt1>
      <a:dk2>
        <a:srgbClr val="434547"/>
      </a:dk2>
      <a:lt2>
        <a:srgbClr val="FFFFFF"/>
      </a:lt2>
      <a:accent1>
        <a:srgbClr val="00748F"/>
      </a:accent1>
      <a:accent2>
        <a:srgbClr val="00AEEF"/>
      </a:accent2>
      <a:accent3>
        <a:srgbClr val="1E5F55"/>
      </a:accent3>
      <a:accent4>
        <a:srgbClr val="F1F0EE"/>
      </a:accent4>
      <a:accent5>
        <a:srgbClr val="007478"/>
      </a:accent5>
      <a:accent6>
        <a:srgbClr val="CCEEE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2C70B-7E7E-444B-A186-A69A43259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131</Pages>
  <Words>32600</Words>
  <Characters>185825</Characters>
  <Application>Microsoft Office Word</Application>
  <DocSecurity>4</DocSecurity>
  <Lines>1548</Lines>
  <Paragraphs>435</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217990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cathy@twotensolutions.com</dc:creator>
  <cp:lastModifiedBy>Cresswell Adam</cp:lastModifiedBy>
  <cp:revision>2</cp:revision>
  <cp:lastPrinted>2017-10-13T00:04:00Z</cp:lastPrinted>
  <dcterms:created xsi:type="dcterms:W3CDTF">2017-10-13T01:47:00Z</dcterms:created>
  <dcterms:modified xsi:type="dcterms:W3CDTF">2017-10-13T01:47:00Z</dcterms:modified>
</cp:coreProperties>
</file>