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E7" w:rsidRDefault="00C5112F" w:rsidP="00A62E15">
      <w:pPr>
        <w:pStyle w:val="IntenseQuote"/>
        <w:spacing w:before="840"/>
        <w:ind w:left="397"/>
        <w:rPr>
          <w:rFonts w:eastAsiaTheme="majorEastAsia"/>
        </w:rPr>
      </w:pPr>
      <w:bookmarkStart w:id="0" w:name="_GoBack"/>
      <w:bookmarkEnd w:id="0"/>
      <w:r>
        <w:rPr>
          <w:rFonts w:eastAsiaTheme="majorEastAsia"/>
        </w:rPr>
        <w:t>NOVEMBER 2016</w:t>
      </w:r>
    </w:p>
    <w:p w:rsidR="009F5557" w:rsidRDefault="00712375" w:rsidP="00A62E15">
      <w:pPr>
        <w:pStyle w:val="Title"/>
        <w:spacing w:before="1680"/>
        <w:ind w:left="397"/>
      </w:pPr>
      <w:r>
        <w:t>Antimicrobial Use in Australia</w:t>
      </w:r>
    </w:p>
    <w:p w:rsidR="0052107C" w:rsidRPr="00D42B9A" w:rsidRDefault="00C5112F" w:rsidP="0052107C">
      <w:pPr>
        <w:ind w:left="397"/>
        <w:rPr>
          <w:rStyle w:val="IntenseReference"/>
          <w:rFonts w:cs="Arial"/>
          <w:b w:val="0"/>
          <w:bCs w:val="0"/>
          <w:i w:val="0"/>
          <w:smallCaps w:val="0"/>
          <w:color w:val="auto"/>
          <w:spacing w:val="0"/>
          <w:sz w:val="32"/>
        </w:rPr>
      </w:pPr>
      <w:r w:rsidRPr="00C5112F">
        <w:rPr>
          <w:rStyle w:val="IntenseReference"/>
          <w:rFonts w:cs="Arial"/>
          <w:b w:val="0"/>
          <w:bCs w:val="0"/>
          <w:i w:val="0"/>
          <w:smallCaps w:val="0"/>
          <w:color w:val="auto"/>
          <w:spacing w:val="0"/>
          <w:sz w:val="28"/>
        </w:rPr>
        <w:t>This pap</w:t>
      </w:r>
      <w:r w:rsidR="003774FC">
        <w:rPr>
          <w:rStyle w:val="IntenseReference"/>
          <w:rFonts w:cs="Arial"/>
          <w:b w:val="0"/>
          <w:bCs w:val="0"/>
          <w:i w:val="0"/>
          <w:smallCaps w:val="0"/>
          <w:color w:val="auto"/>
          <w:spacing w:val="0"/>
          <w:sz w:val="28"/>
        </w:rPr>
        <w:t>er was prepared by the AURA Co-ordination Unit</w:t>
      </w:r>
      <w:r w:rsidR="00E57029">
        <w:rPr>
          <w:rStyle w:val="IntenseReference"/>
          <w:rFonts w:cs="Arial"/>
          <w:b w:val="0"/>
          <w:bCs w:val="0"/>
          <w:i w:val="0"/>
          <w:smallCaps w:val="0"/>
          <w:color w:val="auto"/>
          <w:spacing w:val="0"/>
          <w:sz w:val="28"/>
        </w:rPr>
        <w:t xml:space="preserve">, </w:t>
      </w:r>
      <w:r w:rsidR="00E60EE1" w:rsidRPr="00D42B9A">
        <w:rPr>
          <w:rStyle w:val="IntenseReference"/>
          <w:rFonts w:cs="Arial"/>
          <w:b w:val="0"/>
          <w:bCs w:val="0"/>
          <w:i w:val="0"/>
          <w:smallCaps w:val="0"/>
          <w:color w:val="auto"/>
          <w:spacing w:val="0"/>
          <w:sz w:val="28"/>
        </w:rPr>
        <w:t>Australian Commission on Safety and Quality in Health Care.</w:t>
      </w:r>
    </w:p>
    <w:p w:rsidR="00F549D7" w:rsidRDefault="00F549D7">
      <w:pPr>
        <w:rPr>
          <w:rStyle w:val="IntenseReference"/>
          <w:rFonts w:cs="Arial"/>
          <w:b w:val="0"/>
          <w:bCs w:val="0"/>
          <w:i w:val="0"/>
          <w:smallCaps w:val="0"/>
          <w:color w:val="auto"/>
          <w:spacing w:val="0"/>
        </w:rPr>
      </w:pPr>
      <w:r>
        <w:rPr>
          <w:rStyle w:val="IntenseReference"/>
          <w:rFonts w:cs="Arial"/>
          <w:b w:val="0"/>
          <w:bCs w:val="0"/>
          <w:i w:val="0"/>
          <w:smallCaps w:val="0"/>
          <w:color w:val="auto"/>
          <w:spacing w:val="0"/>
        </w:rPr>
        <w:br w:type="page"/>
      </w:r>
    </w:p>
    <w:p w:rsidR="00B47076" w:rsidRPr="00B47076" w:rsidRDefault="00B47076" w:rsidP="00316683">
      <w:pPr>
        <w:spacing w:before="600"/>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lastRenderedPageBreak/>
        <w:t>Published by the Australian Commission on Safety and Quality in Health Care</w:t>
      </w:r>
    </w:p>
    <w:p w:rsidR="00C06314" w:rsidRPr="00B47076" w:rsidRDefault="00C06314" w:rsidP="00C06314">
      <w:pPr>
        <w:spacing w:before="720"/>
        <w:contextualSpacing/>
        <w:rPr>
          <w:rStyle w:val="IntenseReference"/>
          <w:rFonts w:cs="Arial"/>
          <w:b w:val="0"/>
          <w:bCs w:val="0"/>
          <w:i w:val="0"/>
          <w:smallCaps w:val="0"/>
          <w:color w:val="auto"/>
          <w:spacing w:val="0"/>
        </w:rPr>
      </w:pPr>
      <w:r>
        <w:rPr>
          <w:rStyle w:val="IntenseReference"/>
          <w:rFonts w:cs="Arial"/>
          <w:b w:val="0"/>
          <w:bCs w:val="0"/>
          <w:i w:val="0"/>
          <w:smallCaps w:val="0"/>
          <w:color w:val="auto"/>
          <w:spacing w:val="0"/>
        </w:rPr>
        <w:t>Level 5, 255 Elizabeth Street, Sydney NSW 2001</w:t>
      </w:r>
    </w:p>
    <w:p w:rsidR="00C06314" w:rsidRPr="00B47076" w:rsidRDefault="00C06314" w:rsidP="00C06314">
      <w:pPr>
        <w:contextualSpacing/>
        <w:rPr>
          <w:rStyle w:val="IntenseReference"/>
          <w:rFonts w:cs="Arial"/>
          <w:b w:val="0"/>
          <w:bCs w:val="0"/>
          <w:i w:val="0"/>
          <w:smallCaps w:val="0"/>
          <w:color w:val="auto"/>
          <w:spacing w:val="0"/>
        </w:rPr>
      </w:pPr>
    </w:p>
    <w:p w:rsidR="00C06314" w:rsidRDefault="00C06314" w:rsidP="00C06314">
      <w:pPr>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Phone: (02) 9126 3600 </w:t>
      </w:r>
    </w:p>
    <w:p w:rsidR="00C06314" w:rsidRDefault="00C06314" w:rsidP="00C06314">
      <w:pPr>
        <w:contextualSpacing/>
        <w:rPr>
          <w:rStyle w:val="IntenseReference"/>
          <w:rFonts w:cs="Arial"/>
          <w:b w:val="0"/>
          <w:bCs w:val="0"/>
          <w:i w:val="0"/>
          <w:smallCaps w:val="0"/>
          <w:color w:val="auto"/>
          <w:spacing w:val="0"/>
        </w:rPr>
      </w:pPr>
      <w:r>
        <w:rPr>
          <w:rStyle w:val="IntenseReference"/>
          <w:rFonts w:cs="Arial"/>
          <w:b w:val="0"/>
          <w:bCs w:val="0"/>
          <w:i w:val="0"/>
          <w:smallCaps w:val="0"/>
          <w:color w:val="auto"/>
          <w:spacing w:val="0"/>
        </w:rPr>
        <w:t>Fax: (02) 9126 3613</w:t>
      </w:r>
    </w:p>
    <w:p w:rsidR="00C06314" w:rsidRPr="00B47076" w:rsidRDefault="00C06314" w:rsidP="00C06314">
      <w:pPr>
        <w:contextualSpacing/>
        <w:rPr>
          <w:rStyle w:val="IntenseReference"/>
          <w:rFonts w:cs="Arial"/>
          <w:b w:val="0"/>
          <w:bCs w:val="0"/>
          <w:i w:val="0"/>
          <w:smallCaps w:val="0"/>
          <w:color w:val="auto"/>
          <w:spacing w:val="0"/>
        </w:rPr>
      </w:pPr>
    </w:p>
    <w:p w:rsidR="00C06314" w:rsidRPr="00B47076" w:rsidRDefault="00C06314" w:rsidP="00C06314">
      <w:pPr>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Email: mail@safetyandquality.gov.au </w:t>
      </w:r>
    </w:p>
    <w:p w:rsidR="00497665" w:rsidRPr="00497665" w:rsidRDefault="00C06314" w:rsidP="00852FFB">
      <w:pPr>
        <w:spacing w:after="240"/>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r w:rsidRPr="00B47076">
        <w:rPr>
          <w:rStyle w:val="IntenseReference"/>
          <w:rFonts w:cs="Arial"/>
          <w:b w:val="0"/>
          <w:bCs w:val="0"/>
          <w:i w:val="0"/>
          <w:smallCaps w:val="0"/>
          <w:color w:val="auto"/>
          <w:spacing w:val="0"/>
        </w:rPr>
        <w:t xml:space="preserve">Website: </w:t>
      </w:r>
      <w:hyperlink r:id="rId9" w:history="1">
        <w:r w:rsidR="00497665" w:rsidRPr="00567995">
          <w:rPr>
            <w:rStyle w:val="Hyperlink"/>
            <w:rFonts w:cs="Arial"/>
          </w:rPr>
          <w:t>www.safetyandquality.gov.au</w:t>
        </w:r>
      </w:hyperlink>
    </w:p>
    <w:p w:rsidR="00852FFB" w:rsidRDefault="00852FFB" w:rsidP="00852FFB">
      <w:pPr>
        <w:spacing w:before="240"/>
        <w:rPr>
          <w:rStyle w:val="IntenseReference"/>
          <w:rFonts w:cs="Arial"/>
          <w:b w:val="0"/>
          <w:bCs w:val="0"/>
          <w:i w:val="0"/>
          <w:smallCaps w:val="0"/>
          <w:color w:val="auto"/>
          <w:spacing w:val="0"/>
        </w:rPr>
      </w:pPr>
    </w:p>
    <w:p w:rsidR="00B47076" w:rsidRDefault="00B47076" w:rsidP="00852FFB">
      <w:pPr>
        <w:spacing w:before="240"/>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 </w:t>
      </w:r>
      <w:r w:rsidR="00B41409">
        <w:rPr>
          <w:rStyle w:val="IntenseReference"/>
          <w:rFonts w:cs="Arial"/>
          <w:b w:val="0"/>
          <w:bCs w:val="0"/>
          <w:i w:val="0"/>
          <w:smallCaps w:val="0"/>
          <w:color w:val="auto"/>
          <w:spacing w:val="0"/>
        </w:rPr>
        <w:t xml:space="preserve">Commonwealth of Australia </w:t>
      </w:r>
      <w:r w:rsidR="00C5112F">
        <w:rPr>
          <w:rStyle w:val="IntenseReference"/>
          <w:rFonts w:cs="Arial"/>
          <w:b w:val="0"/>
          <w:bCs w:val="0"/>
          <w:i w:val="0"/>
          <w:smallCaps w:val="0"/>
          <w:color w:val="auto"/>
          <w:spacing w:val="0"/>
        </w:rPr>
        <w:t>2016</w:t>
      </w:r>
    </w:p>
    <w:p w:rsidR="00664701" w:rsidRDefault="00664701" w:rsidP="00B47076">
      <w:pPr>
        <w:rPr>
          <w:rStyle w:val="IntenseReference"/>
          <w:rFonts w:cs="Arial"/>
          <w:b w:val="0"/>
          <w:bCs w:val="0"/>
          <w:i w:val="0"/>
          <w:smallCaps w:val="0"/>
          <w:color w:val="auto"/>
          <w:spacing w:val="0"/>
        </w:rPr>
      </w:pPr>
    </w:p>
    <w:p w:rsidR="00664701" w:rsidRPr="00B47076" w:rsidRDefault="00664701" w:rsidP="00B47076">
      <w:pPr>
        <w:rPr>
          <w:rStyle w:val="IntenseReference"/>
          <w:rFonts w:cs="Arial"/>
          <w:b w:val="0"/>
          <w:bCs w:val="0"/>
          <w:i w:val="0"/>
          <w:smallCaps w:val="0"/>
          <w:color w:val="auto"/>
          <w:spacing w:val="0"/>
        </w:rPr>
      </w:pPr>
      <w:r w:rsidRPr="00664701">
        <w:rPr>
          <w:rFonts w:cs="Arial"/>
        </w:rPr>
        <w:t>All material and work produced by the Australian Commission on Safety and Quality in Health Care is protected by Commonwealth copyright. It may be reproduced in whole or in part for study or training purposes, subject to the inclusion of an acknowledgement of the source.</w:t>
      </w:r>
    </w:p>
    <w:p w:rsidR="00B47076" w:rsidRPr="00B47076" w:rsidRDefault="00B47076" w:rsidP="00B47076">
      <w:pPr>
        <w:rPr>
          <w:rStyle w:val="IntenseReference"/>
          <w:rFonts w:cs="Arial"/>
          <w:b w:val="0"/>
          <w:bCs w:val="0"/>
          <w:i w:val="0"/>
          <w:smallCaps w:val="0"/>
          <w:color w:val="auto"/>
          <w:spacing w:val="0"/>
        </w:rPr>
      </w:pPr>
    </w:p>
    <w:p w:rsidR="00B47076" w:rsidRPr="00B47076" w:rsidRDefault="00B47076" w:rsidP="00B47076">
      <w:pPr>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The Commission’s preference is that you attribute this publication (and any material sourced from it) using the following citation: </w:t>
      </w:r>
    </w:p>
    <w:p w:rsidR="00B47076" w:rsidRPr="00B47076" w:rsidRDefault="00B47076" w:rsidP="00B47076">
      <w:pPr>
        <w:rPr>
          <w:rStyle w:val="IntenseReference"/>
          <w:rFonts w:cs="Arial"/>
          <w:b w:val="0"/>
          <w:bCs w:val="0"/>
          <w:i w:val="0"/>
          <w:smallCaps w:val="0"/>
          <w:color w:val="auto"/>
          <w:spacing w:val="0"/>
        </w:rPr>
      </w:pPr>
    </w:p>
    <w:p w:rsidR="00B47076" w:rsidRPr="00B47076" w:rsidRDefault="00C5112F" w:rsidP="00852FFB">
      <w:pPr>
        <w:ind w:left="720"/>
        <w:rPr>
          <w:rStyle w:val="IntenseReference"/>
          <w:rFonts w:cs="Arial"/>
          <w:b w:val="0"/>
          <w:bCs w:val="0"/>
          <w:i w:val="0"/>
          <w:smallCaps w:val="0"/>
          <w:color w:val="auto"/>
          <w:spacing w:val="0"/>
        </w:rPr>
      </w:pPr>
      <w:proofErr w:type="gramStart"/>
      <w:r w:rsidRPr="00C5112F">
        <w:rPr>
          <w:rStyle w:val="IntenseReference"/>
          <w:rFonts w:cs="Arial"/>
          <w:b w:val="0"/>
          <w:bCs w:val="0"/>
          <w:i w:val="0"/>
          <w:smallCaps w:val="0"/>
          <w:color w:val="auto"/>
          <w:spacing w:val="0"/>
        </w:rPr>
        <w:t>The Australian Commission on Safety and Quality in Health Care</w:t>
      </w:r>
      <w:r w:rsidR="00B47076" w:rsidRPr="00C5112F">
        <w:rPr>
          <w:rStyle w:val="IntenseReference"/>
          <w:rFonts w:cs="Arial"/>
          <w:b w:val="0"/>
          <w:bCs w:val="0"/>
          <w:i w:val="0"/>
          <w:smallCaps w:val="0"/>
          <w:color w:val="auto"/>
          <w:spacing w:val="0"/>
        </w:rPr>
        <w:t>.</w:t>
      </w:r>
      <w:proofErr w:type="gramEnd"/>
      <w:r w:rsidR="00EE397E" w:rsidRPr="00C5112F">
        <w:rPr>
          <w:rStyle w:val="IntenseReference"/>
          <w:rFonts w:cs="Arial"/>
          <w:b w:val="0"/>
          <w:bCs w:val="0"/>
          <w:i w:val="0"/>
          <w:smallCaps w:val="0"/>
          <w:color w:val="auto"/>
          <w:spacing w:val="0"/>
        </w:rPr>
        <w:t xml:space="preserve"> </w:t>
      </w:r>
      <w:proofErr w:type="gramStart"/>
      <w:r w:rsidRPr="00C5112F">
        <w:rPr>
          <w:rStyle w:val="IntenseReference"/>
          <w:rFonts w:cs="Arial"/>
          <w:b w:val="0"/>
          <w:bCs w:val="0"/>
          <w:i w:val="0"/>
          <w:smallCaps w:val="0"/>
          <w:color w:val="auto"/>
          <w:spacing w:val="0"/>
        </w:rPr>
        <w:t>Antimicrobial Use in Australia.</w:t>
      </w:r>
      <w:proofErr w:type="gramEnd"/>
      <w:r w:rsidRPr="00C5112F">
        <w:rPr>
          <w:rStyle w:val="IntenseReference"/>
          <w:rFonts w:cs="Arial"/>
          <w:b w:val="0"/>
          <w:bCs w:val="0"/>
          <w:i w:val="0"/>
          <w:smallCaps w:val="0"/>
          <w:color w:val="auto"/>
          <w:spacing w:val="0"/>
        </w:rPr>
        <w:t xml:space="preserve"> Sydney: ACSQHC; 2016</w:t>
      </w:r>
    </w:p>
    <w:p w:rsidR="00AA7B58" w:rsidRDefault="00EE397E" w:rsidP="00852FFB">
      <w:pPr>
        <w:spacing w:before="240"/>
        <w:rPr>
          <w:rStyle w:val="IntenseReference"/>
          <w:rFonts w:cs="Arial"/>
          <w:b w:val="0"/>
          <w:bCs w:val="0"/>
          <w:i w:val="0"/>
          <w:smallCaps w:val="0"/>
          <w:color w:val="auto"/>
          <w:spacing w:val="0"/>
        </w:rPr>
      </w:pPr>
      <w:r>
        <w:rPr>
          <w:rStyle w:val="IntenseReference"/>
          <w:rFonts w:cs="Arial"/>
          <w:b w:val="0"/>
          <w:bCs w:val="0"/>
          <w:i w:val="0"/>
          <w:smallCaps w:val="0"/>
          <w:color w:val="auto"/>
          <w:spacing w:val="0"/>
        </w:rPr>
        <w:t>E</w:t>
      </w:r>
      <w:r w:rsidRPr="00B47076">
        <w:rPr>
          <w:rStyle w:val="IntenseReference"/>
          <w:rFonts w:cs="Arial"/>
          <w:b w:val="0"/>
          <w:bCs w:val="0"/>
          <w:i w:val="0"/>
          <w:smallCaps w:val="0"/>
          <w:color w:val="auto"/>
          <w:spacing w:val="0"/>
        </w:rPr>
        <w:t xml:space="preserve">nquiries </w:t>
      </w:r>
      <w:r w:rsidR="00B47076" w:rsidRPr="00B47076">
        <w:rPr>
          <w:rStyle w:val="IntenseReference"/>
          <w:rFonts w:cs="Arial"/>
          <w:b w:val="0"/>
          <w:bCs w:val="0"/>
          <w:i w:val="0"/>
          <w:smallCaps w:val="0"/>
          <w:color w:val="auto"/>
          <w:spacing w:val="0"/>
        </w:rPr>
        <w:t xml:space="preserve">regarding the use of this publication are welcome </w:t>
      </w:r>
      <w:r>
        <w:rPr>
          <w:rStyle w:val="IntenseReference"/>
          <w:rFonts w:cs="Arial"/>
          <w:b w:val="0"/>
          <w:bCs w:val="0"/>
          <w:i w:val="0"/>
          <w:smallCaps w:val="0"/>
          <w:color w:val="auto"/>
          <w:spacing w:val="0"/>
        </w:rPr>
        <w:t xml:space="preserve">and can be sent </w:t>
      </w:r>
      <w:r w:rsidR="00B56B37">
        <w:rPr>
          <w:rStyle w:val="IntenseReference"/>
          <w:rFonts w:cs="Arial"/>
          <w:b w:val="0"/>
          <w:bCs w:val="0"/>
          <w:i w:val="0"/>
          <w:smallCaps w:val="0"/>
          <w:color w:val="auto"/>
          <w:spacing w:val="0"/>
        </w:rPr>
        <w:t xml:space="preserve">to </w:t>
      </w:r>
      <w:hyperlink r:id="rId10" w:history="1">
        <w:r w:rsidR="00B47076" w:rsidRPr="00B47076">
          <w:rPr>
            <w:rStyle w:val="Hyperlink"/>
            <w:rFonts w:cs="Arial"/>
          </w:rPr>
          <w:t>communications@safetyandquality.gov.au</w:t>
        </w:r>
      </w:hyperlink>
      <w:r w:rsidR="00B47076" w:rsidRPr="00B47076">
        <w:rPr>
          <w:rStyle w:val="IntenseReference"/>
          <w:rFonts w:cs="Arial"/>
          <w:b w:val="0"/>
          <w:bCs w:val="0"/>
          <w:i w:val="0"/>
          <w:smallCaps w:val="0"/>
          <w:color w:val="auto"/>
          <w:spacing w:val="0"/>
        </w:rPr>
        <w:t>.</w:t>
      </w:r>
    </w:p>
    <w:p w:rsidR="00B95A67" w:rsidRDefault="00B95A67">
      <w:pPr>
        <w:sectPr w:rsidR="00B95A67" w:rsidSect="00827902">
          <w:footerReference w:type="default" r:id="rId11"/>
          <w:headerReference w:type="first" r:id="rId12"/>
          <w:footerReference w:type="first" r:id="rId13"/>
          <w:pgSz w:w="11906" w:h="16838"/>
          <w:pgMar w:top="1950" w:right="1440" w:bottom="1440" w:left="1440" w:header="708" w:footer="708" w:gutter="0"/>
          <w:pgNumType w:start="0"/>
          <w:cols w:space="708"/>
          <w:titlePg/>
          <w:docGrid w:linePitch="360"/>
        </w:sectPr>
      </w:pPr>
    </w:p>
    <w:p w:rsidR="00C5112F" w:rsidRPr="00E66C30" w:rsidRDefault="00D32E79" w:rsidP="00E66C30">
      <w:pPr>
        <w:pStyle w:val="Heading1"/>
      </w:pPr>
      <w:r>
        <w:lastRenderedPageBreak/>
        <w:t>Introduction</w:t>
      </w:r>
    </w:p>
    <w:p w:rsidR="00D1516B" w:rsidRPr="00045C49" w:rsidRDefault="00D1516B" w:rsidP="00D1516B">
      <w:pPr>
        <w:spacing w:before="240"/>
        <w:rPr>
          <w:bCs/>
          <w:color w:val="000000"/>
          <w:szCs w:val="22"/>
        </w:rPr>
      </w:pPr>
      <w:r w:rsidRPr="00045C49">
        <w:rPr>
          <w:color w:val="000000"/>
          <w:szCs w:val="22"/>
        </w:rPr>
        <w:t xml:space="preserve">This paper supports the publication </w:t>
      </w:r>
      <w:r w:rsidRPr="00750695">
        <w:rPr>
          <w:i/>
          <w:color w:val="000000"/>
          <w:szCs w:val="22"/>
        </w:rPr>
        <w:t>AURA 2016: First Australian report on antimicrobial use and resistance in human health</w:t>
      </w:r>
      <w:r w:rsidRPr="00045C49">
        <w:rPr>
          <w:color w:val="000000"/>
          <w:szCs w:val="22"/>
        </w:rPr>
        <w:t xml:space="preserve"> (AURA 2016),</w:t>
      </w:r>
      <w:hyperlink w:anchor="_ENREF_1" w:tooltip="Australian Commission on Safety and Quality in Health Care, 2016 #8" w:history="1">
        <w:r w:rsidRPr="00045C49">
          <w:rPr>
            <w:bCs/>
            <w:color w:val="000000"/>
            <w:szCs w:val="22"/>
          </w:rPr>
          <w:fldChar w:fldCharType="begin"/>
        </w:r>
        <w:r w:rsidRPr="00045C49">
          <w:rPr>
            <w:bCs/>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045C49">
          <w:rPr>
            <w:bCs/>
            <w:color w:val="000000"/>
            <w:szCs w:val="22"/>
          </w:rPr>
          <w:fldChar w:fldCharType="separate"/>
        </w:r>
        <w:r w:rsidRPr="00045C49">
          <w:rPr>
            <w:bCs/>
            <w:noProof/>
            <w:color w:val="000000"/>
            <w:szCs w:val="22"/>
            <w:vertAlign w:val="superscript"/>
          </w:rPr>
          <w:t>1</w:t>
        </w:r>
        <w:r w:rsidRPr="00045C49">
          <w:rPr>
            <w:bCs/>
            <w:color w:val="000000"/>
            <w:szCs w:val="22"/>
          </w:rPr>
          <w:fldChar w:fldCharType="end"/>
        </w:r>
      </w:hyperlink>
      <w:r w:rsidRPr="00045C49">
        <w:rPr>
          <w:color w:val="000000"/>
          <w:szCs w:val="22"/>
        </w:rPr>
        <w:t xml:space="preserve"> and provides more detailed information on antimicrobial</w:t>
      </w:r>
      <w:r w:rsidRPr="00045C49">
        <w:rPr>
          <w:rStyle w:val="FootnoteReference"/>
          <w:color w:val="000000"/>
          <w:szCs w:val="22"/>
        </w:rPr>
        <w:footnoteReference w:id="1"/>
      </w:r>
      <w:r w:rsidRPr="00045C49">
        <w:rPr>
          <w:color w:val="000000"/>
          <w:szCs w:val="22"/>
        </w:rPr>
        <w:t xml:space="preserve"> use in hospitals and in the community.</w:t>
      </w:r>
      <w:r w:rsidRPr="00045C49">
        <w:rPr>
          <w:bCs/>
          <w:color w:val="000000"/>
          <w:szCs w:val="22"/>
        </w:rPr>
        <w:t xml:space="preserve"> Further details on all citations and </w:t>
      </w:r>
      <w:r>
        <w:rPr>
          <w:bCs/>
          <w:color w:val="000000"/>
          <w:szCs w:val="22"/>
        </w:rPr>
        <w:t>data source</w:t>
      </w:r>
      <w:r w:rsidRPr="00045C49">
        <w:rPr>
          <w:bCs/>
          <w:color w:val="000000"/>
          <w:szCs w:val="22"/>
        </w:rPr>
        <w:t xml:space="preserve">s included in this paper are available in AURA 2016. </w:t>
      </w:r>
    </w:p>
    <w:p w:rsidR="00D1516B" w:rsidRDefault="00D1516B" w:rsidP="00D1516B">
      <w:pPr>
        <w:rPr>
          <w:szCs w:val="22"/>
        </w:rPr>
      </w:pPr>
    </w:p>
    <w:p w:rsidR="00D1516B" w:rsidRPr="006C00A8" w:rsidRDefault="00D1516B" w:rsidP="00D1516B">
      <w:pPr>
        <w:rPr>
          <w:szCs w:val="22"/>
        </w:rPr>
      </w:pPr>
      <w:r w:rsidRPr="006C00A8">
        <w:rPr>
          <w:szCs w:val="22"/>
        </w:rPr>
        <w:t>Australia has high antimicrobial use compared with many other countries of similar socioeconomic status,</w:t>
      </w:r>
      <w:r w:rsidRPr="006C00A8">
        <w:t xml:space="preserve"> </w:t>
      </w:r>
      <w:r w:rsidRPr="006C00A8">
        <w:rPr>
          <w:szCs w:val="22"/>
        </w:rPr>
        <w:t>both in hospitals and in community settings</w:t>
      </w:r>
      <w:r w:rsidRPr="006C00A8">
        <w:t>.</w:t>
      </w:r>
      <w:hyperlink w:anchor="_ENREF_2" w:tooltip="Australian Commission on Safety and Quality in Health Care, 2015 #18" w:history="1">
        <w:r w:rsidRPr="006C00A8">
          <w:fldChar w:fldCharType="begin"/>
        </w:r>
        <w:r w:rsidRPr="006C00A8">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6C00A8">
          <w:fldChar w:fldCharType="separate"/>
        </w:r>
        <w:r w:rsidRPr="006C00A8">
          <w:rPr>
            <w:noProof/>
            <w:vertAlign w:val="superscript"/>
          </w:rPr>
          <w:t>2</w:t>
        </w:r>
        <w:r w:rsidRPr="006C00A8">
          <w:fldChar w:fldCharType="end"/>
        </w:r>
      </w:hyperlink>
      <w:r w:rsidRPr="006C00A8">
        <w:t xml:space="preserve"> </w:t>
      </w:r>
      <w:r w:rsidRPr="006C00A8">
        <w:rPr>
          <w:szCs w:val="22"/>
        </w:rPr>
        <w:t xml:space="preserve"> There is evidence that some of this prescribing and use is unnecessary and inappropriate.</w:t>
      </w:r>
      <w:r w:rsidRPr="006C00A8">
        <w:rPr>
          <w:szCs w:val="22"/>
          <w:vertAlign w:val="superscript"/>
        </w:rPr>
        <w:t>1</w:t>
      </w:r>
    </w:p>
    <w:p w:rsidR="00D1516B" w:rsidRDefault="00D1516B" w:rsidP="00D1516B">
      <w:pPr>
        <w:rPr>
          <w:szCs w:val="22"/>
        </w:rPr>
      </w:pPr>
    </w:p>
    <w:p w:rsidR="00D1516B" w:rsidRPr="006C00A8" w:rsidRDefault="00D1516B" w:rsidP="00E66C30">
      <w:r w:rsidRPr="006C00A8">
        <w:t xml:space="preserve">This paper focuses on the </w:t>
      </w:r>
      <w:proofErr w:type="spellStart"/>
      <w:r w:rsidRPr="006C00A8">
        <w:t>antibacterials</w:t>
      </w:r>
      <w:proofErr w:type="spellEnd"/>
      <w:r w:rsidRPr="006C00A8">
        <w:t xml:space="preserve"> most often prescribed and used in Australia – in particular the first</w:t>
      </w:r>
      <w:r>
        <w:t>-</w:t>
      </w:r>
      <w:r w:rsidRPr="006C00A8">
        <w:t xml:space="preserve">generation </w:t>
      </w:r>
      <w:proofErr w:type="spellStart"/>
      <w:r w:rsidRPr="006C00A8">
        <w:t>cephalosporins</w:t>
      </w:r>
      <w:proofErr w:type="spellEnd"/>
      <w:r w:rsidRPr="006C00A8">
        <w:t xml:space="preserve"> (for example </w:t>
      </w:r>
      <w:proofErr w:type="spellStart"/>
      <w:r w:rsidRPr="006C00A8">
        <w:t>cefazolin</w:t>
      </w:r>
      <w:proofErr w:type="spellEnd"/>
      <w:r w:rsidRPr="006C00A8">
        <w:t xml:space="preserve"> and </w:t>
      </w:r>
      <w:r>
        <w:t>cephalexin</w:t>
      </w:r>
      <w:r w:rsidRPr="006C00A8">
        <w:t>), extended</w:t>
      </w:r>
      <w:r>
        <w:t>-</w:t>
      </w:r>
      <w:r w:rsidRPr="006C00A8">
        <w:t xml:space="preserve">spectrum penicillins (for example ampicillin and amoxicillin) and β-lactamase inhibitor combinations (for example </w:t>
      </w:r>
      <w:proofErr w:type="spellStart"/>
      <w:r w:rsidRPr="006C00A8">
        <w:t>piperacillin</w:t>
      </w:r>
      <w:proofErr w:type="spellEnd"/>
      <w:r w:rsidRPr="006C00A8">
        <w:t xml:space="preserve"> with </w:t>
      </w:r>
      <w:proofErr w:type="spellStart"/>
      <w:r w:rsidRPr="006C00A8">
        <w:t>tazobactam</w:t>
      </w:r>
      <w:proofErr w:type="spellEnd"/>
      <w:r w:rsidRPr="006C00A8">
        <w:t xml:space="preserve">; and amoxicillin with </w:t>
      </w:r>
      <w:proofErr w:type="spellStart"/>
      <w:r w:rsidRPr="006C00A8">
        <w:t>clavulanate</w:t>
      </w:r>
      <w:proofErr w:type="spellEnd"/>
      <w:r w:rsidRPr="006C00A8">
        <w:t>).</w:t>
      </w:r>
    </w:p>
    <w:p w:rsidR="00C5112F" w:rsidRPr="00E66C30" w:rsidRDefault="00C5112F" w:rsidP="00D32E79">
      <w:pPr>
        <w:pStyle w:val="Heading1"/>
      </w:pPr>
      <w:r w:rsidRPr="00E66C30">
        <w:t xml:space="preserve">Which </w:t>
      </w:r>
      <w:proofErr w:type="spellStart"/>
      <w:r w:rsidRPr="00E66C30">
        <w:t>antibacterials</w:t>
      </w:r>
      <w:proofErr w:type="spellEnd"/>
      <w:r w:rsidRPr="00E66C30">
        <w:t xml:space="preserve"> are used most often in hospitals?</w:t>
      </w:r>
    </w:p>
    <w:p w:rsidR="00C5112F" w:rsidRDefault="00C5112F" w:rsidP="00E66C30">
      <w:pPr>
        <w:rPr>
          <w:color w:val="000000"/>
        </w:rPr>
      </w:pPr>
      <w:r w:rsidRPr="006C00A8">
        <w:t>Data from the National Antimicrobial Prescribing Survey (NAPS) showed that during the 2014 survey period, 38.4% of people in Australian hospitals were prescribed an antibacterial, antifungal or antiviral medicine.</w:t>
      </w:r>
      <w:hyperlink w:anchor="_ENREF_1" w:tooltip="Australian Commission on Safety and Quality in Health Care, 2016 #8" w:history="1">
        <w:r w:rsidRPr="006C00A8">
          <w:fldChar w:fldCharType="begin"/>
        </w:r>
        <w:r w:rsidRPr="006C00A8">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C00A8">
          <w:fldChar w:fldCharType="separate"/>
        </w:r>
        <w:r w:rsidRPr="006C00A8">
          <w:rPr>
            <w:noProof/>
            <w:vertAlign w:val="superscript"/>
          </w:rPr>
          <w:t>1</w:t>
        </w:r>
        <w:r w:rsidRPr="006C00A8">
          <w:fldChar w:fldCharType="end"/>
        </w:r>
      </w:hyperlink>
      <w:r w:rsidRPr="006C00A8">
        <w:t xml:space="preserve"> </w:t>
      </w:r>
      <w:r w:rsidRPr="006C00A8">
        <w:rPr>
          <w:color w:val="000000"/>
        </w:rPr>
        <w:t>Data from the National Antimicrobial Utilisation Surveillance Program (NAUSP) showed that antibacterial use in hospitals has gradually declined since its peak in 2010 (</w:t>
      </w:r>
      <w:r>
        <w:t xml:space="preserve">for example, </w:t>
      </w:r>
      <w:r w:rsidRPr="006C00A8">
        <w:t>Table 1</w:t>
      </w:r>
      <w:r>
        <w:t xml:space="preserve"> shows how</w:t>
      </w:r>
      <w:r w:rsidRPr="00BC2DA9">
        <w:t xml:space="preserve"> </w:t>
      </w:r>
      <w:r>
        <w:t xml:space="preserve">use of </w:t>
      </w:r>
      <w:r w:rsidRPr="006C00A8">
        <w:t>first</w:t>
      </w:r>
      <w:r>
        <w:t>-</w:t>
      </w:r>
      <w:r w:rsidRPr="006C00A8">
        <w:t xml:space="preserve">generation </w:t>
      </w:r>
      <w:proofErr w:type="spellStart"/>
      <w:r w:rsidRPr="006C00A8">
        <w:t>cephalospori</w:t>
      </w:r>
      <w:r>
        <w:t>ns</w:t>
      </w:r>
      <w:proofErr w:type="spellEnd"/>
      <w:r w:rsidRPr="006C00A8">
        <w:t>, extended spectrum penicillins</w:t>
      </w:r>
      <w:r>
        <w:t xml:space="preserve"> and </w:t>
      </w:r>
      <w:r w:rsidRPr="00053DCE">
        <w:t>β-lactamase inhibitor combinations</w:t>
      </w:r>
      <w:r>
        <w:t xml:space="preserve"> has declined since 2010</w:t>
      </w:r>
      <w:r w:rsidRPr="006C00A8">
        <w:t xml:space="preserve">), and that use </w:t>
      </w:r>
      <w:r w:rsidRPr="006C00A8">
        <w:rPr>
          <w:color w:val="000000"/>
        </w:rPr>
        <w:t xml:space="preserve">varies widely between the </w:t>
      </w:r>
      <w:r>
        <w:rPr>
          <w:color w:val="000000"/>
        </w:rPr>
        <w:t>states and territories</w:t>
      </w:r>
      <w:r w:rsidRPr="006C00A8">
        <w:rPr>
          <w:color w:val="000000"/>
        </w:rPr>
        <w:t>, for reasons that are unclear.</w:t>
      </w:r>
      <w:hyperlink w:anchor="_ENREF_1" w:tooltip="Australian Commission on Safety and Quality in Health Care, 2016 #8" w:history="1">
        <w:r w:rsidRPr="006C00A8">
          <w:rPr>
            <w:color w:val="000000"/>
          </w:rPr>
          <w:fldChar w:fldCharType="begin"/>
        </w:r>
        <w:r w:rsidRPr="006C00A8">
          <w:rPr>
            <w:color w:val="000000"/>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C00A8">
          <w:rPr>
            <w:color w:val="000000"/>
          </w:rPr>
          <w:fldChar w:fldCharType="separate"/>
        </w:r>
        <w:r w:rsidRPr="006C00A8">
          <w:rPr>
            <w:noProof/>
            <w:color w:val="000000"/>
            <w:vertAlign w:val="superscript"/>
          </w:rPr>
          <w:t>1</w:t>
        </w:r>
        <w:r w:rsidRPr="006C00A8">
          <w:rPr>
            <w:color w:val="000000"/>
          </w:rPr>
          <w:fldChar w:fldCharType="end"/>
        </w:r>
      </w:hyperlink>
    </w:p>
    <w:p w:rsidR="00C5112F" w:rsidRDefault="00C5112F" w:rsidP="00C5112F">
      <w:pPr>
        <w:rPr>
          <w:color w:val="000000"/>
          <w:szCs w:val="22"/>
        </w:rPr>
      </w:pPr>
    </w:p>
    <w:p w:rsidR="00C5112F" w:rsidRPr="00E472C9" w:rsidRDefault="00C5112F" w:rsidP="00DA5EF5">
      <w:pPr>
        <w:tabs>
          <w:tab w:val="left" w:pos="1134"/>
        </w:tabs>
        <w:spacing w:after="240"/>
        <w:ind w:left="1134" w:hanging="1134"/>
        <w:rPr>
          <w:b/>
        </w:rPr>
      </w:pPr>
      <w:r w:rsidRPr="00E472C9">
        <w:rPr>
          <w:b/>
        </w:rPr>
        <w:t>Table 1:</w:t>
      </w:r>
      <w:r w:rsidRPr="00E472C9">
        <w:rPr>
          <w:b/>
        </w:rPr>
        <w:tab/>
        <w:t>Total hospital antibacterial usage rates, by defined daily dose per 1000 occupied bed days, for selected antibacterial classes, 2010–14</w:t>
      </w:r>
      <w:hyperlink w:anchor="_ENREF_3" w:tooltip="Australian Commission on Safety and Quality in Health Care, 2016 #12" w:history="1">
        <w:r w:rsidRPr="00E472C9">
          <w:rPr>
            <w:b/>
          </w:rPr>
          <w:fldChar w:fldCharType="begin"/>
        </w:r>
        <w:r w:rsidRPr="00E472C9">
          <w:rPr>
            <w:b/>
          </w:rPr>
          <w:instrText xml:space="preserve"> ADDIN EN.CITE &lt;EndNote&gt;&lt;Cite&gt;&lt;Author&gt;Australian Commission on Safety and Quality in Health Care&lt;/Author&gt;&lt;Year&gt;2016&lt;/Year&gt;&lt;RecNum&gt;12&lt;/RecNum&gt;&lt;DisplayText&gt;&lt;style face="superscript"&gt;3&lt;/style&gt;&lt;/DisplayText&gt;&lt;record&gt;&lt;rec-number&gt;12&lt;/rec-number&gt;&lt;foreign-keys&gt;&lt;key app="EN" db-id="rfdrt5f982tppcedt23vfxzvp52ea529f2pd"&gt;12&lt;/key&gt;&lt;/foreign-keys&gt;&lt;ref-type name="Generic"&gt;13&lt;/ref-type&gt;&lt;contributors&gt;&lt;authors&gt;&lt;author&gt;Australian Commission on Safety and Quality in Health Care,&lt;/author&gt;&lt;/authors&gt;&lt;/contributors&gt;&lt;titles&gt;&lt;title&gt;AURA 2016 supplementary data -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472C9">
          <w:rPr>
            <w:b/>
          </w:rPr>
          <w:fldChar w:fldCharType="separate"/>
        </w:r>
        <w:r w:rsidRPr="00E472C9">
          <w:rPr>
            <w:b/>
            <w:noProof/>
            <w:vertAlign w:val="superscript"/>
          </w:rPr>
          <w:t>3</w:t>
        </w:r>
        <w:r w:rsidRPr="00E472C9">
          <w:rPr>
            <w:b/>
          </w:rPr>
          <w:fldChar w:fldCharType="end"/>
        </w:r>
      </w:hyperlink>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5"/>
        <w:gridCol w:w="936"/>
        <w:gridCol w:w="995"/>
        <w:gridCol w:w="984"/>
        <w:gridCol w:w="1008"/>
        <w:gridCol w:w="1008"/>
      </w:tblGrid>
      <w:tr w:rsidR="00C5112F" w:rsidRPr="00472AF5" w:rsidTr="00D32E79">
        <w:trPr>
          <w:trHeight w:val="567"/>
          <w:tblHeader/>
        </w:trPr>
        <w:tc>
          <w:tcPr>
            <w:tcW w:w="2227" w:type="pct"/>
            <w:shd w:val="clear" w:color="auto" w:fill="auto"/>
            <w:tcMar>
              <w:top w:w="113" w:type="dxa"/>
              <w:left w:w="85" w:type="dxa"/>
              <w:bottom w:w="113" w:type="dxa"/>
              <w:right w:w="85" w:type="dxa"/>
            </w:tcMar>
          </w:tcPr>
          <w:p w:rsidR="00C5112F" w:rsidRPr="00472AF5" w:rsidRDefault="00C5112F" w:rsidP="00C5112F">
            <w:pPr>
              <w:pStyle w:val="TableHeading"/>
              <w:jc w:val="center"/>
              <w:rPr>
                <w:rFonts w:ascii="Arial" w:hAnsi="Arial" w:cs="Arial"/>
                <w:sz w:val="20"/>
                <w:szCs w:val="20"/>
              </w:rPr>
            </w:pPr>
            <w:r w:rsidRPr="00472AF5">
              <w:rPr>
                <w:rFonts w:ascii="Arial" w:hAnsi="Arial" w:cs="Arial"/>
                <w:sz w:val="20"/>
                <w:szCs w:val="20"/>
              </w:rPr>
              <w:t>Antibacterial class</w:t>
            </w:r>
          </w:p>
        </w:tc>
        <w:tc>
          <w:tcPr>
            <w:tcW w:w="532" w:type="pct"/>
            <w:shd w:val="clear" w:color="auto" w:fill="auto"/>
            <w:tcMar>
              <w:top w:w="113" w:type="dxa"/>
              <w:left w:w="85" w:type="dxa"/>
              <w:bottom w:w="113" w:type="dxa"/>
              <w:right w:w="85" w:type="dxa"/>
            </w:tcMar>
            <w:vAlign w:val="bottom"/>
          </w:tcPr>
          <w:p w:rsidR="00C5112F" w:rsidRPr="00472AF5" w:rsidRDefault="00C5112F" w:rsidP="00C5112F">
            <w:pPr>
              <w:pStyle w:val="TableHeading"/>
              <w:jc w:val="center"/>
              <w:rPr>
                <w:rFonts w:ascii="Arial" w:hAnsi="Arial" w:cs="Arial"/>
                <w:sz w:val="20"/>
                <w:szCs w:val="20"/>
              </w:rPr>
            </w:pPr>
            <w:r w:rsidRPr="00472AF5">
              <w:rPr>
                <w:rFonts w:ascii="Arial" w:hAnsi="Arial" w:cs="Arial"/>
                <w:sz w:val="20"/>
                <w:szCs w:val="20"/>
              </w:rPr>
              <w:t xml:space="preserve">2010 </w:t>
            </w:r>
            <w:r w:rsidRPr="00472AF5">
              <w:rPr>
                <w:rFonts w:ascii="Arial" w:hAnsi="Arial" w:cs="Arial"/>
                <w:sz w:val="20"/>
                <w:szCs w:val="20"/>
              </w:rPr>
              <w:br/>
              <w:t>(</w:t>
            </w:r>
            <w:r w:rsidRPr="00472AF5">
              <w:rPr>
                <w:rStyle w:val="Boldoblique"/>
                <w:rFonts w:ascii="Arial" w:hAnsi="Arial" w:cs="Arial"/>
                <w:sz w:val="20"/>
                <w:szCs w:val="20"/>
              </w:rPr>
              <w:t>n</w:t>
            </w:r>
            <w:r w:rsidRPr="00472AF5">
              <w:rPr>
                <w:rFonts w:ascii="Arial" w:hAnsi="Arial" w:cs="Arial"/>
                <w:sz w:val="20"/>
                <w:szCs w:val="20"/>
              </w:rPr>
              <w:t> = 53)</w:t>
            </w:r>
          </w:p>
        </w:tc>
        <w:tc>
          <w:tcPr>
            <w:tcW w:w="565" w:type="pct"/>
            <w:shd w:val="clear" w:color="auto" w:fill="auto"/>
            <w:tcMar>
              <w:top w:w="113" w:type="dxa"/>
              <w:left w:w="85" w:type="dxa"/>
              <w:bottom w:w="113" w:type="dxa"/>
              <w:right w:w="85" w:type="dxa"/>
            </w:tcMar>
            <w:vAlign w:val="bottom"/>
          </w:tcPr>
          <w:p w:rsidR="00C5112F" w:rsidRPr="00472AF5" w:rsidRDefault="00C5112F" w:rsidP="00C5112F">
            <w:pPr>
              <w:pStyle w:val="TableHeading"/>
              <w:jc w:val="center"/>
              <w:rPr>
                <w:rFonts w:ascii="Arial" w:hAnsi="Arial" w:cs="Arial"/>
                <w:sz w:val="20"/>
                <w:szCs w:val="20"/>
              </w:rPr>
            </w:pPr>
            <w:r w:rsidRPr="00472AF5">
              <w:rPr>
                <w:rFonts w:ascii="Arial" w:hAnsi="Arial" w:cs="Arial"/>
                <w:sz w:val="20"/>
                <w:szCs w:val="20"/>
              </w:rPr>
              <w:t xml:space="preserve">2011 </w:t>
            </w:r>
            <w:r w:rsidRPr="00472AF5">
              <w:rPr>
                <w:rFonts w:ascii="Arial" w:hAnsi="Arial" w:cs="Arial"/>
                <w:sz w:val="20"/>
                <w:szCs w:val="20"/>
              </w:rPr>
              <w:br/>
              <w:t>(</w:t>
            </w:r>
            <w:r w:rsidRPr="00472AF5">
              <w:rPr>
                <w:rStyle w:val="Boldoblique"/>
                <w:rFonts w:ascii="Arial" w:hAnsi="Arial" w:cs="Arial"/>
                <w:sz w:val="20"/>
                <w:szCs w:val="20"/>
              </w:rPr>
              <w:t>n</w:t>
            </w:r>
            <w:r w:rsidRPr="00472AF5">
              <w:rPr>
                <w:rFonts w:ascii="Arial" w:hAnsi="Arial" w:cs="Arial"/>
                <w:sz w:val="20"/>
                <w:szCs w:val="20"/>
              </w:rPr>
              <w:t> = 61)</w:t>
            </w:r>
          </w:p>
        </w:tc>
        <w:tc>
          <w:tcPr>
            <w:tcW w:w="559" w:type="pct"/>
            <w:shd w:val="clear" w:color="auto" w:fill="auto"/>
            <w:tcMar>
              <w:top w:w="113" w:type="dxa"/>
              <w:left w:w="85" w:type="dxa"/>
              <w:bottom w:w="113" w:type="dxa"/>
              <w:right w:w="85" w:type="dxa"/>
            </w:tcMar>
            <w:vAlign w:val="bottom"/>
          </w:tcPr>
          <w:p w:rsidR="00C5112F" w:rsidRPr="00472AF5" w:rsidRDefault="00C5112F" w:rsidP="00C5112F">
            <w:pPr>
              <w:pStyle w:val="TableHeading"/>
              <w:jc w:val="center"/>
              <w:rPr>
                <w:rFonts w:ascii="Arial" w:hAnsi="Arial" w:cs="Arial"/>
                <w:sz w:val="20"/>
                <w:szCs w:val="20"/>
              </w:rPr>
            </w:pPr>
            <w:r w:rsidRPr="00472AF5">
              <w:rPr>
                <w:rFonts w:ascii="Arial" w:hAnsi="Arial" w:cs="Arial"/>
                <w:sz w:val="20"/>
                <w:szCs w:val="20"/>
              </w:rPr>
              <w:t xml:space="preserve">2012 </w:t>
            </w:r>
            <w:r w:rsidRPr="00472AF5">
              <w:rPr>
                <w:rFonts w:ascii="Arial" w:hAnsi="Arial" w:cs="Arial"/>
                <w:sz w:val="20"/>
                <w:szCs w:val="20"/>
              </w:rPr>
              <w:br/>
              <w:t>(</w:t>
            </w:r>
            <w:r w:rsidRPr="00472AF5">
              <w:rPr>
                <w:rStyle w:val="Boldoblique"/>
                <w:rFonts w:ascii="Arial" w:hAnsi="Arial" w:cs="Arial"/>
                <w:sz w:val="20"/>
                <w:szCs w:val="20"/>
              </w:rPr>
              <w:t>n</w:t>
            </w:r>
            <w:r w:rsidRPr="00472AF5">
              <w:rPr>
                <w:rFonts w:ascii="Arial" w:hAnsi="Arial" w:cs="Arial"/>
                <w:sz w:val="20"/>
                <w:szCs w:val="20"/>
              </w:rPr>
              <w:t> = 79)</w:t>
            </w:r>
          </w:p>
        </w:tc>
        <w:tc>
          <w:tcPr>
            <w:tcW w:w="560" w:type="pct"/>
            <w:shd w:val="clear" w:color="auto" w:fill="auto"/>
            <w:tcMar>
              <w:top w:w="113" w:type="dxa"/>
              <w:left w:w="85" w:type="dxa"/>
              <w:bottom w:w="113" w:type="dxa"/>
              <w:right w:w="85" w:type="dxa"/>
            </w:tcMar>
            <w:vAlign w:val="bottom"/>
          </w:tcPr>
          <w:p w:rsidR="00C5112F" w:rsidRPr="00472AF5" w:rsidRDefault="00C5112F" w:rsidP="00C5112F">
            <w:pPr>
              <w:pStyle w:val="TableHeading"/>
              <w:jc w:val="center"/>
              <w:rPr>
                <w:rFonts w:ascii="Arial" w:hAnsi="Arial" w:cs="Arial"/>
                <w:sz w:val="20"/>
                <w:szCs w:val="20"/>
              </w:rPr>
            </w:pPr>
            <w:r w:rsidRPr="00472AF5">
              <w:rPr>
                <w:rFonts w:ascii="Arial" w:hAnsi="Arial" w:cs="Arial"/>
                <w:sz w:val="20"/>
                <w:szCs w:val="20"/>
              </w:rPr>
              <w:t xml:space="preserve">2013 </w:t>
            </w:r>
            <w:r w:rsidRPr="00472AF5">
              <w:rPr>
                <w:rFonts w:ascii="Arial" w:hAnsi="Arial" w:cs="Arial"/>
                <w:sz w:val="20"/>
                <w:szCs w:val="20"/>
              </w:rPr>
              <w:br/>
              <w:t>(</w:t>
            </w:r>
            <w:r w:rsidRPr="00472AF5">
              <w:rPr>
                <w:rStyle w:val="Boldoblique"/>
                <w:rFonts w:ascii="Arial" w:hAnsi="Arial" w:cs="Arial"/>
                <w:sz w:val="20"/>
                <w:szCs w:val="20"/>
              </w:rPr>
              <w:t>n</w:t>
            </w:r>
            <w:r w:rsidRPr="00472AF5">
              <w:rPr>
                <w:rFonts w:ascii="Arial" w:hAnsi="Arial" w:cs="Arial"/>
                <w:sz w:val="20"/>
                <w:szCs w:val="20"/>
              </w:rPr>
              <w:t> = 114)</w:t>
            </w:r>
          </w:p>
        </w:tc>
        <w:tc>
          <w:tcPr>
            <w:tcW w:w="557" w:type="pct"/>
            <w:shd w:val="clear" w:color="auto" w:fill="auto"/>
            <w:tcMar>
              <w:top w:w="113" w:type="dxa"/>
              <w:left w:w="85" w:type="dxa"/>
              <w:bottom w:w="113" w:type="dxa"/>
              <w:right w:w="85" w:type="dxa"/>
            </w:tcMar>
            <w:vAlign w:val="bottom"/>
          </w:tcPr>
          <w:p w:rsidR="00C5112F" w:rsidRPr="00472AF5" w:rsidRDefault="00C5112F" w:rsidP="00C5112F">
            <w:pPr>
              <w:pStyle w:val="TableHeading"/>
              <w:jc w:val="center"/>
              <w:rPr>
                <w:rFonts w:ascii="Arial" w:hAnsi="Arial" w:cs="Arial"/>
                <w:sz w:val="20"/>
                <w:szCs w:val="20"/>
              </w:rPr>
            </w:pPr>
            <w:r w:rsidRPr="00472AF5">
              <w:rPr>
                <w:rFonts w:ascii="Arial" w:hAnsi="Arial" w:cs="Arial"/>
                <w:sz w:val="20"/>
                <w:szCs w:val="20"/>
              </w:rPr>
              <w:t xml:space="preserve">2014 </w:t>
            </w:r>
            <w:r w:rsidRPr="00472AF5">
              <w:rPr>
                <w:rFonts w:ascii="Arial" w:hAnsi="Arial" w:cs="Arial"/>
                <w:sz w:val="20"/>
                <w:szCs w:val="20"/>
              </w:rPr>
              <w:br/>
              <w:t>(</w:t>
            </w:r>
            <w:r w:rsidRPr="00472AF5">
              <w:rPr>
                <w:rStyle w:val="Boldoblique"/>
                <w:rFonts w:ascii="Arial" w:hAnsi="Arial" w:cs="Arial"/>
                <w:sz w:val="20"/>
                <w:szCs w:val="20"/>
              </w:rPr>
              <w:t>n</w:t>
            </w:r>
            <w:r w:rsidRPr="00472AF5">
              <w:rPr>
                <w:rFonts w:ascii="Arial" w:hAnsi="Arial" w:cs="Arial"/>
                <w:sz w:val="20"/>
                <w:szCs w:val="20"/>
              </w:rPr>
              <w:t> = 129)</w:t>
            </w:r>
          </w:p>
        </w:tc>
      </w:tr>
      <w:tr w:rsidR="00C5112F" w:rsidRPr="00053DCE" w:rsidTr="00D32E79">
        <w:trPr>
          <w:trHeight w:val="567"/>
        </w:trPr>
        <w:tc>
          <w:tcPr>
            <w:tcW w:w="2227" w:type="pct"/>
            <w:shd w:val="clear" w:color="auto" w:fill="auto"/>
            <w:tcMar>
              <w:top w:w="113" w:type="dxa"/>
              <w:left w:w="85" w:type="dxa"/>
              <w:bottom w:w="113" w:type="dxa"/>
              <w:right w:w="85" w:type="dxa"/>
            </w:tcMar>
            <w:vAlign w:val="bottom"/>
          </w:tcPr>
          <w:p w:rsidR="00C5112F" w:rsidRPr="00472AF5" w:rsidRDefault="00C5112F" w:rsidP="00C5112F">
            <w:pPr>
              <w:pStyle w:val="TableText"/>
              <w:rPr>
                <w:rFonts w:ascii="Arial" w:hAnsi="Arial" w:cs="Arial"/>
                <w:sz w:val="20"/>
                <w:szCs w:val="20"/>
              </w:rPr>
            </w:pPr>
            <w:r w:rsidRPr="00472AF5">
              <w:rPr>
                <w:rFonts w:ascii="Arial" w:hAnsi="Arial" w:cs="Arial"/>
                <w:sz w:val="20"/>
                <w:szCs w:val="20"/>
              </w:rPr>
              <w:t xml:space="preserve">First-generation </w:t>
            </w:r>
            <w:proofErr w:type="spellStart"/>
            <w:r w:rsidRPr="00472AF5">
              <w:rPr>
                <w:rFonts w:ascii="Arial" w:hAnsi="Arial" w:cs="Arial"/>
                <w:sz w:val="20"/>
                <w:szCs w:val="20"/>
              </w:rPr>
              <w:t>cephalosporins</w:t>
            </w:r>
            <w:proofErr w:type="spellEnd"/>
            <w:r w:rsidRPr="00472AF5">
              <w:rPr>
                <w:rFonts w:ascii="Arial" w:hAnsi="Arial" w:cs="Arial"/>
                <w:sz w:val="20"/>
                <w:szCs w:val="20"/>
              </w:rPr>
              <w:t xml:space="preserve"> (e.g. </w:t>
            </w:r>
            <w:proofErr w:type="spellStart"/>
            <w:r w:rsidRPr="00472AF5">
              <w:rPr>
                <w:rFonts w:ascii="Arial" w:hAnsi="Arial" w:cs="Arial"/>
                <w:sz w:val="20"/>
                <w:szCs w:val="20"/>
              </w:rPr>
              <w:t>cefazolin</w:t>
            </w:r>
            <w:proofErr w:type="spellEnd"/>
            <w:r w:rsidRPr="00472AF5">
              <w:rPr>
                <w:rFonts w:ascii="Arial" w:hAnsi="Arial" w:cs="Arial"/>
                <w:sz w:val="20"/>
                <w:szCs w:val="20"/>
              </w:rPr>
              <w:t>, cephalexin)</w:t>
            </w:r>
          </w:p>
        </w:tc>
        <w:tc>
          <w:tcPr>
            <w:tcW w:w="532" w:type="pct"/>
            <w:shd w:val="clear" w:color="auto" w:fill="auto"/>
            <w:tcMar>
              <w:top w:w="113" w:type="dxa"/>
              <w:left w:w="57"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139.04</w:t>
            </w:r>
          </w:p>
        </w:tc>
        <w:tc>
          <w:tcPr>
            <w:tcW w:w="565" w:type="pct"/>
            <w:shd w:val="clear" w:color="auto" w:fill="auto"/>
            <w:tcMar>
              <w:top w:w="113" w:type="dxa"/>
              <w:left w:w="113"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142.48</w:t>
            </w:r>
          </w:p>
        </w:tc>
        <w:tc>
          <w:tcPr>
            <w:tcW w:w="559" w:type="pct"/>
            <w:shd w:val="clear" w:color="auto" w:fill="auto"/>
            <w:tcMar>
              <w:top w:w="113" w:type="dxa"/>
              <w:left w:w="113"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132.39</w:t>
            </w:r>
          </w:p>
        </w:tc>
        <w:tc>
          <w:tcPr>
            <w:tcW w:w="560" w:type="pct"/>
            <w:shd w:val="clear" w:color="auto" w:fill="auto"/>
            <w:tcMar>
              <w:top w:w="113" w:type="dxa"/>
              <w:left w:w="113" w:type="dxa"/>
              <w:bottom w:w="113" w:type="dxa"/>
              <w:right w:w="283"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133.66</w:t>
            </w:r>
          </w:p>
        </w:tc>
        <w:tc>
          <w:tcPr>
            <w:tcW w:w="557" w:type="pct"/>
            <w:shd w:val="clear" w:color="auto" w:fill="auto"/>
            <w:tcMar>
              <w:top w:w="113" w:type="dxa"/>
              <w:left w:w="113" w:type="dxa"/>
              <w:bottom w:w="113" w:type="dxa"/>
              <w:right w:w="283"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130.90</w:t>
            </w:r>
          </w:p>
        </w:tc>
      </w:tr>
      <w:tr w:rsidR="00C5112F" w:rsidRPr="00053DCE" w:rsidTr="00D32E79">
        <w:trPr>
          <w:trHeight w:val="567"/>
        </w:trPr>
        <w:tc>
          <w:tcPr>
            <w:tcW w:w="2227" w:type="pct"/>
            <w:shd w:val="clear" w:color="auto" w:fill="auto"/>
            <w:tcMar>
              <w:top w:w="113" w:type="dxa"/>
              <w:left w:w="85" w:type="dxa"/>
              <w:bottom w:w="113" w:type="dxa"/>
              <w:right w:w="85" w:type="dxa"/>
            </w:tcMar>
            <w:vAlign w:val="bottom"/>
          </w:tcPr>
          <w:p w:rsidR="00C5112F" w:rsidRPr="00472AF5" w:rsidRDefault="00C5112F" w:rsidP="00C5112F">
            <w:pPr>
              <w:pStyle w:val="TableText"/>
              <w:rPr>
                <w:rFonts w:ascii="Arial" w:hAnsi="Arial" w:cs="Arial"/>
                <w:sz w:val="20"/>
                <w:szCs w:val="20"/>
              </w:rPr>
            </w:pPr>
            <w:r w:rsidRPr="00472AF5">
              <w:rPr>
                <w:rFonts w:ascii="Arial" w:hAnsi="Arial" w:cs="Arial"/>
                <w:sz w:val="20"/>
                <w:szCs w:val="20"/>
              </w:rPr>
              <w:t>Extended-spectrum penicillins (e.g. ampicillin, amoxicillin)</w:t>
            </w:r>
          </w:p>
        </w:tc>
        <w:tc>
          <w:tcPr>
            <w:tcW w:w="532" w:type="pct"/>
            <w:shd w:val="clear" w:color="auto" w:fill="auto"/>
            <w:tcMar>
              <w:top w:w="113" w:type="dxa"/>
              <w:left w:w="57"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117.04</w:t>
            </w:r>
          </w:p>
        </w:tc>
        <w:tc>
          <w:tcPr>
            <w:tcW w:w="565" w:type="pct"/>
            <w:shd w:val="clear" w:color="auto" w:fill="auto"/>
            <w:tcMar>
              <w:top w:w="113" w:type="dxa"/>
              <w:left w:w="113"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112.10</w:t>
            </w:r>
          </w:p>
        </w:tc>
        <w:tc>
          <w:tcPr>
            <w:tcW w:w="559" w:type="pct"/>
            <w:shd w:val="clear" w:color="auto" w:fill="auto"/>
            <w:tcMar>
              <w:top w:w="113" w:type="dxa"/>
              <w:left w:w="113"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107.52</w:t>
            </w:r>
          </w:p>
        </w:tc>
        <w:tc>
          <w:tcPr>
            <w:tcW w:w="560" w:type="pct"/>
            <w:shd w:val="clear" w:color="auto" w:fill="auto"/>
            <w:tcMar>
              <w:top w:w="113" w:type="dxa"/>
              <w:left w:w="113" w:type="dxa"/>
              <w:bottom w:w="113" w:type="dxa"/>
              <w:right w:w="283"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104.83</w:t>
            </w:r>
          </w:p>
        </w:tc>
        <w:tc>
          <w:tcPr>
            <w:tcW w:w="557" w:type="pct"/>
            <w:shd w:val="clear" w:color="auto" w:fill="auto"/>
            <w:tcMar>
              <w:top w:w="113" w:type="dxa"/>
              <w:left w:w="113" w:type="dxa"/>
              <w:bottom w:w="113" w:type="dxa"/>
              <w:right w:w="283"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103.39</w:t>
            </w:r>
          </w:p>
        </w:tc>
      </w:tr>
      <w:tr w:rsidR="00C5112F" w:rsidRPr="00053DCE" w:rsidTr="00D32E79">
        <w:trPr>
          <w:trHeight w:val="567"/>
        </w:trPr>
        <w:tc>
          <w:tcPr>
            <w:tcW w:w="2227" w:type="pct"/>
            <w:shd w:val="clear" w:color="auto" w:fill="auto"/>
            <w:tcMar>
              <w:top w:w="113" w:type="dxa"/>
              <w:left w:w="85" w:type="dxa"/>
              <w:bottom w:w="113" w:type="dxa"/>
              <w:right w:w="85" w:type="dxa"/>
            </w:tcMar>
            <w:vAlign w:val="bottom"/>
          </w:tcPr>
          <w:p w:rsidR="00C5112F" w:rsidRPr="00472AF5" w:rsidRDefault="00C5112F" w:rsidP="00C5112F">
            <w:pPr>
              <w:pStyle w:val="TableText"/>
              <w:rPr>
                <w:rFonts w:ascii="Arial" w:hAnsi="Arial" w:cs="Arial"/>
                <w:sz w:val="20"/>
                <w:szCs w:val="20"/>
              </w:rPr>
            </w:pPr>
            <w:r w:rsidRPr="00472AF5">
              <w:rPr>
                <w:rFonts w:ascii="Arial" w:hAnsi="Arial" w:cs="Arial"/>
                <w:sz w:val="20"/>
                <w:szCs w:val="20"/>
              </w:rPr>
              <w:t xml:space="preserve">β-lactamase inhibitor combinations (e.g. </w:t>
            </w:r>
            <w:proofErr w:type="spellStart"/>
            <w:r w:rsidRPr="00472AF5">
              <w:rPr>
                <w:rFonts w:ascii="Arial" w:hAnsi="Arial" w:cs="Arial"/>
                <w:sz w:val="20"/>
                <w:szCs w:val="20"/>
              </w:rPr>
              <w:t>piperacillin</w:t>
            </w:r>
            <w:proofErr w:type="spellEnd"/>
            <w:r w:rsidRPr="00472AF5">
              <w:rPr>
                <w:rFonts w:ascii="Arial" w:hAnsi="Arial" w:cs="Arial"/>
                <w:sz w:val="20"/>
                <w:szCs w:val="20"/>
              </w:rPr>
              <w:t xml:space="preserve"> with </w:t>
            </w:r>
            <w:proofErr w:type="spellStart"/>
            <w:r w:rsidRPr="00472AF5">
              <w:rPr>
                <w:rFonts w:ascii="Arial" w:hAnsi="Arial" w:cs="Arial"/>
                <w:sz w:val="20"/>
                <w:szCs w:val="20"/>
              </w:rPr>
              <w:t>tazobactam</w:t>
            </w:r>
            <w:proofErr w:type="spellEnd"/>
            <w:r w:rsidRPr="00472AF5">
              <w:rPr>
                <w:rFonts w:ascii="Arial" w:hAnsi="Arial" w:cs="Arial"/>
                <w:sz w:val="20"/>
                <w:szCs w:val="20"/>
              </w:rPr>
              <w:t xml:space="preserve">, amoxicillin with </w:t>
            </w:r>
            <w:proofErr w:type="spellStart"/>
            <w:r w:rsidRPr="00472AF5">
              <w:rPr>
                <w:rFonts w:ascii="Arial" w:hAnsi="Arial" w:cs="Arial"/>
                <w:sz w:val="20"/>
                <w:szCs w:val="20"/>
              </w:rPr>
              <w:t>clavulanate</w:t>
            </w:r>
            <w:proofErr w:type="spellEnd"/>
            <w:r w:rsidRPr="00472AF5">
              <w:rPr>
                <w:rFonts w:ascii="Arial" w:hAnsi="Arial" w:cs="Arial"/>
                <w:sz w:val="20"/>
                <w:szCs w:val="20"/>
              </w:rPr>
              <w:t>)</w:t>
            </w:r>
          </w:p>
        </w:tc>
        <w:tc>
          <w:tcPr>
            <w:tcW w:w="532" w:type="pct"/>
            <w:shd w:val="clear" w:color="auto" w:fill="auto"/>
            <w:tcMar>
              <w:top w:w="113" w:type="dxa"/>
              <w:left w:w="57"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185.15</w:t>
            </w:r>
          </w:p>
        </w:tc>
        <w:tc>
          <w:tcPr>
            <w:tcW w:w="565" w:type="pct"/>
            <w:shd w:val="clear" w:color="auto" w:fill="auto"/>
            <w:tcMar>
              <w:top w:w="113" w:type="dxa"/>
              <w:left w:w="113"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186.99</w:t>
            </w:r>
          </w:p>
        </w:tc>
        <w:tc>
          <w:tcPr>
            <w:tcW w:w="559" w:type="pct"/>
            <w:shd w:val="clear" w:color="auto" w:fill="auto"/>
            <w:tcMar>
              <w:top w:w="113" w:type="dxa"/>
              <w:left w:w="113" w:type="dxa"/>
              <w:bottom w:w="113" w:type="dxa"/>
              <w:right w:w="170"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187.57</w:t>
            </w:r>
          </w:p>
        </w:tc>
        <w:tc>
          <w:tcPr>
            <w:tcW w:w="560" w:type="pct"/>
            <w:shd w:val="clear" w:color="auto" w:fill="auto"/>
            <w:tcMar>
              <w:top w:w="113" w:type="dxa"/>
              <w:left w:w="113" w:type="dxa"/>
              <w:bottom w:w="113" w:type="dxa"/>
              <w:right w:w="283"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186.82</w:t>
            </w:r>
          </w:p>
        </w:tc>
        <w:tc>
          <w:tcPr>
            <w:tcW w:w="557" w:type="pct"/>
            <w:shd w:val="clear" w:color="auto" w:fill="auto"/>
            <w:tcMar>
              <w:top w:w="113" w:type="dxa"/>
              <w:left w:w="113" w:type="dxa"/>
              <w:bottom w:w="113" w:type="dxa"/>
              <w:right w:w="283" w:type="dxa"/>
            </w:tcMar>
            <w:vAlign w:val="bottom"/>
          </w:tcPr>
          <w:p w:rsidR="00C5112F" w:rsidRPr="00472AF5" w:rsidRDefault="00C5112F" w:rsidP="00C5112F">
            <w:pPr>
              <w:pStyle w:val="TableText"/>
              <w:jc w:val="right"/>
              <w:rPr>
                <w:rFonts w:ascii="Arial" w:hAnsi="Arial" w:cs="Arial"/>
                <w:sz w:val="20"/>
                <w:szCs w:val="20"/>
              </w:rPr>
            </w:pPr>
            <w:r w:rsidRPr="00472AF5">
              <w:rPr>
                <w:rFonts w:ascii="Arial" w:hAnsi="Arial" w:cs="Arial"/>
                <w:sz w:val="20"/>
                <w:szCs w:val="20"/>
              </w:rPr>
              <w:t>180.70</w:t>
            </w:r>
          </w:p>
        </w:tc>
      </w:tr>
    </w:tbl>
    <w:p w:rsidR="00C5112F" w:rsidRPr="00A4182B" w:rsidRDefault="00C5112F" w:rsidP="00C5112F">
      <w:pPr>
        <w:pStyle w:val="TFNoteSource"/>
        <w:spacing w:before="120"/>
        <w:ind w:left="0" w:firstLine="0"/>
        <w:rPr>
          <w:rFonts w:cs="Arial"/>
        </w:rPr>
      </w:pPr>
      <w:r w:rsidRPr="00053DCE">
        <w:rPr>
          <w:rFonts w:cs="Arial"/>
          <w:i/>
        </w:rPr>
        <w:t>n</w:t>
      </w:r>
      <w:r w:rsidRPr="00A4182B">
        <w:rPr>
          <w:rFonts w:cs="Arial"/>
        </w:rPr>
        <w:t xml:space="preserve"> = number of participating hospital</w:t>
      </w:r>
      <w:r>
        <w:rPr>
          <w:rFonts w:cs="Arial"/>
        </w:rPr>
        <w:t>s</w:t>
      </w:r>
    </w:p>
    <w:p w:rsidR="00C5112F" w:rsidRPr="00053DCE" w:rsidRDefault="00C5112F" w:rsidP="00C5112F">
      <w:pPr>
        <w:pStyle w:val="TFNoteSourceSpace"/>
      </w:pPr>
      <w:r w:rsidRPr="00053DCE">
        <w:t>Source: National Antimicrobial Utilisation Surveillance Program 2014</w:t>
      </w:r>
    </w:p>
    <w:p w:rsidR="00C5112F" w:rsidRPr="006C00A8" w:rsidRDefault="00C5112F" w:rsidP="00C5112F">
      <w:pPr>
        <w:rPr>
          <w:szCs w:val="22"/>
        </w:rPr>
      </w:pPr>
      <w:r w:rsidRPr="006C00A8">
        <w:rPr>
          <w:szCs w:val="22"/>
        </w:rPr>
        <w:lastRenderedPageBreak/>
        <w:t xml:space="preserve">The NAUSP data also showed that 20 </w:t>
      </w:r>
      <w:proofErr w:type="spellStart"/>
      <w:r w:rsidRPr="006C00A8">
        <w:rPr>
          <w:szCs w:val="22"/>
        </w:rPr>
        <w:t>antibacterials</w:t>
      </w:r>
      <w:proofErr w:type="spellEnd"/>
      <w:r w:rsidRPr="006C00A8">
        <w:rPr>
          <w:szCs w:val="22"/>
        </w:rPr>
        <w:t xml:space="preserve"> represented 92% of all antibacterial use in Australian hospitals using the World Health Organization (WHO) standardised measure of use: DDD/1000 OBD (defined daily doses per 1000 occupied bed days). Six </w:t>
      </w:r>
      <w:proofErr w:type="spellStart"/>
      <w:r w:rsidRPr="006C00A8">
        <w:rPr>
          <w:szCs w:val="22"/>
        </w:rPr>
        <w:t>antibacterials</w:t>
      </w:r>
      <w:proofErr w:type="spellEnd"/>
      <w:r w:rsidRPr="006C00A8">
        <w:rPr>
          <w:szCs w:val="22"/>
        </w:rPr>
        <w:t xml:space="preserve"> – amoxicillin with </w:t>
      </w:r>
      <w:proofErr w:type="spellStart"/>
      <w:r w:rsidRPr="006C00A8">
        <w:rPr>
          <w:szCs w:val="22"/>
        </w:rPr>
        <w:t>clavulanate</w:t>
      </w:r>
      <w:proofErr w:type="spellEnd"/>
      <w:r w:rsidRPr="006C00A8">
        <w:rPr>
          <w:szCs w:val="22"/>
        </w:rPr>
        <w:t xml:space="preserve">, </w:t>
      </w:r>
      <w:proofErr w:type="spellStart"/>
      <w:r w:rsidRPr="006C00A8">
        <w:rPr>
          <w:szCs w:val="22"/>
        </w:rPr>
        <w:t>flucloxacillin</w:t>
      </w:r>
      <w:proofErr w:type="spellEnd"/>
      <w:r w:rsidRPr="006C00A8">
        <w:rPr>
          <w:szCs w:val="22"/>
        </w:rPr>
        <w:t xml:space="preserve">, </w:t>
      </w:r>
      <w:proofErr w:type="spellStart"/>
      <w:r w:rsidRPr="006C00A8">
        <w:rPr>
          <w:szCs w:val="22"/>
        </w:rPr>
        <w:t>cefazolin</w:t>
      </w:r>
      <w:proofErr w:type="spellEnd"/>
      <w:r w:rsidRPr="006C00A8">
        <w:rPr>
          <w:szCs w:val="22"/>
        </w:rPr>
        <w:t xml:space="preserve">, amoxicillin, doxycycline and </w:t>
      </w:r>
      <w:r>
        <w:rPr>
          <w:szCs w:val="22"/>
        </w:rPr>
        <w:t>cephalexin</w:t>
      </w:r>
      <w:r w:rsidRPr="006C00A8">
        <w:rPr>
          <w:szCs w:val="22"/>
        </w:rPr>
        <w:t xml:space="preserve"> – represented more than 50% of all use.</w:t>
      </w:r>
      <w:hyperlink w:anchor="_ENREF_1" w:tooltip="Australian Commission on Safety and Quality in Health Care, 2016 #8" w:history="1">
        <w:r w:rsidRPr="006C00A8">
          <w:rPr>
            <w:szCs w:val="22"/>
          </w:rPr>
          <w:fldChar w:fldCharType="begin"/>
        </w:r>
        <w:r w:rsidRPr="006C00A8">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C00A8">
          <w:rPr>
            <w:szCs w:val="22"/>
          </w:rPr>
          <w:fldChar w:fldCharType="separate"/>
        </w:r>
        <w:r w:rsidRPr="006C00A8">
          <w:rPr>
            <w:noProof/>
            <w:szCs w:val="22"/>
            <w:vertAlign w:val="superscript"/>
          </w:rPr>
          <w:t>1</w:t>
        </w:r>
        <w:r w:rsidRPr="006C00A8">
          <w:rPr>
            <w:szCs w:val="22"/>
          </w:rPr>
          <w:fldChar w:fldCharType="end"/>
        </w:r>
      </w:hyperlink>
      <w:r w:rsidRPr="006C00A8">
        <w:rPr>
          <w:szCs w:val="22"/>
        </w:rPr>
        <w:t xml:space="preserve"> By way of comparison, the NAPS data showed that six </w:t>
      </w:r>
      <w:proofErr w:type="spellStart"/>
      <w:r w:rsidRPr="006C00A8">
        <w:rPr>
          <w:szCs w:val="22"/>
        </w:rPr>
        <w:t>antibacterials</w:t>
      </w:r>
      <w:proofErr w:type="spellEnd"/>
      <w:r w:rsidRPr="006C00A8">
        <w:rPr>
          <w:szCs w:val="22"/>
        </w:rPr>
        <w:t xml:space="preserve"> – </w:t>
      </w:r>
      <w:proofErr w:type="spellStart"/>
      <w:r w:rsidRPr="006C00A8">
        <w:rPr>
          <w:szCs w:val="22"/>
        </w:rPr>
        <w:t>cefazolin</w:t>
      </w:r>
      <w:proofErr w:type="spellEnd"/>
      <w:r w:rsidRPr="006C00A8">
        <w:rPr>
          <w:szCs w:val="22"/>
        </w:rPr>
        <w:t xml:space="preserve">, ceftriaxone, metronidazole, </w:t>
      </w:r>
      <w:proofErr w:type="spellStart"/>
      <w:r w:rsidRPr="006C00A8">
        <w:rPr>
          <w:szCs w:val="22"/>
        </w:rPr>
        <w:t>piperacillin</w:t>
      </w:r>
      <w:proofErr w:type="spellEnd"/>
      <w:r w:rsidRPr="006C00A8">
        <w:rPr>
          <w:szCs w:val="22"/>
        </w:rPr>
        <w:t xml:space="preserve"> with </w:t>
      </w:r>
      <w:proofErr w:type="spellStart"/>
      <w:r w:rsidRPr="006C00A8">
        <w:rPr>
          <w:szCs w:val="22"/>
        </w:rPr>
        <w:t>tazobactam</w:t>
      </w:r>
      <w:proofErr w:type="spellEnd"/>
      <w:r w:rsidRPr="006C00A8">
        <w:rPr>
          <w:szCs w:val="22"/>
        </w:rPr>
        <w:t xml:space="preserve">, amoxicillin with </w:t>
      </w:r>
      <w:proofErr w:type="spellStart"/>
      <w:r w:rsidRPr="006C00A8">
        <w:rPr>
          <w:szCs w:val="22"/>
        </w:rPr>
        <w:t>clavulanate</w:t>
      </w:r>
      <w:proofErr w:type="spellEnd"/>
      <w:r w:rsidRPr="006C00A8">
        <w:rPr>
          <w:szCs w:val="22"/>
        </w:rPr>
        <w:t xml:space="preserve">, and </w:t>
      </w:r>
      <w:r>
        <w:rPr>
          <w:szCs w:val="22"/>
        </w:rPr>
        <w:t>cephalexin</w:t>
      </w:r>
      <w:r w:rsidRPr="00777130">
        <w:rPr>
          <w:szCs w:val="22"/>
        </w:rPr>
        <w:t xml:space="preserve"> – represented</w:t>
      </w:r>
      <w:r w:rsidRPr="006C00A8">
        <w:rPr>
          <w:szCs w:val="22"/>
        </w:rPr>
        <w:t xml:space="preserve"> 43.8% of all prescrib</w:t>
      </w:r>
      <w:r>
        <w:rPr>
          <w:szCs w:val="22"/>
        </w:rPr>
        <w:t xml:space="preserve">ed </w:t>
      </w:r>
      <w:proofErr w:type="spellStart"/>
      <w:r>
        <w:rPr>
          <w:szCs w:val="22"/>
        </w:rPr>
        <w:t>antibacterials</w:t>
      </w:r>
      <w:proofErr w:type="spellEnd"/>
      <w:r w:rsidRPr="006C00A8">
        <w:rPr>
          <w:szCs w:val="22"/>
        </w:rPr>
        <w:t xml:space="preserve"> (see Table 2).</w:t>
      </w:r>
      <w:hyperlink w:anchor="_ENREF_1" w:tooltip="Australian Commission on Safety and Quality in Health Care, 2016 #8" w:history="1">
        <w:r w:rsidRPr="006C00A8">
          <w:rPr>
            <w:szCs w:val="22"/>
          </w:rPr>
          <w:fldChar w:fldCharType="begin"/>
        </w:r>
        <w:r w:rsidRPr="006C00A8">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C00A8">
          <w:rPr>
            <w:szCs w:val="22"/>
          </w:rPr>
          <w:fldChar w:fldCharType="separate"/>
        </w:r>
        <w:r w:rsidRPr="006C00A8">
          <w:rPr>
            <w:noProof/>
            <w:szCs w:val="22"/>
            <w:vertAlign w:val="superscript"/>
          </w:rPr>
          <w:t>1</w:t>
        </w:r>
        <w:r w:rsidRPr="006C00A8">
          <w:rPr>
            <w:szCs w:val="22"/>
          </w:rPr>
          <w:fldChar w:fldCharType="end"/>
        </w:r>
      </w:hyperlink>
      <w:r w:rsidRPr="006C00A8">
        <w:rPr>
          <w:szCs w:val="22"/>
        </w:rPr>
        <w:t xml:space="preserve"> The differences may be explained by the different types of data collected and analysed: the NAUSP data represent the volume-of-use aggregated monthly at the hospital level while the NAPS data </w:t>
      </w:r>
      <w:r w:rsidR="00F1779F">
        <w:rPr>
          <w:szCs w:val="22"/>
        </w:rPr>
        <w:t>are</w:t>
      </w:r>
      <w:r w:rsidRPr="006C00A8">
        <w:rPr>
          <w:szCs w:val="22"/>
        </w:rPr>
        <w:t xml:space="preserve"> from a single-day audit of prescribing and appropriateness of prescribing within the hospital (see Table 8</w:t>
      </w:r>
      <w:r>
        <w:rPr>
          <w:szCs w:val="22"/>
        </w:rPr>
        <w:t>, page 9)</w:t>
      </w:r>
      <w:r w:rsidRPr="006C00A8">
        <w:rPr>
          <w:szCs w:val="22"/>
        </w:rPr>
        <w:t>.</w:t>
      </w:r>
    </w:p>
    <w:p w:rsidR="00C5112F" w:rsidRPr="00E472C9" w:rsidRDefault="00C5112F" w:rsidP="00DA5EF5">
      <w:pPr>
        <w:tabs>
          <w:tab w:val="left" w:pos="1134"/>
        </w:tabs>
        <w:spacing w:before="240" w:after="240"/>
        <w:ind w:left="1134" w:hanging="1134"/>
        <w:rPr>
          <w:b/>
        </w:rPr>
      </w:pPr>
      <w:r w:rsidRPr="00E472C9">
        <w:rPr>
          <w:b/>
        </w:rPr>
        <w:t>Table 2:</w:t>
      </w:r>
      <w:r w:rsidRPr="00E472C9">
        <w:rPr>
          <w:b/>
        </w:rPr>
        <w:tab/>
        <w:t>Most frequently prescribed and supplied antimicrobials in hospitals, as a percentage of all antimicrobials prescribed and supplied in hospitals, 2014</w:t>
      </w:r>
      <w:r w:rsidRPr="00E472C9">
        <w:rPr>
          <w:b/>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4253"/>
      </w:tblGrid>
      <w:tr w:rsidR="00C5112F" w:rsidRPr="0035583E" w:rsidTr="00C5112F">
        <w:trPr>
          <w:trHeight w:val="557"/>
          <w:tblHeader/>
        </w:trPr>
        <w:tc>
          <w:tcPr>
            <w:tcW w:w="709" w:type="dxa"/>
            <w:shd w:val="clear" w:color="auto" w:fill="auto"/>
            <w:hideMark/>
          </w:tcPr>
          <w:p w:rsidR="00C5112F" w:rsidRPr="0035583E" w:rsidRDefault="00C5112F" w:rsidP="00C5112F">
            <w:pPr>
              <w:pStyle w:val="TableHeading"/>
              <w:jc w:val="center"/>
              <w:rPr>
                <w:rFonts w:ascii="Arial" w:eastAsia="Calibri" w:hAnsi="Arial" w:cs="Arial"/>
                <w:sz w:val="20"/>
                <w:szCs w:val="20"/>
              </w:rPr>
            </w:pPr>
            <w:r w:rsidRPr="0035583E">
              <w:rPr>
                <w:rFonts w:ascii="Arial" w:hAnsi="Arial" w:cs="Arial"/>
                <w:sz w:val="20"/>
                <w:szCs w:val="20"/>
              </w:rPr>
              <w:t>Rank</w:t>
            </w:r>
          </w:p>
        </w:tc>
        <w:tc>
          <w:tcPr>
            <w:tcW w:w="3827" w:type="dxa"/>
            <w:shd w:val="clear" w:color="auto" w:fill="auto"/>
            <w:hideMark/>
          </w:tcPr>
          <w:p w:rsidR="00C5112F" w:rsidRPr="0035583E" w:rsidRDefault="00C5112F" w:rsidP="00C5112F">
            <w:pPr>
              <w:pStyle w:val="TableHeading"/>
              <w:jc w:val="center"/>
              <w:rPr>
                <w:rFonts w:ascii="Arial" w:eastAsia="Calibri" w:hAnsi="Arial" w:cs="Arial"/>
                <w:sz w:val="20"/>
                <w:szCs w:val="20"/>
              </w:rPr>
            </w:pPr>
            <w:r w:rsidRPr="0035583E">
              <w:rPr>
                <w:rFonts w:ascii="Arial" w:hAnsi="Arial" w:cs="Arial"/>
                <w:sz w:val="20"/>
                <w:szCs w:val="20"/>
              </w:rPr>
              <w:t xml:space="preserve">Most frequently </w:t>
            </w:r>
            <w:r>
              <w:rPr>
                <w:rFonts w:ascii="Arial" w:hAnsi="Arial" w:cs="Arial"/>
                <w:sz w:val="20"/>
                <w:szCs w:val="20"/>
              </w:rPr>
              <w:t xml:space="preserve">prescribed </w:t>
            </w:r>
            <w:r w:rsidRPr="0035583E">
              <w:rPr>
                <w:rFonts w:ascii="Arial" w:hAnsi="Arial" w:cs="Arial"/>
                <w:sz w:val="20"/>
                <w:szCs w:val="20"/>
              </w:rPr>
              <w:t>(NAPS)</w:t>
            </w:r>
          </w:p>
        </w:tc>
        <w:tc>
          <w:tcPr>
            <w:tcW w:w="4253" w:type="dxa"/>
            <w:shd w:val="clear" w:color="auto" w:fill="auto"/>
            <w:hideMark/>
          </w:tcPr>
          <w:p w:rsidR="00C5112F" w:rsidRPr="0035583E" w:rsidRDefault="00C5112F" w:rsidP="00C5112F">
            <w:pPr>
              <w:pStyle w:val="TableHeading"/>
              <w:jc w:val="center"/>
              <w:rPr>
                <w:rFonts w:ascii="Arial" w:eastAsia="Calibri" w:hAnsi="Arial" w:cs="Arial"/>
                <w:sz w:val="20"/>
                <w:szCs w:val="20"/>
              </w:rPr>
            </w:pPr>
            <w:r w:rsidRPr="0035583E">
              <w:rPr>
                <w:rFonts w:ascii="Arial" w:hAnsi="Arial" w:cs="Arial"/>
                <w:sz w:val="20"/>
                <w:szCs w:val="20"/>
              </w:rPr>
              <w:t xml:space="preserve">Most frequently supplied </w:t>
            </w:r>
            <w:r>
              <w:rPr>
                <w:rFonts w:ascii="Arial" w:hAnsi="Arial" w:cs="Arial"/>
                <w:sz w:val="20"/>
                <w:szCs w:val="20"/>
              </w:rPr>
              <w:t>(NAUSP)</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1</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Cefazolin</w:t>
            </w:r>
            <w:proofErr w:type="spellEnd"/>
            <w:r w:rsidRPr="0035583E">
              <w:rPr>
                <w:rFonts w:ascii="Arial" w:hAnsi="Arial" w:cs="Arial"/>
                <w:sz w:val="20"/>
                <w:szCs w:val="20"/>
              </w:rPr>
              <w:t xml:space="preserve"> (11.1%)</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Amoxicillin–</w:t>
            </w:r>
            <w:proofErr w:type="spellStart"/>
            <w:r w:rsidRPr="0035583E">
              <w:rPr>
                <w:rFonts w:ascii="Arial" w:hAnsi="Arial" w:cs="Arial"/>
                <w:sz w:val="20"/>
                <w:szCs w:val="20"/>
              </w:rPr>
              <w:t>clavulanate</w:t>
            </w:r>
            <w:proofErr w:type="spellEnd"/>
            <w:r w:rsidRPr="0035583E">
              <w:rPr>
                <w:rFonts w:ascii="Arial" w:hAnsi="Arial" w:cs="Arial"/>
                <w:sz w:val="20"/>
                <w:szCs w:val="20"/>
              </w:rPr>
              <w:t xml:space="preserve"> (14.3%)</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2</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Ceftriaxone (9.1%)</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Amoxicillin/ampicillin (11.1%)</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3</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Metronidazole (6.5%)</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Flucloxacillin</w:t>
            </w:r>
            <w:proofErr w:type="spellEnd"/>
            <w:r w:rsidRPr="0035583E">
              <w:rPr>
                <w:rFonts w:ascii="Arial" w:hAnsi="Arial" w:cs="Arial"/>
                <w:sz w:val="20"/>
                <w:szCs w:val="20"/>
              </w:rPr>
              <w:t xml:space="preserve"> (9.1%) </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4</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Piperacillin</w:t>
            </w:r>
            <w:proofErr w:type="spellEnd"/>
            <w:r w:rsidRPr="0035583E">
              <w:rPr>
                <w:rFonts w:ascii="Arial" w:hAnsi="Arial" w:cs="Arial"/>
                <w:sz w:val="20"/>
                <w:szCs w:val="20"/>
              </w:rPr>
              <w:t>–</w:t>
            </w:r>
            <w:proofErr w:type="spellStart"/>
            <w:r w:rsidRPr="0035583E">
              <w:rPr>
                <w:rFonts w:ascii="Arial" w:hAnsi="Arial" w:cs="Arial"/>
                <w:sz w:val="20"/>
                <w:szCs w:val="20"/>
              </w:rPr>
              <w:t>tazobactam</w:t>
            </w:r>
            <w:proofErr w:type="spellEnd"/>
            <w:r w:rsidRPr="0035583E">
              <w:rPr>
                <w:rFonts w:ascii="Arial" w:hAnsi="Arial" w:cs="Arial"/>
                <w:sz w:val="20"/>
                <w:szCs w:val="20"/>
              </w:rPr>
              <w:t xml:space="preserve"> (6.1%)</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Cefazolin</w:t>
            </w:r>
            <w:proofErr w:type="spellEnd"/>
            <w:r w:rsidRPr="0035583E">
              <w:rPr>
                <w:rFonts w:ascii="Arial" w:hAnsi="Arial" w:cs="Arial"/>
                <w:sz w:val="20"/>
                <w:szCs w:val="20"/>
              </w:rPr>
              <w:t xml:space="preserve"> (8.5%)</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5</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Amoxicillin–</w:t>
            </w:r>
            <w:proofErr w:type="spellStart"/>
            <w:r w:rsidRPr="0035583E">
              <w:rPr>
                <w:rFonts w:ascii="Arial" w:hAnsi="Arial" w:cs="Arial"/>
                <w:sz w:val="20"/>
                <w:szCs w:val="20"/>
              </w:rPr>
              <w:t>clavulanate</w:t>
            </w:r>
            <w:proofErr w:type="spellEnd"/>
            <w:r w:rsidRPr="0035583E">
              <w:rPr>
                <w:rFonts w:ascii="Arial" w:hAnsi="Arial" w:cs="Arial"/>
                <w:sz w:val="20"/>
                <w:szCs w:val="20"/>
              </w:rPr>
              <w:t xml:space="preserve"> (6.0%)</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Doxycycline (5.7%)</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6</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r>
              <w:rPr>
                <w:rFonts w:ascii="Arial" w:hAnsi="Arial" w:cs="Arial"/>
                <w:sz w:val="20"/>
                <w:szCs w:val="20"/>
              </w:rPr>
              <w:t>Cephalexin</w:t>
            </w:r>
            <w:r w:rsidRPr="0035583E">
              <w:rPr>
                <w:rFonts w:ascii="Arial" w:hAnsi="Arial" w:cs="Arial"/>
                <w:sz w:val="20"/>
                <w:szCs w:val="20"/>
              </w:rPr>
              <w:t xml:space="preserve"> (5.0%)</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Pr>
                <w:rFonts w:ascii="Arial" w:hAnsi="Arial" w:cs="Arial"/>
                <w:sz w:val="20"/>
                <w:szCs w:val="20"/>
              </w:rPr>
              <w:t>Cephalexin</w:t>
            </w:r>
            <w:r w:rsidRPr="0035583E">
              <w:rPr>
                <w:rFonts w:ascii="Arial" w:hAnsi="Arial" w:cs="Arial"/>
                <w:sz w:val="20"/>
                <w:szCs w:val="20"/>
              </w:rPr>
              <w:t xml:space="preserve"> (5.3%)</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7</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Flucloxacillin</w:t>
            </w:r>
            <w:proofErr w:type="spellEnd"/>
            <w:r w:rsidRPr="0035583E">
              <w:rPr>
                <w:rFonts w:ascii="Arial" w:hAnsi="Arial" w:cs="Arial"/>
                <w:sz w:val="20"/>
                <w:szCs w:val="20"/>
              </w:rPr>
              <w:t xml:space="preserve"> (4.5%)</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Piperacillin</w:t>
            </w:r>
            <w:proofErr w:type="spellEnd"/>
            <w:r w:rsidRPr="0035583E">
              <w:rPr>
                <w:rFonts w:ascii="Arial" w:hAnsi="Arial" w:cs="Arial"/>
                <w:sz w:val="20"/>
                <w:szCs w:val="20"/>
              </w:rPr>
              <w:t>–</w:t>
            </w:r>
            <w:proofErr w:type="spellStart"/>
            <w:r w:rsidRPr="0035583E">
              <w:rPr>
                <w:rFonts w:ascii="Arial" w:hAnsi="Arial" w:cs="Arial"/>
                <w:sz w:val="20"/>
                <w:szCs w:val="20"/>
              </w:rPr>
              <w:t>tazobactam</w:t>
            </w:r>
            <w:proofErr w:type="spellEnd"/>
            <w:r w:rsidRPr="0035583E">
              <w:rPr>
                <w:rFonts w:ascii="Arial" w:hAnsi="Arial" w:cs="Arial"/>
                <w:sz w:val="20"/>
                <w:szCs w:val="20"/>
              </w:rPr>
              <w:t xml:space="preserve"> (4.7%)</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8</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Doxycycline (3.9%)</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Ceftriaxone (4.5%)</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9</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proofErr w:type="spellStart"/>
            <w:r w:rsidRPr="0035583E">
              <w:rPr>
                <w:rFonts w:ascii="Arial" w:hAnsi="Arial" w:cs="Arial"/>
                <w:sz w:val="20"/>
                <w:szCs w:val="20"/>
              </w:rPr>
              <w:t>Benzylpenicillin</w:t>
            </w:r>
            <w:proofErr w:type="spellEnd"/>
            <w:r w:rsidRPr="0035583E">
              <w:rPr>
                <w:rFonts w:ascii="Arial" w:hAnsi="Arial" w:cs="Arial"/>
                <w:sz w:val="20"/>
                <w:szCs w:val="20"/>
              </w:rPr>
              <w:t xml:space="preserve"> (3.2%)</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Metronidazole (4.3%)</w:t>
            </w:r>
          </w:p>
        </w:tc>
      </w:tr>
      <w:tr w:rsidR="00C5112F" w:rsidRPr="0035583E" w:rsidTr="00C5112F">
        <w:tc>
          <w:tcPr>
            <w:tcW w:w="709"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10</w:t>
            </w:r>
          </w:p>
        </w:tc>
        <w:tc>
          <w:tcPr>
            <w:tcW w:w="3827"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Amoxicillin/ampicillin (2.8%)</w:t>
            </w:r>
          </w:p>
        </w:tc>
        <w:tc>
          <w:tcPr>
            <w:tcW w:w="4253" w:type="dxa"/>
            <w:shd w:val="clear" w:color="auto" w:fill="auto"/>
            <w:hideMark/>
          </w:tcPr>
          <w:p w:rsidR="00C5112F" w:rsidRPr="0035583E" w:rsidRDefault="00C5112F" w:rsidP="00C5112F">
            <w:pPr>
              <w:pStyle w:val="TableText"/>
              <w:rPr>
                <w:rFonts w:ascii="Arial" w:eastAsia="Calibri" w:hAnsi="Arial" w:cs="Arial"/>
                <w:sz w:val="20"/>
                <w:szCs w:val="20"/>
              </w:rPr>
            </w:pPr>
            <w:r w:rsidRPr="0035583E">
              <w:rPr>
                <w:rFonts w:ascii="Arial" w:hAnsi="Arial" w:cs="Arial"/>
                <w:sz w:val="20"/>
                <w:szCs w:val="20"/>
              </w:rPr>
              <w:t>Azithromycin (4.1%)</w:t>
            </w:r>
          </w:p>
        </w:tc>
      </w:tr>
    </w:tbl>
    <w:p w:rsidR="00C5112F" w:rsidRPr="00053DCE" w:rsidRDefault="00C5112F" w:rsidP="00C5112F">
      <w:pPr>
        <w:pStyle w:val="TFNoteSourceSpace"/>
        <w:spacing w:before="240"/>
        <w:ind w:left="0" w:firstLine="0"/>
      </w:pPr>
      <w:r w:rsidRPr="00053DCE">
        <w:t>Source</w:t>
      </w:r>
      <w:r>
        <w:t>s</w:t>
      </w:r>
      <w:r w:rsidRPr="00053DCE">
        <w:t>:</w:t>
      </w:r>
      <w:r w:rsidRPr="00053DCE">
        <w:tab/>
      </w:r>
      <w:r w:rsidRPr="00A4182B">
        <w:t xml:space="preserve"> </w:t>
      </w:r>
      <w:r>
        <w:rPr>
          <w:rFonts w:eastAsia="Arial"/>
        </w:rPr>
        <w:t>National Antimicrobial Prescribing Survey</w:t>
      </w:r>
      <w:r w:rsidRPr="00A4182B" w:rsidDel="00E74CC9">
        <w:t xml:space="preserve"> </w:t>
      </w:r>
      <w:r>
        <w:t xml:space="preserve">(NAPS) </w:t>
      </w:r>
      <w:r w:rsidRPr="00A4182B">
        <w:t xml:space="preserve">report, 2014; </w:t>
      </w:r>
      <w:r>
        <w:rPr>
          <w:rFonts w:eastAsia="Arial"/>
        </w:rPr>
        <w:t>National Antimicrobial Utilisation Surveillance Program</w:t>
      </w:r>
      <w:r w:rsidRPr="00053DCE" w:rsidDel="00E74CC9">
        <w:t xml:space="preserve"> </w:t>
      </w:r>
      <w:r>
        <w:t>(NAUSP) report, </w:t>
      </w:r>
      <w:r w:rsidRPr="00053DCE">
        <w:t>2014</w:t>
      </w:r>
    </w:p>
    <w:p w:rsidR="00C5112F" w:rsidRPr="006A532B" w:rsidRDefault="00C5112F" w:rsidP="00D32E79">
      <w:pPr>
        <w:pStyle w:val="Heading1"/>
      </w:pPr>
      <w:r>
        <w:t xml:space="preserve">Which </w:t>
      </w:r>
      <w:proofErr w:type="spellStart"/>
      <w:r>
        <w:t>antibacterials</w:t>
      </w:r>
      <w:proofErr w:type="spellEnd"/>
      <w:r>
        <w:t xml:space="preserve"> are used most often i</w:t>
      </w:r>
      <w:r w:rsidRPr="006A532B">
        <w:t>n the community</w:t>
      </w:r>
      <w:r>
        <w:t>?</w:t>
      </w:r>
    </w:p>
    <w:p w:rsidR="00C5112F" w:rsidRPr="006A532B" w:rsidRDefault="00C5112F" w:rsidP="00C5112F">
      <w:pPr>
        <w:rPr>
          <w:szCs w:val="22"/>
        </w:rPr>
      </w:pPr>
      <w:r w:rsidRPr="006A532B">
        <w:rPr>
          <w:szCs w:val="22"/>
        </w:rPr>
        <w:t>Almost half (46%) of Australians were dispensed at least one antibacterial prescription under the Pharmaceutical Benefits Scheme (PBS) during 2014 – an overall rate of 23.8 DDD/1000 inhabitants/day.</w:t>
      </w:r>
      <w:hyperlink w:anchor="_ENREF_1" w:tooltip="Australian Commission on Safety and Quality in Health Care, 2016 #8" w:history="1">
        <w:r w:rsidRPr="006A532B">
          <w:rPr>
            <w:szCs w:val="22"/>
          </w:rPr>
          <w:fldChar w:fldCharType="begin"/>
        </w:r>
        <w:r w:rsidRPr="006A532B">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szCs w:val="22"/>
          </w:rPr>
          <w:fldChar w:fldCharType="separate"/>
        </w:r>
        <w:r w:rsidRPr="006A532B">
          <w:rPr>
            <w:noProof/>
            <w:szCs w:val="22"/>
            <w:vertAlign w:val="superscript"/>
          </w:rPr>
          <w:t>1</w:t>
        </w:r>
        <w:r w:rsidRPr="006A532B">
          <w:rPr>
            <w:szCs w:val="22"/>
          </w:rPr>
          <w:fldChar w:fldCharType="end"/>
        </w:r>
      </w:hyperlink>
      <w:r w:rsidRPr="006A532B">
        <w:rPr>
          <w:szCs w:val="22"/>
        </w:rPr>
        <w:t xml:space="preserve"> Our prescribing rate ranks eighth highest among member countries of the Organisation for Economic Co-operation and Development (OECD), and is more than double that of countries that have low prescribing rates, such as the Netherlands and Scandinavian countries.</w:t>
      </w:r>
      <w:hyperlink w:anchor="_ENREF_1" w:tooltip="Australian Commission on Safety and Quality in Health Care, 2016 #8" w:history="1">
        <w:r w:rsidRPr="006A532B">
          <w:rPr>
            <w:szCs w:val="22"/>
          </w:rPr>
          <w:fldChar w:fldCharType="begin"/>
        </w:r>
        <w:r w:rsidRPr="006A532B">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szCs w:val="22"/>
          </w:rPr>
          <w:fldChar w:fldCharType="separate"/>
        </w:r>
        <w:r w:rsidRPr="006A532B">
          <w:rPr>
            <w:noProof/>
            <w:szCs w:val="22"/>
            <w:vertAlign w:val="superscript"/>
          </w:rPr>
          <w:t>1</w:t>
        </w:r>
        <w:r w:rsidRPr="006A532B">
          <w:rPr>
            <w:szCs w:val="22"/>
          </w:rPr>
          <w:fldChar w:fldCharType="end"/>
        </w:r>
      </w:hyperlink>
      <w:r w:rsidRPr="006A532B">
        <w:rPr>
          <w:szCs w:val="22"/>
        </w:rPr>
        <w:t xml:space="preserve"> Antibacterial use in the community is now 6.7% lower than its peak of 25.5 DDD/1000 inhabitants/day in 2008, although there has been little change in overall rates from year to year.</w:t>
      </w:r>
      <w:hyperlink w:anchor="_ENREF_1" w:tooltip="Australian Commission on Safety and Quality in Health Care, 2016 #8" w:history="1">
        <w:r w:rsidRPr="006A532B">
          <w:rPr>
            <w:szCs w:val="22"/>
          </w:rPr>
          <w:fldChar w:fldCharType="begin"/>
        </w:r>
        <w:r w:rsidRPr="006A532B">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szCs w:val="22"/>
          </w:rPr>
          <w:fldChar w:fldCharType="separate"/>
        </w:r>
        <w:r w:rsidRPr="006A532B">
          <w:rPr>
            <w:noProof/>
            <w:szCs w:val="22"/>
            <w:vertAlign w:val="superscript"/>
          </w:rPr>
          <w:t>1</w:t>
        </w:r>
        <w:r w:rsidRPr="006A532B">
          <w:rPr>
            <w:szCs w:val="22"/>
          </w:rPr>
          <w:fldChar w:fldCharType="end"/>
        </w:r>
      </w:hyperlink>
    </w:p>
    <w:p w:rsidR="00E57029" w:rsidRDefault="00E57029" w:rsidP="00C5112F">
      <w:pPr>
        <w:rPr>
          <w:szCs w:val="22"/>
        </w:rPr>
      </w:pPr>
    </w:p>
    <w:p w:rsidR="00C5112F" w:rsidRPr="006A532B" w:rsidRDefault="00C5112F" w:rsidP="00C5112F">
      <w:pPr>
        <w:rPr>
          <w:szCs w:val="22"/>
        </w:rPr>
      </w:pPr>
      <w:r w:rsidRPr="006A532B">
        <w:rPr>
          <w:szCs w:val="22"/>
        </w:rPr>
        <w:t>Antibacterial prescribing in the community varies between different age groups;</w:t>
      </w:r>
      <w:r w:rsidRPr="006A532B">
        <w:rPr>
          <w:color w:val="000000"/>
          <w:szCs w:val="22"/>
        </w:rPr>
        <w:t xml:space="preserve"> it is highest in children (0–9 years) and older people (65 years or over).</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r w:rsidRPr="006A532B">
        <w:rPr>
          <w:color w:val="000000"/>
          <w:szCs w:val="22"/>
        </w:rPr>
        <w:t xml:space="preserve"> Prescribing also varies between </w:t>
      </w:r>
      <w:r>
        <w:rPr>
          <w:color w:val="000000"/>
          <w:szCs w:val="22"/>
        </w:rPr>
        <w:t>states and territories</w:t>
      </w:r>
      <w:r w:rsidRPr="006A532B">
        <w:rPr>
          <w:color w:val="000000"/>
          <w:szCs w:val="22"/>
        </w:rPr>
        <w:t xml:space="preserve"> and local areas</w:t>
      </w:r>
      <w:r>
        <w:rPr>
          <w:color w:val="000000"/>
          <w:szCs w:val="22"/>
        </w:rPr>
        <w:t>.</w:t>
      </w:r>
      <w:r w:rsidRPr="007549A6">
        <w:rPr>
          <w:rStyle w:val="FootnoteReference"/>
          <w:szCs w:val="22"/>
        </w:rPr>
        <w:footnoteReference w:id="2"/>
      </w:r>
      <w:r>
        <w:rPr>
          <w:color w:val="000000"/>
          <w:szCs w:val="22"/>
        </w:rPr>
        <w:t xml:space="preserve"> For example,</w:t>
      </w:r>
      <w:r w:rsidRPr="006A532B">
        <w:rPr>
          <w:color w:val="000000"/>
          <w:szCs w:val="22"/>
        </w:rPr>
        <w:t xml:space="preserve"> the average number of antibacterial </w:t>
      </w:r>
      <w:r w:rsidRPr="006A532B">
        <w:rPr>
          <w:color w:val="000000"/>
          <w:szCs w:val="22"/>
        </w:rPr>
        <w:lastRenderedPageBreak/>
        <w:t>prescriptions dispensed varied from 1021 per 1000 inhabitants in Western Australia to 1329 per 1000 inhabitants in Queensland</w:t>
      </w:r>
      <w:r w:rsidRPr="007549A6">
        <w:rPr>
          <w:color w:val="000000" w:themeColor="text1"/>
          <w:szCs w:val="22"/>
        </w:rPr>
        <w:t>;</w:t>
      </w:r>
      <w:hyperlink w:anchor="_ENREF_1" w:tooltip="Australian Commission on Safety and Quality in Health Care, 2016 #8" w:history="1">
        <w:r w:rsidRPr="007549A6">
          <w:rPr>
            <w:color w:val="000000" w:themeColor="text1"/>
            <w:szCs w:val="22"/>
          </w:rPr>
          <w:fldChar w:fldCharType="begin"/>
        </w:r>
        <w:r w:rsidRPr="007549A6">
          <w:rPr>
            <w:color w:val="000000" w:themeColor="text1"/>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7549A6">
          <w:rPr>
            <w:color w:val="000000" w:themeColor="text1"/>
            <w:szCs w:val="22"/>
          </w:rPr>
          <w:fldChar w:fldCharType="separate"/>
        </w:r>
        <w:r w:rsidRPr="007549A6">
          <w:rPr>
            <w:noProof/>
            <w:color w:val="000000" w:themeColor="text1"/>
            <w:szCs w:val="22"/>
            <w:vertAlign w:val="superscript"/>
          </w:rPr>
          <w:t>1</w:t>
        </w:r>
        <w:r w:rsidRPr="007549A6">
          <w:rPr>
            <w:color w:val="000000" w:themeColor="text1"/>
            <w:szCs w:val="22"/>
          </w:rPr>
          <w:fldChar w:fldCharType="end"/>
        </w:r>
      </w:hyperlink>
      <w:r w:rsidRPr="006A532B">
        <w:rPr>
          <w:color w:val="000000"/>
          <w:szCs w:val="22"/>
        </w:rPr>
        <w:t xml:space="preserve"> and the amount of antibacterial prescribing varies by 1.9–2.7 times between local areas.</w:t>
      </w:r>
      <w:hyperlink w:anchor="_ENREF_2" w:tooltip="Australian Commission on Safety and Quality in Health Care, 2015 #1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6A532B">
          <w:rPr>
            <w:color w:val="000000"/>
            <w:szCs w:val="22"/>
          </w:rPr>
          <w:fldChar w:fldCharType="separate"/>
        </w:r>
        <w:r w:rsidRPr="006A532B">
          <w:rPr>
            <w:noProof/>
            <w:color w:val="000000"/>
            <w:szCs w:val="22"/>
            <w:vertAlign w:val="superscript"/>
          </w:rPr>
          <w:t>2</w:t>
        </w:r>
        <w:r w:rsidRPr="006A532B">
          <w:rPr>
            <w:color w:val="000000"/>
            <w:szCs w:val="22"/>
          </w:rPr>
          <w:fldChar w:fldCharType="end"/>
        </w:r>
      </w:hyperlink>
    </w:p>
    <w:p w:rsidR="00C5112F" w:rsidRPr="006A532B" w:rsidRDefault="00C5112F" w:rsidP="00C5112F">
      <w:pPr>
        <w:rPr>
          <w:szCs w:val="22"/>
        </w:rPr>
      </w:pPr>
      <w:r w:rsidRPr="006A532B">
        <w:rPr>
          <w:szCs w:val="22"/>
        </w:rPr>
        <w:t xml:space="preserve">In the community, the three antibacterial classes most often dispensed, representing 61% of all </w:t>
      </w:r>
      <w:proofErr w:type="spellStart"/>
      <w:r w:rsidRPr="006A532B">
        <w:rPr>
          <w:szCs w:val="22"/>
        </w:rPr>
        <w:t>antibacterials</w:t>
      </w:r>
      <w:proofErr w:type="spellEnd"/>
      <w:r w:rsidRPr="006A532B">
        <w:rPr>
          <w:szCs w:val="22"/>
        </w:rPr>
        <w:t xml:space="preserve"> dispensed</w:t>
      </w:r>
      <w:r>
        <w:rPr>
          <w:szCs w:val="22"/>
        </w:rPr>
        <w:t xml:space="preserve"> nationally</w:t>
      </w:r>
      <w:r w:rsidRPr="006A532B">
        <w:rPr>
          <w:szCs w:val="22"/>
        </w:rPr>
        <w:t>, were the same three classes as in hospitals (see Table 1</w:t>
      </w:r>
      <w:r>
        <w:rPr>
          <w:szCs w:val="22"/>
        </w:rPr>
        <w:t>,</w:t>
      </w:r>
      <w:r w:rsidRPr="006A532B">
        <w:rPr>
          <w:szCs w:val="22"/>
        </w:rPr>
        <w:t xml:space="preserve"> </w:t>
      </w:r>
      <w:r>
        <w:rPr>
          <w:szCs w:val="22"/>
        </w:rPr>
        <w:t xml:space="preserve">page 2 </w:t>
      </w:r>
      <w:r w:rsidRPr="006A532B">
        <w:rPr>
          <w:szCs w:val="22"/>
        </w:rPr>
        <w:t xml:space="preserve">and </w:t>
      </w:r>
      <w:r>
        <w:rPr>
          <w:szCs w:val="22"/>
        </w:rPr>
        <w:t>Table </w:t>
      </w:r>
      <w:r w:rsidRPr="006A532B">
        <w:rPr>
          <w:szCs w:val="22"/>
        </w:rPr>
        <w:t>3</w:t>
      </w:r>
      <w:r>
        <w:rPr>
          <w:szCs w:val="22"/>
        </w:rPr>
        <w:t xml:space="preserve"> below</w:t>
      </w:r>
      <w:r w:rsidRPr="006A532B">
        <w:rPr>
          <w:szCs w:val="22"/>
        </w:rPr>
        <w:t>).</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p>
    <w:p w:rsidR="00C5112F" w:rsidRPr="00E472C9" w:rsidRDefault="00C5112F" w:rsidP="00DA5EF5">
      <w:pPr>
        <w:tabs>
          <w:tab w:val="left" w:pos="1134"/>
        </w:tabs>
        <w:spacing w:before="240" w:after="240"/>
        <w:ind w:left="1134" w:hanging="1134"/>
        <w:rPr>
          <w:b/>
        </w:rPr>
      </w:pPr>
      <w:r w:rsidRPr="00E472C9">
        <w:rPr>
          <w:b/>
        </w:rPr>
        <w:t>Table 3:</w:t>
      </w:r>
      <w:r w:rsidRPr="00E472C9">
        <w:rPr>
          <w:b/>
        </w:rPr>
        <w:tab/>
        <w:t xml:space="preserve">Most frequently dispensed </w:t>
      </w:r>
      <w:proofErr w:type="spellStart"/>
      <w:r w:rsidRPr="00E472C9">
        <w:rPr>
          <w:b/>
        </w:rPr>
        <w:t>antibacterials</w:t>
      </w:r>
      <w:proofErr w:type="spellEnd"/>
      <w:r w:rsidRPr="00E472C9">
        <w:rPr>
          <w:b/>
        </w:rPr>
        <w:t xml:space="preserve"> in the community (number of PBS prescriptions) by antibacterial class, 2014</w:t>
      </w:r>
      <w:hyperlink w:anchor="_ENREF_1" w:tooltip="Australian Commission on Safety and Quality in Health Care, 2016 #8" w:history="1">
        <w:r w:rsidRPr="00E472C9">
          <w:rPr>
            <w:b/>
          </w:rPr>
          <w:fldChar w:fldCharType="begin"/>
        </w:r>
        <w:r w:rsidRPr="00E472C9">
          <w:rPr>
            <w:b/>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472C9">
          <w:rPr>
            <w:b/>
          </w:rPr>
          <w:fldChar w:fldCharType="separate"/>
        </w:r>
        <w:r w:rsidRPr="00E472C9">
          <w:rPr>
            <w:b/>
            <w:noProof/>
            <w:vertAlign w:val="superscript"/>
          </w:rPr>
          <w:t>1</w:t>
        </w:r>
        <w:r w:rsidRPr="00E472C9">
          <w:rPr>
            <w:b/>
          </w:rPr>
          <w:fldChar w:fldCharType="end"/>
        </w:r>
      </w:hyperlink>
    </w:p>
    <w:tbl>
      <w:tblPr>
        <w:tblW w:w="4396" w:type="pct"/>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106"/>
        <w:gridCol w:w="2979"/>
      </w:tblGrid>
      <w:tr w:rsidR="00C5112F" w:rsidRPr="00650757" w:rsidTr="00C5112F">
        <w:trPr>
          <w:trHeight w:val="499"/>
          <w:tblHeader/>
        </w:trPr>
        <w:tc>
          <w:tcPr>
            <w:tcW w:w="3158" w:type="pct"/>
            <w:shd w:val="clear" w:color="auto" w:fill="auto"/>
            <w:tcMar>
              <w:top w:w="113" w:type="dxa"/>
              <w:left w:w="85" w:type="dxa"/>
              <w:bottom w:w="113" w:type="dxa"/>
              <w:right w:w="85" w:type="dxa"/>
            </w:tcMar>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Antibacterial class</w:t>
            </w:r>
          </w:p>
        </w:tc>
        <w:tc>
          <w:tcPr>
            <w:tcW w:w="1842" w:type="pct"/>
            <w:shd w:val="clear" w:color="auto" w:fill="auto"/>
            <w:tcMar>
              <w:top w:w="113" w:type="dxa"/>
              <w:left w:w="85" w:type="dxa"/>
              <w:bottom w:w="113" w:type="dxa"/>
              <w:right w:w="85" w:type="dxa"/>
            </w:tcMar>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 xml:space="preserve">% of dispensed </w:t>
            </w:r>
            <w:proofErr w:type="spellStart"/>
            <w:r w:rsidRPr="00650757">
              <w:rPr>
                <w:rFonts w:ascii="Arial" w:hAnsi="Arial" w:cs="Arial"/>
                <w:sz w:val="20"/>
                <w:szCs w:val="20"/>
              </w:rPr>
              <w:t>antibacterials</w:t>
            </w:r>
            <w:proofErr w:type="spellEnd"/>
          </w:p>
        </w:tc>
      </w:tr>
      <w:tr w:rsidR="00C5112F" w:rsidRPr="00650757" w:rsidTr="00C5112F">
        <w:trPr>
          <w:trHeight w:val="255"/>
        </w:trPr>
        <w:tc>
          <w:tcPr>
            <w:tcW w:w="3158"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r w:rsidRPr="00650757">
              <w:rPr>
                <w:rFonts w:ascii="Arial" w:hAnsi="Arial" w:cs="Arial"/>
                <w:sz w:val="20"/>
                <w:szCs w:val="20"/>
              </w:rPr>
              <w:t>Extended-spectrum penicillins (e.g. amoxicillin)</w:t>
            </w:r>
          </w:p>
        </w:tc>
        <w:tc>
          <w:tcPr>
            <w:tcW w:w="1842"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22%</w:t>
            </w:r>
          </w:p>
        </w:tc>
      </w:tr>
      <w:tr w:rsidR="00C5112F" w:rsidRPr="00650757" w:rsidTr="00C5112F">
        <w:trPr>
          <w:trHeight w:val="255"/>
        </w:trPr>
        <w:tc>
          <w:tcPr>
            <w:tcW w:w="3158"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r w:rsidRPr="00650757">
              <w:rPr>
                <w:rFonts w:ascii="Arial" w:hAnsi="Arial" w:cs="Arial"/>
                <w:sz w:val="20"/>
                <w:szCs w:val="20"/>
              </w:rPr>
              <w:t xml:space="preserve">First-generation </w:t>
            </w:r>
            <w:proofErr w:type="spellStart"/>
            <w:r w:rsidRPr="00650757">
              <w:rPr>
                <w:rFonts w:ascii="Arial" w:hAnsi="Arial" w:cs="Arial"/>
                <w:sz w:val="20"/>
                <w:szCs w:val="20"/>
              </w:rPr>
              <w:t>cephalosporins</w:t>
            </w:r>
            <w:proofErr w:type="spellEnd"/>
            <w:r w:rsidRPr="00650757">
              <w:rPr>
                <w:rFonts w:ascii="Arial" w:hAnsi="Arial" w:cs="Arial"/>
                <w:sz w:val="20"/>
                <w:szCs w:val="20"/>
              </w:rPr>
              <w:t xml:space="preserve"> (e.g. </w:t>
            </w:r>
            <w:r>
              <w:rPr>
                <w:rFonts w:ascii="Arial" w:hAnsi="Arial" w:cs="Arial"/>
                <w:sz w:val="20"/>
                <w:szCs w:val="20"/>
              </w:rPr>
              <w:t>cephalexin</w:t>
            </w:r>
            <w:r w:rsidRPr="00650757">
              <w:rPr>
                <w:rFonts w:ascii="Arial" w:hAnsi="Arial" w:cs="Arial"/>
                <w:sz w:val="20"/>
                <w:szCs w:val="20"/>
              </w:rPr>
              <w:t>)</w:t>
            </w:r>
          </w:p>
        </w:tc>
        <w:tc>
          <w:tcPr>
            <w:tcW w:w="1842"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21%</w:t>
            </w:r>
          </w:p>
        </w:tc>
      </w:tr>
      <w:tr w:rsidR="00C5112F" w:rsidRPr="00650757" w:rsidTr="00C5112F">
        <w:trPr>
          <w:trHeight w:val="270"/>
        </w:trPr>
        <w:tc>
          <w:tcPr>
            <w:tcW w:w="3158"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r w:rsidRPr="00650757">
              <w:rPr>
                <w:rFonts w:ascii="Arial" w:hAnsi="Arial" w:cs="Arial"/>
                <w:sz w:val="20"/>
                <w:szCs w:val="20"/>
              </w:rPr>
              <w:t xml:space="preserve">β-lactamase inhibitor combinations (e.g. amoxicillin with </w:t>
            </w:r>
            <w:proofErr w:type="spellStart"/>
            <w:r w:rsidRPr="00650757">
              <w:rPr>
                <w:rFonts w:ascii="Arial" w:hAnsi="Arial" w:cs="Arial"/>
                <w:sz w:val="20"/>
                <w:szCs w:val="20"/>
              </w:rPr>
              <w:t>clavulanate</w:t>
            </w:r>
            <w:proofErr w:type="spellEnd"/>
            <w:r w:rsidRPr="00650757">
              <w:rPr>
                <w:rFonts w:ascii="Arial" w:hAnsi="Arial" w:cs="Arial"/>
                <w:sz w:val="20"/>
                <w:szCs w:val="20"/>
              </w:rPr>
              <w:t>)</w:t>
            </w:r>
          </w:p>
        </w:tc>
        <w:tc>
          <w:tcPr>
            <w:tcW w:w="1842"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18%</w:t>
            </w:r>
          </w:p>
        </w:tc>
      </w:tr>
    </w:tbl>
    <w:p w:rsidR="00C5112F" w:rsidRPr="00A95BAB" w:rsidRDefault="00C5112F" w:rsidP="00D32E79">
      <w:pPr>
        <w:pStyle w:val="TFNoteSourceSpace"/>
        <w:spacing w:before="240" w:after="240"/>
      </w:pPr>
      <w:r>
        <w:t xml:space="preserve">Source:  Australian Government </w:t>
      </w:r>
      <w:r w:rsidRPr="00A95BAB">
        <w:t xml:space="preserve">Department of Human Services pharmacy claim database, October 2015 </w:t>
      </w:r>
    </w:p>
    <w:p w:rsidR="00DA5EF5" w:rsidRDefault="00C5112F" w:rsidP="00DA5EF5">
      <w:pPr>
        <w:rPr>
          <w:color w:val="000000"/>
          <w:szCs w:val="22"/>
        </w:rPr>
      </w:pPr>
      <w:proofErr w:type="spellStart"/>
      <w:r w:rsidRPr="006A532B">
        <w:rPr>
          <w:color w:val="000000"/>
          <w:szCs w:val="22"/>
        </w:rPr>
        <w:t>Antibacterials</w:t>
      </w:r>
      <w:proofErr w:type="spellEnd"/>
      <w:r w:rsidRPr="006A532B">
        <w:rPr>
          <w:color w:val="000000"/>
          <w:szCs w:val="22"/>
        </w:rPr>
        <w:t xml:space="preserve"> and antifungals are widely used in residential aged</w:t>
      </w:r>
      <w:r>
        <w:rPr>
          <w:color w:val="000000"/>
          <w:szCs w:val="22"/>
        </w:rPr>
        <w:t>-</w:t>
      </w:r>
      <w:r w:rsidRPr="006A532B">
        <w:rPr>
          <w:color w:val="000000"/>
          <w:szCs w:val="22"/>
        </w:rPr>
        <w:t>care facilities</w:t>
      </w:r>
      <w:hyperlink w:anchor="_ENREF_1" w:tooltip="Australian Commission on Safety and Quality in Health Care, 2016 #8" w:history="1"/>
      <w:r w:rsidRPr="006A532B">
        <w:rPr>
          <w:color w:val="000000"/>
          <w:szCs w:val="22"/>
        </w:rPr>
        <w:t>. The aged care National Antimicrobial Survey (</w:t>
      </w:r>
      <w:proofErr w:type="spellStart"/>
      <w:r w:rsidRPr="006A532B">
        <w:rPr>
          <w:color w:val="000000"/>
          <w:szCs w:val="22"/>
        </w:rPr>
        <w:t>acNAPS</w:t>
      </w:r>
      <w:proofErr w:type="spellEnd"/>
      <w:r w:rsidRPr="006A532B">
        <w:rPr>
          <w:color w:val="000000"/>
          <w:szCs w:val="22"/>
        </w:rPr>
        <w:t>) data showed that, during the survey period, 11.3%</w:t>
      </w:r>
      <w:r w:rsidRPr="006A532B">
        <w:rPr>
          <w:szCs w:val="22"/>
        </w:rPr>
        <w:t xml:space="preserve"> </w:t>
      </w:r>
      <w:r w:rsidRPr="006A532B">
        <w:rPr>
          <w:color w:val="000000"/>
          <w:szCs w:val="22"/>
        </w:rPr>
        <w:t>of residents were prescribed an antibacterial or an antifungal.</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r w:rsidRPr="006A532B">
        <w:rPr>
          <w:color w:val="000000"/>
          <w:szCs w:val="22"/>
        </w:rPr>
        <w:t xml:space="preserve"> In contrast to the rest of the community, topical </w:t>
      </w:r>
      <w:proofErr w:type="spellStart"/>
      <w:r w:rsidRPr="006A532B">
        <w:rPr>
          <w:color w:val="000000"/>
          <w:szCs w:val="22"/>
        </w:rPr>
        <w:t>antibacterials</w:t>
      </w:r>
      <w:proofErr w:type="spellEnd"/>
      <w:r w:rsidRPr="006A532B">
        <w:rPr>
          <w:color w:val="000000"/>
          <w:szCs w:val="22"/>
        </w:rPr>
        <w:t xml:space="preserve"> and antifungals represented 37.0% of all prescribing (see Table 4).</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p>
    <w:p w:rsidR="00DA5EF5" w:rsidRDefault="00DA5EF5" w:rsidP="00DA5EF5">
      <w:pPr>
        <w:rPr>
          <w:color w:val="000000"/>
          <w:szCs w:val="22"/>
        </w:rPr>
      </w:pPr>
    </w:p>
    <w:p w:rsidR="00DA5EF5" w:rsidRDefault="00DA5EF5">
      <w:pPr>
        <w:rPr>
          <w:b/>
          <w:szCs w:val="22"/>
        </w:rPr>
      </w:pPr>
      <w:r>
        <w:rPr>
          <w:b/>
          <w:szCs w:val="22"/>
        </w:rPr>
        <w:br w:type="page"/>
      </w:r>
    </w:p>
    <w:p w:rsidR="00C5112F" w:rsidRPr="00E472C9" w:rsidRDefault="00C5112F" w:rsidP="00D32E79">
      <w:pPr>
        <w:tabs>
          <w:tab w:val="left" w:pos="1134"/>
        </w:tabs>
        <w:spacing w:after="120"/>
        <w:ind w:left="1134" w:hanging="1134"/>
        <w:rPr>
          <w:b/>
          <w:szCs w:val="22"/>
        </w:rPr>
      </w:pPr>
      <w:r w:rsidRPr="00E472C9">
        <w:rPr>
          <w:b/>
          <w:szCs w:val="22"/>
        </w:rPr>
        <w:lastRenderedPageBreak/>
        <w:t>Table 4:</w:t>
      </w:r>
      <w:r w:rsidRPr="00E472C9">
        <w:rPr>
          <w:b/>
          <w:szCs w:val="22"/>
        </w:rPr>
        <w:tab/>
        <w:t xml:space="preserve">Top five </w:t>
      </w:r>
      <w:proofErr w:type="spellStart"/>
      <w:r w:rsidRPr="00E472C9">
        <w:rPr>
          <w:b/>
          <w:szCs w:val="22"/>
        </w:rPr>
        <w:t>antibacterials</w:t>
      </w:r>
      <w:proofErr w:type="spellEnd"/>
      <w:r w:rsidRPr="00E472C9">
        <w:rPr>
          <w:b/>
          <w:szCs w:val="22"/>
        </w:rPr>
        <w:t xml:space="preserve"> and antifungals prescribed in residential aged-care facilities (RACFs), 2015</w:t>
      </w:r>
      <w:hyperlink w:anchor="_ENREF_4" w:tooltip="National Centre for Antimicrobial Stewardship and Australian Commission on Safety and Quality in Health Care., 2016 #10" w:history="1">
        <w:r w:rsidRPr="00E472C9">
          <w:rPr>
            <w:b/>
            <w:szCs w:val="22"/>
          </w:rPr>
          <w:fldChar w:fldCharType="begin"/>
        </w:r>
        <w:r w:rsidRPr="00E472C9">
          <w:rPr>
            <w:b/>
            <w:szCs w:val="22"/>
          </w:rPr>
          <w:instrText xml:space="preserve"> ADDIN EN.CITE &lt;EndNote&gt;&lt;Cite&gt;&lt;Author&gt;National Centre for Antimicrobial Stewardship and Australian Commission on Safety and Quality in Health Care.&lt;/Author&gt;&lt;Year&gt;2016&lt;/Year&gt;&lt;RecNum&gt;10&lt;/RecNum&gt;&lt;DisplayText&gt;&lt;style face="superscript"&gt;4&lt;/style&gt;&lt;/DisplayText&gt;&lt;record&gt;&lt;rec-number&gt;10&lt;/rec-number&gt;&lt;foreign-keys&gt;&lt;key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E472C9">
          <w:rPr>
            <w:b/>
            <w:szCs w:val="22"/>
          </w:rPr>
          <w:fldChar w:fldCharType="separate"/>
        </w:r>
        <w:r w:rsidRPr="00E472C9">
          <w:rPr>
            <w:b/>
            <w:noProof/>
            <w:szCs w:val="22"/>
            <w:vertAlign w:val="superscript"/>
          </w:rPr>
          <w:t>4</w:t>
        </w:r>
        <w:r w:rsidRPr="00E472C9">
          <w:rPr>
            <w:b/>
            <w:szCs w:val="22"/>
          </w:rPr>
          <w:fldChar w:fldCharType="end"/>
        </w:r>
      </w:hyperlink>
    </w:p>
    <w:tbl>
      <w:tblPr>
        <w:tblW w:w="459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483"/>
        <w:gridCol w:w="3972"/>
      </w:tblGrid>
      <w:tr w:rsidR="00C5112F" w:rsidRPr="00650757" w:rsidTr="00C5112F">
        <w:trPr>
          <w:trHeight w:val="525"/>
          <w:tblHeader/>
        </w:trPr>
        <w:tc>
          <w:tcPr>
            <w:tcW w:w="2651" w:type="pct"/>
            <w:shd w:val="clear" w:color="auto" w:fill="auto"/>
            <w:tcMar>
              <w:top w:w="113" w:type="dxa"/>
              <w:left w:w="85" w:type="dxa"/>
              <w:bottom w:w="113" w:type="dxa"/>
              <w:right w:w="85" w:type="dxa"/>
            </w:tcMar>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 xml:space="preserve">Antibacterial or antifungal prescribed in </w:t>
            </w:r>
            <w:r>
              <w:rPr>
                <w:rFonts w:ascii="Arial" w:hAnsi="Arial" w:cs="Arial"/>
                <w:sz w:val="20"/>
                <w:szCs w:val="20"/>
              </w:rPr>
              <w:t>RACFs</w:t>
            </w:r>
          </w:p>
        </w:tc>
        <w:tc>
          <w:tcPr>
            <w:tcW w:w="2349" w:type="pct"/>
            <w:shd w:val="clear" w:color="auto" w:fill="auto"/>
            <w:tcMar>
              <w:top w:w="113" w:type="dxa"/>
              <w:left w:w="85" w:type="dxa"/>
              <w:bottom w:w="113" w:type="dxa"/>
              <w:right w:w="85" w:type="dxa"/>
            </w:tcMar>
            <w:vAlign w:val="bottom"/>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 xml:space="preserve">% of </w:t>
            </w:r>
            <w:proofErr w:type="spellStart"/>
            <w:r w:rsidRPr="00650757">
              <w:rPr>
                <w:rFonts w:ascii="Arial" w:hAnsi="Arial" w:cs="Arial"/>
                <w:sz w:val="20"/>
                <w:szCs w:val="20"/>
              </w:rPr>
              <w:t>antibacterials</w:t>
            </w:r>
            <w:proofErr w:type="spellEnd"/>
            <w:r w:rsidRPr="00650757">
              <w:rPr>
                <w:rFonts w:ascii="Arial" w:hAnsi="Arial" w:cs="Arial"/>
                <w:sz w:val="20"/>
                <w:szCs w:val="20"/>
              </w:rPr>
              <w:t xml:space="preserve"> and antifungals prescribed</w:t>
            </w:r>
          </w:p>
        </w:tc>
      </w:tr>
      <w:tr w:rsidR="00C5112F" w:rsidRPr="00650757" w:rsidTr="00C5112F">
        <w:trPr>
          <w:trHeight w:val="255"/>
        </w:trPr>
        <w:tc>
          <w:tcPr>
            <w:tcW w:w="2651"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r>
              <w:rPr>
                <w:rFonts w:ascii="Arial" w:hAnsi="Arial" w:cs="Arial"/>
                <w:sz w:val="20"/>
                <w:szCs w:val="20"/>
              </w:rPr>
              <w:t>Cephalexin</w:t>
            </w:r>
          </w:p>
        </w:tc>
        <w:tc>
          <w:tcPr>
            <w:tcW w:w="2349"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16.7%</w:t>
            </w:r>
          </w:p>
        </w:tc>
      </w:tr>
      <w:tr w:rsidR="00C5112F" w:rsidRPr="00650757" w:rsidTr="00C5112F">
        <w:trPr>
          <w:trHeight w:val="255"/>
        </w:trPr>
        <w:tc>
          <w:tcPr>
            <w:tcW w:w="2651"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proofErr w:type="spellStart"/>
            <w:r w:rsidRPr="00650757">
              <w:rPr>
                <w:rFonts w:ascii="Arial" w:hAnsi="Arial" w:cs="Arial"/>
                <w:sz w:val="20"/>
                <w:szCs w:val="20"/>
              </w:rPr>
              <w:t>Clotrimazole</w:t>
            </w:r>
            <w:proofErr w:type="spellEnd"/>
            <w:r w:rsidRPr="00650757">
              <w:rPr>
                <w:rFonts w:ascii="Arial" w:hAnsi="Arial" w:cs="Arial"/>
                <w:sz w:val="20"/>
                <w:szCs w:val="20"/>
              </w:rPr>
              <w:t xml:space="preserve"> (topical)</w:t>
            </w:r>
          </w:p>
        </w:tc>
        <w:tc>
          <w:tcPr>
            <w:tcW w:w="2349"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16.5%</w:t>
            </w:r>
          </w:p>
        </w:tc>
      </w:tr>
      <w:tr w:rsidR="00C5112F" w:rsidRPr="00650757" w:rsidTr="00C5112F">
        <w:trPr>
          <w:trHeight w:val="255"/>
        </w:trPr>
        <w:tc>
          <w:tcPr>
            <w:tcW w:w="2651"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r w:rsidRPr="00650757">
              <w:rPr>
                <w:rFonts w:ascii="Arial" w:hAnsi="Arial" w:cs="Arial"/>
                <w:sz w:val="20"/>
                <w:szCs w:val="20"/>
              </w:rPr>
              <w:t xml:space="preserve">Amoxicillin with </w:t>
            </w:r>
            <w:proofErr w:type="spellStart"/>
            <w:r w:rsidRPr="00650757">
              <w:rPr>
                <w:rFonts w:ascii="Arial" w:hAnsi="Arial" w:cs="Arial"/>
                <w:sz w:val="20"/>
                <w:szCs w:val="20"/>
              </w:rPr>
              <w:t>clavulanate</w:t>
            </w:r>
            <w:proofErr w:type="spellEnd"/>
          </w:p>
        </w:tc>
        <w:tc>
          <w:tcPr>
            <w:tcW w:w="2349"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6.5%</w:t>
            </w:r>
          </w:p>
        </w:tc>
      </w:tr>
      <w:tr w:rsidR="00C5112F" w:rsidRPr="00650757" w:rsidTr="00C5112F">
        <w:trPr>
          <w:trHeight w:val="255"/>
        </w:trPr>
        <w:tc>
          <w:tcPr>
            <w:tcW w:w="2651"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proofErr w:type="spellStart"/>
            <w:r w:rsidRPr="00650757">
              <w:rPr>
                <w:rFonts w:ascii="Arial" w:hAnsi="Arial" w:cs="Arial"/>
                <w:sz w:val="20"/>
                <w:szCs w:val="20"/>
              </w:rPr>
              <w:t>Trimethorpim</w:t>
            </w:r>
            <w:proofErr w:type="spellEnd"/>
          </w:p>
        </w:tc>
        <w:tc>
          <w:tcPr>
            <w:tcW w:w="2349"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6.5%</w:t>
            </w:r>
          </w:p>
        </w:tc>
      </w:tr>
      <w:tr w:rsidR="00C5112F" w:rsidRPr="00650757" w:rsidTr="00C5112F">
        <w:trPr>
          <w:trHeight w:val="24"/>
        </w:trPr>
        <w:tc>
          <w:tcPr>
            <w:tcW w:w="2651" w:type="pct"/>
            <w:shd w:val="clear" w:color="auto" w:fill="auto"/>
            <w:tcMar>
              <w:top w:w="113" w:type="dxa"/>
              <w:left w:w="85" w:type="dxa"/>
              <w:bottom w:w="113" w:type="dxa"/>
              <w:right w:w="85" w:type="dxa"/>
            </w:tcMar>
            <w:vAlign w:val="bottom"/>
          </w:tcPr>
          <w:p w:rsidR="00C5112F" w:rsidRPr="00650757" w:rsidRDefault="00C5112F" w:rsidP="00C5112F">
            <w:pPr>
              <w:pStyle w:val="TableText"/>
              <w:rPr>
                <w:rFonts w:ascii="Arial" w:hAnsi="Arial" w:cs="Arial"/>
                <w:sz w:val="20"/>
                <w:szCs w:val="20"/>
              </w:rPr>
            </w:pPr>
            <w:r w:rsidRPr="00650757">
              <w:rPr>
                <w:rFonts w:ascii="Arial" w:hAnsi="Arial" w:cs="Arial"/>
                <w:sz w:val="20"/>
                <w:szCs w:val="20"/>
              </w:rPr>
              <w:t>Chloramphenicol (topical)</w:t>
            </w:r>
          </w:p>
        </w:tc>
        <w:tc>
          <w:tcPr>
            <w:tcW w:w="2349" w:type="pct"/>
            <w:shd w:val="clear" w:color="auto" w:fill="auto"/>
            <w:tcMar>
              <w:top w:w="113" w:type="dxa"/>
              <w:left w:w="57" w:type="dxa"/>
              <w:bottom w:w="113" w:type="dxa"/>
              <w:right w:w="170" w:type="dxa"/>
            </w:tcMar>
            <w:vAlign w:val="bottom"/>
          </w:tcPr>
          <w:p w:rsidR="00C5112F" w:rsidRPr="00650757" w:rsidRDefault="00C5112F" w:rsidP="00C5112F">
            <w:pPr>
              <w:pStyle w:val="TableText"/>
              <w:jc w:val="right"/>
              <w:rPr>
                <w:rFonts w:ascii="Arial" w:hAnsi="Arial" w:cs="Arial"/>
                <w:sz w:val="20"/>
                <w:szCs w:val="20"/>
              </w:rPr>
            </w:pPr>
            <w:r w:rsidRPr="00650757">
              <w:rPr>
                <w:rFonts w:ascii="Arial" w:hAnsi="Arial" w:cs="Arial"/>
                <w:sz w:val="20"/>
                <w:szCs w:val="20"/>
              </w:rPr>
              <w:t>6.4%</w:t>
            </w:r>
          </w:p>
        </w:tc>
      </w:tr>
    </w:tbl>
    <w:p w:rsidR="00C5112F" w:rsidRPr="00A95BAB" w:rsidRDefault="00C5112F" w:rsidP="00D32E79">
      <w:pPr>
        <w:pStyle w:val="TFNoteSourceSpace"/>
        <w:spacing w:before="240" w:after="240"/>
      </w:pPr>
      <w:r>
        <w:t>Source:  A</w:t>
      </w:r>
      <w:r w:rsidRPr="00A95BAB">
        <w:rPr>
          <w:rFonts w:cs="Arial"/>
          <w:szCs w:val="22"/>
        </w:rPr>
        <w:t xml:space="preserve">ged </w:t>
      </w:r>
      <w:r>
        <w:rPr>
          <w:rFonts w:cs="Arial"/>
          <w:szCs w:val="22"/>
        </w:rPr>
        <w:t>c</w:t>
      </w:r>
      <w:r w:rsidRPr="00A95BAB">
        <w:rPr>
          <w:rFonts w:cs="Arial"/>
          <w:szCs w:val="22"/>
        </w:rPr>
        <w:t>are National Antimicrobial Prescribing Survey</w:t>
      </w:r>
      <w:r>
        <w:rPr>
          <w:rFonts w:cs="Arial"/>
          <w:szCs w:val="22"/>
        </w:rPr>
        <w:t xml:space="preserve"> </w:t>
      </w:r>
      <w:r w:rsidRPr="00A95BAB">
        <w:t>2015</w:t>
      </w:r>
    </w:p>
    <w:p w:rsidR="00C5112F" w:rsidRPr="006A532B" w:rsidRDefault="00C5112F" w:rsidP="00D32E79">
      <w:pPr>
        <w:pStyle w:val="Heading1"/>
      </w:pPr>
      <w:r w:rsidRPr="006A532B">
        <w:t xml:space="preserve">How appropriate is antibacterial use in </w:t>
      </w:r>
      <w:r>
        <w:t>hospitals</w:t>
      </w:r>
      <w:r w:rsidRPr="006A532B">
        <w:t>?</w:t>
      </w:r>
    </w:p>
    <w:p w:rsidR="00C5112F" w:rsidRPr="006A532B" w:rsidRDefault="00C5112F" w:rsidP="00C5112F">
      <w:pPr>
        <w:rPr>
          <w:color w:val="000000"/>
          <w:szCs w:val="22"/>
        </w:rPr>
      </w:pPr>
      <w:r w:rsidRPr="006A532B">
        <w:rPr>
          <w:szCs w:val="22"/>
        </w:rPr>
        <w:t xml:space="preserve">Unnecessary or inappropriate use of </w:t>
      </w:r>
      <w:proofErr w:type="spellStart"/>
      <w:r w:rsidRPr="006A532B">
        <w:rPr>
          <w:szCs w:val="22"/>
        </w:rPr>
        <w:t>antibacterials</w:t>
      </w:r>
      <w:proofErr w:type="spellEnd"/>
      <w:r w:rsidRPr="006A532B">
        <w:rPr>
          <w:szCs w:val="22"/>
        </w:rPr>
        <w:t xml:space="preserve"> leads to a higher risk of adverse effects, unnecessary spending and increased risk of  population- and individual-level antimicrobial resistance.</w:t>
      </w:r>
      <w:hyperlink w:anchor="_ENREF_2" w:tooltip="Australian Commission on Safety and Quality in Health Care, 2015 #18" w:history="1">
        <w:r w:rsidRPr="006A532B">
          <w:rPr>
            <w:szCs w:val="22"/>
          </w:rPr>
          <w:fldChar w:fldCharType="begin"/>
        </w:r>
        <w:r w:rsidRPr="006A532B">
          <w:rPr>
            <w:szCs w:val="22"/>
          </w:rPr>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6A532B">
          <w:rPr>
            <w:szCs w:val="22"/>
          </w:rPr>
          <w:fldChar w:fldCharType="separate"/>
        </w:r>
        <w:r w:rsidRPr="006A532B">
          <w:rPr>
            <w:noProof/>
            <w:szCs w:val="22"/>
            <w:vertAlign w:val="superscript"/>
          </w:rPr>
          <w:t>2</w:t>
        </w:r>
        <w:r w:rsidRPr="006A532B">
          <w:rPr>
            <w:szCs w:val="22"/>
          </w:rPr>
          <w:fldChar w:fldCharType="end"/>
        </w:r>
      </w:hyperlink>
    </w:p>
    <w:p w:rsidR="00B33453" w:rsidRDefault="00B33453" w:rsidP="00C5112F">
      <w:pPr>
        <w:tabs>
          <w:tab w:val="left" w:pos="8789"/>
        </w:tabs>
        <w:rPr>
          <w:color w:val="000000"/>
          <w:szCs w:val="22"/>
        </w:rPr>
      </w:pPr>
    </w:p>
    <w:p w:rsidR="00C5112F" w:rsidRPr="006A532B" w:rsidRDefault="00C5112F" w:rsidP="00C5112F">
      <w:pPr>
        <w:tabs>
          <w:tab w:val="left" w:pos="8789"/>
        </w:tabs>
        <w:rPr>
          <w:color w:val="000000"/>
          <w:szCs w:val="22"/>
        </w:rPr>
      </w:pPr>
      <w:r w:rsidRPr="006A532B">
        <w:rPr>
          <w:color w:val="000000"/>
          <w:szCs w:val="22"/>
        </w:rPr>
        <w:t>The NAPS data showed that about one in four prescriptions were inappropriate (23.0%) or did not comply with guidelines (24.3%).</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r w:rsidRPr="006A532B">
        <w:rPr>
          <w:color w:val="000000"/>
          <w:szCs w:val="22"/>
        </w:rPr>
        <w:t xml:space="preserve"> The top two reasons for inappropriate prescribing were that the prescribing was unnecessary or the spectrum was too broad (see Table 5).</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p>
    <w:p w:rsidR="00C5112F" w:rsidRPr="00E472C9" w:rsidRDefault="00C5112F" w:rsidP="00D32E79">
      <w:pPr>
        <w:tabs>
          <w:tab w:val="left" w:pos="1134"/>
        </w:tabs>
        <w:spacing w:before="240" w:after="120"/>
        <w:rPr>
          <w:b/>
          <w:highlight w:val="yellow"/>
        </w:rPr>
      </w:pPr>
      <w:r w:rsidRPr="00E472C9">
        <w:rPr>
          <w:b/>
        </w:rPr>
        <w:t>Table 5:</w:t>
      </w:r>
      <w:r w:rsidRPr="00E472C9">
        <w:rPr>
          <w:b/>
        </w:rPr>
        <w:tab/>
        <w:t>Reasons for inappropriate prescribing in hospitals, 2014</w:t>
      </w:r>
      <w:r w:rsidRPr="00E472C9">
        <w:rPr>
          <w:b/>
          <w:vertAlign w:val="superscript"/>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2126"/>
        <w:gridCol w:w="1843"/>
      </w:tblGrid>
      <w:tr w:rsidR="00C5112F" w:rsidRPr="00650757" w:rsidTr="00C5112F">
        <w:trPr>
          <w:trHeight w:val="300"/>
          <w:tblHeader/>
        </w:trPr>
        <w:tc>
          <w:tcPr>
            <w:tcW w:w="2835" w:type="dxa"/>
            <w:shd w:val="clear" w:color="auto" w:fill="auto"/>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Reason</w:t>
            </w:r>
            <w:r>
              <w:rPr>
                <w:rFonts w:ascii="Arial" w:hAnsi="Arial" w:cs="Arial"/>
                <w:sz w:val="20"/>
                <w:szCs w:val="20"/>
              </w:rPr>
              <w:t xml:space="preserve"> prescribing inappropriate</w:t>
            </w:r>
          </w:p>
        </w:tc>
        <w:tc>
          <w:tcPr>
            <w:tcW w:w="1985" w:type="dxa"/>
            <w:shd w:val="clear" w:color="auto" w:fill="auto"/>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Reason found (%)</w:t>
            </w:r>
          </w:p>
        </w:tc>
        <w:tc>
          <w:tcPr>
            <w:tcW w:w="2126" w:type="dxa"/>
            <w:shd w:val="clear" w:color="auto" w:fill="auto"/>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Reason not found (%)</w:t>
            </w:r>
          </w:p>
        </w:tc>
        <w:tc>
          <w:tcPr>
            <w:tcW w:w="1843" w:type="dxa"/>
            <w:shd w:val="clear" w:color="auto" w:fill="auto"/>
          </w:tcPr>
          <w:p w:rsidR="00C5112F" w:rsidRPr="00650757" w:rsidRDefault="00C5112F" w:rsidP="00C5112F">
            <w:pPr>
              <w:pStyle w:val="TableHeading"/>
              <w:jc w:val="center"/>
              <w:rPr>
                <w:rFonts w:ascii="Arial" w:hAnsi="Arial" w:cs="Arial"/>
                <w:sz w:val="20"/>
                <w:szCs w:val="20"/>
              </w:rPr>
            </w:pPr>
            <w:r w:rsidRPr="00650757">
              <w:rPr>
                <w:rFonts w:ascii="Arial" w:hAnsi="Arial" w:cs="Arial"/>
                <w:sz w:val="20"/>
                <w:szCs w:val="20"/>
              </w:rPr>
              <w:t>Not specified (%)</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Antimicrobial not indicated</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26.4</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47.7</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25.8</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Spectrum too broad</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20.6</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54.3</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25.1</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Incorrect duration</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18.8</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57.3</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23.9</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Incorrect dose or frequency</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18.3</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59.0</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22.7</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Microbiology mismatch</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6.4</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93.6</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0.0</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Spectrum too narrow</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5.9</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66.9</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27.2</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Incorrect route</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4.9</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70.3</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24.9</w:t>
            </w:r>
          </w:p>
        </w:tc>
      </w:tr>
      <w:tr w:rsidR="00C5112F" w:rsidRPr="0035583E" w:rsidTr="00C5112F">
        <w:trPr>
          <w:trHeight w:val="300"/>
        </w:trPr>
        <w:tc>
          <w:tcPr>
            <w:tcW w:w="2835" w:type="dxa"/>
            <w:shd w:val="clear" w:color="auto" w:fill="auto"/>
          </w:tcPr>
          <w:p w:rsidR="00C5112F" w:rsidRPr="0035583E" w:rsidRDefault="00C5112F" w:rsidP="00C5112F">
            <w:pPr>
              <w:pStyle w:val="TableText"/>
              <w:rPr>
                <w:rFonts w:ascii="Arial" w:hAnsi="Arial" w:cs="Arial"/>
                <w:sz w:val="20"/>
                <w:szCs w:val="20"/>
              </w:rPr>
            </w:pPr>
            <w:r w:rsidRPr="0035583E">
              <w:rPr>
                <w:rFonts w:ascii="Arial" w:hAnsi="Arial" w:cs="Arial"/>
                <w:sz w:val="20"/>
                <w:szCs w:val="20"/>
              </w:rPr>
              <w:t>Allergy mismatch</w:t>
            </w:r>
          </w:p>
        </w:tc>
        <w:tc>
          <w:tcPr>
            <w:tcW w:w="1985"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2.2</w:t>
            </w:r>
          </w:p>
        </w:tc>
        <w:tc>
          <w:tcPr>
            <w:tcW w:w="2126"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97.8</w:t>
            </w:r>
          </w:p>
        </w:tc>
        <w:tc>
          <w:tcPr>
            <w:tcW w:w="1843" w:type="dxa"/>
            <w:shd w:val="clear" w:color="auto" w:fill="auto"/>
          </w:tcPr>
          <w:p w:rsidR="00C5112F" w:rsidRPr="0035583E" w:rsidRDefault="00C5112F" w:rsidP="00C5112F">
            <w:pPr>
              <w:pStyle w:val="TableText"/>
              <w:jc w:val="right"/>
              <w:rPr>
                <w:rFonts w:ascii="Arial" w:hAnsi="Arial" w:cs="Arial"/>
                <w:sz w:val="20"/>
                <w:szCs w:val="20"/>
              </w:rPr>
            </w:pPr>
            <w:r w:rsidRPr="0035583E">
              <w:rPr>
                <w:rFonts w:ascii="Arial" w:hAnsi="Arial" w:cs="Arial"/>
                <w:sz w:val="20"/>
                <w:szCs w:val="20"/>
              </w:rPr>
              <w:t>0.0</w:t>
            </w:r>
          </w:p>
        </w:tc>
      </w:tr>
    </w:tbl>
    <w:p w:rsidR="00C5112F" w:rsidRPr="00A4182B" w:rsidRDefault="00C5112F" w:rsidP="00D32E79">
      <w:pPr>
        <w:pStyle w:val="TFNoteSourceSpace"/>
        <w:spacing w:before="240" w:after="240"/>
      </w:pPr>
      <w:r>
        <w:t xml:space="preserve">Source:  </w:t>
      </w:r>
      <w:r w:rsidRPr="00A4182B">
        <w:rPr>
          <w:rFonts w:eastAsia="Arial"/>
        </w:rPr>
        <w:t>National Antimicrobial Prescribing Survey</w:t>
      </w:r>
      <w:r w:rsidRPr="00A4182B" w:rsidDel="00E74CC9">
        <w:t xml:space="preserve"> </w:t>
      </w:r>
      <w:r w:rsidRPr="00A4182B">
        <w:t>report, 2014</w:t>
      </w:r>
    </w:p>
    <w:p w:rsidR="00C5112F" w:rsidRPr="006A532B" w:rsidRDefault="00C5112F" w:rsidP="00C5112F">
      <w:pPr>
        <w:rPr>
          <w:color w:val="000000"/>
          <w:szCs w:val="22"/>
        </w:rPr>
      </w:pPr>
      <w:r w:rsidRPr="006A532B">
        <w:rPr>
          <w:color w:val="000000"/>
          <w:szCs w:val="22"/>
        </w:rPr>
        <w:t>Inappropriate prescribing was highest for respiratory tract infections and surgical prophylaxis (see Table 6).</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r w:rsidRPr="006A532B">
        <w:rPr>
          <w:color w:val="000000"/>
          <w:szCs w:val="22"/>
        </w:rPr>
        <w:t xml:space="preserve"> Of these surgical prophylaxis prescript</w:t>
      </w:r>
      <w:r>
        <w:rPr>
          <w:color w:val="000000"/>
          <w:szCs w:val="22"/>
        </w:rPr>
        <w:t>ions, 35.9% continued beyond 24 </w:t>
      </w:r>
      <w:r w:rsidRPr="006A532B">
        <w:rPr>
          <w:color w:val="000000"/>
          <w:szCs w:val="22"/>
        </w:rPr>
        <w:t>hours, which is similar to that reported in the 2013 survey (less than 5% is considered best practice).</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r w:rsidRPr="006A532B">
        <w:rPr>
          <w:color w:val="000000"/>
          <w:szCs w:val="22"/>
        </w:rPr>
        <w:t xml:space="preserve"> Prescribing that did not comply with guidelines occurred most often for surgical prophylaxis and infective exacerbation of chronic obst</w:t>
      </w:r>
      <w:r>
        <w:rPr>
          <w:color w:val="000000"/>
          <w:szCs w:val="22"/>
        </w:rPr>
        <w:t>ructive pulmonary disease</w:t>
      </w:r>
      <w:r w:rsidRPr="006A532B">
        <w:rPr>
          <w:color w:val="000000"/>
          <w:szCs w:val="22"/>
        </w:rPr>
        <w:t>.</w:t>
      </w:r>
      <w:hyperlink w:anchor="_ENREF_1" w:tooltip="Australian Commission on Safety and Quality in Health Care, 2016 #8" w:history="1">
        <w:r w:rsidRPr="006A532B">
          <w:rPr>
            <w:color w:val="000000"/>
            <w:szCs w:val="22"/>
          </w:rPr>
          <w:fldChar w:fldCharType="begin"/>
        </w:r>
        <w:r w:rsidRPr="006A532B">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color w:val="000000"/>
            <w:szCs w:val="22"/>
          </w:rPr>
          <w:fldChar w:fldCharType="separate"/>
        </w:r>
        <w:r w:rsidRPr="006A532B">
          <w:rPr>
            <w:noProof/>
            <w:color w:val="000000"/>
            <w:szCs w:val="22"/>
            <w:vertAlign w:val="superscript"/>
          </w:rPr>
          <w:t>1</w:t>
        </w:r>
        <w:r w:rsidRPr="006A532B">
          <w:rPr>
            <w:color w:val="000000"/>
            <w:szCs w:val="22"/>
          </w:rPr>
          <w:fldChar w:fldCharType="end"/>
        </w:r>
      </w:hyperlink>
    </w:p>
    <w:p w:rsidR="00C5112F" w:rsidRPr="00E472C9" w:rsidRDefault="00C5112F" w:rsidP="00D32E79">
      <w:pPr>
        <w:keepNext/>
        <w:keepLines/>
        <w:tabs>
          <w:tab w:val="left" w:pos="1134"/>
        </w:tabs>
        <w:spacing w:before="240" w:after="120"/>
        <w:ind w:left="1134" w:hanging="1134"/>
        <w:rPr>
          <w:b/>
        </w:rPr>
      </w:pPr>
      <w:r w:rsidRPr="00E472C9">
        <w:rPr>
          <w:b/>
        </w:rPr>
        <w:lastRenderedPageBreak/>
        <w:t>Table 6:</w:t>
      </w:r>
      <w:r w:rsidRPr="00E472C9">
        <w:rPr>
          <w:b/>
        </w:rPr>
        <w:tab/>
        <w:t>Appropriateness of antimicrobial prescribing in hospitals for the 20 most common indications, 2014</w:t>
      </w:r>
      <w:hyperlink w:anchor="_ENREF_3" w:tooltip="Australian Commission on Safety and Quality in Health Care, 2016 #12" w:history="1">
        <w:r w:rsidRPr="00E472C9">
          <w:rPr>
            <w:b/>
          </w:rPr>
          <w:fldChar w:fldCharType="begin"/>
        </w:r>
        <w:r w:rsidRPr="00E472C9">
          <w:rPr>
            <w:b/>
          </w:rPr>
          <w:instrText xml:space="preserve"> ADDIN EN.CITE &lt;EndNote&gt;&lt;Cite&gt;&lt;Author&gt;Australian Commission on Safety and Quality in Health Care&lt;/Author&gt;&lt;Year&gt;2016&lt;/Year&gt;&lt;RecNum&gt;12&lt;/RecNum&gt;&lt;DisplayText&gt;&lt;style face="superscript"&gt;3&lt;/style&gt;&lt;/DisplayText&gt;&lt;record&gt;&lt;rec-number&gt;12&lt;/rec-number&gt;&lt;foreign-keys&gt;&lt;key app="EN" db-id="rfdrt5f982tppcedt23vfxzvp52ea529f2pd"&gt;12&lt;/key&gt;&lt;/foreign-keys&gt;&lt;ref-type name="Generic"&gt;13&lt;/ref-type&gt;&lt;contributors&gt;&lt;authors&gt;&lt;author&gt;Australian Commission on Safety and Quality in Health Care,&lt;/author&gt;&lt;/authors&gt;&lt;/contributors&gt;&lt;titles&gt;&lt;title&gt;AURA 2016 supplementary data -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472C9">
          <w:rPr>
            <w:b/>
          </w:rPr>
          <w:fldChar w:fldCharType="separate"/>
        </w:r>
        <w:r w:rsidRPr="00E472C9">
          <w:rPr>
            <w:b/>
            <w:noProof/>
            <w:vertAlign w:val="superscript"/>
          </w:rPr>
          <w:t>3</w:t>
        </w:r>
        <w:r w:rsidRPr="00E472C9">
          <w:rPr>
            <w:b/>
          </w:rPr>
          <w:fldChar w:fldCharType="end"/>
        </w:r>
      </w:hyperlink>
    </w:p>
    <w:tbl>
      <w:tblPr>
        <w:tblW w:w="47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992"/>
        <w:gridCol w:w="1822"/>
        <w:gridCol w:w="1277"/>
        <w:gridCol w:w="1133"/>
        <w:gridCol w:w="1277"/>
        <w:gridCol w:w="1135"/>
      </w:tblGrid>
      <w:tr w:rsidR="00C5112F" w:rsidRPr="00472AF5" w:rsidTr="00C5112F">
        <w:trPr>
          <w:trHeight w:val="616"/>
          <w:tblHeader/>
        </w:trPr>
        <w:tc>
          <w:tcPr>
            <w:tcW w:w="659"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 xml:space="preserve">Rank of </w:t>
            </w:r>
            <w:proofErr w:type="spellStart"/>
            <w:r w:rsidRPr="00472AF5">
              <w:rPr>
                <w:rFonts w:cs="Arial"/>
                <w:sz w:val="18"/>
                <w:szCs w:val="18"/>
              </w:rPr>
              <w:t>inapprop</w:t>
            </w:r>
            <w:proofErr w:type="spellEnd"/>
            <w:r w:rsidRPr="00472AF5">
              <w:rPr>
                <w:rFonts w:cs="Arial"/>
                <w:sz w:val="18"/>
                <w:szCs w:val="18"/>
              </w:rPr>
              <w:t>. prescribing</w:t>
            </w:r>
          </w:p>
        </w:tc>
        <w:tc>
          <w:tcPr>
            <w:tcW w:w="564"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 xml:space="preserve">Rank of </w:t>
            </w:r>
            <w:proofErr w:type="spellStart"/>
            <w:r w:rsidRPr="00472AF5">
              <w:rPr>
                <w:rFonts w:cs="Arial"/>
                <w:sz w:val="18"/>
                <w:szCs w:val="18"/>
              </w:rPr>
              <w:t>indication</w:t>
            </w:r>
            <w:r w:rsidRPr="00472AF5">
              <w:rPr>
                <w:rStyle w:val="Superscript"/>
                <w:rFonts w:cs="Arial"/>
                <w:sz w:val="18"/>
                <w:szCs w:val="18"/>
              </w:rPr>
              <w:t>a</w:t>
            </w:r>
            <w:proofErr w:type="spellEnd"/>
          </w:p>
        </w:tc>
        <w:tc>
          <w:tcPr>
            <w:tcW w:w="1036"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Indication</w:t>
            </w:r>
          </w:p>
        </w:tc>
        <w:tc>
          <w:tcPr>
            <w:tcW w:w="726"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Number of prescriptions</w:t>
            </w:r>
          </w:p>
        </w:tc>
        <w:tc>
          <w:tcPr>
            <w:tcW w:w="644"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Appropriate (%)</w:t>
            </w:r>
          </w:p>
        </w:tc>
        <w:tc>
          <w:tcPr>
            <w:tcW w:w="726"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Inappropriate (%)</w:t>
            </w:r>
          </w:p>
        </w:tc>
        <w:tc>
          <w:tcPr>
            <w:tcW w:w="645" w:type="pct"/>
            <w:shd w:val="clear" w:color="auto" w:fill="auto"/>
          </w:tcPr>
          <w:p w:rsidR="00C5112F" w:rsidRPr="00472AF5" w:rsidRDefault="00C5112F" w:rsidP="00C5112F">
            <w:pPr>
              <w:pStyle w:val="TableHeading"/>
              <w:jc w:val="center"/>
              <w:rPr>
                <w:rFonts w:cs="Arial"/>
                <w:sz w:val="18"/>
                <w:szCs w:val="18"/>
              </w:rPr>
            </w:pPr>
            <w:r w:rsidRPr="00472AF5">
              <w:rPr>
                <w:rFonts w:cs="Arial"/>
                <w:sz w:val="18"/>
                <w:szCs w:val="18"/>
              </w:rPr>
              <w:t>Not assessable (%)</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Surgical prophylaxis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2246</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56.9</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40.2</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2.9</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2</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7</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COPD: infective exacerbation</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552</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62.3</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36.8</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0.9</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3</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16</w:t>
            </w:r>
          </w:p>
        </w:tc>
        <w:tc>
          <w:tcPr>
            <w:tcW w:w="1036" w:type="pct"/>
            <w:shd w:val="clear" w:color="auto" w:fill="auto"/>
          </w:tcPr>
          <w:p w:rsidR="00C5112F" w:rsidRPr="00DF1C73" w:rsidRDefault="00C5112F" w:rsidP="00C5112F">
            <w:pPr>
              <w:pStyle w:val="TableText"/>
              <w:rPr>
                <w:rFonts w:ascii="Arial" w:hAnsi="Arial" w:cs="Arial"/>
                <w:sz w:val="20"/>
                <w:szCs w:val="20"/>
              </w:rPr>
            </w:pPr>
            <w:proofErr w:type="spellStart"/>
            <w:r w:rsidRPr="00DF1C73">
              <w:rPr>
                <w:rFonts w:ascii="Arial" w:hAnsi="Arial" w:cs="Arial"/>
                <w:sz w:val="20"/>
                <w:szCs w:val="20"/>
              </w:rPr>
              <w:t>Cholecystitis</w:t>
            </w:r>
            <w:proofErr w:type="spellEnd"/>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209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72.2</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27.8</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0.0</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4</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2</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Community-acquired pneumonia</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1936</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73.9</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25.0</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1.1</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5</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4</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Urinary tract infection</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1156</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73.1</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25.0</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1.9</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6</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5</w:t>
            </w:r>
          </w:p>
        </w:tc>
        <w:tc>
          <w:tcPr>
            <w:tcW w:w="1036" w:type="pct"/>
            <w:shd w:val="clear" w:color="auto" w:fill="auto"/>
          </w:tcPr>
          <w:p w:rsidR="00C5112F" w:rsidRDefault="00C5112F" w:rsidP="00C5112F">
            <w:pPr>
              <w:pStyle w:val="TableText"/>
              <w:rPr>
                <w:rFonts w:ascii="Arial" w:hAnsi="Arial" w:cs="Arial"/>
                <w:sz w:val="20"/>
                <w:szCs w:val="20"/>
              </w:rPr>
            </w:pPr>
            <w:r w:rsidRPr="00DF1C73">
              <w:rPr>
                <w:rFonts w:ascii="Arial" w:hAnsi="Arial" w:cs="Arial"/>
                <w:sz w:val="20"/>
                <w:szCs w:val="20"/>
              </w:rPr>
              <w:t>Cellulitis/</w:t>
            </w:r>
          </w:p>
          <w:p w:rsidR="00C5112F" w:rsidRPr="00DF1C73" w:rsidRDefault="00E472C9" w:rsidP="00C5112F">
            <w:pPr>
              <w:pStyle w:val="TableText"/>
              <w:rPr>
                <w:rFonts w:ascii="Arial" w:hAnsi="Arial" w:cs="Arial"/>
                <w:sz w:val="20"/>
                <w:szCs w:val="20"/>
              </w:rPr>
            </w:pPr>
            <w:r w:rsidRPr="00DF1C73">
              <w:rPr>
                <w:rFonts w:ascii="Arial" w:hAnsi="Arial" w:cs="Arial"/>
                <w:sz w:val="20"/>
                <w:szCs w:val="20"/>
              </w:rPr>
              <w:t>E</w:t>
            </w:r>
            <w:r w:rsidR="00C5112F" w:rsidRPr="00DF1C73">
              <w:rPr>
                <w:rFonts w:ascii="Arial" w:hAnsi="Arial" w:cs="Arial"/>
                <w:sz w:val="20"/>
                <w:szCs w:val="20"/>
              </w:rPr>
              <w:t>rysipelas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759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74.7</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24.8</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0.5</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7</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20</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Appendicitis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159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76.7</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22.6</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0.6</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8</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9</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Wound infection: surgical</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369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74.5</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21.4</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4.1</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9</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10</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Pneumonia: aspiration</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362</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77.1</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21.3</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1.7</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10</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8</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Hospital-acquired pneumonia</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401</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77.8</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21.2</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1.0</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11</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17</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Abscess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190</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77.9</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19.5</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2.6</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12</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6</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Sepsis: empiric therapy</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563</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80.8</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17.1</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2.1</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13</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15</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Diverticulitis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219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85.8</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14.2</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0.0</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14</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14</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Osteomyelitis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249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81.9</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13.3</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4.8</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15</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18</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 xml:space="preserve">Sepsis: </w:t>
            </w:r>
            <w:r>
              <w:rPr>
                <w:rFonts w:ascii="Arial" w:hAnsi="Arial" w:cs="Arial"/>
                <w:sz w:val="20"/>
                <w:szCs w:val="20"/>
              </w:rPr>
              <w:t>G</w:t>
            </w:r>
            <w:r w:rsidRPr="00DF1C73">
              <w:rPr>
                <w:rFonts w:ascii="Arial" w:hAnsi="Arial" w:cs="Arial"/>
                <w:sz w:val="20"/>
                <w:szCs w:val="20"/>
              </w:rPr>
              <w:t>ram-negative bacteraemia</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188</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87.2</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12.8</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0.0</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16</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19</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Diabetic infection (including foot)</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169</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88.2</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11.2</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0.6</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17</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12</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 xml:space="preserve">Sepsis: </w:t>
            </w:r>
            <w:r>
              <w:rPr>
                <w:rFonts w:ascii="Arial" w:hAnsi="Arial" w:cs="Arial"/>
                <w:sz w:val="20"/>
                <w:szCs w:val="20"/>
              </w:rPr>
              <w:t>G</w:t>
            </w:r>
            <w:r w:rsidRPr="00DF1C73">
              <w:rPr>
                <w:rFonts w:ascii="Arial" w:hAnsi="Arial" w:cs="Arial"/>
                <w:sz w:val="20"/>
                <w:szCs w:val="20"/>
              </w:rPr>
              <w:t>ram-positive bacteraemia</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261</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89.7</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10.0</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0.4</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18</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13</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Febrile neutropenia</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258</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92.6</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6.6</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0.8</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19</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3</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Medical prophylaxis (bacterial, viral and fungal)</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1320</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89.9</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6.4</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3.6</w:t>
            </w:r>
          </w:p>
        </w:tc>
      </w:tr>
      <w:tr w:rsidR="00C5112F" w:rsidRPr="00DF1C73" w:rsidTr="00C5112F">
        <w:trPr>
          <w:trHeight w:val="300"/>
        </w:trPr>
        <w:tc>
          <w:tcPr>
            <w:tcW w:w="659"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20</w:t>
            </w:r>
          </w:p>
        </w:tc>
        <w:tc>
          <w:tcPr>
            <w:tcW w:w="564"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11</w:t>
            </w:r>
          </w:p>
        </w:tc>
        <w:tc>
          <w:tcPr>
            <w:tcW w:w="1036" w:type="pct"/>
            <w:shd w:val="clear" w:color="auto" w:fill="auto"/>
          </w:tcPr>
          <w:p w:rsidR="00C5112F" w:rsidRPr="00DF1C73" w:rsidRDefault="00C5112F" w:rsidP="00C5112F">
            <w:pPr>
              <w:pStyle w:val="TableText"/>
              <w:rPr>
                <w:rFonts w:ascii="Arial" w:hAnsi="Arial" w:cs="Arial"/>
                <w:sz w:val="20"/>
                <w:szCs w:val="20"/>
              </w:rPr>
            </w:pPr>
            <w:r w:rsidRPr="00DF1C73">
              <w:rPr>
                <w:rFonts w:ascii="Arial" w:hAnsi="Arial" w:cs="Arial"/>
                <w:sz w:val="20"/>
                <w:szCs w:val="20"/>
              </w:rPr>
              <w:t>Oral candidiasis</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332</w:t>
            </w:r>
          </w:p>
        </w:tc>
        <w:tc>
          <w:tcPr>
            <w:tcW w:w="644"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89.8</w:t>
            </w:r>
          </w:p>
        </w:tc>
        <w:tc>
          <w:tcPr>
            <w:tcW w:w="726"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5.7</w:t>
            </w:r>
          </w:p>
        </w:tc>
        <w:tc>
          <w:tcPr>
            <w:tcW w:w="645" w:type="pct"/>
            <w:shd w:val="clear" w:color="auto" w:fill="auto"/>
          </w:tcPr>
          <w:p w:rsidR="00C5112F" w:rsidRPr="00DF1C73" w:rsidRDefault="00C5112F" w:rsidP="00C5112F">
            <w:pPr>
              <w:pStyle w:val="TableText"/>
              <w:jc w:val="right"/>
              <w:rPr>
                <w:rFonts w:ascii="Arial" w:hAnsi="Arial" w:cs="Arial"/>
                <w:sz w:val="20"/>
                <w:szCs w:val="20"/>
              </w:rPr>
            </w:pPr>
            <w:r w:rsidRPr="00DF1C73">
              <w:rPr>
                <w:rFonts w:ascii="Arial" w:hAnsi="Arial" w:cs="Arial"/>
                <w:sz w:val="20"/>
                <w:szCs w:val="20"/>
              </w:rPr>
              <w:t>4.5</w:t>
            </w:r>
          </w:p>
        </w:tc>
      </w:tr>
    </w:tbl>
    <w:p w:rsidR="00C5112F" w:rsidRPr="006A532B" w:rsidRDefault="00C5112F" w:rsidP="00C5112F">
      <w:pPr>
        <w:pStyle w:val="TFAbbrevs"/>
        <w:spacing w:before="120"/>
        <w:rPr>
          <w:rFonts w:ascii="Arial" w:hAnsi="Arial" w:cs="Arial"/>
        </w:rPr>
      </w:pPr>
      <w:r w:rsidRPr="006A532B">
        <w:rPr>
          <w:rFonts w:ascii="Arial" w:hAnsi="Arial" w:cs="Arial"/>
        </w:rPr>
        <w:t>COPD = chronic obstructive pulmonary disease</w:t>
      </w:r>
    </w:p>
    <w:p w:rsidR="00C5112F" w:rsidRPr="00053DCE" w:rsidRDefault="00C5112F" w:rsidP="00C5112F">
      <w:pPr>
        <w:pStyle w:val="TFListNotes"/>
      </w:pPr>
      <w:proofErr w:type="gramStart"/>
      <w:r w:rsidRPr="00053DCE">
        <w:t>a</w:t>
      </w:r>
      <w:proofErr w:type="gramEnd"/>
      <w:r w:rsidRPr="00053DCE">
        <w:t xml:space="preserve"> Rank in the 20 most common indications, where 1 is the most common indication</w:t>
      </w:r>
    </w:p>
    <w:p w:rsidR="00C5112F" w:rsidRPr="00053DCE" w:rsidRDefault="00C5112F" w:rsidP="00C5112F">
      <w:pPr>
        <w:pStyle w:val="TFNoteSourceSpace"/>
      </w:pPr>
      <w:r w:rsidRPr="00053DCE">
        <w:t>Source:</w:t>
      </w:r>
      <w:r w:rsidRPr="00053DCE">
        <w:tab/>
        <w:t xml:space="preserve"> National Antimicrobial Prescribing Survey, 2014</w:t>
      </w:r>
    </w:p>
    <w:p w:rsidR="00C5112F" w:rsidRPr="00E66C30" w:rsidRDefault="00C5112F" w:rsidP="0075258C">
      <w:pPr>
        <w:pStyle w:val="Heading1"/>
      </w:pPr>
      <w:r w:rsidRPr="00E66C30">
        <w:lastRenderedPageBreak/>
        <w:t>How appropriate is antibacterial use in the community?</w:t>
      </w:r>
    </w:p>
    <w:p w:rsidR="00C5112F" w:rsidRDefault="00C5112F" w:rsidP="00C5112F">
      <w:pPr>
        <w:rPr>
          <w:szCs w:val="22"/>
        </w:rPr>
      </w:pPr>
      <w:r w:rsidRPr="006A532B">
        <w:rPr>
          <w:szCs w:val="22"/>
        </w:rPr>
        <w:t xml:space="preserve">The NPS </w:t>
      </w:r>
      <w:proofErr w:type="spellStart"/>
      <w:r w:rsidRPr="006A532B">
        <w:rPr>
          <w:szCs w:val="22"/>
        </w:rPr>
        <w:t>MedicineWise</w:t>
      </w:r>
      <w:proofErr w:type="spellEnd"/>
      <w:r w:rsidRPr="006A532B">
        <w:rPr>
          <w:szCs w:val="22"/>
        </w:rPr>
        <w:t xml:space="preserve"> </w:t>
      </w:r>
      <w:proofErr w:type="spellStart"/>
      <w:r w:rsidRPr="006A532B">
        <w:rPr>
          <w:szCs w:val="22"/>
        </w:rPr>
        <w:t>MedicineInsight</w:t>
      </w:r>
      <w:proofErr w:type="spellEnd"/>
      <w:r w:rsidRPr="006A532B">
        <w:rPr>
          <w:szCs w:val="22"/>
        </w:rPr>
        <w:t xml:space="preserve"> program data showed that around 30% of people prescribed an antibacterial had an indication recorded for it in their medical record. Of these people, more than half of those who had colds and other upper respi</w:t>
      </w:r>
      <w:r>
        <w:rPr>
          <w:szCs w:val="22"/>
        </w:rPr>
        <w:t xml:space="preserve">ratory tract infections </w:t>
      </w:r>
      <w:r w:rsidRPr="006A532B">
        <w:rPr>
          <w:szCs w:val="22"/>
        </w:rPr>
        <w:t>were prescribed an antibacterial where none was indicated.</w:t>
      </w:r>
      <w:hyperlink w:anchor="_ENREF_1" w:tooltip="Australian Commission on Safety and Quality in Health Care, 2016 #8" w:history="1">
        <w:r w:rsidRPr="006A532B">
          <w:rPr>
            <w:szCs w:val="22"/>
          </w:rPr>
          <w:fldChar w:fldCharType="begin"/>
        </w:r>
        <w:r w:rsidRPr="006A532B">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szCs w:val="22"/>
          </w:rPr>
          <w:fldChar w:fldCharType="separate"/>
        </w:r>
        <w:r w:rsidRPr="006A532B">
          <w:rPr>
            <w:noProof/>
            <w:szCs w:val="22"/>
            <w:vertAlign w:val="superscript"/>
          </w:rPr>
          <w:t>1</w:t>
        </w:r>
        <w:r w:rsidRPr="006A532B">
          <w:rPr>
            <w:szCs w:val="22"/>
          </w:rPr>
          <w:fldChar w:fldCharType="end"/>
        </w:r>
      </w:hyperlink>
      <w:r w:rsidRPr="006A532B">
        <w:rPr>
          <w:szCs w:val="22"/>
        </w:rPr>
        <w:t xml:space="preserve"> </w:t>
      </w:r>
    </w:p>
    <w:p w:rsidR="00E66C30" w:rsidRDefault="00E66C30" w:rsidP="00C5112F">
      <w:pPr>
        <w:rPr>
          <w:szCs w:val="22"/>
        </w:rPr>
      </w:pPr>
    </w:p>
    <w:p w:rsidR="00C5112F" w:rsidRPr="006A532B" w:rsidRDefault="00C5112F" w:rsidP="00C5112F">
      <w:pPr>
        <w:rPr>
          <w:szCs w:val="22"/>
        </w:rPr>
      </w:pPr>
      <w:r w:rsidRPr="006A532B">
        <w:rPr>
          <w:szCs w:val="22"/>
        </w:rPr>
        <w:t xml:space="preserve">Many people with acute tonsillitis, acute or chronic sinusitis, acute otitis media or acute bronchitis were prescribed an antibacterial even when such prescribing is either not recommended by or is not in line with </w:t>
      </w:r>
      <w:r w:rsidRPr="006A532B">
        <w:rPr>
          <w:i/>
          <w:szCs w:val="22"/>
        </w:rPr>
        <w:t xml:space="preserve">Therapeutic Guidelines: </w:t>
      </w:r>
      <w:r>
        <w:rPr>
          <w:i/>
          <w:szCs w:val="22"/>
        </w:rPr>
        <w:t>A</w:t>
      </w:r>
      <w:r w:rsidRPr="006A532B">
        <w:rPr>
          <w:i/>
          <w:szCs w:val="22"/>
        </w:rPr>
        <w:t>ntibiotic</w:t>
      </w:r>
      <w:r>
        <w:rPr>
          <w:szCs w:val="22"/>
        </w:rPr>
        <w:t xml:space="preserve"> </w:t>
      </w:r>
      <w:r w:rsidRPr="006A532B">
        <w:rPr>
          <w:szCs w:val="22"/>
        </w:rPr>
        <w:t>recommendations (see Table 7).</w:t>
      </w:r>
      <w:hyperlink w:anchor="_ENREF_1" w:tooltip="Australian Commission on Safety and Quality in Health Care, 2016 #8" w:history="1">
        <w:r w:rsidRPr="006A532B">
          <w:rPr>
            <w:szCs w:val="22"/>
          </w:rPr>
          <w:fldChar w:fldCharType="begin"/>
        </w:r>
        <w:r w:rsidRPr="006A532B">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6A532B">
          <w:rPr>
            <w:szCs w:val="22"/>
          </w:rPr>
          <w:fldChar w:fldCharType="separate"/>
        </w:r>
        <w:r w:rsidRPr="006A532B">
          <w:rPr>
            <w:noProof/>
            <w:szCs w:val="22"/>
            <w:vertAlign w:val="superscript"/>
          </w:rPr>
          <w:t>1</w:t>
        </w:r>
        <w:r w:rsidRPr="006A532B">
          <w:rPr>
            <w:szCs w:val="22"/>
          </w:rPr>
          <w:fldChar w:fldCharType="end"/>
        </w:r>
      </w:hyperlink>
      <w:r w:rsidRPr="006A532B">
        <w:rPr>
          <w:szCs w:val="22"/>
        </w:rPr>
        <w:t xml:space="preserve"> For example, 91% of people were prescribed an antibacterial for acute tonsillitis, which is above the acceptable range</w:t>
      </w:r>
      <w:r w:rsidRPr="006A532B">
        <w:rPr>
          <w:rStyle w:val="FootnoteReference"/>
          <w:color w:val="000000"/>
          <w:szCs w:val="22"/>
        </w:rPr>
        <w:footnoteReference w:id="3"/>
      </w:r>
      <w:r w:rsidRPr="006A532B">
        <w:rPr>
          <w:szCs w:val="22"/>
        </w:rPr>
        <w:t xml:space="preserve"> of 0–20%. Of these, 48% (95% CI 42–54%) </w:t>
      </w:r>
      <w:proofErr w:type="gramStart"/>
      <w:r w:rsidRPr="006A532B">
        <w:rPr>
          <w:szCs w:val="22"/>
        </w:rPr>
        <w:t>were</w:t>
      </w:r>
      <w:proofErr w:type="gramEnd"/>
      <w:r w:rsidRPr="006A532B">
        <w:rPr>
          <w:szCs w:val="22"/>
        </w:rPr>
        <w:t xml:space="preserve"> prescribed </w:t>
      </w:r>
      <w:proofErr w:type="spellStart"/>
      <w:r w:rsidRPr="006A532B">
        <w:rPr>
          <w:szCs w:val="22"/>
        </w:rPr>
        <w:t>phenoxymethyl</w:t>
      </w:r>
      <w:proofErr w:type="spellEnd"/>
      <w:r w:rsidRPr="006A532B">
        <w:rPr>
          <w:szCs w:val="22"/>
        </w:rPr>
        <w:t xml:space="preserve"> penicillin in line with </w:t>
      </w:r>
      <w:r w:rsidRPr="006A532B">
        <w:rPr>
          <w:i/>
          <w:szCs w:val="22"/>
        </w:rPr>
        <w:t xml:space="preserve">Therapeutic Guidelines: </w:t>
      </w:r>
      <w:r>
        <w:rPr>
          <w:i/>
          <w:szCs w:val="22"/>
        </w:rPr>
        <w:t>A</w:t>
      </w:r>
      <w:r w:rsidRPr="006A532B">
        <w:rPr>
          <w:i/>
          <w:szCs w:val="22"/>
        </w:rPr>
        <w:t>ntibiotic</w:t>
      </w:r>
      <w:r w:rsidRPr="006A532B">
        <w:rPr>
          <w:szCs w:val="22"/>
        </w:rPr>
        <w:t xml:space="preserve"> recommendations, which is below the acceptable range of 80–100%. In contrast, 68% of people with pneumonia were prescribed an antibacterial, which is below the acceptable range of 90–100%. Of these, 24% (95% CI 19–29%) were prescribed either amoxicilli</w:t>
      </w:r>
      <w:r>
        <w:rPr>
          <w:szCs w:val="22"/>
        </w:rPr>
        <w:t xml:space="preserve">n or doxycycline in line with </w:t>
      </w:r>
      <w:r w:rsidRPr="006A532B">
        <w:rPr>
          <w:i/>
          <w:szCs w:val="22"/>
        </w:rPr>
        <w:t xml:space="preserve">Therapeutic Guidelines: </w:t>
      </w:r>
      <w:proofErr w:type="gramStart"/>
      <w:r>
        <w:rPr>
          <w:i/>
          <w:szCs w:val="22"/>
        </w:rPr>
        <w:t>A</w:t>
      </w:r>
      <w:r w:rsidRPr="006A532B">
        <w:rPr>
          <w:i/>
          <w:szCs w:val="22"/>
        </w:rPr>
        <w:t>ntibiotic</w:t>
      </w:r>
      <w:r w:rsidRPr="006A532B">
        <w:rPr>
          <w:szCs w:val="22"/>
        </w:rPr>
        <w:t xml:space="preserve"> recommendations, which is</w:t>
      </w:r>
      <w:proofErr w:type="gramEnd"/>
      <w:r w:rsidRPr="006A532B">
        <w:rPr>
          <w:szCs w:val="22"/>
        </w:rPr>
        <w:t xml:space="preserve"> below the acceptable range of 80–100% (see Table 7).</w:t>
      </w:r>
    </w:p>
    <w:p w:rsidR="00C5112F" w:rsidRPr="00E472C9" w:rsidRDefault="00C5112F" w:rsidP="00DA5EF5">
      <w:pPr>
        <w:tabs>
          <w:tab w:val="left" w:pos="1134"/>
        </w:tabs>
        <w:spacing w:before="240" w:after="240"/>
        <w:rPr>
          <w:b/>
        </w:rPr>
      </w:pPr>
      <w:r w:rsidRPr="00E472C9">
        <w:rPr>
          <w:b/>
        </w:rPr>
        <w:t>Table 7:</w:t>
      </w:r>
      <w:r w:rsidRPr="00E472C9">
        <w:rPr>
          <w:b/>
        </w:rPr>
        <w:tab/>
        <w:t xml:space="preserve">Patients prescribed systemic </w:t>
      </w:r>
      <w:proofErr w:type="spellStart"/>
      <w:r w:rsidRPr="00E472C9">
        <w:rPr>
          <w:b/>
        </w:rPr>
        <w:t>antibacterials</w:t>
      </w:r>
      <w:proofErr w:type="spellEnd"/>
      <w:r w:rsidRPr="00E472C9">
        <w:rPr>
          <w:b/>
        </w:rPr>
        <w:t xml:space="preserve"> for select conditions, 2014</w:t>
      </w:r>
      <w:hyperlink w:anchor="_ENREF_1" w:tooltip="Australian Commission on Safety and Quality in Health Care, 2016 #8" w:history="1">
        <w:r w:rsidRPr="00E472C9">
          <w:rPr>
            <w:b/>
          </w:rPr>
          <w:fldChar w:fldCharType="begin"/>
        </w:r>
        <w:r w:rsidRPr="00E472C9">
          <w:rPr>
            <w:b/>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472C9">
          <w:rPr>
            <w:b/>
          </w:rPr>
          <w:fldChar w:fldCharType="separate"/>
        </w:r>
        <w:r w:rsidRPr="00E472C9">
          <w:rPr>
            <w:b/>
            <w:noProof/>
            <w:vertAlign w:val="superscript"/>
          </w:rPr>
          <w:t>1</w:t>
        </w:r>
        <w:r w:rsidRPr="00E472C9">
          <w:rPr>
            <w:b/>
          </w:rPr>
          <w:fldChar w:fldCharType="end"/>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00"/>
        <w:gridCol w:w="2695"/>
        <w:gridCol w:w="992"/>
        <w:gridCol w:w="850"/>
        <w:gridCol w:w="993"/>
        <w:gridCol w:w="1417"/>
      </w:tblGrid>
      <w:tr w:rsidR="00C5112F" w:rsidRPr="00D54F47" w:rsidTr="00C5112F">
        <w:trPr>
          <w:tblHeader/>
        </w:trPr>
        <w:tc>
          <w:tcPr>
            <w:tcW w:w="1700" w:type="dxa"/>
            <w:shd w:val="clear" w:color="auto" w:fill="auto"/>
          </w:tcPr>
          <w:p w:rsidR="00C5112F" w:rsidRPr="00D54F47" w:rsidRDefault="00C5112F" w:rsidP="00C5112F">
            <w:pPr>
              <w:keepLines/>
              <w:spacing w:line="280" w:lineRule="atLeast"/>
              <w:rPr>
                <w:b/>
                <w:sz w:val="20"/>
              </w:rPr>
            </w:pPr>
            <w:r w:rsidRPr="00D54F47">
              <w:rPr>
                <w:b/>
                <w:sz w:val="20"/>
              </w:rPr>
              <w:t>Condition</w:t>
            </w:r>
          </w:p>
        </w:tc>
        <w:tc>
          <w:tcPr>
            <w:tcW w:w="2695" w:type="dxa"/>
            <w:shd w:val="clear" w:color="auto" w:fill="auto"/>
          </w:tcPr>
          <w:p w:rsidR="00C5112F" w:rsidRPr="00D54F47" w:rsidRDefault="00C5112F" w:rsidP="00C5112F">
            <w:pPr>
              <w:keepLines/>
              <w:spacing w:line="280" w:lineRule="atLeast"/>
              <w:jc w:val="center"/>
              <w:rPr>
                <w:b/>
                <w:sz w:val="20"/>
              </w:rPr>
            </w:pPr>
            <w:r w:rsidRPr="00D54F47">
              <w:rPr>
                <w:b/>
                <w:sz w:val="20"/>
              </w:rPr>
              <w:t>Patient</w:t>
            </w:r>
            <w:r>
              <w:rPr>
                <w:b/>
                <w:sz w:val="20"/>
              </w:rPr>
              <w:t xml:space="preserve"> category</w:t>
            </w:r>
          </w:p>
        </w:tc>
        <w:tc>
          <w:tcPr>
            <w:tcW w:w="992" w:type="dxa"/>
            <w:shd w:val="clear" w:color="auto" w:fill="auto"/>
          </w:tcPr>
          <w:p w:rsidR="00C5112F" w:rsidRPr="00D54F47" w:rsidRDefault="00C5112F" w:rsidP="00C5112F">
            <w:pPr>
              <w:keepLines/>
              <w:spacing w:line="280" w:lineRule="atLeast"/>
              <w:jc w:val="center"/>
              <w:rPr>
                <w:b/>
                <w:sz w:val="20"/>
              </w:rPr>
            </w:pPr>
            <w:r w:rsidRPr="00D54F47">
              <w:rPr>
                <w:b/>
                <w:sz w:val="20"/>
              </w:rPr>
              <w:t>Number</w:t>
            </w:r>
          </w:p>
        </w:tc>
        <w:tc>
          <w:tcPr>
            <w:tcW w:w="850" w:type="dxa"/>
            <w:shd w:val="clear" w:color="auto" w:fill="auto"/>
          </w:tcPr>
          <w:p w:rsidR="00C5112F" w:rsidRPr="00D54F47" w:rsidRDefault="00C5112F" w:rsidP="00C5112F">
            <w:pPr>
              <w:keepLines/>
              <w:spacing w:line="280" w:lineRule="atLeast"/>
              <w:jc w:val="center"/>
              <w:rPr>
                <w:b/>
                <w:sz w:val="20"/>
              </w:rPr>
            </w:pPr>
            <w:r>
              <w:rPr>
                <w:b/>
                <w:sz w:val="20"/>
              </w:rPr>
              <w:t>%</w:t>
            </w:r>
          </w:p>
        </w:tc>
        <w:tc>
          <w:tcPr>
            <w:tcW w:w="993" w:type="dxa"/>
            <w:shd w:val="clear" w:color="auto" w:fill="auto"/>
          </w:tcPr>
          <w:p w:rsidR="00C5112F" w:rsidRPr="00D54F47" w:rsidRDefault="00C5112F" w:rsidP="00C5112F">
            <w:pPr>
              <w:keepLines/>
              <w:spacing w:line="280" w:lineRule="atLeast"/>
              <w:jc w:val="center"/>
              <w:rPr>
                <w:b/>
                <w:sz w:val="20"/>
              </w:rPr>
            </w:pPr>
            <w:r w:rsidRPr="00D54F47">
              <w:rPr>
                <w:b/>
                <w:sz w:val="20"/>
              </w:rPr>
              <w:t>95% CI</w:t>
            </w:r>
          </w:p>
        </w:tc>
        <w:tc>
          <w:tcPr>
            <w:tcW w:w="1417" w:type="dxa"/>
            <w:shd w:val="clear" w:color="auto" w:fill="auto"/>
          </w:tcPr>
          <w:p w:rsidR="00C5112F" w:rsidRPr="00D54F47" w:rsidRDefault="00C5112F" w:rsidP="00C5112F">
            <w:pPr>
              <w:keepLines/>
              <w:spacing w:line="280" w:lineRule="atLeast"/>
              <w:jc w:val="center"/>
              <w:rPr>
                <w:b/>
                <w:sz w:val="20"/>
              </w:rPr>
            </w:pPr>
            <w:r w:rsidRPr="00D54F47">
              <w:rPr>
                <w:b/>
                <w:sz w:val="20"/>
              </w:rPr>
              <w:t xml:space="preserve">Acceptable </w:t>
            </w:r>
            <w:proofErr w:type="spellStart"/>
            <w:r w:rsidRPr="00D54F47">
              <w:rPr>
                <w:b/>
                <w:sz w:val="20"/>
              </w:rPr>
              <w:t>range</w:t>
            </w:r>
            <w:r w:rsidRPr="00D54F47">
              <w:rPr>
                <w:b/>
                <w:sz w:val="20"/>
                <w:vertAlign w:val="superscript"/>
              </w:rPr>
              <w:t>b</w:t>
            </w:r>
            <w:proofErr w:type="spellEnd"/>
            <w:r w:rsidRPr="00D54F47">
              <w:rPr>
                <w:b/>
                <w:sz w:val="20"/>
              </w:rPr>
              <w:t xml:space="preserve"> (%)</w:t>
            </w:r>
          </w:p>
        </w:tc>
      </w:tr>
      <w:tr w:rsidR="00C5112F" w:rsidRPr="00D00BB3" w:rsidTr="00C5112F">
        <w:tc>
          <w:tcPr>
            <w:tcW w:w="1700" w:type="dxa"/>
            <w:shd w:val="clear" w:color="auto" w:fill="auto"/>
          </w:tcPr>
          <w:p w:rsidR="00C5112F" w:rsidRPr="008112D0" w:rsidRDefault="00C5112F" w:rsidP="00C5112F">
            <w:pPr>
              <w:keepLines/>
              <w:spacing w:line="280" w:lineRule="atLeast"/>
              <w:rPr>
                <w:sz w:val="20"/>
              </w:rPr>
            </w:pPr>
            <w:r w:rsidRPr="008112D0">
              <w:rPr>
                <w:sz w:val="20"/>
              </w:rPr>
              <w:t>Acute URTI</w:t>
            </w: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Older than 1 year prescribed </w:t>
            </w:r>
            <w:proofErr w:type="spellStart"/>
            <w:r w:rsidRPr="00190CB7">
              <w:rPr>
                <w:sz w:val="20"/>
              </w:rPr>
              <w:t>antibacterials</w:t>
            </w:r>
            <w:r w:rsidRPr="00190CB7">
              <w:rPr>
                <w:sz w:val="20"/>
                <w:vertAlign w:val="superscript"/>
              </w:rPr>
              <w:t>a</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45 743</w:t>
            </w:r>
          </w:p>
        </w:tc>
        <w:tc>
          <w:tcPr>
            <w:tcW w:w="850" w:type="dxa"/>
            <w:shd w:val="clear" w:color="auto" w:fill="auto"/>
          </w:tcPr>
          <w:p w:rsidR="00C5112F" w:rsidRPr="00190CB7" w:rsidRDefault="00C5112F" w:rsidP="00C5112F">
            <w:pPr>
              <w:keepLines/>
              <w:spacing w:line="280" w:lineRule="atLeast"/>
              <w:rPr>
                <w:sz w:val="20"/>
              </w:rPr>
            </w:pPr>
            <w:r w:rsidRPr="00190CB7">
              <w:rPr>
                <w:sz w:val="20"/>
              </w:rPr>
              <w:t>47</w:t>
            </w:r>
          </w:p>
        </w:tc>
        <w:tc>
          <w:tcPr>
            <w:tcW w:w="993" w:type="dxa"/>
            <w:shd w:val="clear" w:color="auto" w:fill="auto"/>
          </w:tcPr>
          <w:p w:rsidR="00C5112F" w:rsidRPr="00190CB7" w:rsidRDefault="00C5112F" w:rsidP="00C5112F">
            <w:pPr>
              <w:keepLines/>
              <w:spacing w:line="280" w:lineRule="atLeast"/>
              <w:rPr>
                <w:sz w:val="20"/>
              </w:rPr>
            </w:pPr>
            <w:r w:rsidRPr="00190CB7">
              <w:rPr>
                <w:sz w:val="20"/>
              </w:rPr>
              <w:t>44–56</w:t>
            </w:r>
          </w:p>
        </w:tc>
        <w:tc>
          <w:tcPr>
            <w:tcW w:w="1417" w:type="dxa"/>
            <w:shd w:val="clear" w:color="auto" w:fill="auto"/>
          </w:tcPr>
          <w:p w:rsidR="00C5112F" w:rsidRPr="00190CB7" w:rsidRDefault="00C5112F" w:rsidP="00C5112F">
            <w:pPr>
              <w:keepLines/>
              <w:spacing w:line="280" w:lineRule="atLeast"/>
              <w:rPr>
                <w:sz w:val="20"/>
              </w:rPr>
            </w:pPr>
            <w:r w:rsidRPr="00190CB7">
              <w:rPr>
                <w:sz w:val="20"/>
              </w:rPr>
              <w:t>0–20</w:t>
            </w:r>
          </w:p>
        </w:tc>
      </w:tr>
      <w:tr w:rsidR="00C5112F" w:rsidRPr="00D00BB3" w:rsidTr="00C5112F">
        <w:tc>
          <w:tcPr>
            <w:tcW w:w="1700" w:type="dxa"/>
            <w:shd w:val="clear" w:color="auto" w:fill="auto"/>
          </w:tcPr>
          <w:p w:rsidR="00C5112F" w:rsidRPr="00190CB7" w:rsidRDefault="00C5112F" w:rsidP="00C5112F">
            <w:pPr>
              <w:keepLines/>
              <w:spacing w:line="280" w:lineRule="atLeast"/>
              <w:rPr>
                <w:sz w:val="20"/>
              </w:rPr>
            </w:pPr>
            <w:r w:rsidRPr="008112D0">
              <w:rPr>
                <w:sz w:val="20"/>
              </w:rPr>
              <w:t>Acute bronchitis or bronchiolit</w:t>
            </w:r>
            <w:r w:rsidRPr="00190CB7">
              <w:rPr>
                <w:sz w:val="20"/>
              </w:rPr>
              <w:t>is</w:t>
            </w: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Aged 18–75 years prescribed </w:t>
            </w:r>
            <w:proofErr w:type="spellStart"/>
            <w:r w:rsidRPr="00190CB7">
              <w:rPr>
                <w:sz w:val="20"/>
              </w:rPr>
              <w:t>antibacterials</w:t>
            </w:r>
            <w:r w:rsidRPr="00190CB7">
              <w:rPr>
                <w:sz w:val="20"/>
                <w:vertAlign w:val="superscript"/>
              </w:rPr>
              <w:t>a</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23 619</w:t>
            </w:r>
          </w:p>
        </w:tc>
        <w:tc>
          <w:tcPr>
            <w:tcW w:w="850" w:type="dxa"/>
            <w:shd w:val="clear" w:color="auto" w:fill="auto"/>
          </w:tcPr>
          <w:p w:rsidR="00C5112F" w:rsidRPr="00190CB7" w:rsidRDefault="00C5112F" w:rsidP="00C5112F">
            <w:pPr>
              <w:keepLines/>
              <w:spacing w:line="280" w:lineRule="atLeast"/>
              <w:rPr>
                <w:sz w:val="20"/>
              </w:rPr>
            </w:pPr>
            <w:r w:rsidRPr="00190CB7">
              <w:rPr>
                <w:sz w:val="20"/>
              </w:rPr>
              <w:t xml:space="preserve">90 </w:t>
            </w:r>
          </w:p>
        </w:tc>
        <w:tc>
          <w:tcPr>
            <w:tcW w:w="993" w:type="dxa"/>
            <w:shd w:val="clear" w:color="auto" w:fill="auto"/>
          </w:tcPr>
          <w:p w:rsidR="00C5112F" w:rsidRPr="00190CB7" w:rsidRDefault="00C5112F" w:rsidP="00C5112F">
            <w:pPr>
              <w:keepLines/>
              <w:spacing w:line="280" w:lineRule="atLeast"/>
              <w:rPr>
                <w:sz w:val="20"/>
              </w:rPr>
            </w:pPr>
            <w:r w:rsidRPr="00190CB7">
              <w:rPr>
                <w:sz w:val="20"/>
              </w:rPr>
              <w:t>89–91</w:t>
            </w:r>
          </w:p>
        </w:tc>
        <w:tc>
          <w:tcPr>
            <w:tcW w:w="1417" w:type="dxa"/>
            <w:shd w:val="clear" w:color="auto" w:fill="auto"/>
          </w:tcPr>
          <w:p w:rsidR="00C5112F" w:rsidRPr="00190CB7" w:rsidRDefault="00C5112F" w:rsidP="00C5112F">
            <w:pPr>
              <w:keepLines/>
              <w:spacing w:line="280" w:lineRule="atLeast"/>
              <w:rPr>
                <w:sz w:val="20"/>
              </w:rPr>
            </w:pPr>
            <w:r w:rsidRPr="00190CB7">
              <w:rPr>
                <w:sz w:val="20"/>
              </w:rPr>
              <w:t>0–30</w:t>
            </w:r>
          </w:p>
        </w:tc>
      </w:tr>
      <w:tr w:rsidR="00C5112F" w:rsidRPr="00D00BB3" w:rsidTr="00C5112F">
        <w:tc>
          <w:tcPr>
            <w:tcW w:w="1700" w:type="dxa"/>
            <w:vMerge w:val="restart"/>
            <w:shd w:val="clear" w:color="auto" w:fill="auto"/>
          </w:tcPr>
          <w:p w:rsidR="00C5112F" w:rsidRPr="008112D0" w:rsidRDefault="00C5112F" w:rsidP="00C5112F">
            <w:pPr>
              <w:keepLines/>
              <w:spacing w:line="280" w:lineRule="atLeast"/>
              <w:rPr>
                <w:sz w:val="20"/>
              </w:rPr>
            </w:pPr>
            <w:r w:rsidRPr="008112D0">
              <w:rPr>
                <w:sz w:val="20"/>
              </w:rPr>
              <w:t>Acute tonsillitis</w:t>
            </w: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Older than 1 year prescribed </w:t>
            </w:r>
            <w:proofErr w:type="spellStart"/>
            <w:r w:rsidRPr="00190CB7">
              <w:rPr>
                <w:sz w:val="20"/>
              </w:rPr>
              <w:t>antibacterials</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13 135</w:t>
            </w:r>
          </w:p>
        </w:tc>
        <w:tc>
          <w:tcPr>
            <w:tcW w:w="850" w:type="dxa"/>
            <w:shd w:val="clear" w:color="auto" w:fill="auto"/>
          </w:tcPr>
          <w:p w:rsidR="00C5112F" w:rsidRPr="00190CB7" w:rsidRDefault="00C5112F" w:rsidP="00C5112F">
            <w:pPr>
              <w:keepLines/>
              <w:spacing w:line="280" w:lineRule="atLeast"/>
              <w:rPr>
                <w:sz w:val="20"/>
              </w:rPr>
            </w:pPr>
            <w:r w:rsidRPr="00190CB7">
              <w:rPr>
                <w:sz w:val="20"/>
              </w:rPr>
              <w:t>91</w:t>
            </w:r>
          </w:p>
        </w:tc>
        <w:tc>
          <w:tcPr>
            <w:tcW w:w="993" w:type="dxa"/>
            <w:shd w:val="clear" w:color="auto" w:fill="auto"/>
          </w:tcPr>
          <w:p w:rsidR="00C5112F" w:rsidRPr="00190CB7" w:rsidRDefault="00C5112F" w:rsidP="00C5112F">
            <w:pPr>
              <w:keepLines/>
              <w:spacing w:line="280" w:lineRule="atLeast"/>
              <w:rPr>
                <w:sz w:val="20"/>
              </w:rPr>
            </w:pPr>
            <w:r w:rsidRPr="00190CB7">
              <w:rPr>
                <w:sz w:val="20"/>
              </w:rPr>
              <w:t>90–92</w:t>
            </w:r>
          </w:p>
        </w:tc>
        <w:tc>
          <w:tcPr>
            <w:tcW w:w="1417" w:type="dxa"/>
            <w:shd w:val="clear" w:color="auto" w:fill="auto"/>
          </w:tcPr>
          <w:p w:rsidR="00C5112F" w:rsidRPr="00190CB7" w:rsidRDefault="00C5112F" w:rsidP="00C5112F">
            <w:pPr>
              <w:keepLines/>
              <w:spacing w:line="280" w:lineRule="atLeast"/>
              <w:rPr>
                <w:sz w:val="20"/>
              </w:rPr>
            </w:pPr>
            <w:r w:rsidRPr="00190CB7">
              <w:rPr>
                <w:sz w:val="20"/>
              </w:rPr>
              <w:t>0–20</w:t>
            </w:r>
          </w:p>
        </w:tc>
      </w:tr>
      <w:tr w:rsidR="00C5112F" w:rsidRPr="00D00BB3" w:rsidTr="00C5112F">
        <w:tc>
          <w:tcPr>
            <w:tcW w:w="1700" w:type="dxa"/>
            <w:vMerge/>
            <w:shd w:val="clear" w:color="auto" w:fill="auto"/>
          </w:tcPr>
          <w:p w:rsidR="00C5112F" w:rsidRPr="00190CB7" w:rsidRDefault="00C5112F" w:rsidP="00C5112F">
            <w:pPr>
              <w:keepLines/>
              <w:spacing w:line="280" w:lineRule="atLeast"/>
              <w:rPr>
                <w:sz w:val="20"/>
              </w:rPr>
            </w:pP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And prescribed the TG-recommended </w:t>
            </w:r>
            <w:proofErr w:type="spellStart"/>
            <w:r w:rsidRPr="00190CB7">
              <w:rPr>
                <w:sz w:val="20"/>
              </w:rPr>
              <w:t>phenoxymethyl</w:t>
            </w:r>
            <w:proofErr w:type="spellEnd"/>
            <w:r w:rsidRPr="00190CB7">
              <w:rPr>
                <w:sz w:val="20"/>
              </w:rPr>
              <w:t xml:space="preserve"> penicillin</w:t>
            </w:r>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6 243</w:t>
            </w:r>
          </w:p>
        </w:tc>
        <w:tc>
          <w:tcPr>
            <w:tcW w:w="850" w:type="dxa"/>
            <w:shd w:val="clear" w:color="auto" w:fill="auto"/>
          </w:tcPr>
          <w:p w:rsidR="00C5112F" w:rsidRPr="00190CB7" w:rsidRDefault="00C5112F" w:rsidP="00C5112F">
            <w:pPr>
              <w:keepLines/>
              <w:spacing w:line="280" w:lineRule="atLeast"/>
              <w:rPr>
                <w:sz w:val="20"/>
              </w:rPr>
            </w:pPr>
            <w:r w:rsidRPr="00190CB7">
              <w:rPr>
                <w:sz w:val="20"/>
              </w:rPr>
              <w:t>48</w:t>
            </w:r>
          </w:p>
        </w:tc>
        <w:tc>
          <w:tcPr>
            <w:tcW w:w="993" w:type="dxa"/>
            <w:shd w:val="clear" w:color="auto" w:fill="auto"/>
          </w:tcPr>
          <w:p w:rsidR="00C5112F" w:rsidRPr="00190CB7" w:rsidRDefault="00C5112F" w:rsidP="00C5112F">
            <w:pPr>
              <w:keepLines/>
              <w:spacing w:line="280" w:lineRule="atLeast"/>
              <w:rPr>
                <w:sz w:val="20"/>
              </w:rPr>
            </w:pPr>
            <w:r w:rsidRPr="00190CB7">
              <w:rPr>
                <w:sz w:val="20"/>
              </w:rPr>
              <w:t>42–54</w:t>
            </w:r>
          </w:p>
        </w:tc>
        <w:tc>
          <w:tcPr>
            <w:tcW w:w="1417" w:type="dxa"/>
            <w:shd w:val="clear" w:color="auto" w:fill="auto"/>
          </w:tcPr>
          <w:p w:rsidR="00C5112F" w:rsidRPr="00190CB7" w:rsidRDefault="00C5112F" w:rsidP="00C5112F">
            <w:pPr>
              <w:keepLines/>
              <w:spacing w:line="280" w:lineRule="atLeast"/>
              <w:rPr>
                <w:sz w:val="20"/>
              </w:rPr>
            </w:pPr>
            <w:r w:rsidRPr="00190CB7">
              <w:rPr>
                <w:sz w:val="20"/>
              </w:rPr>
              <w:t>80–100</w:t>
            </w:r>
          </w:p>
        </w:tc>
      </w:tr>
      <w:tr w:rsidR="00C5112F" w:rsidRPr="00D00BB3" w:rsidTr="00C5112F">
        <w:tc>
          <w:tcPr>
            <w:tcW w:w="1700" w:type="dxa"/>
            <w:vMerge w:val="restart"/>
            <w:shd w:val="clear" w:color="auto" w:fill="auto"/>
          </w:tcPr>
          <w:p w:rsidR="00C5112F" w:rsidRPr="00190CB7" w:rsidRDefault="00C5112F" w:rsidP="00C5112F">
            <w:pPr>
              <w:keepLines/>
              <w:spacing w:line="280" w:lineRule="atLeast"/>
              <w:rPr>
                <w:sz w:val="20"/>
              </w:rPr>
            </w:pPr>
            <w:r w:rsidRPr="008112D0">
              <w:rPr>
                <w:sz w:val="20"/>
              </w:rPr>
              <w:t xml:space="preserve">Sinusitis (chronic </w:t>
            </w:r>
            <w:r w:rsidRPr="00190CB7">
              <w:rPr>
                <w:sz w:val="20"/>
              </w:rPr>
              <w:t>or acute)</w:t>
            </w: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Older than 18 years prescribed </w:t>
            </w:r>
            <w:proofErr w:type="spellStart"/>
            <w:r w:rsidRPr="00190CB7">
              <w:rPr>
                <w:sz w:val="20"/>
              </w:rPr>
              <w:t>antibacterials</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17 300</w:t>
            </w:r>
          </w:p>
        </w:tc>
        <w:tc>
          <w:tcPr>
            <w:tcW w:w="850" w:type="dxa"/>
            <w:shd w:val="clear" w:color="auto" w:fill="auto"/>
          </w:tcPr>
          <w:p w:rsidR="00C5112F" w:rsidRPr="00190CB7" w:rsidRDefault="00C5112F" w:rsidP="00C5112F">
            <w:pPr>
              <w:keepLines/>
              <w:spacing w:line="280" w:lineRule="atLeast"/>
              <w:rPr>
                <w:sz w:val="20"/>
              </w:rPr>
            </w:pPr>
            <w:r w:rsidRPr="00190CB7">
              <w:rPr>
                <w:sz w:val="20"/>
              </w:rPr>
              <w:t>86</w:t>
            </w:r>
          </w:p>
        </w:tc>
        <w:tc>
          <w:tcPr>
            <w:tcW w:w="993" w:type="dxa"/>
            <w:shd w:val="clear" w:color="auto" w:fill="auto"/>
          </w:tcPr>
          <w:p w:rsidR="00C5112F" w:rsidRPr="00190CB7" w:rsidRDefault="00C5112F" w:rsidP="00C5112F">
            <w:pPr>
              <w:keepLines/>
              <w:spacing w:line="280" w:lineRule="atLeast"/>
              <w:rPr>
                <w:sz w:val="20"/>
              </w:rPr>
            </w:pPr>
            <w:r w:rsidRPr="00190CB7">
              <w:rPr>
                <w:sz w:val="20"/>
              </w:rPr>
              <w:t>84–87</w:t>
            </w:r>
          </w:p>
        </w:tc>
        <w:tc>
          <w:tcPr>
            <w:tcW w:w="1417" w:type="dxa"/>
            <w:shd w:val="clear" w:color="auto" w:fill="auto"/>
          </w:tcPr>
          <w:p w:rsidR="00C5112F" w:rsidRPr="00190CB7" w:rsidRDefault="00C5112F" w:rsidP="00C5112F">
            <w:pPr>
              <w:keepLines/>
              <w:spacing w:line="280" w:lineRule="atLeast"/>
              <w:rPr>
                <w:sz w:val="20"/>
              </w:rPr>
            </w:pPr>
            <w:r w:rsidRPr="00190CB7">
              <w:rPr>
                <w:sz w:val="20"/>
              </w:rPr>
              <w:t>0–20</w:t>
            </w:r>
          </w:p>
        </w:tc>
      </w:tr>
      <w:tr w:rsidR="00C5112F" w:rsidRPr="00D00BB3" w:rsidTr="00C5112F">
        <w:tc>
          <w:tcPr>
            <w:tcW w:w="1700" w:type="dxa"/>
            <w:vMerge/>
            <w:shd w:val="clear" w:color="auto" w:fill="auto"/>
          </w:tcPr>
          <w:p w:rsidR="00C5112F" w:rsidRPr="00190CB7" w:rsidRDefault="00C5112F" w:rsidP="00C5112F">
            <w:pPr>
              <w:keepLines/>
              <w:spacing w:line="280" w:lineRule="atLeast"/>
              <w:rPr>
                <w:sz w:val="20"/>
              </w:rPr>
            </w:pPr>
          </w:p>
        </w:tc>
        <w:tc>
          <w:tcPr>
            <w:tcW w:w="2695" w:type="dxa"/>
            <w:shd w:val="clear" w:color="auto" w:fill="auto"/>
          </w:tcPr>
          <w:p w:rsidR="00C5112F" w:rsidRPr="00190CB7" w:rsidRDefault="00C5112F" w:rsidP="00C5112F">
            <w:pPr>
              <w:keepLines/>
              <w:spacing w:line="280" w:lineRule="atLeast"/>
              <w:rPr>
                <w:sz w:val="20"/>
              </w:rPr>
            </w:pPr>
            <w:r w:rsidRPr="00190CB7">
              <w:rPr>
                <w:sz w:val="20"/>
              </w:rPr>
              <w:t>And prescribed the TG-recommended amoxicillin</w:t>
            </w:r>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5 607</w:t>
            </w:r>
          </w:p>
        </w:tc>
        <w:tc>
          <w:tcPr>
            <w:tcW w:w="850" w:type="dxa"/>
            <w:shd w:val="clear" w:color="auto" w:fill="auto"/>
          </w:tcPr>
          <w:p w:rsidR="00C5112F" w:rsidRPr="00190CB7" w:rsidRDefault="00C5112F" w:rsidP="00C5112F">
            <w:pPr>
              <w:keepLines/>
              <w:spacing w:line="280" w:lineRule="atLeast"/>
              <w:rPr>
                <w:sz w:val="20"/>
              </w:rPr>
            </w:pPr>
            <w:r w:rsidRPr="00190CB7">
              <w:rPr>
                <w:sz w:val="20"/>
              </w:rPr>
              <w:t>32</w:t>
            </w:r>
          </w:p>
        </w:tc>
        <w:tc>
          <w:tcPr>
            <w:tcW w:w="993" w:type="dxa"/>
            <w:shd w:val="clear" w:color="auto" w:fill="auto"/>
          </w:tcPr>
          <w:p w:rsidR="00C5112F" w:rsidRPr="00190CB7" w:rsidRDefault="00C5112F" w:rsidP="00C5112F">
            <w:pPr>
              <w:keepLines/>
              <w:spacing w:line="280" w:lineRule="atLeast"/>
              <w:rPr>
                <w:sz w:val="20"/>
              </w:rPr>
            </w:pPr>
            <w:r w:rsidRPr="00190CB7">
              <w:rPr>
                <w:sz w:val="20"/>
              </w:rPr>
              <w:t>29–36</w:t>
            </w:r>
          </w:p>
        </w:tc>
        <w:tc>
          <w:tcPr>
            <w:tcW w:w="1417" w:type="dxa"/>
            <w:shd w:val="clear" w:color="auto" w:fill="auto"/>
          </w:tcPr>
          <w:p w:rsidR="00C5112F" w:rsidRPr="00190CB7" w:rsidRDefault="00C5112F" w:rsidP="00C5112F">
            <w:pPr>
              <w:keepLines/>
              <w:spacing w:line="280" w:lineRule="atLeast"/>
              <w:rPr>
                <w:sz w:val="20"/>
              </w:rPr>
            </w:pPr>
            <w:r w:rsidRPr="00190CB7">
              <w:rPr>
                <w:sz w:val="20"/>
              </w:rPr>
              <w:t>80–100</w:t>
            </w:r>
          </w:p>
        </w:tc>
      </w:tr>
      <w:tr w:rsidR="00C5112F" w:rsidRPr="00D00BB3" w:rsidTr="00C5112F">
        <w:tc>
          <w:tcPr>
            <w:tcW w:w="1700" w:type="dxa"/>
            <w:vMerge w:val="restart"/>
            <w:shd w:val="clear" w:color="auto" w:fill="auto"/>
          </w:tcPr>
          <w:p w:rsidR="00C5112F" w:rsidRPr="008112D0" w:rsidRDefault="00C5112F" w:rsidP="00C5112F">
            <w:pPr>
              <w:keepLines/>
              <w:spacing w:line="280" w:lineRule="atLeast"/>
              <w:rPr>
                <w:sz w:val="20"/>
              </w:rPr>
            </w:pPr>
            <w:r w:rsidRPr="008112D0">
              <w:rPr>
                <w:sz w:val="20"/>
              </w:rPr>
              <w:t>Acute otitis media/</w:t>
            </w:r>
            <w:proofErr w:type="spellStart"/>
            <w:r w:rsidRPr="008112D0">
              <w:rPr>
                <w:sz w:val="20"/>
              </w:rPr>
              <w:t>myringitis</w:t>
            </w:r>
            <w:proofErr w:type="spellEnd"/>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Older than 2 years prescribed </w:t>
            </w:r>
            <w:proofErr w:type="spellStart"/>
            <w:r w:rsidRPr="00190CB7">
              <w:rPr>
                <w:sz w:val="20"/>
              </w:rPr>
              <w:t>antibacterials</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11 387</w:t>
            </w:r>
          </w:p>
        </w:tc>
        <w:tc>
          <w:tcPr>
            <w:tcW w:w="850" w:type="dxa"/>
            <w:shd w:val="clear" w:color="auto" w:fill="auto"/>
          </w:tcPr>
          <w:p w:rsidR="00C5112F" w:rsidRPr="00190CB7" w:rsidRDefault="00C5112F" w:rsidP="00C5112F">
            <w:pPr>
              <w:keepLines/>
              <w:spacing w:line="280" w:lineRule="atLeast"/>
              <w:rPr>
                <w:sz w:val="20"/>
              </w:rPr>
            </w:pPr>
            <w:r w:rsidRPr="00190CB7">
              <w:rPr>
                <w:sz w:val="20"/>
              </w:rPr>
              <w:t>91</w:t>
            </w:r>
          </w:p>
        </w:tc>
        <w:tc>
          <w:tcPr>
            <w:tcW w:w="993" w:type="dxa"/>
            <w:shd w:val="clear" w:color="auto" w:fill="auto"/>
          </w:tcPr>
          <w:p w:rsidR="00C5112F" w:rsidRPr="00190CB7" w:rsidRDefault="00C5112F" w:rsidP="00C5112F">
            <w:pPr>
              <w:keepLines/>
              <w:spacing w:line="280" w:lineRule="atLeast"/>
              <w:rPr>
                <w:sz w:val="20"/>
              </w:rPr>
            </w:pPr>
            <w:r w:rsidRPr="00190CB7">
              <w:rPr>
                <w:sz w:val="20"/>
              </w:rPr>
              <w:t>90–92</w:t>
            </w:r>
          </w:p>
        </w:tc>
        <w:tc>
          <w:tcPr>
            <w:tcW w:w="1417" w:type="dxa"/>
            <w:shd w:val="clear" w:color="auto" w:fill="auto"/>
          </w:tcPr>
          <w:p w:rsidR="00C5112F" w:rsidRPr="00190CB7" w:rsidRDefault="00C5112F" w:rsidP="00C5112F">
            <w:pPr>
              <w:keepLines/>
              <w:spacing w:line="280" w:lineRule="atLeast"/>
              <w:rPr>
                <w:sz w:val="20"/>
              </w:rPr>
            </w:pPr>
            <w:r w:rsidRPr="00190CB7">
              <w:rPr>
                <w:sz w:val="20"/>
              </w:rPr>
              <w:t>0–20</w:t>
            </w:r>
          </w:p>
        </w:tc>
      </w:tr>
      <w:tr w:rsidR="00C5112F" w:rsidRPr="00D00BB3" w:rsidTr="00C5112F">
        <w:tc>
          <w:tcPr>
            <w:tcW w:w="1700" w:type="dxa"/>
            <w:vMerge/>
            <w:shd w:val="clear" w:color="auto" w:fill="auto"/>
          </w:tcPr>
          <w:p w:rsidR="00C5112F" w:rsidRPr="00190CB7" w:rsidRDefault="00C5112F" w:rsidP="00C5112F">
            <w:pPr>
              <w:keepLines/>
              <w:spacing w:line="280" w:lineRule="atLeast"/>
              <w:rPr>
                <w:sz w:val="20"/>
              </w:rPr>
            </w:pPr>
          </w:p>
        </w:tc>
        <w:tc>
          <w:tcPr>
            <w:tcW w:w="2695" w:type="dxa"/>
            <w:shd w:val="clear" w:color="auto" w:fill="auto"/>
          </w:tcPr>
          <w:p w:rsidR="00C5112F" w:rsidRPr="00190CB7" w:rsidRDefault="00C5112F" w:rsidP="00C5112F">
            <w:pPr>
              <w:keepLines/>
              <w:spacing w:line="280" w:lineRule="atLeast"/>
              <w:rPr>
                <w:sz w:val="20"/>
              </w:rPr>
            </w:pPr>
            <w:r w:rsidRPr="00190CB7">
              <w:rPr>
                <w:sz w:val="20"/>
              </w:rPr>
              <w:t>And prescribed the TG-recommended amoxicillin</w:t>
            </w:r>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7 154</w:t>
            </w:r>
          </w:p>
        </w:tc>
        <w:tc>
          <w:tcPr>
            <w:tcW w:w="850" w:type="dxa"/>
            <w:shd w:val="clear" w:color="auto" w:fill="auto"/>
          </w:tcPr>
          <w:p w:rsidR="00C5112F" w:rsidRPr="00190CB7" w:rsidRDefault="00C5112F" w:rsidP="00C5112F">
            <w:pPr>
              <w:keepLines/>
              <w:spacing w:line="280" w:lineRule="atLeast"/>
              <w:rPr>
                <w:sz w:val="20"/>
              </w:rPr>
            </w:pPr>
            <w:r w:rsidRPr="00190CB7">
              <w:rPr>
                <w:sz w:val="20"/>
              </w:rPr>
              <w:t>63</w:t>
            </w:r>
          </w:p>
        </w:tc>
        <w:tc>
          <w:tcPr>
            <w:tcW w:w="993" w:type="dxa"/>
            <w:shd w:val="clear" w:color="auto" w:fill="auto"/>
          </w:tcPr>
          <w:p w:rsidR="00C5112F" w:rsidRPr="00190CB7" w:rsidRDefault="00C5112F" w:rsidP="00C5112F">
            <w:pPr>
              <w:keepLines/>
              <w:spacing w:line="280" w:lineRule="atLeast"/>
              <w:rPr>
                <w:sz w:val="20"/>
              </w:rPr>
            </w:pPr>
            <w:r w:rsidRPr="00190CB7">
              <w:rPr>
                <w:sz w:val="20"/>
              </w:rPr>
              <w:t>59–67</w:t>
            </w:r>
          </w:p>
        </w:tc>
        <w:tc>
          <w:tcPr>
            <w:tcW w:w="1417" w:type="dxa"/>
            <w:shd w:val="clear" w:color="auto" w:fill="auto"/>
          </w:tcPr>
          <w:p w:rsidR="00C5112F" w:rsidRPr="00190CB7" w:rsidRDefault="00C5112F" w:rsidP="00C5112F">
            <w:pPr>
              <w:keepLines/>
              <w:spacing w:line="280" w:lineRule="atLeast"/>
              <w:rPr>
                <w:sz w:val="20"/>
              </w:rPr>
            </w:pPr>
            <w:r w:rsidRPr="00190CB7">
              <w:rPr>
                <w:sz w:val="20"/>
              </w:rPr>
              <w:t>80–100</w:t>
            </w:r>
          </w:p>
        </w:tc>
      </w:tr>
      <w:tr w:rsidR="00C5112F" w:rsidRPr="00D00BB3" w:rsidTr="00C5112F">
        <w:tc>
          <w:tcPr>
            <w:tcW w:w="1700" w:type="dxa"/>
            <w:vMerge w:val="restart"/>
            <w:shd w:val="clear" w:color="auto" w:fill="auto"/>
          </w:tcPr>
          <w:p w:rsidR="00C5112F" w:rsidRPr="008112D0" w:rsidRDefault="00C5112F" w:rsidP="00C5112F">
            <w:pPr>
              <w:keepLines/>
              <w:spacing w:line="280" w:lineRule="atLeast"/>
              <w:rPr>
                <w:sz w:val="20"/>
              </w:rPr>
            </w:pPr>
            <w:r w:rsidRPr="008112D0">
              <w:rPr>
                <w:sz w:val="20"/>
              </w:rPr>
              <w:t>Pneumonia</w:t>
            </w: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Aged 18–65 years prescribed </w:t>
            </w:r>
            <w:proofErr w:type="spellStart"/>
            <w:r w:rsidRPr="00190CB7">
              <w:rPr>
                <w:sz w:val="20"/>
              </w:rPr>
              <w:t>antibacterials</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607</w:t>
            </w:r>
          </w:p>
        </w:tc>
        <w:tc>
          <w:tcPr>
            <w:tcW w:w="850" w:type="dxa"/>
            <w:shd w:val="clear" w:color="auto" w:fill="auto"/>
          </w:tcPr>
          <w:p w:rsidR="00C5112F" w:rsidRPr="00190CB7" w:rsidRDefault="00C5112F" w:rsidP="00C5112F">
            <w:pPr>
              <w:keepLines/>
              <w:spacing w:line="280" w:lineRule="atLeast"/>
              <w:rPr>
                <w:sz w:val="20"/>
              </w:rPr>
            </w:pPr>
            <w:r w:rsidRPr="00190CB7">
              <w:rPr>
                <w:sz w:val="20"/>
              </w:rPr>
              <w:t>68</w:t>
            </w:r>
          </w:p>
        </w:tc>
        <w:tc>
          <w:tcPr>
            <w:tcW w:w="993" w:type="dxa"/>
            <w:shd w:val="clear" w:color="auto" w:fill="auto"/>
          </w:tcPr>
          <w:p w:rsidR="00C5112F" w:rsidRPr="00190CB7" w:rsidRDefault="00C5112F" w:rsidP="00C5112F">
            <w:pPr>
              <w:keepLines/>
              <w:spacing w:line="280" w:lineRule="atLeast"/>
              <w:rPr>
                <w:sz w:val="20"/>
              </w:rPr>
            </w:pPr>
            <w:r w:rsidRPr="00190CB7">
              <w:rPr>
                <w:sz w:val="20"/>
              </w:rPr>
              <w:t>64–71</w:t>
            </w:r>
          </w:p>
        </w:tc>
        <w:tc>
          <w:tcPr>
            <w:tcW w:w="1417" w:type="dxa"/>
            <w:shd w:val="clear" w:color="auto" w:fill="auto"/>
          </w:tcPr>
          <w:p w:rsidR="00C5112F" w:rsidRPr="00190CB7" w:rsidRDefault="00C5112F" w:rsidP="00C5112F">
            <w:pPr>
              <w:keepLines/>
              <w:spacing w:line="280" w:lineRule="atLeast"/>
              <w:rPr>
                <w:sz w:val="20"/>
              </w:rPr>
            </w:pPr>
            <w:r w:rsidRPr="00190CB7">
              <w:rPr>
                <w:sz w:val="20"/>
              </w:rPr>
              <w:t>90–100</w:t>
            </w:r>
          </w:p>
        </w:tc>
      </w:tr>
      <w:tr w:rsidR="00C5112F" w:rsidRPr="00D00BB3" w:rsidTr="00C5112F">
        <w:tc>
          <w:tcPr>
            <w:tcW w:w="1700" w:type="dxa"/>
            <w:vMerge/>
            <w:shd w:val="clear" w:color="auto" w:fill="auto"/>
          </w:tcPr>
          <w:p w:rsidR="00C5112F" w:rsidRPr="00190CB7" w:rsidRDefault="00C5112F" w:rsidP="00C5112F">
            <w:pPr>
              <w:keepLines/>
              <w:spacing w:line="280" w:lineRule="atLeast"/>
              <w:rPr>
                <w:sz w:val="20"/>
              </w:rPr>
            </w:pPr>
          </w:p>
        </w:tc>
        <w:tc>
          <w:tcPr>
            <w:tcW w:w="2695" w:type="dxa"/>
            <w:shd w:val="clear" w:color="auto" w:fill="auto"/>
          </w:tcPr>
          <w:p w:rsidR="00C5112F" w:rsidRPr="00190CB7" w:rsidRDefault="00C5112F" w:rsidP="00C5112F">
            <w:pPr>
              <w:keepLines/>
              <w:spacing w:line="280" w:lineRule="atLeast"/>
              <w:rPr>
                <w:sz w:val="20"/>
              </w:rPr>
            </w:pPr>
            <w:r w:rsidRPr="00190CB7">
              <w:rPr>
                <w:sz w:val="20"/>
              </w:rPr>
              <w:t>And prescribed the TG-recommended antibacterial (for mild CAP – amoxicillin or doxycycline)</w:t>
            </w:r>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146</w:t>
            </w:r>
          </w:p>
        </w:tc>
        <w:tc>
          <w:tcPr>
            <w:tcW w:w="850" w:type="dxa"/>
            <w:shd w:val="clear" w:color="auto" w:fill="auto"/>
          </w:tcPr>
          <w:p w:rsidR="00C5112F" w:rsidRPr="00190CB7" w:rsidRDefault="00C5112F" w:rsidP="00C5112F">
            <w:pPr>
              <w:keepLines/>
              <w:spacing w:line="280" w:lineRule="atLeast"/>
              <w:rPr>
                <w:sz w:val="20"/>
              </w:rPr>
            </w:pPr>
            <w:r w:rsidRPr="00190CB7">
              <w:rPr>
                <w:sz w:val="20"/>
              </w:rPr>
              <w:t>24</w:t>
            </w:r>
          </w:p>
        </w:tc>
        <w:tc>
          <w:tcPr>
            <w:tcW w:w="993" w:type="dxa"/>
            <w:shd w:val="clear" w:color="auto" w:fill="auto"/>
          </w:tcPr>
          <w:p w:rsidR="00C5112F" w:rsidRPr="00190CB7" w:rsidRDefault="00C5112F" w:rsidP="00C5112F">
            <w:pPr>
              <w:keepLines/>
              <w:spacing w:line="280" w:lineRule="atLeast"/>
              <w:rPr>
                <w:sz w:val="20"/>
              </w:rPr>
            </w:pPr>
            <w:r w:rsidRPr="00190CB7">
              <w:rPr>
                <w:sz w:val="20"/>
              </w:rPr>
              <w:t>19–29</w:t>
            </w:r>
          </w:p>
        </w:tc>
        <w:tc>
          <w:tcPr>
            <w:tcW w:w="1417" w:type="dxa"/>
            <w:shd w:val="clear" w:color="auto" w:fill="auto"/>
          </w:tcPr>
          <w:p w:rsidR="00C5112F" w:rsidRPr="00190CB7" w:rsidRDefault="00C5112F" w:rsidP="00C5112F">
            <w:pPr>
              <w:keepLines/>
              <w:spacing w:line="280" w:lineRule="atLeast"/>
              <w:rPr>
                <w:sz w:val="20"/>
              </w:rPr>
            </w:pPr>
            <w:r w:rsidRPr="00190CB7">
              <w:rPr>
                <w:sz w:val="20"/>
              </w:rPr>
              <w:t>80–100</w:t>
            </w:r>
          </w:p>
        </w:tc>
      </w:tr>
      <w:tr w:rsidR="00C5112F" w:rsidRPr="00D00BB3" w:rsidTr="00B33453">
        <w:trPr>
          <w:cantSplit/>
        </w:trPr>
        <w:tc>
          <w:tcPr>
            <w:tcW w:w="1700" w:type="dxa"/>
            <w:vMerge w:val="restart"/>
            <w:shd w:val="clear" w:color="auto" w:fill="auto"/>
          </w:tcPr>
          <w:p w:rsidR="00C5112F" w:rsidRPr="008112D0" w:rsidRDefault="00C5112F" w:rsidP="00C5112F">
            <w:pPr>
              <w:keepLines/>
              <w:spacing w:line="280" w:lineRule="atLeast"/>
              <w:rPr>
                <w:sz w:val="20"/>
              </w:rPr>
            </w:pPr>
            <w:r w:rsidRPr="008112D0">
              <w:rPr>
                <w:sz w:val="20"/>
              </w:rPr>
              <w:lastRenderedPageBreak/>
              <w:t>Cystitis or other UTI</w:t>
            </w:r>
          </w:p>
        </w:tc>
        <w:tc>
          <w:tcPr>
            <w:tcW w:w="2695" w:type="dxa"/>
            <w:shd w:val="clear" w:color="auto" w:fill="auto"/>
          </w:tcPr>
          <w:p w:rsidR="00C5112F" w:rsidRPr="00190CB7" w:rsidRDefault="00C5112F" w:rsidP="00C5112F">
            <w:pPr>
              <w:keepLines/>
              <w:spacing w:line="280" w:lineRule="atLeast"/>
              <w:rPr>
                <w:sz w:val="20"/>
              </w:rPr>
            </w:pPr>
            <w:r w:rsidRPr="00190CB7">
              <w:rPr>
                <w:sz w:val="20"/>
              </w:rPr>
              <w:t xml:space="preserve">Females older than 18 years prescribed </w:t>
            </w:r>
            <w:proofErr w:type="spellStart"/>
            <w:r w:rsidRPr="00190CB7">
              <w:rPr>
                <w:sz w:val="20"/>
              </w:rPr>
              <w:t>antibacterials</w:t>
            </w:r>
            <w:proofErr w:type="spellEnd"/>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18 898</w:t>
            </w:r>
          </w:p>
        </w:tc>
        <w:tc>
          <w:tcPr>
            <w:tcW w:w="850" w:type="dxa"/>
            <w:shd w:val="clear" w:color="auto" w:fill="auto"/>
          </w:tcPr>
          <w:p w:rsidR="00C5112F" w:rsidRPr="00190CB7" w:rsidRDefault="00C5112F" w:rsidP="00C5112F">
            <w:pPr>
              <w:keepLines/>
              <w:spacing w:line="280" w:lineRule="atLeast"/>
              <w:rPr>
                <w:sz w:val="20"/>
              </w:rPr>
            </w:pPr>
            <w:r w:rsidRPr="00190CB7">
              <w:rPr>
                <w:sz w:val="20"/>
              </w:rPr>
              <w:t>94</w:t>
            </w:r>
          </w:p>
        </w:tc>
        <w:tc>
          <w:tcPr>
            <w:tcW w:w="993" w:type="dxa"/>
            <w:shd w:val="clear" w:color="auto" w:fill="auto"/>
          </w:tcPr>
          <w:p w:rsidR="00C5112F" w:rsidRPr="00190CB7" w:rsidRDefault="00C5112F" w:rsidP="00C5112F">
            <w:pPr>
              <w:keepLines/>
              <w:spacing w:line="280" w:lineRule="atLeast"/>
              <w:rPr>
                <w:sz w:val="20"/>
              </w:rPr>
            </w:pPr>
            <w:r w:rsidRPr="00190CB7">
              <w:rPr>
                <w:sz w:val="20"/>
              </w:rPr>
              <w:t>93–95</w:t>
            </w:r>
          </w:p>
        </w:tc>
        <w:tc>
          <w:tcPr>
            <w:tcW w:w="1417" w:type="dxa"/>
            <w:shd w:val="clear" w:color="auto" w:fill="auto"/>
          </w:tcPr>
          <w:p w:rsidR="00C5112F" w:rsidRPr="00190CB7" w:rsidRDefault="00C5112F" w:rsidP="00C5112F">
            <w:pPr>
              <w:keepLines/>
              <w:spacing w:line="280" w:lineRule="atLeast"/>
              <w:rPr>
                <w:sz w:val="20"/>
              </w:rPr>
            </w:pPr>
            <w:r w:rsidRPr="00190CB7">
              <w:rPr>
                <w:sz w:val="20"/>
              </w:rPr>
              <w:t>80–100</w:t>
            </w:r>
          </w:p>
        </w:tc>
      </w:tr>
      <w:tr w:rsidR="00C5112F" w:rsidRPr="00D00BB3" w:rsidTr="00C5112F">
        <w:tc>
          <w:tcPr>
            <w:tcW w:w="1700" w:type="dxa"/>
            <w:vMerge/>
            <w:shd w:val="clear" w:color="auto" w:fill="auto"/>
          </w:tcPr>
          <w:p w:rsidR="00C5112F" w:rsidRPr="00190CB7" w:rsidRDefault="00C5112F" w:rsidP="00C5112F">
            <w:pPr>
              <w:keepLines/>
              <w:spacing w:line="280" w:lineRule="atLeast"/>
              <w:rPr>
                <w:sz w:val="20"/>
              </w:rPr>
            </w:pPr>
          </w:p>
        </w:tc>
        <w:tc>
          <w:tcPr>
            <w:tcW w:w="2695" w:type="dxa"/>
            <w:shd w:val="clear" w:color="auto" w:fill="auto"/>
          </w:tcPr>
          <w:p w:rsidR="00C5112F" w:rsidRPr="00190CB7" w:rsidRDefault="00C5112F" w:rsidP="00C5112F">
            <w:pPr>
              <w:keepLines/>
              <w:spacing w:line="280" w:lineRule="atLeast"/>
              <w:rPr>
                <w:sz w:val="20"/>
              </w:rPr>
            </w:pPr>
            <w:r w:rsidRPr="00190CB7">
              <w:rPr>
                <w:sz w:val="20"/>
              </w:rPr>
              <w:t>And prescribed the TG-recommended trimethoprim</w:t>
            </w:r>
          </w:p>
        </w:tc>
        <w:tc>
          <w:tcPr>
            <w:tcW w:w="992" w:type="dxa"/>
            <w:shd w:val="clear" w:color="auto" w:fill="auto"/>
          </w:tcPr>
          <w:p w:rsidR="00C5112F" w:rsidRPr="00190CB7" w:rsidRDefault="00C5112F" w:rsidP="00C5112F">
            <w:pPr>
              <w:keepLines/>
              <w:spacing w:line="280" w:lineRule="atLeast"/>
              <w:jc w:val="right"/>
              <w:rPr>
                <w:sz w:val="20"/>
              </w:rPr>
            </w:pPr>
            <w:r w:rsidRPr="00190CB7">
              <w:rPr>
                <w:sz w:val="20"/>
              </w:rPr>
              <w:t>8 858</w:t>
            </w:r>
          </w:p>
        </w:tc>
        <w:tc>
          <w:tcPr>
            <w:tcW w:w="850" w:type="dxa"/>
            <w:shd w:val="clear" w:color="auto" w:fill="auto"/>
          </w:tcPr>
          <w:p w:rsidR="00C5112F" w:rsidRPr="00190CB7" w:rsidRDefault="00C5112F" w:rsidP="00C5112F">
            <w:pPr>
              <w:keepLines/>
              <w:spacing w:line="280" w:lineRule="atLeast"/>
              <w:rPr>
                <w:sz w:val="20"/>
              </w:rPr>
            </w:pPr>
            <w:r w:rsidRPr="00190CB7">
              <w:rPr>
                <w:sz w:val="20"/>
              </w:rPr>
              <w:t>47</w:t>
            </w:r>
          </w:p>
        </w:tc>
        <w:tc>
          <w:tcPr>
            <w:tcW w:w="993" w:type="dxa"/>
            <w:shd w:val="clear" w:color="auto" w:fill="auto"/>
          </w:tcPr>
          <w:p w:rsidR="00C5112F" w:rsidRPr="00190CB7" w:rsidRDefault="00C5112F" w:rsidP="00C5112F">
            <w:pPr>
              <w:keepLines/>
              <w:spacing w:line="280" w:lineRule="atLeast"/>
              <w:rPr>
                <w:sz w:val="20"/>
              </w:rPr>
            </w:pPr>
            <w:r w:rsidRPr="00190CB7">
              <w:rPr>
                <w:sz w:val="20"/>
              </w:rPr>
              <w:t>44–49</w:t>
            </w:r>
          </w:p>
        </w:tc>
        <w:tc>
          <w:tcPr>
            <w:tcW w:w="1417" w:type="dxa"/>
            <w:shd w:val="clear" w:color="auto" w:fill="auto"/>
          </w:tcPr>
          <w:p w:rsidR="00C5112F" w:rsidRPr="00190CB7" w:rsidRDefault="00C5112F" w:rsidP="00C5112F">
            <w:pPr>
              <w:keepLines/>
              <w:spacing w:line="280" w:lineRule="atLeast"/>
              <w:rPr>
                <w:sz w:val="20"/>
              </w:rPr>
            </w:pPr>
            <w:r w:rsidRPr="00190CB7">
              <w:rPr>
                <w:sz w:val="20"/>
              </w:rPr>
              <w:t>80–100</w:t>
            </w:r>
          </w:p>
        </w:tc>
      </w:tr>
    </w:tbl>
    <w:p w:rsidR="00C5112F" w:rsidRPr="00190CB7" w:rsidRDefault="00C5112F" w:rsidP="00C5112F">
      <w:pPr>
        <w:keepLines/>
        <w:spacing w:before="80"/>
        <w:jc w:val="both"/>
        <w:rPr>
          <w:sz w:val="18"/>
          <w:szCs w:val="18"/>
        </w:rPr>
      </w:pPr>
      <w:r w:rsidRPr="008112D0">
        <w:rPr>
          <w:sz w:val="18"/>
          <w:szCs w:val="18"/>
        </w:rPr>
        <w:t>C</w:t>
      </w:r>
      <w:r w:rsidRPr="00190CB7">
        <w:rPr>
          <w:sz w:val="18"/>
          <w:szCs w:val="18"/>
        </w:rPr>
        <w:t>AP = community-acquired pneumonia; CI = confidence interval; TG = </w:t>
      </w:r>
      <w:r w:rsidRPr="00190CB7">
        <w:rPr>
          <w:i/>
          <w:sz w:val="18"/>
          <w:szCs w:val="18"/>
        </w:rPr>
        <w:t>Therapeutic Guidelines: antibiotic</w:t>
      </w:r>
      <w:r w:rsidRPr="00190CB7">
        <w:rPr>
          <w:sz w:val="18"/>
          <w:szCs w:val="18"/>
        </w:rPr>
        <w:t>; URTI = upper respiratory tract infection; UTI = urinary tract infection</w:t>
      </w:r>
    </w:p>
    <w:p w:rsidR="00C5112F" w:rsidRPr="00190CB7" w:rsidRDefault="00C5112F" w:rsidP="00C5112F">
      <w:pPr>
        <w:keepLines/>
        <w:jc w:val="both"/>
        <w:rPr>
          <w:i/>
          <w:sz w:val="18"/>
          <w:szCs w:val="18"/>
        </w:rPr>
      </w:pPr>
      <w:proofErr w:type="gramStart"/>
      <w:r w:rsidRPr="00190CB7">
        <w:rPr>
          <w:sz w:val="18"/>
          <w:szCs w:val="18"/>
        </w:rPr>
        <w:t>a</w:t>
      </w:r>
      <w:proofErr w:type="gramEnd"/>
      <w:r w:rsidRPr="00190CB7">
        <w:rPr>
          <w:sz w:val="18"/>
          <w:szCs w:val="18"/>
        </w:rPr>
        <w:tab/>
        <w:t xml:space="preserve">No recommendations made by </w:t>
      </w:r>
      <w:r w:rsidRPr="00190CB7">
        <w:rPr>
          <w:i/>
          <w:sz w:val="18"/>
          <w:szCs w:val="18"/>
        </w:rPr>
        <w:t>Therapeutic Guidelines: antibiotic.</w:t>
      </w:r>
    </w:p>
    <w:p w:rsidR="00C5112F" w:rsidRPr="008112D0" w:rsidRDefault="00C5112F" w:rsidP="00C5112F">
      <w:pPr>
        <w:keepLines/>
        <w:jc w:val="both"/>
        <w:rPr>
          <w:sz w:val="18"/>
          <w:szCs w:val="18"/>
        </w:rPr>
      </w:pPr>
      <w:r w:rsidRPr="00190CB7">
        <w:rPr>
          <w:i/>
          <w:sz w:val="18"/>
          <w:szCs w:val="18"/>
        </w:rPr>
        <w:t>b</w:t>
      </w:r>
      <w:r w:rsidRPr="00190CB7">
        <w:rPr>
          <w:i/>
          <w:sz w:val="18"/>
          <w:szCs w:val="18"/>
        </w:rPr>
        <w:tab/>
      </w:r>
      <w:r w:rsidRPr="00190CB7">
        <w:rPr>
          <w:sz w:val="18"/>
          <w:szCs w:val="18"/>
        </w:rPr>
        <w:t>Values for an acceptable range of prescribing vary between conditions: for some conditions low values of 0–20% represent better quality of care whereas for other conditions high values of 90–100% represent better quality of care.</w:t>
      </w:r>
      <w:hyperlink w:anchor="_ENREF_5" w:tooltip="Adriaenssens, 2011 #23" w:history="1">
        <w:r w:rsidRPr="00190CB7">
          <w:rPr>
            <w:sz w:val="18"/>
            <w:szCs w:val="18"/>
          </w:rPr>
          <w:fldChar w:fldCharType="begin"/>
        </w:r>
        <w:r w:rsidRPr="00190CB7">
          <w:rPr>
            <w:sz w:val="18"/>
            <w:szCs w:val="18"/>
          </w:rPr>
          <w:instrText xml:space="preserve"> ADDIN EN.CITE &lt;EndNote&gt;&lt;Cite&gt;&lt;Author&gt;Adriaenssens&lt;/Author&gt;&lt;Year&gt;2011&lt;/Year&gt;&lt;RecNum&gt;23&lt;/RecNum&gt;&lt;DisplayText&gt;&lt;style face="superscript"&gt;5&lt;/style&gt;&lt;/DisplayText&gt;&lt;record&gt;&lt;rec-number&gt;23&lt;/rec-number&gt;&lt;foreign-keys&gt;&lt;key app="EN" db-id="rfdrt5f982tppcedt23vfxzvp52ea529f2pd"&gt;23&lt;/key&gt;&lt;/foreign-keys&gt;&lt;ref-type name="Journal Article"&gt;17&lt;/ref-type&gt;&lt;contributors&gt;&lt;authors&gt;&lt;author&gt;Adriaenssens, N.&lt;/author&gt;&lt;author&gt;Coenen, S.&lt;/author&gt;&lt;author&gt;Tonkin-Crine, S.&lt;/author&gt;&lt;author&gt;Verheij, T.&lt;/author&gt;&lt;author&gt;Little, P.&lt;/author&gt;&lt;author&gt;Goossens, H.&lt;/author&gt;&lt;author&gt;on behalf ofthe ESAC Project Group,.&lt;/author&gt;&lt;/authors&gt;&lt;/contributors&gt;&lt;titles&gt;&lt;title&gt;European Surveillance of Antimicrobial Consumption (ESAC). Disease-specific quality indicators for outpatient antibiotic prescribing&lt;/title&gt;&lt;secondary-title&gt;BMJ Qual Saf&lt;/secondary-title&gt;&lt;/titles&gt;&lt;periodical&gt;&lt;full-title&gt;BMJ Qual Saf&lt;/full-title&gt;&lt;/periodical&gt;&lt;pages&gt;764-772&lt;/pages&gt;&lt;volume&gt;20&lt;/volume&gt;&lt;dates&gt;&lt;year&gt;2011&lt;/year&gt;&lt;/dates&gt;&lt;urls&gt;&lt;/urls&gt;&lt;/record&gt;&lt;/Cite&gt;&lt;/EndNote&gt;</w:instrText>
        </w:r>
        <w:r w:rsidRPr="00190CB7">
          <w:rPr>
            <w:sz w:val="18"/>
            <w:szCs w:val="18"/>
          </w:rPr>
          <w:fldChar w:fldCharType="separate"/>
        </w:r>
        <w:r w:rsidRPr="00190CB7">
          <w:rPr>
            <w:noProof/>
            <w:sz w:val="18"/>
            <w:szCs w:val="18"/>
            <w:vertAlign w:val="superscript"/>
          </w:rPr>
          <w:t>5</w:t>
        </w:r>
        <w:r w:rsidRPr="00190CB7">
          <w:rPr>
            <w:sz w:val="18"/>
            <w:szCs w:val="18"/>
          </w:rPr>
          <w:fldChar w:fldCharType="end"/>
        </w:r>
      </w:hyperlink>
    </w:p>
    <w:p w:rsidR="00C5112F" w:rsidRPr="00190CB7" w:rsidRDefault="00C5112F" w:rsidP="00C5112F">
      <w:pPr>
        <w:rPr>
          <w:sz w:val="18"/>
          <w:szCs w:val="18"/>
        </w:rPr>
      </w:pPr>
      <w:r w:rsidRPr="00190CB7">
        <w:rPr>
          <w:sz w:val="18"/>
          <w:szCs w:val="18"/>
        </w:rPr>
        <w:t xml:space="preserve">Source: NPS </w:t>
      </w:r>
      <w:proofErr w:type="spellStart"/>
      <w:r w:rsidRPr="00190CB7">
        <w:rPr>
          <w:sz w:val="18"/>
          <w:szCs w:val="18"/>
        </w:rPr>
        <w:t>MedicineWise</w:t>
      </w:r>
      <w:proofErr w:type="spellEnd"/>
      <w:r w:rsidRPr="00190CB7">
        <w:rPr>
          <w:sz w:val="18"/>
          <w:szCs w:val="18"/>
        </w:rPr>
        <w:t xml:space="preserve"> </w:t>
      </w:r>
      <w:proofErr w:type="spellStart"/>
      <w:r w:rsidRPr="00190CB7">
        <w:rPr>
          <w:sz w:val="18"/>
          <w:szCs w:val="18"/>
        </w:rPr>
        <w:t>MedicineInsight</w:t>
      </w:r>
      <w:proofErr w:type="spellEnd"/>
    </w:p>
    <w:p w:rsidR="00C5112F" w:rsidRPr="006A532B" w:rsidRDefault="00C5112F" w:rsidP="00E66C30">
      <w:pPr>
        <w:spacing w:before="240"/>
        <w:rPr>
          <w:color w:val="000000"/>
          <w:szCs w:val="22"/>
        </w:rPr>
      </w:pPr>
      <w:r w:rsidRPr="006A532B">
        <w:rPr>
          <w:color w:val="000000"/>
          <w:szCs w:val="22"/>
        </w:rPr>
        <w:t>Th</w:t>
      </w:r>
      <w:r w:rsidR="00F1779F">
        <w:rPr>
          <w:color w:val="000000"/>
          <w:szCs w:val="22"/>
        </w:rPr>
        <w:t>ese</w:t>
      </w:r>
      <w:r w:rsidRPr="006A532B">
        <w:rPr>
          <w:color w:val="000000"/>
          <w:szCs w:val="22"/>
        </w:rPr>
        <w:t xml:space="preserve"> </w:t>
      </w:r>
      <w:r>
        <w:rPr>
          <w:color w:val="000000"/>
          <w:szCs w:val="22"/>
        </w:rPr>
        <w:t>upper respiratory tract infection</w:t>
      </w:r>
      <w:r w:rsidRPr="006A532B">
        <w:rPr>
          <w:color w:val="000000"/>
          <w:szCs w:val="22"/>
        </w:rPr>
        <w:t xml:space="preserve"> data </w:t>
      </w:r>
      <w:r w:rsidR="00F1779F">
        <w:rPr>
          <w:color w:val="000000"/>
          <w:szCs w:val="22"/>
        </w:rPr>
        <w:t xml:space="preserve">are </w:t>
      </w:r>
      <w:r w:rsidRPr="006A532B">
        <w:rPr>
          <w:color w:val="000000"/>
          <w:szCs w:val="22"/>
        </w:rPr>
        <w:t>similar to th</w:t>
      </w:r>
      <w:r>
        <w:rPr>
          <w:color w:val="000000"/>
          <w:szCs w:val="22"/>
        </w:rPr>
        <w:t>at</w:t>
      </w:r>
      <w:r w:rsidRPr="006A532B">
        <w:rPr>
          <w:color w:val="000000"/>
          <w:szCs w:val="22"/>
        </w:rPr>
        <w:t xml:space="preserve"> reported in the annual </w:t>
      </w:r>
      <w:r w:rsidRPr="006A532B">
        <w:rPr>
          <w:i/>
          <w:color w:val="000000"/>
          <w:szCs w:val="22"/>
        </w:rPr>
        <w:t xml:space="preserve">Report on government services </w:t>
      </w:r>
      <w:r w:rsidRPr="006A532B">
        <w:rPr>
          <w:color w:val="000000"/>
          <w:szCs w:val="22"/>
        </w:rPr>
        <w:t>(ROGS).</w:t>
      </w:r>
      <w:hyperlink w:anchor="_ENREF_6" w:tooltip="Steering Committee for the Review of Government Service Provision, 2015 #7" w:history="1">
        <w:r w:rsidRPr="006A532B">
          <w:rPr>
            <w:color w:val="000000"/>
            <w:szCs w:val="22"/>
          </w:rPr>
          <w:fldChar w:fldCharType="begin"/>
        </w:r>
        <w:r w:rsidRPr="006A532B">
          <w:rPr>
            <w:color w:val="000000"/>
            <w:szCs w:val="22"/>
          </w:rPr>
          <w:instrText xml:space="preserve"> ADDIN EN.CITE &lt;EndNote&gt;&lt;Cite&gt;&lt;Author&gt;Steering Committee for the Review of Government Service Provision&lt;/Author&gt;&lt;Year&gt;2015&lt;/Year&gt;&lt;RecNum&gt;7&lt;/RecNum&gt;&lt;DisplayText&gt;&lt;style face="superscript"&gt;6&lt;/style&gt;&lt;/DisplayText&gt;&lt;record&gt;&lt;rec-number&gt;7&lt;/rec-number&gt;&lt;foreign-keys&gt;&lt;key app="EN" db-id="rfdrt5f982tppcedt23vfxzvp52ea529f2pd"&gt;7&lt;/key&gt;&lt;/foreign-keys&gt;&lt;ref-type name="Generic"&gt;13&lt;/ref-type&gt;&lt;contributors&gt;&lt;authors&gt;&lt;author&gt;Steering Committee for the Review of Government Service Provision,.&lt;/author&gt;&lt;/authors&gt;&lt;/contributors&gt;&lt;titles&gt;&lt;title&gt;Report on Government Services Volume E: Health&lt;/title&gt;&lt;/titles&gt;&lt;dates&gt;&lt;year&gt;2015&lt;/year&gt;&lt;pub-dates&gt;&lt;date&gt;September&lt;/date&gt;&lt;/pub-dates&gt;&lt;/dates&gt;&lt;pub-location&gt;Canberra&lt;/pub-location&gt;&lt;publisher&gt;Productivity Commission&lt;/publisher&gt;&lt;urls&gt;&lt;related-urls&gt;&lt;url&gt;http://www.safetyandquality.gov.au/wp-content/uploads/2011/09/NSQHS-Standards-Sept-2012.pdf&lt;/url&gt;&lt;/related-urls&gt;&lt;/urls&gt;&lt;/record&gt;&lt;/Cite&gt;&lt;/EndNote&gt;</w:instrText>
        </w:r>
        <w:r w:rsidRPr="006A532B">
          <w:rPr>
            <w:color w:val="000000"/>
            <w:szCs w:val="22"/>
          </w:rPr>
          <w:fldChar w:fldCharType="separate"/>
        </w:r>
        <w:r w:rsidRPr="006A532B">
          <w:rPr>
            <w:noProof/>
            <w:color w:val="000000"/>
            <w:szCs w:val="22"/>
            <w:vertAlign w:val="superscript"/>
          </w:rPr>
          <w:t>6</w:t>
        </w:r>
        <w:r w:rsidRPr="006A532B">
          <w:rPr>
            <w:color w:val="000000"/>
            <w:szCs w:val="22"/>
          </w:rPr>
          <w:fldChar w:fldCharType="end"/>
        </w:r>
      </w:hyperlink>
      <w:r w:rsidRPr="006A532B">
        <w:rPr>
          <w:color w:val="000000"/>
          <w:szCs w:val="22"/>
        </w:rPr>
        <w:t xml:space="preserve"> The R</w:t>
      </w:r>
      <w:r>
        <w:rPr>
          <w:color w:val="000000"/>
          <w:szCs w:val="22"/>
        </w:rPr>
        <w:t>OGS publishes data about acute upper respiratory tract infection</w:t>
      </w:r>
      <w:r w:rsidRPr="006A532B">
        <w:rPr>
          <w:color w:val="000000"/>
          <w:szCs w:val="22"/>
        </w:rPr>
        <w:t xml:space="preserve"> management as an Australian Government indicator of appropriate antibacterial use in the community.</w:t>
      </w:r>
      <w:hyperlink w:anchor="_ENREF_6" w:tooltip="Steering Committee for the Review of Government Service Provision, 2015 #7" w:history="1">
        <w:r w:rsidRPr="006A532B">
          <w:rPr>
            <w:color w:val="000000"/>
            <w:szCs w:val="22"/>
          </w:rPr>
          <w:fldChar w:fldCharType="begin"/>
        </w:r>
        <w:r w:rsidRPr="006A532B">
          <w:rPr>
            <w:color w:val="000000"/>
            <w:szCs w:val="22"/>
          </w:rPr>
          <w:instrText xml:space="preserve"> ADDIN EN.CITE &lt;EndNote&gt;&lt;Cite&gt;&lt;Author&gt;Steering Committee for the Review of Government Service Provision&lt;/Author&gt;&lt;Year&gt;2015&lt;/Year&gt;&lt;RecNum&gt;7&lt;/RecNum&gt;&lt;DisplayText&gt;&lt;style face="superscript"&gt;6&lt;/style&gt;&lt;/DisplayText&gt;&lt;record&gt;&lt;rec-number&gt;7&lt;/rec-number&gt;&lt;foreign-keys&gt;&lt;key app="EN" db-id="rfdrt5f982tppcedt23vfxzvp52ea529f2pd"&gt;7&lt;/key&gt;&lt;/foreign-keys&gt;&lt;ref-type name="Generic"&gt;13&lt;/ref-type&gt;&lt;contributors&gt;&lt;authors&gt;&lt;author&gt;Steering Committee for the Review of Government Service Provision,.&lt;/author&gt;&lt;/authors&gt;&lt;/contributors&gt;&lt;titles&gt;&lt;title&gt;Report on Government Services Volume E: Health&lt;/title&gt;&lt;/titles&gt;&lt;dates&gt;&lt;year&gt;2015&lt;/year&gt;&lt;pub-dates&gt;&lt;date&gt;September&lt;/date&gt;&lt;/pub-dates&gt;&lt;/dates&gt;&lt;pub-location&gt;Canberra&lt;/pub-location&gt;&lt;publisher&gt;Productivity Commission&lt;/publisher&gt;&lt;urls&gt;&lt;related-urls&gt;&lt;url&gt;http://www.safetyandquality.gov.au/wp-content/uploads/2011/09/NSQHS-Standards-Sept-2012.pdf&lt;/url&gt;&lt;/related-urls&gt;&lt;/urls&gt;&lt;/record&gt;&lt;/Cite&gt;&lt;/EndNote&gt;</w:instrText>
        </w:r>
        <w:r w:rsidRPr="006A532B">
          <w:rPr>
            <w:color w:val="000000"/>
            <w:szCs w:val="22"/>
          </w:rPr>
          <w:fldChar w:fldCharType="separate"/>
        </w:r>
        <w:r w:rsidRPr="006A532B">
          <w:rPr>
            <w:noProof/>
            <w:color w:val="000000"/>
            <w:szCs w:val="22"/>
            <w:vertAlign w:val="superscript"/>
          </w:rPr>
          <w:t>6</w:t>
        </w:r>
        <w:r w:rsidRPr="006A532B">
          <w:rPr>
            <w:color w:val="000000"/>
            <w:szCs w:val="22"/>
          </w:rPr>
          <w:fldChar w:fldCharType="end"/>
        </w:r>
      </w:hyperlink>
      <w:r w:rsidRPr="006A532B">
        <w:rPr>
          <w:color w:val="000000"/>
          <w:szCs w:val="22"/>
        </w:rPr>
        <w:t xml:space="preserve"> This indicator has two measures:</w:t>
      </w:r>
    </w:p>
    <w:p w:rsidR="00C5112F" w:rsidRPr="00053DCE" w:rsidRDefault="00C5112F" w:rsidP="00C5112F">
      <w:pPr>
        <w:pStyle w:val="ListParagraph"/>
        <w:numPr>
          <w:ilvl w:val="0"/>
          <w:numId w:val="32"/>
        </w:numPr>
        <w:rPr>
          <w:color w:val="000000"/>
          <w:szCs w:val="22"/>
        </w:rPr>
      </w:pPr>
      <w:r w:rsidRPr="00053DCE">
        <w:rPr>
          <w:color w:val="000000"/>
          <w:szCs w:val="22"/>
        </w:rPr>
        <w:t xml:space="preserve">filled  general practitioner (GP) prescriptions for selected </w:t>
      </w:r>
      <w:proofErr w:type="spellStart"/>
      <w:r w:rsidRPr="00053DCE">
        <w:rPr>
          <w:color w:val="000000"/>
          <w:szCs w:val="22"/>
        </w:rPr>
        <w:t>antibacterials</w:t>
      </w:r>
      <w:proofErr w:type="spellEnd"/>
      <w:r w:rsidRPr="00053DCE">
        <w:rPr>
          <w:color w:val="000000"/>
          <w:szCs w:val="22"/>
        </w:rPr>
        <w:t xml:space="preserve"> per 1000 people</w:t>
      </w:r>
      <w:r w:rsidRPr="00053DCE">
        <w:rPr>
          <w:rStyle w:val="FootnoteReference"/>
          <w:color w:val="000000"/>
          <w:szCs w:val="22"/>
        </w:rPr>
        <w:footnoteReference w:id="4"/>
      </w:r>
    </w:p>
    <w:p w:rsidR="00C5112F" w:rsidRPr="00053DCE" w:rsidRDefault="00C5112F" w:rsidP="00C5112F">
      <w:pPr>
        <w:pStyle w:val="ListParagraph"/>
        <w:numPr>
          <w:ilvl w:val="0"/>
          <w:numId w:val="32"/>
        </w:numPr>
        <w:rPr>
          <w:color w:val="000000"/>
          <w:szCs w:val="22"/>
        </w:rPr>
      </w:pPr>
      <w:proofErr w:type="gramStart"/>
      <w:r w:rsidRPr="00053DCE">
        <w:rPr>
          <w:color w:val="000000"/>
          <w:szCs w:val="22"/>
        </w:rPr>
        <w:t>proportion</w:t>
      </w:r>
      <w:proofErr w:type="gramEnd"/>
      <w:r w:rsidRPr="00053DCE">
        <w:rPr>
          <w:color w:val="000000"/>
          <w:szCs w:val="22"/>
        </w:rPr>
        <w:t xml:space="preserve"> of visits to GPs for acute </w:t>
      </w:r>
      <w:r>
        <w:rPr>
          <w:color w:val="000000"/>
          <w:szCs w:val="22"/>
        </w:rPr>
        <w:t>upper respiratory tract infections</w:t>
      </w:r>
      <w:r w:rsidRPr="00053DCE">
        <w:rPr>
          <w:color w:val="000000"/>
          <w:szCs w:val="22"/>
        </w:rPr>
        <w:t xml:space="preserve"> where </w:t>
      </w:r>
      <w:proofErr w:type="spellStart"/>
      <w:r w:rsidRPr="00053DCE">
        <w:rPr>
          <w:color w:val="000000"/>
          <w:szCs w:val="22"/>
        </w:rPr>
        <w:t>antibacterials</w:t>
      </w:r>
      <w:proofErr w:type="spellEnd"/>
      <w:r w:rsidRPr="00053DCE">
        <w:rPr>
          <w:color w:val="000000"/>
          <w:szCs w:val="22"/>
        </w:rPr>
        <w:t xml:space="preserve"> were prescribed.</w:t>
      </w:r>
    </w:p>
    <w:p w:rsidR="00C5112F" w:rsidRPr="006A532B" w:rsidRDefault="00C5112F" w:rsidP="00C5112F">
      <w:pPr>
        <w:spacing w:before="120"/>
        <w:rPr>
          <w:color w:val="000000"/>
          <w:szCs w:val="22"/>
        </w:rPr>
      </w:pPr>
      <w:r w:rsidRPr="006A532B">
        <w:rPr>
          <w:color w:val="000000"/>
          <w:szCs w:val="22"/>
        </w:rPr>
        <w:t>Low or decreasing rates of these measures can</w:t>
      </w:r>
      <w:r>
        <w:rPr>
          <w:color w:val="000000"/>
          <w:szCs w:val="22"/>
        </w:rPr>
        <w:t xml:space="preserve"> show that GPs are managing upper respiratory tract infections</w:t>
      </w:r>
      <w:r w:rsidRPr="006A532B">
        <w:rPr>
          <w:color w:val="000000"/>
          <w:szCs w:val="22"/>
        </w:rPr>
        <w:t xml:space="preserve"> more closely in accordance to guidelines. </w:t>
      </w:r>
      <w:r w:rsidRPr="006A532B">
        <w:rPr>
          <w:szCs w:val="22"/>
        </w:rPr>
        <w:t>The latest data show that the:</w:t>
      </w:r>
    </w:p>
    <w:p w:rsidR="00C5112F" w:rsidRPr="00053DCE" w:rsidRDefault="00C5112F" w:rsidP="00C5112F">
      <w:pPr>
        <w:pStyle w:val="ListParagraph"/>
        <w:numPr>
          <w:ilvl w:val="0"/>
          <w:numId w:val="33"/>
        </w:numPr>
        <w:rPr>
          <w:szCs w:val="22"/>
        </w:rPr>
      </w:pPr>
      <w:r>
        <w:rPr>
          <w:szCs w:val="22"/>
        </w:rPr>
        <w:t>f</w:t>
      </w:r>
      <w:r w:rsidRPr="00053DCE">
        <w:rPr>
          <w:szCs w:val="22"/>
        </w:rPr>
        <w:t xml:space="preserve">illed GP prescription rate for selected </w:t>
      </w:r>
      <w:proofErr w:type="spellStart"/>
      <w:r w:rsidRPr="00053DCE">
        <w:rPr>
          <w:szCs w:val="22"/>
        </w:rPr>
        <w:t>antibacterials</w:t>
      </w:r>
      <w:proofErr w:type="spellEnd"/>
      <w:r w:rsidRPr="00053DCE">
        <w:rPr>
          <w:szCs w:val="22"/>
        </w:rPr>
        <w:t xml:space="preserve"> was 295 per 1000 people in 2013-14</w:t>
      </w:r>
      <w:r w:rsidRPr="00053DCE">
        <w:rPr>
          <w:rStyle w:val="FootnoteReference"/>
          <w:szCs w:val="22"/>
        </w:rPr>
        <w:footnoteReference w:id="5"/>
      </w:r>
    </w:p>
    <w:p w:rsidR="00C5112F" w:rsidRPr="00053DCE" w:rsidRDefault="00C5112F" w:rsidP="00C5112F">
      <w:pPr>
        <w:pStyle w:val="ListParagraph"/>
        <w:numPr>
          <w:ilvl w:val="0"/>
          <w:numId w:val="33"/>
        </w:numPr>
        <w:rPr>
          <w:color w:val="000000"/>
          <w:szCs w:val="22"/>
        </w:rPr>
      </w:pPr>
      <w:proofErr w:type="gramStart"/>
      <w:r>
        <w:rPr>
          <w:szCs w:val="22"/>
        </w:rPr>
        <w:t>p</w:t>
      </w:r>
      <w:r w:rsidRPr="00053DCE">
        <w:rPr>
          <w:szCs w:val="22"/>
        </w:rPr>
        <w:t>roportion</w:t>
      </w:r>
      <w:proofErr w:type="gramEnd"/>
      <w:r w:rsidRPr="00053DCE">
        <w:rPr>
          <w:szCs w:val="22"/>
        </w:rPr>
        <w:t xml:space="preserve"> </w:t>
      </w:r>
      <w:r>
        <w:rPr>
          <w:szCs w:val="22"/>
        </w:rPr>
        <w:t>of visits to GPs  for acute upper respiratory tract infections</w:t>
      </w:r>
      <w:r w:rsidRPr="00053DCE">
        <w:rPr>
          <w:szCs w:val="22"/>
        </w:rPr>
        <w:t xml:space="preserve"> where </w:t>
      </w:r>
      <w:proofErr w:type="spellStart"/>
      <w:r w:rsidRPr="00053DCE">
        <w:rPr>
          <w:szCs w:val="22"/>
        </w:rPr>
        <w:t>antibacterials</w:t>
      </w:r>
      <w:proofErr w:type="spellEnd"/>
      <w:r w:rsidRPr="00053DCE">
        <w:rPr>
          <w:szCs w:val="22"/>
        </w:rPr>
        <w:t xml:space="preserve"> were prescribed increased from 29.6% in 2009</w:t>
      </w:r>
      <w:r w:rsidRPr="00053DCE">
        <w:rPr>
          <w:szCs w:val="22"/>
        </w:rPr>
        <w:sym w:font="Symbol" w:char="F02D"/>
      </w:r>
      <w:r w:rsidRPr="00053DCE">
        <w:rPr>
          <w:szCs w:val="22"/>
        </w:rPr>
        <w:t>10 to 32.8% in 2011</w:t>
      </w:r>
      <w:r w:rsidRPr="00053DCE">
        <w:rPr>
          <w:szCs w:val="22"/>
        </w:rPr>
        <w:sym w:font="Symbol" w:char="F02D"/>
      </w:r>
      <w:r w:rsidRPr="00053DCE">
        <w:rPr>
          <w:szCs w:val="22"/>
        </w:rPr>
        <w:t>12 and decreased to 29.0% in 2013</w:t>
      </w:r>
      <w:r w:rsidRPr="00053DCE">
        <w:rPr>
          <w:szCs w:val="22"/>
        </w:rPr>
        <w:sym w:font="Symbol" w:char="F02D"/>
      </w:r>
      <w:r w:rsidRPr="00053DCE">
        <w:rPr>
          <w:szCs w:val="22"/>
        </w:rPr>
        <w:t>14.</w:t>
      </w:r>
    </w:p>
    <w:p w:rsidR="00C5112F" w:rsidRPr="009447E3" w:rsidRDefault="00C5112F" w:rsidP="00C5112F">
      <w:pPr>
        <w:spacing w:before="240"/>
        <w:rPr>
          <w:szCs w:val="22"/>
        </w:rPr>
      </w:pPr>
      <w:r w:rsidRPr="009447E3">
        <w:rPr>
          <w:color w:val="000000"/>
          <w:szCs w:val="22"/>
        </w:rPr>
        <w:t xml:space="preserve">In </w:t>
      </w:r>
      <w:r>
        <w:rPr>
          <w:color w:val="000000"/>
          <w:szCs w:val="22"/>
        </w:rPr>
        <w:t>residential aged-care facilitie</w:t>
      </w:r>
      <w:r w:rsidRPr="009447E3">
        <w:rPr>
          <w:color w:val="000000"/>
          <w:szCs w:val="22"/>
        </w:rPr>
        <w:t xml:space="preserve">s, the </w:t>
      </w:r>
      <w:proofErr w:type="spellStart"/>
      <w:r w:rsidRPr="009447E3">
        <w:rPr>
          <w:color w:val="000000"/>
          <w:szCs w:val="22"/>
        </w:rPr>
        <w:t>acNAPS</w:t>
      </w:r>
      <w:proofErr w:type="spellEnd"/>
      <w:r w:rsidRPr="009447E3">
        <w:rPr>
          <w:color w:val="000000"/>
          <w:szCs w:val="22"/>
        </w:rPr>
        <w:t xml:space="preserve"> data showed that about </w:t>
      </w:r>
      <w:r w:rsidRPr="009447E3">
        <w:rPr>
          <w:szCs w:val="22"/>
        </w:rPr>
        <w:t>one in five prescriptions</w:t>
      </w:r>
      <w:r w:rsidRPr="009447E3">
        <w:rPr>
          <w:color w:val="000000"/>
          <w:szCs w:val="22"/>
        </w:rPr>
        <w:t xml:space="preserve"> </w:t>
      </w:r>
      <w:r w:rsidRPr="009447E3">
        <w:rPr>
          <w:szCs w:val="22"/>
        </w:rPr>
        <w:t>(21.7%; 119 of 548) were for residents with no</w:t>
      </w:r>
      <w:r w:rsidRPr="009447E3">
        <w:rPr>
          <w:color w:val="000000"/>
          <w:szCs w:val="22"/>
        </w:rPr>
        <w:t xml:space="preserve"> </w:t>
      </w:r>
      <w:r w:rsidRPr="009447E3">
        <w:rPr>
          <w:szCs w:val="22"/>
        </w:rPr>
        <w:t>signs or symptoms of infection during the</w:t>
      </w:r>
      <w:r w:rsidRPr="009447E3">
        <w:rPr>
          <w:color w:val="000000"/>
          <w:szCs w:val="22"/>
        </w:rPr>
        <w:t xml:space="preserve"> </w:t>
      </w:r>
      <w:r w:rsidRPr="009447E3">
        <w:rPr>
          <w:szCs w:val="22"/>
        </w:rPr>
        <w:t>week before the</w:t>
      </w:r>
      <w:r w:rsidRPr="009447E3">
        <w:rPr>
          <w:color w:val="000000"/>
          <w:szCs w:val="22"/>
        </w:rPr>
        <w:t xml:space="preserve"> </w:t>
      </w:r>
      <w:r w:rsidRPr="009447E3">
        <w:rPr>
          <w:szCs w:val="22"/>
        </w:rPr>
        <w:t>antibacterial or antifungal was prescribed.</w:t>
      </w:r>
      <w:hyperlink w:anchor="_ENREF_4" w:tooltip="National Centre for Antimicrobial Stewardship and Australian Commission on Safety and Quality in Health Care., 2016 #10" w:history="1">
        <w:r w:rsidRPr="009447E3">
          <w:rPr>
            <w:szCs w:val="22"/>
          </w:rPr>
          <w:fldChar w:fldCharType="begin"/>
        </w:r>
        <w:r w:rsidRPr="009447E3">
          <w:rPr>
            <w:szCs w:val="22"/>
          </w:rPr>
          <w:instrText xml:space="preserve"> ADDIN EN.CITE &lt;EndNote&gt;&lt;Cite&gt;&lt;Author&gt;National Centre for Antimicrobial Stewardship and Australian Commission on Safety and Quality in Health Care.&lt;/Author&gt;&lt;Year&gt;2016&lt;/Year&gt;&lt;RecNum&gt;10&lt;/RecNum&gt;&lt;DisplayText&gt;&lt;style face="superscript"&gt;4&lt;/style&gt;&lt;/DisplayText&gt;&lt;record&gt;&lt;rec-number&gt;10&lt;/rec-number&gt;&lt;foreign-keys&gt;&lt;key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9447E3">
          <w:rPr>
            <w:szCs w:val="22"/>
          </w:rPr>
          <w:fldChar w:fldCharType="separate"/>
        </w:r>
        <w:r w:rsidRPr="009447E3">
          <w:rPr>
            <w:noProof/>
            <w:szCs w:val="22"/>
            <w:vertAlign w:val="superscript"/>
          </w:rPr>
          <w:t>4</w:t>
        </w:r>
        <w:r w:rsidRPr="009447E3">
          <w:rPr>
            <w:szCs w:val="22"/>
          </w:rPr>
          <w:fldChar w:fldCharType="end"/>
        </w:r>
      </w:hyperlink>
      <w:r w:rsidRPr="009447E3">
        <w:rPr>
          <w:color w:val="000000"/>
          <w:szCs w:val="22"/>
        </w:rPr>
        <w:t xml:space="preserve"> </w:t>
      </w:r>
      <w:r w:rsidRPr="009447E3">
        <w:rPr>
          <w:szCs w:val="22"/>
        </w:rPr>
        <w:t>It is likely that these were prescribed inappropriately.</w:t>
      </w:r>
      <w:hyperlink w:anchor="_ENREF_4" w:tooltip="National Centre for Antimicrobial Stewardship and Australian Commission on Safety and Quality in Health Care., 2016 #10" w:history="1">
        <w:r w:rsidRPr="009447E3">
          <w:rPr>
            <w:szCs w:val="22"/>
          </w:rPr>
          <w:fldChar w:fldCharType="begin"/>
        </w:r>
        <w:r w:rsidRPr="009447E3">
          <w:rPr>
            <w:szCs w:val="22"/>
          </w:rPr>
          <w:instrText xml:space="preserve"> ADDIN EN.CITE &lt;EndNote&gt;&lt;Cite&gt;&lt;Author&gt;National Centre for Antimicrobial Stewardship and Australian Commission on Safety and Quality in Health Care.&lt;/Author&gt;&lt;Year&gt;2016&lt;/Year&gt;&lt;RecNum&gt;10&lt;/RecNum&gt;&lt;DisplayText&gt;&lt;style face="superscript"&gt;4&lt;/style&gt;&lt;/DisplayText&gt;&lt;record&gt;&lt;rec-number&gt;10&lt;/rec-number&gt;&lt;foreign-keys&gt;&lt;key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9447E3">
          <w:rPr>
            <w:szCs w:val="22"/>
          </w:rPr>
          <w:fldChar w:fldCharType="separate"/>
        </w:r>
        <w:r w:rsidRPr="009447E3">
          <w:rPr>
            <w:noProof/>
            <w:szCs w:val="22"/>
            <w:vertAlign w:val="superscript"/>
          </w:rPr>
          <w:t>4</w:t>
        </w:r>
        <w:r w:rsidRPr="009447E3">
          <w:rPr>
            <w:szCs w:val="22"/>
          </w:rPr>
          <w:fldChar w:fldCharType="end"/>
        </w:r>
      </w:hyperlink>
      <w:r w:rsidRPr="009447E3">
        <w:rPr>
          <w:szCs w:val="22"/>
        </w:rPr>
        <w:t xml:space="preserve"> For</w:t>
      </w:r>
      <w:r w:rsidRPr="009447E3">
        <w:rPr>
          <w:color w:val="000000"/>
          <w:szCs w:val="22"/>
        </w:rPr>
        <w:t xml:space="preserve"> </w:t>
      </w:r>
      <w:r w:rsidRPr="009447E3">
        <w:rPr>
          <w:szCs w:val="22"/>
        </w:rPr>
        <w:t>residents showing signs or symptoms</w:t>
      </w:r>
      <w:r w:rsidRPr="009447E3">
        <w:rPr>
          <w:color w:val="000000"/>
          <w:szCs w:val="22"/>
        </w:rPr>
        <w:t xml:space="preserve"> </w:t>
      </w:r>
      <w:r w:rsidRPr="009447E3">
        <w:rPr>
          <w:szCs w:val="22"/>
        </w:rPr>
        <w:t>of infection during the week before an</w:t>
      </w:r>
      <w:r w:rsidRPr="009447E3">
        <w:rPr>
          <w:color w:val="000000"/>
          <w:szCs w:val="22"/>
        </w:rPr>
        <w:t xml:space="preserve"> </w:t>
      </w:r>
      <w:r w:rsidRPr="009447E3">
        <w:rPr>
          <w:szCs w:val="22"/>
        </w:rPr>
        <w:t>antibacterial or antifungal was prescribed, about one in three prescriptions</w:t>
      </w:r>
      <w:r w:rsidRPr="009447E3">
        <w:rPr>
          <w:color w:val="000000"/>
          <w:szCs w:val="22"/>
        </w:rPr>
        <w:t xml:space="preserve"> </w:t>
      </w:r>
      <w:r w:rsidRPr="009447E3">
        <w:rPr>
          <w:szCs w:val="22"/>
        </w:rPr>
        <w:t>(33.6%; 158 of 470) were for</w:t>
      </w:r>
      <w:r w:rsidRPr="009447E3">
        <w:rPr>
          <w:color w:val="000000"/>
          <w:szCs w:val="22"/>
        </w:rPr>
        <w:t xml:space="preserve"> </w:t>
      </w:r>
      <w:r w:rsidRPr="009447E3">
        <w:rPr>
          <w:szCs w:val="22"/>
        </w:rPr>
        <w:t xml:space="preserve">indications that met the </w:t>
      </w:r>
      <w:proofErr w:type="spellStart"/>
      <w:r w:rsidRPr="009447E3">
        <w:rPr>
          <w:szCs w:val="22"/>
        </w:rPr>
        <w:t>McGeer</w:t>
      </w:r>
      <w:proofErr w:type="spellEnd"/>
      <w:r w:rsidRPr="009447E3">
        <w:rPr>
          <w:szCs w:val="22"/>
        </w:rPr>
        <w:t xml:space="preserve"> infection</w:t>
      </w:r>
      <w:r w:rsidRPr="009447E3">
        <w:rPr>
          <w:color w:val="000000"/>
          <w:szCs w:val="22"/>
        </w:rPr>
        <w:t xml:space="preserve"> </w:t>
      </w:r>
      <w:r w:rsidRPr="009447E3">
        <w:rPr>
          <w:szCs w:val="22"/>
        </w:rPr>
        <w:t>criteria</w:t>
      </w:r>
      <w:r>
        <w:rPr>
          <w:szCs w:val="22"/>
        </w:rPr>
        <w:t>.</w:t>
      </w:r>
      <w:r w:rsidRPr="009447E3">
        <w:rPr>
          <w:rStyle w:val="FootnoteReference"/>
          <w:szCs w:val="22"/>
        </w:rPr>
        <w:footnoteReference w:id="6"/>
      </w:r>
      <w:r w:rsidRPr="006F731D">
        <w:rPr>
          <w:szCs w:val="22"/>
          <w:vertAlign w:val="superscript"/>
        </w:rPr>
        <w:t>,</w:t>
      </w:r>
      <w:r w:rsidRPr="009447E3">
        <w:rPr>
          <w:szCs w:val="22"/>
        </w:rPr>
        <w:fldChar w:fldCharType="begin"/>
      </w:r>
      <w:r w:rsidRPr="009447E3">
        <w:rPr>
          <w:szCs w:val="22"/>
        </w:rPr>
        <w:instrText xml:space="preserve"> ADDIN EN.CITE &lt;EndNote&gt;&lt;Cite&gt;&lt;Author&gt;National Centre for Antimicrobial Stewardship and Australian Commission on Safety and Quality in Health Care.&lt;/Author&gt;&lt;Year&gt;2016&lt;/Year&gt;&lt;RecNum&gt;10&lt;/RecNum&gt;&lt;DisplayText&gt;&lt;style face="superscript"&gt;4, 7&lt;/style&gt;&lt;/DisplayText&gt;&lt;record&gt;&lt;rec-number&gt;10&lt;/rec-number&gt;&lt;foreign-keys&gt;&lt;key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Cite&gt;&lt;Author&gt;McGeer&lt;/Author&gt;&lt;Year&gt;1991&lt;/Year&gt;&lt;RecNum&gt;21&lt;/RecNum&gt;&lt;record&gt;&lt;rec-number&gt;21&lt;/rec-number&gt;&lt;foreign-keys&gt;&lt;key app="EN" db-id="rfdrt5f982tppcedt23vfxzvp52ea529f2pd"&gt;21&lt;/key&gt;&lt;/foreign-keys&gt;&lt;ref-type name="Journal Article"&gt;17&lt;/ref-type&gt;&lt;contributors&gt;&lt;authors&gt;&lt;author&gt;McGeer, A.&lt;/author&gt;&lt;author&gt;Campbell, B.&lt;/author&gt;&lt;author&gt;Emor, T.G.&lt;/author&gt;&lt;author&gt;Hierholzer, W.J.&lt;/author&gt;&lt;author&gt;Jackson, M.M.&lt;/author&gt;&lt;author&gt;Nicolle, L.E.&lt;/author&gt;&lt;author&gt;Peppler, C.&lt;/author&gt;&lt;/authors&gt;&lt;/contributors&gt;&lt;titles&gt;&lt;title&gt;Definitions of infections for surveillance in long-term care facilities&lt;/title&gt;&lt;secondary-title&gt;Am J Infect Control&lt;/secondary-title&gt;&lt;/titles&gt;&lt;periodical&gt;&lt;full-title&gt;Am J Infect Control&lt;/full-title&gt;&lt;/periodical&gt;&lt;pages&gt;1-7&lt;/pages&gt;&lt;volume&gt;19&lt;/volume&gt;&lt;dates&gt;&lt;year&gt;1991&lt;/year&gt;&lt;/dates&gt;&lt;urls&gt;&lt;/urls&gt;&lt;/record&gt;&lt;/Cite&gt;&lt;/EndNote&gt;</w:instrText>
      </w:r>
      <w:r w:rsidRPr="009447E3">
        <w:rPr>
          <w:szCs w:val="22"/>
        </w:rPr>
        <w:fldChar w:fldCharType="separate"/>
      </w:r>
      <w:hyperlink w:anchor="_ENREF_4" w:tooltip="National Centre for Antimicrobial Stewardship and Australian Commission on Safety and Quality in Health Care., 2016 #10" w:history="1">
        <w:r w:rsidRPr="009447E3">
          <w:rPr>
            <w:noProof/>
            <w:szCs w:val="22"/>
            <w:vertAlign w:val="superscript"/>
          </w:rPr>
          <w:t>4</w:t>
        </w:r>
      </w:hyperlink>
      <w:r w:rsidRPr="009447E3">
        <w:rPr>
          <w:noProof/>
          <w:szCs w:val="22"/>
          <w:vertAlign w:val="superscript"/>
        </w:rPr>
        <w:t xml:space="preserve">, </w:t>
      </w:r>
      <w:hyperlink w:anchor="_ENREF_7" w:tooltip="McGeer, 1991 #21" w:history="1">
        <w:r w:rsidRPr="009447E3">
          <w:rPr>
            <w:noProof/>
            <w:szCs w:val="22"/>
            <w:vertAlign w:val="superscript"/>
          </w:rPr>
          <w:t>7</w:t>
        </w:r>
      </w:hyperlink>
      <w:r w:rsidRPr="009447E3">
        <w:rPr>
          <w:szCs w:val="22"/>
        </w:rPr>
        <w:fldChar w:fldCharType="end"/>
      </w:r>
      <w:r w:rsidRPr="009447E3">
        <w:rPr>
          <w:szCs w:val="22"/>
        </w:rPr>
        <w:t xml:space="preserve"> It is possible that about two in three of these were prescribed inappropriately (using </w:t>
      </w:r>
      <w:proofErr w:type="spellStart"/>
      <w:r w:rsidRPr="009447E3">
        <w:rPr>
          <w:szCs w:val="22"/>
        </w:rPr>
        <w:t>McGeer</w:t>
      </w:r>
      <w:proofErr w:type="spellEnd"/>
      <w:r w:rsidRPr="009447E3">
        <w:rPr>
          <w:szCs w:val="22"/>
        </w:rPr>
        <w:t xml:space="preserve"> infection criteria as a surrogate measure of appropriateness).</w:t>
      </w:r>
      <w:hyperlink w:anchor="_ENREF_4" w:tooltip="National Centre for Antimicrobial Stewardship and Australian Commission on Safety and Quality in Health Care., 2016 #10" w:history="1">
        <w:r w:rsidRPr="009447E3">
          <w:rPr>
            <w:szCs w:val="22"/>
          </w:rPr>
          <w:fldChar w:fldCharType="begin"/>
        </w:r>
        <w:r w:rsidRPr="009447E3">
          <w:rPr>
            <w:szCs w:val="22"/>
          </w:rPr>
          <w:instrText xml:space="preserve"> ADDIN EN.CITE &lt;EndNote&gt;&lt;Cite&gt;&lt;Author&gt;National Centre for Antimicrobial Stewardship and Australian Commission on Safety and Quality in Health Care.&lt;/Author&gt;&lt;Year&gt;2016&lt;/Year&gt;&lt;RecNum&gt;10&lt;/RecNum&gt;&lt;DisplayText&gt;&lt;style face="superscript"&gt;4&lt;/style&gt;&lt;/DisplayText&gt;&lt;record&gt;&lt;rec-number&gt;10&lt;/rec-number&gt;&lt;foreign-keys&gt;&lt;key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9447E3">
          <w:rPr>
            <w:szCs w:val="22"/>
          </w:rPr>
          <w:fldChar w:fldCharType="separate"/>
        </w:r>
        <w:r w:rsidRPr="009447E3">
          <w:rPr>
            <w:noProof/>
            <w:szCs w:val="22"/>
            <w:vertAlign w:val="superscript"/>
          </w:rPr>
          <w:t>4</w:t>
        </w:r>
        <w:r w:rsidRPr="009447E3">
          <w:rPr>
            <w:szCs w:val="22"/>
          </w:rPr>
          <w:fldChar w:fldCharType="end"/>
        </w:r>
      </w:hyperlink>
      <w:r w:rsidRPr="009447E3">
        <w:rPr>
          <w:szCs w:val="22"/>
        </w:rPr>
        <w:t xml:space="preserve"> Only 11.9% of residents with urinary tract infections, 30.5% with respiratory tract infections, and 48.3% with skin, soft tissue, eye or oral infections prescribed an antibacterial or an antifungal had infections that met the </w:t>
      </w:r>
      <w:proofErr w:type="spellStart"/>
      <w:r w:rsidRPr="009447E3">
        <w:rPr>
          <w:szCs w:val="22"/>
        </w:rPr>
        <w:t>McGeer</w:t>
      </w:r>
      <w:proofErr w:type="spellEnd"/>
      <w:r w:rsidRPr="009447E3">
        <w:rPr>
          <w:szCs w:val="22"/>
        </w:rPr>
        <w:t xml:space="preserve"> criteria. Finally, about one in three prescriptions (31.4%) were for more than six months before the audit date and only 2% of these had a review or stop-date documented.</w:t>
      </w:r>
      <w:hyperlink w:anchor="_ENREF_1" w:tooltip="Australian Commission on Safety and Quality in Health Care, 2016 #8" w:history="1">
        <w:r w:rsidRPr="009447E3">
          <w:rPr>
            <w:szCs w:val="22"/>
          </w:rPr>
          <w:fldChar w:fldCharType="begin"/>
        </w:r>
        <w:r w:rsidRPr="009447E3">
          <w:rPr>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9447E3">
          <w:rPr>
            <w:szCs w:val="22"/>
          </w:rPr>
          <w:fldChar w:fldCharType="separate"/>
        </w:r>
        <w:r w:rsidRPr="009447E3">
          <w:rPr>
            <w:noProof/>
            <w:szCs w:val="22"/>
            <w:vertAlign w:val="superscript"/>
          </w:rPr>
          <w:t>1</w:t>
        </w:r>
        <w:r w:rsidRPr="009447E3">
          <w:rPr>
            <w:szCs w:val="22"/>
          </w:rPr>
          <w:fldChar w:fldCharType="end"/>
        </w:r>
      </w:hyperlink>
    </w:p>
    <w:p w:rsidR="00C5112F" w:rsidRPr="009447E3" w:rsidRDefault="00C5112F" w:rsidP="0075258C">
      <w:pPr>
        <w:pStyle w:val="Heading1"/>
      </w:pPr>
      <w:r w:rsidRPr="009447E3">
        <w:lastRenderedPageBreak/>
        <w:t xml:space="preserve">Data </w:t>
      </w:r>
      <w:r w:rsidRPr="0075258C">
        <w:t>sources</w:t>
      </w:r>
    </w:p>
    <w:p w:rsidR="00C5112F" w:rsidRDefault="00C5112F" w:rsidP="00C5112F">
      <w:pPr>
        <w:rPr>
          <w:rFonts w:eastAsia="MS Gothic" w:cs="Gotham Bold"/>
          <w:b/>
          <w:bCs/>
          <w:iCs/>
          <w:color w:val="4F81BD"/>
        </w:rPr>
      </w:pPr>
      <w:r w:rsidRPr="009447E3">
        <w:rPr>
          <w:color w:val="000000"/>
          <w:szCs w:val="22"/>
        </w:rPr>
        <w:t>Data about prescribing, use and appropriateness comes from several sources (see Table 8). Together th</w:t>
      </w:r>
      <w:r w:rsidR="00F1779F">
        <w:rPr>
          <w:color w:val="000000"/>
          <w:szCs w:val="22"/>
        </w:rPr>
        <w:t>e</w:t>
      </w:r>
      <w:r>
        <w:rPr>
          <w:color w:val="000000"/>
          <w:szCs w:val="22"/>
        </w:rPr>
        <w:t>s</w:t>
      </w:r>
      <w:r w:rsidR="00F1779F">
        <w:rPr>
          <w:color w:val="000000"/>
          <w:szCs w:val="22"/>
        </w:rPr>
        <w:t>e</w:t>
      </w:r>
      <w:r w:rsidRPr="009447E3">
        <w:rPr>
          <w:color w:val="000000"/>
          <w:szCs w:val="22"/>
        </w:rPr>
        <w:t xml:space="preserve"> data provide information from hospitals, the community and </w:t>
      </w:r>
      <w:r>
        <w:rPr>
          <w:color w:val="000000"/>
          <w:szCs w:val="22"/>
        </w:rPr>
        <w:t>residential aged-care facilities</w:t>
      </w:r>
      <w:r w:rsidRPr="009447E3">
        <w:rPr>
          <w:color w:val="000000"/>
          <w:szCs w:val="22"/>
        </w:rPr>
        <w:t>. For more information about th</w:t>
      </w:r>
      <w:r w:rsidR="00F1779F">
        <w:rPr>
          <w:color w:val="000000"/>
          <w:szCs w:val="22"/>
        </w:rPr>
        <w:t>ese</w:t>
      </w:r>
      <w:r w:rsidRPr="009447E3">
        <w:rPr>
          <w:color w:val="000000"/>
          <w:szCs w:val="22"/>
        </w:rPr>
        <w:t xml:space="preserve"> data – including limitations and considerations for interpretation – refer to C</w:t>
      </w:r>
      <w:r>
        <w:rPr>
          <w:color w:val="000000"/>
          <w:szCs w:val="22"/>
        </w:rPr>
        <w:t>hapter 2 and Appendix </w:t>
      </w:r>
      <w:r w:rsidRPr="009447E3">
        <w:rPr>
          <w:color w:val="000000"/>
          <w:szCs w:val="22"/>
        </w:rPr>
        <w:t xml:space="preserve">1 of </w:t>
      </w:r>
      <w:r w:rsidRPr="003461CC">
        <w:rPr>
          <w:color w:val="000000"/>
          <w:szCs w:val="22"/>
        </w:rPr>
        <w:t>AURA 2016.</w:t>
      </w:r>
      <w:hyperlink w:anchor="_ENREF_1" w:tooltip="Australian Commission on Safety and Quality in Health Care, 2016 #8" w:history="1">
        <w:r w:rsidRPr="009447E3">
          <w:rPr>
            <w:color w:val="000000"/>
            <w:szCs w:val="22"/>
          </w:rPr>
          <w:fldChar w:fldCharType="begin"/>
        </w:r>
        <w:r w:rsidRPr="009447E3">
          <w:rPr>
            <w:color w:val="000000"/>
            <w:szCs w:val="22"/>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9447E3">
          <w:rPr>
            <w:color w:val="000000"/>
            <w:szCs w:val="22"/>
          </w:rPr>
          <w:fldChar w:fldCharType="separate"/>
        </w:r>
        <w:r w:rsidRPr="009447E3">
          <w:rPr>
            <w:noProof/>
            <w:color w:val="000000"/>
            <w:szCs w:val="22"/>
            <w:vertAlign w:val="superscript"/>
          </w:rPr>
          <w:t>1</w:t>
        </w:r>
        <w:r w:rsidRPr="009447E3">
          <w:rPr>
            <w:color w:val="000000"/>
            <w:szCs w:val="22"/>
          </w:rPr>
          <w:fldChar w:fldCharType="end"/>
        </w:r>
      </w:hyperlink>
    </w:p>
    <w:p w:rsidR="00C5112F" w:rsidRPr="00E472C9" w:rsidRDefault="00C5112F" w:rsidP="00595543">
      <w:pPr>
        <w:keepNext/>
        <w:keepLines/>
        <w:tabs>
          <w:tab w:val="left" w:pos="1134"/>
        </w:tabs>
        <w:spacing w:before="240" w:after="120"/>
        <w:rPr>
          <w:b/>
        </w:rPr>
      </w:pPr>
      <w:r w:rsidRPr="00E472C9">
        <w:rPr>
          <w:b/>
        </w:rPr>
        <w:t>Table 8:</w:t>
      </w:r>
      <w:r w:rsidRPr="00E472C9">
        <w:rPr>
          <w:b/>
        </w:rPr>
        <w:tab/>
        <w:t>AURA data 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8"/>
        <w:gridCol w:w="3686"/>
      </w:tblGrid>
      <w:tr w:rsidR="00C5112F" w:rsidRPr="00D00BB3" w:rsidTr="00C5112F">
        <w:trPr>
          <w:cantSplit/>
          <w:tblHeader/>
        </w:trPr>
        <w:tc>
          <w:tcPr>
            <w:tcW w:w="2127" w:type="dxa"/>
            <w:tcBorders>
              <w:bottom w:val="single" w:sz="4" w:space="0" w:color="auto"/>
            </w:tcBorders>
            <w:shd w:val="clear" w:color="auto" w:fill="auto"/>
          </w:tcPr>
          <w:p w:rsidR="00C5112F" w:rsidRPr="00D00BB3" w:rsidRDefault="00C5112F" w:rsidP="00595543">
            <w:pPr>
              <w:jc w:val="center"/>
              <w:rPr>
                <w:rFonts w:eastAsia="Calibri"/>
                <w:b/>
                <w:sz w:val="20"/>
              </w:rPr>
            </w:pPr>
            <w:r w:rsidRPr="00D00BB3">
              <w:rPr>
                <w:rFonts w:eastAsia="Calibri"/>
                <w:b/>
                <w:sz w:val="20"/>
              </w:rPr>
              <w:t>Data source</w:t>
            </w:r>
          </w:p>
        </w:tc>
        <w:tc>
          <w:tcPr>
            <w:tcW w:w="3118" w:type="dxa"/>
            <w:shd w:val="clear" w:color="auto" w:fill="auto"/>
          </w:tcPr>
          <w:p w:rsidR="00C5112F" w:rsidRPr="00D00BB3" w:rsidRDefault="00C5112F" w:rsidP="00C5112F">
            <w:pPr>
              <w:jc w:val="center"/>
              <w:rPr>
                <w:rFonts w:eastAsia="Calibri"/>
                <w:b/>
                <w:sz w:val="20"/>
              </w:rPr>
            </w:pPr>
            <w:r w:rsidRPr="00D00BB3">
              <w:rPr>
                <w:rFonts w:eastAsia="Calibri"/>
                <w:b/>
                <w:sz w:val="20"/>
              </w:rPr>
              <w:t>Data details</w:t>
            </w:r>
          </w:p>
        </w:tc>
        <w:tc>
          <w:tcPr>
            <w:tcW w:w="3686" w:type="dxa"/>
            <w:shd w:val="clear" w:color="auto" w:fill="auto"/>
          </w:tcPr>
          <w:p w:rsidR="00C5112F" w:rsidRPr="00D00BB3" w:rsidRDefault="00C5112F" w:rsidP="00C5112F">
            <w:pPr>
              <w:jc w:val="center"/>
              <w:rPr>
                <w:rFonts w:eastAsia="Calibri"/>
                <w:b/>
                <w:sz w:val="20"/>
              </w:rPr>
            </w:pPr>
            <w:r w:rsidRPr="00D00BB3">
              <w:rPr>
                <w:rFonts w:eastAsia="Calibri"/>
                <w:b/>
                <w:sz w:val="20"/>
              </w:rPr>
              <w:t>Program details</w:t>
            </w:r>
          </w:p>
        </w:tc>
      </w:tr>
      <w:tr w:rsidR="00C5112F" w:rsidRPr="00B33453" w:rsidTr="00C5112F">
        <w:tc>
          <w:tcPr>
            <w:tcW w:w="2127" w:type="dxa"/>
            <w:tcBorders>
              <w:right w:val="nil"/>
            </w:tcBorders>
            <w:shd w:val="clear" w:color="auto" w:fill="auto"/>
          </w:tcPr>
          <w:p w:rsidR="00C5112F" w:rsidRPr="00B33453" w:rsidRDefault="00C5112F" w:rsidP="00C5112F">
            <w:pPr>
              <w:rPr>
                <w:rFonts w:eastAsia="Calibri"/>
                <w:sz w:val="20"/>
              </w:rPr>
            </w:pPr>
            <w:r w:rsidRPr="00B33453">
              <w:rPr>
                <w:rFonts w:eastAsia="Calibri"/>
                <w:sz w:val="20"/>
              </w:rPr>
              <w:t>In hospitals</w:t>
            </w:r>
          </w:p>
        </w:tc>
        <w:tc>
          <w:tcPr>
            <w:tcW w:w="3118" w:type="dxa"/>
            <w:tcBorders>
              <w:left w:val="nil"/>
              <w:right w:val="nil"/>
            </w:tcBorders>
            <w:shd w:val="clear" w:color="auto" w:fill="auto"/>
          </w:tcPr>
          <w:p w:rsidR="00C5112F" w:rsidRPr="00B33453" w:rsidRDefault="00C5112F" w:rsidP="00C5112F">
            <w:pPr>
              <w:rPr>
                <w:rFonts w:eastAsia="Calibri"/>
                <w:sz w:val="20"/>
              </w:rPr>
            </w:pPr>
          </w:p>
        </w:tc>
        <w:tc>
          <w:tcPr>
            <w:tcW w:w="3686" w:type="dxa"/>
            <w:tcBorders>
              <w:left w:val="nil"/>
            </w:tcBorders>
            <w:shd w:val="clear" w:color="auto" w:fill="auto"/>
          </w:tcPr>
          <w:p w:rsidR="00C5112F" w:rsidRPr="00B33453" w:rsidRDefault="00C5112F" w:rsidP="00C5112F">
            <w:pPr>
              <w:rPr>
                <w:rFonts w:eastAsia="Calibri"/>
                <w:sz w:val="20"/>
              </w:rPr>
            </w:pPr>
          </w:p>
        </w:tc>
      </w:tr>
      <w:tr w:rsidR="00C5112F" w:rsidRPr="00D00BB3" w:rsidTr="00C5112F">
        <w:tc>
          <w:tcPr>
            <w:tcW w:w="2127" w:type="dxa"/>
            <w:shd w:val="clear" w:color="auto" w:fill="auto"/>
          </w:tcPr>
          <w:p w:rsidR="00C5112F" w:rsidRPr="00D00BB3" w:rsidRDefault="00C5112F" w:rsidP="00C5112F">
            <w:pPr>
              <w:rPr>
                <w:rFonts w:eastAsia="Calibri"/>
                <w:sz w:val="20"/>
              </w:rPr>
            </w:pPr>
            <w:r w:rsidRPr="00D00BB3">
              <w:rPr>
                <w:rFonts w:eastAsia="Calibri"/>
                <w:sz w:val="20"/>
              </w:rPr>
              <w:t>National Antimicrobial Utilisation Surveillance Program (NAUSP)</w:t>
            </w:r>
          </w:p>
        </w:tc>
        <w:tc>
          <w:tcPr>
            <w:tcW w:w="3118" w:type="dxa"/>
            <w:shd w:val="clear" w:color="auto" w:fill="auto"/>
          </w:tcPr>
          <w:p w:rsidR="00C5112F" w:rsidRPr="00D00BB3" w:rsidRDefault="00C5112F" w:rsidP="00C5112F">
            <w:pPr>
              <w:rPr>
                <w:rFonts w:eastAsia="Calibri"/>
                <w:sz w:val="20"/>
              </w:rPr>
            </w:pPr>
            <w:r w:rsidRPr="00D00BB3">
              <w:rPr>
                <w:rFonts w:eastAsia="Calibri"/>
                <w:sz w:val="20"/>
              </w:rPr>
              <w:t>Collects, analyses and reports data on the volume of antimicrobial use at the hospital level (and for some hospitals, at the intensive care level).</w:t>
            </w:r>
          </w:p>
          <w:p w:rsidR="00C5112F" w:rsidRPr="00D00BB3" w:rsidRDefault="00C5112F" w:rsidP="00C5112F">
            <w:pPr>
              <w:rPr>
                <w:rFonts w:eastAsia="Calibri"/>
                <w:sz w:val="20"/>
              </w:rPr>
            </w:pPr>
            <w:r w:rsidRPr="00D00BB3">
              <w:rPr>
                <w:rFonts w:eastAsia="Calibri"/>
                <w:sz w:val="20"/>
              </w:rPr>
              <w:t xml:space="preserve">The data collected </w:t>
            </w:r>
            <w:r w:rsidR="00F1779F">
              <w:rPr>
                <w:rFonts w:eastAsia="Calibri"/>
                <w:sz w:val="20"/>
              </w:rPr>
              <w:t>are</w:t>
            </w:r>
            <w:r w:rsidRPr="00D00BB3">
              <w:rPr>
                <w:rFonts w:eastAsia="Calibri"/>
                <w:sz w:val="20"/>
              </w:rPr>
              <w:t xml:space="preserve"> provided by pharmacy departments of participating hospitals. </w:t>
            </w:r>
          </w:p>
          <w:p w:rsidR="00C5112F" w:rsidRPr="00D00BB3" w:rsidRDefault="00C5112F" w:rsidP="00C5112F">
            <w:pPr>
              <w:rPr>
                <w:rFonts w:eastAsia="Calibri"/>
                <w:sz w:val="20"/>
              </w:rPr>
            </w:pPr>
            <w:r w:rsidRPr="00D00BB3">
              <w:rPr>
                <w:rFonts w:eastAsia="Calibri"/>
                <w:sz w:val="20"/>
              </w:rPr>
              <w:t>Quantities dispensed to patients and wards are aggregated monthly as grams and converted to defined daily doses (DDD)</w:t>
            </w:r>
          </w:p>
          <w:p w:rsidR="00C5112F" w:rsidRPr="00D00BB3" w:rsidRDefault="00C5112F" w:rsidP="00C5112F">
            <w:pPr>
              <w:rPr>
                <w:rFonts w:eastAsia="Calibri"/>
                <w:sz w:val="20"/>
              </w:rPr>
            </w:pPr>
            <w:r w:rsidRPr="00D00BB3">
              <w:rPr>
                <w:rFonts w:eastAsia="Calibri"/>
                <w:sz w:val="20"/>
              </w:rPr>
              <w:t xml:space="preserve">Data in this report refer to </w:t>
            </w:r>
            <w:proofErr w:type="spellStart"/>
            <w:r w:rsidRPr="00D00BB3">
              <w:rPr>
                <w:rFonts w:eastAsia="Calibri"/>
                <w:sz w:val="20"/>
              </w:rPr>
              <w:t>antibacterials</w:t>
            </w:r>
            <w:proofErr w:type="spellEnd"/>
            <w:r w:rsidRPr="00D00BB3">
              <w:rPr>
                <w:rFonts w:eastAsia="Calibri"/>
                <w:sz w:val="20"/>
              </w:rPr>
              <w:t>.</w:t>
            </w:r>
          </w:p>
        </w:tc>
        <w:tc>
          <w:tcPr>
            <w:tcW w:w="3686" w:type="dxa"/>
            <w:shd w:val="clear" w:color="auto" w:fill="auto"/>
          </w:tcPr>
          <w:p w:rsidR="00C5112F" w:rsidRPr="00D00BB3" w:rsidRDefault="00C5112F" w:rsidP="00C5112F">
            <w:pPr>
              <w:rPr>
                <w:rFonts w:eastAsia="Calibri"/>
                <w:sz w:val="20"/>
              </w:rPr>
            </w:pPr>
            <w:r w:rsidRPr="00D00BB3">
              <w:rPr>
                <w:rFonts w:eastAsia="Calibri"/>
                <w:sz w:val="20"/>
              </w:rPr>
              <w:t>The NAUSP has collected data from Australian hospitals since 2004.</w:t>
            </w:r>
          </w:p>
          <w:p w:rsidR="00C5112F" w:rsidRPr="00D00BB3" w:rsidRDefault="00C5112F" w:rsidP="00C5112F">
            <w:pPr>
              <w:rPr>
                <w:rFonts w:eastAsia="Calibri"/>
                <w:sz w:val="20"/>
              </w:rPr>
            </w:pPr>
            <w:r w:rsidRPr="00D00BB3">
              <w:rPr>
                <w:rFonts w:eastAsia="Calibri"/>
                <w:sz w:val="20"/>
              </w:rPr>
              <w:t>From 2010</w:t>
            </w:r>
            <w:r w:rsidRPr="00D00BB3">
              <w:rPr>
                <w:rFonts w:eastAsia="Calibri"/>
                <w:sz w:val="20"/>
              </w:rPr>
              <w:sym w:font="Symbol" w:char="F02D"/>
            </w:r>
            <w:r w:rsidRPr="00D00BB3">
              <w:rPr>
                <w:rFonts w:eastAsia="Calibri"/>
                <w:sz w:val="20"/>
              </w:rPr>
              <w:t>14, the number of public and private hospitals contributing data to the NAUSP grew from 53 to 129. The number of large public hospitals grew from 18 to 51 and the number of medium sized public hospitals increased from 9 to 26.</w:t>
            </w:r>
          </w:p>
          <w:p w:rsidR="00C5112F" w:rsidRPr="00D00BB3" w:rsidRDefault="00C5112F" w:rsidP="00C5112F">
            <w:pPr>
              <w:rPr>
                <w:rFonts w:eastAsia="Calibri"/>
                <w:sz w:val="20"/>
              </w:rPr>
            </w:pPr>
            <w:r w:rsidRPr="00D00BB3">
              <w:rPr>
                <w:rFonts w:eastAsia="Calibri"/>
                <w:sz w:val="20"/>
              </w:rPr>
              <w:t xml:space="preserve">Data </w:t>
            </w:r>
            <w:r w:rsidR="00F1779F">
              <w:rPr>
                <w:rFonts w:eastAsia="Calibri"/>
                <w:sz w:val="20"/>
              </w:rPr>
              <w:t>are</w:t>
            </w:r>
            <w:r w:rsidRPr="00D00BB3">
              <w:rPr>
                <w:rFonts w:eastAsia="Calibri"/>
                <w:sz w:val="20"/>
              </w:rPr>
              <w:t xml:space="preserve"> reported for the calendar year 2014 and represent</w:t>
            </w:r>
            <w:r>
              <w:rPr>
                <w:rFonts w:eastAsia="Calibri"/>
                <w:sz w:val="20"/>
              </w:rPr>
              <w:t>s</w:t>
            </w:r>
            <w:r w:rsidRPr="00D00BB3">
              <w:rPr>
                <w:rFonts w:eastAsia="Calibri"/>
                <w:sz w:val="20"/>
              </w:rPr>
              <w:t xml:space="preserve"> &gt;90% of principal referral hospitals and 82% of total beds in public hospitals with &gt;50 beds. </w:t>
            </w:r>
          </w:p>
        </w:tc>
      </w:tr>
      <w:tr w:rsidR="00C5112F" w:rsidRPr="00D00BB3" w:rsidTr="00C5112F">
        <w:trPr>
          <w:cantSplit/>
        </w:trPr>
        <w:tc>
          <w:tcPr>
            <w:tcW w:w="2127" w:type="dxa"/>
            <w:shd w:val="clear" w:color="auto" w:fill="auto"/>
          </w:tcPr>
          <w:p w:rsidR="00C5112F" w:rsidRPr="00D00BB3" w:rsidRDefault="00C5112F" w:rsidP="00C5112F">
            <w:pPr>
              <w:rPr>
                <w:rFonts w:eastAsia="Calibri"/>
                <w:sz w:val="20"/>
              </w:rPr>
            </w:pPr>
            <w:r w:rsidRPr="00D00BB3">
              <w:rPr>
                <w:rFonts w:eastAsia="Calibri"/>
                <w:sz w:val="20"/>
              </w:rPr>
              <w:t>National Antimicrobial Prescribing Survey (NAPS)</w:t>
            </w:r>
          </w:p>
        </w:tc>
        <w:tc>
          <w:tcPr>
            <w:tcW w:w="3118" w:type="dxa"/>
            <w:shd w:val="clear" w:color="auto" w:fill="auto"/>
          </w:tcPr>
          <w:p w:rsidR="00C5112F" w:rsidRPr="00D00BB3" w:rsidRDefault="00C5112F" w:rsidP="00C5112F">
            <w:pPr>
              <w:rPr>
                <w:rFonts w:eastAsia="Calibri"/>
                <w:sz w:val="20"/>
              </w:rPr>
            </w:pPr>
            <w:proofErr w:type="gramStart"/>
            <w:r w:rsidRPr="00D00BB3">
              <w:rPr>
                <w:rFonts w:eastAsia="Calibri"/>
                <w:sz w:val="20"/>
              </w:rPr>
              <w:t>Collects,</w:t>
            </w:r>
            <w:proofErr w:type="gramEnd"/>
            <w:r w:rsidRPr="00D00BB3">
              <w:rPr>
                <w:rFonts w:eastAsia="Calibri"/>
                <w:sz w:val="20"/>
              </w:rPr>
              <w:t xml:space="preserve"> analyses and reports on the volume and appropriateness of prescribing within the hospital.</w:t>
            </w:r>
          </w:p>
          <w:p w:rsidR="00C5112F" w:rsidRPr="00D00BB3" w:rsidRDefault="00C5112F" w:rsidP="00C5112F">
            <w:pPr>
              <w:rPr>
                <w:rFonts w:eastAsia="Calibri"/>
                <w:sz w:val="20"/>
              </w:rPr>
            </w:pPr>
            <w:r w:rsidRPr="00D00BB3">
              <w:rPr>
                <w:rFonts w:eastAsia="Calibri"/>
                <w:sz w:val="20"/>
              </w:rPr>
              <w:t xml:space="preserve">Audit data </w:t>
            </w:r>
            <w:r w:rsidR="00F1779F">
              <w:rPr>
                <w:rFonts w:eastAsia="Calibri"/>
                <w:sz w:val="20"/>
              </w:rPr>
              <w:t>are</w:t>
            </w:r>
            <w:r w:rsidRPr="00D00BB3">
              <w:rPr>
                <w:rFonts w:eastAsia="Calibri"/>
                <w:sz w:val="20"/>
              </w:rPr>
              <w:t xml:space="preserve"> collected by trained staff </w:t>
            </w:r>
            <w:proofErr w:type="gramStart"/>
            <w:r w:rsidRPr="00D00BB3">
              <w:rPr>
                <w:rFonts w:eastAsia="Calibri"/>
                <w:sz w:val="20"/>
              </w:rPr>
              <w:t>who</w:t>
            </w:r>
            <w:proofErr w:type="gramEnd"/>
            <w:r w:rsidRPr="00D00BB3">
              <w:rPr>
                <w:rFonts w:eastAsia="Calibri"/>
                <w:sz w:val="20"/>
              </w:rPr>
              <w:t xml:space="preserve"> assesses and report on prescribing practices and appropriateness of prescribing against guidelines within the hospital.</w:t>
            </w:r>
          </w:p>
          <w:p w:rsidR="00C5112F" w:rsidRPr="00D00BB3" w:rsidRDefault="00C5112F" w:rsidP="00C5112F">
            <w:pPr>
              <w:rPr>
                <w:rFonts w:eastAsia="Calibri"/>
                <w:sz w:val="20"/>
              </w:rPr>
            </w:pPr>
            <w:r w:rsidRPr="00D00BB3">
              <w:rPr>
                <w:rFonts w:eastAsia="Calibri"/>
                <w:sz w:val="20"/>
              </w:rPr>
              <w:t>Data in this report refer</w:t>
            </w:r>
            <w:r>
              <w:rPr>
                <w:rFonts w:eastAsia="Calibri"/>
                <w:sz w:val="20"/>
              </w:rPr>
              <w:t>s</w:t>
            </w:r>
            <w:r w:rsidRPr="00D00BB3">
              <w:rPr>
                <w:rFonts w:eastAsia="Calibri"/>
                <w:sz w:val="20"/>
              </w:rPr>
              <w:t xml:space="preserve"> to </w:t>
            </w:r>
            <w:proofErr w:type="spellStart"/>
            <w:r w:rsidRPr="00D00BB3">
              <w:rPr>
                <w:rFonts w:eastAsia="Calibri"/>
                <w:sz w:val="20"/>
              </w:rPr>
              <w:t>antibacterials</w:t>
            </w:r>
            <w:proofErr w:type="spellEnd"/>
            <w:r w:rsidRPr="00D00BB3">
              <w:rPr>
                <w:rFonts w:eastAsia="Calibri"/>
                <w:sz w:val="20"/>
              </w:rPr>
              <w:t>.</w:t>
            </w:r>
          </w:p>
        </w:tc>
        <w:tc>
          <w:tcPr>
            <w:tcW w:w="3686" w:type="dxa"/>
            <w:shd w:val="clear" w:color="auto" w:fill="auto"/>
          </w:tcPr>
          <w:p w:rsidR="00C5112F" w:rsidRPr="00D00BB3" w:rsidRDefault="00C5112F" w:rsidP="00C5112F">
            <w:pPr>
              <w:rPr>
                <w:rFonts w:eastAsia="Calibri"/>
                <w:sz w:val="20"/>
              </w:rPr>
            </w:pPr>
            <w:r w:rsidRPr="00D00BB3">
              <w:rPr>
                <w:rFonts w:eastAsia="Calibri"/>
                <w:sz w:val="20"/>
              </w:rPr>
              <w:t>The NAPS was piloted in 32 hospitals in 2011 and by 2014 had increased to 248 hospitals.</w:t>
            </w:r>
          </w:p>
          <w:p w:rsidR="00C5112F" w:rsidRPr="00D00BB3" w:rsidRDefault="00C5112F" w:rsidP="00C5112F">
            <w:pPr>
              <w:rPr>
                <w:rFonts w:eastAsia="Calibri"/>
                <w:sz w:val="20"/>
              </w:rPr>
            </w:pPr>
            <w:r w:rsidRPr="00D00BB3">
              <w:rPr>
                <w:rFonts w:eastAsia="Calibri"/>
                <w:sz w:val="20"/>
              </w:rPr>
              <w:t>Data for this report w</w:t>
            </w:r>
            <w:r w:rsidR="00F1779F">
              <w:rPr>
                <w:rFonts w:eastAsia="Calibri"/>
                <w:sz w:val="20"/>
              </w:rPr>
              <w:t>ere</w:t>
            </w:r>
            <w:r w:rsidRPr="00D00BB3">
              <w:rPr>
                <w:rFonts w:eastAsia="Calibri"/>
                <w:sz w:val="20"/>
              </w:rPr>
              <w:t xml:space="preserve"> collected from October 2014 to February 2015.</w:t>
            </w:r>
          </w:p>
        </w:tc>
      </w:tr>
      <w:tr w:rsidR="00C5112F" w:rsidRPr="00B33453" w:rsidTr="00C5112F">
        <w:trPr>
          <w:trHeight w:val="278"/>
        </w:trPr>
        <w:tc>
          <w:tcPr>
            <w:tcW w:w="2127" w:type="dxa"/>
            <w:tcBorders>
              <w:right w:val="nil"/>
            </w:tcBorders>
            <w:shd w:val="clear" w:color="auto" w:fill="auto"/>
          </w:tcPr>
          <w:p w:rsidR="00C5112F" w:rsidRPr="00B33453" w:rsidRDefault="00C5112F" w:rsidP="00C5112F">
            <w:pPr>
              <w:rPr>
                <w:rFonts w:eastAsia="Calibri"/>
                <w:sz w:val="20"/>
              </w:rPr>
            </w:pPr>
            <w:r w:rsidRPr="00B33453">
              <w:rPr>
                <w:rFonts w:eastAsia="Calibri"/>
                <w:sz w:val="20"/>
              </w:rPr>
              <w:t>In the community</w:t>
            </w:r>
          </w:p>
        </w:tc>
        <w:tc>
          <w:tcPr>
            <w:tcW w:w="3118" w:type="dxa"/>
            <w:tcBorders>
              <w:left w:val="nil"/>
              <w:right w:val="nil"/>
            </w:tcBorders>
            <w:shd w:val="clear" w:color="auto" w:fill="auto"/>
          </w:tcPr>
          <w:p w:rsidR="00C5112F" w:rsidRPr="00B33453" w:rsidRDefault="00C5112F" w:rsidP="00C5112F">
            <w:pPr>
              <w:rPr>
                <w:rFonts w:eastAsia="Calibri"/>
                <w:sz w:val="20"/>
              </w:rPr>
            </w:pPr>
          </w:p>
        </w:tc>
        <w:tc>
          <w:tcPr>
            <w:tcW w:w="3686" w:type="dxa"/>
            <w:tcBorders>
              <w:left w:val="nil"/>
            </w:tcBorders>
            <w:shd w:val="clear" w:color="auto" w:fill="auto"/>
          </w:tcPr>
          <w:p w:rsidR="00C5112F" w:rsidRPr="00B33453" w:rsidRDefault="00C5112F" w:rsidP="00C5112F">
            <w:pPr>
              <w:rPr>
                <w:rFonts w:eastAsia="Calibri"/>
                <w:sz w:val="20"/>
              </w:rPr>
            </w:pPr>
          </w:p>
        </w:tc>
      </w:tr>
      <w:tr w:rsidR="00C5112F" w:rsidRPr="00D00BB3" w:rsidTr="00C5112F">
        <w:tc>
          <w:tcPr>
            <w:tcW w:w="2127" w:type="dxa"/>
            <w:shd w:val="clear" w:color="auto" w:fill="auto"/>
          </w:tcPr>
          <w:p w:rsidR="00C5112F" w:rsidRPr="00D00BB3" w:rsidRDefault="00C5112F" w:rsidP="00C5112F">
            <w:pPr>
              <w:rPr>
                <w:rFonts w:eastAsia="Calibri"/>
                <w:sz w:val="20"/>
              </w:rPr>
            </w:pPr>
            <w:r w:rsidRPr="00D00BB3">
              <w:rPr>
                <w:rFonts w:eastAsia="Calibri"/>
                <w:sz w:val="20"/>
              </w:rPr>
              <w:t>Australian Government Department of Human Services (DHS) Medicare pharmacy claims database</w:t>
            </w:r>
          </w:p>
          <w:p w:rsidR="00C5112F" w:rsidRPr="00D00BB3" w:rsidRDefault="00C5112F" w:rsidP="00C5112F">
            <w:pPr>
              <w:rPr>
                <w:rFonts w:eastAsia="Calibri"/>
                <w:sz w:val="20"/>
              </w:rPr>
            </w:pPr>
          </w:p>
        </w:tc>
        <w:tc>
          <w:tcPr>
            <w:tcW w:w="3118" w:type="dxa"/>
            <w:shd w:val="clear" w:color="auto" w:fill="auto"/>
          </w:tcPr>
          <w:p w:rsidR="00C5112F" w:rsidRPr="00D00BB3" w:rsidRDefault="00C5112F" w:rsidP="00C5112F">
            <w:pPr>
              <w:autoSpaceDE w:val="0"/>
              <w:autoSpaceDN w:val="0"/>
              <w:adjustRightInd w:val="0"/>
              <w:rPr>
                <w:rFonts w:ascii="Gotham-Book" w:eastAsia="Calibri" w:hAnsi="Gotham-Book" w:cs="Gotham-Book"/>
                <w:color w:val="414142"/>
                <w:sz w:val="20"/>
              </w:rPr>
            </w:pPr>
            <w:r w:rsidRPr="00D00BB3">
              <w:rPr>
                <w:rFonts w:eastAsia="Calibri"/>
                <w:sz w:val="20"/>
              </w:rPr>
              <w:t xml:space="preserve">Analysis of data collected on volume of </w:t>
            </w:r>
            <w:proofErr w:type="spellStart"/>
            <w:r w:rsidRPr="00D00BB3">
              <w:rPr>
                <w:rFonts w:eastAsia="Calibri"/>
                <w:sz w:val="20"/>
              </w:rPr>
              <w:t>antibacterials</w:t>
            </w:r>
            <w:proofErr w:type="spellEnd"/>
            <w:r w:rsidRPr="00D00BB3">
              <w:rPr>
                <w:rFonts w:eastAsia="Calibri"/>
                <w:sz w:val="20"/>
              </w:rPr>
              <w:t xml:space="preserve"> dispensed as Pharmaceutical Benefits Scheme/Repatriation Pharmaceutical Benefits Scheme (PBS/RPBS) prescriptions including those under the co-payment (but not including an estimate of private prescriptions)</w:t>
            </w:r>
            <w:r w:rsidRPr="00D00BB3">
              <w:rPr>
                <w:rFonts w:eastAsia="Calibri"/>
                <w:color w:val="414142"/>
                <w:sz w:val="20"/>
              </w:rPr>
              <w:t>.</w:t>
            </w:r>
          </w:p>
        </w:tc>
        <w:tc>
          <w:tcPr>
            <w:tcW w:w="3686" w:type="dxa"/>
            <w:shd w:val="clear" w:color="auto" w:fill="auto"/>
          </w:tcPr>
          <w:p w:rsidR="00C5112F" w:rsidRPr="00D00BB3" w:rsidRDefault="00C5112F" w:rsidP="00C5112F">
            <w:pPr>
              <w:rPr>
                <w:rFonts w:eastAsia="Calibri"/>
                <w:sz w:val="20"/>
              </w:rPr>
            </w:pPr>
            <w:r w:rsidRPr="00D00BB3">
              <w:rPr>
                <w:rFonts w:eastAsia="Calibri"/>
                <w:sz w:val="20"/>
              </w:rPr>
              <w:t xml:space="preserve">Data </w:t>
            </w:r>
            <w:r w:rsidR="00F1779F">
              <w:rPr>
                <w:rFonts w:eastAsia="Calibri"/>
                <w:sz w:val="20"/>
              </w:rPr>
              <w:t xml:space="preserve">are </w:t>
            </w:r>
            <w:r w:rsidRPr="00D00BB3">
              <w:rPr>
                <w:rFonts w:eastAsia="Calibri"/>
                <w:sz w:val="20"/>
              </w:rPr>
              <w:t>reported from the 30 million prescriptions dispensed under the PBS/RPBS for the 2014 calendar year.</w:t>
            </w:r>
          </w:p>
          <w:p w:rsidR="00C5112F" w:rsidRPr="00D00BB3" w:rsidRDefault="00C5112F" w:rsidP="00C5112F">
            <w:pPr>
              <w:rPr>
                <w:rFonts w:eastAsia="Calibri"/>
                <w:sz w:val="20"/>
              </w:rPr>
            </w:pPr>
            <w:r w:rsidRPr="00D00BB3">
              <w:rPr>
                <w:rFonts w:eastAsia="Calibri"/>
                <w:sz w:val="20"/>
              </w:rPr>
              <w:t>Th</w:t>
            </w:r>
            <w:r>
              <w:rPr>
                <w:rFonts w:eastAsia="Calibri"/>
                <w:sz w:val="20"/>
              </w:rPr>
              <w:t>is</w:t>
            </w:r>
            <w:r w:rsidRPr="00D00BB3">
              <w:rPr>
                <w:rFonts w:eastAsia="Calibri"/>
                <w:sz w:val="20"/>
              </w:rPr>
              <w:t xml:space="preserve"> data w</w:t>
            </w:r>
            <w:r>
              <w:rPr>
                <w:rFonts w:eastAsia="Calibri"/>
                <w:sz w:val="20"/>
              </w:rPr>
              <w:t>as</w:t>
            </w:r>
            <w:r w:rsidRPr="00D00BB3">
              <w:rPr>
                <w:rFonts w:eastAsia="Calibri"/>
                <w:sz w:val="20"/>
              </w:rPr>
              <w:t xml:space="preserve"> compared with long-term historical trend data held by the Drug Utilisation Sub-Committee.</w:t>
            </w:r>
          </w:p>
        </w:tc>
      </w:tr>
      <w:tr w:rsidR="00C5112F" w:rsidRPr="00D00BB3" w:rsidTr="00C5112F">
        <w:tc>
          <w:tcPr>
            <w:tcW w:w="2127" w:type="dxa"/>
            <w:shd w:val="clear" w:color="auto" w:fill="auto"/>
          </w:tcPr>
          <w:p w:rsidR="00C5112F" w:rsidRPr="00D00BB3" w:rsidRDefault="00C5112F" w:rsidP="00C5112F">
            <w:pPr>
              <w:rPr>
                <w:rFonts w:eastAsia="Calibri"/>
                <w:sz w:val="20"/>
              </w:rPr>
            </w:pPr>
            <w:r w:rsidRPr="00D00BB3">
              <w:rPr>
                <w:rFonts w:eastAsia="Calibri"/>
                <w:sz w:val="20"/>
              </w:rPr>
              <w:t xml:space="preserve">NPS </w:t>
            </w:r>
            <w:proofErr w:type="spellStart"/>
            <w:r w:rsidRPr="00D00BB3">
              <w:rPr>
                <w:rFonts w:eastAsia="Calibri"/>
                <w:sz w:val="20"/>
              </w:rPr>
              <w:t>MedicineWise</w:t>
            </w:r>
            <w:proofErr w:type="spellEnd"/>
            <w:r w:rsidRPr="00D00BB3">
              <w:rPr>
                <w:rFonts w:eastAsia="Calibri"/>
                <w:sz w:val="20"/>
              </w:rPr>
              <w:t xml:space="preserve"> </w:t>
            </w:r>
            <w:proofErr w:type="spellStart"/>
            <w:r w:rsidRPr="00D00BB3">
              <w:rPr>
                <w:rFonts w:eastAsia="Calibri"/>
                <w:sz w:val="20"/>
              </w:rPr>
              <w:t>MedicineInsight</w:t>
            </w:r>
            <w:proofErr w:type="spellEnd"/>
            <w:r w:rsidRPr="00D00BB3">
              <w:rPr>
                <w:rFonts w:eastAsia="Calibri"/>
                <w:sz w:val="20"/>
              </w:rPr>
              <w:t xml:space="preserve"> program</w:t>
            </w:r>
          </w:p>
          <w:p w:rsidR="00C5112F" w:rsidRPr="00D00BB3" w:rsidRDefault="00C5112F" w:rsidP="00C5112F">
            <w:pPr>
              <w:rPr>
                <w:rFonts w:eastAsia="Calibri"/>
                <w:sz w:val="20"/>
              </w:rPr>
            </w:pPr>
          </w:p>
        </w:tc>
        <w:tc>
          <w:tcPr>
            <w:tcW w:w="3118" w:type="dxa"/>
            <w:shd w:val="clear" w:color="auto" w:fill="auto"/>
          </w:tcPr>
          <w:p w:rsidR="00C5112F" w:rsidRPr="00D00BB3" w:rsidRDefault="00C5112F" w:rsidP="00C5112F">
            <w:pPr>
              <w:rPr>
                <w:rFonts w:eastAsia="Calibri"/>
                <w:sz w:val="20"/>
              </w:rPr>
            </w:pPr>
            <w:r w:rsidRPr="00D00BB3">
              <w:rPr>
                <w:rFonts w:eastAsia="Calibri"/>
                <w:sz w:val="20"/>
              </w:rPr>
              <w:t>Collects, analyses and reports data on antibacterial prescribing practices and appropriateness of prescri</w:t>
            </w:r>
            <w:r>
              <w:rPr>
                <w:rFonts w:eastAsia="Calibri"/>
                <w:sz w:val="20"/>
              </w:rPr>
              <w:t>bing from general practitioners</w:t>
            </w:r>
            <w:r w:rsidRPr="00D00BB3">
              <w:rPr>
                <w:rFonts w:eastAsia="Calibri"/>
                <w:sz w:val="20"/>
              </w:rPr>
              <w:t xml:space="preserve"> participating in the program.</w:t>
            </w:r>
          </w:p>
        </w:tc>
        <w:tc>
          <w:tcPr>
            <w:tcW w:w="3686" w:type="dxa"/>
            <w:shd w:val="clear" w:color="auto" w:fill="auto"/>
          </w:tcPr>
          <w:p w:rsidR="00C5112F" w:rsidRPr="00D00BB3" w:rsidRDefault="00C5112F" w:rsidP="00C5112F">
            <w:pPr>
              <w:rPr>
                <w:rFonts w:eastAsia="Calibri"/>
                <w:sz w:val="20"/>
              </w:rPr>
            </w:pPr>
            <w:r w:rsidRPr="00D00BB3">
              <w:rPr>
                <w:rFonts w:eastAsia="Calibri"/>
                <w:sz w:val="20"/>
              </w:rPr>
              <w:t xml:space="preserve">Participating </w:t>
            </w:r>
            <w:r>
              <w:rPr>
                <w:rFonts w:eastAsia="Calibri"/>
                <w:sz w:val="20"/>
              </w:rPr>
              <w:t>general practitioner</w:t>
            </w:r>
            <w:r w:rsidRPr="00D00BB3">
              <w:rPr>
                <w:rFonts w:eastAsia="Calibri"/>
                <w:sz w:val="20"/>
              </w:rPr>
              <w:t xml:space="preserve">s provide </w:t>
            </w:r>
            <w:r>
              <w:rPr>
                <w:rFonts w:eastAsia="Calibri"/>
                <w:sz w:val="20"/>
              </w:rPr>
              <w:t>this</w:t>
            </w:r>
            <w:r w:rsidRPr="00D00BB3">
              <w:rPr>
                <w:rFonts w:eastAsia="Calibri"/>
                <w:sz w:val="20"/>
              </w:rPr>
              <w:t xml:space="preserve"> data to the </w:t>
            </w:r>
            <w:proofErr w:type="spellStart"/>
            <w:r w:rsidRPr="00D00BB3">
              <w:rPr>
                <w:rFonts w:eastAsia="Calibri"/>
                <w:sz w:val="20"/>
              </w:rPr>
              <w:t>MedicineInsight</w:t>
            </w:r>
            <w:proofErr w:type="spellEnd"/>
            <w:r w:rsidRPr="00D00BB3">
              <w:rPr>
                <w:rFonts w:eastAsia="Calibri"/>
                <w:sz w:val="20"/>
              </w:rPr>
              <w:t xml:space="preserve"> program via their electronic records. Data for this report w</w:t>
            </w:r>
            <w:r w:rsidR="00AD2347">
              <w:rPr>
                <w:rFonts w:eastAsia="Calibri"/>
                <w:sz w:val="20"/>
              </w:rPr>
              <w:t>ere</w:t>
            </w:r>
            <w:r w:rsidRPr="00D00BB3">
              <w:rPr>
                <w:rFonts w:eastAsia="Calibri"/>
                <w:sz w:val="20"/>
              </w:rPr>
              <w:t xml:space="preserve"> collected from 182 general practices between 1</w:t>
            </w:r>
            <w:r>
              <w:rPr>
                <w:rFonts w:eastAsia="Calibri"/>
                <w:sz w:val="20"/>
              </w:rPr>
              <w:t> </w:t>
            </w:r>
            <w:r w:rsidRPr="00D00BB3">
              <w:rPr>
                <w:rFonts w:eastAsia="Calibri"/>
                <w:sz w:val="20"/>
              </w:rPr>
              <w:t>January and 31</w:t>
            </w:r>
            <w:r>
              <w:rPr>
                <w:rFonts w:eastAsia="Calibri"/>
                <w:sz w:val="20"/>
              </w:rPr>
              <w:t> </w:t>
            </w:r>
            <w:r w:rsidRPr="00D00BB3">
              <w:rPr>
                <w:rFonts w:eastAsia="Calibri"/>
                <w:sz w:val="20"/>
              </w:rPr>
              <w:t>December</w:t>
            </w:r>
            <w:r>
              <w:rPr>
                <w:rFonts w:eastAsia="Calibri"/>
                <w:sz w:val="20"/>
              </w:rPr>
              <w:t> </w:t>
            </w:r>
            <w:r w:rsidRPr="00D00BB3">
              <w:rPr>
                <w:rFonts w:eastAsia="Calibri"/>
                <w:sz w:val="20"/>
              </w:rPr>
              <w:t>2014 and represent 352</w:t>
            </w:r>
            <w:r>
              <w:rPr>
                <w:rFonts w:eastAsia="Calibri"/>
                <w:sz w:val="20"/>
              </w:rPr>
              <w:t> </w:t>
            </w:r>
            <w:r w:rsidRPr="00D00BB3">
              <w:rPr>
                <w:rFonts w:eastAsia="Calibri"/>
                <w:sz w:val="20"/>
              </w:rPr>
              <w:t>318 patient visits.</w:t>
            </w:r>
          </w:p>
        </w:tc>
      </w:tr>
      <w:tr w:rsidR="00C5112F" w:rsidRPr="00D00BB3" w:rsidTr="00C5112F">
        <w:trPr>
          <w:cantSplit/>
        </w:trPr>
        <w:tc>
          <w:tcPr>
            <w:tcW w:w="2127" w:type="dxa"/>
            <w:shd w:val="clear" w:color="auto" w:fill="auto"/>
          </w:tcPr>
          <w:p w:rsidR="00C5112F" w:rsidRPr="00D00BB3" w:rsidRDefault="00C5112F" w:rsidP="00C5112F">
            <w:pPr>
              <w:rPr>
                <w:rFonts w:eastAsia="Calibri"/>
                <w:sz w:val="20"/>
              </w:rPr>
            </w:pPr>
            <w:r w:rsidRPr="00D00BB3">
              <w:rPr>
                <w:rFonts w:eastAsia="Calibri"/>
                <w:sz w:val="20"/>
              </w:rPr>
              <w:lastRenderedPageBreak/>
              <w:t>Aged care National Antimicrobial Prescribing Survey (</w:t>
            </w:r>
            <w:proofErr w:type="spellStart"/>
            <w:r w:rsidRPr="00D00BB3">
              <w:rPr>
                <w:rFonts w:eastAsia="Calibri"/>
                <w:sz w:val="20"/>
              </w:rPr>
              <w:t>acNAPS</w:t>
            </w:r>
            <w:proofErr w:type="spellEnd"/>
            <w:r w:rsidRPr="00D00BB3">
              <w:rPr>
                <w:rFonts w:eastAsia="Calibri"/>
                <w:sz w:val="20"/>
              </w:rPr>
              <w:t>)</w:t>
            </w:r>
          </w:p>
          <w:p w:rsidR="00C5112F" w:rsidRPr="00D00BB3" w:rsidRDefault="00C5112F" w:rsidP="00C5112F">
            <w:pPr>
              <w:rPr>
                <w:rFonts w:eastAsia="Calibri"/>
                <w:sz w:val="20"/>
              </w:rPr>
            </w:pPr>
          </w:p>
        </w:tc>
        <w:tc>
          <w:tcPr>
            <w:tcW w:w="3118" w:type="dxa"/>
            <w:shd w:val="clear" w:color="auto" w:fill="auto"/>
          </w:tcPr>
          <w:p w:rsidR="00C5112F" w:rsidRPr="00D00BB3" w:rsidRDefault="00C5112F" w:rsidP="00C5112F">
            <w:pPr>
              <w:rPr>
                <w:rFonts w:eastAsia="Calibri"/>
                <w:sz w:val="20"/>
              </w:rPr>
            </w:pPr>
            <w:proofErr w:type="gramStart"/>
            <w:r w:rsidRPr="00D00BB3">
              <w:rPr>
                <w:rFonts w:eastAsia="Calibri"/>
                <w:sz w:val="20"/>
              </w:rPr>
              <w:t>Collects,</w:t>
            </w:r>
            <w:proofErr w:type="gramEnd"/>
            <w:r w:rsidRPr="00D00BB3">
              <w:rPr>
                <w:rFonts w:eastAsia="Calibri"/>
                <w:sz w:val="20"/>
              </w:rPr>
              <w:t xml:space="preserve"> analyses and reports on the volume and appropriateness of antibacterial and antifungal prescribing in residential aged-care facilities. Audit data </w:t>
            </w:r>
            <w:r>
              <w:rPr>
                <w:rFonts w:eastAsia="Calibri"/>
                <w:sz w:val="20"/>
              </w:rPr>
              <w:t>is</w:t>
            </w:r>
            <w:r w:rsidRPr="00D00BB3">
              <w:rPr>
                <w:rFonts w:eastAsia="Calibri"/>
                <w:sz w:val="20"/>
              </w:rPr>
              <w:t xml:space="preserve"> collected by trained staff and include prevalence of signs and symptoms of infection and antibacterial and antifungal use within the residential aged-care facility. </w:t>
            </w:r>
            <w:proofErr w:type="spellStart"/>
            <w:r w:rsidRPr="00D00BB3">
              <w:rPr>
                <w:rFonts w:eastAsia="Calibri"/>
                <w:sz w:val="20"/>
              </w:rPr>
              <w:t>McGeer</w:t>
            </w:r>
            <w:proofErr w:type="spellEnd"/>
            <w:r w:rsidRPr="00D00BB3">
              <w:rPr>
                <w:rFonts w:eastAsia="Calibri"/>
                <w:sz w:val="20"/>
              </w:rPr>
              <w:t xml:space="preserve"> infection criteria are used as a surrogate measure of appropriateness of prescribing.</w:t>
            </w:r>
          </w:p>
        </w:tc>
        <w:tc>
          <w:tcPr>
            <w:tcW w:w="3686" w:type="dxa"/>
            <w:shd w:val="clear" w:color="auto" w:fill="auto"/>
          </w:tcPr>
          <w:p w:rsidR="00C5112F" w:rsidRPr="00D00BB3" w:rsidRDefault="00C5112F" w:rsidP="00C5112F">
            <w:pPr>
              <w:rPr>
                <w:rFonts w:eastAsia="Calibri"/>
                <w:sz w:val="20"/>
              </w:rPr>
            </w:pPr>
            <w:r w:rsidRPr="00D00BB3">
              <w:rPr>
                <w:rFonts w:eastAsia="Calibri"/>
                <w:sz w:val="20"/>
              </w:rPr>
              <w:t xml:space="preserve">The </w:t>
            </w:r>
            <w:proofErr w:type="spellStart"/>
            <w:r w:rsidRPr="00D00BB3">
              <w:rPr>
                <w:rFonts w:eastAsia="Calibri"/>
                <w:sz w:val="20"/>
              </w:rPr>
              <w:t>acNAPS</w:t>
            </w:r>
            <w:proofErr w:type="spellEnd"/>
            <w:r w:rsidRPr="00D00BB3">
              <w:rPr>
                <w:rFonts w:eastAsia="Calibri"/>
                <w:sz w:val="20"/>
              </w:rPr>
              <w:t xml:space="preserve"> includes data from 975 prescriptions for 824 residents in 186 Australian residential aged care facilities.</w:t>
            </w:r>
          </w:p>
          <w:p w:rsidR="00C5112F" w:rsidRPr="00D00BB3" w:rsidRDefault="00C5112F" w:rsidP="00C5112F">
            <w:pPr>
              <w:rPr>
                <w:rFonts w:eastAsia="Calibri"/>
                <w:sz w:val="20"/>
              </w:rPr>
            </w:pPr>
            <w:r w:rsidRPr="00D00BB3">
              <w:rPr>
                <w:rFonts w:eastAsia="Calibri"/>
                <w:sz w:val="20"/>
              </w:rPr>
              <w:t xml:space="preserve">Data for this report </w:t>
            </w:r>
            <w:r w:rsidR="00AD2347">
              <w:rPr>
                <w:rFonts w:eastAsia="Calibri"/>
                <w:sz w:val="20"/>
              </w:rPr>
              <w:t>are</w:t>
            </w:r>
            <w:r w:rsidRPr="00D00BB3">
              <w:rPr>
                <w:rFonts w:eastAsia="Calibri"/>
                <w:sz w:val="20"/>
              </w:rPr>
              <w:t xml:space="preserve"> from the </w:t>
            </w:r>
            <w:proofErr w:type="spellStart"/>
            <w:r w:rsidRPr="00D00BB3">
              <w:rPr>
                <w:rFonts w:eastAsia="Calibri"/>
                <w:sz w:val="20"/>
              </w:rPr>
              <w:t>acNAPS</w:t>
            </w:r>
            <w:proofErr w:type="spellEnd"/>
            <w:r w:rsidRPr="00D00BB3">
              <w:rPr>
                <w:rFonts w:eastAsia="Calibri"/>
                <w:sz w:val="20"/>
              </w:rPr>
              <w:t xml:space="preserve"> pilot conducted in 2015.</w:t>
            </w:r>
          </w:p>
        </w:tc>
      </w:tr>
    </w:tbl>
    <w:p w:rsidR="00C5112F" w:rsidRPr="009447E3" w:rsidRDefault="00C5112F" w:rsidP="00E472C9">
      <w:pPr>
        <w:pStyle w:val="Heading2"/>
      </w:pPr>
      <w:r w:rsidRPr="009447E3">
        <w:t>First</w:t>
      </w:r>
      <w:r>
        <w:t>-</w:t>
      </w:r>
      <w:r w:rsidRPr="009447E3">
        <w:t xml:space="preserve">generation </w:t>
      </w:r>
      <w:proofErr w:type="spellStart"/>
      <w:r w:rsidRPr="009447E3">
        <w:t>cephalosporins</w:t>
      </w:r>
      <w:proofErr w:type="spellEnd"/>
      <w:r w:rsidRPr="009447E3">
        <w:t xml:space="preserve">: </w:t>
      </w:r>
      <w:proofErr w:type="spellStart"/>
      <w:r w:rsidRPr="009447E3">
        <w:t>cefazolin</w:t>
      </w:r>
      <w:proofErr w:type="spellEnd"/>
      <w:r w:rsidRPr="009447E3">
        <w:t xml:space="preserve"> and </w:t>
      </w:r>
      <w:r>
        <w:t>cephalexin</w:t>
      </w:r>
    </w:p>
    <w:p w:rsidR="00C5112F" w:rsidRPr="009447E3" w:rsidRDefault="00C5112F" w:rsidP="00E57029">
      <w:pPr>
        <w:pStyle w:val="Heading3"/>
      </w:pPr>
      <w:r w:rsidRPr="009447E3">
        <w:t>What organisms are the</w:t>
      </w:r>
      <w:r>
        <w:t xml:space="preserve">y </w:t>
      </w:r>
      <w:r w:rsidRPr="009447E3">
        <w:t>used to treat?</w:t>
      </w:r>
    </w:p>
    <w:p w:rsidR="00C5112F" w:rsidRPr="009447E3" w:rsidRDefault="00C5112F" w:rsidP="00C5112F">
      <w:proofErr w:type="spellStart"/>
      <w:r w:rsidRPr="009447E3">
        <w:t>Cefazolin</w:t>
      </w:r>
      <w:proofErr w:type="spellEnd"/>
      <w:r w:rsidRPr="009447E3">
        <w:t xml:space="preserve"> and </w:t>
      </w:r>
      <w:r>
        <w:t>cephalexin</w:t>
      </w:r>
      <w:r w:rsidRPr="009447E3">
        <w:t xml:space="preserve"> are first</w:t>
      </w:r>
      <w:r>
        <w:t>-</w:t>
      </w:r>
      <w:r w:rsidRPr="009447E3">
        <w:t xml:space="preserve">generation moderate spectrum </w:t>
      </w:r>
      <w:proofErr w:type="spellStart"/>
      <w:r w:rsidRPr="009447E3">
        <w:t>cephalosporins</w:t>
      </w:r>
      <w:proofErr w:type="spellEnd"/>
      <w:r w:rsidRPr="009447E3">
        <w:t xml:space="preserve"> active against streptococci and staphylococci, including β-lactamase–producing staphylococci, but inactive against enterococci and </w:t>
      </w:r>
      <w:r w:rsidRPr="009447E3">
        <w:rPr>
          <w:i/>
        </w:rPr>
        <w:t xml:space="preserve">Listeria </w:t>
      </w:r>
      <w:proofErr w:type="spellStart"/>
      <w:r w:rsidRPr="009447E3">
        <w:rPr>
          <w:i/>
        </w:rPr>
        <w:t>monocytogenes</w:t>
      </w:r>
      <w:proofErr w:type="spellEnd"/>
      <w:r w:rsidRPr="009447E3">
        <w:t xml:space="preserve">. They are active against some </w:t>
      </w:r>
      <w:r>
        <w:t>g</w:t>
      </w:r>
      <w:r w:rsidRPr="009447E3">
        <w:t xml:space="preserve">ram-negative bacteria (including </w:t>
      </w:r>
      <w:r w:rsidRPr="009447E3">
        <w:rPr>
          <w:i/>
        </w:rPr>
        <w:t>Escherichia coli</w:t>
      </w:r>
      <w:r w:rsidRPr="009447E3">
        <w:t xml:space="preserve"> and some </w:t>
      </w:r>
      <w:proofErr w:type="spellStart"/>
      <w:r w:rsidRPr="009447E3">
        <w:rPr>
          <w:i/>
        </w:rPr>
        <w:t>Klebsiella</w:t>
      </w:r>
      <w:proofErr w:type="spellEnd"/>
      <w:r w:rsidRPr="009447E3">
        <w:t xml:space="preserve"> species).</w:t>
      </w:r>
      <w:hyperlink w:anchor="_ENREF_8" w:tooltip="Antibiotic Expert Writing Group, 2014 #1" w:history="1">
        <w:r w:rsidRPr="009447E3">
          <w:fldChar w:fldCharType="begin"/>
        </w:r>
        <w:r w:rsidRPr="009447E3">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9447E3">
          <w:fldChar w:fldCharType="separate"/>
        </w:r>
        <w:r w:rsidRPr="009447E3">
          <w:rPr>
            <w:noProof/>
            <w:vertAlign w:val="superscript"/>
          </w:rPr>
          <w:t>8</w:t>
        </w:r>
        <w:r w:rsidRPr="009447E3">
          <w:fldChar w:fldCharType="end"/>
        </w:r>
      </w:hyperlink>
      <w:r w:rsidRPr="009447E3">
        <w:t xml:space="preserve"> </w:t>
      </w:r>
      <w:proofErr w:type="spellStart"/>
      <w:r w:rsidRPr="009447E3">
        <w:t>Cefazolin</w:t>
      </w:r>
      <w:proofErr w:type="spellEnd"/>
      <w:r w:rsidRPr="009447E3">
        <w:t xml:space="preserve"> is given </w:t>
      </w:r>
      <w:proofErr w:type="spellStart"/>
      <w:r w:rsidRPr="009447E3">
        <w:t>parenterally</w:t>
      </w:r>
      <w:proofErr w:type="spellEnd"/>
      <w:r w:rsidRPr="009447E3">
        <w:t xml:space="preserve"> and </w:t>
      </w:r>
      <w:proofErr w:type="spellStart"/>
      <w:r w:rsidRPr="009447E3">
        <w:t>cefalexlin</w:t>
      </w:r>
      <w:proofErr w:type="spellEnd"/>
      <w:r w:rsidRPr="009447E3">
        <w:t xml:space="preserve"> is available in several oral formulations. Together with </w:t>
      </w:r>
      <w:proofErr w:type="spellStart"/>
      <w:r w:rsidRPr="009447E3">
        <w:t>cefalothin</w:t>
      </w:r>
      <w:proofErr w:type="spellEnd"/>
      <w:r w:rsidRPr="009447E3">
        <w:t xml:space="preserve">, these comprise the three first-generation </w:t>
      </w:r>
      <w:proofErr w:type="spellStart"/>
      <w:r w:rsidRPr="009447E3">
        <w:t>cephalosporins</w:t>
      </w:r>
      <w:proofErr w:type="spellEnd"/>
      <w:r w:rsidRPr="009447E3">
        <w:t xml:space="preserve"> available in Australia.</w:t>
      </w:r>
    </w:p>
    <w:p w:rsidR="00C5112F" w:rsidRPr="009447E3" w:rsidRDefault="00C5112F" w:rsidP="00E57029">
      <w:pPr>
        <w:pStyle w:val="Heading3"/>
      </w:pPr>
      <w:r w:rsidRPr="009447E3">
        <w:t>How much is used</w:t>
      </w:r>
      <w:r>
        <w:t xml:space="preserve"> in hospitals</w:t>
      </w:r>
      <w:r w:rsidRPr="009447E3">
        <w:t>?</w:t>
      </w:r>
    </w:p>
    <w:p w:rsidR="00C5112F" w:rsidRPr="009447E3" w:rsidRDefault="00C5112F" w:rsidP="00C5112F">
      <w:r w:rsidRPr="009447E3">
        <w:t>First</w:t>
      </w:r>
      <w:r>
        <w:t>-</w:t>
      </w:r>
      <w:r w:rsidRPr="009447E3">
        <w:t xml:space="preserve">generation </w:t>
      </w:r>
      <w:proofErr w:type="spellStart"/>
      <w:r w:rsidRPr="009447E3">
        <w:t>cephalosporins</w:t>
      </w:r>
      <w:proofErr w:type="spellEnd"/>
      <w:r w:rsidRPr="009447E3">
        <w:t xml:space="preserve"> are </w:t>
      </w:r>
      <w:r>
        <w:t xml:space="preserve">amongst </w:t>
      </w:r>
      <w:r w:rsidRPr="009447E3">
        <w:t xml:space="preserve">the most widely used antibacterial classes in Australian hospitals and </w:t>
      </w:r>
      <w:r>
        <w:t xml:space="preserve">in the </w:t>
      </w:r>
      <w:r w:rsidRPr="009447E3">
        <w:t xml:space="preserve">community, including </w:t>
      </w:r>
      <w:r>
        <w:t>residential aged-care facilities</w:t>
      </w:r>
      <w:r w:rsidRPr="009447E3">
        <w:t>.</w:t>
      </w:r>
      <w:hyperlink w:anchor="_ENREF_9" w:tooltip="South Australian Department for Health and Ageing, 2015 #19" w:history="1">
        <w:r w:rsidRPr="009447E3">
          <w:fldChar w:fldCharType="begin"/>
        </w:r>
        <w:r w:rsidRPr="009447E3">
          <w:instrText xml:space="preserve"> ADDIN EN.CITE &lt;EndNote&gt;&lt;Cite&gt;&lt;Author&gt;South Australian Department for Health and Ageing&lt;/Author&gt;&lt;Year&gt;2015&lt;/Year&gt;&lt;RecNum&gt;19&lt;/RecNum&gt;&lt;DisplayText&gt;&lt;style face="superscript"&gt;9&lt;/style&gt;&lt;/DisplayText&gt;&lt;record&gt;&lt;rec-number&gt;19&lt;/rec-number&gt;&lt;foreign-keys&gt;&lt;key app="EN" db-id="rfdrt5f982tppcedt23vfxzvp52ea529f2pd"&gt;19&lt;/key&gt;&lt;/foreign-keys&gt;&lt;ref-type name="Generic"&gt;13&lt;/ref-type&gt;&lt;contributors&gt;&lt;authors&gt;&lt;author&gt;South Australian Department for Health and Ageing,.&lt;/author&gt;&lt;/authors&gt;&lt;/contributors&gt;&lt;titles&gt;&lt;title&gt;National Antimicrobial Utilisation Surveillance Program: annual report 2014-2015&lt;/title&gt;&lt;/titles&gt;&lt;dates&gt;&lt;year&gt;2015&lt;/year&gt;&lt;/dates&gt;&lt;pub-location&gt;Adelaide&lt;/pub-location&gt;&lt;publisher&gt;SA Health&lt;/publisher&gt;&lt;urls&gt;&lt;/urls&gt;&lt;/record&gt;&lt;/Cite&gt;&lt;/EndNote&gt;</w:instrText>
        </w:r>
        <w:r w:rsidRPr="009447E3">
          <w:fldChar w:fldCharType="separate"/>
        </w:r>
        <w:r w:rsidRPr="009447E3">
          <w:rPr>
            <w:noProof/>
            <w:vertAlign w:val="superscript"/>
          </w:rPr>
          <w:t>9</w:t>
        </w:r>
        <w:r w:rsidRPr="009447E3">
          <w:fldChar w:fldCharType="end"/>
        </w:r>
      </w:hyperlink>
    </w:p>
    <w:p w:rsidR="00C5112F" w:rsidRPr="009447E3" w:rsidRDefault="00C5112F" w:rsidP="00C5112F">
      <w:r w:rsidRPr="009447E3">
        <w:t xml:space="preserve">The </w:t>
      </w:r>
      <w:r>
        <w:t>NAUSP</w:t>
      </w:r>
      <w:r w:rsidRPr="009447E3">
        <w:t xml:space="preserve"> data showed that total use of first</w:t>
      </w:r>
      <w:r>
        <w:t>-</w:t>
      </w:r>
      <w:r w:rsidRPr="009447E3">
        <w:t xml:space="preserve">generation </w:t>
      </w:r>
      <w:proofErr w:type="spellStart"/>
      <w:r w:rsidRPr="009447E3">
        <w:t>cephalosporins</w:t>
      </w:r>
      <w:proofErr w:type="spellEnd"/>
      <w:r w:rsidRPr="009447E3">
        <w:t xml:space="preserve"> has declined slightly since 2010 even as the number of contributors increased (Figure 1). In 2014</w:t>
      </w:r>
      <w:r>
        <w:t>,</w:t>
      </w:r>
      <w:r w:rsidRPr="009447E3">
        <w:t xml:space="preserve"> </w:t>
      </w:r>
      <w:proofErr w:type="spellStart"/>
      <w:r w:rsidRPr="009447E3">
        <w:t>cefazolin</w:t>
      </w:r>
      <w:proofErr w:type="spellEnd"/>
      <w:r w:rsidRPr="009447E3">
        <w:t xml:space="preserve"> and </w:t>
      </w:r>
      <w:r>
        <w:t>cephalexin</w:t>
      </w:r>
      <w:r w:rsidRPr="009447E3">
        <w:t xml:space="preserve"> were the third and sixth most used </w:t>
      </w:r>
      <w:proofErr w:type="spellStart"/>
      <w:r w:rsidRPr="009447E3">
        <w:t>antibacterials</w:t>
      </w:r>
      <w:proofErr w:type="spellEnd"/>
      <w:r w:rsidRPr="009447E3">
        <w:t>, respectively accounting for 8.5% and  5.5% of all use.</w:t>
      </w:r>
      <w:hyperlink w:anchor="_ENREF_10" w:tooltip="South Australian Department for Health and Ageing, 2015 #17" w:history="1">
        <w:r w:rsidRPr="009447E3">
          <w:fldChar w:fldCharType="begin"/>
        </w:r>
        <w:r w:rsidRPr="009447E3">
          <w:instrText xml:space="preserve"> ADDIN EN.CITE &lt;EndNote&gt;&lt;Cite&gt;&lt;Author&gt;South Australian Department for Health and Ageing&lt;/Author&gt;&lt;Year&gt;2015&lt;/Year&gt;&lt;RecNum&gt;17&lt;/RecNum&gt;&lt;DisplayText&gt;&lt;style face="superscript"&gt;10&lt;/style&gt;&lt;/DisplayText&gt;&lt;record&gt;&lt;rec-number&gt;17&lt;/rec-number&gt;&lt;foreign-keys&gt;&lt;key app="EN" db-id="rfdrt5f982tppcedt23vfxzvp52ea529f2pd"&gt;17&lt;/key&gt;&lt;/foreign-keys&gt;&lt;ref-type name="Generic"&gt;13&lt;/ref-type&gt;&lt;contributors&gt;&lt;authors&gt;&lt;author&gt;South Australian Department for Health and Ageing,.&lt;/author&gt;&lt;/authors&gt;&lt;/contributors&gt;&lt;titles&gt;&lt;title&gt;Antimicrobial use in Australian hospitals: 2014 report of the National Antimicrobial Utilisation Surveillance Program&lt;/title&gt;&lt;/titles&gt;&lt;dates&gt;&lt;year&gt;2015&lt;/year&gt;&lt;/dates&gt;&lt;pub-location&gt;Adelaide&lt;/pub-location&gt;&lt;publisher&gt;NAUSP&lt;/publisher&gt;&lt;urls&gt;&lt;/urls&gt;&lt;/record&gt;&lt;/Cite&gt;&lt;/EndNote&gt;</w:instrText>
        </w:r>
        <w:r w:rsidRPr="009447E3">
          <w:fldChar w:fldCharType="separate"/>
        </w:r>
        <w:r w:rsidRPr="009447E3">
          <w:rPr>
            <w:noProof/>
            <w:vertAlign w:val="superscript"/>
          </w:rPr>
          <w:t>10</w:t>
        </w:r>
        <w:r w:rsidRPr="009447E3">
          <w:fldChar w:fldCharType="end"/>
        </w:r>
      </w:hyperlink>
      <w:r w:rsidRPr="009447E3">
        <w:t xml:space="preserve"> In the same year, the NAPS data showed that </w:t>
      </w:r>
      <w:proofErr w:type="spellStart"/>
      <w:r w:rsidRPr="009447E3">
        <w:t>cefazolin</w:t>
      </w:r>
      <w:proofErr w:type="spellEnd"/>
      <w:r w:rsidRPr="009447E3">
        <w:t xml:space="preserve"> was prescribed to more people than any other antibacterial (11.1%).</w:t>
      </w:r>
      <w:hyperlink w:anchor="_ENREF_11" w:tooltip="Australian Commission on Safety and Quality in Health Care., 2015 #20" w:history="1">
        <w:r w:rsidRPr="009447E3">
          <w:fldChar w:fldCharType="begin"/>
        </w:r>
        <w:r w:rsidRPr="009447E3">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9447E3">
          <w:fldChar w:fldCharType="separate"/>
        </w:r>
        <w:r w:rsidRPr="009447E3">
          <w:rPr>
            <w:noProof/>
            <w:vertAlign w:val="superscript"/>
          </w:rPr>
          <w:t>11</w:t>
        </w:r>
        <w:r w:rsidRPr="009447E3">
          <w:fldChar w:fldCharType="end"/>
        </w:r>
      </w:hyperlink>
    </w:p>
    <w:p w:rsidR="00C5112F" w:rsidRPr="00E472C9" w:rsidRDefault="00C5112F" w:rsidP="00DA5EF5">
      <w:pPr>
        <w:keepNext/>
        <w:keepLines/>
        <w:tabs>
          <w:tab w:val="left" w:pos="1134"/>
        </w:tabs>
        <w:spacing w:before="240"/>
        <w:ind w:left="1134" w:hanging="1134"/>
        <w:rPr>
          <w:b/>
        </w:rPr>
      </w:pPr>
      <w:r w:rsidRPr="00E472C9">
        <w:rPr>
          <w:b/>
        </w:rPr>
        <w:lastRenderedPageBreak/>
        <w:t>Figure 1:</w:t>
      </w:r>
      <w:r w:rsidRPr="00E472C9">
        <w:rPr>
          <w:b/>
        </w:rPr>
        <w:tab/>
        <w:t xml:space="preserve">Hospital usage rates by defined daily doses per occupied bed day (DDD/1000 OBD) for first-generation </w:t>
      </w:r>
      <w:proofErr w:type="spellStart"/>
      <w:r w:rsidRPr="00E472C9">
        <w:rPr>
          <w:b/>
        </w:rPr>
        <w:t>cephalosporins</w:t>
      </w:r>
      <w:proofErr w:type="spellEnd"/>
      <w:r w:rsidRPr="00E472C9">
        <w:rPr>
          <w:b/>
        </w:rPr>
        <w:t>: NAUSP contributors, 2010–14</w:t>
      </w:r>
      <w:hyperlink w:anchor="_ENREF_10" w:tooltip="South Australian Department for Health and Ageing, 2015 #17" w:history="1">
        <w:r w:rsidRPr="00E472C9">
          <w:rPr>
            <w:b/>
          </w:rPr>
          <w:fldChar w:fldCharType="begin"/>
        </w:r>
        <w:r w:rsidRPr="00E472C9">
          <w:rPr>
            <w:b/>
          </w:rPr>
          <w:instrText xml:space="preserve"> ADDIN EN.CITE &lt;EndNote&gt;&lt;Cite&gt;&lt;Author&gt;South Australian Department for Health and Ageing&lt;/Author&gt;&lt;Year&gt;2015&lt;/Year&gt;&lt;RecNum&gt;17&lt;/RecNum&gt;&lt;DisplayText&gt;&lt;style face="superscript"&gt;10&lt;/style&gt;&lt;/DisplayText&gt;&lt;record&gt;&lt;rec-number&gt;17&lt;/rec-number&gt;&lt;foreign-keys&gt;&lt;key app="EN" db-id="rfdrt5f982tppcedt23vfxzvp52ea529f2pd"&gt;17&lt;/key&gt;&lt;/foreign-keys&gt;&lt;ref-type name="Generic"&gt;13&lt;/ref-type&gt;&lt;contributors&gt;&lt;authors&gt;&lt;author&gt;South Australian Department for Health and Ageing,.&lt;/author&gt;&lt;/authors&gt;&lt;/contributors&gt;&lt;titles&gt;&lt;title&gt;Antimicrobial use in Australian hospitals: 2014 report of the National Antimicrobial Utilisation Surveillance Program&lt;/title&gt;&lt;/titles&gt;&lt;dates&gt;&lt;year&gt;2015&lt;/year&gt;&lt;/dates&gt;&lt;pub-location&gt;Adelaide&lt;/pub-location&gt;&lt;publisher&gt;NAUSP&lt;/publisher&gt;&lt;urls&gt;&lt;/urls&gt;&lt;/record&gt;&lt;/Cite&gt;&lt;/EndNote&gt;</w:instrText>
        </w:r>
        <w:r w:rsidRPr="00E472C9">
          <w:rPr>
            <w:b/>
          </w:rPr>
          <w:fldChar w:fldCharType="separate"/>
        </w:r>
        <w:r w:rsidRPr="00E472C9">
          <w:rPr>
            <w:b/>
            <w:noProof/>
            <w:vertAlign w:val="superscript"/>
          </w:rPr>
          <w:t>10</w:t>
        </w:r>
        <w:r w:rsidRPr="00E472C9">
          <w:rPr>
            <w:b/>
          </w:rPr>
          <w:fldChar w:fldCharType="end"/>
        </w:r>
      </w:hyperlink>
    </w:p>
    <w:p w:rsidR="00C5112F" w:rsidRDefault="00C5112F" w:rsidP="00C5112F">
      <w:pPr>
        <w:pStyle w:val="Heading3"/>
      </w:pPr>
      <w:r>
        <w:rPr>
          <w:noProof/>
        </w:rPr>
        <w:drawing>
          <wp:inline distT="0" distB="0" distL="0" distR="0" wp14:anchorId="4D287B2D" wp14:editId="250A5E1E">
            <wp:extent cx="4572000" cy="2743200"/>
            <wp:effectExtent l="0" t="0" r="0" b="0"/>
            <wp:docPr id="30" name="Chart 30" descr="Figure 1 shows that total use of first-generation cephalosporins has declined slightly since 2010 even as the number of contributors increas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112F" w:rsidRDefault="00C5112F" w:rsidP="00C5112F">
      <w:pPr>
        <w:rPr>
          <w:sz w:val="18"/>
          <w:szCs w:val="18"/>
        </w:rPr>
      </w:pPr>
      <w:r w:rsidRPr="001557BE">
        <w:rPr>
          <w:sz w:val="16"/>
          <w:szCs w:val="16"/>
        </w:rPr>
        <w:t>*</w:t>
      </w:r>
      <w:r w:rsidRPr="00581708">
        <w:rPr>
          <w:sz w:val="18"/>
          <w:szCs w:val="18"/>
        </w:rPr>
        <w:t>DDD/1000 OBD = defined daily doses per 1000 occupied bed days</w:t>
      </w:r>
    </w:p>
    <w:p w:rsidR="00C5112F" w:rsidRDefault="00C5112F" w:rsidP="00C5112F">
      <w:pPr>
        <w:pStyle w:val="TFNoteSourceSpace"/>
      </w:pPr>
      <w:r>
        <w:t>Source</w:t>
      </w:r>
      <w:r w:rsidRPr="00053DCE">
        <w:t>: National Antimicrobial Utilisation Surveillance Program</w:t>
      </w:r>
      <w:r>
        <w:t xml:space="preserve"> 2014</w:t>
      </w:r>
    </w:p>
    <w:p w:rsidR="00C5112F" w:rsidRPr="00BD578E" w:rsidRDefault="00C5112F" w:rsidP="00E57029">
      <w:pPr>
        <w:pStyle w:val="Heading3"/>
      </w:pPr>
      <w:r>
        <w:t>How much is used i</w:t>
      </w:r>
      <w:r w:rsidRPr="00BD578E">
        <w:t>n the community</w:t>
      </w:r>
      <w:r>
        <w:t>?</w:t>
      </w:r>
    </w:p>
    <w:p w:rsidR="00C5112F" w:rsidRDefault="00C5112F" w:rsidP="00C5112F">
      <w:pPr>
        <w:rPr>
          <w:b/>
          <w:bCs/>
          <w:color w:val="000000"/>
          <w:sz w:val="24"/>
          <w:szCs w:val="34"/>
          <w:lang w:eastAsia="x-none"/>
        </w:rPr>
      </w:pPr>
      <w:r w:rsidRPr="00BD578E">
        <w:t xml:space="preserve">PBS/RPBS data show that </w:t>
      </w:r>
      <w:r>
        <w:t>cephalexin</w:t>
      </w:r>
      <w:r w:rsidRPr="00BD578E">
        <w:t xml:space="preserve"> is the second most often dispensed antibacterial in the community and use has been increasing year by year (Figure 2).</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r w:rsidRPr="00BD578E">
        <w:t xml:space="preserve"> It increased by about 2.5% from 5 413 046 prescriptions (234 prescriptions/1000 people) in 2013 to 5 549 606 prescriptions (236 prescriptions/1000 people) in 2014.</w:t>
      </w:r>
      <w:hyperlink w:anchor="_ENREF_1" w:tooltip="Australian Commission on Safety and Quality in Health Care, 2016 #8" w:history="1">
        <w:r w:rsidRPr="00BD578E">
          <w:rPr>
            <w:rFonts w:ascii="Gotham Bold" w:hAnsi="Gotham Bold" w:cs="Gotham Bold"/>
            <w:b/>
            <w:bCs/>
          </w:rPr>
          <w:fldChar w:fldCharType="begin"/>
        </w:r>
        <w:r w:rsidRPr="00BD578E">
          <w:rPr>
            <w:rFonts w:ascii="Gotham Bold" w:hAnsi="Gotham Bold" w:cs="Gotham Bold"/>
            <w:b/>
            <w:bCs/>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rPr>
            <w:rFonts w:ascii="Gotham Bold" w:hAnsi="Gotham Bold" w:cs="Gotham Bold"/>
            <w:b/>
            <w:bCs/>
          </w:rPr>
          <w:fldChar w:fldCharType="separate"/>
        </w:r>
        <w:r w:rsidRPr="00BD578E">
          <w:rPr>
            <w:rFonts w:ascii="Gotham Bold" w:hAnsi="Gotham Bold" w:cs="Gotham Bold"/>
            <w:b/>
            <w:bCs/>
            <w:noProof/>
            <w:vertAlign w:val="superscript"/>
          </w:rPr>
          <w:t>1</w:t>
        </w:r>
        <w:r w:rsidRPr="00BD578E">
          <w:rPr>
            <w:rFonts w:ascii="Gotham Bold" w:hAnsi="Gotham Bold" w:cs="Gotham Bold"/>
            <w:b/>
            <w:bCs/>
          </w:rPr>
          <w:fldChar w:fldCharType="end"/>
        </w:r>
      </w:hyperlink>
      <w:r w:rsidRPr="00BD578E">
        <w:rPr>
          <w:rFonts w:ascii="Gotham Bold" w:hAnsi="Gotham Bold" w:cs="Gotham Bold"/>
          <w:b/>
          <w:bCs/>
        </w:rPr>
        <w:t xml:space="preserve"> </w:t>
      </w:r>
      <w:r>
        <w:t xml:space="preserve">The </w:t>
      </w:r>
      <w:proofErr w:type="spellStart"/>
      <w:r>
        <w:t>acNAPS</w:t>
      </w:r>
      <w:proofErr w:type="spellEnd"/>
      <w:r w:rsidRPr="00BD578E">
        <w:t xml:space="preserve"> data from residential aged</w:t>
      </w:r>
      <w:r>
        <w:t>-</w:t>
      </w:r>
      <w:r w:rsidRPr="00BD578E">
        <w:t xml:space="preserve">care </w:t>
      </w:r>
      <w:r>
        <w:t xml:space="preserve">facilities </w:t>
      </w:r>
      <w:r w:rsidRPr="00BD578E">
        <w:t xml:space="preserve">showed that </w:t>
      </w:r>
      <w:r>
        <w:t>cephalexin</w:t>
      </w:r>
      <w:r w:rsidRPr="00BD578E">
        <w:t xml:space="preserve"> was the antibacterial prescribed most often (16.7%).</w:t>
      </w:r>
      <w:hyperlink w:anchor="_ENREF_4" w:tooltip="National Centre for Antimicrobial Stewardship and Australian Commission on Safety and Quality in Health Care., 2016 #10" w:history="1">
        <w:r w:rsidRPr="00BD578E">
          <w:fldChar w:fldCharType="begin"/>
        </w:r>
        <w:r w:rsidRPr="00BD578E">
          <w:instrText xml:space="preserve"> ADDIN EN.CITE &lt;EndNote&gt;&lt;Cite&gt;&lt;Author&gt;National Centre for Antimicrobial Stewardship and Australian Commission on Safety and Quality in Health Care.&lt;/Author&gt;&lt;Year&gt;2016&lt;/Year&gt;&lt;RecNum&gt;10&lt;/RecNum&gt;&lt;DisplayText&gt;&lt;style face="superscript"&gt;4&lt;/style&gt;&lt;/DisplayText&gt;&lt;record&gt;&lt;rec-number&gt;10&lt;/rec-number&gt;&lt;foreign-keys&gt;&lt;key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BD578E">
          <w:fldChar w:fldCharType="separate"/>
        </w:r>
        <w:r w:rsidRPr="00BD578E">
          <w:rPr>
            <w:noProof/>
            <w:vertAlign w:val="superscript"/>
          </w:rPr>
          <w:t>4</w:t>
        </w:r>
        <w:r w:rsidRPr="00BD578E">
          <w:fldChar w:fldCharType="end"/>
        </w:r>
      </w:hyperlink>
    </w:p>
    <w:p w:rsidR="00C5112F" w:rsidRPr="00E472C9" w:rsidRDefault="00C5112F" w:rsidP="00DA5EF5">
      <w:pPr>
        <w:tabs>
          <w:tab w:val="left" w:pos="1134"/>
        </w:tabs>
        <w:spacing w:before="240"/>
        <w:ind w:left="1134" w:hanging="1134"/>
        <w:rPr>
          <w:b/>
          <w:vertAlign w:val="superscript"/>
        </w:rPr>
      </w:pPr>
      <w:r w:rsidRPr="00E472C9">
        <w:rPr>
          <w:b/>
        </w:rPr>
        <w:t>Figure 2:</w:t>
      </w:r>
      <w:r w:rsidRPr="00E472C9">
        <w:rPr>
          <w:b/>
        </w:rPr>
        <w:tab/>
        <w:t>Cephalexin supplied to the population under the PBS, 1994–2004 (four</w:t>
      </w:r>
      <w:r w:rsidRPr="00E472C9">
        <w:rPr>
          <w:b/>
        </w:rPr>
        <w:noBreakHyphen/>
        <w:t>point moving average</w:t>
      </w:r>
      <w:proofErr w:type="gramStart"/>
      <w:r w:rsidRPr="00E472C9">
        <w:rPr>
          <w:b/>
        </w:rPr>
        <w:t>)</w:t>
      </w:r>
      <w:r w:rsidRPr="00E472C9">
        <w:rPr>
          <w:b/>
          <w:vertAlign w:val="superscript"/>
        </w:rPr>
        <w:t>1</w:t>
      </w:r>
      <w:proofErr w:type="gramEnd"/>
    </w:p>
    <w:p w:rsidR="00C5112F" w:rsidRDefault="00C5112F" w:rsidP="00C5112F">
      <w:pPr>
        <w:pStyle w:val="Tablecaption"/>
        <w:keepLines/>
      </w:pPr>
      <w:r>
        <w:rPr>
          <w:noProof/>
          <w:lang w:eastAsia="en-AU"/>
        </w:rPr>
        <mc:AlternateContent>
          <mc:Choice Requires="wps">
            <w:drawing>
              <wp:anchor distT="0" distB="0" distL="114300" distR="114300" simplePos="0" relativeHeight="251661312" behindDoc="0" locked="0" layoutInCell="1" allowOverlap="1" wp14:anchorId="19C9668A" wp14:editId="5E6F741A">
                <wp:simplePos x="0" y="0"/>
                <wp:positionH relativeFrom="column">
                  <wp:posOffset>1776730</wp:posOffset>
                </wp:positionH>
                <wp:positionV relativeFrom="paragraph">
                  <wp:posOffset>2045970</wp:posOffset>
                </wp:positionV>
                <wp:extent cx="1716405" cy="3105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310515"/>
                        </a:xfrm>
                        <a:prstGeom prst="rect">
                          <a:avLst/>
                        </a:prstGeom>
                        <a:solidFill>
                          <a:srgbClr val="FFFFFF"/>
                        </a:solidFill>
                        <a:ln w="9525">
                          <a:noFill/>
                          <a:miter lim="800000"/>
                          <a:headEnd/>
                          <a:tailEnd/>
                        </a:ln>
                      </wps:spPr>
                      <wps:txbx>
                        <w:txbxContent>
                          <w:p w:rsidR="00D32E79" w:rsidRPr="00472AF5" w:rsidRDefault="00D32E79" w:rsidP="00C5112F">
                            <w:pPr>
                              <w:jc w:val="center"/>
                              <w:rPr>
                                <w:i/>
                                <w:sz w:val="20"/>
                              </w:rPr>
                            </w:pPr>
                            <w:r w:rsidRPr="00472AF5">
                              <w:rPr>
                                <w:i/>
                                <w:sz w:val="20"/>
                              </w:rPr>
                              <w:t>Year/Quarter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9.9pt;margin-top:161.1pt;width:135.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" stroked="f">
                <v:textbox>
                  <w:txbxContent>
                    <w:p w:rsidR="00D32E79" w:rsidRPr="00472AF5" w:rsidRDefault="00D32E79" w:rsidP="00C5112F">
                      <w:pPr>
                        <w:jc w:val="center"/>
                        <w:rPr>
                          <w:i/>
                          <w:sz w:val="20"/>
                        </w:rPr>
                      </w:pPr>
                      <w:r w:rsidRPr="00472AF5">
                        <w:rPr>
                          <w:i/>
                          <w:sz w:val="20"/>
                        </w:rPr>
                        <w:t>Year/Quarter</w:t>
                      </w:r>
                    </w:p>
                  </w:txbxContent>
                </v:textbox>
              </v:shape>
            </w:pict>
          </mc:Fallback>
        </mc:AlternateContent>
      </w:r>
      <w:r>
        <w:rPr>
          <w:noProof/>
          <w:lang w:eastAsia="en-AU"/>
        </w:rPr>
        <w:drawing>
          <wp:inline distT="0" distB="0" distL="0" distR="0" wp14:anchorId="74C5FD95" wp14:editId="6A9E2BCC">
            <wp:extent cx="5095875" cy="2371725"/>
            <wp:effectExtent l="0" t="0" r="0" b="0"/>
            <wp:docPr id="13" name="Chart 13" descr="PBS/RPBS data showed that cefalexin use in the community has been increasing year by year (1994 to 20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112F" w:rsidRPr="00740921" w:rsidRDefault="00C5112F" w:rsidP="00C5112F">
      <w:pPr>
        <w:rPr>
          <w:sz w:val="18"/>
          <w:szCs w:val="18"/>
        </w:rPr>
      </w:pPr>
      <w:r>
        <w:rPr>
          <w:iCs/>
          <w:sz w:val="18"/>
          <w:szCs w:val="18"/>
        </w:rPr>
        <w:t>Source</w:t>
      </w:r>
      <w:r w:rsidRPr="00740921">
        <w:rPr>
          <w:sz w:val="18"/>
          <w:szCs w:val="18"/>
        </w:rPr>
        <w:t>: University of South Australia Division of Health Sciences unpublished analysis of PBS data</w:t>
      </w:r>
    </w:p>
    <w:p w:rsidR="00E57029" w:rsidRDefault="00E57029">
      <w:pPr>
        <w:rPr>
          <w:rFonts w:cs="Arial"/>
          <w:bCs/>
          <w:color w:val="1178A2"/>
          <w:sz w:val="28"/>
          <w:szCs w:val="26"/>
        </w:rPr>
      </w:pPr>
      <w:r>
        <w:br w:type="page"/>
      </w:r>
    </w:p>
    <w:p w:rsidR="00C5112F" w:rsidRPr="00E37A98" w:rsidRDefault="00C5112F" w:rsidP="00E57029">
      <w:pPr>
        <w:pStyle w:val="Heading3"/>
        <w:keepLines/>
      </w:pPr>
      <w:r w:rsidRPr="00A34F08">
        <w:lastRenderedPageBreak/>
        <w:t xml:space="preserve">How appropriate is </w:t>
      </w:r>
      <w:r w:rsidRPr="00E37A98">
        <w:t>the use of first</w:t>
      </w:r>
      <w:r>
        <w:t>-</w:t>
      </w:r>
      <w:r w:rsidRPr="00E37A98">
        <w:t xml:space="preserve">generation </w:t>
      </w:r>
      <w:proofErr w:type="spellStart"/>
      <w:r w:rsidRPr="00E37A98">
        <w:t>cephalosporins</w:t>
      </w:r>
      <w:proofErr w:type="spellEnd"/>
      <w:r>
        <w:t xml:space="preserve"> in hospitals</w:t>
      </w:r>
      <w:r w:rsidRPr="00E37A98">
        <w:t>?</w:t>
      </w:r>
    </w:p>
    <w:p w:rsidR="00C5112F" w:rsidRPr="00BD578E" w:rsidRDefault="00C5112F" w:rsidP="00E57029">
      <w:pPr>
        <w:spacing w:before="240"/>
      </w:pPr>
      <w:r w:rsidRPr="00BD578E">
        <w:t>Hospital prescribing of first</w:t>
      </w:r>
      <w:r>
        <w:t>-</w:t>
      </w:r>
      <w:r w:rsidRPr="00BD578E">
        <w:t xml:space="preserve">generation </w:t>
      </w:r>
      <w:proofErr w:type="spellStart"/>
      <w:r w:rsidRPr="00BD578E">
        <w:t>cephalosporins</w:t>
      </w:r>
      <w:proofErr w:type="spellEnd"/>
      <w:r w:rsidRPr="00BD578E">
        <w:t xml:space="preserve"> is often inappropriate. </w:t>
      </w:r>
      <w:r>
        <w:t>In 2014, a</w:t>
      </w:r>
      <w:r w:rsidRPr="00BD578E">
        <w:t xml:space="preserve">bout four in ten </w:t>
      </w:r>
      <w:r>
        <w:t>cephalexin</w:t>
      </w:r>
      <w:r w:rsidRPr="00BD578E">
        <w:t xml:space="preserve"> prescriptions and about one in three </w:t>
      </w:r>
      <w:proofErr w:type="spellStart"/>
      <w:r w:rsidRPr="00BD578E">
        <w:t>cefazolin</w:t>
      </w:r>
      <w:proofErr w:type="spellEnd"/>
      <w:r w:rsidRPr="00BD578E">
        <w:t xml:space="preserve"> prescriptions were inappropriate (Table 9).</w:t>
      </w:r>
      <w:hyperlink w:anchor="_ENREF_11" w:tooltip="Australian Commission on Safety and Quality in Health Care., 2015 #20" w:history="1">
        <w:r w:rsidRPr="00BD578E">
          <w:fldChar w:fldCharType="begin"/>
        </w:r>
        <w:r w:rsidRPr="00BD578E">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BD578E">
          <w:fldChar w:fldCharType="separate"/>
        </w:r>
        <w:r w:rsidRPr="00BD578E">
          <w:rPr>
            <w:noProof/>
            <w:vertAlign w:val="superscript"/>
          </w:rPr>
          <w:t>11</w:t>
        </w:r>
        <w:r w:rsidRPr="00BD578E">
          <w:fldChar w:fldCharType="end"/>
        </w:r>
      </w:hyperlink>
      <w:r w:rsidRPr="00BD578E">
        <w:t xml:space="preserve"> About three in four </w:t>
      </w:r>
      <w:proofErr w:type="spellStart"/>
      <w:r w:rsidRPr="00BD578E">
        <w:t>cefazolin</w:t>
      </w:r>
      <w:proofErr w:type="spellEnd"/>
      <w:r w:rsidRPr="00BD578E">
        <w:t xml:space="preserve"> prescriptions were for surgical prophylaxis (73.7%). Of these, about one in three were inappropriate (30.7%) or did not comply with guidelines (32.2%).</w:t>
      </w:r>
      <w:hyperlink w:anchor="_ENREF_11" w:tooltip="Australian Commission on Safety and Quality in Health Care., 2015 #20" w:history="1">
        <w:r w:rsidRPr="00BD578E">
          <w:fldChar w:fldCharType="begin"/>
        </w:r>
        <w:r w:rsidRPr="00BD578E">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BD578E">
          <w:fldChar w:fldCharType="separate"/>
        </w:r>
        <w:r w:rsidRPr="00BD578E">
          <w:rPr>
            <w:noProof/>
            <w:vertAlign w:val="superscript"/>
          </w:rPr>
          <w:t>11</w:t>
        </w:r>
        <w:r w:rsidRPr="00BD578E">
          <w:fldChar w:fldCharType="end"/>
        </w:r>
      </w:hyperlink>
      <w:r w:rsidRPr="00BD578E">
        <w:t xml:space="preserve"> Figure 3 shows that </w:t>
      </w:r>
      <w:proofErr w:type="spellStart"/>
      <w:r w:rsidRPr="00BD578E">
        <w:t>cefazolin</w:t>
      </w:r>
      <w:proofErr w:type="spellEnd"/>
      <w:r w:rsidRPr="00BD578E">
        <w:t xml:space="preserve"> and </w:t>
      </w:r>
      <w:r>
        <w:t>cephalexin</w:t>
      </w:r>
      <w:r w:rsidRPr="00BD578E">
        <w:t xml:space="preserve"> are the two</w:t>
      </w:r>
      <w:r>
        <w:t xml:space="preserve"> most commonly</w:t>
      </w:r>
      <w:r w:rsidRPr="00BD578E">
        <w:t xml:space="preserve"> prescribed </w:t>
      </w:r>
      <w:proofErr w:type="spellStart"/>
      <w:r w:rsidRPr="00C46A90">
        <w:t>antibacterials</w:t>
      </w:r>
      <w:proofErr w:type="spellEnd"/>
      <w:r w:rsidRPr="00A4182B">
        <w:t xml:space="preserve"> </w:t>
      </w:r>
      <w:r w:rsidRPr="00BD578E">
        <w:t xml:space="preserve">for surgical prophylaxis and are the two </w:t>
      </w:r>
      <w:proofErr w:type="spellStart"/>
      <w:r w:rsidRPr="00BD578E">
        <w:t>antibacterials</w:t>
      </w:r>
      <w:proofErr w:type="spellEnd"/>
      <w:r w:rsidRPr="00BD578E">
        <w:t xml:space="preserve"> most often prescribed inappropriately.</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r w:rsidRPr="00BD578E">
        <w:t xml:space="preserve"> Although most of the inappropriate prescribing was because </w:t>
      </w:r>
      <w:proofErr w:type="spellStart"/>
      <w:r w:rsidRPr="00BD578E">
        <w:t>cefazolin</w:t>
      </w:r>
      <w:proofErr w:type="spellEnd"/>
      <w:r w:rsidRPr="00BD578E">
        <w:t xml:space="preserve"> and </w:t>
      </w:r>
      <w:r>
        <w:t>cephalexin</w:t>
      </w:r>
      <w:r w:rsidRPr="00BD578E">
        <w:t xml:space="preserve"> were prescribed for too long, some of it was because the antibacterial chosen was inappropriate.</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p>
    <w:p w:rsidR="00E66C30" w:rsidRDefault="00E66C30" w:rsidP="00C5112F"/>
    <w:p w:rsidR="00C5112F" w:rsidRPr="00BD578E" w:rsidRDefault="00C5112F" w:rsidP="00C5112F">
      <w:r w:rsidRPr="00BD578E">
        <w:t xml:space="preserve">The Commission is working with key stakeholders to explore options to address inappropriate prescribing for surgical prophylaxis. This includes identifying strategies and policies that can be implemented at local, </w:t>
      </w:r>
      <w:r>
        <w:t xml:space="preserve">state and territory </w:t>
      </w:r>
      <w:r w:rsidRPr="00BD578E">
        <w:t>and national levels to improve appropriate use in surgical settings, particularly around choice and duration of therapy.</w:t>
      </w:r>
    </w:p>
    <w:p w:rsidR="00C5112F" w:rsidRPr="00595543" w:rsidRDefault="00C5112F" w:rsidP="00595543">
      <w:pPr>
        <w:pStyle w:val="Heading3"/>
        <w:tabs>
          <w:tab w:val="left" w:pos="1134"/>
        </w:tabs>
        <w:spacing w:after="120"/>
        <w:ind w:left="1134" w:hanging="1134"/>
        <w:rPr>
          <w:color w:val="auto"/>
          <w:sz w:val="22"/>
          <w:szCs w:val="22"/>
          <w:highlight w:val="green"/>
        </w:rPr>
      </w:pPr>
      <w:r w:rsidRPr="00595543">
        <w:rPr>
          <w:color w:val="auto"/>
          <w:sz w:val="22"/>
          <w:szCs w:val="22"/>
        </w:rPr>
        <w:t>Table 9:</w:t>
      </w:r>
      <w:r w:rsidRPr="00595543">
        <w:rPr>
          <w:color w:val="auto"/>
          <w:sz w:val="22"/>
          <w:szCs w:val="22"/>
        </w:rPr>
        <w:tab/>
        <w:t xml:space="preserve">Appropriateness of prescribing for </w:t>
      </w:r>
      <w:proofErr w:type="spellStart"/>
      <w:r w:rsidRPr="00595543">
        <w:rPr>
          <w:color w:val="auto"/>
          <w:sz w:val="22"/>
          <w:szCs w:val="22"/>
        </w:rPr>
        <w:t>cefazolin</w:t>
      </w:r>
      <w:proofErr w:type="spellEnd"/>
      <w:r w:rsidRPr="00595543">
        <w:rPr>
          <w:color w:val="auto"/>
          <w:sz w:val="22"/>
          <w:szCs w:val="22"/>
        </w:rPr>
        <w:t xml:space="preserve"> and cephalexin in hospitals, 2014</w:t>
      </w:r>
      <w:r w:rsidRPr="00595543">
        <w:rPr>
          <w:color w:val="auto"/>
          <w:sz w:val="22"/>
          <w:szCs w:val="22"/>
          <w:vertAlign w:val="superscript"/>
        </w:rPr>
        <w:t>11</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97"/>
        <w:gridCol w:w="1605"/>
        <w:gridCol w:w="1605"/>
        <w:gridCol w:w="1605"/>
        <w:gridCol w:w="1768"/>
      </w:tblGrid>
      <w:tr w:rsidR="00C5112F" w:rsidRPr="00650757" w:rsidTr="00C5112F">
        <w:trPr>
          <w:trHeight w:val="283"/>
        </w:trPr>
        <w:tc>
          <w:tcPr>
            <w:tcW w:w="1497" w:type="dxa"/>
          </w:tcPr>
          <w:p w:rsidR="00C5112F" w:rsidRPr="00650757" w:rsidRDefault="00C5112F" w:rsidP="00C5112F">
            <w:pPr>
              <w:keepNext/>
              <w:autoSpaceDE w:val="0"/>
              <w:autoSpaceDN w:val="0"/>
              <w:adjustRightInd w:val="0"/>
              <w:spacing w:after="40" w:line="201" w:lineRule="atLeast"/>
              <w:rPr>
                <w:b/>
                <w:sz w:val="20"/>
              </w:rPr>
            </w:pPr>
            <w:r w:rsidRPr="00650757">
              <w:rPr>
                <w:b/>
                <w:sz w:val="20"/>
              </w:rPr>
              <w:t>Antibacterial</w:t>
            </w:r>
          </w:p>
        </w:tc>
        <w:tc>
          <w:tcPr>
            <w:tcW w:w="1605" w:type="dxa"/>
          </w:tcPr>
          <w:p w:rsidR="00C5112F" w:rsidRPr="00650757" w:rsidRDefault="00C5112F" w:rsidP="00C5112F">
            <w:pPr>
              <w:autoSpaceDE w:val="0"/>
              <w:autoSpaceDN w:val="0"/>
              <w:adjustRightInd w:val="0"/>
              <w:spacing w:after="40" w:line="201" w:lineRule="atLeast"/>
              <w:jc w:val="center"/>
              <w:rPr>
                <w:sz w:val="20"/>
              </w:rPr>
            </w:pPr>
            <w:r w:rsidRPr="00650757">
              <w:rPr>
                <w:b/>
                <w:bCs/>
                <w:sz w:val="20"/>
              </w:rPr>
              <w:t>Number of prescriptions</w:t>
            </w:r>
          </w:p>
        </w:tc>
        <w:tc>
          <w:tcPr>
            <w:tcW w:w="1605" w:type="dxa"/>
          </w:tcPr>
          <w:p w:rsidR="00C5112F" w:rsidRPr="00650757" w:rsidRDefault="00C5112F" w:rsidP="00C5112F">
            <w:pPr>
              <w:autoSpaceDE w:val="0"/>
              <w:autoSpaceDN w:val="0"/>
              <w:adjustRightInd w:val="0"/>
              <w:spacing w:after="40" w:line="201" w:lineRule="atLeast"/>
              <w:jc w:val="center"/>
              <w:rPr>
                <w:sz w:val="20"/>
              </w:rPr>
            </w:pPr>
            <w:r w:rsidRPr="00650757">
              <w:rPr>
                <w:b/>
                <w:bCs/>
                <w:sz w:val="20"/>
              </w:rPr>
              <w:t>Appropriate (%)</w:t>
            </w:r>
          </w:p>
        </w:tc>
        <w:tc>
          <w:tcPr>
            <w:tcW w:w="1605" w:type="dxa"/>
          </w:tcPr>
          <w:p w:rsidR="00C5112F" w:rsidRPr="00650757" w:rsidRDefault="00C5112F" w:rsidP="00C5112F">
            <w:pPr>
              <w:autoSpaceDE w:val="0"/>
              <w:autoSpaceDN w:val="0"/>
              <w:adjustRightInd w:val="0"/>
              <w:spacing w:after="40" w:line="201" w:lineRule="atLeast"/>
              <w:jc w:val="center"/>
              <w:rPr>
                <w:sz w:val="20"/>
              </w:rPr>
            </w:pPr>
            <w:r w:rsidRPr="00650757">
              <w:rPr>
                <w:b/>
                <w:bCs/>
                <w:sz w:val="20"/>
              </w:rPr>
              <w:t>Inappropriate (%)</w:t>
            </w:r>
          </w:p>
        </w:tc>
        <w:tc>
          <w:tcPr>
            <w:tcW w:w="1768" w:type="dxa"/>
          </w:tcPr>
          <w:p w:rsidR="00C5112F" w:rsidRPr="00650757" w:rsidRDefault="00C5112F" w:rsidP="00C5112F">
            <w:pPr>
              <w:autoSpaceDE w:val="0"/>
              <w:autoSpaceDN w:val="0"/>
              <w:adjustRightInd w:val="0"/>
              <w:spacing w:after="40" w:line="201" w:lineRule="atLeast"/>
              <w:jc w:val="center"/>
              <w:rPr>
                <w:sz w:val="20"/>
              </w:rPr>
            </w:pPr>
            <w:r w:rsidRPr="00650757">
              <w:rPr>
                <w:b/>
                <w:bCs/>
                <w:sz w:val="20"/>
              </w:rPr>
              <w:t>Not assessable (%)</w:t>
            </w:r>
          </w:p>
        </w:tc>
      </w:tr>
      <w:tr w:rsidR="00C5112F" w:rsidRPr="00650757" w:rsidTr="00C5112F">
        <w:trPr>
          <w:trHeight w:val="156"/>
        </w:trPr>
        <w:tc>
          <w:tcPr>
            <w:tcW w:w="1497" w:type="dxa"/>
          </w:tcPr>
          <w:p w:rsidR="00C5112F" w:rsidRPr="00650757" w:rsidRDefault="00C5112F" w:rsidP="00C5112F">
            <w:pPr>
              <w:keepNext/>
              <w:autoSpaceDE w:val="0"/>
              <w:autoSpaceDN w:val="0"/>
              <w:adjustRightInd w:val="0"/>
              <w:spacing w:after="40" w:line="201" w:lineRule="atLeast"/>
              <w:rPr>
                <w:sz w:val="20"/>
              </w:rPr>
            </w:pPr>
            <w:proofErr w:type="spellStart"/>
            <w:r w:rsidRPr="00650757">
              <w:rPr>
                <w:sz w:val="20"/>
              </w:rPr>
              <w:t>Cefazolin</w:t>
            </w:r>
            <w:proofErr w:type="spellEnd"/>
            <w:r w:rsidRPr="00650757">
              <w:rPr>
                <w:sz w:val="20"/>
              </w:rPr>
              <w:t xml:space="preserve"> </w:t>
            </w:r>
          </w:p>
        </w:tc>
        <w:tc>
          <w:tcPr>
            <w:tcW w:w="1605"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1908 </w:t>
            </w:r>
          </w:p>
        </w:tc>
        <w:tc>
          <w:tcPr>
            <w:tcW w:w="1605"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66.0 </w:t>
            </w:r>
          </w:p>
        </w:tc>
        <w:tc>
          <w:tcPr>
            <w:tcW w:w="1605"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31.6 </w:t>
            </w:r>
          </w:p>
        </w:tc>
        <w:tc>
          <w:tcPr>
            <w:tcW w:w="1768"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2.4 </w:t>
            </w:r>
          </w:p>
        </w:tc>
      </w:tr>
      <w:tr w:rsidR="00C5112F" w:rsidRPr="00650757" w:rsidTr="00C5112F">
        <w:trPr>
          <w:trHeight w:val="156"/>
        </w:trPr>
        <w:tc>
          <w:tcPr>
            <w:tcW w:w="1497" w:type="dxa"/>
          </w:tcPr>
          <w:p w:rsidR="00C5112F" w:rsidRPr="00650757" w:rsidRDefault="00C5112F" w:rsidP="00C5112F">
            <w:pPr>
              <w:keepNext/>
              <w:autoSpaceDE w:val="0"/>
              <w:autoSpaceDN w:val="0"/>
              <w:adjustRightInd w:val="0"/>
              <w:spacing w:after="40" w:line="201" w:lineRule="atLeast"/>
              <w:rPr>
                <w:sz w:val="20"/>
              </w:rPr>
            </w:pPr>
            <w:r>
              <w:rPr>
                <w:sz w:val="20"/>
              </w:rPr>
              <w:t>Cephalexin</w:t>
            </w:r>
            <w:r w:rsidRPr="00650757">
              <w:rPr>
                <w:sz w:val="20"/>
              </w:rPr>
              <w:t xml:space="preserve"> </w:t>
            </w:r>
          </w:p>
        </w:tc>
        <w:tc>
          <w:tcPr>
            <w:tcW w:w="1605"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853 </w:t>
            </w:r>
          </w:p>
        </w:tc>
        <w:tc>
          <w:tcPr>
            <w:tcW w:w="1605"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50.1 </w:t>
            </w:r>
          </w:p>
        </w:tc>
        <w:tc>
          <w:tcPr>
            <w:tcW w:w="1605"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39.9 </w:t>
            </w:r>
          </w:p>
        </w:tc>
        <w:tc>
          <w:tcPr>
            <w:tcW w:w="1768" w:type="dxa"/>
          </w:tcPr>
          <w:p w:rsidR="00C5112F" w:rsidRPr="00650757" w:rsidRDefault="00C5112F" w:rsidP="00C5112F">
            <w:pPr>
              <w:autoSpaceDE w:val="0"/>
              <w:autoSpaceDN w:val="0"/>
              <w:adjustRightInd w:val="0"/>
              <w:spacing w:after="40" w:line="201" w:lineRule="atLeast"/>
              <w:jc w:val="right"/>
              <w:rPr>
                <w:sz w:val="20"/>
              </w:rPr>
            </w:pPr>
            <w:r w:rsidRPr="00650757">
              <w:rPr>
                <w:sz w:val="20"/>
              </w:rPr>
              <w:t xml:space="preserve">10.1 </w:t>
            </w:r>
          </w:p>
        </w:tc>
      </w:tr>
    </w:tbl>
    <w:p w:rsidR="00C5112F" w:rsidRPr="009027E2" w:rsidRDefault="00C5112F" w:rsidP="00595543">
      <w:pPr>
        <w:keepLines/>
        <w:spacing w:before="120" w:after="240"/>
        <w:rPr>
          <w:sz w:val="18"/>
          <w:szCs w:val="18"/>
        </w:rPr>
      </w:pPr>
      <w:r>
        <w:rPr>
          <w:sz w:val="18"/>
          <w:szCs w:val="18"/>
        </w:rPr>
        <w:t>Source</w:t>
      </w:r>
      <w:r w:rsidRPr="009027E2">
        <w:rPr>
          <w:sz w:val="18"/>
          <w:szCs w:val="18"/>
        </w:rPr>
        <w:t>: National A</w:t>
      </w:r>
      <w:r>
        <w:rPr>
          <w:sz w:val="18"/>
          <w:szCs w:val="18"/>
        </w:rPr>
        <w:t xml:space="preserve">ntimicrobial Prescribing Survey </w:t>
      </w:r>
      <w:r w:rsidRPr="009027E2">
        <w:rPr>
          <w:sz w:val="18"/>
          <w:szCs w:val="18"/>
        </w:rPr>
        <w:t>2014</w:t>
      </w:r>
    </w:p>
    <w:p w:rsidR="00C5112F" w:rsidRPr="00E57029" w:rsidRDefault="00C5112F" w:rsidP="00595543">
      <w:pPr>
        <w:tabs>
          <w:tab w:val="left" w:pos="1134"/>
        </w:tabs>
        <w:spacing w:before="240" w:after="120"/>
        <w:ind w:left="1134" w:hanging="1134"/>
        <w:rPr>
          <w:b/>
        </w:rPr>
      </w:pPr>
      <w:r w:rsidRPr="00E57029">
        <w:rPr>
          <w:b/>
        </w:rPr>
        <w:t>Figure 3:</w:t>
      </w:r>
      <w:r w:rsidRPr="00E57029">
        <w:rPr>
          <w:b/>
        </w:rPr>
        <w:tab/>
      </w:r>
      <w:proofErr w:type="spellStart"/>
      <w:r w:rsidRPr="00E57029">
        <w:rPr>
          <w:b/>
        </w:rPr>
        <w:t>Antibacterials</w:t>
      </w:r>
      <w:proofErr w:type="spellEnd"/>
      <w:r w:rsidRPr="00E57029">
        <w:rPr>
          <w:b/>
        </w:rPr>
        <w:t xml:space="preserve"> used for (A) surgical prophylaxis overall and (B) when prescribed inappropriately for surgical prophylaxis, 2014</w:t>
      </w:r>
      <w:hyperlink w:anchor="_ENREF_11" w:tooltip="Australian Commission on Safety and Quality in Health Care., 2015 #20" w:history="1">
        <w:r w:rsidRPr="00E57029">
          <w:rPr>
            <w:b/>
          </w:rPr>
          <w:fldChar w:fldCharType="begin"/>
        </w:r>
        <w:r w:rsidRPr="00E57029">
          <w:rPr>
            <w:b/>
          </w:rPr>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E57029">
          <w:rPr>
            <w:b/>
          </w:rPr>
          <w:fldChar w:fldCharType="separate"/>
        </w:r>
        <w:r w:rsidRPr="00E57029">
          <w:rPr>
            <w:b/>
            <w:noProof/>
            <w:vertAlign w:val="superscript"/>
          </w:rPr>
          <w:t>11</w:t>
        </w:r>
        <w:r w:rsidRPr="00E57029">
          <w:rPr>
            <w:b/>
          </w:rPr>
          <w:fldChar w:fldCharType="end"/>
        </w:r>
      </w:hyperlink>
    </w:p>
    <w:p w:rsidR="00C5112F" w:rsidRPr="00BD578E" w:rsidRDefault="00C5112F" w:rsidP="00C5112F">
      <w:pPr>
        <w:pStyle w:val="Heading3"/>
      </w:pPr>
      <w:r w:rsidRPr="00301405">
        <w:rPr>
          <w:noProof/>
        </w:rPr>
        <w:drawing>
          <wp:inline distT="0" distB="0" distL="0" distR="0" wp14:anchorId="510315E3" wp14:editId="7E6B8B10">
            <wp:extent cx="2543175" cy="2705100"/>
            <wp:effectExtent l="0" t="0" r="9525" b="0"/>
            <wp:docPr id="2" name="Picture 2" descr="Figure 3 (A) and (B) show that cefazolin and cefalexin are the two antimicrobials prescribed most often for surgical prophylaxis and are the two antibacterials most often prescribed inappropri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 (A) and (B) show that cefazolin and cefalexin are the two antimicrobials prescribed most often for surgical prophylaxis and are the two antibacterials most often prescribed inappropriatel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6783" cy="2708938"/>
                    </a:xfrm>
                    <a:prstGeom prst="rect">
                      <a:avLst/>
                    </a:prstGeom>
                    <a:noFill/>
                    <a:ln>
                      <a:noFill/>
                    </a:ln>
                  </pic:spPr>
                </pic:pic>
              </a:graphicData>
            </a:graphic>
          </wp:inline>
        </w:drawing>
      </w:r>
      <w:r w:rsidRPr="00301405">
        <w:rPr>
          <w:noProof/>
        </w:rPr>
        <w:drawing>
          <wp:inline distT="0" distB="0" distL="0" distR="0" wp14:anchorId="7EC2F0B3" wp14:editId="17990807">
            <wp:extent cx="2695575" cy="2695575"/>
            <wp:effectExtent l="0" t="0" r="9525" b="9525"/>
            <wp:docPr id="6" name="Picture 4" descr="Figure 3 (A) and (B) show that cefazolin and cefalexin are the two antimicrobials prescribed most often for surgical prophylaxis and are the two antibacterials most often prescribed inappropri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A) and (B) show that cefazolin and cefalexin are the two antimicrobials prescribed most often for surgical prophylaxis and are the two antibacterials most often prescribed inappropriate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9576" cy="2699576"/>
                    </a:xfrm>
                    <a:prstGeom prst="rect">
                      <a:avLst/>
                    </a:prstGeom>
                    <a:noFill/>
                    <a:ln>
                      <a:noFill/>
                    </a:ln>
                  </pic:spPr>
                </pic:pic>
              </a:graphicData>
            </a:graphic>
          </wp:inline>
        </w:drawing>
      </w:r>
    </w:p>
    <w:p w:rsidR="00C5112F" w:rsidRPr="00A4182B" w:rsidRDefault="00C5112F" w:rsidP="00514311">
      <w:pPr>
        <w:pStyle w:val="TFNoteSourceSpace"/>
        <w:spacing w:before="120"/>
      </w:pPr>
      <w:r>
        <w:t>Source</w:t>
      </w:r>
      <w:r w:rsidRPr="00053DCE">
        <w:t>:</w:t>
      </w:r>
      <w:r>
        <w:t xml:space="preserve"> </w:t>
      </w:r>
      <w:r w:rsidRPr="00FD3476">
        <w:t xml:space="preserve"> </w:t>
      </w:r>
      <w:r w:rsidRPr="00A4182B">
        <w:rPr>
          <w:rFonts w:eastAsia="Arial"/>
        </w:rPr>
        <w:t>National Antimicrobial Prescribing Survey</w:t>
      </w:r>
      <w:r>
        <w:t xml:space="preserve"> </w:t>
      </w:r>
      <w:r w:rsidRPr="00A4182B">
        <w:t>2014</w:t>
      </w:r>
    </w:p>
    <w:p w:rsidR="00514311" w:rsidRDefault="00514311">
      <w:pPr>
        <w:rPr>
          <w:rFonts w:cs="Arial"/>
          <w:b/>
          <w:bCs/>
          <w:color w:val="E36C0A" w:themeColor="accent6" w:themeShade="BF"/>
          <w:sz w:val="28"/>
          <w:szCs w:val="26"/>
        </w:rPr>
      </w:pPr>
      <w:r>
        <w:br w:type="page"/>
      </w:r>
    </w:p>
    <w:p w:rsidR="00C5112F" w:rsidRPr="00E66C30" w:rsidRDefault="00C5112F" w:rsidP="00E57029">
      <w:pPr>
        <w:pStyle w:val="Heading3"/>
      </w:pPr>
      <w:r w:rsidRPr="00E66C30">
        <w:lastRenderedPageBreak/>
        <w:t xml:space="preserve">How appropriate is the use of first-generation </w:t>
      </w:r>
      <w:proofErr w:type="spellStart"/>
      <w:r w:rsidRPr="00E66C30">
        <w:t>cephalosporins</w:t>
      </w:r>
      <w:proofErr w:type="spellEnd"/>
      <w:r w:rsidRPr="00E66C30">
        <w:t xml:space="preserve"> in the community?</w:t>
      </w:r>
    </w:p>
    <w:p w:rsidR="00C5112F" w:rsidRPr="00BD578E" w:rsidRDefault="00C5112F" w:rsidP="00C5112F">
      <w:r w:rsidRPr="00BD578E">
        <w:t xml:space="preserve">Similarly, </w:t>
      </w:r>
      <w:r>
        <w:t>cephalexin</w:t>
      </w:r>
      <w:r w:rsidRPr="00BD578E">
        <w:t xml:space="preserve"> prescribing and use in the community is often inappropriate. The </w:t>
      </w:r>
      <w:proofErr w:type="spellStart"/>
      <w:r w:rsidRPr="00BD578E">
        <w:t>acNAPS</w:t>
      </w:r>
      <w:proofErr w:type="spellEnd"/>
      <w:r w:rsidRPr="00BD578E">
        <w:t xml:space="preserve"> data show that in </w:t>
      </w:r>
      <w:r>
        <w:t>residential aged-care facilities</w:t>
      </w:r>
      <w:r w:rsidRPr="00BD578E">
        <w:t xml:space="preserve">, </w:t>
      </w:r>
      <w:r>
        <w:t>cephalexin</w:t>
      </w:r>
      <w:r w:rsidRPr="00BD578E">
        <w:t xml:space="preserve"> was widely used for </w:t>
      </w:r>
      <w:r>
        <w:t>urinary tract infections</w:t>
      </w:r>
      <w:r w:rsidRPr="00BD578E">
        <w:t xml:space="preserve"> and skin or soft tissue infections, although guidelines do not recommend </w:t>
      </w:r>
      <w:r>
        <w:t>cephalexin</w:t>
      </w:r>
      <w:r w:rsidRPr="00BD578E">
        <w:t xml:space="preserve"> as a first-line treatment for these indications.</w:t>
      </w:r>
      <w:r w:rsidRPr="00BD578E">
        <w:fldChar w:fldCharType="begin"/>
      </w:r>
      <w:r w:rsidRPr="00BD578E">
        <w:instrText xml:space="preserve"> ADDIN EN.CITE &lt;EndNote&gt;&lt;Cite&gt;&lt;Author&gt;Antibiotic Expert Writing Group&lt;/Author&gt;&lt;Year&gt;2014&lt;/Year&gt;&lt;RecNum&gt;1&lt;/RecNum&gt;&lt;DisplayText&gt;&lt;style face="superscript"&gt;4, 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Limited&lt;/publisher&gt;&lt;urls&gt;&lt;/urls&gt;&lt;/record&gt;&lt;/Cite&gt;&lt;Cite&gt;&lt;Author&gt;National Centre for Antimicrobial Stewardship and Australian Commission on Safety and Quality in Health Care.&lt;/Author&gt;&lt;Year&gt;2016&lt;/Year&gt;&lt;RecNum&gt;10&lt;/RecNum&gt;&lt;record&gt;&lt;rec-number&gt;10&lt;/rec-number&gt;&lt;foreign-keys&gt;&lt;key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BD578E">
        <w:fldChar w:fldCharType="separate"/>
      </w:r>
      <w:hyperlink w:anchor="_ENREF_4" w:tooltip="National Centre for Antimicrobial Stewardship and Australian Commission on Safety and Quality in Health Care., 2016 #10" w:history="1">
        <w:r w:rsidRPr="00BD578E">
          <w:rPr>
            <w:noProof/>
            <w:vertAlign w:val="superscript"/>
          </w:rPr>
          <w:t>4</w:t>
        </w:r>
      </w:hyperlink>
      <w:r w:rsidRPr="00BD578E">
        <w:rPr>
          <w:noProof/>
          <w:vertAlign w:val="superscript"/>
        </w:rPr>
        <w:t xml:space="preserve">, </w:t>
      </w:r>
      <w:hyperlink w:anchor="_ENREF_8" w:tooltip="Antibiotic Expert Writing Group, 2014 #1" w:history="1">
        <w:r w:rsidRPr="00BD578E">
          <w:rPr>
            <w:noProof/>
            <w:vertAlign w:val="superscript"/>
          </w:rPr>
          <w:t>8</w:t>
        </w:r>
      </w:hyperlink>
      <w:r w:rsidRPr="00BD578E">
        <w:fldChar w:fldCharType="end"/>
      </w:r>
      <w:r w:rsidRPr="00BD578E">
        <w:t xml:space="preserve"> Similarly, PBS/RPBS data show that older people (65 years and over) were dispensed more </w:t>
      </w:r>
      <w:r>
        <w:t>cephalexin</w:t>
      </w:r>
      <w:r w:rsidRPr="00BD578E">
        <w:t xml:space="preserve"> than other age groups, some of which </w:t>
      </w:r>
      <w:r>
        <w:t>wa</w:t>
      </w:r>
      <w:r w:rsidRPr="00BD578E">
        <w:t>s inappropriate (see Table 10).</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p>
    <w:p w:rsidR="00C5112F" w:rsidRPr="00E57029" w:rsidRDefault="00C5112F" w:rsidP="00514311">
      <w:pPr>
        <w:tabs>
          <w:tab w:val="left" w:pos="1134"/>
        </w:tabs>
        <w:spacing w:before="240" w:after="120"/>
        <w:ind w:left="1134" w:hanging="1134"/>
        <w:rPr>
          <w:b/>
        </w:rPr>
      </w:pPr>
      <w:r w:rsidRPr="00E57029">
        <w:rPr>
          <w:b/>
        </w:rPr>
        <w:t>Table 10:</w:t>
      </w:r>
      <w:r w:rsidRPr="00E57029">
        <w:rPr>
          <w:b/>
        </w:rPr>
        <w:tab/>
        <w:t>Patterns of use, indications for prescribing, repeat prescribing, and differences between PBS/RPBS and private prescriptions for cephalexin, 2014</w:t>
      </w:r>
      <w:hyperlink w:anchor="_ENREF_1" w:tooltip="Australian Commission on Safety and Quality in Health Care, 2016 #8" w:history="1">
        <w:r w:rsidRPr="00E57029">
          <w:rPr>
            <w:b/>
          </w:rPr>
          <w:fldChar w:fldCharType="begin"/>
        </w:r>
        <w:r w:rsidRPr="00E57029">
          <w:rPr>
            <w:b/>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57029">
          <w:rPr>
            <w:b/>
          </w:rPr>
          <w:fldChar w:fldCharType="separate"/>
        </w:r>
        <w:r w:rsidRPr="00E57029">
          <w:rPr>
            <w:b/>
            <w:noProof/>
            <w:vertAlign w:val="superscript"/>
          </w:rPr>
          <w:t>1</w:t>
        </w:r>
        <w:r w:rsidRPr="00E57029">
          <w:rPr>
            <w:b/>
          </w:rPr>
          <w:fldChar w:fldCharType="end"/>
        </w:r>
      </w:hyperlink>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418"/>
        <w:gridCol w:w="1559"/>
        <w:gridCol w:w="1985"/>
        <w:gridCol w:w="1701"/>
      </w:tblGrid>
      <w:tr w:rsidR="00C5112F" w:rsidRPr="00B43B27" w:rsidTr="00C5112F">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 xml:space="preserve">Antibacterial (PBS/RPBS benefit)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Patients issued a prescription (%)</w:t>
            </w:r>
            <w:r w:rsidRPr="00B43B27">
              <w:rPr>
                <w:rFonts w:ascii="Arial Narrow" w:eastAsia="Calibri" w:hAnsi="Arial Narrow"/>
                <w:b/>
                <w:bCs/>
                <w:sz w:val="18"/>
                <w:szCs w:val="18"/>
                <w:vertAlign w:val="superscript"/>
              </w:rPr>
              <w:t>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Most common indications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Patient cohort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Repeats prescribed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Differences between PBS/RPBS and private prescriptions</w:t>
            </w:r>
          </w:p>
        </w:tc>
      </w:tr>
      <w:tr w:rsidR="00C5112F" w:rsidRPr="00D00BB3" w:rsidTr="00C5112F">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112F" w:rsidRPr="00D00BB3" w:rsidRDefault="00C5112F" w:rsidP="00C5112F">
            <w:pPr>
              <w:keepNext/>
              <w:spacing w:before="20" w:after="20"/>
              <w:rPr>
                <w:rFonts w:eastAsia="Calibri"/>
                <w:color w:val="000000"/>
                <w:sz w:val="20"/>
              </w:rPr>
            </w:pPr>
            <w:r>
              <w:rPr>
                <w:rFonts w:eastAsia="Calibri"/>
                <w:color w:val="000000"/>
                <w:sz w:val="20"/>
              </w:rPr>
              <w:t>Cephalexin</w:t>
            </w:r>
            <w:r w:rsidRPr="00D00BB3">
              <w:rPr>
                <w:rFonts w:eastAsia="Calibri"/>
                <w:color w:val="000000"/>
                <w:sz w:val="20"/>
              </w:rPr>
              <w:t xml:space="preserve"> (general benefit)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5112F" w:rsidRPr="00D00BB3" w:rsidRDefault="00C5112F" w:rsidP="00C5112F">
            <w:pPr>
              <w:keepNext/>
              <w:spacing w:before="20" w:after="20"/>
              <w:rPr>
                <w:rFonts w:eastAsia="Calibri"/>
                <w:color w:val="000000"/>
                <w:sz w:val="20"/>
              </w:rPr>
            </w:pPr>
            <w:r w:rsidRPr="00D00BB3">
              <w:rPr>
                <w:rFonts w:eastAsia="Calibri"/>
                <w:color w:val="000000"/>
                <w:sz w:val="20"/>
              </w:rPr>
              <w:t>9.8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112F" w:rsidRPr="00D00BB3" w:rsidRDefault="00C5112F" w:rsidP="00C5112F">
            <w:pPr>
              <w:keepNext/>
              <w:spacing w:before="20" w:after="20"/>
              <w:rPr>
                <w:rFonts w:eastAsia="Calibri"/>
                <w:color w:val="000000"/>
                <w:sz w:val="20"/>
              </w:rPr>
            </w:pPr>
            <w:r w:rsidRPr="00D00BB3">
              <w:rPr>
                <w:rFonts w:eastAsia="Calibri"/>
                <w:color w:val="000000"/>
                <w:sz w:val="20"/>
              </w:rPr>
              <w:t>Skin and wound infections (35%)</w:t>
            </w:r>
          </w:p>
          <w:p w:rsidR="00C5112F" w:rsidRPr="00D00BB3" w:rsidRDefault="00C5112F" w:rsidP="00C5112F">
            <w:pPr>
              <w:keepNext/>
              <w:spacing w:before="20" w:after="20"/>
              <w:rPr>
                <w:rFonts w:eastAsia="Calibri"/>
                <w:color w:val="000000"/>
                <w:sz w:val="20"/>
              </w:rPr>
            </w:pPr>
            <w:proofErr w:type="spellStart"/>
            <w:r w:rsidRPr="00D00BB3">
              <w:rPr>
                <w:rFonts w:eastAsia="Calibri"/>
                <w:color w:val="000000"/>
                <w:sz w:val="20"/>
              </w:rPr>
              <w:t>UTIs</w:t>
            </w:r>
            <w:r w:rsidRPr="00D00BB3">
              <w:rPr>
                <w:rFonts w:eastAsia="Calibri"/>
                <w:color w:val="000000"/>
                <w:sz w:val="20"/>
                <w:vertAlign w:val="superscript"/>
              </w:rPr>
              <w:t>b</w:t>
            </w:r>
            <w:proofErr w:type="spellEnd"/>
            <w:r w:rsidRPr="00D00BB3">
              <w:rPr>
                <w:rFonts w:eastAsia="Calibri"/>
                <w:color w:val="000000"/>
                <w:sz w:val="20"/>
              </w:rPr>
              <w:t xml:space="preserve"> (20%)</w:t>
            </w:r>
          </w:p>
          <w:p w:rsidR="00C5112F" w:rsidRPr="00D00BB3" w:rsidRDefault="00C5112F" w:rsidP="00C5112F">
            <w:pPr>
              <w:keepNext/>
              <w:spacing w:before="20" w:after="20"/>
              <w:rPr>
                <w:rFonts w:eastAsia="Calibri"/>
                <w:color w:val="000000"/>
                <w:sz w:val="20"/>
              </w:rPr>
            </w:pPr>
            <w:r w:rsidRPr="00D00BB3">
              <w:rPr>
                <w:rFonts w:eastAsia="Calibri"/>
                <w:color w:val="000000"/>
                <w:sz w:val="20"/>
              </w:rPr>
              <w:t>Respiratory infections (minority of cases)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5112F" w:rsidRPr="00D00BB3" w:rsidRDefault="00C5112F" w:rsidP="00C5112F">
            <w:pPr>
              <w:keepNext/>
              <w:spacing w:before="20" w:after="20"/>
              <w:rPr>
                <w:rFonts w:eastAsia="Calibri"/>
                <w:color w:val="000000"/>
                <w:sz w:val="20"/>
              </w:rPr>
            </w:pPr>
            <w:r w:rsidRPr="00D00BB3">
              <w:rPr>
                <w:rFonts w:eastAsia="Calibri"/>
                <w:color w:val="000000"/>
                <w:sz w:val="20"/>
              </w:rPr>
              <w:t>Higher use in chronic disease and elderly people</w:t>
            </w:r>
          </w:p>
          <w:p w:rsidR="00C5112F" w:rsidRPr="00D00BB3" w:rsidRDefault="00C5112F" w:rsidP="00C5112F">
            <w:pPr>
              <w:keepNext/>
              <w:spacing w:before="20" w:after="20"/>
              <w:rPr>
                <w:rFonts w:eastAsia="Calibri"/>
                <w:color w:val="000000"/>
                <w:sz w:val="20"/>
              </w:rPr>
            </w:pPr>
            <w:r w:rsidRPr="00D00BB3">
              <w:rPr>
                <w:rFonts w:eastAsia="Calibri"/>
                <w:color w:val="000000"/>
                <w:sz w:val="20"/>
              </w:rPr>
              <w:t>Variation in use across states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5112F" w:rsidRPr="00D00BB3" w:rsidRDefault="00C5112F" w:rsidP="00C5112F">
            <w:pPr>
              <w:keepNext/>
              <w:spacing w:before="20" w:after="20"/>
              <w:rPr>
                <w:rFonts w:eastAsia="Calibri"/>
                <w:color w:val="000000"/>
                <w:sz w:val="20"/>
              </w:rPr>
            </w:pPr>
            <w:r w:rsidRPr="00D00BB3">
              <w:rPr>
                <w:rFonts w:eastAsia="Calibri"/>
                <w:color w:val="000000"/>
                <w:sz w:val="20"/>
              </w:rPr>
              <w:t>Minority receive repeat prescriptions</w:t>
            </w:r>
          </w:p>
          <w:p w:rsidR="00C5112F" w:rsidRPr="00D00BB3" w:rsidRDefault="00C5112F" w:rsidP="00C5112F">
            <w:pPr>
              <w:keepNext/>
              <w:spacing w:before="20" w:after="20"/>
              <w:rPr>
                <w:rFonts w:eastAsia="Calibri"/>
                <w:color w:val="000000"/>
                <w:sz w:val="20"/>
              </w:rPr>
            </w:pPr>
            <w:r w:rsidRPr="00D00BB3">
              <w:rPr>
                <w:rFonts w:eastAsia="Calibri"/>
                <w:color w:val="000000"/>
                <w:sz w:val="20"/>
              </w:rPr>
              <w:t xml:space="preserve">Repeats more common for COPD, pneumonia, serious infections, acne, bronchitis or sinusitis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112F" w:rsidRPr="00D00BB3" w:rsidRDefault="00C5112F" w:rsidP="00C5112F">
            <w:pPr>
              <w:keepNext/>
              <w:spacing w:before="20" w:after="20"/>
              <w:rPr>
                <w:rFonts w:eastAsia="Calibri"/>
                <w:color w:val="000000"/>
                <w:sz w:val="20"/>
              </w:rPr>
            </w:pPr>
            <w:r w:rsidRPr="00D00BB3">
              <w:rPr>
                <w:rFonts w:eastAsia="Calibri"/>
                <w:color w:val="000000"/>
                <w:sz w:val="20"/>
              </w:rPr>
              <w:t>Negligible private use</w:t>
            </w:r>
          </w:p>
          <w:p w:rsidR="00C5112F" w:rsidRPr="00D00BB3" w:rsidRDefault="00C5112F" w:rsidP="00C5112F">
            <w:pPr>
              <w:keepNext/>
              <w:spacing w:before="20" w:after="20"/>
              <w:rPr>
                <w:rFonts w:eastAsia="Calibri"/>
                <w:color w:val="000000"/>
                <w:sz w:val="20"/>
              </w:rPr>
            </w:pPr>
          </w:p>
        </w:tc>
      </w:tr>
    </w:tbl>
    <w:p w:rsidR="00C5112F" w:rsidRDefault="00C5112F" w:rsidP="00514311">
      <w:pPr>
        <w:spacing w:before="120"/>
        <w:rPr>
          <w:bCs/>
          <w:color w:val="000000"/>
          <w:sz w:val="18"/>
          <w:szCs w:val="18"/>
        </w:rPr>
      </w:pPr>
      <w:proofErr w:type="gramStart"/>
      <w:r w:rsidRPr="00BD578E">
        <w:rPr>
          <w:bCs/>
          <w:color w:val="000000"/>
          <w:sz w:val="18"/>
          <w:szCs w:val="18"/>
          <w:vertAlign w:val="superscript"/>
        </w:rPr>
        <w:t>a</w:t>
      </w:r>
      <w:proofErr w:type="gramEnd"/>
      <w:r w:rsidRPr="00BD578E">
        <w:rPr>
          <w:bCs/>
          <w:color w:val="000000"/>
          <w:sz w:val="18"/>
          <w:szCs w:val="18"/>
          <w:vertAlign w:val="superscript"/>
        </w:rPr>
        <w:t xml:space="preserve"> </w:t>
      </w:r>
      <w:r w:rsidRPr="00BD578E">
        <w:rPr>
          <w:bCs/>
          <w:color w:val="000000"/>
          <w:sz w:val="18"/>
          <w:szCs w:val="18"/>
        </w:rPr>
        <w:t>Percent</w:t>
      </w:r>
      <w:r>
        <w:rPr>
          <w:bCs/>
          <w:color w:val="000000"/>
          <w:sz w:val="18"/>
          <w:szCs w:val="18"/>
        </w:rPr>
        <w:t>age</w:t>
      </w:r>
      <w:r w:rsidRPr="00BD578E">
        <w:rPr>
          <w:bCs/>
          <w:color w:val="000000"/>
          <w:sz w:val="18"/>
          <w:szCs w:val="18"/>
        </w:rPr>
        <w:t xml:space="preserve"> of patients</w:t>
      </w:r>
      <w:r w:rsidRPr="00BD578E">
        <w:rPr>
          <w:bCs/>
          <w:color w:val="000000"/>
          <w:sz w:val="18"/>
          <w:szCs w:val="18"/>
          <w:vertAlign w:val="superscript"/>
        </w:rPr>
        <w:t xml:space="preserve"> </w:t>
      </w:r>
      <w:r w:rsidRPr="00BD578E">
        <w:rPr>
          <w:bCs/>
          <w:color w:val="000000"/>
          <w:sz w:val="18"/>
          <w:szCs w:val="18"/>
        </w:rPr>
        <w:t xml:space="preserve">who visited a </w:t>
      </w:r>
      <w:r>
        <w:rPr>
          <w:bCs/>
          <w:color w:val="000000"/>
          <w:sz w:val="18"/>
          <w:szCs w:val="18"/>
        </w:rPr>
        <w:t>GP</w:t>
      </w:r>
      <w:r w:rsidRPr="00BD578E">
        <w:rPr>
          <w:bCs/>
          <w:color w:val="000000"/>
          <w:sz w:val="18"/>
          <w:szCs w:val="18"/>
        </w:rPr>
        <w:t xml:space="preserve"> at least once, or had one or more prescriptions in 2014 that were for the specified antimicrobial.</w:t>
      </w:r>
    </w:p>
    <w:p w:rsidR="00C5112F" w:rsidRDefault="00C5112F" w:rsidP="00C5112F">
      <w:pPr>
        <w:rPr>
          <w:bCs/>
          <w:color w:val="000000"/>
          <w:sz w:val="18"/>
          <w:szCs w:val="18"/>
        </w:rPr>
      </w:pPr>
      <w:proofErr w:type="gramStart"/>
      <w:r>
        <w:rPr>
          <w:bCs/>
          <w:color w:val="000000"/>
          <w:sz w:val="18"/>
          <w:szCs w:val="18"/>
          <w:vertAlign w:val="superscript"/>
        </w:rPr>
        <w:t>b</w:t>
      </w:r>
      <w:proofErr w:type="gramEnd"/>
      <w:r>
        <w:rPr>
          <w:bCs/>
          <w:color w:val="000000"/>
          <w:sz w:val="18"/>
          <w:szCs w:val="18"/>
          <w:vertAlign w:val="superscript"/>
        </w:rPr>
        <w:t xml:space="preserve"> </w:t>
      </w:r>
      <w:r>
        <w:rPr>
          <w:bCs/>
          <w:color w:val="000000"/>
          <w:sz w:val="18"/>
          <w:szCs w:val="18"/>
        </w:rPr>
        <w:t>Urinary tract infection</w:t>
      </w:r>
      <w:r w:rsidRPr="00BD578E">
        <w:rPr>
          <w:bCs/>
          <w:color w:val="000000"/>
          <w:sz w:val="18"/>
          <w:szCs w:val="18"/>
        </w:rPr>
        <w:t xml:space="preserve"> </w:t>
      </w:r>
      <w:r w:rsidRPr="00BD578E">
        <w:rPr>
          <w:bCs/>
          <w:color w:val="000000"/>
          <w:sz w:val="18"/>
          <w:szCs w:val="18"/>
        </w:rPr>
        <w:br/>
      </w:r>
      <w:r>
        <w:rPr>
          <w:bCs/>
          <w:color w:val="000000"/>
          <w:sz w:val="18"/>
          <w:szCs w:val="18"/>
        </w:rPr>
        <w:t>Source</w:t>
      </w:r>
      <w:r w:rsidRPr="00BD578E">
        <w:rPr>
          <w:bCs/>
          <w:color w:val="000000"/>
          <w:sz w:val="18"/>
          <w:szCs w:val="18"/>
        </w:rPr>
        <w:t xml:space="preserve">: NPS </w:t>
      </w:r>
      <w:proofErr w:type="spellStart"/>
      <w:r w:rsidRPr="00BD578E">
        <w:rPr>
          <w:bCs/>
          <w:color w:val="000000"/>
          <w:sz w:val="18"/>
          <w:szCs w:val="18"/>
        </w:rPr>
        <w:t>MedicineWise</w:t>
      </w:r>
      <w:proofErr w:type="spellEnd"/>
      <w:r w:rsidRPr="00BD578E">
        <w:rPr>
          <w:bCs/>
          <w:color w:val="000000"/>
          <w:sz w:val="18"/>
          <w:szCs w:val="18"/>
        </w:rPr>
        <w:t xml:space="preserve"> </w:t>
      </w:r>
      <w:proofErr w:type="spellStart"/>
      <w:r w:rsidRPr="00BD578E">
        <w:rPr>
          <w:bCs/>
          <w:color w:val="000000"/>
          <w:sz w:val="18"/>
          <w:szCs w:val="18"/>
        </w:rPr>
        <w:t>MedicineInsight</w:t>
      </w:r>
      <w:proofErr w:type="spellEnd"/>
    </w:p>
    <w:p w:rsidR="00C5112F" w:rsidRDefault="00C5112F" w:rsidP="00C5112F">
      <w:pPr>
        <w:rPr>
          <w:b/>
          <w:bCs/>
          <w:i/>
          <w:iCs/>
          <w:sz w:val="24"/>
        </w:rPr>
      </w:pPr>
      <w:r>
        <w:rPr>
          <w:sz w:val="24"/>
        </w:rPr>
        <w:br w:type="page"/>
      </w:r>
    </w:p>
    <w:p w:rsidR="001F5CEE" w:rsidRPr="006A07F3" w:rsidRDefault="00C5112F" w:rsidP="006A07F3">
      <w:pPr>
        <w:pStyle w:val="Heading5"/>
        <w:shd w:val="clear" w:color="auto" w:fill="DAEEF3" w:themeFill="accent5" w:themeFillTint="33"/>
        <w:spacing w:after="0"/>
      </w:pPr>
      <w:r w:rsidRPr="006A07F3">
        <w:lastRenderedPageBreak/>
        <w:t>Case Study 1: Use a narrow spectrum antibacterial wherever possible (instead of cephalexin)</w:t>
      </w:r>
    </w:p>
    <w:p w:rsidR="001F5CEE" w:rsidRPr="006A07F3" w:rsidRDefault="001F5CEE" w:rsidP="006A07F3">
      <w:pPr>
        <w:pStyle w:val="Heading5"/>
        <w:shd w:val="clear" w:color="auto" w:fill="DAEEF3" w:themeFill="accent5" w:themeFillTint="33"/>
        <w:spacing w:after="0"/>
        <w:rPr>
          <w:szCs w:val="22"/>
        </w:rPr>
        <w:sectPr w:rsidR="001F5CEE" w:rsidRPr="006A07F3" w:rsidSect="001C2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pPr>
    </w:p>
    <w:p w:rsidR="001F5CEE" w:rsidRPr="006A07F3" w:rsidRDefault="00C5112F" w:rsidP="006A07F3">
      <w:pPr>
        <w:pStyle w:val="Heading5"/>
        <w:shd w:val="clear" w:color="auto" w:fill="DAEEF3" w:themeFill="accent5" w:themeFillTint="33"/>
        <w:spacing w:before="0"/>
        <w:rPr>
          <w:b w:val="0"/>
          <w:color w:val="000000"/>
          <w:szCs w:val="22"/>
        </w:rPr>
      </w:pPr>
      <w:r w:rsidRPr="006A07F3">
        <w:rPr>
          <w:b w:val="0"/>
          <w:szCs w:val="22"/>
        </w:rPr>
        <w:lastRenderedPageBreak/>
        <w:t xml:space="preserve">Cephalexin has a moderate spectrum that includes common enteric gram-negative bacilli as well as staphylococci and streptococci. In 2014, most cephalexin was prescribed for people over the age of 65 (Figure B1). For many older people, cephalexin is prescribed when a narrower-spectrum antibacterial is recommended </w:t>
      </w:r>
      <w:r w:rsidRPr="006A07F3">
        <w:rPr>
          <w:b w:val="0"/>
          <w:szCs w:val="22"/>
        </w:rPr>
        <w:sym w:font="Symbol" w:char="F02D"/>
      </w:r>
      <w:r w:rsidRPr="006A07F3">
        <w:rPr>
          <w:b w:val="0"/>
          <w:szCs w:val="22"/>
        </w:rPr>
        <w:t xml:space="preserve"> for example, skin and wound infections that are often caused by staphylococci (for which </w:t>
      </w:r>
      <w:proofErr w:type="spellStart"/>
      <w:r w:rsidRPr="006A07F3">
        <w:rPr>
          <w:b w:val="0"/>
          <w:szCs w:val="22"/>
        </w:rPr>
        <w:t>flucloxacillin</w:t>
      </w:r>
      <w:proofErr w:type="spellEnd"/>
      <w:r w:rsidRPr="006A07F3">
        <w:rPr>
          <w:b w:val="0"/>
          <w:szCs w:val="22"/>
        </w:rPr>
        <w:t xml:space="preserve"> or </w:t>
      </w:r>
      <w:proofErr w:type="spellStart"/>
      <w:r w:rsidRPr="006A07F3">
        <w:rPr>
          <w:b w:val="0"/>
          <w:szCs w:val="22"/>
        </w:rPr>
        <w:t>dicloxacillin</w:t>
      </w:r>
      <w:proofErr w:type="spellEnd"/>
      <w:r w:rsidRPr="006A07F3">
        <w:rPr>
          <w:b w:val="0"/>
          <w:szCs w:val="22"/>
        </w:rPr>
        <w:t xml:space="preserve"> are recommended</w:t>
      </w:r>
      <w:hyperlink w:anchor="_ENREF_1" w:tooltip="Antibiotic Expert Writing Group, 2014 #1" w:history="1">
        <w:r w:rsidRPr="006A07F3">
          <w:rPr>
            <w:b w:val="0"/>
            <w:szCs w:val="22"/>
            <w:vertAlign w:val="superscript"/>
          </w:rPr>
          <w:t>8</w:t>
        </w:r>
      </w:hyperlink>
      <w:r w:rsidRPr="006A07F3">
        <w:rPr>
          <w:b w:val="0"/>
          <w:szCs w:val="22"/>
        </w:rPr>
        <w:t>); and UTIs (for which trimethoprim is recommended as first choice).</w:t>
      </w:r>
      <w:hyperlink w:anchor="_ENREF_1" w:tooltip="Antibiotic Expert Writing Group, 2014 #1" w:history="1">
        <w:r w:rsidRPr="006A07F3">
          <w:rPr>
            <w:b w:val="0"/>
            <w:szCs w:val="22"/>
            <w:vertAlign w:val="superscript"/>
          </w:rPr>
          <w:t>8</w:t>
        </w:r>
      </w:hyperlink>
      <w:r w:rsidRPr="006A07F3">
        <w:rPr>
          <w:b w:val="0"/>
          <w:szCs w:val="22"/>
        </w:rPr>
        <w:t xml:space="preserve"> </w:t>
      </w:r>
      <w:r w:rsidRPr="006A07F3">
        <w:rPr>
          <w:b w:val="0"/>
          <w:color w:val="000000"/>
          <w:szCs w:val="22"/>
        </w:rPr>
        <w:t xml:space="preserve">The NPS </w:t>
      </w:r>
      <w:proofErr w:type="spellStart"/>
      <w:r w:rsidRPr="006A07F3">
        <w:rPr>
          <w:b w:val="0"/>
          <w:color w:val="000000"/>
          <w:szCs w:val="22"/>
        </w:rPr>
        <w:t>Medicine</w:t>
      </w:r>
      <w:r w:rsidR="00AD2347" w:rsidRPr="006A07F3">
        <w:rPr>
          <w:b w:val="0"/>
          <w:color w:val="000000"/>
          <w:szCs w:val="22"/>
        </w:rPr>
        <w:t>Wise</w:t>
      </w:r>
      <w:proofErr w:type="spellEnd"/>
      <w:r w:rsidR="00AD2347" w:rsidRPr="006A07F3">
        <w:rPr>
          <w:b w:val="0"/>
          <w:color w:val="000000"/>
          <w:szCs w:val="22"/>
        </w:rPr>
        <w:t xml:space="preserve"> </w:t>
      </w:r>
      <w:proofErr w:type="spellStart"/>
      <w:r w:rsidR="00AD2347" w:rsidRPr="006A07F3">
        <w:rPr>
          <w:b w:val="0"/>
          <w:color w:val="000000"/>
          <w:szCs w:val="22"/>
        </w:rPr>
        <w:t>MedicineInsight</w:t>
      </w:r>
      <w:proofErr w:type="spellEnd"/>
      <w:r w:rsidR="00AD2347" w:rsidRPr="006A07F3">
        <w:rPr>
          <w:b w:val="0"/>
          <w:color w:val="000000"/>
          <w:szCs w:val="22"/>
        </w:rPr>
        <w:t xml:space="preserve"> data show</w:t>
      </w:r>
      <w:r w:rsidRPr="006A07F3">
        <w:rPr>
          <w:b w:val="0"/>
          <w:color w:val="000000"/>
          <w:szCs w:val="22"/>
        </w:rPr>
        <w:t xml:space="preserve"> that 35% of cephalexin prescribing was for skin and wound infections and 20% was for urinary tract </w:t>
      </w:r>
      <w:proofErr w:type="spellStart"/>
      <w:r w:rsidRPr="006A07F3">
        <w:rPr>
          <w:b w:val="0"/>
          <w:color w:val="000000"/>
          <w:szCs w:val="22"/>
        </w:rPr>
        <w:t>infectionss</w:t>
      </w:r>
      <w:proofErr w:type="spellEnd"/>
      <w:r w:rsidRPr="006A07F3">
        <w:rPr>
          <w:b w:val="0"/>
          <w:color w:val="000000"/>
          <w:szCs w:val="22"/>
        </w:rPr>
        <w:t xml:space="preserve"> </w:t>
      </w:r>
      <w:r w:rsidRPr="006A07F3">
        <w:rPr>
          <w:b w:val="0"/>
          <w:szCs w:val="22"/>
        </w:rPr>
        <w:t>(Table 10).</w:t>
      </w:r>
      <w:r w:rsidRPr="006A07F3">
        <w:rPr>
          <w:b w:val="0"/>
          <w:color w:val="000000"/>
          <w:szCs w:val="22"/>
        </w:rPr>
        <w:t xml:space="preserve"> For skin and wound infections, cephalexin may be prescribed because its side effect profile may be thought to be safer than that of </w:t>
      </w:r>
      <w:proofErr w:type="spellStart"/>
      <w:r w:rsidRPr="006A07F3">
        <w:rPr>
          <w:b w:val="0"/>
          <w:color w:val="000000"/>
          <w:szCs w:val="22"/>
        </w:rPr>
        <w:t>flucloxacillin</w:t>
      </w:r>
      <w:proofErr w:type="spellEnd"/>
      <w:r w:rsidRPr="006A07F3">
        <w:rPr>
          <w:b w:val="0"/>
          <w:color w:val="000000"/>
          <w:szCs w:val="22"/>
        </w:rPr>
        <w:t xml:space="preserve"> (or </w:t>
      </w:r>
      <w:proofErr w:type="spellStart"/>
      <w:r w:rsidRPr="006A07F3">
        <w:rPr>
          <w:b w:val="0"/>
          <w:color w:val="000000"/>
          <w:szCs w:val="22"/>
        </w:rPr>
        <w:t>dicloxacillin</w:t>
      </w:r>
      <w:proofErr w:type="spellEnd"/>
      <w:r w:rsidRPr="006A07F3">
        <w:rPr>
          <w:b w:val="0"/>
          <w:color w:val="000000"/>
          <w:szCs w:val="22"/>
        </w:rPr>
        <w:t>).</w:t>
      </w:r>
      <w:hyperlink w:anchor="_ENREF_2" w:tooltip="Australian Commission on Safety and Quality in Health Care, 2016 #8" w:history="1">
        <w:r w:rsidRPr="006A07F3">
          <w:rPr>
            <w:b w:val="0"/>
            <w:color w:val="000000"/>
            <w:szCs w:val="22"/>
            <w:vertAlign w:val="superscript"/>
          </w:rPr>
          <w:t>1</w:t>
        </w:r>
      </w:hyperlink>
      <w:r w:rsidRPr="006A07F3">
        <w:rPr>
          <w:b w:val="0"/>
          <w:color w:val="000000"/>
          <w:szCs w:val="22"/>
        </w:rPr>
        <w:t xml:space="preserve"> </w:t>
      </w:r>
    </w:p>
    <w:p w:rsidR="00AD2347" w:rsidRPr="006A07F3" w:rsidRDefault="00C5112F" w:rsidP="00AD2347">
      <w:pPr>
        <w:pStyle w:val="Heading5"/>
        <w:shd w:val="clear" w:color="auto" w:fill="DAEEF3" w:themeFill="accent5" w:themeFillTint="33"/>
        <w:spacing w:before="0"/>
        <w:rPr>
          <w:b w:val="0"/>
          <w:szCs w:val="22"/>
        </w:rPr>
      </w:pPr>
      <w:r w:rsidRPr="006A07F3">
        <w:rPr>
          <w:b w:val="0"/>
          <w:color w:val="000000"/>
          <w:szCs w:val="22"/>
        </w:rPr>
        <w:t xml:space="preserve">In this context, while cephalexin </w:t>
      </w:r>
      <w:r w:rsidRPr="006A07F3">
        <w:rPr>
          <w:b w:val="0"/>
          <w:szCs w:val="22"/>
        </w:rPr>
        <w:t xml:space="preserve">has no restrictions around its prescribing on the PBS, prescribing of oral formulations of </w:t>
      </w:r>
      <w:proofErr w:type="spellStart"/>
      <w:r w:rsidRPr="006A07F3">
        <w:rPr>
          <w:b w:val="0"/>
          <w:szCs w:val="22"/>
        </w:rPr>
        <w:t>flucloxacillin</w:t>
      </w:r>
      <w:proofErr w:type="spellEnd"/>
      <w:r w:rsidRPr="006A07F3">
        <w:rPr>
          <w:b w:val="0"/>
          <w:szCs w:val="22"/>
        </w:rPr>
        <w:t xml:space="preserve"> are restricted to serious staphylococcal infection. The PBS restriction includes a caution about the risk of serious </w:t>
      </w:r>
      <w:proofErr w:type="spellStart"/>
      <w:r w:rsidRPr="006A07F3">
        <w:rPr>
          <w:b w:val="0"/>
          <w:szCs w:val="22"/>
        </w:rPr>
        <w:t>cholestatic</w:t>
      </w:r>
      <w:proofErr w:type="spellEnd"/>
      <w:r w:rsidRPr="006A07F3">
        <w:rPr>
          <w:b w:val="0"/>
          <w:szCs w:val="22"/>
        </w:rPr>
        <w:t xml:space="preserve"> hepatitis, including risk factors such as age over 55 years and treatment for more than 14 days.</w:t>
      </w:r>
      <w:hyperlink w:anchor="_ENREF_3" w:tooltip="Australian Governmentt, 2016 #11" w:history="1">
        <w:r w:rsidRPr="006A07F3">
          <w:rPr>
            <w:b w:val="0"/>
            <w:szCs w:val="22"/>
            <w:vertAlign w:val="superscript"/>
          </w:rPr>
          <w:t>12</w:t>
        </w:r>
      </w:hyperlink>
      <w:r w:rsidRPr="006A07F3">
        <w:rPr>
          <w:b w:val="0"/>
          <w:color w:val="000000"/>
          <w:szCs w:val="22"/>
        </w:rPr>
        <w:t xml:space="preserve"> </w:t>
      </w:r>
      <w:proofErr w:type="spellStart"/>
      <w:r w:rsidRPr="006A07F3">
        <w:rPr>
          <w:b w:val="0"/>
          <w:szCs w:val="22"/>
        </w:rPr>
        <w:t>Flucloxacillin</w:t>
      </w:r>
      <w:proofErr w:type="spellEnd"/>
      <w:r w:rsidRPr="006A07F3">
        <w:rPr>
          <w:b w:val="0"/>
          <w:szCs w:val="22"/>
        </w:rPr>
        <w:t xml:space="preserve"> is one of two medicines that most commonly cause drug-induced liver injury, especially in older people.</w:t>
      </w:r>
      <w:r w:rsidRPr="006A07F3">
        <w:rPr>
          <w:b w:val="0"/>
          <w:szCs w:val="22"/>
          <w:vertAlign w:val="superscript"/>
        </w:rPr>
        <w:t>13, 14</w:t>
      </w:r>
      <w:hyperlink w:anchor="_ENREF_5" w:tooltip="Adverse Drug Reactions Advisory Committee, 1996 #13" w:history="1"/>
      <w:r w:rsidRPr="006A07F3">
        <w:rPr>
          <w:b w:val="0"/>
          <w:szCs w:val="22"/>
        </w:rPr>
        <w:t xml:space="preserve"> Perhaps as a result of publicity in 1996 by the former Adverse Drug Reactions Advisory Committee (ADRAC) and others, the use of </w:t>
      </w:r>
      <w:proofErr w:type="spellStart"/>
      <w:r w:rsidRPr="006A07F3">
        <w:rPr>
          <w:b w:val="0"/>
          <w:szCs w:val="22"/>
        </w:rPr>
        <w:t>flucloxacillin</w:t>
      </w:r>
      <w:proofErr w:type="spellEnd"/>
      <w:r w:rsidRPr="006A07F3">
        <w:rPr>
          <w:b w:val="0"/>
          <w:szCs w:val="22"/>
        </w:rPr>
        <w:t xml:space="preserve"> reduced in line with the number of reports of </w:t>
      </w:r>
      <w:proofErr w:type="spellStart"/>
      <w:r w:rsidRPr="006A07F3">
        <w:rPr>
          <w:b w:val="0"/>
          <w:szCs w:val="22"/>
        </w:rPr>
        <w:t>flucloxacillin</w:t>
      </w:r>
      <w:proofErr w:type="spellEnd"/>
      <w:r w:rsidRPr="006A07F3">
        <w:rPr>
          <w:b w:val="0"/>
          <w:szCs w:val="22"/>
        </w:rPr>
        <w:t>-induced liver injury.</w:t>
      </w:r>
      <w:r w:rsidRPr="006A07F3">
        <w:rPr>
          <w:b w:val="0"/>
          <w:szCs w:val="22"/>
          <w:vertAlign w:val="superscript"/>
        </w:rPr>
        <w:t>1</w:t>
      </w:r>
      <w:hyperlink w:anchor="_ENREF_5" w:tooltip="Adverse Drug Reactions Advisory Committee, 1996 #13" w:history="1">
        <w:r w:rsidRPr="006A07F3">
          <w:rPr>
            <w:b w:val="0"/>
            <w:szCs w:val="22"/>
            <w:vertAlign w:val="superscript"/>
          </w:rPr>
          <w:t>4</w:t>
        </w:r>
      </w:hyperlink>
      <w:r w:rsidRPr="006A07F3">
        <w:rPr>
          <w:b w:val="0"/>
          <w:szCs w:val="22"/>
        </w:rPr>
        <w:t xml:space="preserve"> Early in 1997, </w:t>
      </w:r>
      <w:proofErr w:type="spellStart"/>
      <w:r w:rsidRPr="006A07F3">
        <w:rPr>
          <w:b w:val="0"/>
          <w:szCs w:val="22"/>
        </w:rPr>
        <w:t>dicloxacillin</w:t>
      </w:r>
      <w:proofErr w:type="spellEnd"/>
      <w:r w:rsidRPr="006A07F3">
        <w:rPr>
          <w:b w:val="0"/>
          <w:szCs w:val="22"/>
        </w:rPr>
        <w:t xml:space="preserve"> became available as an alternative to </w:t>
      </w:r>
      <w:proofErr w:type="spellStart"/>
      <w:r w:rsidRPr="006A07F3">
        <w:rPr>
          <w:b w:val="0"/>
          <w:szCs w:val="22"/>
        </w:rPr>
        <w:t>flucloxacillin</w:t>
      </w:r>
      <w:proofErr w:type="spellEnd"/>
      <w:r w:rsidRPr="006A07F3">
        <w:rPr>
          <w:b w:val="0"/>
          <w:szCs w:val="22"/>
        </w:rPr>
        <w:t xml:space="preserve"> to treat staphylococcal infections because of its lower risk of drug-induced liver injury.</w:t>
      </w:r>
      <w:hyperlink w:anchor="_ENREF_6" w:tooltip="Adverse Drug Reactions Advisory Committee, 1999 #14" w:history="1">
        <w:r w:rsidRPr="006A07F3">
          <w:rPr>
            <w:b w:val="0"/>
            <w:szCs w:val="22"/>
            <w:vertAlign w:val="superscript"/>
          </w:rPr>
          <w:t>15</w:t>
        </w:r>
      </w:hyperlink>
      <w:r w:rsidRPr="006A07F3">
        <w:rPr>
          <w:b w:val="0"/>
          <w:szCs w:val="22"/>
        </w:rPr>
        <w:t xml:space="preserve"> After two years, with a similar level of reporting for both </w:t>
      </w:r>
      <w:proofErr w:type="spellStart"/>
      <w:r w:rsidRPr="006A07F3">
        <w:rPr>
          <w:b w:val="0"/>
          <w:szCs w:val="22"/>
        </w:rPr>
        <w:t>antibacteriaials</w:t>
      </w:r>
      <w:proofErr w:type="spellEnd"/>
      <w:r w:rsidRPr="006A07F3">
        <w:rPr>
          <w:b w:val="0"/>
          <w:szCs w:val="22"/>
        </w:rPr>
        <w:t xml:space="preserve">, there were fewer reports of drug-induced liver injury with </w:t>
      </w:r>
      <w:proofErr w:type="spellStart"/>
      <w:r w:rsidRPr="006A07F3">
        <w:rPr>
          <w:b w:val="0"/>
          <w:szCs w:val="22"/>
        </w:rPr>
        <w:t>dicloxacillin</w:t>
      </w:r>
      <w:proofErr w:type="spellEnd"/>
      <w:r w:rsidRPr="006A07F3">
        <w:rPr>
          <w:b w:val="0"/>
          <w:szCs w:val="22"/>
        </w:rPr>
        <w:t xml:space="preserve"> compared with flucloxacillin.</w:t>
      </w:r>
      <w:r w:rsidRPr="006A07F3">
        <w:rPr>
          <w:b w:val="0"/>
          <w:szCs w:val="22"/>
          <w:vertAlign w:val="superscript"/>
        </w:rPr>
        <w:t>15</w:t>
      </w:r>
      <w:r w:rsidRPr="006A07F3">
        <w:rPr>
          <w:b w:val="0"/>
          <w:szCs w:val="22"/>
        </w:rPr>
        <w:t xml:space="preserve"> </w:t>
      </w:r>
      <w:proofErr w:type="gramStart"/>
      <w:r w:rsidRPr="006A07F3">
        <w:rPr>
          <w:b w:val="0"/>
          <w:szCs w:val="22"/>
        </w:rPr>
        <w:t>Like</w:t>
      </w:r>
      <w:proofErr w:type="gramEnd"/>
      <w:r w:rsidRPr="006A07F3">
        <w:rPr>
          <w:b w:val="0"/>
          <w:szCs w:val="22"/>
        </w:rPr>
        <w:t xml:space="preserve"> </w:t>
      </w:r>
      <w:proofErr w:type="spellStart"/>
      <w:r w:rsidRPr="006A07F3">
        <w:rPr>
          <w:b w:val="0"/>
          <w:szCs w:val="22"/>
        </w:rPr>
        <w:t>flucloxacillin</w:t>
      </w:r>
      <w:proofErr w:type="spellEnd"/>
      <w:r w:rsidRPr="006A07F3">
        <w:rPr>
          <w:b w:val="0"/>
          <w:szCs w:val="22"/>
        </w:rPr>
        <w:t xml:space="preserve">, </w:t>
      </w:r>
      <w:proofErr w:type="spellStart"/>
      <w:r w:rsidRPr="006A07F3">
        <w:rPr>
          <w:b w:val="0"/>
          <w:szCs w:val="22"/>
        </w:rPr>
        <w:t>dicloxacillin</w:t>
      </w:r>
      <w:proofErr w:type="spellEnd"/>
      <w:r w:rsidRPr="006A07F3">
        <w:rPr>
          <w:b w:val="0"/>
          <w:szCs w:val="22"/>
        </w:rPr>
        <w:t xml:space="preserve"> is restricted on the PBS to prescribing for serious staphylococcal infection, but unlike </w:t>
      </w:r>
      <w:proofErr w:type="spellStart"/>
      <w:r w:rsidRPr="006A07F3">
        <w:rPr>
          <w:b w:val="0"/>
          <w:szCs w:val="22"/>
        </w:rPr>
        <w:t>flucloxacillin</w:t>
      </w:r>
      <w:proofErr w:type="spellEnd"/>
      <w:r w:rsidRPr="006A07F3">
        <w:rPr>
          <w:b w:val="0"/>
          <w:szCs w:val="22"/>
        </w:rPr>
        <w:t xml:space="preserve">, </w:t>
      </w:r>
      <w:proofErr w:type="spellStart"/>
      <w:r w:rsidRPr="006A07F3">
        <w:rPr>
          <w:b w:val="0"/>
          <w:szCs w:val="22"/>
        </w:rPr>
        <w:t>dicloxacillin</w:t>
      </w:r>
      <w:proofErr w:type="spellEnd"/>
      <w:r w:rsidRPr="006A07F3">
        <w:rPr>
          <w:b w:val="0"/>
          <w:szCs w:val="22"/>
        </w:rPr>
        <w:t xml:space="preserve"> does not have cautions about the risk of serious </w:t>
      </w:r>
      <w:proofErr w:type="spellStart"/>
      <w:r w:rsidRPr="006A07F3">
        <w:rPr>
          <w:b w:val="0"/>
          <w:szCs w:val="22"/>
        </w:rPr>
        <w:t>cholestatic</w:t>
      </w:r>
      <w:proofErr w:type="spellEnd"/>
      <w:r w:rsidRPr="006A07F3">
        <w:rPr>
          <w:b w:val="0"/>
          <w:szCs w:val="22"/>
        </w:rPr>
        <w:t xml:space="preserve"> hepatitis. </w:t>
      </w:r>
    </w:p>
    <w:p w:rsidR="001F5CEE" w:rsidRPr="006A07F3" w:rsidRDefault="00C5112F" w:rsidP="00AD2347">
      <w:pPr>
        <w:pStyle w:val="Heading5"/>
        <w:shd w:val="clear" w:color="auto" w:fill="DAEEF3" w:themeFill="accent5" w:themeFillTint="33"/>
        <w:spacing w:before="0"/>
        <w:rPr>
          <w:b w:val="0"/>
          <w:szCs w:val="22"/>
        </w:rPr>
      </w:pPr>
      <w:r w:rsidRPr="006A07F3">
        <w:rPr>
          <w:b w:val="0"/>
          <w:color w:val="000000"/>
          <w:szCs w:val="22"/>
        </w:rPr>
        <w:t xml:space="preserve">In 2014, cephalexin accounted for about one in five (19.6%) of all prescriptions for systemic </w:t>
      </w:r>
      <w:proofErr w:type="spellStart"/>
      <w:r w:rsidRPr="006A07F3">
        <w:rPr>
          <w:b w:val="0"/>
          <w:color w:val="000000"/>
          <w:szCs w:val="22"/>
        </w:rPr>
        <w:t>antibacterials</w:t>
      </w:r>
      <w:proofErr w:type="spellEnd"/>
      <w:r w:rsidRPr="006A07F3">
        <w:rPr>
          <w:b w:val="0"/>
          <w:color w:val="000000"/>
          <w:szCs w:val="22"/>
        </w:rPr>
        <w:t xml:space="preserve"> (J01 class) dispensed on the PBS/RPBS, compared to 2.5% for </w:t>
      </w:r>
      <w:proofErr w:type="spellStart"/>
      <w:r w:rsidRPr="006A07F3">
        <w:rPr>
          <w:b w:val="0"/>
          <w:color w:val="000000"/>
          <w:szCs w:val="22"/>
        </w:rPr>
        <w:t>flucloxacillin</w:t>
      </w:r>
      <w:proofErr w:type="spellEnd"/>
      <w:r w:rsidRPr="006A07F3">
        <w:rPr>
          <w:b w:val="0"/>
          <w:color w:val="000000"/>
          <w:szCs w:val="22"/>
        </w:rPr>
        <w:t xml:space="preserve"> and 0.85% for </w:t>
      </w:r>
      <w:proofErr w:type="spellStart"/>
      <w:r w:rsidRPr="006A07F3">
        <w:rPr>
          <w:b w:val="0"/>
          <w:color w:val="000000"/>
          <w:szCs w:val="22"/>
        </w:rPr>
        <w:t>dicloxacillin</w:t>
      </w:r>
      <w:proofErr w:type="spellEnd"/>
      <w:r w:rsidRPr="006A07F3">
        <w:rPr>
          <w:b w:val="0"/>
          <w:color w:val="000000"/>
          <w:szCs w:val="22"/>
        </w:rPr>
        <w:t xml:space="preserve">. Because cephalexin has a broader spectrum of activity than </w:t>
      </w:r>
      <w:proofErr w:type="spellStart"/>
      <w:r w:rsidRPr="006A07F3">
        <w:rPr>
          <w:b w:val="0"/>
          <w:color w:val="000000"/>
          <w:szCs w:val="22"/>
        </w:rPr>
        <w:t>flucloxacillin</w:t>
      </w:r>
      <w:proofErr w:type="spellEnd"/>
      <w:r w:rsidRPr="006A07F3">
        <w:rPr>
          <w:b w:val="0"/>
          <w:color w:val="000000"/>
          <w:szCs w:val="22"/>
        </w:rPr>
        <w:t xml:space="preserve"> or </w:t>
      </w:r>
      <w:proofErr w:type="spellStart"/>
      <w:r w:rsidRPr="006A07F3">
        <w:rPr>
          <w:b w:val="0"/>
          <w:color w:val="000000"/>
          <w:szCs w:val="22"/>
        </w:rPr>
        <w:t>dicloxacillin</w:t>
      </w:r>
      <w:proofErr w:type="spellEnd"/>
      <w:r w:rsidRPr="006A07F3">
        <w:rPr>
          <w:b w:val="0"/>
          <w:color w:val="000000"/>
          <w:szCs w:val="22"/>
        </w:rPr>
        <w:t xml:space="preserve">, it is more likely to contribute to gram-negative resistance. It is more appropriate to use the narrower-spectrum </w:t>
      </w:r>
      <w:proofErr w:type="spellStart"/>
      <w:r w:rsidRPr="006A07F3">
        <w:rPr>
          <w:b w:val="0"/>
          <w:color w:val="000000"/>
          <w:szCs w:val="22"/>
        </w:rPr>
        <w:t>dicloxacillin</w:t>
      </w:r>
      <w:proofErr w:type="spellEnd"/>
      <w:r w:rsidRPr="006A07F3">
        <w:rPr>
          <w:b w:val="0"/>
          <w:color w:val="000000"/>
          <w:szCs w:val="22"/>
        </w:rPr>
        <w:t xml:space="preserve"> for skin and wound infections,</w:t>
      </w:r>
      <w:r w:rsidR="00AD2347" w:rsidRPr="006A07F3">
        <w:rPr>
          <w:b w:val="0"/>
          <w:color w:val="000000"/>
          <w:szCs w:val="22"/>
        </w:rPr>
        <w:t xml:space="preserve"> especially in residential aged-</w:t>
      </w:r>
      <w:r w:rsidRPr="006A07F3">
        <w:rPr>
          <w:b w:val="0"/>
          <w:color w:val="000000"/>
          <w:szCs w:val="22"/>
        </w:rPr>
        <w:t>care, unless the patient is allergic to penicillins.</w:t>
      </w:r>
    </w:p>
    <w:p w:rsidR="00C5112F" w:rsidRPr="006A07F3" w:rsidRDefault="001C6B47" w:rsidP="006A07F3">
      <w:pPr>
        <w:pStyle w:val="Heading6"/>
        <w:shd w:val="clear" w:color="auto" w:fill="DAEEF3" w:themeFill="accent5" w:themeFillTint="33"/>
        <w:tabs>
          <w:tab w:val="left" w:pos="1134"/>
        </w:tabs>
        <w:spacing w:before="120"/>
        <w:ind w:left="1134" w:hanging="1134"/>
        <w:rPr>
          <w:rFonts w:cs="Arial"/>
          <w:i w:val="0"/>
          <w:vertAlign w:val="superscript"/>
        </w:rPr>
      </w:pPr>
      <w:r w:rsidRPr="006A07F3">
        <w:rPr>
          <w:rFonts w:cs="Arial"/>
          <w:i w:val="0"/>
        </w:rPr>
        <w:t>F</w:t>
      </w:r>
      <w:r w:rsidR="00C5112F" w:rsidRPr="006A07F3">
        <w:rPr>
          <w:rFonts w:cs="Arial"/>
          <w:i w:val="0"/>
        </w:rPr>
        <w:t>igure B1</w:t>
      </w:r>
      <w:r w:rsidR="00C5112F" w:rsidRPr="006A07F3">
        <w:rPr>
          <w:rFonts w:cs="Arial"/>
          <w:i w:val="0"/>
        </w:rPr>
        <w:tab/>
        <w:t>Community population supplied cephalexin by age group (3-point moving average), Quarter 3 2012 to Quarter 4 2014</w:t>
      </w:r>
      <w:r w:rsidR="00C5112F" w:rsidRPr="006A07F3">
        <w:rPr>
          <w:rFonts w:cs="Arial"/>
          <w:i w:val="0"/>
          <w:vertAlign w:val="superscript"/>
        </w:rPr>
        <w:t>3</w:t>
      </w:r>
    </w:p>
    <w:p w:rsidR="00C5112F" w:rsidRPr="006A07F3" w:rsidRDefault="00C5112F" w:rsidP="001C6B47">
      <w:pPr>
        <w:pStyle w:val="Heading6"/>
        <w:shd w:val="clear" w:color="auto" w:fill="DAEEF3" w:themeFill="accent5" w:themeFillTint="33"/>
        <w:ind w:left="1440" w:hanging="1440"/>
        <w:jc w:val="center"/>
        <w:rPr>
          <w:rFonts w:cs="Arial"/>
          <w:vertAlign w:val="superscript"/>
        </w:rPr>
      </w:pPr>
      <w:r w:rsidRPr="006A07F3">
        <w:rPr>
          <w:rFonts w:cs="Arial"/>
          <w:noProof/>
          <w:vertAlign w:val="superscript"/>
        </w:rPr>
        <mc:AlternateContent>
          <mc:Choice Requires="wps">
            <w:drawing>
              <wp:anchor distT="0" distB="0" distL="114300" distR="114300" simplePos="0" relativeHeight="251662336" behindDoc="0" locked="0" layoutInCell="1" allowOverlap="1" wp14:anchorId="2F577BA8" wp14:editId="4A2FB1F9">
                <wp:simplePos x="0" y="0"/>
                <wp:positionH relativeFrom="column">
                  <wp:posOffset>1590675</wp:posOffset>
                </wp:positionH>
                <wp:positionV relativeFrom="paragraph">
                  <wp:posOffset>2195195</wp:posOffset>
                </wp:positionV>
                <wp:extent cx="981075" cy="285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noFill/>
                        <a:ln w="9525">
                          <a:noFill/>
                          <a:miter lim="800000"/>
                          <a:headEnd/>
                          <a:tailEnd/>
                        </a:ln>
                      </wps:spPr>
                      <wps:txbx>
                        <w:txbxContent>
                          <w:p w:rsidR="00D32E79" w:rsidRPr="00472AF5" w:rsidRDefault="00D32E79" w:rsidP="00C5112F">
                            <w:pPr>
                              <w:rPr>
                                <w:i/>
                                <w:sz w:val="16"/>
                                <w:szCs w:val="16"/>
                              </w:rPr>
                            </w:pPr>
                            <w:r w:rsidRPr="00472AF5">
                              <w:rPr>
                                <w:i/>
                                <w:sz w:val="16"/>
                                <w:szCs w:val="16"/>
                              </w:rPr>
                              <w:t>Year/Quarter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5.25pt;margin-top:172.85pt;width:77.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" filled="f" stroked="f">
                <v:textbox>
                  <w:txbxContent>
                    <w:p w:rsidR="00D32E79" w:rsidRPr="00472AF5" w:rsidRDefault="00D32E79" w:rsidP="00C5112F">
                      <w:pPr>
                        <w:rPr>
                          <w:i/>
                          <w:sz w:val="16"/>
                          <w:szCs w:val="16"/>
                        </w:rPr>
                      </w:pPr>
                      <w:r w:rsidRPr="00472AF5">
                        <w:rPr>
                          <w:i/>
                          <w:sz w:val="16"/>
                          <w:szCs w:val="16"/>
                        </w:rPr>
                        <w:t>Year/Quarter</w:t>
                      </w:r>
                    </w:p>
                  </w:txbxContent>
                </v:textbox>
              </v:shape>
            </w:pict>
          </mc:Fallback>
        </mc:AlternateContent>
      </w:r>
      <w:r w:rsidRPr="006A07F3">
        <w:rPr>
          <w:rFonts w:cs="Arial"/>
          <w:noProof/>
        </w:rPr>
        <w:drawing>
          <wp:inline distT="0" distB="0" distL="0" distR="0" wp14:anchorId="22CB8469" wp14:editId="74A379A5">
            <wp:extent cx="4356847" cy="2043953"/>
            <wp:effectExtent l="0" t="0" r="5715" b="0"/>
            <wp:docPr id="27" name="Chart 27" descr="This figure shows that in 2014, most cefalexin was prescribed for people over the age of 65 " title="Figure A1: Cefalexin in the community by age group (3-point moving average), Quarter 3 2012 to Quarter 4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112F" w:rsidRPr="006A07F3" w:rsidRDefault="00C5112F" w:rsidP="001C6B47">
      <w:pPr>
        <w:pStyle w:val="Heading6"/>
        <w:shd w:val="clear" w:color="auto" w:fill="DAEEF3" w:themeFill="accent5" w:themeFillTint="33"/>
        <w:spacing w:before="0"/>
        <w:ind w:left="1440" w:hanging="1440"/>
        <w:rPr>
          <w:rFonts w:cs="Arial"/>
          <w:b w:val="0"/>
        </w:rPr>
      </w:pPr>
    </w:p>
    <w:p w:rsidR="00B7794A" w:rsidRPr="006A07F3" w:rsidRDefault="00B7794A" w:rsidP="006A07F3">
      <w:pPr>
        <w:shd w:val="clear" w:color="auto" w:fill="DAEEF3" w:themeFill="accent5" w:themeFillTint="33"/>
        <w:rPr>
          <w:szCs w:val="22"/>
        </w:rPr>
      </w:pPr>
      <w:r w:rsidRPr="006A07F3">
        <w:rPr>
          <w:szCs w:val="22"/>
        </w:rPr>
        <w:t>Sources: Drug Utilisation Sub-Committee; PBS</w:t>
      </w:r>
    </w:p>
    <w:p w:rsidR="00C5112F" w:rsidRPr="006A07F3" w:rsidRDefault="00C5112F" w:rsidP="001C6B47">
      <w:pPr>
        <w:shd w:val="clear" w:color="auto" w:fill="DAEEF3" w:themeFill="accent5" w:themeFillTint="33"/>
        <w:spacing w:before="240"/>
        <w:rPr>
          <w:b/>
          <w:szCs w:val="22"/>
        </w:rPr>
      </w:pPr>
      <w:r w:rsidRPr="006A07F3">
        <w:rPr>
          <w:b/>
          <w:szCs w:val="22"/>
        </w:rPr>
        <w:t xml:space="preserve">Key message: Reduce selection pressure for gram-negative resistance: use </w:t>
      </w:r>
      <w:proofErr w:type="spellStart"/>
      <w:r w:rsidRPr="006A07F3">
        <w:rPr>
          <w:b/>
          <w:szCs w:val="22"/>
        </w:rPr>
        <w:t>dicloxacillin</w:t>
      </w:r>
      <w:proofErr w:type="spellEnd"/>
      <w:r w:rsidRPr="006A07F3">
        <w:rPr>
          <w:b/>
          <w:szCs w:val="22"/>
        </w:rPr>
        <w:t xml:space="preserve"> instead of cephalexin for skin and soft tissue infections.</w:t>
      </w:r>
    </w:p>
    <w:p w:rsidR="00C5112F" w:rsidRPr="00BD578E" w:rsidRDefault="00C5112F" w:rsidP="00E57029">
      <w:pPr>
        <w:pStyle w:val="Heading2"/>
      </w:pPr>
      <w:r w:rsidRPr="00BD578E">
        <w:lastRenderedPageBreak/>
        <w:t>Extended-spectrum penicillins: ampicillin and amoxicillin</w:t>
      </w:r>
    </w:p>
    <w:p w:rsidR="00C5112F" w:rsidRPr="00BD578E" w:rsidRDefault="00C5112F" w:rsidP="00E57029">
      <w:pPr>
        <w:pStyle w:val="Heading3"/>
      </w:pPr>
      <w:r w:rsidRPr="00BD578E">
        <w:t>What organisms are the</w:t>
      </w:r>
      <w:r>
        <w:t xml:space="preserve">y </w:t>
      </w:r>
      <w:r w:rsidRPr="00BD578E">
        <w:t>used to treat?</w:t>
      </w:r>
    </w:p>
    <w:p w:rsidR="00C5112F" w:rsidRDefault="00C5112F" w:rsidP="00C5112F">
      <w:pPr>
        <w:rPr>
          <w:color w:val="000000"/>
        </w:rPr>
      </w:pPr>
      <w:r w:rsidRPr="00BD578E">
        <w:rPr>
          <w:color w:val="000000"/>
        </w:rPr>
        <w:t>Extended-spectrum penicillins</w:t>
      </w:r>
      <w:r>
        <w:rPr>
          <w:color w:val="000000"/>
        </w:rPr>
        <w:t>,</w:t>
      </w:r>
      <w:r w:rsidRPr="00BD578E">
        <w:rPr>
          <w:color w:val="000000"/>
        </w:rPr>
        <w:t xml:space="preserve"> ampicillin and amoxicillin</w:t>
      </w:r>
      <w:r>
        <w:rPr>
          <w:color w:val="000000"/>
        </w:rPr>
        <w:t>,</w:t>
      </w:r>
      <w:r w:rsidRPr="00BD578E">
        <w:rPr>
          <w:color w:val="000000"/>
        </w:rPr>
        <w:t xml:space="preserve"> are moderate-spectrum penicillins active against some </w:t>
      </w:r>
      <w:r>
        <w:rPr>
          <w:color w:val="000000"/>
        </w:rPr>
        <w:t>g</w:t>
      </w:r>
      <w:r w:rsidRPr="00BD578E">
        <w:rPr>
          <w:color w:val="000000"/>
        </w:rPr>
        <w:t xml:space="preserve">ram-negative bacteria (including </w:t>
      </w:r>
      <w:r w:rsidRPr="00BD578E">
        <w:rPr>
          <w:i/>
          <w:color w:val="000000"/>
        </w:rPr>
        <w:t>Escherichia coli</w:t>
      </w:r>
      <w:r w:rsidRPr="00BD578E">
        <w:rPr>
          <w:color w:val="000000"/>
        </w:rPr>
        <w:t xml:space="preserve"> and </w:t>
      </w:r>
      <w:r w:rsidRPr="00BD578E">
        <w:rPr>
          <w:i/>
          <w:color w:val="000000"/>
        </w:rPr>
        <w:t xml:space="preserve">Haemophilus </w:t>
      </w:r>
      <w:proofErr w:type="spellStart"/>
      <w:r w:rsidRPr="00BD578E">
        <w:rPr>
          <w:i/>
          <w:color w:val="000000"/>
        </w:rPr>
        <w:t>influenzae</w:t>
      </w:r>
      <w:proofErr w:type="spellEnd"/>
      <w:r w:rsidRPr="00BD578E">
        <w:rPr>
          <w:color w:val="000000"/>
        </w:rPr>
        <w:t>) but are inactivated by strains that produce β-lactamase enzymes.</w:t>
      </w:r>
      <w:hyperlink w:anchor="_ENREF_8" w:tooltip="Antibiotic Expert Writing Group, 2014 #1" w:history="1">
        <w:r w:rsidRPr="00BD578E">
          <w:rPr>
            <w:color w:val="000000"/>
          </w:rPr>
          <w:fldChar w:fldCharType="begin"/>
        </w:r>
        <w:r w:rsidRPr="00BD578E">
          <w:rPr>
            <w:color w:val="000000"/>
          </w:rPr>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BD578E">
          <w:rPr>
            <w:color w:val="000000"/>
          </w:rPr>
          <w:fldChar w:fldCharType="separate"/>
        </w:r>
        <w:r w:rsidRPr="00BD578E">
          <w:rPr>
            <w:noProof/>
            <w:color w:val="000000"/>
            <w:vertAlign w:val="superscript"/>
          </w:rPr>
          <w:t>8</w:t>
        </w:r>
        <w:r w:rsidRPr="00BD578E">
          <w:rPr>
            <w:color w:val="000000"/>
          </w:rPr>
          <w:fldChar w:fldCharType="end"/>
        </w:r>
      </w:hyperlink>
      <w:r w:rsidRPr="00BD578E">
        <w:rPr>
          <w:color w:val="000000"/>
        </w:rPr>
        <w:t xml:space="preserve"> They are the antibacterial of choice for </w:t>
      </w:r>
      <w:proofErr w:type="spellStart"/>
      <w:r w:rsidRPr="00BD578E">
        <w:rPr>
          <w:color w:val="000000"/>
        </w:rPr>
        <w:t>enterococcal</w:t>
      </w:r>
      <w:proofErr w:type="spellEnd"/>
      <w:r w:rsidRPr="00BD578E">
        <w:rPr>
          <w:color w:val="000000"/>
        </w:rPr>
        <w:t xml:space="preserve"> infections</w:t>
      </w:r>
      <w:r w:rsidRPr="00864C51">
        <w:rPr>
          <w:color w:val="000000"/>
        </w:rPr>
        <w:t>.</w:t>
      </w:r>
      <w:hyperlink w:anchor="_ENREF_8" w:tooltip="Antibiotic Expert Writing Group, 2014 #1" w:history="1">
        <w:r w:rsidRPr="00864C51">
          <w:rPr>
            <w:color w:val="000000"/>
          </w:rPr>
          <w:fldChar w:fldCharType="begin"/>
        </w:r>
        <w:r w:rsidRPr="00864C51">
          <w:rPr>
            <w:color w:val="000000"/>
          </w:rPr>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864C51">
          <w:rPr>
            <w:color w:val="000000"/>
          </w:rPr>
          <w:fldChar w:fldCharType="separate"/>
        </w:r>
        <w:r w:rsidRPr="00864C51">
          <w:rPr>
            <w:noProof/>
            <w:color w:val="000000"/>
            <w:vertAlign w:val="superscript"/>
          </w:rPr>
          <w:t>8</w:t>
        </w:r>
        <w:r w:rsidRPr="00864C51">
          <w:rPr>
            <w:color w:val="000000"/>
          </w:rPr>
          <w:fldChar w:fldCharType="end"/>
        </w:r>
      </w:hyperlink>
      <w:r w:rsidRPr="00BD578E">
        <w:rPr>
          <w:color w:val="000000"/>
        </w:rPr>
        <w:t xml:space="preserve"> Ampicillin and amoxicillin are equivalent for parenteral use. Amoxicillin is preferred for oral use because it is better absorbed, is not affected by food and requires fewer doses per day than oral ampicillin. Amoxicillin is available in several oral formulations.</w:t>
      </w:r>
    </w:p>
    <w:p w:rsidR="00C5112F" w:rsidRPr="009447E3" w:rsidRDefault="00C5112F" w:rsidP="00B33453">
      <w:pPr>
        <w:pStyle w:val="Heading3"/>
      </w:pPr>
      <w:r w:rsidRPr="009447E3">
        <w:t>How much is used</w:t>
      </w:r>
      <w:r>
        <w:t xml:space="preserve"> in hospitals</w:t>
      </w:r>
      <w:r w:rsidRPr="009447E3">
        <w:t>?</w:t>
      </w:r>
    </w:p>
    <w:p w:rsidR="00C5112F" w:rsidRPr="00BD578E" w:rsidRDefault="00C5112F" w:rsidP="00C5112F">
      <w:r w:rsidRPr="00BD578E">
        <w:t>The NAUSP data showed that total hospital use of extended-spectrum penicillins has declined slightly since 2010 even as the number of contributors increased (Figure 4). In 2014 the extended-spectrum penicillins were the third most used antibacterial class in Australian hospitals, accounting for 11.5% of all use</w:t>
      </w:r>
      <w:r w:rsidRPr="00864C51">
        <w:t>.</w:t>
      </w:r>
      <w:hyperlink w:anchor="_ENREF_10" w:tooltip="South Australian Department for Health and Ageing, 2015 #17" w:history="1">
        <w:r w:rsidRPr="00864C51">
          <w:fldChar w:fldCharType="begin"/>
        </w:r>
        <w:r w:rsidRPr="00864C51">
          <w:instrText xml:space="preserve"> ADDIN EN.CITE &lt;EndNote&gt;&lt;Cite&gt;&lt;Author&gt;South Australian Department for Health and Ageing&lt;/Author&gt;&lt;Year&gt;2015&lt;/Year&gt;&lt;RecNum&gt;17&lt;/RecNum&gt;&lt;DisplayText&gt;&lt;style face="superscript"&gt;10&lt;/style&gt;&lt;/DisplayText&gt;&lt;record&gt;&lt;rec-number&gt;17&lt;/rec-number&gt;&lt;foreign-keys&gt;&lt;key app="EN" db-id="rfdrt5f982tppcedt23vfxzvp52ea529f2pd"&gt;17&lt;/key&gt;&lt;/foreign-keys&gt;&lt;ref-type name="Generic"&gt;13&lt;/ref-type&gt;&lt;contributors&gt;&lt;authors&gt;&lt;author&gt;South Australian Department for Health and Ageing,.&lt;/author&gt;&lt;/authors&gt;&lt;/contributors&gt;&lt;titles&gt;&lt;title&gt;Antimicrobial use in Australian hospitals: 2014 report of the National Antimicrobial Utilisation Surveillance Program&lt;/title&gt;&lt;/titles&gt;&lt;dates&gt;&lt;year&gt;2015&lt;/year&gt;&lt;/dates&gt;&lt;pub-location&gt;Adelaide&lt;/pub-location&gt;&lt;publisher&gt;NAUSP&lt;/publisher&gt;&lt;urls&gt;&lt;/urls&gt;&lt;/record&gt;&lt;/Cite&gt;&lt;/EndNote&gt;</w:instrText>
        </w:r>
        <w:r w:rsidRPr="00864C51">
          <w:fldChar w:fldCharType="separate"/>
        </w:r>
        <w:r w:rsidRPr="00864C51">
          <w:rPr>
            <w:noProof/>
            <w:vertAlign w:val="superscript"/>
          </w:rPr>
          <w:t>10</w:t>
        </w:r>
        <w:r w:rsidRPr="00864C51">
          <w:fldChar w:fldCharType="end"/>
        </w:r>
      </w:hyperlink>
      <w:r w:rsidRPr="00864C51">
        <w:t xml:space="preserve"> In</w:t>
      </w:r>
      <w:r w:rsidRPr="00BD578E">
        <w:t xml:space="preserve"> the same year, the NAPS data showed that ampicillin/amoxicillin were the eighth most prescribed </w:t>
      </w:r>
      <w:proofErr w:type="spellStart"/>
      <w:r w:rsidRPr="00BD578E">
        <w:t>antibacterials</w:t>
      </w:r>
      <w:proofErr w:type="spellEnd"/>
      <w:r w:rsidRPr="00BD578E">
        <w:t>, accounting for 2.8% of all prescriptions</w:t>
      </w:r>
      <w:r w:rsidRPr="00864C51">
        <w:t>.</w:t>
      </w:r>
      <w:hyperlink w:anchor="_ENREF_11" w:tooltip="Australian Commission on Safety and Quality in Health Care., 2015 #20" w:history="1">
        <w:r w:rsidRPr="00864C51">
          <w:fldChar w:fldCharType="begin"/>
        </w:r>
        <w:r w:rsidRPr="00864C51">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864C51">
          <w:fldChar w:fldCharType="separate"/>
        </w:r>
        <w:r w:rsidRPr="00864C51">
          <w:rPr>
            <w:noProof/>
            <w:vertAlign w:val="superscript"/>
          </w:rPr>
          <w:t>11</w:t>
        </w:r>
        <w:r w:rsidRPr="00864C51">
          <w:fldChar w:fldCharType="end"/>
        </w:r>
      </w:hyperlink>
    </w:p>
    <w:p w:rsidR="00C5112F" w:rsidRPr="00B33453" w:rsidRDefault="00C5112F" w:rsidP="00514311">
      <w:pPr>
        <w:tabs>
          <w:tab w:val="left" w:pos="1134"/>
        </w:tabs>
        <w:spacing w:before="240" w:after="120"/>
        <w:ind w:left="1134" w:hanging="1134"/>
        <w:rPr>
          <w:b/>
        </w:rPr>
      </w:pPr>
      <w:r w:rsidRPr="00B33453">
        <w:rPr>
          <w:b/>
        </w:rPr>
        <w:t>Figure 4:</w:t>
      </w:r>
      <w:r w:rsidRPr="00B33453">
        <w:rPr>
          <w:b/>
        </w:rPr>
        <w:tab/>
        <w:t>Hospital usage rates by defined daily doses per 1000 occupied bed days (DDD/1000 OBD) for extended-spectrum penicillins: NAUSP contributors, 2010</w:t>
      </w:r>
      <w:r w:rsidRPr="00B33453">
        <w:rPr>
          <w:b/>
        </w:rPr>
        <w:sym w:font="Symbol" w:char="F02D"/>
      </w:r>
      <w:r w:rsidRPr="00B33453">
        <w:rPr>
          <w:b/>
        </w:rPr>
        <w:t>14</w:t>
      </w:r>
      <w:hyperlink w:anchor="_ENREF_10" w:tooltip="South Australian Department for Health and Ageing, 2015 #17" w:history="1">
        <w:r w:rsidRPr="00B33453">
          <w:rPr>
            <w:b/>
          </w:rPr>
          <w:fldChar w:fldCharType="begin"/>
        </w:r>
        <w:r w:rsidRPr="00B33453">
          <w:rPr>
            <w:b/>
          </w:rPr>
          <w:instrText xml:space="preserve"> ADDIN EN.CITE &lt;EndNote&gt;&lt;Cite&gt;&lt;Author&gt;South Australian Department for Health and Ageing&lt;/Author&gt;&lt;Year&gt;2015&lt;/Year&gt;&lt;RecNum&gt;17&lt;/RecNum&gt;&lt;DisplayText&gt;&lt;style face="superscript"&gt;10&lt;/style&gt;&lt;/DisplayText&gt;&lt;record&gt;&lt;rec-number&gt;17&lt;/rec-number&gt;&lt;foreign-keys&gt;&lt;key app="EN" db-id="rfdrt5f982tppcedt23vfxzvp52ea529f2pd"&gt;17&lt;/key&gt;&lt;/foreign-keys&gt;&lt;ref-type name="Generic"&gt;13&lt;/ref-type&gt;&lt;contributors&gt;&lt;authors&gt;&lt;author&gt;South Australian Department for Health and Ageing,.&lt;/author&gt;&lt;/authors&gt;&lt;/contributors&gt;&lt;titles&gt;&lt;title&gt;Antimicrobial use in Australian hospitals: 2014 report of the National Antimicrobial Utilisation Surveillance Program&lt;/title&gt;&lt;/titles&gt;&lt;dates&gt;&lt;year&gt;2015&lt;/year&gt;&lt;/dates&gt;&lt;pub-location&gt;Adelaide&lt;/pub-location&gt;&lt;publisher&gt;NAUSP&lt;/publisher&gt;&lt;urls&gt;&lt;/urls&gt;&lt;/record&gt;&lt;/Cite&gt;&lt;/EndNote&gt;</w:instrText>
        </w:r>
        <w:r w:rsidRPr="00B33453">
          <w:rPr>
            <w:b/>
          </w:rPr>
          <w:fldChar w:fldCharType="separate"/>
        </w:r>
        <w:r w:rsidRPr="00B33453">
          <w:rPr>
            <w:b/>
            <w:noProof/>
            <w:vertAlign w:val="superscript"/>
          </w:rPr>
          <w:t>10</w:t>
        </w:r>
        <w:r w:rsidRPr="00B33453">
          <w:rPr>
            <w:b/>
          </w:rPr>
          <w:fldChar w:fldCharType="end"/>
        </w:r>
      </w:hyperlink>
    </w:p>
    <w:p w:rsidR="00C5112F" w:rsidRDefault="00C5112F" w:rsidP="00C5112F">
      <w:pPr>
        <w:pStyle w:val="Heading3"/>
      </w:pPr>
      <w:r>
        <w:rPr>
          <w:noProof/>
        </w:rPr>
        <w:drawing>
          <wp:inline distT="0" distB="0" distL="0" distR="0" wp14:anchorId="7DB54912" wp14:editId="2EC13CFD">
            <wp:extent cx="4572000" cy="2743200"/>
            <wp:effectExtent l="0" t="0" r="0" b="0"/>
            <wp:docPr id="31" name="Chart 31" descr="Figure 4 shows that total hospital use of extended-spectrum penicillins has declined slightly since 2010 even as the number of contributors increas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112F" w:rsidRPr="00053DCE" w:rsidRDefault="00C5112F" w:rsidP="00514311">
      <w:pPr>
        <w:pStyle w:val="TFNoteSourceSpace"/>
        <w:spacing w:before="120"/>
      </w:pPr>
      <w:r>
        <w:t>Source</w:t>
      </w:r>
      <w:r w:rsidRPr="00053DCE">
        <w:t>: National Antimicrobial Utilisation Surveillance Program</w:t>
      </w:r>
      <w:r>
        <w:t xml:space="preserve"> 2014</w:t>
      </w:r>
    </w:p>
    <w:p w:rsidR="00C5112F" w:rsidRPr="009447E3" w:rsidRDefault="00C5112F" w:rsidP="00B33453">
      <w:pPr>
        <w:pStyle w:val="Heading3"/>
      </w:pPr>
      <w:r>
        <w:t>How much is used in the community?</w:t>
      </w:r>
    </w:p>
    <w:p w:rsidR="00C5112F" w:rsidRPr="00BD578E" w:rsidRDefault="00C5112F" w:rsidP="00C5112F">
      <w:r w:rsidRPr="00BD578E">
        <w:t>Amoxicillin is widely used in the Australian community. PBS/RPBS data show that it is the third most o</w:t>
      </w:r>
      <w:r>
        <w:t>ften dispensed antibacterial. Prescribing of this antibacterial</w:t>
      </w:r>
      <w:r w:rsidRPr="00BD578E">
        <w:t xml:space="preserve"> increased by about 3.5%</w:t>
      </w:r>
      <w:r>
        <w:t>,</w:t>
      </w:r>
      <w:r w:rsidRPr="00BD578E">
        <w:t xml:space="preserve"> from 5 665 810 prescriptions (244 prescriptions/1000 people) in 2013 to 5</w:t>
      </w:r>
      <w:r>
        <w:t> </w:t>
      </w:r>
      <w:r w:rsidRPr="00BD578E">
        <w:t>870</w:t>
      </w:r>
      <w:r>
        <w:t> </w:t>
      </w:r>
      <w:r w:rsidRPr="00BD578E">
        <w:t>123 prescriptions (249 prescriptions/1000 people) in 2014.</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r w:rsidRPr="00BD578E">
        <w:t xml:space="preserve"> Amoxicillin is prescribed most often for people under the age of 10 with more use in the winter months</w:t>
      </w:r>
      <w:r>
        <w:t>;</w:t>
      </w:r>
      <w:r w:rsidRPr="00BD578E">
        <w:t xml:space="preserve"> this may represent inappropriate use for viral </w:t>
      </w:r>
      <w:r>
        <w:t>upper respiratory tract infections</w:t>
      </w:r>
      <w:r w:rsidRPr="00BD578E">
        <w:t xml:space="preserve"> (see Figure 5). Twice the number of children aged 0–9 years were dispensed amoxicillin than for other age groups.</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r w:rsidRPr="00BD578E">
        <w:t xml:space="preserve"> The average number of prescriptions dispensed for amoxicillin varied across states and territories, from 15 047 per 100 000 people in the Northern Territory, to 28 347 per 100</w:t>
      </w:r>
      <w:r>
        <w:t> </w:t>
      </w:r>
      <w:r w:rsidRPr="00BD578E">
        <w:t xml:space="preserve">000 </w:t>
      </w:r>
      <w:r w:rsidRPr="00BD578E">
        <w:lastRenderedPageBreak/>
        <w:t>people in Victoria.</w:t>
      </w:r>
      <w:hyperlink w:anchor="_ENREF_2" w:tooltip="Australian Commission on Safety and Quality in Health Care, 2015 #18" w:history="1">
        <w:r w:rsidRPr="00BD578E">
          <w:fldChar w:fldCharType="begin"/>
        </w:r>
        <w:r w:rsidRPr="00BD578E">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BD578E">
          <w:fldChar w:fldCharType="separate"/>
        </w:r>
        <w:r w:rsidRPr="00BD578E">
          <w:rPr>
            <w:noProof/>
            <w:vertAlign w:val="superscript"/>
          </w:rPr>
          <w:t>2</w:t>
        </w:r>
        <w:r w:rsidRPr="00BD578E">
          <w:fldChar w:fldCharType="end"/>
        </w:r>
      </w:hyperlink>
      <w:r w:rsidRPr="00BD578E">
        <w:t xml:space="preserve"> After excluding the highest and lowest results, the amoxic</w:t>
      </w:r>
      <w:r w:rsidRPr="00606E65">
        <w:t>illin</w:t>
      </w:r>
      <w:r w:rsidRPr="00BD578E">
        <w:t xml:space="preserve"> prescription rate across 301 local areas was 2.7 times higher in one local area compared to another.</w:t>
      </w:r>
      <w:hyperlink w:anchor="_ENREF_2" w:tooltip="Australian Commission on Safety and Quality in Health Care, 2015 #18" w:history="1">
        <w:r w:rsidRPr="00BD578E">
          <w:fldChar w:fldCharType="begin"/>
        </w:r>
        <w:r w:rsidRPr="00BD578E">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BD578E">
          <w:fldChar w:fldCharType="separate"/>
        </w:r>
        <w:r w:rsidRPr="00BD578E">
          <w:rPr>
            <w:noProof/>
            <w:vertAlign w:val="superscript"/>
          </w:rPr>
          <w:t>2</w:t>
        </w:r>
        <w:r w:rsidRPr="00BD578E">
          <w:fldChar w:fldCharType="end"/>
        </w:r>
      </w:hyperlink>
      <w:r w:rsidRPr="00BD578E">
        <w:t xml:space="preserve"> The </w:t>
      </w:r>
      <w:proofErr w:type="spellStart"/>
      <w:r w:rsidRPr="00BD578E">
        <w:t>acNAPS</w:t>
      </w:r>
      <w:proofErr w:type="spellEnd"/>
      <w:r w:rsidRPr="00BD578E">
        <w:t xml:space="preserve"> data from </w:t>
      </w:r>
      <w:r>
        <w:t>residential aged-care facilities</w:t>
      </w:r>
      <w:r w:rsidRPr="00BD578E">
        <w:t xml:space="preserve"> showed that amoxicillin was the sixth most commonly prescribed antibacterial (4.7%).</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p>
    <w:p w:rsidR="00C5112F" w:rsidRPr="00595543" w:rsidRDefault="00C5112F" w:rsidP="00514311">
      <w:pPr>
        <w:pStyle w:val="Heading3"/>
        <w:tabs>
          <w:tab w:val="left" w:pos="1134"/>
        </w:tabs>
        <w:spacing w:after="120"/>
        <w:ind w:left="1134" w:hanging="1134"/>
        <w:rPr>
          <w:color w:val="auto"/>
          <w:sz w:val="22"/>
          <w:szCs w:val="22"/>
        </w:rPr>
      </w:pPr>
      <w:r w:rsidRPr="00595543">
        <w:rPr>
          <w:color w:val="auto"/>
          <w:sz w:val="22"/>
          <w:szCs w:val="22"/>
        </w:rPr>
        <w:t>Figure 5:</w:t>
      </w:r>
      <w:r w:rsidRPr="00595543">
        <w:rPr>
          <w:color w:val="auto"/>
          <w:sz w:val="22"/>
          <w:szCs w:val="22"/>
        </w:rPr>
        <w:tab/>
        <w:t>Amoxicillin dispensing in the community by age group (years) (three-point moving average), Quarter 3 2012 to Quarter 4 2014</w:t>
      </w:r>
      <w:hyperlink w:anchor="_ENREF_3" w:tooltip="Australian Commission on Safety and Quality in Health Care, 2016 #12" w:history="1">
        <w:r w:rsidRPr="00595543">
          <w:rPr>
            <w:color w:val="auto"/>
            <w:sz w:val="22"/>
            <w:szCs w:val="22"/>
          </w:rPr>
          <w:fldChar w:fldCharType="begin"/>
        </w:r>
        <w:r w:rsidRPr="00595543">
          <w:rPr>
            <w:color w:val="auto"/>
            <w:sz w:val="22"/>
            <w:szCs w:val="22"/>
          </w:rPr>
          <w:instrText xml:space="preserve"> ADDIN EN.CITE &lt;EndNote&gt;&lt;Cite&gt;&lt;Author&gt;Australian Commission on Safety and Quality in Health Care&lt;/Author&gt;&lt;Year&gt;2016&lt;/Year&gt;&lt;RecNum&gt;12&lt;/RecNum&gt;&lt;DisplayText&gt;&lt;style face="superscript"&gt;3&lt;/style&gt;&lt;/DisplayText&gt;&lt;record&gt;&lt;rec-number&gt;12&lt;/rec-number&gt;&lt;foreign-keys&gt;&lt;key app="EN" db-id="rfdrt5f982tppcedt23vfxzvp52ea529f2pd"&gt;12&lt;/key&gt;&lt;/foreign-keys&gt;&lt;ref-type name="Generic"&gt;13&lt;/ref-type&gt;&lt;contributors&gt;&lt;authors&gt;&lt;author&gt;Australian Commission on Safety and Quality in Health Care,&lt;/author&gt;&lt;/authors&gt;&lt;/contributors&gt;&lt;titles&gt;&lt;title&gt;AURA 2016 supplementary data -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595543">
          <w:rPr>
            <w:color w:val="auto"/>
            <w:sz w:val="22"/>
            <w:szCs w:val="22"/>
          </w:rPr>
          <w:fldChar w:fldCharType="separate"/>
        </w:r>
        <w:r w:rsidRPr="00595543">
          <w:rPr>
            <w:noProof/>
            <w:color w:val="auto"/>
            <w:sz w:val="22"/>
            <w:szCs w:val="22"/>
            <w:vertAlign w:val="superscript"/>
          </w:rPr>
          <w:t>3</w:t>
        </w:r>
        <w:r w:rsidRPr="00595543">
          <w:rPr>
            <w:color w:val="auto"/>
            <w:sz w:val="22"/>
            <w:szCs w:val="22"/>
          </w:rPr>
          <w:fldChar w:fldCharType="end"/>
        </w:r>
      </w:hyperlink>
    </w:p>
    <w:p w:rsidR="00C5112F" w:rsidRDefault="00C5112F" w:rsidP="00C5112F">
      <w:pPr>
        <w:pStyle w:val="Heading2"/>
      </w:pPr>
      <w:r w:rsidRPr="00301405">
        <w:rPr>
          <w:noProof/>
        </w:rPr>
        <w:drawing>
          <wp:inline distT="0" distB="0" distL="0" distR="0" wp14:anchorId="464D7CB8" wp14:editId="25B66B46">
            <wp:extent cx="5543550" cy="2781300"/>
            <wp:effectExtent l="0" t="0" r="0" b="0"/>
            <wp:docPr id="20" name="Object 4" descr="This figure shows that Amoxicillin is prescribed most often for people under the age of 10 with more use in the winter month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112F" w:rsidRPr="00864C51" w:rsidRDefault="00C5112F" w:rsidP="00514311">
      <w:pPr>
        <w:shd w:val="clear" w:color="auto" w:fill="FFFFFF" w:themeFill="background1"/>
        <w:spacing w:before="120"/>
        <w:rPr>
          <w:sz w:val="18"/>
          <w:szCs w:val="18"/>
        </w:rPr>
      </w:pPr>
      <w:r>
        <w:rPr>
          <w:sz w:val="18"/>
          <w:szCs w:val="18"/>
        </w:rPr>
        <w:t>Source</w:t>
      </w:r>
      <w:r w:rsidRPr="00864C51">
        <w:rPr>
          <w:sz w:val="18"/>
          <w:szCs w:val="18"/>
        </w:rPr>
        <w:t>s: Drug Utilisation Sub-Committee;</w:t>
      </w:r>
      <w:r>
        <w:rPr>
          <w:sz w:val="18"/>
          <w:szCs w:val="18"/>
        </w:rPr>
        <w:t xml:space="preserve"> </w:t>
      </w:r>
      <w:r w:rsidRPr="00864C51">
        <w:rPr>
          <w:sz w:val="18"/>
          <w:szCs w:val="18"/>
        </w:rPr>
        <w:t>PBS</w:t>
      </w:r>
    </w:p>
    <w:p w:rsidR="00C5112F" w:rsidRPr="00BD578E" w:rsidRDefault="00C5112F" w:rsidP="00B33453">
      <w:pPr>
        <w:pStyle w:val="Heading3"/>
      </w:pPr>
      <w:r w:rsidRPr="00BD578E">
        <w:t xml:space="preserve">How appropriate is the use of extended-spectrum penicillins in </w:t>
      </w:r>
      <w:r>
        <w:t>hospitals and in the community</w:t>
      </w:r>
      <w:r w:rsidRPr="00BD578E">
        <w:t xml:space="preserve">? </w:t>
      </w:r>
    </w:p>
    <w:p w:rsidR="00C5112F" w:rsidRPr="00BD578E" w:rsidRDefault="00C5112F" w:rsidP="00C5112F">
      <w:pPr>
        <w:rPr>
          <w:color w:val="000000"/>
        </w:rPr>
      </w:pPr>
      <w:r w:rsidRPr="00BD578E">
        <w:rPr>
          <w:color w:val="000000"/>
        </w:rPr>
        <w:t xml:space="preserve">Hospital prescribing of extended-spectrum penicillins was often inappropriate. </w:t>
      </w:r>
      <w:r>
        <w:rPr>
          <w:color w:val="000000"/>
        </w:rPr>
        <w:t>The NAPS data found that about one in four</w:t>
      </w:r>
      <w:r w:rsidRPr="00BD578E">
        <w:rPr>
          <w:color w:val="000000"/>
        </w:rPr>
        <w:t xml:space="preserve"> prescriptions were inappropriate (24.5%).</w:t>
      </w:r>
      <w:hyperlink w:anchor="_ENREF_1" w:tooltip="Australian Commission on Safety and Quality in Health Care, 2016 #8" w:history="1">
        <w:r w:rsidRPr="00BD578E">
          <w:rPr>
            <w:color w:val="000000"/>
          </w:rPr>
          <w:fldChar w:fldCharType="begin"/>
        </w:r>
        <w:r w:rsidRPr="00BD578E">
          <w:rPr>
            <w:color w:val="000000"/>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rPr>
            <w:color w:val="000000"/>
          </w:rPr>
          <w:fldChar w:fldCharType="separate"/>
        </w:r>
        <w:r w:rsidRPr="00BD578E">
          <w:rPr>
            <w:noProof/>
            <w:color w:val="000000"/>
            <w:vertAlign w:val="superscript"/>
          </w:rPr>
          <w:t>1</w:t>
        </w:r>
        <w:r w:rsidRPr="00BD578E">
          <w:rPr>
            <w:color w:val="000000"/>
          </w:rPr>
          <w:fldChar w:fldCharType="end"/>
        </w:r>
      </w:hyperlink>
    </w:p>
    <w:p w:rsidR="00C5112F" w:rsidRPr="00BD578E" w:rsidRDefault="00C5112F" w:rsidP="00C5112F">
      <w:pPr>
        <w:rPr>
          <w:color w:val="000000"/>
        </w:rPr>
      </w:pPr>
      <w:r w:rsidRPr="00BD578E">
        <w:rPr>
          <w:color w:val="000000"/>
        </w:rPr>
        <w:t>Similarly, amoxicillin prescribing and use in the community is often inappropriate. The number of prescriptions dispensed ha</w:t>
      </w:r>
      <w:r>
        <w:rPr>
          <w:color w:val="000000"/>
        </w:rPr>
        <w:t>s</w:t>
      </w:r>
      <w:r w:rsidRPr="00BD578E">
        <w:rPr>
          <w:color w:val="000000"/>
        </w:rPr>
        <w:t xml:space="preserve"> consistently increased since 2008.</w:t>
      </w:r>
      <w:hyperlink w:anchor="_ENREF_1" w:tooltip="Australian Commission on Safety and Quality in Health Care, 2016 #8" w:history="1">
        <w:r w:rsidRPr="00BD578E">
          <w:rPr>
            <w:color w:val="000000"/>
          </w:rPr>
          <w:fldChar w:fldCharType="begin"/>
        </w:r>
        <w:r w:rsidRPr="00BD578E">
          <w:rPr>
            <w:color w:val="000000"/>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rPr>
            <w:color w:val="000000"/>
          </w:rPr>
          <w:fldChar w:fldCharType="separate"/>
        </w:r>
        <w:r w:rsidRPr="00BD578E">
          <w:rPr>
            <w:noProof/>
            <w:color w:val="000000"/>
            <w:vertAlign w:val="superscript"/>
          </w:rPr>
          <w:t>1</w:t>
        </w:r>
        <w:r w:rsidRPr="00BD578E">
          <w:rPr>
            <w:color w:val="000000"/>
          </w:rPr>
          <w:fldChar w:fldCharType="end"/>
        </w:r>
      </w:hyperlink>
      <w:r w:rsidRPr="00BD578E">
        <w:rPr>
          <w:color w:val="000000"/>
        </w:rPr>
        <w:t xml:space="preserve"> The most common indications for which </w:t>
      </w:r>
      <w:r>
        <w:rPr>
          <w:color w:val="000000"/>
        </w:rPr>
        <w:t>GPs</w:t>
      </w:r>
      <w:r w:rsidRPr="00BD578E">
        <w:rPr>
          <w:color w:val="000000"/>
        </w:rPr>
        <w:t xml:space="preserve"> who contribute to </w:t>
      </w:r>
      <w:proofErr w:type="spellStart"/>
      <w:r w:rsidRPr="00BD578E">
        <w:rPr>
          <w:color w:val="000000"/>
        </w:rPr>
        <w:t>MedicineInsight</w:t>
      </w:r>
      <w:proofErr w:type="spellEnd"/>
      <w:r w:rsidRPr="00BD578E">
        <w:rPr>
          <w:color w:val="000000"/>
        </w:rPr>
        <w:t xml:space="preserve"> pre</w:t>
      </w:r>
      <w:r>
        <w:rPr>
          <w:color w:val="000000"/>
        </w:rPr>
        <w:t xml:space="preserve">scribed </w:t>
      </w:r>
      <w:proofErr w:type="spellStart"/>
      <w:r>
        <w:rPr>
          <w:color w:val="000000"/>
        </w:rPr>
        <w:t>antibacterials</w:t>
      </w:r>
      <w:proofErr w:type="spellEnd"/>
      <w:r>
        <w:rPr>
          <w:color w:val="000000"/>
        </w:rPr>
        <w:t xml:space="preserve"> were upper respiratory tract infections</w:t>
      </w:r>
      <w:r w:rsidRPr="00BD578E">
        <w:rPr>
          <w:color w:val="000000"/>
        </w:rPr>
        <w:t xml:space="preserve"> (30%)</w:t>
      </w:r>
      <w:r>
        <w:rPr>
          <w:color w:val="000000"/>
        </w:rPr>
        <w:t>,</w:t>
      </w:r>
      <w:r w:rsidRPr="00BD578E">
        <w:rPr>
          <w:color w:val="000000"/>
        </w:rPr>
        <w:t xml:space="preserve"> for which </w:t>
      </w:r>
      <w:proofErr w:type="spellStart"/>
      <w:r w:rsidRPr="00BD578E">
        <w:rPr>
          <w:color w:val="000000"/>
        </w:rPr>
        <w:t>antibacterials</w:t>
      </w:r>
      <w:proofErr w:type="spellEnd"/>
      <w:r w:rsidRPr="00BD578E">
        <w:rPr>
          <w:color w:val="000000"/>
        </w:rPr>
        <w:t xml:space="preserve"> are </w:t>
      </w:r>
      <w:r w:rsidRPr="00BD578E">
        <w:t>not indicated;</w:t>
      </w:r>
      <w:r w:rsidRPr="00BD578E">
        <w:rPr>
          <w:color w:val="000000"/>
        </w:rPr>
        <w:t xml:space="preserve"> and otitis media (15%)</w:t>
      </w:r>
      <w:r>
        <w:rPr>
          <w:color w:val="000000"/>
        </w:rPr>
        <w:t>,</w:t>
      </w:r>
      <w:r w:rsidRPr="00BD578E">
        <w:rPr>
          <w:color w:val="000000"/>
        </w:rPr>
        <w:t xml:space="preserve"> for which amoxicillin is indicated in specific circumstances (see Table 11</w:t>
      </w:r>
      <w:r>
        <w:rPr>
          <w:color w:val="000000"/>
        </w:rPr>
        <w:t>).</w:t>
      </w:r>
      <w:hyperlink w:anchor="_ENREF_8" w:tooltip="Antibiotic Expert Writing Group, 2014 #1" w:history="1">
        <w:r w:rsidRPr="00445DB4">
          <w:fldChar w:fldCharType="begin"/>
        </w:r>
        <w:r w:rsidRPr="00445DB4">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445DB4">
          <w:fldChar w:fldCharType="separate"/>
        </w:r>
        <w:r w:rsidRPr="00445DB4">
          <w:rPr>
            <w:noProof/>
            <w:vertAlign w:val="superscript"/>
          </w:rPr>
          <w:t>8</w:t>
        </w:r>
        <w:r w:rsidRPr="00445DB4">
          <w:fldChar w:fldCharType="end"/>
        </w:r>
      </w:hyperlink>
      <w:r w:rsidRPr="00BD578E">
        <w:rPr>
          <w:color w:val="000000"/>
        </w:rPr>
        <w:t xml:space="preserve"> About one in four amoxicillin prescriptions had one or more repeats and the proportion of repeat prescriptions varied for</w:t>
      </w:r>
      <w:r>
        <w:t xml:space="preserve"> upper respiratory tract infections</w:t>
      </w:r>
      <w:r w:rsidRPr="00BD578E">
        <w:t xml:space="preserve"> (see Table</w:t>
      </w:r>
      <w:r>
        <w:t> </w:t>
      </w:r>
      <w:r w:rsidRPr="00BD578E">
        <w:t>11).</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r w:rsidRPr="00BD578E">
        <w:t xml:space="preserve"> Amoxicillin prescribing did not comply with guidelines for sinusitis, acute otitis media and pneumonia (see Table 12).</w:t>
      </w:r>
      <w:hyperlink w:anchor="_ENREF_1" w:tooltip="Australian Commission on Safety and Quality in Health Care, 2016 #8" w:history="1">
        <w:r w:rsidRPr="00BD578E">
          <w:fldChar w:fldCharType="begin"/>
        </w:r>
        <w:r w:rsidRPr="00BD578E">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BD578E">
          <w:fldChar w:fldCharType="separate"/>
        </w:r>
        <w:r w:rsidRPr="00BD578E">
          <w:rPr>
            <w:noProof/>
            <w:vertAlign w:val="superscript"/>
          </w:rPr>
          <w:t>1</w:t>
        </w:r>
        <w:r w:rsidRPr="00BD578E">
          <w:fldChar w:fldCharType="end"/>
        </w:r>
      </w:hyperlink>
      <w:r w:rsidRPr="00BD578E">
        <w:t xml:space="preserve"> For example, only about one in three antibacterial prescriptions for sinusitis, about two in three for acute otitis media/</w:t>
      </w:r>
      <w:proofErr w:type="spellStart"/>
      <w:r w:rsidRPr="00BD578E">
        <w:t>myringitis</w:t>
      </w:r>
      <w:proofErr w:type="spellEnd"/>
      <w:r w:rsidRPr="00BD578E">
        <w:t xml:space="preserve"> and about one in four for pneumonia were for amoxicillin as recommended by guidelines</w:t>
      </w:r>
      <w:r>
        <w:t>;</w:t>
      </w:r>
      <w:r w:rsidRPr="00BD578E">
        <w:t xml:space="preserve"> all of these results were below the acceptable range (see Table 12).</w:t>
      </w:r>
    </w:p>
    <w:p w:rsidR="00C5112F" w:rsidRPr="00E57029" w:rsidRDefault="00C5112F" w:rsidP="00595543">
      <w:pPr>
        <w:keepNext/>
        <w:keepLines/>
        <w:tabs>
          <w:tab w:val="left" w:pos="1134"/>
        </w:tabs>
        <w:spacing w:before="240" w:after="120"/>
        <w:ind w:left="1134" w:hanging="1134"/>
        <w:rPr>
          <w:b/>
        </w:rPr>
      </w:pPr>
      <w:r w:rsidRPr="00E57029">
        <w:rPr>
          <w:b/>
        </w:rPr>
        <w:lastRenderedPageBreak/>
        <w:t>Table 11:</w:t>
      </w:r>
      <w:r w:rsidRPr="00E57029">
        <w:rPr>
          <w:b/>
        </w:rPr>
        <w:tab/>
        <w:t>Patterns of use, indications for prescribing, repeat prescribing, and differences between PBS/RPBS and private prescriptions for amoxicillin, 2014</w:t>
      </w:r>
      <w:hyperlink w:anchor="_ENREF_1" w:tooltip="Australian Commission on Safety and Quality in Health Care, 2016 #8" w:history="1">
        <w:r w:rsidRPr="00E57029">
          <w:rPr>
            <w:b/>
          </w:rPr>
          <w:fldChar w:fldCharType="begin"/>
        </w:r>
        <w:r w:rsidRPr="00E57029">
          <w:rPr>
            <w:b/>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57029">
          <w:rPr>
            <w:b/>
          </w:rPr>
          <w:fldChar w:fldCharType="separate"/>
        </w:r>
        <w:r w:rsidRPr="00E57029">
          <w:rPr>
            <w:b/>
            <w:noProof/>
            <w:vertAlign w:val="superscript"/>
          </w:rPr>
          <w:t>1</w:t>
        </w:r>
        <w:r w:rsidRPr="00E57029">
          <w:rPr>
            <w:b/>
          </w:rPr>
          <w:fldChar w:fldCharType="end"/>
        </w:r>
      </w:hyperlink>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1701"/>
        <w:gridCol w:w="1701"/>
        <w:gridCol w:w="1418"/>
      </w:tblGrid>
      <w:tr w:rsidR="00C5112F" w:rsidRPr="00B43B27" w:rsidTr="00C5112F">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 xml:space="preserve">Antibacterial (PBS/RPBS benefit)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Patients issued a prescription (%)</w:t>
            </w:r>
            <w:r w:rsidRPr="00B43B27">
              <w:rPr>
                <w:rFonts w:ascii="Arial Narrow" w:eastAsia="Calibri" w:hAnsi="Arial Narrow"/>
                <w:b/>
                <w:bCs/>
                <w:sz w:val="18"/>
                <w:szCs w:val="18"/>
                <w:vertAlign w:val="superscript"/>
              </w:rPr>
              <w:t>a</w:t>
            </w:r>
          </w:p>
          <w:p w:rsidR="00C5112F" w:rsidRPr="00B43B27" w:rsidRDefault="00C5112F" w:rsidP="00C5112F">
            <w:pPr>
              <w:keepNext/>
              <w:spacing w:before="20" w:after="20"/>
              <w:rPr>
                <w:rFonts w:ascii="Arial Narrow" w:eastAsia="Calibri" w:hAnsi="Arial Narrow"/>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Most common indications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Patient cohort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Repeats prescribed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112F" w:rsidRPr="00B43B27" w:rsidRDefault="00C5112F" w:rsidP="00C5112F">
            <w:pPr>
              <w:keepNext/>
              <w:spacing w:before="20" w:after="20"/>
              <w:rPr>
                <w:rFonts w:ascii="Arial Narrow" w:eastAsia="Calibri" w:hAnsi="Arial Narrow"/>
                <w:b/>
                <w:bCs/>
                <w:sz w:val="18"/>
                <w:szCs w:val="18"/>
              </w:rPr>
            </w:pPr>
            <w:r w:rsidRPr="00B43B27">
              <w:rPr>
                <w:rFonts w:ascii="Arial Narrow" w:eastAsia="Calibri" w:hAnsi="Arial Narrow"/>
                <w:b/>
                <w:bCs/>
                <w:sz w:val="18"/>
                <w:szCs w:val="18"/>
              </w:rPr>
              <w:t>Differences between PBS/RPBS and private prescriptions</w:t>
            </w:r>
          </w:p>
        </w:tc>
      </w:tr>
      <w:tr w:rsidR="00C5112F" w:rsidRPr="00300367" w:rsidTr="00C5112F">
        <w:tc>
          <w:tcPr>
            <w:tcW w:w="1276"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Amoxicillin (general benefit)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112F" w:rsidRPr="00300367" w:rsidRDefault="00C5112F" w:rsidP="00C5112F">
            <w:pPr>
              <w:keepNext/>
              <w:spacing w:before="20" w:after="20"/>
              <w:rPr>
                <w:rFonts w:eastAsia="Calibri"/>
                <w:color w:val="000000"/>
                <w:sz w:val="20"/>
              </w:rPr>
            </w:pPr>
            <w:r w:rsidRPr="00300367">
              <w:rPr>
                <w:rFonts w:eastAsia="Calibri"/>
                <w:color w:val="000000"/>
                <w:sz w:val="20"/>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12F" w:rsidRPr="00300367" w:rsidRDefault="00C5112F" w:rsidP="00C5112F">
            <w:pPr>
              <w:keepNext/>
              <w:spacing w:before="20" w:after="20"/>
              <w:rPr>
                <w:rFonts w:eastAsia="Calibri"/>
                <w:color w:val="000000"/>
                <w:sz w:val="20"/>
              </w:rPr>
            </w:pPr>
            <w:r w:rsidRPr="00300367">
              <w:rPr>
                <w:rFonts w:eastAsia="Calibri"/>
                <w:color w:val="000000"/>
                <w:sz w:val="20"/>
              </w:rPr>
              <w:t>URTIs (30%)</w:t>
            </w:r>
          </w:p>
          <w:p w:rsidR="00C5112F" w:rsidRPr="00300367" w:rsidRDefault="00C5112F" w:rsidP="00C5112F">
            <w:pPr>
              <w:keepNext/>
              <w:spacing w:before="20" w:after="20"/>
              <w:rPr>
                <w:rFonts w:eastAsia="Calibri"/>
                <w:color w:val="000000"/>
                <w:sz w:val="20"/>
              </w:rPr>
            </w:pPr>
            <w:r w:rsidRPr="00300367">
              <w:rPr>
                <w:rFonts w:eastAsia="Calibri"/>
                <w:color w:val="000000"/>
                <w:sz w:val="20"/>
              </w:rPr>
              <w:t>Otitis media (15%)</w:t>
            </w:r>
          </w:p>
          <w:p w:rsidR="00C5112F" w:rsidRPr="00300367" w:rsidRDefault="00C5112F" w:rsidP="00C5112F">
            <w:pPr>
              <w:keepNext/>
              <w:spacing w:before="20" w:after="20"/>
              <w:rPr>
                <w:rFonts w:eastAsia="Calibri"/>
                <w:color w:val="000000"/>
                <w:sz w:val="20"/>
              </w:rPr>
            </w:pPr>
            <w:r w:rsidRPr="00300367">
              <w:rPr>
                <w:rFonts w:eastAsia="Calibri"/>
                <w:color w:val="000000"/>
                <w:sz w:val="20"/>
              </w:rPr>
              <w:t>Non-respiratory infections (minority of cases)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112F" w:rsidRPr="00300367" w:rsidRDefault="00C5112F" w:rsidP="00C5112F">
            <w:pPr>
              <w:keepNext/>
              <w:spacing w:before="20" w:after="20"/>
              <w:rPr>
                <w:rFonts w:eastAsia="Calibri"/>
                <w:color w:val="000000"/>
                <w:sz w:val="20"/>
              </w:rPr>
            </w:pPr>
            <w:r w:rsidRPr="00300367">
              <w:rPr>
                <w:rFonts w:eastAsia="Calibri"/>
                <w:color w:val="000000"/>
                <w:sz w:val="20"/>
              </w:rPr>
              <w:t>Highest use in children, and patients with COPD or asthma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112F" w:rsidRPr="00300367" w:rsidRDefault="00C5112F" w:rsidP="00C5112F">
            <w:pPr>
              <w:keepNext/>
              <w:spacing w:before="20" w:after="20"/>
              <w:rPr>
                <w:rFonts w:eastAsia="Calibri"/>
                <w:color w:val="000000"/>
                <w:sz w:val="20"/>
              </w:rPr>
            </w:pPr>
            <w:r w:rsidRPr="00300367">
              <w:rPr>
                <w:rFonts w:eastAsia="Calibri"/>
                <w:color w:val="000000"/>
                <w:sz w:val="20"/>
              </w:rPr>
              <w:t>27% of prescriptions ordered with one or more repeats</w:t>
            </w:r>
          </w:p>
          <w:p w:rsidR="00C5112F" w:rsidRPr="00300367" w:rsidRDefault="00C5112F" w:rsidP="00C5112F">
            <w:pPr>
              <w:keepNext/>
              <w:spacing w:before="20" w:after="20"/>
              <w:rPr>
                <w:rFonts w:eastAsia="Calibri"/>
                <w:color w:val="000000"/>
                <w:sz w:val="20"/>
              </w:rPr>
            </w:pPr>
            <w:r w:rsidRPr="00300367">
              <w:rPr>
                <w:rFonts w:eastAsia="Calibri"/>
                <w:color w:val="000000"/>
                <w:sz w:val="20"/>
              </w:rPr>
              <w:t>Moderate variation between practices in repeats for URTI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5112F" w:rsidRPr="00300367" w:rsidRDefault="00C5112F" w:rsidP="00C5112F">
            <w:pPr>
              <w:keepNext/>
              <w:spacing w:before="20" w:after="20"/>
              <w:rPr>
                <w:rFonts w:eastAsia="Calibri"/>
                <w:color w:val="000000"/>
                <w:sz w:val="20"/>
              </w:rPr>
            </w:pPr>
            <w:r w:rsidRPr="00300367">
              <w:rPr>
                <w:rFonts w:eastAsia="Calibri"/>
                <w:color w:val="000000"/>
                <w:sz w:val="20"/>
              </w:rPr>
              <w:t>Negligible private use</w:t>
            </w:r>
          </w:p>
        </w:tc>
      </w:tr>
    </w:tbl>
    <w:p w:rsidR="00C5112F" w:rsidRPr="00BD578E" w:rsidRDefault="00C5112F" w:rsidP="00595543">
      <w:pPr>
        <w:keepNext/>
        <w:spacing w:before="120" w:after="20"/>
        <w:rPr>
          <w:bCs/>
          <w:color w:val="000000"/>
          <w:sz w:val="18"/>
          <w:szCs w:val="18"/>
        </w:rPr>
      </w:pPr>
      <w:r w:rsidRPr="00BD578E">
        <w:rPr>
          <w:bCs/>
          <w:color w:val="000000"/>
          <w:sz w:val="18"/>
          <w:szCs w:val="18"/>
        </w:rPr>
        <w:t>COPD = chronic obstructive pulmonary disease; PBS/RPBS = Pharmaceutical Benefits Scheme/Repatriation Pharmaceutical Benefits Scheme; URTI = upper respiratory tract infection</w:t>
      </w:r>
    </w:p>
    <w:p w:rsidR="00C5112F" w:rsidRPr="00BD578E" w:rsidRDefault="00C5112F" w:rsidP="00C5112F">
      <w:pPr>
        <w:keepNext/>
        <w:spacing w:before="20" w:after="20"/>
        <w:rPr>
          <w:bCs/>
          <w:color w:val="000000"/>
          <w:sz w:val="18"/>
          <w:szCs w:val="18"/>
        </w:rPr>
      </w:pPr>
      <w:proofErr w:type="gramStart"/>
      <w:r w:rsidRPr="00BD578E">
        <w:rPr>
          <w:bCs/>
          <w:color w:val="000000"/>
          <w:sz w:val="18"/>
          <w:szCs w:val="18"/>
        </w:rPr>
        <w:t>a</w:t>
      </w:r>
      <w:proofErr w:type="gramEnd"/>
      <w:r>
        <w:rPr>
          <w:bCs/>
          <w:color w:val="000000"/>
          <w:sz w:val="18"/>
          <w:szCs w:val="18"/>
        </w:rPr>
        <w:t xml:space="preserve"> </w:t>
      </w:r>
      <w:r w:rsidRPr="00BD578E">
        <w:rPr>
          <w:bCs/>
          <w:color w:val="000000"/>
          <w:sz w:val="18"/>
          <w:szCs w:val="18"/>
        </w:rPr>
        <w:t>Percent</w:t>
      </w:r>
      <w:r>
        <w:rPr>
          <w:bCs/>
          <w:color w:val="000000"/>
          <w:sz w:val="18"/>
          <w:szCs w:val="18"/>
        </w:rPr>
        <w:t>age</w:t>
      </w:r>
      <w:r w:rsidRPr="00BD578E">
        <w:rPr>
          <w:bCs/>
          <w:color w:val="000000"/>
          <w:sz w:val="18"/>
          <w:szCs w:val="18"/>
        </w:rPr>
        <w:t xml:space="preserve"> of patients who visited a </w:t>
      </w:r>
      <w:r>
        <w:rPr>
          <w:bCs/>
          <w:color w:val="000000"/>
          <w:sz w:val="18"/>
          <w:szCs w:val="18"/>
        </w:rPr>
        <w:t>GP</w:t>
      </w:r>
      <w:r w:rsidRPr="00BD578E">
        <w:rPr>
          <w:bCs/>
          <w:color w:val="000000"/>
          <w:sz w:val="18"/>
          <w:szCs w:val="18"/>
        </w:rPr>
        <w:t xml:space="preserve"> at least once, or had one or more prescriptions in 2014 that were for the specified antimicrobial. </w:t>
      </w:r>
    </w:p>
    <w:p w:rsidR="00C5112F" w:rsidRPr="00BD578E" w:rsidRDefault="00C5112F" w:rsidP="00C5112F">
      <w:pPr>
        <w:keepNext/>
        <w:spacing w:before="20" w:after="20"/>
        <w:rPr>
          <w:bCs/>
          <w:color w:val="000000"/>
          <w:sz w:val="18"/>
          <w:szCs w:val="18"/>
        </w:rPr>
      </w:pPr>
      <w:r>
        <w:rPr>
          <w:bCs/>
          <w:color w:val="000000"/>
          <w:sz w:val="18"/>
          <w:szCs w:val="18"/>
        </w:rPr>
        <w:t>Source</w:t>
      </w:r>
      <w:r w:rsidRPr="00BD578E">
        <w:rPr>
          <w:bCs/>
          <w:color w:val="000000"/>
          <w:sz w:val="18"/>
          <w:szCs w:val="18"/>
        </w:rPr>
        <w:t xml:space="preserve">: NPS </w:t>
      </w:r>
      <w:proofErr w:type="spellStart"/>
      <w:r w:rsidRPr="00BD578E">
        <w:rPr>
          <w:bCs/>
          <w:color w:val="000000"/>
          <w:sz w:val="18"/>
          <w:szCs w:val="18"/>
        </w:rPr>
        <w:t>MedicineWise</w:t>
      </w:r>
      <w:proofErr w:type="spellEnd"/>
      <w:r w:rsidRPr="00BD578E">
        <w:rPr>
          <w:bCs/>
          <w:color w:val="000000"/>
          <w:sz w:val="18"/>
          <w:szCs w:val="18"/>
        </w:rPr>
        <w:t xml:space="preserve"> </w:t>
      </w:r>
      <w:proofErr w:type="spellStart"/>
      <w:r w:rsidRPr="00BD578E">
        <w:rPr>
          <w:bCs/>
          <w:color w:val="000000"/>
          <w:sz w:val="18"/>
          <w:szCs w:val="18"/>
        </w:rPr>
        <w:t>MedicineInsight</w:t>
      </w:r>
      <w:proofErr w:type="spellEnd"/>
    </w:p>
    <w:p w:rsidR="00C5112F" w:rsidRPr="00E57029" w:rsidRDefault="00C5112F" w:rsidP="00595543">
      <w:pPr>
        <w:tabs>
          <w:tab w:val="left" w:pos="1134"/>
        </w:tabs>
        <w:spacing w:before="240" w:after="120"/>
        <w:ind w:left="720" w:hanging="720"/>
        <w:rPr>
          <w:b/>
        </w:rPr>
      </w:pPr>
      <w:r w:rsidRPr="00E57029">
        <w:rPr>
          <w:b/>
        </w:rPr>
        <w:t>Table 12:</w:t>
      </w:r>
      <w:r w:rsidRPr="00E57029">
        <w:rPr>
          <w:b/>
        </w:rPr>
        <w:tab/>
        <w:t>Percentage of patients prescribed amoxicillin for select conditions, 2014</w:t>
      </w:r>
      <w:hyperlink w:anchor="_ENREF_1" w:tooltip="Australian Commission on Safety and Quality in Health Care, 2016 #8" w:history="1">
        <w:r w:rsidRPr="00E57029">
          <w:rPr>
            <w:b/>
          </w:rPr>
          <w:fldChar w:fldCharType="begin"/>
        </w:r>
        <w:r w:rsidRPr="00E57029">
          <w:rPr>
            <w:b/>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57029">
          <w:rPr>
            <w:b/>
          </w:rPr>
          <w:fldChar w:fldCharType="separate"/>
        </w:r>
        <w:r w:rsidRPr="00E57029">
          <w:rPr>
            <w:b/>
            <w:noProof/>
            <w:vertAlign w:val="superscript"/>
          </w:rPr>
          <w:t>1</w:t>
        </w:r>
        <w:r w:rsidRPr="00E57029">
          <w:rPr>
            <w:b/>
          </w:rPr>
          <w:fldChar w:fldCharType="end"/>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85"/>
        <w:gridCol w:w="2284"/>
        <w:gridCol w:w="1134"/>
        <w:gridCol w:w="1418"/>
        <w:gridCol w:w="850"/>
        <w:gridCol w:w="1418"/>
      </w:tblGrid>
      <w:tr w:rsidR="00C5112F" w:rsidRPr="00CA1640" w:rsidTr="00C5112F">
        <w:tc>
          <w:tcPr>
            <w:tcW w:w="1685" w:type="dxa"/>
            <w:shd w:val="clear" w:color="auto" w:fill="auto"/>
          </w:tcPr>
          <w:p w:rsidR="00C5112F" w:rsidRPr="00CA1640" w:rsidRDefault="00C5112F" w:rsidP="00C5112F">
            <w:pPr>
              <w:keepLines/>
              <w:spacing w:line="280" w:lineRule="atLeast"/>
              <w:jc w:val="center"/>
              <w:rPr>
                <w:b/>
                <w:sz w:val="20"/>
              </w:rPr>
            </w:pPr>
            <w:r w:rsidRPr="00CA1640">
              <w:rPr>
                <w:b/>
                <w:sz w:val="20"/>
              </w:rPr>
              <w:t>Condition</w:t>
            </w:r>
          </w:p>
        </w:tc>
        <w:tc>
          <w:tcPr>
            <w:tcW w:w="2284" w:type="dxa"/>
            <w:shd w:val="clear" w:color="auto" w:fill="auto"/>
          </w:tcPr>
          <w:p w:rsidR="00C5112F" w:rsidRPr="00CA1640" w:rsidRDefault="00C5112F" w:rsidP="00C5112F">
            <w:pPr>
              <w:keepLines/>
              <w:spacing w:line="280" w:lineRule="atLeast"/>
              <w:jc w:val="center"/>
              <w:rPr>
                <w:b/>
                <w:sz w:val="20"/>
              </w:rPr>
            </w:pPr>
            <w:r w:rsidRPr="00CA1640">
              <w:rPr>
                <w:b/>
                <w:sz w:val="20"/>
              </w:rPr>
              <w:t>Patient</w:t>
            </w:r>
          </w:p>
        </w:tc>
        <w:tc>
          <w:tcPr>
            <w:tcW w:w="1134" w:type="dxa"/>
            <w:shd w:val="clear" w:color="auto" w:fill="auto"/>
          </w:tcPr>
          <w:p w:rsidR="00C5112F" w:rsidRPr="00CA1640" w:rsidRDefault="00C5112F" w:rsidP="00C5112F">
            <w:pPr>
              <w:keepLines/>
              <w:spacing w:line="280" w:lineRule="atLeast"/>
              <w:jc w:val="center"/>
              <w:rPr>
                <w:b/>
                <w:sz w:val="20"/>
              </w:rPr>
            </w:pPr>
            <w:r w:rsidRPr="00CA1640">
              <w:rPr>
                <w:b/>
                <w:sz w:val="20"/>
              </w:rPr>
              <w:t>Number</w:t>
            </w:r>
          </w:p>
        </w:tc>
        <w:tc>
          <w:tcPr>
            <w:tcW w:w="1418" w:type="dxa"/>
            <w:shd w:val="clear" w:color="auto" w:fill="auto"/>
          </w:tcPr>
          <w:p w:rsidR="00C5112F" w:rsidRPr="00CA1640" w:rsidRDefault="00C5112F" w:rsidP="00C5112F">
            <w:pPr>
              <w:keepLines/>
              <w:spacing w:line="280" w:lineRule="atLeast"/>
              <w:jc w:val="center"/>
              <w:rPr>
                <w:b/>
                <w:sz w:val="20"/>
              </w:rPr>
            </w:pPr>
            <w:r w:rsidRPr="00CA1640">
              <w:rPr>
                <w:b/>
                <w:sz w:val="20"/>
              </w:rPr>
              <w:t>Percentage</w:t>
            </w:r>
          </w:p>
        </w:tc>
        <w:tc>
          <w:tcPr>
            <w:tcW w:w="850" w:type="dxa"/>
            <w:shd w:val="clear" w:color="auto" w:fill="auto"/>
          </w:tcPr>
          <w:p w:rsidR="00C5112F" w:rsidRPr="00CA1640" w:rsidRDefault="00C5112F" w:rsidP="00C5112F">
            <w:pPr>
              <w:keepLines/>
              <w:spacing w:line="280" w:lineRule="atLeast"/>
              <w:jc w:val="center"/>
              <w:rPr>
                <w:b/>
                <w:sz w:val="20"/>
              </w:rPr>
            </w:pPr>
            <w:r w:rsidRPr="00CA1640">
              <w:rPr>
                <w:b/>
                <w:sz w:val="20"/>
              </w:rPr>
              <w:t>95% CI</w:t>
            </w:r>
          </w:p>
        </w:tc>
        <w:tc>
          <w:tcPr>
            <w:tcW w:w="1418" w:type="dxa"/>
            <w:shd w:val="clear" w:color="auto" w:fill="auto"/>
          </w:tcPr>
          <w:p w:rsidR="00C5112F" w:rsidRPr="00CA1640" w:rsidRDefault="00C5112F" w:rsidP="00C5112F">
            <w:pPr>
              <w:keepLines/>
              <w:spacing w:line="280" w:lineRule="atLeast"/>
              <w:jc w:val="center"/>
              <w:rPr>
                <w:b/>
                <w:sz w:val="20"/>
              </w:rPr>
            </w:pPr>
            <w:r w:rsidRPr="00CA1640">
              <w:rPr>
                <w:b/>
                <w:sz w:val="20"/>
              </w:rPr>
              <w:t>Acceptable range (%)</w:t>
            </w:r>
          </w:p>
        </w:tc>
      </w:tr>
      <w:tr w:rsidR="00C5112F" w:rsidRPr="00CA1640" w:rsidTr="00C5112F">
        <w:tc>
          <w:tcPr>
            <w:tcW w:w="1685" w:type="dxa"/>
            <w:vMerge w:val="restart"/>
            <w:shd w:val="clear" w:color="auto" w:fill="auto"/>
          </w:tcPr>
          <w:p w:rsidR="00C5112F" w:rsidRPr="00CA1640" w:rsidRDefault="00C5112F" w:rsidP="00C5112F">
            <w:pPr>
              <w:keepLines/>
              <w:spacing w:line="280" w:lineRule="atLeast"/>
              <w:rPr>
                <w:sz w:val="20"/>
              </w:rPr>
            </w:pPr>
            <w:r w:rsidRPr="00CA1640">
              <w:rPr>
                <w:sz w:val="20"/>
              </w:rPr>
              <w:t>Sinusitis (chronic or acute)</w:t>
            </w:r>
          </w:p>
        </w:tc>
        <w:tc>
          <w:tcPr>
            <w:tcW w:w="2284" w:type="dxa"/>
            <w:shd w:val="clear" w:color="auto" w:fill="auto"/>
          </w:tcPr>
          <w:p w:rsidR="00C5112F" w:rsidRPr="00CA1640" w:rsidRDefault="00C5112F" w:rsidP="00C5112F">
            <w:pPr>
              <w:keepLines/>
              <w:spacing w:line="280" w:lineRule="atLeast"/>
              <w:rPr>
                <w:sz w:val="20"/>
              </w:rPr>
            </w:pPr>
            <w:r w:rsidRPr="00CA1640">
              <w:rPr>
                <w:sz w:val="20"/>
              </w:rPr>
              <w:t xml:space="preserve">Older than 18 years prescribed </w:t>
            </w:r>
            <w:proofErr w:type="spellStart"/>
            <w:r w:rsidRPr="00CA1640">
              <w:rPr>
                <w:sz w:val="20"/>
              </w:rPr>
              <w:t>antibacterials</w:t>
            </w:r>
            <w:proofErr w:type="spellEnd"/>
          </w:p>
        </w:tc>
        <w:tc>
          <w:tcPr>
            <w:tcW w:w="1134" w:type="dxa"/>
            <w:shd w:val="clear" w:color="auto" w:fill="auto"/>
          </w:tcPr>
          <w:p w:rsidR="00C5112F" w:rsidRPr="00CA1640" w:rsidRDefault="00C5112F" w:rsidP="00C5112F">
            <w:pPr>
              <w:keepLines/>
              <w:spacing w:line="280" w:lineRule="atLeast"/>
              <w:jc w:val="right"/>
              <w:rPr>
                <w:sz w:val="20"/>
              </w:rPr>
            </w:pPr>
            <w:r w:rsidRPr="00CA1640">
              <w:rPr>
                <w:sz w:val="20"/>
              </w:rPr>
              <w:t>17 300</w:t>
            </w:r>
          </w:p>
        </w:tc>
        <w:tc>
          <w:tcPr>
            <w:tcW w:w="1418" w:type="dxa"/>
            <w:shd w:val="clear" w:color="auto" w:fill="auto"/>
          </w:tcPr>
          <w:p w:rsidR="00C5112F" w:rsidRPr="00CA1640" w:rsidRDefault="00C5112F" w:rsidP="00C5112F">
            <w:pPr>
              <w:keepLines/>
              <w:spacing w:line="280" w:lineRule="atLeast"/>
              <w:jc w:val="right"/>
              <w:rPr>
                <w:sz w:val="20"/>
              </w:rPr>
            </w:pPr>
            <w:r w:rsidRPr="00CA1640">
              <w:rPr>
                <w:sz w:val="20"/>
              </w:rPr>
              <w:t>86</w:t>
            </w:r>
          </w:p>
        </w:tc>
        <w:tc>
          <w:tcPr>
            <w:tcW w:w="850" w:type="dxa"/>
            <w:shd w:val="clear" w:color="auto" w:fill="auto"/>
          </w:tcPr>
          <w:p w:rsidR="00C5112F" w:rsidRPr="00CA1640" w:rsidRDefault="00C5112F" w:rsidP="00C5112F">
            <w:pPr>
              <w:keepLines/>
              <w:spacing w:line="280" w:lineRule="atLeast"/>
              <w:rPr>
                <w:sz w:val="20"/>
              </w:rPr>
            </w:pPr>
            <w:r w:rsidRPr="00CA1640">
              <w:rPr>
                <w:sz w:val="20"/>
              </w:rPr>
              <w:t>84–87</w:t>
            </w:r>
          </w:p>
        </w:tc>
        <w:tc>
          <w:tcPr>
            <w:tcW w:w="1418" w:type="dxa"/>
            <w:shd w:val="clear" w:color="auto" w:fill="auto"/>
          </w:tcPr>
          <w:p w:rsidR="00C5112F" w:rsidRPr="00CA1640" w:rsidRDefault="00C5112F" w:rsidP="00C5112F">
            <w:pPr>
              <w:keepLines/>
              <w:spacing w:line="280" w:lineRule="atLeast"/>
              <w:rPr>
                <w:sz w:val="20"/>
              </w:rPr>
            </w:pPr>
            <w:r w:rsidRPr="00CA1640">
              <w:rPr>
                <w:sz w:val="20"/>
              </w:rPr>
              <w:t>0–20</w:t>
            </w:r>
          </w:p>
        </w:tc>
      </w:tr>
      <w:tr w:rsidR="00C5112F" w:rsidRPr="00CA1640" w:rsidTr="00C5112F">
        <w:tc>
          <w:tcPr>
            <w:tcW w:w="1685" w:type="dxa"/>
            <w:vMerge/>
            <w:shd w:val="clear" w:color="auto" w:fill="auto"/>
          </w:tcPr>
          <w:p w:rsidR="00C5112F" w:rsidRPr="00CA1640" w:rsidRDefault="00C5112F" w:rsidP="00C5112F">
            <w:pPr>
              <w:keepLines/>
              <w:spacing w:line="280" w:lineRule="atLeast"/>
              <w:rPr>
                <w:sz w:val="20"/>
              </w:rPr>
            </w:pPr>
          </w:p>
        </w:tc>
        <w:tc>
          <w:tcPr>
            <w:tcW w:w="2284" w:type="dxa"/>
            <w:shd w:val="clear" w:color="auto" w:fill="auto"/>
          </w:tcPr>
          <w:p w:rsidR="00C5112F" w:rsidRPr="00CA1640" w:rsidRDefault="00C5112F" w:rsidP="00C5112F">
            <w:pPr>
              <w:keepLines/>
              <w:spacing w:line="280" w:lineRule="atLeast"/>
              <w:rPr>
                <w:sz w:val="20"/>
              </w:rPr>
            </w:pPr>
            <w:r w:rsidRPr="00CA1640">
              <w:rPr>
                <w:sz w:val="20"/>
              </w:rPr>
              <w:t>And prescribed the TG-recommended amoxicillin</w:t>
            </w:r>
          </w:p>
        </w:tc>
        <w:tc>
          <w:tcPr>
            <w:tcW w:w="1134" w:type="dxa"/>
            <w:shd w:val="clear" w:color="auto" w:fill="auto"/>
          </w:tcPr>
          <w:p w:rsidR="00C5112F" w:rsidRPr="00CA1640" w:rsidRDefault="00C5112F" w:rsidP="00C5112F">
            <w:pPr>
              <w:keepLines/>
              <w:spacing w:line="280" w:lineRule="atLeast"/>
              <w:jc w:val="right"/>
              <w:rPr>
                <w:sz w:val="20"/>
              </w:rPr>
            </w:pPr>
            <w:r w:rsidRPr="00CA1640">
              <w:rPr>
                <w:sz w:val="20"/>
              </w:rPr>
              <w:t>5 607</w:t>
            </w:r>
          </w:p>
        </w:tc>
        <w:tc>
          <w:tcPr>
            <w:tcW w:w="1418" w:type="dxa"/>
            <w:shd w:val="clear" w:color="auto" w:fill="auto"/>
          </w:tcPr>
          <w:p w:rsidR="00C5112F" w:rsidRPr="00CA1640" w:rsidRDefault="00C5112F" w:rsidP="00C5112F">
            <w:pPr>
              <w:keepLines/>
              <w:spacing w:line="280" w:lineRule="atLeast"/>
              <w:jc w:val="right"/>
              <w:rPr>
                <w:sz w:val="20"/>
              </w:rPr>
            </w:pPr>
            <w:r w:rsidRPr="00CA1640">
              <w:rPr>
                <w:sz w:val="20"/>
              </w:rPr>
              <w:t>32</w:t>
            </w:r>
          </w:p>
        </w:tc>
        <w:tc>
          <w:tcPr>
            <w:tcW w:w="850" w:type="dxa"/>
            <w:shd w:val="clear" w:color="auto" w:fill="auto"/>
          </w:tcPr>
          <w:p w:rsidR="00C5112F" w:rsidRPr="00CA1640" w:rsidRDefault="00C5112F" w:rsidP="00C5112F">
            <w:pPr>
              <w:keepLines/>
              <w:spacing w:line="280" w:lineRule="atLeast"/>
              <w:rPr>
                <w:sz w:val="20"/>
              </w:rPr>
            </w:pPr>
            <w:r w:rsidRPr="00CA1640">
              <w:rPr>
                <w:sz w:val="20"/>
              </w:rPr>
              <w:t>29–36</w:t>
            </w:r>
          </w:p>
        </w:tc>
        <w:tc>
          <w:tcPr>
            <w:tcW w:w="1418" w:type="dxa"/>
            <w:shd w:val="clear" w:color="auto" w:fill="auto"/>
          </w:tcPr>
          <w:p w:rsidR="00C5112F" w:rsidRPr="00CA1640" w:rsidRDefault="00C5112F" w:rsidP="00C5112F">
            <w:pPr>
              <w:keepLines/>
              <w:spacing w:line="280" w:lineRule="atLeast"/>
              <w:rPr>
                <w:sz w:val="20"/>
              </w:rPr>
            </w:pPr>
            <w:r w:rsidRPr="00CA1640">
              <w:rPr>
                <w:sz w:val="20"/>
              </w:rPr>
              <w:t>80–100</w:t>
            </w:r>
          </w:p>
        </w:tc>
      </w:tr>
      <w:tr w:rsidR="00C5112F" w:rsidRPr="00CA1640" w:rsidTr="00C5112F">
        <w:tc>
          <w:tcPr>
            <w:tcW w:w="1685" w:type="dxa"/>
            <w:vMerge w:val="restart"/>
            <w:shd w:val="clear" w:color="auto" w:fill="auto"/>
          </w:tcPr>
          <w:p w:rsidR="00C5112F" w:rsidRPr="00CA1640" w:rsidRDefault="00C5112F" w:rsidP="00C5112F">
            <w:pPr>
              <w:keepLines/>
              <w:spacing w:line="280" w:lineRule="atLeast"/>
              <w:rPr>
                <w:sz w:val="20"/>
              </w:rPr>
            </w:pPr>
            <w:r w:rsidRPr="00CA1640">
              <w:rPr>
                <w:sz w:val="20"/>
              </w:rPr>
              <w:t>Acute otitis media/</w:t>
            </w:r>
            <w:proofErr w:type="spellStart"/>
            <w:r w:rsidRPr="00CA1640">
              <w:rPr>
                <w:sz w:val="20"/>
              </w:rPr>
              <w:t>myringitis</w:t>
            </w:r>
            <w:proofErr w:type="spellEnd"/>
          </w:p>
        </w:tc>
        <w:tc>
          <w:tcPr>
            <w:tcW w:w="2284" w:type="dxa"/>
            <w:shd w:val="clear" w:color="auto" w:fill="auto"/>
          </w:tcPr>
          <w:p w:rsidR="00C5112F" w:rsidRPr="00CA1640" w:rsidRDefault="00C5112F" w:rsidP="00C5112F">
            <w:pPr>
              <w:keepLines/>
              <w:spacing w:line="280" w:lineRule="atLeast"/>
              <w:rPr>
                <w:sz w:val="20"/>
              </w:rPr>
            </w:pPr>
            <w:r w:rsidRPr="00CA1640">
              <w:rPr>
                <w:sz w:val="20"/>
              </w:rPr>
              <w:t xml:space="preserve">Older than 2 years prescribed </w:t>
            </w:r>
            <w:proofErr w:type="spellStart"/>
            <w:r w:rsidRPr="00CA1640">
              <w:rPr>
                <w:sz w:val="20"/>
              </w:rPr>
              <w:t>antibacterials</w:t>
            </w:r>
            <w:proofErr w:type="spellEnd"/>
          </w:p>
        </w:tc>
        <w:tc>
          <w:tcPr>
            <w:tcW w:w="1134" w:type="dxa"/>
            <w:shd w:val="clear" w:color="auto" w:fill="auto"/>
          </w:tcPr>
          <w:p w:rsidR="00C5112F" w:rsidRPr="00CA1640" w:rsidRDefault="00C5112F" w:rsidP="00C5112F">
            <w:pPr>
              <w:keepLines/>
              <w:spacing w:line="280" w:lineRule="atLeast"/>
              <w:jc w:val="right"/>
              <w:rPr>
                <w:sz w:val="20"/>
              </w:rPr>
            </w:pPr>
            <w:r w:rsidRPr="00CA1640">
              <w:rPr>
                <w:sz w:val="20"/>
              </w:rPr>
              <w:t>11 387</w:t>
            </w:r>
          </w:p>
        </w:tc>
        <w:tc>
          <w:tcPr>
            <w:tcW w:w="1418" w:type="dxa"/>
            <w:shd w:val="clear" w:color="auto" w:fill="auto"/>
          </w:tcPr>
          <w:p w:rsidR="00C5112F" w:rsidRPr="00CA1640" w:rsidRDefault="00C5112F" w:rsidP="00C5112F">
            <w:pPr>
              <w:keepLines/>
              <w:spacing w:line="280" w:lineRule="atLeast"/>
              <w:jc w:val="right"/>
              <w:rPr>
                <w:sz w:val="20"/>
              </w:rPr>
            </w:pPr>
            <w:r w:rsidRPr="00CA1640">
              <w:rPr>
                <w:sz w:val="20"/>
              </w:rPr>
              <w:t>91</w:t>
            </w:r>
          </w:p>
        </w:tc>
        <w:tc>
          <w:tcPr>
            <w:tcW w:w="850" w:type="dxa"/>
            <w:shd w:val="clear" w:color="auto" w:fill="auto"/>
          </w:tcPr>
          <w:p w:rsidR="00C5112F" w:rsidRPr="00CA1640" w:rsidRDefault="00C5112F" w:rsidP="00C5112F">
            <w:pPr>
              <w:keepLines/>
              <w:spacing w:line="280" w:lineRule="atLeast"/>
              <w:rPr>
                <w:sz w:val="20"/>
              </w:rPr>
            </w:pPr>
            <w:r w:rsidRPr="00CA1640">
              <w:rPr>
                <w:sz w:val="20"/>
              </w:rPr>
              <w:t>90–92</w:t>
            </w:r>
          </w:p>
        </w:tc>
        <w:tc>
          <w:tcPr>
            <w:tcW w:w="1418" w:type="dxa"/>
            <w:shd w:val="clear" w:color="auto" w:fill="auto"/>
          </w:tcPr>
          <w:p w:rsidR="00C5112F" w:rsidRPr="00CA1640" w:rsidRDefault="00C5112F" w:rsidP="00C5112F">
            <w:pPr>
              <w:keepLines/>
              <w:spacing w:line="280" w:lineRule="atLeast"/>
              <w:rPr>
                <w:sz w:val="20"/>
              </w:rPr>
            </w:pPr>
            <w:r w:rsidRPr="00CA1640">
              <w:rPr>
                <w:sz w:val="20"/>
              </w:rPr>
              <w:t>0–20</w:t>
            </w:r>
          </w:p>
        </w:tc>
      </w:tr>
      <w:tr w:rsidR="00C5112F" w:rsidRPr="00CA1640" w:rsidTr="00C5112F">
        <w:tc>
          <w:tcPr>
            <w:tcW w:w="1685" w:type="dxa"/>
            <w:vMerge/>
            <w:shd w:val="clear" w:color="auto" w:fill="auto"/>
          </w:tcPr>
          <w:p w:rsidR="00C5112F" w:rsidRPr="00CA1640" w:rsidRDefault="00C5112F" w:rsidP="00C5112F">
            <w:pPr>
              <w:keepLines/>
              <w:spacing w:line="280" w:lineRule="atLeast"/>
              <w:rPr>
                <w:sz w:val="20"/>
              </w:rPr>
            </w:pPr>
          </w:p>
        </w:tc>
        <w:tc>
          <w:tcPr>
            <w:tcW w:w="2284" w:type="dxa"/>
            <w:shd w:val="clear" w:color="auto" w:fill="auto"/>
          </w:tcPr>
          <w:p w:rsidR="00C5112F" w:rsidRPr="00CA1640" w:rsidRDefault="00C5112F" w:rsidP="00C5112F">
            <w:pPr>
              <w:keepLines/>
              <w:spacing w:line="280" w:lineRule="atLeast"/>
              <w:rPr>
                <w:sz w:val="20"/>
              </w:rPr>
            </w:pPr>
            <w:r w:rsidRPr="00CA1640">
              <w:rPr>
                <w:sz w:val="20"/>
              </w:rPr>
              <w:t>And prescribed the TG-recommended amoxicillin</w:t>
            </w:r>
          </w:p>
        </w:tc>
        <w:tc>
          <w:tcPr>
            <w:tcW w:w="1134" w:type="dxa"/>
            <w:shd w:val="clear" w:color="auto" w:fill="auto"/>
          </w:tcPr>
          <w:p w:rsidR="00C5112F" w:rsidRPr="00CA1640" w:rsidRDefault="00C5112F" w:rsidP="00C5112F">
            <w:pPr>
              <w:keepLines/>
              <w:spacing w:line="280" w:lineRule="atLeast"/>
              <w:jc w:val="right"/>
              <w:rPr>
                <w:sz w:val="20"/>
              </w:rPr>
            </w:pPr>
            <w:r w:rsidRPr="00CA1640">
              <w:rPr>
                <w:sz w:val="20"/>
              </w:rPr>
              <w:t>7 154</w:t>
            </w:r>
          </w:p>
        </w:tc>
        <w:tc>
          <w:tcPr>
            <w:tcW w:w="1418" w:type="dxa"/>
            <w:shd w:val="clear" w:color="auto" w:fill="auto"/>
          </w:tcPr>
          <w:p w:rsidR="00C5112F" w:rsidRPr="00CA1640" w:rsidRDefault="00C5112F" w:rsidP="00C5112F">
            <w:pPr>
              <w:keepLines/>
              <w:spacing w:line="280" w:lineRule="atLeast"/>
              <w:jc w:val="right"/>
              <w:rPr>
                <w:b/>
                <w:sz w:val="20"/>
              </w:rPr>
            </w:pPr>
            <w:r w:rsidRPr="00CA1640">
              <w:rPr>
                <w:b/>
                <w:sz w:val="20"/>
              </w:rPr>
              <w:t>63</w:t>
            </w:r>
          </w:p>
        </w:tc>
        <w:tc>
          <w:tcPr>
            <w:tcW w:w="850" w:type="dxa"/>
            <w:shd w:val="clear" w:color="auto" w:fill="auto"/>
          </w:tcPr>
          <w:p w:rsidR="00C5112F" w:rsidRPr="00CA1640" w:rsidRDefault="00C5112F" w:rsidP="00C5112F">
            <w:pPr>
              <w:keepLines/>
              <w:spacing w:line="280" w:lineRule="atLeast"/>
              <w:rPr>
                <w:sz w:val="20"/>
              </w:rPr>
            </w:pPr>
            <w:r w:rsidRPr="00CA1640">
              <w:rPr>
                <w:sz w:val="20"/>
              </w:rPr>
              <w:t>59–67</w:t>
            </w:r>
          </w:p>
        </w:tc>
        <w:tc>
          <w:tcPr>
            <w:tcW w:w="1418" w:type="dxa"/>
            <w:shd w:val="clear" w:color="auto" w:fill="auto"/>
          </w:tcPr>
          <w:p w:rsidR="00C5112F" w:rsidRPr="00CA1640" w:rsidRDefault="00C5112F" w:rsidP="00C5112F">
            <w:pPr>
              <w:keepLines/>
              <w:spacing w:line="280" w:lineRule="atLeast"/>
              <w:rPr>
                <w:sz w:val="20"/>
              </w:rPr>
            </w:pPr>
            <w:r w:rsidRPr="00CA1640">
              <w:rPr>
                <w:sz w:val="20"/>
              </w:rPr>
              <w:t>80–100</w:t>
            </w:r>
          </w:p>
        </w:tc>
      </w:tr>
      <w:tr w:rsidR="00C5112F" w:rsidRPr="00CA1640" w:rsidTr="00C5112F">
        <w:tc>
          <w:tcPr>
            <w:tcW w:w="1685" w:type="dxa"/>
            <w:vMerge w:val="restart"/>
            <w:shd w:val="clear" w:color="auto" w:fill="auto"/>
          </w:tcPr>
          <w:p w:rsidR="00C5112F" w:rsidRPr="00CA1640" w:rsidRDefault="00C5112F" w:rsidP="00C5112F">
            <w:pPr>
              <w:keepLines/>
              <w:spacing w:line="280" w:lineRule="atLeast"/>
              <w:rPr>
                <w:sz w:val="20"/>
              </w:rPr>
            </w:pPr>
            <w:r w:rsidRPr="00CA1640">
              <w:rPr>
                <w:sz w:val="20"/>
              </w:rPr>
              <w:t>Pneumonia</w:t>
            </w:r>
          </w:p>
        </w:tc>
        <w:tc>
          <w:tcPr>
            <w:tcW w:w="2284" w:type="dxa"/>
            <w:shd w:val="clear" w:color="auto" w:fill="auto"/>
          </w:tcPr>
          <w:p w:rsidR="00C5112F" w:rsidRPr="00CA1640" w:rsidRDefault="00C5112F" w:rsidP="00C5112F">
            <w:pPr>
              <w:keepLines/>
              <w:spacing w:line="280" w:lineRule="atLeast"/>
              <w:rPr>
                <w:sz w:val="20"/>
              </w:rPr>
            </w:pPr>
            <w:r w:rsidRPr="00CA1640">
              <w:rPr>
                <w:sz w:val="20"/>
              </w:rPr>
              <w:t xml:space="preserve">Aged 18–65 years prescribed </w:t>
            </w:r>
            <w:proofErr w:type="spellStart"/>
            <w:r w:rsidRPr="00CA1640">
              <w:rPr>
                <w:sz w:val="20"/>
              </w:rPr>
              <w:t>antibacterials</w:t>
            </w:r>
            <w:proofErr w:type="spellEnd"/>
          </w:p>
        </w:tc>
        <w:tc>
          <w:tcPr>
            <w:tcW w:w="1134" w:type="dxa"/>
            <w:shd w:val="clear" w:color="auto" w:fill="auto"/>
          </w:tcPr>
          <w:p w:rsidR="00C5112F" w:rsidRPr="00CA1640" w:rsidRDefault="00C5112F" w:rsidP="00C5112F">
            <w:pPr>
              <w:keepLines/>
              <w:spacing w:line="280" w:lineRule="atLeast"/>
              <w:jc w:val="right"/>
              <w:rPr>
                <w:sz w:val="20"/>
              </w:rPr>
            </w:pPr>
            <w:r w:rsidRPr="00CA1640">
              <w:rPr>
                <w:sz w:val="20"/>
              </w:rPr>
              <w:t>607</w:t>
            </w:r>
          </w:p>
        </w:tc>
        <w:tc>
          <w:tcPr>
            <w:tcW w:w="1418" w:type="dxa"/>
            <w:shd w:val="clear" w:color="auto" w:fill="auto"/>
          </w:tcPr>
          <w:p w:rsidR="00C5112F" w:rsidRPr="00CA1640" w:rsidRDefault="00C5112F" w:rsidP="00C5112F">
            <w:pPr>
              <w:keepLines/>
              <w:spacing w:line="280" w:lineRule="atLeast"/>
              <w:jc w:val="right"/>
              <w:rPr>
                <w:sz w:val="20"/>
              </w:rPr>
            </w:pPr>
            <w:r w:rsidRPr="00CA1640">
              <w:rPr>
                <w:sz w:val="20"/>
              </w:rPr>
              <w:t>68</w:t>
            </w:r>
          </w:p>
        </w:tc>
        <w:tc>
          <w:tcPr>
            <w:tcW w:w="850" w:type="dxa"/>
            <w:shd w:val="clear" w:color="auto" w:fill="auto"/>
          </w:tcPr>
          <w:p w:rsidR="00C5112F" w:rsidRPr="00CA1640" w:rsidRDefault="00C5112F" w:rsidP="00C5112F">
            <w:pPr>
              <w:keepLines/>
              <w:spacing w:line="280" w:lineRule="atLeast"/>
              <w:rPr>
                <w:sz w:val="20"/>
              </w:rPr>
            </w:pPr>
            <w:r w:rsidRPr="00CA1640">
              <w:rPr>
                <w:sz w:val="20"/>
              </w:rPr>
              <w:t>64–71</w:t>
            </w:r>
          </w:p>
        </w:tc>
        <w:tc>
          <w:tcPr>
            <w:tcW w:w="1418" w:type="dxa"/>
            <w:shd w:val="clear" w:color="auto" w:fill="auto"/>
          </w:tcPr>
          <w:p w:rsidR="00C5112F" w:rsidRPr="00CA1640" w:rsidRDefault="00C5112F" w:rsidP="00C5112F">
            <w:pPr>
              <w:keepLines/>
              <w:spacing w:line="280" w:lineRule="atLeast"/>
              <w:rPr>
                <w:sz w:val="20"/>
              </w:rPr>
            </w:pPr>
            <w:r w:rsidRPr="00CA1640">
              <w:rPr>
                <w:sz w:val="20"/>
              </w:rPr>
              <w:t>90–100</w:t>
            </w:r>
          </w:p>
        </w:tc>
      </w:tr>
      <w:tr w:rsidR="00C5112F" w:rsidRPr="00CA1640" w:rsidTr="00C5112F">
        <w:tc>
          <w:tcPr>
            <w:tcW w:w="1685" w:type="dxa"/>
            <w:vMerge/>
            <w:shd w:val="clear" w:color="auto" w:fill="auto"/>
          </w:tcPr>
          <w:p w:rsidR="00C5112F" w:rsidRPr="00CA1640" w:rsidRDefault="00C5112F" w:rsidP="00C5112F">
            <w:pPr>
              <w:keepLines/>
              <w:spacing w:line="280" w:lineRule="atLeast"/>
              <w:rPr>
                <w:sz w:val="20"/>
              </w:rPr>
            </w:pPr>
          </w:p>
        </w:tc>
        <w:tc>
          <w:tcPr>
            <w:tcW w:w="2284" w:type="dxa"/>
            <w:shd w:val="clear" w:color="auto" w:fill="auto"/>
          </w:tcPr>
          <w:p w:rsidR="00C5112F" w:rsidRPr="00CA1640" w:rsidRDefault="00C5112F" w:rsidP="00C5112F">
            <w:pPr>
              <w:keepLines/>
              <w:spacing w:line="280" w:lineRule="atLeast"/>
              <w:rPr>
                <w:sz w:val="20"/>
              </w:rPr>
            </w:pPr>
            <w:r w:rsidRPr="00CA1640">
              <w:rPr>
                <w:sz w:val="20"/>
              </w:rPr>
              <w:t xml:space="preserve">And prescribed the TG-recommended (for mild CAP </w:t>
            </w:r>
            <w:r w:rsidRPr="00CA1640">
              <w:rPr>
                <w:b/>
                <w:sz w:val="20"/>
              </w:rPr>
              <w:t xml:space="preserve">– </w:t>
            </w:r>
            <w:r w:rsidRPr="00CA1640">
              <w:rPr>
                <w:sz w:val="20"/>
              </w:rPr>
              <w:t>amoxicillin or doxycycline)</w:t>
            </w:r>
          </w:p>
        </w:tc>
        <w:tc>
          <w:tcPr>
            <w:tcW w:w="1134" w:type="dxa"/>
            <w:shd w:val="clear" w:color="auto" w:fill="auto"/>
          </w:tcPr>
          <w:p w:rsidR="00C5112F" w:rsidRPr="00CA1640" w:rsidRDefault="00C5112F" w:rsidP="00C5112F">
            <w:pPr>
              <w:keepLines/>
              <w:spacing w:line="280" w:lineRule="atLeast"/>
              <w:jc w:val="right"/>
              <w:rPr>
                <w:sz w:val="20"/>
              </w:rPr>
            </w:pPr>
            <w:r w:rsidRPr="00CA1640">
              <w:rPr>
                <w:sz w:val="20"/>
              </w:rPr>
              <w:t>146</w:t>
            </w:r>
          </w:p>
        </w:tc>
        <w:tc>
          <w:tcPr>
            <w:tcW w:w="1418" w:type="dxa"/>
            <w:shd w:val="clear" w:color="auto" w:fill="auto"/>
          </w:tcPr>
          <w:p w:rsidR="00C5112F" w:rsidRPr="00CA1640" w:rsidRDefault="00C5112F" w:rsidP="00C5112F">
            <w:pPr>
              <w:keepLines/>
              <w:spacing w:line="280" w:lineRule="atLeast"/>
              <w:jc w:val="right"/>
              <w:rPr>
                <w:sz w:val="20"/>
              </w:rPr>
            </w:pPr>
            <w:r w:rsidRPr="00CA1640">
              <w:rPr>
                <w:sz w:val="20"/>
              </w:rPr>
              <w:t>24</w:t>
            </w:r>
          </w:p>
        </w:tc>
        <w:tc>
          <w:tcPr>
            <w:tcW w:w="850" w:type="dxa"/>
            <w:shd w:val="clear" w:color="auto" w:fill="auto"/>
          </w:tcPr>
          <w:p w:rsidR="00C5112F" w:rsidRPr="00CA1640" w:rsidRDefault="00C5112F" w:rsidP="00C5112F">
            <w:pPr>
              <w:keepLines/>
              <w:spacing w:line="280" w:lineRule="atLeast"/>
              <w:rPr>
                <w:sz w:val="20"/>
              </w:rPr>
            </w:pPr>
            <w:r w:rsidRPr="00CA1640">
              <w:rPr>
                <w:sz w:val="20"/>
              </w:rPr>
              <w:t>19–29</w:t>
            </w:r>
          </w:p>
        </w:tc>
        <w:tc>
          <w:tcPr>
            <w:tcW w:w="1418" w:type="dxa"/>
            <w:shd w:val="clear" w:color="auto" w:fill="auto"/>
          </w:tcPr>
          <w:p w:rsidR="00C5112F" w:rsidRPr="00CA1640" w:rsidRDefault="00C5112F" w:rsidP="00C5112F">
            <w:pPr>
              <w:keepLines/>
              <w:spacing w:line="280" w:lineRule="atLeast"/>
              <w:rPr>
                <w:sz w:val="20"/>
              </w:rPr>
            </w:pPr>
            <w:r w:rsidRPr="00CA1640">
              <w:rPr>
                <w:sz w:val="20"/>
              </w:rPr>
              <w:t>80–100</w:t>
            </w:r>
          </w:p>
        </w:tc>
      </w:tr>
    </w:tbl>
    <w:p w:rsidR="00C5112F" w:rsidRPr="00BD578E" w:rsidRDefault="00C5112F" w:rsidP="00595543">
      <w:pPr>
        <w:keepLines/>
        <w:spacing w:before="120"/>
        <w:rPr>
          <w:sz w:val="18"/>
          <w:szCs w:val="18"/>
        </w:rPr>
      </w:pPr>
      <w:r w:rsidRPr="00BD578E">
        <w:rPr>
          <w:sz w:val="18"/>
          <w:szCs w:val="18"/>
        </w:rPr>
        <w:t>CAP = community-acquired pneumonia; CI = confidence interval; TG = </w:t>
      </w:r>
      <w:r w:rsidRPr="00BD578E">
        <w:rPr>
          <w:i/>
          <w:sz w:val="18"/>
          <w:szCs w:val="18"/>
        </w:rPr>
        <w:t>Therapeutic Guidelines: antibiotic</w:t>
      </w:r>
      <w:r w:rsidRPr="00BD578E">
        <w:rPr>
          <w:sz w:val="18"/>
          <w:szCs w:val="18"/>
        </w:rPr>
        <w:t>; URTI = upper respiratory tract infection</w:t>
      </w:r>
    </w:p>
    <w:p w:rsidR="00C5112F" w:rsidRPr="00BD578E" w:rsidRDefault="00C5112F" w:rsidP="00C5112F">
      <w:pPr>
        <w:rPr>
          <w:sz w:val="18"/>
          <w:szCs w:val="18"/>
        </w:rPr>
      </w:pPr>
      <w:r>
        <w:rPr>
          <w:sz w:val="18"/>
          <w:szCs w:val="18"/>
        </w:rPr>
        <w:t>Source</w:t>
      </w:r>
      <w:r w:rsidRPr="00BD578E">
        <w:rPr>
          <w:sz w:val="18"/>
          <w:szCs w:val="18"/>
        </w:rPr>
        <w:t xml:space="preserve">: NPS </w:t>
      </w:r>
      <w:proofErr w:type="spellStart"/>
      <w:r w:rsidRPr="00BD578E">
        <w:rPr>
          <w:sz w:val="18"/>
          <w:szCs w:val="18"/>
        </w:rPr>
        <w:t>MedicineWise</w:t>
      </w:r>
      <w:proofErr w:type="spellEnd"/>
      <w:r w:rsidRPr="00BD578E">
        <w:rPr>
          <w:sz w:val="18"/>
          <w:szCs w:val="18"/>
        </w:rPr>
        <w:t xml:space="preserve"> </w:t>
      </w:r>
      <w:proofErr w:type="spellStart"/>
      <w:r w:rsidRPr="00BD578E">
        <w:rPr>
          <w:sz w:val="18"/>
          <w:szCs w:val="18"/>
        </w:rPr>
        <w:t>MedicineInsight</w:t>
      </w:r>
      <w:proofErr w:type="spellEnd"/>
    </w:p>
    <w:p w:rsidR="00C5112F" w:rsidRPr="00BD578E" w:rsidRDefault="00C5112F" w:rsidP="00E57029">
      <w:pPr>
        <w:pStyle w:val="Heading2"/>
      </w:pPr>
      <w:proofErr w:type="gramStart"/>
      <w:r w:rsidRPr="00BD578E">
        <w:lastRenderedPageBreak/>
        <w:t>β-lactamase</w:t>
      </w:r>
      <w:proofErr w:type="gramEnd"/>
      <w:r w:rsidRPr="00BD578E">
        <w:t xml:space="preserve"> inhibitor combinations: </w:t>
      </w:r>
      <w:proofErr w:type="spellStart"/>
      <w:r w:rsidRPr="00BD578E">
        <w:t>piperacillin</w:t>
      </w:r>
      <w:proofErr w:type="spellEnd"/>
      <w:r w:rsidRPr="00BD578E">
        <w:t xml:space="preserve"> with</w:t>
      </w:r>
      <w:r>
        <w:t xml:space="preserve"> </w:t>
      </w:r>
      <w:proofErr w:type="spellStart"/>
      <w:r w:rsidRPr="00BD578E">
        <w:t>tazobactam</w:t>
      </w:r>
      <w:proofErr w:type="spellEnd"/>
      <w:r w:rsidRPr="00BD578E">
        <w:t xml:space="preserve"> and amoxicillin with </w:t>
      </w:r>
      <w:proofErr w:type="spellStart"/>
      <w:r w:rsidRPr="00BD578E">
        <w:t>clavulanate</w:t>
      </w:r>
      <w:proofErr w:type="spellEnd"/>
    </w:p>
    <w:p w:rsidR="00C5112F" w:rsidRPr="00D475E4" w:rsidRDefault="00C5112F" w:rsidP="00E57029">
      <w:pPr>
        <w:pStyle w:val="Heading3"/>
      </w:pPr>
      <w:r w:rsidRPr="00BD578E">
        <w:t>What organisms are the</w:t>
      </w:r>
      <w:r>
        <w:t>y</w:t>
      </w:r>
      <w:r w:rsidRPr="00D475E4">
        <w:t xml:space="preserve"> used to treat?</w:t>
      </w:r>
    </w:p>
    <w:p w:rsidR="00C5112F" w:rsidRPr="00D475E4" w:rsidRDefault="00C5112F" w:rsidP="00C5112F">
      <w:pPr>
        <w:rPr>
          <w:color w:val="000000"/>
        </w:rPr>
      </w:pPr>
      <w:proofErr w:type="spellStart"/>
      <w:r w:rsidRPr="00D475E4">
        <w:rPr>
          <w:color w:val="000000"/>
        </w:rPr>
        <w:t>Piperacillin</w:t>
      </w:r>
      <w:proofErr w:type="spellEnd"/>
      <w:r w:rsidRPr="00D475E4">
        <w:rPr>
          <w:color w:val="000000"/>
        </w:rPr>
        <w:t xml:space="preserve"> with </w:t>
      </w:r>
      <w:proofErr w:type="spellStart"/>
      <w:r w:rsidRPr="00D475E4">
        <w:rPr>
          <w:color w:val="000000"/>
        </w:rPr>
        <w:t>tazobactam</w:t>
      </w:r>
      <w:proofErr w:type="spellEnd"/>
      <w:r w:rsidRPr="00D475E4">
        <w:rPr>
          <w:color w:val="000000"/>
        </w:rPr>
        <w:t xml:space="preserve"> has a broad spectrum and is the only penicillin with reliable activity against </w:t>
      </w:r>
      <w:r w:rsidRPr="00D475E4">
        <w:rPr>
          <w:i/>
          <w:color w:val="000000"/>
        </w:rPr>
        <w:t>Pseudomonas aeruginosa</w:t>
      </w:r>
      <w:r>
        <w:rPr>
          <w:i/>
          <w:color w:val="000000"/>
        </w:rPr>
        <w:t>.</w:t>
      </w:r>
      <w:hyperlink w:anchor="_ENREF_8" w:tooltip="Antibiotic Expert Writing Group, 2014 #1" w:history="1">
        <w:r w:rsidRPr="00D475E4">
          <w:rPr>
            <w:color w:val="000000"/>
          </w:rPr>
          <w:fldChar w:fldCharType="begin"/>
        </w:r>
        <w:r w:rsidRPr="00D475E4">
          <w:rPr>
            <w:color w:val="000000"/>
          </w:rPr>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D475E4">
          <w:rPr>
            <w:color w:val="000000"/>
          </w:rPr>
          <w:fldChar w:fldCharType="separate"/>
        </w:r>
        <w:r w:rsidRPr="00D475E4">
          <w:rPr>
            <w:noProof/>
            <w:color w:val="000000"/>
            <w:vertAlign w:val="superscript"/>
          </w:rPr>
          <w:t>8</w:t>
        </w:r>
        <w:r w:rsidRPr="00D475E4">
          <w:rPr>
            <w:color w:val="000000"/>
          </w:rPr>
          <w:fldChar w:fldCharType="end"/>
        </w:r>
      </w:hyperlink>
      <w:r w:rsidRPr="00D475E4">
        <w:rPr>
          <w:color w:val="000000"/>
        </w:rPr>
        <w:t xml:space="preserve"> Its use is usually reserved for people who are critically ill</w:t>
      </w:r>
      <w:r>
        <w:rPr>
          <w:color w:val="000000"/>
        </w:rPr>
        <w:t>,</w:t>
      </w:r>
      <w:r w:rsidRPr="00D475E4">
        <w:rPr>
          <w:color w:val="000000"/>
        </w:rPr>
        <w:t xml:space="preserve"> such as those admitted to intensive care and other specialty hospital wards, including haematology and oncology. The addition of </w:t>
      </w:r>
      <w:proofErr w:type="spellStart"/>
      <w:r w:rsidRPr="00D475E4">
        <w:rPr>
          <w:color w:val="000000"/>
        </w:rPr>
        <w:t>tazobactam</w:t>
      </w:r>
      <w:proofErr w:type="spellEnd"/>
      <w:r w:rsidRPr="00D475E4">
        <w:rPr>
          <w:color w:val="000000"/>
        </w:rPr>
        <w:t xml:space="preserve"> extends the spectrum of </w:t>
      </w:r>
      <w:proofErr w:type="spellStart"/>
      <w:r w:rsidRPr="00D475E4">
        <w:rPr>
          <w:color w:val="000000"/>
        </w:rPr>
        <w:t>piperacillin’s</w:t>
      </w:r>
      <w:proofErr w:type="spellEnd"/>
      <w:r w:rsidRPr="00D475E4">
        <w:rPr>
          <w:color w:val="000000"/>
        </w:rPr>
        <w:t xml:space="preserve"> activity.</w:t>
      </w:r>
      <w:hyperlink w:anchor="_ENREF_8" w:tooltip="Antibiotic Expert Writing Group, 2014 #1" w:history="1">
        <w:r w:rsidRPr="00D475E4">
          <w:rPr>
            <w:color w:val="000000"/>
          </w:rPr>
          <w:fldChar w:fldCharType="begin"/>
        </w:r>
        <w:r w:rsidRPr="00D475E4">
          <w:rPr>
            <w:color w:val="000000"/>
          </w:rPr>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D475E4">
          <w:rPr>
            <w:color w:val="000000"/>
          </w:rPr>
          <w:fldChar w:fldCharType="separate"/>
        </w:r>
        <w:r w:rsidRPr="00D475E4">
          <w:rPr>
            <w:noProof/>
            <w:color w:val="000000"/>
            <w:vertAlign w:val="superscript"/>
          </w:rPr>
          <w:t>8</w:t>
        </w:r>
        <w:r w:rsidRPr="00D475E4">
          <w:rPr>
            <w:color w:val="000000"/>
          </w:rPr>
          <w:fldChar w:fldCharType="end"/>
        </w:r>
      </w:hyperlink>
      <w:r w:rsidRPr="00D475E4">
        <w:rPr>
          <w:color w:val="000000"/>
        </w:rPr>
        <w:t xml:space="preserve"> Many hospitals restrict its use and require approval to prescribe from an infectious diseases specialist or an antimicrobial stewardship team or in accordance with hospital prescribing guidelines (for example</w:t>
      </w:r>
      <w:r>
        <w:rPr>
          <w:color w:val="000000"/>
        </w:rPr>
        <w:t>,</w:t>
      </w:r>
      <w:r w:rsidRPr="00D475E4">
        <w:rPr>
          <w:color w:val="000000"/>
        </w:rPr>
        <w:t xml:space="preserve"> febrile neutropenia). </w:t>
      </w:r>
      <w:proofErr w:type="spellStart"/>
      <w:r w:rsidRPr="00D475E4">
        <w:rPr>
          <w:color w:val="000000"/>
        </w:rPr>
        <w:t>Piperacillin</w:t>
      </w:r>
      <w:proofErr w:type="spellEnd"/>
      <w:r w:rsidRPr="00D475E4">
        <w:rPr>
          <w:color w:val="000000"/>
        </w:rPr>
        <w:t xml:space="preserve"> with </w:t>
      </w:r>
      <w:proofErr w:type="spellStart"/>
      <w:r w:rsidRPr="00D475E4">
        <w:rPr>
          <w:color w:val="000000"/>
        </w:rPr>
        <w:t>tazobactam</w:t>
      </w:r>
      <w:proofErr w:type="spellEnd"/>
      <w:r w:rsidRPr="00D475E4">
        <w:rPr>
          <w:color w:val="000000"/>
        </w:rPr>
        <w:t xml:space="preserve"> is given </w:t>
      </w:r>
      <w:proofErr w:type="spellStart"/>
      <w:r w:rsidRPr="00D475E4">
        <w:rPr>
          <w:color w:val="000000"/>
        </w:rPr>
        <w:t>parenterally</w:t>
      </w:r>
      <w:proofErr w:type="spellEnd"/>
      <w:r w:rsidRPr="00D475E4">
        <w:rPr>
          <w:color w:val="000000"/>
        </w:rPr>
        <w:t xml:space="preserve">, and is often used in preference to third-generation </w:t>
      </w:r>
      <w:proofErr w:type="spellStart"/>
      <w:r w:rsidRPr="00D475E4">
        <w:rPr>
          <w:color w:val="000000"/>
        </w:rPr>
        <w:t>cephalosporins</w:t>
      </w:r>
      <w:proofErr w:type="spellEnd"/>
      <w:r w:rsidRPr="00D475E4">
        <w:rPr>
          <w:color w:val="000000"/>
        </w:rPr>
        <w:t xml:space="preserve"> when either would be effective</w:t>
      </w:r>
      <w:r>
        <w:rPr>
          <w:color w:val="000000"/>
        </w:rPr>
        <w:t>,</w:t>
      </w:r>
      <w:r w:rsidRPr="00D475E4">
        <w:rPr>
          <w:color w:val="000000"/>
        </w:rPr>
        <w:t xml:space="preserve"> because it is reputed to have lower capacity for resistance selection.</w:t>
      </w:r>
    </w:p>
    <w:p w:rsidR="00C5112F" w:rsidRPr="00D475E4" w:rsidRDefault="00C5112F" w:rsidP="00C5112F">
      <w:pPr>
        <w:rPr>
          <w:color w:val="000000"/>
        </w:rPr>
      </w:pPr>
      <w:r w:rsidRPr="00D475E4">
        <w:rPr>
          <w:color w:val="000000"/>
        </w:rPr>
        <w:t xml:space="preserve">Amoxicillin with </w:t>
      </w:r>
      <w:proofErr w:type="spellStart"/>
      <w:r w:rsidRPr="00D475E4">
        <w:rPr>
          <w:color w:val="000000"/>
        </w:rPr>
        <w:t>clavulanate</w:t>
      </w:r>
      <w:proofErr w:type="spellEnd"/>
      <w:r w:rsidRPr="00D475E4">
        <w:rPr>
          <w:color w:val="000000"/>
        </w:rPr>
        <w:t xml:space="preserve"> has a broad spectrum and is widely used to treat infections in hospitals and the community. The addition of </w:t>
      </w:r>
      <w:proofErr w:type="spellStart"/>
      <w:r w:rsidRPr="00D475E4">
        <w:rPr>
          <w:color w:val="000000"/>
        </w:rPr>
        <w:t>clavulanate</w:t>
      </w:r>
      <w:proofErr w:type="spellEnd"/>
      <w:r w:rsidRPr="00D475E4">
        <w:rPr>
          <w:color w:val="000000"/>
        </w:rPr>
        <w:t xml:space="preserve"> significantly extends amoxicillin’s spectrum of activity. Use should be reserved for infections caused by organisms that produce β-lactamase enzymes (such as </w:t>
      </w:r>
      <w:r w:rsidRPr="00D475E4">
        <w:rPr>
          <w:i/>
          <w:color w:val="000000"/>
        </w:rPr>
        <w:t>Staphylococcus aureus</w:t>
      </w:r>
      <w:r w:rsidRPr="00D475E4">
        <w:rPr>
          <w:color w:val="000000"/>
        </w:rPr>
        <w:t xml:space="preserve">, </w:t>
      </w:r>
      <w:proofErr w:type="spellStart"/>
      <w:r w:rsidRPr="00D475E4">
        <w:rPr>
          <w:i/>
          <w:color w:val="000000"/>
        </w:rPr>
        <w:t>Bacteroides</w:t>
      </w:r>
      <w:proofErr w:type="spellEnd"/>
      <w:r w:rsidRPr="00D475E4">
        <w:rPr>
          <w:i/>
          <w:color w:val="000000"/>
        </w:rPr>
        <w:t xml:space="preserve"> </w:t>
      </w:r>
      <w:proofErr w:type="spellStart"/>
      <w:r w:rsidRPr="00D475E4">
        <w:rPr>
          <w:i/>
          <w:color w:val="000000"/>
        </w:rPr>
        <w:t>fragilis</w:t>
      </w:r>
      <w:proofErr w:type="spellEnd"/>
      <w:r w:rsidRPr="00D475E4">
        <w:rPr>
          <w:color w:val="000000"/>
        </w:rPr>
        <w:t xml:space="preserve">, </w:t>
      </w:r>
      <w:r w:rsidRPr="00D475E4">
        <w:rPr>
          <w:i/>
          <w:color w:val="000000"/>
        </w:rPr>
        <w:t>Haemophilus influenza</w:t>
      </w:r>
      <w:r w:rsidRPr="00D475E4">
        <w:rPr>
          <w:color w:val="000000"/>
        </w:rPr>
        <w:t xml:space="preserve">, some </w:t>
      </w:r>
      <w:r w:rsidRPr="00D475E4">
        <w:rPr>
          <w:i/>
          <w:color w:val="000000"/>
        </w:rPr>
        <w:t>Escherichia coli</w:t>
      </w:r>
      <w:r w:rsidRPr="00D475E4">
        <w:rPr>
          <w:color w:val="000000"/>
        </w:rPr>
        <w:t xml:space="preserve"> and </w:t>
      </w:r>
      <w:proofErr w:type="spellStart"/>
      <w:r w:rsidRPr="00D475E4">
        <w:rPr>
          <w:i/>
          <w:color w:val="000000"/>
        </w:rPr>
        <w:t>Klebsiella</w:t>
      </w:r>
      <w:proofErr w:type="spellEnd"/>
      <w:r w:rsidRPr="00D475E4">
        <w:rPr>
          <w:color w:val="000000"/>
        </w:rPr>
        <w:t xml:space="preserve"> species</w:t>
      </w:r>
      <w:r w:rsidRPr="00864C51">
        <w:rPr>
          <w:color w:val="000000"/>
        </w:rPr>
        <w:t>).</w:t>
      </w:r>
      <w:hyperlink w:anchor="_ENREF_8" w:tooltip="Antibiotic Expert Writing Group, 2014 #1" w:history="1">
        <w:r w:rsidRPr="00864C51">
          <w:rPr>
            <w:color w:val="000000"/>
          </w:rPr>
          <w:fldChar w:fldCharType="begin"/>
        </w:r>
        <w:r w:rsidRPr="00864C51">
          <w:rPr>
            <w:color w:val="000000"/>
          </w:rPr>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864C51">
          <w:rPr>
            <w:color w:val="000000"/>
          </w:rPr>
          <w:fldChar w:fldCharType="separate"/>
        </w:r>
        <w:r w:rsidRPr="00864C51">
          <w:rPr>
            <w:noProof/>
            <w:color w:val="000000"/>
            <w:vertAlign w:val="superscript"/>
          </w:rPr>
          <w:t>8</w:t>
        </w:r>
        <w:r w:rsidRPr="00864C51">
          <w:rPr>
            <w:color w:val="000000"/>
          </w:rPr>
          <w:fldChar w:fldCharType="end"/>
        </w:r>
      </w:hyperlink>
      <w:r w:rsidRPr="00864C51">
        <w:rPr>
          <w:color w:val="000000"/>
        </w:rPr>
        <w:t xml:space="preserve"> In</w:t>
      </w:r>
      <w:r w:rsidRPr="00D475E4">
        <w:rPr>
          <w:color w:val="000000"/>
        </w:rPr>
        <w:t xml:space="preserve"> Australia</w:t>
      </w:r>
      <w:r>
        <w:rPr>
          <w:color w:val="000000"/>
        </w:rPr>
        <w:t>,</w:t>
      </w:r>
      <w:r w:rsidRPr="00D475E4">
        <w:rPr>
          <w:color w:val="000000"/>
        </w:rPr>
        <w:t xml:space="preserve"> amoxicillin with </w:t>
      </w:r>
      <w:proofErr w:type="spellStart"/>
      <w:r w:rsidRPr="00D475E4">
        <w:rPr>
          <w:color w:val="000000"/>
        </w:rPr>
        <w:t>clavulanate</w:t>
      </w:r>
      <w:proofErr w:type="spellEnd"/>
      <w:r w:rsidRPr="00D475E4">
        <w:rPr>
          <w:color w:val="000000"/>
        </w:rPr>
        <w:t xml:space="preserve"> is only available for oral use in several different formulations.</w:t>
      </w:r>
    </w:p>
    <w:p w:rsidR="00C5112F" w:rsidRPr="009447E3" w:rsidRDefault="00C5112F" w:rsidP="00B33453">
      <w:pPr>
        <w:pStyle w:val="Heading3"/>
      </w:pPr>
      <w:r w:rsidRPr="009447E3">
        <w:t>How much is used</w:t>
      </w:r>
      <w:r>
        <w:t xml:space="preserve"> in hospitals</w:t>
      </w:r>
      <w:r w:rsidRPr="009447E3">
        <w:t>?</w:t>
      </w:r>
    </w:p>
    <w:p w:rsidR="00C5112F" w:rsidRPr="00D475E4" w:rsidRDefault="00C5112F" w:rsidP="00C5112F">
      <w:pPr>
        <w:rPr>
          <w:color w:val="000000"/>
        </w:rPr>
      </w:pPr>
      <w:r w:rsidRPr="00D475E4">
        <w:rPr>
          <w:color w:val="000000"/>
        </w:rPr>
        <w:t xml:space="preserve">The NAUSP data showed that total use of </w:t>
      </w:r>
      <w:r w:rsidRPr="004B6F8A">
        <w:rPr>
          <w:color w:val="000000"/>
        </w:rPr>
        <w:t>β-lactamase inhibitor combinations</w:t>
      </w:r>
      <w:r w:rsidRPr="00D475E4">
        <w:rPr>
          <w:color w:val="000000"/>
        </w:rPr>
        <w:t xml:space="preserve"> </w:t>
      </w:r>
      <w:r>
        <w:rPr>
          <w:color w:val="000000"/>
        </w:rPr>
        <w:t xml:space="preserve">has </w:t>
      </w:r>
      <w:r w:rsidRPr="00D475E4">
        <w:rPr>
          <w:color w:val="000000"/>
        </w:rPr>
        <w:t>decreased slightly since 2010 (see Figure 6). In 2014</w:t>
      </w:r>
      <w:r>
        <w:rPr>
          <w:color w:val="000000"/>
        </w:rPr>
        <w:t>,</w:t>
      </w:r>
      <w:r w:rsidRPr="00D475E4">
        <w:rPr>
          <w:color w:val="000000"/>
        </w:rPr>
        <w:t xml:space="preserve"> amoxicillin with </w:t>
      </w:r>
      <w:proofErr w:type="spellStart"/>
      <w:r w:rsidRPr="00D475E4">
        <w:rPr>
          <w:color w:val="000000"/>
        </w:rPr>
        <w:t>clavulanate</w:t>
      </w:r>
      <w:proofErr w:type="spellEnd"/>
      <w:r w:rsidRPr="00D475E4">
        <w:rPr>
          <w:color w:val="000000"/>
        </w:rPr>
        <w:t xml:space="preserve"> and </w:t>
      </w:r>
      <w:proofErr w:type="spellStart"/>
      <w:r w:rsidRPr="00D475E4">
        <w:rPr>
          <w:color w:val="000000"/>
        </w:rPr>
        <w:t>piperacillin</w:t>
      </w:r>
      <w:proofErr w:type="spellEnd"/>
      <w:r w:rsidRPr="00D475E4">
        <w:rPr>
          <w:color w:val="000000"/>
        </w:rPr>
        <w:t xml:space="preserve"> with </w:t>
      </w:r>
      <w:proofErr w:type="spellStart"/>
      <w:r w:rsidRPr="00D475E4">
        <w:rPr>
          <w:color w:val="000000"/>
        </w:rPr>
        <w:t>tazobactam</w:t>
      </w:r>
      <w:proofErr w:type="spellEnd"/>
      <w:r w:rsidRPr="00D475E4">
        <w:rPr>
          <w:color w:val="000000"/>
        </w:rPr>
        <w:t xml:space="preserve"> were the first and seventh most used </w:t>
      </w:r>
      <w:proofErr w:type="spellStart"/>
      <w:r w:rsidRPr="00D475E4">
        <w:rPr>
          <w:color w:val="000000"/>
        </w:rPr>
        <w:t>antibacterials</w:t>
      </w:r>
      <w:proofErr w:type="spellEnd"/>
      <w:r w:rsidRPr="00D475E4">
        <w:rPr>
          <w:color w:val="000000"/>
        </w:rPr>
        <w:t>, accounting for 14.5% and 4.7% of total antibacterial use in hospitals.</w:t>
      </w:r>
      <w:hyperlink w:anchor="_ENREF_10" w:tooltip="South Australian Department for Health and Ageing, 2015 #17" w:history="1">
        <w:r w:rsidRPr="00D475E4">
          <w:rPr>
            <w:color w:val="000000"/>
          </w:rPr>
          <w:fldChar w:fldCharType="begin"/>
        </w:r>
        <w:r w:rsidRPr="00D475E4">
          <w:rPr>
            <w:color w:val="000000"/>
          </w:rPr>
          <w:instrText xml:space="preserve"> ADDIN EN.CITE &lt;EndNote&gt;&lt;Cite&gt;&lt;Author&gt;South Australian Department for Health and Ageing&lt;/Author&gt;&lt;Year&gt;2015&lt;/Year&gt;&lt;RecNum&gt;17&lt;/RecNum&gt;&lt;DisplayText&gt;&lt;style face="superscript"&gt;10&lt;/style&gt;&lt;/DisplayText&gt;&lt;record&gt;&lt;rec-number&gt;17&lt;/rec-number&gt;&lt;foreign-keys&gt;&lt;key app="EN" db-id="rfdrt5f982tppcedt23vfxzvp52ea529f2pd"&gt;17&lt;/key&gt;&lt;/foreign-keys&gt;&lt;ref-type name="Generic"&gt;13&lt;/ref-type&gt;&lt;contributors&gt;&lt;authors&gt;&lt;author&gt;South Australian Department for Health and Ageing,.&lt;/author&gt;&lt;/authors&gt;&lt;/contributors&gt;&lt;titles&gt;&lt;title&gt;Antimicrobial use in Australian hospitals: 2014 report of the National Antimicrobial Utilisation Surveillance Program&lt;/title&gt;&lt;/titles&gt;&lt;dates&gt;&lt;year&gt;2015&lt;/year&gt;&lt;/dates&gt;&lt;pub-location&gt;Adelaide&lt;/pub-location&gt;&lt;publisher&gt;NAUSP&lt;/publisher&gt;&lt;urls&gt;&lt;/urls&gt;&lt;/record&gt;&lt;/Cite&gt;&lt;/EndNote&gt;</w:instrText>
        </w:r>
        <w:r w:rsidRPr="00D475E4">
          <w:rPr>
            <w:color w:val="000000"/>
          </w:rPr>
          <w:fldChar w:fldCharType="separate"/>
        </w:r>
        <w:r w:rsidRPr="00D475E4">
          <w:rPr>
            <w:noProof/>
            <w:color w:val="000000"/>
            <w:vertAlign w:val="superscript"/>
          </w:rPr>
          <w:t>10</w:t>
        </w:r>
        <w:r w:rsidRPr="00D475E4">
          <w:rPr>
            <w:color w:val="000000"/>
          </w:rPr>
          <w:fldChar w:fldCharType="end"/>
        </w:r>
      </w:hyperlink>
      <w:r w:rsidRPr="00D475E4">
        <w:rPr>
          <w:color w:val="000000"/>
        </w:rPr>
        <w:t xml:space="preserve"> In the same year, the NAPS data showed that </w:t>
      </w:r>
      <w:proofErr w:type="spellStart"/>
      <w:r w:rsidRPr="00D475E4">
        <w:rPr>
          <w:color w:val="000000"/>
        </w:rPr>
        <w:t>piperacillin</w:t>
      </w:r>
      <w:proofErr w:type="spellEnd"/>
      <w:r w:rsidRPr="00D475E4">
        <w:rPr>
          <w:color w:val="000000"/>
        </w:rPr>
        <w:t xml:space="preserve"> with </w:t>
      </w:r>
      <w:proofErr w:type="spellStart"/>
      <w:r w:rsidRPr="00D475E4">
        <w:rPr>
          <w:color w:val="000000"/>
        </w:rPr>
        <w:t>tazobactam</w:t>
      </w:r>
      <w:proofErr w:type="spellEnd"/>
      <w:r w:rsidRPr="00D475E4">
        <w:rPr>
          <w:color w:val="000000"/>
        </w:rPr>
        <w:t xml:space="preserve"> and amoxicillin with </w:t>
      </w:r>
      <w:proofErr w:type="spellStart"/>
      <w:r w:rsidRPr="00D475E4">
        <w:rPr>
          <w:color w:val="000000"/>
        </w:rPr>
        <w:t>clavulanate</w:t>
      </w:r>
      <w:proofErr w:type="spellEnd"/>
      <w:r w:rsidRPr="00D475E4">
        <w:rPr>
          <w:color w:val="000000"/>
        </w:rPr>
        <w:t xml:space="preserve"> were the fourth and fifth most prescribed </w:t>
      </w:r>
      <w:proofErr w:type="spellStart"/>
      <w:r w:rsidRPr="00D475E4">
        <w:rPr>
          <w:color w:val="000000"/>
        </w:rPr>
        <w:t>antibacterials</w:t>
      </w:r>
      <w:proofErr w:type="spellEnd"/>
      <w:r w:rsidRPr="00D475E4">
        <w:rPr>
          <w:color w:val="000000"/>
        </w:rPr>
        <w:t>, accounting for 6.1% and 6.0% of all antibacterial prescriptions respectively.</w:t>
      </w:r>
      <w:hyperlink w:anchor="_ENREF_11" w:tooltip="Australian Commission on Safety and Quality in Health Care., 2015 #20"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D475E4">
          <w:rPr>
            <w:color w:val="000000"/>
          </w:rPr>
          <w:fldChar w:fldCharType="separate"/>
        </w:r>
        <w:r w:rsidRPr="00D475E4">
          <w:rPr>
            <w:noProof/>
            <w:color w:val="000000"/>
            <w:vertAlign w:val="superscript"/>
          </w:rPr>
          <w:t>11</w:t>
        </w:r>
        <w:r w:rsidRPr="00D475E4">
          <w:rPr>
            <w:color w:val="000000"/>
          </w:rPr>
          <w:fldChar w:fldCharType="end"/>
        </w:r>
      </w:hyperlink>
    </w:p>
    <w:p w:rsidR="00C5112F" w:rsidRPr="00E57029" w:rsidRDefault="00C5112F" w:rsidP="00595543">
      <w:pPr>
        <w:tabs>
          <w:tab w:val="left" w:pos="1134"/>
        </w:tabs>
        <w:spacing w:before="240" w:after="120"/>
        <w:ind w:left="1134" w:hanging="1134"/>
        <w:rPr>
          <w:b/>
        </w:rPr>
      </w:pPr>
      <w:r w:rsidRPr="00E57029">
        <w:rPr>
          <w:b/>
        </w:rPr>
        <w:t>Figure 6:</w:t>
      </w:r>
      <w:r w:rsidRPr="00E57029">
        <w:rPr>
          <w:b/>
        </w:rPr>
        <w:tab/>
        <w:t>Hospital usage rates, by defined daily dose per occupied bed days (DDD/1000 OBD), for β-lactamase inhibitor combinations: NAUSP contributors, 2010</w:t>
      </w:r>
      <w:r w:rsidRPr="00E57029">
        <w:rPr>
          <w:b/>
        </w:rPr>
        <w:sym w:font="Symbol" w:char="F02D"/>
      </w:r>
      <w:r w:rsidRPr="00E57029">
        <w:rPr>
          <w:b/>
        </w:rPr>
        <w:t>14</w:t>
      </w:r>
      <w:hyperlink w:anchor="_ENREF_10" w:tooltip="South Australian Department for Health and Ageing, 2015 #17" w:history="1">
        <w:r w:rsidRPr="00E57029">
          <w:rPr>
            <w:b/>
          </w:rPr>
          <w:fldChar w:fldCharType="begin"/>
        </w:r>
        <w:r w:rsidRPr="00E57029">
          <w:rPr>
            <w:b/>
          </w:rPr>
          <w:instrText xml:space="preserve"> ADDIN EN.CITE &lt;EndNote&gt;&lt;Cite&gt;&lt;Author&gt;South Australian Department for Health and Ageing&lt;/Author&gt;&lt;Year&gt;2015&lt;/Year&gt;&lt;RecNum&gt;17&lt;/RecNum&gt;&lt;DisplayText&gt;&lt;style face="superscript"&gt;10&lt;/style&gt;&lt;/DisplayText&gt;&lt;record&gt;&lt;rec-number&gt;17&lt;/rec-number&gt;&lt;foreign-keys&gt;&lt;key app="EN" db-id="rfdrt5f982tppcedt23vfxzvp52ea529f2pd"&gt;17&lt;/key&gt;&lt;/foreign-keys&gt;&lt;ref-type name="Generic"&gt;13&lt;/ref-type&gt;&lt;contributors&gt;&lt;authors&gt;&lt;author&gt;South Australian Department for Health and Ageing,.&lt;/author&gt;&lt;/authors&gt;&lt;/contributors&gt;&lt;titles&gt;&lt;title&gt;Antimicrobial use in Australian hospitals: 2014 report of the National Antimicrobial Utilisation Surveillance Program&lt;/title&gt;&lt;/titles&gt;&lt;dates&gt;&lt;year&gt;2015&lt;/year&gt;&lt;/dates&gt;&lt;pub-location&gt;Adelaide&lt;/pub-location&gt;&lt;publisher&gt;NAUSP&lt;/publisher&gt;&lt;urls&gt;&lt;/urls&gt;&lt;/record&gt;&lt;/Cite&gt;&lt;/EndNote&gt;</w:instrText>
        </w:r>
        <w:r w:rsidRPr="00E57029">
          <w:rPr>
            <w:b/>
          </w:rPr>
          <w:fldChar w:fldCharType="separate"/>
        </w:r>
        <w:r w:rsidRPr="00E57029">
          <w:rPr>
            <w:b/>
            <w:noProof/>
            <w:vertAlign w:val="superscript"/>
          </w:rPr>
          <w:t>10</w:t>
        </w:r>
        <w:r w:rsidRPr="00E57029">
          <w:rPr>
            <w:b/>
          </w:rPr>
          <w:fldChar w:fldCharType="end"/>
        </w:r>
      </w:hyperlink>
    </w:p>
    <w:p w:rsidR="00C5112F" w:rsidRDefault="00C5112F" w:rsidP="00C5112F">
      <w:pPr>
        <w:pStyle w:val="Heading4"/>
      </w:pPr>
      <w:r>
        <w:rPr>
          <w:noProof/>
        </w:rPr>
        <w:drawing>
          <wp:inline distT="0" distB="0" distL="0" distR="0" wp14:anchorId="623E1A65" wp14:editId="038776DA">
            <wp:extent cx="5095875" cy="2743200"/>
            <wp:effectExtent l="0" t="0" r="0" b="0"/>
            <wp:docPr id="7" name="Chart 7" descr="Figure 6 shows that total use of β-lactamase inhibitor combinations has decreased slightly since 2010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112F" w:rsidRPr="00D475E4" w:rsidRDefault="00C5112F" w:rsidP="00595543">
      <w:pPr>
        <w:spacing w:before="120"/>
        <w:rPr>
          <w:sz w:val="16"/>
          <w:szCs w:val="16"/>
        </w:rPr>
      </w:pPr>
      <w:r>
        <w:rPr>
          <w:sz w:val="18"/>
          <w:szCs w:val="18"/>
        </w:rPr>
        <w:t>Source: National Antimicrobial Utilisation Surveillance Program 2014</w:t>
      </w:r>
    </w:p>
    <w:p w:rsidR="00C5112F" w:rsidRPr="007F0CE8" w:rsidRDefault="00C5112F" w:rsidP="00B33453">
      <w:pPr>
        <w:pStyle w:val="Heading3"/>
      </w:pPr>
      <w:r>
        <w:lastRenderedPageBreak/>
        <w:t>How much is used i</w:t>
      </w:r>
      <w:r w:rsidRPr="007F0CE8">
        <w:t>n the community</w:t>
      </w:r>
      <w:r>
        <w:t>?</w:t>
      </w:r>
    </w:p>
    <w:p w:rsidR="00C5112F" w:rsidRDefault="00C5112F" w:rsidP="00C5112F">
      <w:pPr>
        <w:rPr>
          <w:color w:val="000000"/>
        </w:rPr>
      </w:pPr>
      <w:r w:rsidRPr="00D475E4">
        <w:rPr>
          <w:color w:val="000000"/>
        </w:rPr>
        <w:t xml:space="preserve">Amoxicillin with </w:t>
      </w:r>
      <w:proofErr w:type="spellStart"/>
      <w:r w:rsidRPr="00D475E4">
        <w:rPr>
          <w:color w:val="000000"/>
        </w:rPr>
        <w:t>clavulanate</w:t>
      </w:r>
      <w:proofErr w:type="spellEnd"/>
      <w:r w:rsidRPr="00D475E4">
        <w:rPr>
          <w:color w:val="000000"/>
        </w:rPr>
        <w:t xml:space="preserve"> is one of the most widely used </w:t>
      </w:r>
      <w:proofErr w:type="spellStart"/>
      <w:r w:rsidRPr="00D475E4">
        <w:rPr>
          <w:color w:val="000000"/>
        </w:rPr>
        <w:t>antibacterials</w:t>
      </w:r>
      <w:proofErr w:type="spellEnd"/>
      <w:r w:rsidRPr="00D475E4">
        <w:rPr>
          <w:color w:val="000000"/>
        </w:rPr>
        <w:t xml:space="preserve"> in the Australian community. PBS/RPBS data show that it is the third most often dispensed antibacterial and increased by about 8%</w:t>
      </w:r>
      <w:r>
        <w:rPr>
          <w:color w:val="000000"/>
        </w:rPr>
        <w:t>,</w:t>
      </w:r>
      <w:r w:rsidRPr="00D475E4">
        <w:rPr>
          <w:color w:val="000000"/>
        </w:rPr>
        <w:t xml:space="preserve"> from 4</w:t>
      </w:r>
      <w:r>
        <w:rPr>
          <w:color w:val="000000"/>
        </w:rPr>
        <w:t> </w:t>
      </w:r>
      <w:r w:rsidRPr="00D475E4">
        <w:rPr>
          <w:color w:val="000000"/>
        </w:rPr>
        <w:t>512</w:t>
      </w:r>
      <w:r>
        <w:rPr>
          <w:color w:val="000000"/>
        </w:rPr>
        <w:t> </w:t>
      </w:r>
      <w:r w:rsidRPr="00D475E4">
        <w:rPr>
          <w:color w:val="000000"/>
        </w:rPr>
        <w:t>149 prescriptions (195 prescriptions/1000 people) in 2013 to 4</w:t>
      </w:r>
      <w:r>
        <w:rPr>
          <w:color w:val="000000"/>
        </w:rPr>
        <w:t> </w:t>
      </w:r>
      <w:r w:rsidRPr="00D475E4">
        <w:rPr>
          <w:color w:val="000000"/>
        </w:rPr>
        <w:t>897</w:t>
      </w:r>
      <w:r>
        <w:rPr>
          <w:color w:val="000000"/>
        </w:rPr>
        <w:t> </w:t>
      </w:r>
      <w:r w:rsidRPr="00D475E4">
        <w:rPr>
          <w:color w:val="000000"/>
        </w:rPr>
        <w:t>449 prescriptions (208 prescriptions/1000 people) in 2014.</w:t>
      </w:r>
      <w:hyperlink w:anchor="_ENREF_2" w:tooltip="Australian Commission on Safety and Quality in Health Care, 2015 #18"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D475E4">
          <w:rPr>
            <w:color w:val="000000"/>
          </w:rPr>
          <w:fldChar w:fldCharType="separate"/>
        </w:r>
        <w:r w:rsidRPr="00D475E4">
          <w:rPr>
            <w:noProof/>
            <w:color w:val="000000"/>
            <w:vertAlign w:val="superscript"/>
          </w:rPr>
          <w:t>2</w:t>
        </w:r>
        <w:r w:rsidRPr="00D475E4">
          <w:rPr>
            <w:color w:val="000000"/>
          </w:rPr>
          <w:fldChar w:fldCharType="end"/>
        </w:r>
      </w:hyperlink>
      <w:r w:rsidRPr="00D475E4">
        <w:rPr>
          <w:color w:val="000000"/>
        </w:rPr>
        <w:t xml:space="preserve"> Amoxicillin with </w:t>
      </w:r>
      <w:proofErr w:type="spellStart"/>
      <w:r w:rsidRPr="00D475E4">
        <w:rPr>
          <w:color w:val="000000"/>
        </w:rPr>
        <w:t>clavulanate</w:t>
      </w:r>
      <w:proofErr w:type="spellEnd"/>
      <w:r w:rsidRPr="00D475E4">
        <w:rPr>
          <w:color w:val="000000"/>
        </w:rPr>
        <w:t xml:space="preserve"> is prescribed most often for people over the age of 45</w:t>
      </w:r>
      <w:r>
        <w:rPr>
          <w:color w:val="000000"/>
        </w:rPr>
        <w:t>,</w:t>
      </w:r>
      <w:r w:rsidRPr="00D475E4">
        <w:rPr>
          <w:color w:val="000000"/>
        </w:rPr>
        <w:t xml:space="preserve"> with greater use in winter months</w:t>
      </w:r>
      <w:r>
        <w:rPr>
          <w:color w:val="000000"/>
        </w:rPr>
        <w:t>,</w:t>
      </w:r>
      <w:r w:rsidRPr="00D475E4">
        <w:rPr>
          <w:color w:val="000000"/>
        </w:rPr>
        <w:t xml:space="preserve"> which may represent inappropriate use for viral</w:t>
      </w:r>
      <w:r>
        <w:rPr>
          <w:color w:val="000000"/>
        </w:rPr>
        <w:t xml:space="preserve"> upper respiratory tract infections</w:t>
      </w:r>
      <w:r w:rsidRPr="00D475E4">
        <w:rPr>
          <w:color w:val="000000"/>
        </w:rPr>
        <w:t xml:space="preserve"> (see Figure 7). </w:t>
      </w:r>
      <w:r w:rsidRPr="00D475E4">
        <w:t xml:space="preserve">The average number of prescriptions dispensed for amoxicillin </w:t>
      </w:r>
      <w:r w:rsidRPr="00D475E4">
        <w:rPr>
          <w:color w:val="000000"/>
        </w:rPr>
        <w:t xml:space="preserve">with </w:t>
      </w:r>
      <w:proofErr w:type="spellStart"/>
      <w:r w:rsidRPr="00D475E4">
        <w:rPr>
          <w:color w:val="000000"/>
        </w:rPr>
        <w:t>clavulanate</w:t>
      </w:r>
      <w:proofErr w:type="spellEnd"/>
      <w:r w:rsidRPr="00D475E4">
        <w:t xml:space="preserve"> varied across states and territories</w:t>
      </w:r>
      <w:r w:rsidRPr="00D475E4">
        <w:rPr>
          <w:color w:val="000000"/>
        </w:rPr>
        <w:t xml:space="preserve"> from 13</w:t>
      </w:r>
      <w:r>
        <w:rPr>
          <w:color w:val="000000"/>
        </w:rPr>
        <w:t> </w:t>
      </w:r>
      <w:r w:rsidRPr="00D475E4">
        <w:rPr>
          <w:color w:val="000000"/>
        </w:rPr>
        <w:t>740 per 100 000 people in Tasmania, to 21</w:t>
      </w:r>
      <w:r>
        <w:rPr>
          <w:color w:val="000000"/>
        </w:rPr>
        <w:t> </w:t>
      </w:r>
      <w:r w:rsidRPr="00D475E4">
        <w:rPr>
          <w:color w:val="000000"/>
        </w:rPr>
        <w:t>979 per 100</w:t>
      </w:r>
      <w:r>
        <w:rPr>
          <w:color w:val="000000"/>
        </w:rPr>
        <w:t> </w:t>
      </w:r>
      <w:r w:rsidRPr="00D475E4">
        <w:rPr>
          <w:color w:val="000000"/>
        </w:rPr>
        <w:t>000 people in Queensland.</w:t>
      </w:r>
      <w:hyperlink w:anchor="_ENREF_2" w:tooltip="Australian Commission on Safety and Quality in Health Care, 2015 #18"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D475E4">
          <w:rPr>
            <w:color w:val="000000"/>
          </w:rPr>
          <w:fldChar w:fldCharType="separate"/>
        </w:r>
        <w:r w:rsidRPr="00D475E4">
          <w:rPr>
            <w:noProof/>
            <w:color w:val="000000"/>
            <w:vertAlign w:val="superscript"/>
          </w:rPr>
          <w:t>2</w:t>
        </w:r>
        <w:r w:rsidRPr="00D475E4">
          <w:rPr>
            <w:color w:val="000000"/>
          </w:rPr>
          <w:fldChar w:fldCharType="end"/>
        </w:r>
      </w:hyperlink>
      <w:r w:rsidRPr="00D475E4">
        <w:rPr>
          <w:color w:val="000000"/>
        </w:rPr>
        <w:t xml:space="preserve"> After excluding the highest and lowest results, the amoxicillin with </w:t>
      </w:r>
      <w:proofErr w:type="spellStart"/>
      <w:r w:rsidRPr="00D475E4">
        <w:rPr>
          <w:color w:val="000000"/>
        </w:rPr>
        <w:t>clavulanate</w:t>
      </w:r>
      <w:proofErr w:type="spellEnd"/>
      <w:r w:rsidRPr="00D475E4">
        <w:rPr>
          <w:color w:val="000000"/>
        </w:rPr>
        <w:t xml:space="preserve"> prescription rate across 300 local areas was 2.2 times higher in one local area compared with another.</w:t>
      </w:r>
      <w:hyperlink w:anchor="_ENREF_2" w:tooltip="Australian Commission on Safety and Quality in Health Care, 2015 #18"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Care&lt;/Author&gt;&lt;Year&gt;2015&lt;/Year&gt;&lt;RecNum&gt;18&lt;/RecNum&gt;&lt;DisplayText&gt;&lt;style face="superscript"&gt;2&lt;/style&gt;&lt;/DisplayText&gt;&lt;record&gt;&lt;rec-number&gt;18&lt;/rec-number&gt;&lt;foreign-keys&gt;&lt;key app="EN" db-id="rfdrt5f982tppcedt23vfxzvp52ea529f2pd"&gt;18&lt;/key&gt;&lt;/foreign-keys&gt;&lt;ref-type name="Generic"&gt;13&lt;/ref-type&gt;&lt;contributors&gt;&lt;authors&gt;&lt;author&gt;Australian Commission on Safety and Quality in Health Care, &lt;/author&gt;&lt;/authors&gt;&lt;/contributors&gt;&lt;titles&gt;&lt;title&gt;&lt;style face="italic" font="default" size="100%"&gt;Australian Atlas of Healthcare Variation&lt;/style&gt;&lt;/title&gt;&lt;/titles&gt;&lt;dates&gt;&lt;year&gt;2015&lt;/year&gt;&lt;pub-dates&gt;&lt;date&gt;September&lt;/date&gt;&lt;/pub-dates&gt;&lt;/dates&gt;&lt;pub-location&gt;Sydney&lt;/pub-location&gt;&lt;publisher&gt;ACSQHC&lt;/publisher&gt;&lt;urls&gt;&lt;related-urls&gt;&lt;url&gt;http://www.safetyandquality.gov.au/wp-content/uploads/2011/09/NSQHS-Standards-Sept-2012.pdf&lt;/url&gt;&lt;/related-urls&gt;&lt;/urls&gt;&lt;/record&gt;&lt;/Cite&gt;&lt;/EndNote&gt;</w:instrText>
        </w:r>
        <w:r w:rsidRPr="00D475E4">
          <w:rPr>
            <w:color w:val="000000"/>
          </w:rPr>
          <w:fldChar w:fldCharType="separate"/>
        </w:r>
        <w:r w:rsidRPr="00D475E4">
          <w:rPr>
            <w:noProof/>
            <w:color w:val="000000"/>
            <w:vertAlign w:val="superscript"/>
          </w:rPr>
          <w:t>2</w:t>
        </w:r>
        <w:r w:rsidRPr="00D475E4">
          <w:rPr>
            <w:color w:val="000000"/>
          </w:rPr>
          <w:fldChar w:fldCharType="end"/>
        </w:r>
      </w:hyperlink>
      <w:r w:rsidRPr="00D475E4">
        <w:rPr>
          <w:color w:val="000000"/>
        </w:rPr>
        <w:t xml:space="preserve"> </w:t>
      </w:r>
      <w:r w:rsidRPr="00D475E4">
        <w:t xml:space="preserve">The 2015 pilot survey data from </w:t>
      </w:r>
      <w:r>
        <w:t>residential aged-care facilities</w:t>
      </w:r>
      <w:r w:rsidRPr="00D475E4">
        <w:t xml:space="preserve"> show that </w:t>
      </w:r>
      <w:r w:rsidRPr="00D475E4">
        <w:rPr>
          <w:color w:val="000000"/>
        </w:rPr>
        <w:t xml:space="preserve">amoxicillin with </w:t>
      </w:r>
      <w:proofErr w:type="spellStart"/>
      <w:r w:rsidRPr="00D475E4">
        <w:rPr>
          <w:color w:val="000000"/>
        </w:rPr>
        <w:t>clavulanate</w:t>
      </w:r>
      <w:proofErr w:type="spellEnd"/>
      <w:r w:rsidRPr="00D475E4">
        <w:rPr>
          <w:color w:val="000000"/>
        </w:rPr>
        <w:t xml:space="preserve"> was the fourth most commonly prescribed antibacterial (6.5%).</w:t>
      </w:r>
      <w:hyperlink w:anchor="_ENREF_4" w:tooltip="National Centre for Antimicrobial Stewardship and Australian Commission on Safety and Quality in Health Care., 2016 #10" w:history="1">
        <w:r w:rsidRPr="00D475E4">
          <w:rPr>
            <w:color w:val="000000"/>
          </w:rPr>
          <w:fldChar w:fldCharType="begin"/>
        </w:r>
        <w:r w:rsidRPr="00D475E4">
          <w:rPr>
            <w:color w:val="000000"/>
          </w:rPr>
          <w:instrText xml:space="preserve"> ADDIN EN.CITE &lt;EndNote&gt;&lt;Cite&gt;&lt;Author&gt;National Centre for Antimicrobial Stewardship and Australian Commission on Safety and Quality in Health Care.&lt;/Author&gt;&lt;Year&gt;2016&lt;/Year&gt;&lt;RecNum&gt;10&lt;/RecNum&gt;&lt;DisplayText&gt;&lt;style face="superscript"&gt;4&lt;/style&gt;&lt;/DisplayText&gt;&lt;record&gt;&lt;rec-number&gt;10&lt;/rec-number&gt;&lt;foreign-keys&gt;&lt;key app="EN" db-id="rfdrt5f982tppcedt23vfxzvp52ea529f2pd"&gt;10&lt;/key&gt;&lt;/foreign-keys&gt;&lt;ref-type name="Generic"&gt;13&lt;/ref-type&gt;&lt;contributors&gt;&lt;authors&gt;&lt;author&gt;National Centre for Antimicrobial Stewardship and Australian Commission on Safety and Quality in Health Care.,&lt;/author&gt;&lt;/authors&gt;&lt;/contributors&gt;&lt;titles&gt;&lt;title&gt;Antimicrobial prescribing and infections in Australian residential aged care facilities: results of the 2015 aged care national antimicrobial prescribing survey pilot&lt;/title&gt;&lt;/titles&gt;&lt;dates&gt;&lt;year&gt;2016&lt;/year&gt;&lt;/dates&gt;&lt;pub-location&gt;Sydney&lt;/pub-location&gt;&lt;publisher&gt;ACSQHC&lt;/publisher&gt;&lt;urls&gt;&lt;/urls&gt;&lt;/record&gt;&lt;/Cite&gt;&lt;/EndNote&gt;</w:instrText>
        </w:r>
        <w:r w:rsidRPr="00D475E4">
          <w:rPr>
            <w:color w:val="000000"/>
          </w:rPr>
          <w:fldChar w:fldCharType="separate"/>
        </w:r>
        <w:r w:rsidRPr="00D475E4">
          <w:rPr>
            <w:noProof/>
            <w:color w:val="000000"/>
            <w:vertAlign w:val="superscript"/>
          </w:rPr>
          <w:t>4</w:t>
        </w:r>
        <w:r w:rsidRPr="00D475E4">
          <w:rPr>
            <w:color w:val="000000"/>
          </w:rPr>
          <w:fldChar w:fldCharType="end"/>
        </w:r>
      </w:hyperlink>
    </w:p>
    <w:p w:rsidR="00C5112F" w:rsidRPr="00E57029" w:rsidRDefault="00C5112F" w:rsidP="00595543">
      <w:pPr>
        <w:keepNext/>
        <w:keepLines/>
        <w:tabs>
          <w:tab w:val="left" w:pos="1134"/>
        </w:tabs>
        <w:spacing w:before="240" w:after="120"/>
        <w:ind w:left="1134" w:hanging="1134"/>
        <w:rPr>
          <w:b/>
        </w:rPr>
      </w:pPr>
      <w:r w:rsidRPr="00E57029">
        <w:rPr>
          <w:b/>
        </w:rPr>
        <w:t>Figure 7:</w:t>
      </w:r>
      <w:r w:rsidRPr="00E57029">
        <w:rPr>
          <w:b/>
        </w:rPr>
        <w:tab/>
        <w:t xml:space="preserve">Amoxicillin with </w:t>
      </w:r>
      <w:proofErr w:type="spellStart"/>
      <w:r w:rsidRPr="00E57029">
        <w:rPr>
          <w:b/>
        </w:rPr>
        <w:t>clavulanate</w:t>
      </w:r>
      <w:proofErr w:type="spellEnd"/>
      <w:r w:rsidRPr="00E57029">
        <w:rPr>
          <w:b/>
        </w:rPr>
        <w:t xml:space="preserve"> dispensing in the community by age group (three-point moving average), Quarter 3 2012 to Quarter 4 2014</w:t>
      </w:r>
      <w:hyperlink w:anchor="_ENREF_3" w:tooltip="Australian Commission on Safety and Quality in Health Care, 2016 #12" w:history="1">
        <w:r w:rsidRPr="00E57029">
          <w:rPr>
            <w:b/>
          </w:rPr>
          <w:fldChar w:fldCharType="begin"/>
        </w:r>
        <w:r w:rsidRPr="00E57029">
          <w:rPr>
            <w:b/>
          </w:rPr>
          <w:instrText xml:space="preserve"> ADDIN EN.CITE &lt;EndNote&gt;&lt;Cite&gt;&lt;Author&gt;Australian Commission on Safety and Quality in Health Care&lt;/Author&gt;&lt;Year&gt;2016&lt;/Year&gt;&lt;RecNum&gt;12&lt;/RecNum&gt;&lt;DisplayText&gt;&lt;style face="superscript"&gt;3&lt;/style&gt;&lt;/DisplayText&gt;&lt;record&gt;&lt;rec-number&gt;12&lt;/rec-number&gt;&lt;foreign-keys&gt;&lt;key app="EN" db-id="rfdrt5f982tppcedt23vfxzvp52ea529f2pd"&gt;12&lt;/key&gt;&lt;/foreign-keys&gt;&lt;ref-type name="Generic"&gt;13&lt;/ref-type&gt;&lt;contributors&gt;&lt;authors&gt;&lt;author&gt;Australian Commission on Safety and Quality in Health Care,&lt;/author&gt;&lt;/authors&gt;&lt;/contributors&gt;&lt;titles&gt;&lt;title&gt;AURA 2016 supplementary data -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57029">
          <w:rPr>
            <w:b/>
          </w:rPr>
          <w:fldChar w:fldCharType="separate"/>
        </w:r>
        <w:r w:rsidRPr="00E57029">
          <w:rPr>
            <w:b/>
            <w:noProof/>
            <w:vertAlign w:val="superscript"/>
          </w:rPr>
          <w:t>3</w:t>
        </w:r>
        <w:r w:rsidRPr="00E57029">
          <w:rPr>
            <w:b/>
          </w:rPr>
          <w:fldChar w:fldCharType="end"/>
        </w:r>
      </w:hyperlink>
    </w:p>
    <w:p w:rsidR="00C5112F" w:rsidRDefault="00C5112F" w:rsidP="00C5112F">
      <w:pPr>
        <w:rPr>
          <w:sz w:val="18"/>
          <w:szCs w:val="18"/>
        </w:rPr>
      </w:pPr>
      <w:r>
        <w:rPr>
          <w:noProof/>
        </w:rPr>
        <w:drawing>
          <wp:inline distT="0" distB="0" distL="0" distR="0" wp14:anchorId="7EE73AB8" wp14:editId="07C4A786">
            <wp:extent cx="5010150" cy="2809875"/>
            <wp:effectExtent l="0" t="0" r="0" b="0"/>
            <wp:docPr id="16" name="Chart 16" descr="This figure shows that amoxicillin with clavulanate is prescribed most often for people over the age of 45, with greater use in winter month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5112F" w:rsidRPr="008A7E24" w:rsidRDefault="00C5112F" w:rsidP="00595543">
      <w:pPr>
        <w:spacing w:before="120"/>
        <w:rPr>
          <w:lang w:eastAsia="x-none"/>
        </w:rPr>
      </w:pPr>
      <w:r>
        <w:rPr>
          <w:sz w:val="18"/>
          <w:szCs w:val="18"/>
        </w:rPr>
        <w:t>Source</w:t>
      </w:r>
      <w:r w:rsidRPr="008A7E24">
        <w:rPr>
          <w:sz w:val="18"/>
          <w:szCs w:val="18"/>
        </w:rPr>
        <w:t>s: Drug Utilisation Sub-Committee; PBS</w:t>
      </w:r>
    </w:p>
    <w:p w:rsidR="00C5112F" w:rsidRPr="00D475E4" w:rsidRDefault="00C5112F" w:rsidP="0075258C">
      <w:pPr>
        <w:pStyle w:val="Heading3"/>
      </w:pPr>
      <w:r w:rsidRPr="00D475E4">
        <w:t>How appropriate is the use of β-lactamase inhibitor combinations</w:t>
      </w:r>
      <w:r>
        <w:t xml:space="preserve"> in hospitals and in the community</w:t>
      </w:r>
    </w:p>
    <w:p w:rsidR="00C5112F" w:rsidRPr="00D475E4" w:rsidRDefault="00C5112F" w:rsidP="00C5112F">
      <w:pPr>
        <w:rPr>
          <w:color w:val="000000"/>
        </w:rPr>
      </w:pPr>
      <w:r w:rsidRPr="00D475E4">
        <w:rPr>
          <w:color w:val="000000"/>
        </w:rPr>
        <w:t xml:space="preserve">Hospital prescribing of β-lactamase inhibitor combinations is often inappropriate. The NAPS data found that about one in five (19.5%) </w:t>
      </w:r>
      <w:proofErr w:type="spellStart"/>
      <w:r w:rsidRPr="00D475E4">
        <w:rPr>
          <w:color w:val="000000"/>
        </w:rPr>
        <w:t>piperacillin</w:t>
      </w:r>
      <w:proofErr w:type="spellEnd"/>
      <w:r w:rsidRPr="00D475E4">
        <w:rPr>
          <w:color w:val="000000"/>
        </w:rPr>
        <w:t xml:space="preserve"> with </w:t>
      </w:r>
      <w:proofErr w:type="spellStart"/>
      <w:r w:rsidRPr="00D475E4">
        <w:rPr>
          <w:color w:val="000000"/>
        </w:rPr>
        <w:t>tazobactam</w:t>
      </w:r>
      <w:proofErr w:type="spellEnd"/>
      <w:r w:rsidRPr="00D475E4">
        <w:rPr>
          <w:color w:val="000000"/>
        </w:rPr>
        <w:t xml:space="preserve"> prescriptions and about one in three (31.5%) amoxicillin with </w:t>
      </w:r>
      <w:proofErr w:type="spellStart"/>
      <w:r w:rsidRPr="00D475E4">
        <w:rPr>
          <w:color w:val="000000"/>
        </w:rPr>
        <w:t>clavulanate</w:t>
      </w:r>
      <w:proofErr w:type="spellEnd"/>
      <w:r w:rsidRPr="00D475E4">
        <w:rPr>
          <w:color w:val="000000"/>
        </w:rPr>
        <w:t xml:space="preserve"> prescriptions were inappropriate.</w:t>
      </w:r>
      <w:hyperlink w:anchor="_ENREF_11" w:tooltip="Australian Commission on Safety and Quality in Health Care., 2015 #20" w:history="1">
        <w:r w:rsidRPr="00D475E4">
          <w:rPr>
            <w:rFonts w:ascii="Gotham Bold" w:hAnsi="Gotham Bold" w:cs="Gotham Bold"/>
            <w:bCs/>
            <w:color w:val="000000"/>
          </w:rPr>
          <w:fldChar w:fldCharType="begin"/>
        </w:r>
        <w:r w:rsidRPr="00D475E4">
          <w:rPr>
            <w:rFonts w:ascii="Gotham Bold" w:hAnsi="Gotham Bold" w:cs="Gotham Bold"/>
            <w:bCs/>
            <w:color w:val="000000"/>
          </w:rPr>
          <w:instrText xml:space="preserve"> ADDIN EN.CITE &lt;EndNote&gt;&lt;Cite&gt;&lt;Author&gt;Australian Commission on Safety and Quality in Health Care.&lt;/Author&gt;&lt;Year&gt;2015&lt;/Year&gt;&lt;RecNum&gt;20&lt;/RecNum&gt;&lt;DisplayText&gt;&lt;style face="superscript"&gt;11&lt;/style&gt;&lt;/DisplayText&gt;&lt;record&gt;&lt;rec-number&gt;20&lt;/rec-number&gt;&lt;foreign-keys&gt;&lt;key app="EN" db-id="rfdrt5f982tppcedt23vfxzvp52ea529f2pd"&gt;20&lt;/key&gt;&lt;/foreign-keys&gt;&lt;ref-type name="Generic"&gt;13&lt;/ref-type&gt;&lt;contributors&gt;&lt;authors&gt;&lt;author&gt;Australian Commission on Safety and Quality in Health Care.,&lt;/author&gt;&lt;/authors&gt;&lt;/contributors&gt;&lt;titles&gt;&lt;title&gt;Antimicrobial prescribing practice in Australian hospitals: results of the 2014 national antimicrobial prescribing survey&lt;/title&gt;&lt;/titles&gt;&lt;dates&gt;&lt;year&gt;2015&lt;/year&gt;&lt;/dates&gt;&lt;pub-location&gt;Sydney&lt;/pub-location&gt;&lt;publisher&gt;ACSQHC&lt;/publisher&gt;&lt;urls&gt;&lt;/urls&gt;&lt;/record&gt;&lt;/Cite&gt;&lt;/EndNote&gt;</w:instrText>
        </w:r>
        <w:r w:rsidRPr="00D475E4">
          <w:rPr>
            <w:rFonts w:ascii="Gotham Bold" w:hAnsi="Gotham Bold" w:cs="Gotham Bold"/>
            <w:bCs/>
            <w:color w:val="000000"/>
          </w:rPr>
          <w:fldChar w:fldCharType="separate"/>
        </w:r>
        <w:r w:rsidRPr="00D475E4">
          <w:rPr>
            <w:rFonts w:ascii="Gotham Bold" w:hAnsi="Gotham Bold" w:cs="Gotham Bold"/>
            <w:bCs/>
            <w:noProof/>
            <w:color w:val="000000"/>
            <w:vertAlign w:val="superscript"/>
          </w:rPr>
          <w:t>11</w:t>
        </w:r>
        <w:r w:rsidRPr="00D475E4">
          <w:rPr>
            <w:rFonts w:ascii="Gotham Bold" w:hAnsi="Gotham Bold" w:cs="Gotham Bold"/>
            <w:bCs/>
            <w:color w:val="000000"/>
          </w:rPr>
          <w:fldChar w:fldCharType="end"/>
        </w:r>
      </w:hyperlink>
    </w:p>
    <w:p w:rsidR="00C5112F" w:rsidRPr="00D475E4" w:rsidRDefault="00C5112F" w:rsidP="00C5112F">
      <w:pPr>
        <w:rPr>
          <w:color w:val="000000"/>
        </w:rPr>
      </w:pPr>
      <w:r w:rsidRPr="00D475E4">
        <w:rPr>
          <w:color w:val="000000"/>
        </w:rPr>
        <w:t xml:space="preserve">Similarly, amoxicillin with </w:t>
      </w:r>
      <w:proofErr w:type="spellStart"/>
      <w:r w:rsidRPr="00D475E4">
        <w:rPr>
          <w:color w:val="000000"/>
        </w:rPr>
        <w:t>clavulanate</w:t>
      </w:r>
      <w:proofErr w:type="spellEnd"/>
      <w:r w:rsidRPr="00D475E4">
        <w:rPr>
          <w:color w:val="000000"/>
        </w:rPr>
        <w:t xml:space="preserve"> prescribing and use in the community is often inappropriate. The number of prescriptions dispensed ha</w:t>
      </w:r>
      <w:r>
        <w:rPr>
          <w:color w:val="000000"/>
        </w:rPr>
        <w:t>s</w:t>
      </w:r>
      <w:r w:rsidRPr="00D475E4">
        <w:rPr>
          <w:color w:val="000000"/>
        </w:rPr>
        <w:t xml:space="preserve"> consistently increased since 2008.</w:t>
      </w:r>
      <w:hyperlink w:anchor="_ENREF_1" w:tooltip="Australian Commission on Safety and Quality in Health Care, 2016 #8"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D475E4">
          <w:rPr>
            <w:color w:val="000000"/>
          </w:rPr>
          <w:fldChar w:fldCharType="separate"/>
        </w:r>
        <w:r w:rsidRPr="00D475E4">
          <w:rPr>
            <w:noProof/>
            <w:color w:val="000000"/>
            <w:vertAlign w:val="superscript"/>
          </w:rPr>
          <w:t>1</w:t>
        </w:r>
        <w:r w:rsidRPr="00D475E4">
          <w:rPr>
            <w:color w:val="000000"/>
          </w:rPr>
          <w:fldChar w:fldCharType="end"/>
        </w:r>
      </w:hyperlink>
      <w:r w:rsidRPr="00D475E4">
        <w:rPr>
          <w:color w:val="000000"/>
        </w:rPr>
        <w:t xml:space="preserve"> The most common indications recorded by </w:t>
      </w:r>
      <w:proofErr w:type="spellStart"/>
      <w:r w:rsidRPr="00D475E4">
        <w:rPr>
          <w:color w:val="000000"/>
        </w:rPr>
        <w:t>MedicineInsight</w:t>
      </w:r>
      <w:proofErr w:type="spellEnd"/>
      <w:r w:rsidRPr="00D475E4">
        <w:rPr>
          <w:color w:val="000000"/>
        </w:rPr>
        <w:t xml:space="preserve"> GPs were sinusitis and</w:t>
      </w:r>
      <w:r>
        <w:rPr>
          <w:color w:val="000000"/>
        </w:rPr>
        <w:t xml:space="preserve"> upper respiratory tract infections</w:t>
      </w:r>
      <w:r w:rsidRPr="00D475E4">
        <w:rPr>
          <w:color w:val="000000"/>
        </w:rPr>
        <w:t xml:space="preserve"> (see Table 13).</w:t>
      </w:r>
      <w:hyperlink w:anchor="_ENREF_1" w:tooltip="Australian Commission on Safety and Quality in Health Care, 2016 #8"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D475E4">
          <w:rPr>
            <w:color w:val="000000"/>
          </w:rPr>
          <w:fldChar w:fldCharType="separate"/>
        </w:r>
        <w:r w:rsidRPr="00D475E4">
          <w:rPr>
            <w:noProof/>
            <w:color w:val="000000"/>
            <w:vertAlign w:val="superscript"/>
          </w:rPr>
          <w:t>1</w:t>
        </w:r>
        <w:r w:rsidRPr="00D475E4">
          <w:rPr>
            <w:color w:val="000000"/>
          </w:rPr>
          <w:fldChar w:fldCharType="end"/>
        </w:r>
      </w:hyperlink>
      <w:r w:rsidRPr="00D475E4">
        <w:rPr>
          <w:color w:val="000000"/>
        </w:rPr>
        <w:t xml:space="preserve"> Amoxicillin with </w:t>
      </w:r>
      <w:proofErr w:type="spellStart"/>
      <w:r w:rsidRPr="00D475E4">
        <w:rPr>
          <w:color w:val="000000"/>
        </w:rPr>
        <w:t>clavulanate</w:t>
      </w:r>
      <w:proofErr w:type="spellEnd"/>
      <w:r w:rsidRPr="00D475E4">
        <w:rPr>
          <w:color w:val="000000"/>
        </w:rPr>
        <w:t xml:space="preserve"> is not indicated for either of these</w:t>
      </w:r>
      <w:r w:rsidRPr="00445DB4">
        <w:rPr>
          <w:color w:val="000000"/>
        </w:rPr>
        <w:t>.</w:t>
      </w:r>
      <w:hyperlink w:anchor="_ENREF_8" w:tooltip="Antibiotic Expert Writing Group, 2014 #1" w:history="1">
        <w:r w:rsidRPr="00445DB4">
          <w:rPr>
            <w:color w:val="000000"/>
          </w:rPr>
          <w:fldChar w:fldCharType="begin"/>
        </w:r>
        <w:r w:rsidRPr="00445DB4">
          <w:rPr>
            <w:color w:val="000000"/>
          </w:rPr>
          <w:instrText xml:space="preserve"> ADDIN EN.CITE &lt;EndNote&gt;&lt;Cite&gt;&lt;Author&gt;Antibiotic Expert Writing Group&lt;/Author&gt;&lt;Year&gt;2014&lt;/Year&gt;&lt;RecNum&gt;1&lt;/RecNum&gt;&lt;DisplayText&gt;&lt;style face="superscript"&gt;8&lt;/style&gt;&lt;/DisplayText&gt;&lt;record&gt;&lt;rec-number&gt;1&lt;/rec-number&gt;&lt;foreign-keys&gt;&lt;key app="EN" db-id="rfdrt5f982tppcedt23vfxzvp52ea529f2pd"&gt;1&lt;/key&gt;&lt;/foreign-keys&gt;&lt;ref-type name="Book"&gt;6&lt;/ref-type&gt;&lt;contributors&gt;&lt;authors&gt;&lt;author&gt;Antibiotic Expert Writing Group, .&lt;/author&gt;&lt;/authors&gt;&lt;/contributors&gt;&lt;titles&gt;&lt;title&gt;Therapeutic Guidelines Antibiotic eTG Complete November 2015&lt;/title&gt;&lt;/titles&gt;&lt;dates&gt;&lt;year&gt;2014&lt;/year&gt;&lt;/dates&gt;&lt;pub-location&gt;Melbourne&lt;/pub-location&gt;&lt;publisher&gt;Therapetic Guidelines Limited&lt;/publisher&gt;&lt;urls&gt;&lt;/urls&gt;&lt;/record&gt;&lt;/Cite&gt;&lt;/EndNote&gt;</w:instrText>
        </w:r>
        <w:r w:rsidRPr="00445DB4">
          <w:rPr>
            <w:color w:val="000000"/>
          </w:rPr>
          <w:fldChar w:fldCharType="separate"/>
        </w:r>
        <w:r w:rsidRPr="00445DB4">
          <w:rPr>
            <w:noProof/>
            <w:color w:val="000000"/>
            <w:vertAlign w:val="superscript"/>
          </w:rPr>
          <w:t>8</w:t>
        </w:r>
        <w:r w:rsidRPr="00445DB4">
          <w:rPr>
            <w:color w:val="000000"/>
          </w:rPr>
          <w:fldChar w:fldCharType="end"/>
        </w:r>
      </w:hyperlink>
      <w:r w:rsidRPr="00D475E4">
        <w:rPr>
          <w:color w:val="000000"/>
        </w:rPr>
        <w:t xml:space="preserve"> There was wide variation between practices in the proportion of repeat pres</w:t>
      </w:r>
      <w:r>
        <w:rPr>
          <w:color w:val="000000"/>
        </w:rPr>
        <w:t xml:space="preserve">criptions for upper respiratory tract infections </w:t>
      </w:r>
      <w:r w:rsidRPr="00D475E4">
        <w:rPr>
          <w:color w:val="000000"/>
        </w:rPr>
        <w:t xml:space="preserve">(see </w:t>
      </w:r>
      <w:r w:rsidRPr="00D475E4">
        <w:t>Table 13</w:t>
      </w:r>
      <w:r w:rsidRPr="00D475E4">
        <w:rPr>
          <w:color w:val="000000"/>
        </w:rPr>
        <w:t>).</w:t>
      </w:r>
      <w:hyperlink w:anchor="_ENREF_1" w:tooltip="Australian Commission on Safety and Quality in Health Care, 2016 #8" w:history="1">
        <w:r w:rsidRPr="00D475E4">
          <w:rPr>
            <w:color w:val="000000"/>
          </w:rPr>
          <w:fldChar w:fldCharType="begin"/>
        </w:r>
        <w:r w:rsidRPr="00D475E4">
          <w:rPr>
            <w:color w:val="000000"/>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D475E4">
          <w:rPr>
            <w:color w:val="000000"/>
          </w:rPr>
          <w:fldChar w:fldCharType="separate"/>
        </w:r>
        <w:r w:rsidRPr="00D475E4">
          <w:rPr>
            <w:noProof/>
            <w:color w:val="000000"/>
            <w:vertAlign w:val="superscript"/>
          </w:rPr>
          <w:t>1</w:t>
        </w:r>
        <w:r w:rsidRPr="00D475E4">
          <w:rPr>
            <w:color w:val="000000"/>
          </w:rPr>
          <w:fldChar w:fldCharType="end"/>
        </w:r>
      </w:hyperlink>
    </w:p>
    <w:p w:rsidR="00C5112F" w:rsidRPr="00E57029" w:rsidRDefault="00C5112F" w:rsidP="00595543">
      <w:pPr>
        <w:keepNext/>
        <w:keepLines/>
        <w:tabs>
          <w:tab w:val="left" w:pos="1134"/>
        </w:tabs>
        <w:spacing w:before="240" w:after="120"/>
        <w:ind w:left="1134" w:hanging="1134"/>
        <w:rPr>
          <w:b/>
        </w:rPr>
      </w:pPr>
      <w:r w:rsidRPr="00E57029">
        <w:rPr>
          <w:b/>
        </w:rPr>
        <w:lastRenderedPageBreak/>
        <w:t>Table 13:</w:t>
      </w:r>
      <w:r w:rsidRPr="00E57029">
        <w:rPr>
          <w:b/>
        </w:rPr>
        <w:tab/>
        <w:t xml:space="preserve">Patterns of use, indications for prescribing, repeat prescribing, and differences between PBS/RPBS and private prescriptions for amoxicillin with </w:t>
      </w:r>
      <w:proofErr w:type="spellStart"/>
      <w:r w:rsidRPr="00E57029">
        <w:rPr>
          <w:b/>
        </w:rPr>
        <w:t>clavulanate</w:t>
      </w:r>
      <w:proofErr w:type="spellEnd"/>
      <w:r w:rsidRPr="00E57029">
        <w:rPr>
          <w:b/>
        </w:rPr>
        <w:t>, 2014</w:t>
      </w:r>
      <w:hyperlink w:anchor="_ENREF_1" w:tooltip="Australian Commission on Safety and Quality in Health Care, 2016 #8" w:history="1">
        <w:r w:rsidRPr="00E57029">
          <w:rPr>
            <w:b/>
          </w:rPr>
          <w:fldChar w:fldCharType="begin"/>
        </w:r>
        <w:r w:rsidRPr="00E57029">
          <w:rPr>
            <w:b/>
          </w:rPr>
          <w:instrText xml:space="preserve"> ADDIN EN.CITE &lt;EndNote&gt;&lt;Cite&gt;&lt;Author&gt;Australian Commission on Safety and Quality in Health Care&lt;/Author&gt;&lt;Year&gt;2016&lt;/Year&gt;&lt;RecNum&gt;8&lt;/RecNum&gt;&lt;DisplayText&gt;&lt;style face="superscript"&gt;1&lt;/style&gt;&lt;/DisplayText&gt;&lt;record&gt;&lt;rec-number&gt;8&lt;/rec-number&gt;&lt;foreign-keys&gt;&lt;key app="EN" db-id="rfdrt5f982tppcedt23vfxzvp52ea529f2pd"&gt;8&lt;/key&gt;&lt;/foreign-keys&gt;&lt;ref-type name="Generic"&gt;13&lt;/ref-type&gt;&lt;contributors&gt;&lt;authors&gt;&lt;author&gt;Australian Commission on Safety and Quality in Health Care,&lt;/author&gt;&lt;/authors&gt;&lt;/contributors&gt;&lt;titles&gt;&lt;title&gt;AURA 2016: first Australian report on antimicrobial use and resistance in human health&lt;/title&gt;&lt;/titles&gt;&lt;dates&gt;&lt;year&gt;2016&lt;/year&gt;&lt;/dates&gt;&lt;pub-location&gt;Sydney&lt;/pub-location&gt;&lt;publisher&gt;ACSQHC&lt;/publisher&gt;&lt;urls&gt;&lt;related-urls&gt;&lt;url&gt;http://www.safetyandquality.gov.au/our-work/clinical-care-standards/antimicrobial-stewardship-clinical-care-standard/&lt;/url&gt;&lt;/related-urls&gt;&lt;/urls&gt;&lt;/record&gt;&lt;/Cite&gt;&lt;/EndNote&gt;</w:instrText>
        </w:r>
        <w:r w:rsidRPr="00E57029">
          <w:rPr>
            <w:b/>
          </w:rPr>
          <w:fldChar w:fldCharType="separate"/>
        </w:r>
        <w:r w:rsidRPr="00E57029">
          <w:rPr>
            <w:b/>
            <w:noProof/>
            <w:vertAlign w:val="superscript"/>
          </w:rPr>
          <w:t>1</w:t>
        </w:r>
        <w:r w:rsidRPr="00E57029">
          <w:rPr>
            <w:b/>
          </w:rPr>
          <w:fldChar w:fldCharType="end"/>
        </w:r>
      </w:hyperlink>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1701"/>
        <w:gridCol w:w="1985"/>
        <w:gridCol w:w="1276"/>
      </w:tblGrid>
      <w:tr w:rsidR="00C5112F" w:rsidRPr="0063614F" w:rsidTr="00C5112F">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112F" w:rsidRPr="0063614F" w:rsidRDefault="00C5112F" w:rsidP="00C5112F">
            <w:pPr>
              <w:keepNext/>
              <w:spacing w:before="20" w:after="20"/>
              <w:jc w:val="center"/>
              <w:rPr>
                <w:rFonts w:ascii="Arial Narrow" w:eastAsia="Calibri" w:hAnsi="Arial Narrow"/>
                <w:b/>
                <w:bCs/>
                <w:sz w:val="18"/>
                <w:szCs w:val="18"/>
              </w:rPr>
            </w:pPr>
            <w:r w:rsidRPr="0063614F">
              <w:rPr>
                <w:rFonts w:ascii="Arial Narrow" w:eastAsia="Calibri" w:hAnsi="Arial Narrow"/>
                <w:b/>
                <w:bCs/>
                <w:sz w:val="18"/>
                <w:szCs w:val="18"/>
              </w:rPr>
              <w:t>Antibacterial (PBS/RPBS benefit)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12F" w:rsidRPr="0063614F" w:rsidRDefault="00C5112F" w:rsidP="00C5112F">
            <w:pPr>
              <w:keepNext/>
              <w:spacing w:before="20" w:after="20"/>
              <w:jc w:val="center"/>
              <w:rPr>
                <w:rFonts w:ascii="Arial Narrow" w:eastAsia="Calibri" w:hAnsi="Arial Narrow"/>
                <w:b/>
                <w:bCs/>
                <w:sz w:val="18"/>
                <w:szCs w:val="18"/>
              </w:rPr>
            </w:pPr>
            <w:r w:rsidRPr="0063614F">
              <w:rPr>
                <w:rFonts w:ascii="Arial Narrow" w:eastAsia="Calibri" w:hAnsi="Arial Narrow"/>
                <w:b/>
                <w:bCs/>
                <w:sz w:val="18"/>
                <w:szCs w:val="18"/>
              </w:rPr>
              <w:t>Patients issued a prescription (%)</w:t>
            </w:r>
            <w:r w:rsidRPr="0063614F">
              <w:rPr>
                <w:rFonts w:ascii="Arial Narrow" w:eastAsia="Calibri" w:hAnsi="Arial Narrow"/>
                <w:b/>
                <w:bCs/>
                <w:sz w:val="18"/>
                <w:szCs w:val="18"/>
                <w:vertAlign w:val="superscript"/>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12F" w:rsidRPr="0063614F" w:rsidRDefault="00C5112F" w:rsidP="00C5112F">
            <w:pPr>
              <w:keepNext/>
              <w:spacing w:before="20" w:after="20"/>
              <w:jc w:val="center"/>
              <w:rPr>
                <w:rFonts w:ascii="Arial Narrow" w:eastAsia="Calibri" w:hAnsi="Arial Narrow"/>
                <w:b/>
                <w:bCs/>
                <w:sz w:val="18"/>
                <w:szCs w:val="18"/>
              </w:rPr>
            </w:pPr>
            <w:r w:rsidRPr="0063614F">
              <w:rPr>
                <w:rFonts w:ascii="Arial Narrow" w:eastAsia="Calibri" w:hAnsi="Arial Narrow"/>
                <w:b/>
                <w:bCs/>
                <w:sz w:val="18"/>
                <w:szCs w:val="18"/>
              </w:rPr>
              <w:t>Most common indications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112F" w:rsidRPr="0063614F" w:rsidRDefault="00C5112F" w:rsidP="00C5112F">
            <w:pPr>
              <w:keepNext/>
              <w:spacing w:before="20" w:after="20"/>
              <w:jc w:val="center"/>
              <w:rPr>
                <w:rFonts w:ascii="Arial Narrow" w:eastAsia="Calibri" w:hAnsi="Arial Narrow"/>
                <w:b/>
                <w:bCs/>
                <w:sz w:val="18"/>
                <w:szCs w:val="18"/>
              </w:rPr>
            </w:pPr>
            <w:r w:rsidRPr="0063614F">
              <w:rPr>
                <w:rFonts w:ascii="Arial Narrow" w:eastAsia="Calibri" w:hAnsi="Arial Narrow"/>
                <w:b/>
                <w:bCs/>
                <w:sz w:val="18"/>
                <w:szCs w:val="18"/>
              </w:rPr>
              <w:t>Patient cohort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5112F" w:rsidRPr="0063614F" w:rsidRDefault="00C5112F" w:rsidP="00C5112F">
            <w:pPr>
              <w:keepNext/>
              <w:spacing w:before="20" w:after="20"/>
              <w:jc w:val="center"/>
              <w:rPr>
                <w:rFonts w:ascii="Arial Narrow" w:eastAsia="Calibri" w:hAnsi="Arial Narrow"/>
                <w:b/>
                <w:bCs/>
                <w:sz w:val="18"/>
                <w:szCs w:val="18"/>
              </w:rPr>
            </w:pPr>
            <w:r w:rsidRPr="0063614F">
              <w:rPr>
                <w:rFonts w:ascii="Arial Narrow" w:eastAsia="Calibri" w:hAnsi="Arial Narrow"/>
                <w:b/>
                <w:bCs/>
                <w:sz w:val="18"/>
                <w:szCs w:val="18"/>
              </w:rPr>
              <w:t>Repeats prescribed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112F" w:rsidRPr="0063614F" w:rsidRDefault="00C5112F" w:rsidP="00C5112F">
            <w:pPr>
              <w:keepNext/>
              <w:spacing w:before="20" w:after="20"/>
              <w:jc w:val="center"/>
              <w:rPr>
                <w:rFonts w:ascii="Arial Narrow" w:eastAsia="Calibri" w:hAnsi="Arial Narrow"/>
                <w:b/>
                <w:bCs/>
                <w:sz w:val="18"/>
                <w:szCs w:val="18"/>
              </w:rPr>
            </w:pPr>
            <w:r w:rsidRPr="0063614F">
              <w:rPr>
                <w:rFonts w:ascii="Arial Narrow" w:eastAsia="Calibri" w:hAnsi="Arial Narrow"/>
                <w:b/>
                <w:bCs/>
                <w:sz w:val="18"/>
                <w:szCs w:val="18"/>
              </w:rPr>
              <w:t>Differences between PBS/RPBS and private prescriptions</w:t>
            </w:r>
          </w:p>
        </w:tc>
      </w:tr>
      <w:tr w:rsidR="00C5112F" w:rsidRPr="00300367" w:rsidTr="00C5112F">
        <w:tc>
          <w:tcPr>
            <w:tcW w:w="1276"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 xml:space="preserve">Amoxicillin with </w:t>
            </w:r>
            <w:proofErr w:type="spellStart"/>
            <w:r w:rsidRPr="00300367">
              <w:rPr>
                <w:rFonts w:eastAsia="Calibri"/>
                <w:color w:val="000000"/>
                <w:sz w:val="20"/>
              </w:rPr>
              <w:t>clavulanate</w:t>
            </w:r>
            <w:proofErr w:type="spellEnd"/>
            <w:r w:rsidRPr="00300367">
              <w:rPr>
                <w:rFonts w:eastAsia="Calibri"/>
                <w:color w:val="000000"/>
                <w:sz w:val="20"/>
              </w:rPr>
              <w:t xml:space="preserve"> (restricted to infections resistant to amoxicillin)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Sinusitis (15%)</w:t>
            </w:r>
          </w:p>
          <w:p w:rsidR="00C5112F" w:rsidRPr="00300367" w:rsidRDefault="00C5112F" w:rsidP="00C5112F">
            <w:pPr>
              <w:keepNext/>
              <w:spacing w:before="20" w:after="20"/>
              <w:rPr>
                <w:rFonts w:eastAsia="Calibri"/>
                <w:color w:val="000000"/>
                <w:sz w:val="20"/>
              </w:rPr>
            </w:pPr>
            <w:r w:rsidRPr="00300367">
              <w:rPr>
                <w:rFonts w:eastAsia="Calibri"/>
                <w:color w:val="000000"/>
                <w:sz w:val="20"/>
              </w:rPr>
              <w:t>Acute URTIs (14%)</w:t>
            </w:r>
          </w:p>
          <w:p w:rsidR="00C5112F" w:rsidRPr="00300367" w:rsidRDefault="00C5112F" w:rsidP="00C5112F">
            <w:pPr>
              <w:keepNext/>
              <w:spacing w:before="20" w:after="20"/>
              <w:rPr>
                <w:rFonts w:eastAsia="Calibri"/>
                <w:color w:val="000000"/>
                <w:sz w:val="20"/>
              </w:rPr>
            </w:pPr>
            <w:r w:rsidRPr="00300367">
              <w:rPr>
                <w:rFonts w:eastAsia="Calibri"/>
                <w:color w:val="000000"/>
                <w:sz w:val="20"/>
              </w:rPr>
              <w:t>Otitis media (10%)</w:t>
            </w:r>
          </w:p>
          <w:p w:rsidR="00C5112F" w:rsidRPr="00300367" w:rsidRDefault="00C5112F" w:rsidP="00C5112F">
            <w:pPr>
              <w:keepNext/>
              <w:spacing w:before="20" w:after="20"/>
              <w:rPr>
                <w:rFonts w:eastAsia="Calibri"/>
                <w:color w:val="000000"/>
                <w:sz w:val="20"/>
              </w:rPr>
            </w:pPr>
            <w:r w:rsidRPr="00300367">
              <w:rPr>
                <w:rFonts w:eastAsia="Calibri"/>
                <w:color w:val="000000"/>
                <w:sz w:val="20"/>
              </w:rPr>
              <w:t>Skin and wound infections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Higher use in major cities and patients with COPD or asthma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58% of prescriptions ordered with one or more repeats (often for COPD, sinusitis or bronchitis)</w:t>
            </w:r>
          </w:p>
          <w:p w:rsidR="00C5112F" w:rsidRPr="00300367" w:rsidRDefault="00C5112F" w:rsidP="00C5112F">
            <w:pPr>
              <w:keepNext/>
              <w:spacing w:before="20" w:after="20"/>
              <w:rPr>
                <w:rFonts w:eastAsia="Calibri"/>
                <w:color w:val="000000"/>
                <w:sz w:val="20"/>
              </w:rPr>
            </w:pPr>
            <w:r w:rsidRPr="00300367">
              <w:rPr>
                <w:rFonts w:eastAsia="Calibri"/>
                <w:color w:val="000000"/>
                <w:sz w:val="20"/>
              </w:rPr>
              <w:t>Wide variation between practices in repeats for URTIs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112F" w:rsidRPr="00300367" w:rsidRDefault="00C5112F" w:rsidP="00C5112F">
            <w:pPr>
              <w:keepNext/>
              <w:spacing w:before="20" w:after="20"/>
              <w:rPr>
                <w:rFonts w:eastAsia="Calibri"/>
                <w:color w:val="000000"/>
                <w:sz w:val="20"/>
              </w:rPr>
            </w:pPr>
            <w:r w:rsidRPr="00300367">
              <w:rPr>
                <w:rFonts w:eastAsia="Calibri"/>
                <w:color w:val="000000"/>
                <w:sz w:val="20"/>
              </w:rPr>
              <w:t>Negligible private use</w:t>
            </w:r>
          </w:p>
          <w:p w:rsidR="00C5112F" w:rsidRPr="00300367" w:rsidRDefault="00C5112F" w:rsidP="00C5112F">
            <w:pPr>
              <w:keepNext/>
              <w:spacing w:before="20" w:after="20"/>
              <w:rPr>
                <w:rFonts w:eastAsia="Calibri"/>
                <w:color w:val="000000"/>
                <w:sz w:val="20"/>
              </w:rPr>
            </w:pPr>
          </w:p>
        </w:tc>
      </w:tr>
    </w:tbl>
    <w:p w:rsidR="00C5112F" w:rsidRPr="00D475E4" w:rsidRDefault="00C5112F" w:rsidP="00595543">
      <w:pPr>
        <w:keepNext/>
        <w:spacing w:before="120" w:after="20"/>
        <w:rPr>
          <w:bCs/>
          <w:color w:val="000000"/>
          <w:sz w:val="18"/>
          <w:szCs w:val="18"/>
        </w:rPr>
      </w:pPr>
      <w:r w:rsidRPr="00D475E4">
        <w:rPr>
          <w:bCs/>
          <w:color w:val="000000"/>
          <w:sz w:val="18"/>
          <w:szCs w:val="18"/>
        </w:rPr>
        <w:t>COPD = chronic obstructive pulmonary disease; PBS/RPBS = Pharmaceutical Benefits Scheme / Repatriation Pharmaceutical Benefits Scheme; URTI = upper respiratory tract infection</w:t>
      </w:r>
    </w:p>
    <w:p w:rsidR="00C5112F" w:rsidRPr="00D475E4" w:rsidRDefault="00C5112F" w:rsidP="00C5112F">
      <w:pPr>
        <w:keepNext/>
        <w:spacing w:before="20" w:after="20"/>
        <w:rPr>
          <w:bCs/>
          <w:color w:val="000000"/>
          <w:sz w:val="18"/>
          <w:szCs w:val="18"/>
        </w:rPr>
      </w:pPr>
      <w:proofErr w:type="gramStart"/>
      <w:r>
        <w:rPr>
          <w:bCs/>
          <w:color w:val="000000"/>
          <w:sz w:val="18"/>
          <w:szCs w:val="18"/>
        </w:rPr>
        <w:t>a</w:t>
      </w:r>
      <w:proofErr w:type="gramEnd"/>
      <w:r>
        <w:rPr>
          <w:bCs/>
          <w:color w:val="000000"/>
          <w:sz w:val="18"/>
          <w:szCs w:val="18"/>
        </w:rPr>
        <w:t xml:space="preserve"> </w:t>
      </w:r>
      <w:r w:rsidRPr="00D475E4">
        <w:rPr>
          <w:bCs/>
          <w:color w:val="000000"/>
          <w:sz w:val="18"/>
          <w:szCs w:val="18"/>
        </w:rPr>
        <w:t xml:space="preserve">Percentage of patients who visited a </w:t>
      </w:r>
      <w:r>
        <w:rPr>
          <w:bCs/>
          <w:color w:val="000000"/>
          <w:sz w:val="18"/>
          <w:szCs w:val="18"/>
        </w:rPr>
        <w:t>GP</w:t>
      </w:r>
      <w:r w:rsidRPr="00D475E4">
        <w:rPr>
          <w:bCs/>
          <w:color w:val="000000"/>
          <w:sz w:val="18"/>
          <w:szCs w:val="18"/>
        </w:rPr>
        <w:t xml:space="preserve"> at least once, or had one or more prescriptions in 2014 that were for the specified antimicrobial. </w:t>
      </w:r>
    </w:p>
    <w:p w:rsidR="00C5112F" w:rsidRPr="00D475E4" w:rsidRDefault="00C5112F" w:rsidP="00C5112F">
      <w:pPr>
        <w:keepNext/>
        <w:spacing w:before="20" w:after="20"/>
        <w:rPr>
          <w:bCs/>
          <w:color w:val="000000"/>
          <w:sz w:val="18"/>
          <w:szCs w:val="18"/>
        </w:rPr>
      </w:pPr>
      <w:r>
        <w:rPr>
          <w:bCs/>
          <w:color w:val="000000"/>
          <w:sz w:val="18"/>
          <w:szCs w:val="18"/>
        </w:rPr>
        <w:t>Source</w:t>
      </w:r>
      <w:r w:rsidRPr="00D475E4">
        <w:rPr>
          <w:bCs/>
          <w:color w:val="000000"/>
          <w:sz w:val="18"/>
          <w:szCs w:val="18"/>
        </w:rPr>
        <w:t xml:space="preserve">: NPS </w:t>
      </w:r>
      <w:proofErr w:type="spellStart"/>
      <w:r w:rsidRPr="00D475E4">
        <w:rPr>
          <w:bCs/>
          <w:color w:val="000000"/>
          <w:sz w:val="18"/>
          <w:szCs w:val="18"/>
        </w:rPr>
        <w:t>MedicineWise</w:t>
      </w:r>
      <w:proofErr w:type="spellEnd"/>
      <w:r w:rsidRPr="00D475E4">
        <w:rPr>
          <w:bCs/>
          <w:color w:val="000000"/>
          <w:sz w:val="18"/>
          <w:szCs w:val="18"/>
        </w:rPr>
        <w:t xml:space="preserve"> </w:t>
      </w:r>
      <w:proofErr w:type="spellStart"/>
      <w:r w:rsidRPr="00D475E4">
        <w:rPr>
          <w:bCs/>
          <w:color w:val="000000"/>
          <w:sz w:val="18"/>
          <w:szCs w:val="18"/>
        </w:rPr>
        <w:t>MedicineInsight</w:t>
      </w:r>
      <w:proofErr w:type="spellEnd"/>
    </w:p>
    <w:p w:rsidR="00C5112F" w:rsidRDefault="00C5112F" w:rsidP="00C5112F">
      <w:pPr>
        <w:rPr>
          <w:sz w:val="24"/>
        </w:rPr>
      </w:pPr>
      <w:r>
        <w:rPr>
          <w:sz w:val="24"/>
        </w:rPr>
        <w:br w:type="page"/>
      </w:r>
    </w:p>
    <w:p w:rsidR="00B7794A" w:rsidRPr="006A07F3" w:rsidRDefault="00B7794A" w:rsidP="00514311">
      <w:pPr>
        <w:pStyle w:val="Heading5"/>
        <w:shd w:val="clear" w:color="auto" w:fill="DAEEF3" w:themeFill="accent5" w:themeFillTint="33"/>
        <w:rPr>
          <w:szCs w:val="22"/>
        </w:rPr>
      </w:pPr>
      <w:r w:rsidRPr="006A07F3">
        <w:rPr>
          <w:szCs w:val="22"/>
        </w:rPr>
        <w:lastRenderedPageBreak/>
        <w:t xml:space="preserve">Case Study 2: Use amoxicillin with </w:t>
      </w:r>
      <w:proofErr w:type="spellStart"/>
      <w:r w:rsidRPr="006A07F3">
        <w:rPr>
          <w:szCs w:val="22"/>
        </w:rPr>
        <w:t>clavulanate</w:t>
      </w:r>
      <w:proofErr w:type="spellEnd"/>
      <w:r w:rsidRPr="006A07F3">
        <w:rPr>
          <w:szCs w:val="22"/>
        </w:rPr>
        <w:t xml:space="preserve"> only when it is clearly indicated</w:t>
      </w:r>
    </w:p>
    <w:p w:rsidR="00B7794A" w:rsidRDefault="00B7794A" w:rsidP="00514311">
      <w:pPr>
        <w:shd w:val="clear" w:color="auto" w:fill="DAEEF3" w:themeFill="accent5" w:themeFillTint="33"/>
        <w:rPr>
          <w:color w:val="000000"/>
          <w:szCs w:val="22"/>
          <w:vertAlign w:val="superscript"/>
        </w:rPr>
      </w:pPr>
      <w:r w:rsidRPr="006A07F3">
        <w:rPr>
          <w:color w:val="000000"/>
          <w:szCs w:val="22"/>
        </w:rPr>
        <w:t>Amoxicillin is the most commonly dispensed antibacterial in the Australian community</w:t>
      </w:r>
      <w:hyperlink w:anchor="_ENREF_8" w:tooltip="Australian Commission on Safety and Quality in Health Care, 2015 #18" w:history="1">
        <w:r w:rsidRPr="006A07F3">
          <w:rPr>
            <w:color w:val="000000"/>
            <w:szCs w:val="22"/>
            <w:vertAlign w:val="superscript"/>
          </w:rPr>
          <w:t>2</w:t>
        </w:r>
      </w:hyperlink>
      <w:r w:rsidRPr="006A07F3">
        <w:rPr>
          <w:color w:val="000000"/>
          <w:szCs w:val="22"/>
        </w:rPr>
        <w:t xml:space="preserve"> and the combination of amoxicillin with </w:t>
      </w:r>
      <w:proofErr w:type="spellStart"/>
      <w:r w:rsidRPr="006A07F3">
        <w:rPr>
          <w:color w:val="000000"/>
          <w:szCs w:val="22"/>
        </w:rPr>
        <w:t>clavulanate</w:t>
      </w:r>
      <w:proofErr w:type="spellEnd"/>
      <w:r w:rsidRPr="006A07F3">
        <w:rPr>
          <w:color w:val="000000"/>
          <w:szCs w:val="22"/>
        </w:rPr>
        <w:t xml:space="preserve"> is the third most commonly dispensed. Combined, these two accounted for more than 10 million prescriptions dispensed under the PBS in 2013–14.</w:t>
      </w:r>
      <w:hyperlink w:anchor="_ENREF_8" w:tooltip="Australian Commission on Safety and Quality in Health Care, 2015 #18" w:history="1">
        <w:r w:rsidRPr="006A07F3">
          <w:rPr>
            <w:color w:val="000000"/>
            <w:szCs w:val="22"/>
            <w:vertAlign w:val="superscript"/>
          </w:rPr>
          <w:t>2</w:t>
        </w:r>
      </w:hyperlink>
      <w:r w:rsidRPr="006A07F3">
        <w:rPr>
          <w:color w:val="000000"/>
          <w:szCs w:val="22"/>
        </w:rPr>
        <w:t xml:space="preserve"> Amoxicillin with </w:t>
      </w:r>
      <w:proofErr w:type="spellStart"/>
      <w:r w:rsidRPr="006A07F3">
        <w:rPr>
          <w:color w:val="000000"/>
          <w:szCs w:val="22"/>
        </w:rPr>
        <w:t>clavulanate</w:t>
      </w:r>
      <w:proofErr w:type="spellEnd"/>
      <w:r w:rsidRPr="006A07F3">
        <w:rPr>
          <w:color w:val="000000"/>
          <w:szCs w:val="22"/>
        </w:rPr>
        <w:t xml:space="preserve"> is restricted on the PBS for infections where resistance to amoxicillin is suspected or proven.</w:t>
      </w:r>
      <w:hyperlink w:anchor="_ENREF_3" w:tooltip="Australian Governmentt, 2016 #11" w:history="1">
        <w:r w:rsidRPr="006A07F3">
          <w:rPr>
            <w:color w:val="000000"/>
            <w:szCs w:val="22"/>
            <w:vertAlign w:val="superscript"/>
          </w:rPr>
          <w:t>12</w:t>
        </w:r>
      </w:hyperlink>
      <w:r w:rsidRPr="006A07F3">
        <w:rPr>
          <w:color w:val="000000"/>
          <w:szCs w:val="22"/>
        </w:rPr>
        <w:t xml:space="preserve"> Amoxicillin is preferred for most upper and lower bacterial respiratory infections.</w:t>
      </w:r>
      <w:r w:rsidRPr="006A07F3">
        <w:rPr>
          <w:szCs w:val="22"/>
          <w:vertAlign w:val="superscript"/>
        </w:rPr>
        <w:t>8</w:t>
      </w:r>
      <w:r w:rsidRPr="006A07F3">
        <w:rPr>
          <w:color w:val="000000"/>
          <w:szCs w:val="22"/>
        </w:rPr>
        <w:t xml:space="preserve"> The NPS </w:t>
      </w:r>
      <w:proofErr w:type="spellStart"/>
      <w:r w:rsidRPr="006A07F3">
        <w:rPr>
          <w:color w:val="000000"/>
          <w:szCs w:val="22"/>
        </w:rPr>
        <w:t>MedicineWise</w:t>
      </w:r>
      <w:proofErr w:type="spellEnd"/>
      <w:r w:rsidRPr="006A07F3">
        <w:rPr>
          <w:color w:val="000000"/>
          <w:szCs w:val="22"/>
        </w:rPr>
        <w:t xml:space="preserve"> </w:t>
      </w:r>
      <w:proofErr w:type="spellStart"/>
      <w:r w:rsidRPr="006A07F3">
        <w:rPr>
          <w:color w:val="000000"/>
          <w:szCs w:val="22"/>
        </w:rPr>
        <w:t>Med</w:t>
      </w:r>
      <w:r w:rsidR="00595543" w:rsidRPr="006A07F3">
        <w:rPr>
          <w:color w:val="000000"/>
          <w:szCs w:val="22"/>
        </w:rPr>
        <w:t>icineInsight</w:t>
      </w:r>
      <w:proofErr w:type="spellEnd"/>
      <w:r w:rsidR="00595543" w:rsidRPr="006A07F3">
        <w:rPr>
          <w:color w:val="000000"/>
          <w:szCs w:val="22"/>
        </w:rPr>
        <w:t xml:space="preserve"> program data show</w:t>
      </w:r>
      <w:r w:rsidRPr="006A07F3">
        <w:rPr>
          <w:color w:val="000000"/>
          <w:szCs w:val="22"/>
        </w:rPr>
        <w:t xml:space="preserve"> that 15% of amoxicillin with </w:t>
      </w:r>
      <w:proofErr w:type="spellStart"/>
      <w:r w:rsidRPr="006A07F3">
        <w:rPr>
          <w:color w:val="000000"/>
          <w:szCs w:val="22"/>
        </w:rPr>
        <w:t>clavulanate</w:t>
      </w:r>
      <w:proofErr w:type="spellEnd"/>
      <w:r w:rsidRPr="006A07F3">
        <w:rPr>
          <w:color w:val="000000"/>
          <w:szCs w:val="22"/>
        </w:rPr>
        <w:t xml:space="preserve"> prescribing was for sinusitis, for which </w:t>
      </w:r>
      <w:proofErr w:type="spellStart"/>
      <w:r w:rsidRPr="006A07F3">
        <w:rPr>
          <w:color w:val="000000"/>
          <w:szCs w:val="22"/>
        </w:rPr>
        <w:t>antibacterials</w:t>
      </w:r>
      <w:proofErr w:type="spellEnd"/>
      <w:r w:rsidRPr="006A07F3">
        <w:rPr>
          <w:color w:val="000000"/>
          <w:szCs w:val="22"/>
        </w:rPr>
        <w:t xml:space="preserve"> are only indicated in specific circumstances (and amoxicillin is recommended),</w:t>
      </w:r>
      <w:r w:rsidRPr="006A07F3">
        <w:rPr>
          <w:color w:val="000000"/>
          <w:szCs w:val="22"/>
          <w:vertAlign w:val="superscript"/>
        </w:rPr>
        <w:t>8</w:t>
      </w:r>
      <w:r w:rsidRPr="006A07F3">
        <w:rPr>
          <w:color w:val="000000"/>
          <w:szCs w:val="22"/>
        </w:rPr>
        <w:t xml:space="preserve"> and 14% was for upper respiratory tract infections for which </w:t>
      </w:r>
      <w:proofErr w:type="spellStart"/>
      <w:r w:rsidRPr="006A07F3">
        <w:rPr>
          <w:color w:val="000000"/>
          <w:szCs w:val="22"/>
        </w:rPr>
        <w:t>antibacterials</w:t>
      </w:r>
      <w:proofErr w:type="spellEnd"/>
      <w:r w:rsidRPr="006A07F3">
        <w:rPr>
          <w:color w:val="000000"/>
          <w:szCs w:val="22"/>
        </w:rPr>
        <w:t xml:space="preserve"> are not indicated.</w:t>
      </w:r>
      <w:hyperlink w:anchor="_ENREF_2" w:tooltip="Australian Commission on Safety and Quality in Health Care, 2016 #8" w:history="1">
        <w:r w:rsidRPr="006A07F3">
          <w:rPr>
            <w:color w:val="000000"/>
            <w:szCs w:val="22"/>
            <w:vertAlign w:val="superscript"/>
          </w:rPr>
          <w:t>1</w:t>
        </w:r>
      </w:hyperlink>
    </w:p>
    <w:p w:rsidR="006A07F3" w:rsidRDefault="00B7794A" w:rsidP="006A07F3">
      <w:pPr>
        <w:shd w:val="clear" w:color="auto" w:fill="DAEEF3" w:themeFill="accent5" w:themeFillTint="33"/>
        <w:spacing w:before="120" w:after="120"/>
        <w:rPr>
          <w:szCs w:val="22"/>
        </w:rPr>
      </w:pPr>
      <w:r w:rsidRPr="006A07F3">
        <w:rPr>
          <w:color w:val="000000"/>
          <w:szCs w:val="22"/>
        </w:rPr>
        <w:t xml:space="preserve">Unnecessary use of </w:t>
      </w:r>
      <w:r w:rsidRPr="006A07F3">
        <w:rPr>
          <w:szCs w:val="22"/>
        </w:rPr>
        <w:t xml:space="preserve">amoxicillin with </w:t>
      </w:r>
      <w:proofErr w:type="spellStart"/>
      <w:r w:rsidRPr="006A07F3">
        <w:rPr>
          <w:szCs w:val="22"/>
        </w:rPr>
        <w:t>clavulanate</w:t>
      </w:r>
      <w:proofErr w:type="spellEnd"/>
      <w:r w:rsidRPr="006A07F3">
        <w:rPr>
          <w:color w:val="000000"/>
          <w:szCs w:val="22"/>
        </w:rPr>
        <w:t xml:space="preserve"> increases the risk of resistance (because of its broad spectrum) and exposes people to the risk of </w:t>
      </w:r>
      <w:r w:rsidRPr="006A07F3">
        <w:rPr>
          <w:szCs w:val="22"/>
        </w:rPr>
        <w:t>drug-induced liver injury.</w:t>
      </w:r>
      <w:r w:rsidRPr="006A07F3">
        <w:rPr>
          <w:color w:val="000000"/>
          <w:szCs w:val="22"/>
        </w:rPr>
        <w:t xml:space="preserve"> </w:t>
      </w:r>
      <w:r w:rsidRPr="006A07F3">
        <w:rPr>
          <w:szCs w:val="22"/>
        </w:rPr>
        <w:t xml:space="preserve">Amoxicillin with </w:t>
      </w:r>
      <w:proofErr w:type="spellStart"/>
      <w:r w:rsidRPr="006A07F3">
        <w:rPr>
          <w:szCs w:val="22"/>
        </w:rPr>
        <w:t>clavulanate</w:t>
      </w:r>
      <w:proofErr w:type="spellEnd"/>
      <w:r w:rsidRPr="006A07F3">
        <w:rPr>
          <w:szCs w:val="22"/>
        </w:rPr>
        <w:t xml:space="preserve"> causes more adverse events than amoxicillin alone</w:t>
      </w:r>
      <w:hyperlink w:anchor="_ENREF_8" w:tooltip="Australian Commission on Safety and Quality in Health Care, 2015 #18" w:history="1">
        <w:r w:rsidRPr="006A07F3">
          <w:rPr>
            <w:szCs w:val="22"/>
            <w:vertAlign w:val="superscript"/>
          </w:rPr>
          <w:t>2</w:t>
        </w:r>
      </w:hyperlink>
      <w:r w:rsidRPr="006A07F3">
        <w:rPr>
          <w:szCs w:val="22"/>
        </w:rPr>
        <w:t xml:space="preserve"> and is one of the two medicines that most often cause drug-induced liver injury.</w:t>
      </w:r>
      <w:r w:rsidRPr="006A07F3">
        <w:rPr>
          <w:szCs w:val="22"/>
          <w:vertAlign w:val="superscript"/>
        </w:rPr>
        <w:t>13,14</w:t>
      </w:r>
      <w:hyperlink w:anchor="_ENREF_4" w:tooltip="Adverse Drug Reactions Advisory Committee, 1996 #13" w:history="1"/>
      <w:r w:rsidRPr="006A07F3">
        <w:rPr>
          <w:szCs w:val="22"/>
        </w:rPr>
        <w:t xml:space="preserve"> Unlike most medicines, which only cause one type of liver injury characteristic to that medicine, amoxicillin with </w:t>
      </w:r>
      <w:proofErr w:type="spellStart"/>
      <w:r w:rsidRPr="006A07F3">
        <w:rPr>
          <w:szCs w:val="22"/>
        </w:rPr>
        <w:t>clavulanate</w:t>
      </w:r>
      <w:proofErr w:type="spellEnd"/>
      <w:r w:rsidRPr="006A07F3">
        <w:rPr>
          <w:szCs w:val="22"/>
        </w:rPr>
        <w:t xml:space="preserve"> causes more than one type of liver injury.</w:t>
      </w:r>
      <w:hyperlink w:anchor="_ENREF_9" w:tooltip="Office of Product Review, 2013 #16" w:history="1">
        <w:r w:rsidRPr="006A07F3">
          <w:rPr>
            <w:szCs w:val="22"/>
            <w:vertAlign w:val="superscript"/>
          </w:rPr>
          <w:t>16</w:t>
        </w:r>
      </w:hyperlink>
      <w:r w:rsidRPr="006A07F3">
        <w:rPr>
          <w:color w:val="000000"/>
          <w:szCs w:val="22"/>
        </w:rPr>
        <w:t xml:space="preserve"> </w:t>
      </w:r>
      <w:r w:rsidRPr="006A07F3">
        <w:rPr>
          <w:szCs w:val="22"/>
        </w:rPr>
        <w:t xml:space="preserve">Concern about inappropriate and unnecessary use of amoxicillin with </w:t>
      </w:r>
      <w:proofErr w:type="spellStart"/>
      <w:r w:rsidRPr="006A07F3">
        <w:rPr>
          <w:szCs w:val="22"/>
        </w:rPr>
        <w:t>clavulanate</w:t>
      </w:r>
      <w:proofErr w:type="spellEnd"/>
      <w:r w:rsidRPr="006A07F3">
        <w:rPr>
          <w:szCs w:val="22"/>
        </w:rPr>
        <w:t xml:space="preserve"> is not new: in 1996 the Adverse Drug Reactions Advisory Committee (ADRAC) bulletin noted that its use grew despite publicity by ADRAC and others about the continuing high number of reports of drug-induced liver injury.</w:t>
      </w:r>
      <w:hyperlink w:anchor="_ENREF_5" w:tooltip="Adverse Drug Reactions Advisory Committee, 1996 #13" w:history="1">
        <w:r w:rsidRPr="006A07F3">
          <w:rPr>
            <w:szCs w:val="22"/>
            <w:vertAlign w:val="superscript"/>
          </w:rPr>
          <w:t>14</w:t>
        </w:r>
      </w:hyperlink>
      <w:r w:rsidRPr="006A07F3">
        <w:rPr>
          <w:szCs w:val="22"/>
        </w:rPr>
        <w:t xml:space="preserve"> In 1996, nine of the 309 reports received had a fatal </w:t>
      </w:r>
      <w:proofErr w:type="gramStart"/>
      <w:r w:rsidRPr="006A07F3">
        <w:rPr>
          <w:szCs w:val="22"/>
        </w:rPr>
        <w:t>outcome,</w:t>
      </w:r>
      <w:proofErr w:type="gramEnd"/>
      <w:r w:rsidRPr="006A07F3">
        <w:rPr>
          <w:szCs w:val="22"/>
        </w:rPr>
        <w:t xml:space="preserve"> five of these were caused by liver failure.</w:t>
      </w:r>
      <w:hyperlink w:anchor="_ENREF_5" w:tooltip="Adverse Drug Reactions Advisory Committee, 1996 #13" w:history="1">
        <w:r w:rsidRPr="006A07F3">
          <w:rPr>
            <w:szCs w:val="22"/>
            <w:vertAlign w:val="superscript"/>
          </w:rPr>
          <w:t>14</w:t>
        </w:r>
      </w:hyperlink>
      <w:r w:rsidRPr="006A07F3">
        <w:rPr>
          <w:szCs w:val="22"/>
        </w:rPr>
        <w:t xml:space="preserve"> </w:t>
      </w:r>
    </w:p>
    <w:p w:rsidR="00B7794A" w:rsidRPr="006A07F3" w:rsidRDefault="00B7794A" w:rsidP="006A07F3">
      <w:pPr>
        <w:shd w:val="clear" w:color="auto" w:fill="DAEEF3" w:themeFill="accent5" w:themeFillTint="33"/>
        <w:spacing w:after="120"/>
        <w:rPr>
          <w:szCs w:val="22"/>
        </w:rPr>
      </w:pPr>
      <w:r w:rsidRPr="006A07F3">
        <w:rPr>
          <w:szCs w:val="22"/>
        </w:rPr>
        <w:t xml:space="preserve">Amoxicillin with </w:t>
      </w:r>
      <w:proofErr w:type="spellStart"/>
      <w:r w:rsidRPr="006A07F3">
        <w:rPr>
          <w:szCs w:val="22"/>
        </w:rPr>
        <w:t>clavulanate</w:t>
      </w:r>
      <w:proofErr w:type="spellEnd"/>
      <w:r w:rsidRPr="006A07F3">
        <w:rPr>
          <w:szCs w:val="22"/>
        </w:rPr>
        <w:t xml:space="preserve"> continues to cause drug-induced liver injury</w:t>
      </w:r>
      <w:hyperlink w:anchor="_ENREF_9" w:tooltip="Office of Product Review, 2013 #16" w:history="1">
        <w:r w:rsidRPr="006A07F3">
          <w:rPr>
            <w:szCs w:val="22"/>
            <w:vertAlign w:val="superscript"/>
          </w:rPr>
          <w:t>16</w:t>
        </w:r>
      </w:hyperlink>
      <w:r w:rsidRPr="006A07F3">
        <w:rPr>
          <w:szCs w:val="22"/>
        </w:rPr>
        <w:t xml:space="preserve"> and should only be used when clearly indicated. As primary empirical therapy, amoxicillin with </w:t>
      </w:r>
      <w:proofErr w:type="spellStart"/>
      <w:r w:rsidRPr="006A07F3">
        <w:rPr>
          <w:szCs w:val="22"/>
        </w:rPr>
        <w:t>clavulanate</w:t>
      </w:r>
      <w:proofErr w:type="spellEnd"/>
      <w:r w:rsidRPr="006A07F3">
        <w:rPr>
          <w:szCs w:val="22"/>
        </w:rPr>
        <w:t xml:space="preserve"> should only be prescribed before amoxicillin for specific infections (e.g. lower urinary tract infections). </w:t>
      </w:r>
      <w:r w:rsidRPr="006A07F3">
        <w:rPr>
          <w:i/>
          <w:szCs w:val="22"/>
        </w:rPr>
        <w:t>Therapeutic Guidelines: antibiotic</w:t>
      </w:r>
      <w:hyperlink w:anchor="_ENREF_1" w:tooltip="Antibiotic Expert Writing Group, 2014 #1" w:history="1">
        <w:r w:rsidRPr="006A07F3">
          <w:rPr>
            <w:i/>
            <w:szCs w:val="22"/>
            <w:vertAlign w:val="superscript"/>
          </w:rPr>
          <w:t>8</w:t>
        </w:r>
      </w:hyperlink>
      <w:r w:rsidRPr="006A07F3">
        <w:rPr>
          <w:i/>
          <w:szCs w:val="22"/>
          <w:vertAlign w:val="superscript"/>
        </w:rPr>
        <w:t xml:space="preserve"> </w:t>
      </w:r>
      <w:r w:rsidRPr="006A07F3">
        <w:rPr>
          <w:szCs w:val="22"/>
        </w:rPr>
        <w:t xml:space="preserve">provides guidance on when amoxicillin with </w:t>
      </w:r>
      <w:proofErr w:type="spellStart"/>
      <w:r w:rsidRPr="006A07F3">
        <w:rPr>
          <w:szCs w:val="22"/>
        </w:rPr>
        <w:t>clavulanate</w:t>
      </w:r>
      <w:proofErr w:type="spellEnd"/>
      <w:r w:rsidRPr="006A07F3">
        <w:rPr>
          <w:szCs w:val="22"/>
        </w:rPr>
        <w:t xml:space="preserve"> is preferred over amoxicillin.</w:t>
      </w:r>
      <w:hyperlink w:anchor="_ENREF_1" w:tooltip="Antibiotic Expert Writing Group, 2014 #1" w:history="1">
        <w:r w:rsidRPr="006A07F3">
          <w:rPr>
            <w:szCs w:val="22"/>
            <w:vertAlign w:val="superscript"/>
          </w:rPr>
          <w:t>8</w:t>
        </w:r>
      </w:hyperlink>
    </w:p>
    <w:p w:rsidR="00C5112F" w:rsidRPr="006A07F3" w:rsidRDefault="00C5112F" w:rsidP="00514311">
      <w:pPr>
        <w:shd w:val="clear" w:color="auto" w:fill="DAEEF3" w:themeFill="accent5" w:themeFillTint="33"/>
        <w:spacing w:before="240"/>
        <w:rPr>
          <w:b/>
          <w:szCs w:val="22"/>
        </w:rPr>
      </w:pPr>
      <w:r w:rsidRPr="006A07F3">
        <w:rPr>
          <w:b/>
          <w:szCs w:val="22"/>
        </w:rPr>
        <w:t xml:space="preserve">Key message: Use amoxicillin with </w:t>
      </w:r>
      <w:proofErr w:type="spellStart"/>
      <w:r w:rsidRPr="006A07F3">
        <w:rPr>
          <w:b/>
          <w:szCs w:val="22"/>
        </w:rPr>
        <w:t>clavulanate</w:t>
      </w:r>
      <w:proofErr w:type="spellEnd"/>
      <w:r w:rsidRPr="006A07F3">
        <w:rPr>
          <w:b/>
          <w:szCs w:val="22"/>
        </w:rPr>
        <w:t xml:space="preserve"> only when it is clearly indicated. Therapeutic Guidelines: Antibiotic</w:t>
      </w:r>
      <w:hyperlink w:anchor="_ENREF_1" w:tooltip="Antibiotic Expert Writing Group, 2014 #1" w:history="1">
        <w:r w:rsidRPr="006A07F3">
          <w:rPr>
            <w:b/>
            <w:szCs w:val="22"/>
            <w:vertAlign w:val="superscript"/>
          </w:rPr>
          <w:t>8</w:t>
        </w:r>
      </w:hyperlink>
      <w:r w:rsidRPr="006A07F3">
        <w:rPr>
          <w:b/>
          <w:szCs w:val="22"/>
        </w:rPr>
        <w:t xml:space="preserve"> provides guidance on when amoxicillin with </w:t>
      </w:r>
      <w:proofErr w:type="spellStart"/>
      <w:r w:rsidRPr="006A07F3">
        <w:rPr>
          <w:b/>
          <w:szCs w:val="22"/>
        </w:rPr>
        <w:t>clavulanate</w:t>
      </w:r>
      <w:proofErr w:type="spellEnd"/>
      <w:r w:rsidRPr="006A07F3">
        <w:rPr>
          <w:b/>
          <w:szCs w:val="22"/>
        </w:rPr>
        <w:t xml:space="preserve"> is preferred over amoxicillin alone.</w:t>
      </w:r>
    </w:p>
    <w:p w:rsidR="00C5112F" w:rsidRDefault="00C5112F" w:rsidP="00C5112F">
      <w:pPr>
        <w:rPr>
          <w:b/>
          <w:bCs/>
          <w:sz w:val="28"/>
          <w:lang w:eastAsia="x-none"/>
        </w:rPr>
      </w:pPr>
      <w:r>
        <w:br w:type="page"/>
      </w:r>
    </w:p>
    <w:p w:rsidR="00C5112F" w:rsidRPr="00D475E4" w:rsidRDefault="00C5112F" w:rsidP="0075258C">
      <w:pPr>
        <w:pStyle w:val="Heading1"/>
      </w:pPr>
      <w:r w:rsidRPr="00D475E4">
        <w:lastRenderedPageBreak/>
        <w:t>References</w:t>
      </w:r>
    </w:p>
    <w:p w:rsidR="00C5112F" w:rsidRPr="00D475E4" w:rsidRDefault="00C5112F" w:rsidP="00C5112F">
      <w:pPr>
        <w:rPr>
          <w:noProof/>
        </w:rPr>
      </w:pPr>
      <w:r w:rsidRPr="00D475E4">
        <w:fldChar w:fldCharType="begin"/>
      </w:r>
      <w:r w:rsidRPr="00D475E4">
        <w:instrText xml:space="preserve"> ADDIN EN.REFLIST </w:instrText>
      </w:r>
      <w:r w:rsidRPr="00D475E4">
        <w:fldChar w:fldCharType="separate"/>
      </w:r>
      <w:bookmarkStart w:id="1" w:name="_ENREF_1"/>
      <w:r w:rsidRPr="00D475E4">
        <w:rPr>
          <w:noProof/>
        </w:rPr>
        <w:t>1.</w:t>
      </w:r>
      <w:r w:rsidRPr="00D475E4">
        <w:rPr>
          <w:noProof/>
        </w:rPr>
        <w:tab/>
        <w:t>Australian Commission on Safety and Quality in Health Care. AURA 2016: first Australian report on antimicrobial use and resistance in human health. Sydney: ACSQHC, 2016.</w:t>
      </w:r>
      <w:bookmarkEnd w:id="1"/>
    </w:p>
    <w:p w:rsidR="00C5112F" w:rsidRPr="00D475E4" w:rsidRDefault="00C5112F" w:rsidP="00C5112F">
      <w:pPr>
        <w:rPr>
          <w:noProof/>
        </w:rPr>
      </w:pPr>
      <w:bookmarkStart w:id="2" w:name="_ENREF_2"/>
      <w:r w:rsidRPr="00D475E4">
        <w:rPr>
          <w:noProof/>
        </w:rPr>
        <w:t>2.</w:t>
      </w:r>
      <w:r w:rsidRPr="00D475E4">
        <w:rPr>
          <w:noProof/>
        </w:rPr>
        <w:tab/>
        <w:t>Australian Commission on Safety and Quality in Health Care. Australian atlas of healthcare variation. Sydney: ACSQHC, 2015.</w:t>
      </w:r>
      <w:bookmarkEnd w:id="2"/>
    </w:p>
    <w:p w:rsidR="00C5112F" w:rsidRPr="00D475E4" w:rsidRDefault="00C5112F" w:rsidP="00C5112F">
      <w:pPr>
        <w:rPr>
          <w:noProof/>
        </w:rPr>
      </w:pPr>
      <w:bookmarkStart w:id="3" w:name="_ENREF_3"/>
      <w:r w:rsidRPr="00D475E4">
        <w:rPr>
          <w:noProof/>
        </w:rPr>
        <w:t>3.</w:t>
      </w:r>
      <w:r w:rsidRPr="00D475E4">
        <w:rPr>
          <w:noProof/>
        </w:rPr>
        <w:tab/>
        <w:t>Australian Commission on Safety and Quality in Health Care. AURA 2016 supplementary data – first Australian report on antimicrobial use and resistance in human health. Sydney: ACSQHC, 2016.</w:t>
      </w:r>
      <w:bookmarkEnd w:id="3"/>
    </w:p>
    <w:p w:rsidR="00C5112F" w:rsidRPr="00D475E4" w:rsidRDefault="00C5112F" w:rsidP="00C5112F">
      <w:pPr>
        <w:rPr>
          <w:noProof/>
        </w:rPr>
      </w:pPr>
      <w:bookmarkStart w:id="4" w:name="_ENREF_4"/>
      <w:r w:rsidRPr="00D475E4">
        <w:rPr>
          <w:noProof/>
        </w:rPr>
        <w:t>4.</w:t>
      </w:r>
      <w:r w:rsidRPr="00D475E4">
        <w:rPr>
          <w:noProof/>
        </w:rPr>
        <w:tab/>
        <w:t>National Centre for Antimicrobial Stewardship and Australian Commission on Safety and Quality in Health Care. Antimicrobial prescribing and infections in Australian residential aged care facilities: results of the 2015 aged care national antimicrobial prescribing survey pilot. Sydney: ACSQHC, 2016.</w:t>
      </w:r>
      <w:bookmarkEnd w:id="4"/>
    </w:p>
    <w:p w:rsidR="00C5112F" w:rsidRPr="00D475E4" w:rsidRDefault="00C5112F" w:rsidP="00C5112F">
      <w:pPr>
        <w:rPr>
          <w:noProof/>
        </w:rPr>
      </w:pPr>
      <w:bookmarkStart w:id="5" w:name="_ENREF_5"/>
      <w:r w:rsidRPr="00D475E4">
        <w:rPr>
          <w:noProof/>
        </w:rPr>
        <w:t>5.</w:t>
      </w:r>
      <w:r w:rsidRPr="00D475E4">
        <w:rPr>
          <w:noProof/>
        </w:rPr>
        <w:tab/>
        <w:t xml:space="preserve">Adriaenssens N, Coenen S, Tonkin-Crine S, et al. European Surveillance of Antimicrobial Consumption (ESAC). Disease-specific quality indicators for outpatient antibiotic prescribing. </w:t>
      </w:r>
      <w:r w:rsidRPr="00D475E4">
        <w:rPr>
          <w:i/>
          <w:noProof/>
        </w:rPr>
        <w:t>BMJ Qual Saf</w:t>
      </w:r>
      <w:r w:rsidRPr="00D475E4">
        <w:rPr>
          <w:noProof/>
        </w:rPr>
        <w:t>. 2011; 20: 764-72.</w:t>
      </w:r>
      <w:bookmarkEnd w:id="5"/>
    </w:p>
    <w:p w:rsidR="00C5112F" w:rsidRPr="00D475E4" w:rsidRDefault="00C5112F" w:rsidP="00C5112F">
      <w:pPr>
        <w:rPr>
          <w:noProof/>
        </w:rPr>
      </w:pPr>
      <w:bookmarkStart w:id="6" w:name="_ENREF_6"/>
      <w:r w:rsidRPr="00D475E4">
        <w:rPr>
          <w:noProof/>
        </w:rPr>
        <w:t>6.</w:t>
      </w:r>
      <w:r w:rsidRPr="00D475E4">
        <w:rPr>
          <w:noProof/>
        </w:rPr>
        <w:tab/>
        <w:t>Steering Committee for the Review of Government Service Provision. Report on Government Services Volume E: Health. Canberra: Productivity Commission, 2015.</w:t>
      </w:r>
      <w:bookmarkEnd w:id="6"/>
    </w:p>
    <w:p w:rsidR="00C5112F" w:rsidRPr="00D475E4" w:rsidRDefault="00C5112F" w:rsidP="00C5112F">
      <w:pPr>
        <w:rPr>
          <w:noProof/>
        </w:rPr>
      </w:pPr>
      <w:bookmarkStart w:id="7" w:name="_ENREF_7"/>
      <w:r w:rsidRPr="00D475E4">
        <w:rPr>
          <w:noProof/>
        </w:rPr>
        <w:t>7.</w:t>
      </w:r>
      <w:r w:rsidRPr="00D475E4">
        <w:rPr>
          <w:noProof/>
        </w:rPr>
        <w:tab/>
        <w:t xml:space="preserve">McGeer A, Campbell B, Emor TG, et al. Definitions of infections for surveillance in long-term care facilities. </w:t>
      </w:r>
      <w:r w:rsidRPr="00D475E4">
        <w:rPr>
          <w:i/>
          <w:noProof/>
        </w:rPr>
        <w:t>Am J Infect Control</w:t>
      </w:r>
      <w:r w:rsidRPr="00D475E4">
        <w:rPr>
          <w:noProof/>
        </w:rPr>
        <w:t>. 1991; 19: 1-7.</w:t>
      </w:r>
      <w:bookmarkEnd w:id="7"/>
    </w:p>
    <w:p w:rsidR="00C5112F" w:rsidRPr="00D475E4" w:rsidRDefault="00C5112F" w:rsidP="00C5112F">
      <w:pPr>
        <w:rPr>
          <w:noProof/>
        </w:rPr>
      </w:pPr>
      <w:bookmarkStart w:id="8" w:name="_ENREF_8"/>
      <w:r w:rsidRPr="00D475E4">
        <w:rPr>
          <w:noProof/>
        </w:rPr>
        <w:t>8.</w:t>
      </w:r>
      <w:r w:rsidRPr="00D475E4">
        <w:rPr>
          <w:noProof/>
        </w:rPr>
        <w:tab/>
        <w:t xml:space="preserve">Antibiotic Expert Writing Group. </w:t>
      </w:r>
      <w:r w:rsidRPr="00D475E4">
        <w:rPr>
          <w:i/>
          <w:noProof/>
        </w:rPr>
        <w:t>Therapeutic Guidelines</w:t>
      </w:r>
      <w:r>
        <w:rPr>
          <w:i/>
          <w:noProof/>
        </w:rPr>
        <w:t>: A</w:t>
      </w:r>
      <w:r w:rsidRPr="00D475E4">
        <w:rPr>
          <w:i/>
          <w:noProof/>
        </w:rPr>
        <w:t xml:space="preserve">ntibiotic </w:t>
      </w:r>
      <w:r w:rsidRPr="00D475E4">
        <w:rPr>
          <w:noProof/>
        </w:rPr>
        <w:t>eTG Complete November 2015. Melbourne: Therapetic Guidelines Limited, 2014.</w:t>
      </w:r>
      <w:bookmarkEnd w:id="8"/>
    </w:p>
    <w:p w:rsidR="00C5112F" w:rsidRPr="00D475E4" w:rsidRDefault="00C5112F" w:rsidP="00C5112F">
      <w:pPr>
        <w:rPr>
          <w:noProof/>
        </w:rPr>
      </w:pPr>
      <w:bookmarkStart w:id="9" w:name="_ENREF_9"/>
      <w:r w:rsidRPr="00D475E4">
        <w:rPr>
          <w:noProof/>
        </w:rPr>
        <w:t>9.</w:t>
      </w:r>
      <w:r w:rsidRPr="00D475E4">
        <w:rPr>
          <w:noProof/>
        </w:rPr>
        <w:tab/>
        <w:t>South Australian Department for Health and Ageing. National Antimicrobial Utilisation Surveillance Program: annual report 2014-2015. Adelaide: SA Health, 2015.</w:t>
      </w:r>
      <w:bookmarkEnd w:id="9"/>
    </w:p>
    <w:p w:rsidR="00C5112F" w:rsidRPr="00D475E4" w:rsidRDefault="00C5112F" w:rsidP="00C5112F">
      <w:pPr>
        <w:rPr>
          <w:noProof/>
        </w:rPr>
      </w:pPr>
      <w:bookmarkStart w:id="10" w:name="_ENREF_10"/>
      <w:r w:rsidRPr="00D475E4">
        <w:rPr>
          <w:noProof/>
        </w:rPr>
        <w:t>10.</w:t>
      </w:r>
      <w:r w:rsidRPr="00D475E4">
        <w:rPr>
          <w:noProof/>
        </w:rPr>
        <w:tab/>
        <w:t>South Australian Department for Health and Ageing. Antimicrobial use in Australian hospitals: 2014 report of the National Antimicrobial Utilisation Surveillance Program. Adelaide: NAUSP, 2015.</w:t>
      </w:r>
      <w:bookmarkEnd w:id="10"/>
    </w:p>
    <w:p w:rsidR="00C5112F" w:rsidRPr="00D475E4" w:rsidRDefault="00C5112F" w:rsidP="00C5112F">
      <w:pPr>
        <w:rPr>
          <w:noProof/>
        </w:rPr>
      </w:pPr>
      <w:r w:rsidRPr="00D475E4">
        <w:rPr>
          <w:noProof/>
        </w:rPr>
        <w:t>11.</w:t>
      </w:r>
      <w:r w:rsidRPr="00D475E4">
        <w:rPr>
          <w:noProof/>
        </w:rPr>
        <w:tab/>
        <w:t>Australian Commission on Safety and Quality in Health Care. Antimicrobial prescribing practice in Australian hospitals: results of the 2014 national antimicrobial prescribing survey. Sydney: ACSQHC, 2015.</w:t>
      </w:r>
    </w:p>
    <w:p w:rsidR="00C5112F" w:rsidRPr="00D475E4" w:rsidRDefault="00C5112F" w:rsidP="00C5112F">
      <w:pPr>
        <w:rPr>
          <w:noProof/>
        </w:rPr>
      </w:pPr>
      <w:r w:rsidRPr="00D475E4">
        <w:rPr>
          <w:noProof/>
        </w:rPr>
        <w:t>12.</w:t>
      </w:r>
      <w:r w:rsidRPr="00D475E4">
        <w:rPr>
          <w:noProof/>
        </w:rPr>
        <w:tab/>
        <w:t>Australian Government: Pharmaceutical Benefits Scheme. Canberra: PBS, 2016.</w:t>
      </w:r>
    </w:p>
    <w:p w:rsidR="00C5112F" w:rsidRPr="00D475E4" w:rsidRDefault="00C5112F" w:rsidP="00C5112F">
      <w:pPr>
        <w:rPr>
          <w:noProof/>
        </w:rPr>
      </w:pPr>
      <w:r w:rsidRPr="00D475E4">
        <w:rPr>
          <w:noProof/>
        </w:rPr>
        <w:t>13.</w:t>
      </w:r>
      <w:r w:rsidRPr="00D475E4">
        <w:rPr>
          <w:noProof/>
        </w:rPr>
        <w:tab/>
        <w:t>Adverse Drug Reactions Advisory Committee. Drug-induced liver disease. A</w:t>
      </w:r>
      <w:r w:rsidRPr="00D475E4">
        <w:rPr>
          <w:i/>
          <w:noProof/>
        </w:rPr>
        <w:t>ustralian Adverse Drug Reactions Bulletin</w:t>
      </w:r>
      <w:r w:rsidRPr="00D475E4">
        <w:rPr>
          <w:noProof/>
        </w:rPr>
        <w:t>. 1996; 15(2).</w:t>
      </w:r>
    </w:p>
    <w:p w:rsidR="00C5112F" w:rsidRPr="00D475E4" w:rsidRDefault="00C5112F" w:rsidP="00C5112F">
      <w:pPr>
        <w:rPr>
          <w:noProof/>
        </w:rPr>
      </w:pPr>
      <w:r w:rsidRPr="00D475E4">
        <w:rPr>
          <w:noProof/>
        </w:rPr>
        <w:t>14.</w:t>
      </w:r>
      <w:r w:rsidRPr="00D475E4">
        <w:rPr>
          <w:noProof/>
        </w:rPr>
        <w:tab/>
        <w:t>Adverse Drug Reactions Advisory Committee. Antibiotics of continuing concern. Australian Adverse Drug Reactions Bulletin. 1996; 15(2).</w:t>
      </w:r>
    </w:p>
    <w:p w:rsidR="00C5112F" w:rsidRPr="00D475E4" w:rsidRDefault="00C5112F" w:rsidP="00C5112F">
      <w:pPr>
        <w:rPr>
          <w:noProof/>
        </w:rPr>
      </w:pPr>
      <w:r w:rsidRPr="00D475E4">
        <w:rPr>
          <w:noProof/>
        </w:rPr>
        <w:t>15.</w:t>
      </w:r>
      <w:r w:rsidRPr="00D475E4">
        <w:rPr>
          <w:noProof/>
        </w:rPr>
        <w:tab/>
        <w:t xml:space="preserve">Adverse Drug Reactions Advisory Committee. A comparison of dicloxacillin with flucloxacillin. </w:t>
      </w:r>
      <w:r w:rsidRPr="00D475E4">
        <w:rPr>
          <w:i/>
          <w:noProof/>
        </w:rPr>
        <w:t>Australian Adverse Drug Reactions Bulletin</w:t>
      </w:r>
      <w:r w:rsidRPr="00D475E4">
        <w:rPr>
          <w:noProof/>
        </w:rPr>
        <w:t>. 1999; 18 (2).</w:t>
      </w:r>
    </w:p>
    <w:p w:rsidR="00C5112F" w:rsidRPr="00D475E4" w:rsidRDefault="00C5112F" w:rsidP="00C5112F">
      <w:r w:rsidRPr="00D475E4">
        <w:rPr>
          <w:noProof/>
        </w:rPr>
        <w:t>16.</w:t>
      </w:r>
      <w:r w:rsidRPr="00D475E4">
        <w:rPr>
          <w:noProof/>
        </w:rPr>
        <w:tab/>
        <w:t xml:space="preserve">Office of Product Review. Drug-induced liver injury. </w:t>
      </w:r>
      <w:r w:rsidRPr="00D475E4">
        <w:rPr>
          <w:i/>
          <w:noProof/>
        </w:rPr>
        <w:t>Medicines Safety Update</w:t>
      </w:r>
      <w:r w:rsidRPr="00D475E4">
        <w:rPr>
          <w:noProof/>
        </w:rPr>
        <w:t>. 2013; 4 (5).</w:t>
      </w:r>
      <w:r w:rsidRPr="00D475E4">
        <w:fldChar w:fldCharType="end"/>
      </w:r>
    </w:p>
    <w:p w:rsidR="00F73D95" w:rsidRDefault="00F73D95">
      <w:r>
        <w:t xml:space="preserve"> </w:t>
      </w:r>
    </w:p>
    <w:p w:rsidR="00312A62" w:rsidRDefault="00312A62">
      <w:r>
        <w:br w:type="page"/>
      </w:r>
    </w:p>
    <w:p w:rsidR="00316683" w:rsidRDefault="00316683" w:rsidP="00316683">
      <w:pPr>
        <w:spacing w:before="4200"/>
        <w:rPr>
          <w:rStyle w:val="IntenseReference"/>
          <w:rFonts w:cs="Arial"/>
          <w:bCs w:val="0"/>
          <w:i w:val="0"/>
          <w:smallCaps w:val="0"/>
          <w:color w:val="auto"/>
          <w:spacing w:val="0"/>
        </w:rPr>
      </w:pPr>
    </w:p>
    <w:p w:rsidR="00312A62" w:rsidRPr="001F40AA" w:rsidRDefault="00312A62" w:rsidP="00316683">
      <w:pPr>
        <w:spacing w:before="8760"/>
        <w:rPr>
          <w:rStyle w:val="IntenseReference"/>
          <w:rFonts w:cs="Arial"/>
          <w:bCs w:val="0"/>
          <w:i w:val="0"/>
          <w:smallCaps w:val="0"/>
          <w:color w:val="auto"/>
          <w:spacing w:val="0"/>
        </w:rPr>
      </w:pPr>
      <w:r w:rsidRPr="001F40AA">
        <w:rPr>
          <w:rStyle w:val="IntenseReference"/>
          <w:rFonts w:cs="Arial"/>
          <w:bCs w:val="0"/>
          <w:i w:val="0"/>
          <w:smallCaps w:val="0"/>
          <w:color w:val="auto"/>
          <w:spacing w:val="0"/>
        </w:rPr>
        <w:t>Australian Commission on Safety and Quality in Health Care</w:t>
      </w:r>
    </w:p>
    <w:p w:rsidR="00312A62" w:rsidRDefault="00312A62" w:rsidP="00312A62">
      <w:pPr>
        <w:spacing w:before="720"/>
        <w:contextualSpacing/>
        <w:rPr>
          <w:rStyle w:val="IntenseReference"/>
          <w:rFonts w:cs="Arial"/>
          <w:b w:val="0"/>
          <w:bCs w:val="0"/>
          <w:i w:val="0"/>
          <w:smallCaps w:val="0"/>
          <w:color w:val="auto"/>
          <w:spacing w:val="0"/>
        </w:rPr>
      </w:pPr>
    </w:p>
    <w:p w:rsidR="00312A62" w:rsidRPr="00B47076" w:rsidRDefault="00312A62" w:rsidP="00312A62">
      <w:pPr>
        <w:spacing w:before="720"/>
        <w:contextualSpacing/>
        <w:rPr>
          <w:rStyle w:val="IntenseReference"/>
          <w:rFonts w:cs="Arial"/>
          <w:b w:val="0"/>
          <w:bCs w:val="0"/>
          <w:i w:val="0"/>
          <w:smallCaps w:val="0"/>
          <w:color w:val="auto"/>
          <w:spacing w:val="0"/>
        </w:rPr>
      </w:pPr>
      <w:r>
        <w:rPr>
          <w:rStyle w:val="IntenseReference"/>
          <w:rFonts w:cs="Arial"/>
          <w:b w:val="0"/>
          <w:bCs w:val="0"/>
          <w:i w:val="0"/>
          <w:smallCaps w:val="0"/>
          <w:color w:val="auto"/>
          <w:spacing w:val="0"/>
        </w:rPr>
        <w:t>Level 5, 255 Elizabeth Street, Sydney NSW 2001</w:t>
      </w:r>
    </w:p>
    <w:p w:rsidR="00312A62" w:rsidRDefault="00312A62" w:rsidP="00312A62">
      <w:pPr>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GPO Box 5480, Sydney NSW 2001</w:t>
      </w:r>
    </w:p>
    <w:p w:rsidR="00312A62" w:rsidRPr="00B47076" w:rsidRDefault="00312A62" w:rsidP="00312A62">
      <w:pPr>
        <w:contextualSpacing/>
        <w:rPr>
          <w:rStyle w:val="IntenseReference"/>
          <w:rFonts w:cs="Arial"/>
          <w:b w:val="0"/>
          <w:bCs w:val="0"/>
          <w:i w:val="0"/>
          <w:smallCaps w:val="0"/>
          <w:color w:val="auto"/>
          <w:spacing w:val="0"/>
        </w:rPr>
      </w:pPr>
    </w:p>
    <w:p w:rsidR="00312A62" w:rsidRDefault="00312A62" w:rsidP="00312A62">
      <w:pPr>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Phone: (02) 9126 3600 </w:t>
      </w:r>
    </w:p>
    <w:p w:rsidR="00312A62" w:rsidRDefault="00312A62" w:rsidP="00312A62">
      <w:pPr>
        <w:contextualSpacing/>
        <w:rPr>
          <w:rStyle w:val="IntenseReference"/>
          <w:rFonts w:cs="Arial"/>
          <w:b w:val="0"/>
          <w:bCs w:val="0"/>
          <w:i w:val="0"/>
          <w:smallCaps w:val="0"/>
          <w:color w:val="auto"/>
          <w:spacing w:val="0"/>
        </w:rPr>
      </w:pPr>
      <w:r>
        <w:rPr>
          <w:rStyle w:val="IntenseReference"/>
          <w:rFonts w:cs="Arial"/>
          <w:b w:val="0"/>
          <w:bCs w:val="0"/>
          <w:i w:val="0"/>
          <w:smallCaps w:val="0"/>
          <w:color w:val="auto"/>
          <w:spacing w:val="0"/>
        </w:rPr>
        <w:t>Fax: (02) 9126 3613</w:t>
      </w:r>
    </w:p>
    <w:p w:rsidR="00312A62" w:rsidRPr="00B47076" w:rsidRDefault="00312A62" w:rsidP="00312A62">
      <w:pPr>
        <w:contextualSpacing/>
        <w:rPr>
          <w:rStyle w:val="IntenseReference"/>
          <w:rFonts w:cs="Arial"/>
          <w:b w:val="0"/>
          <w:bCs w:val="0"/>
          <w:i w:val="0"/>
          <w:smallCaps w:val="0"/>
          <w:color w:val="auto"/>
          <w:spacing w:val="0"/>
        </w:rPr>
      </w:pPr>
    </w:p>
    <w:p w:rsidR="00312A62" w:rsidRPr="00B47076" w:rsidRDefault="00312A62" w:rsidP="00312A62">
      <w:pPr>
        <w:contextualSpacing/>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Email: mail@safetyandquality.gov.au </w:t>
      </w:r>
    </w:p>
    <w:p w:rsidR="00B05CB1" w:rsidRPr="00B05CB1" w:rsidRDefault="00312A62" w:rsidP="00852FFB">
      <w:pPr>
        <w:contextualSpacing/>
        <w:rPr>
          <w:rFonts w:ascii="Times New Roman" w:hAnsi="Times New Roman"/>
          <w:snapToGrid w:val="0"/>
          <w:color w:val="000000"/>
          <w:w w:val="0"/>
          <w:sz w:val="0"/>
          <w:szCs w:val="0"/>
          <w:u w:color="000000"/>
          <w:bdr w:val="none" w:sz="0" w:space="0" w:color="000000"/>
          <w:shd w:val="clear" w:color="000000" w:fill="000000"/>
          <w:lang w:eastAsia="x-none" w:bidi="x-none"/>
        </w:rPr>
      </w:pPr>
      <w:r w:rsidRPr="00B47076">
        <w:rPr>
          <w:rStyle w:val="IntenseReference"/>
          <w:rFonts w:cs="Arial"/>
          <w:b w:val="0"/>
          <w:bCs w:val="0"/>
          <w:i w:val="0"/>
          <w:smallCaps w:val="0"/>
          <w:color w:val="auto"/>
          <w:spacing w:val="0"/>
        </w:rPr>
        <w:t>Website: www.safetyandquality.gov.au</w:t>
      </w:r>
    </w:p>
    <w:p w:rsidR="00C51BE7" w:rsidRPr="00316683" w:rsidRDefault="00316683" w:rsidP="00B05CB1">
      <w:pPr>
        <w:spacing w:before="240"/>
        <w:ind w:hanging="142"/>
        <w:rPr>
          <w:rFonts w:cs="Arial"/>
        </w:rPr>
      </w:pPr>
      <w:r>
        <w:rPr>
          <w:noProof/>
        </w:rPr>
        <w:drawing>
          <wp:inline distT="0" distB="0" distL="0" distR="0" wp14:anchorId="7CCCF94B" wp14:editId="5E84A2C9">
            <wp:extent cx="4080767" cy="576000"/>
            <wp:effectExtent l="0" t="0" r="0" b="0"/>
            <wp:docPr id="4" name="Picture 4" descr="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adom\AppData\Local\Microsoft\Windows\Temporary Internet Files\Content.Outlook\UYYIQJ06\back-cover.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4080767" cy="576000"/>
                    </a:xfrm>
                    <a:prstGeom prst="rect">
                      <a:avLst/>
                    </a:prstGeom>
                    <a:noFill/>
                    <a:ln>
                      <a:noFill/>
                    </a:ln>
                  </pic:spPr>
                </pic:pic>
              </a:graphicData>
            </a:graphic>
          </wp:inline>
        </w:drawing>
      </w:r>
      <w:r w:rsidR="009F5557">
        <w:fldChar w:fldCharType="begin"/>
      </w:r>
      <w:r w:rsidR="009F5557">
        <w:instrText xml:space="preserve"> QUOTE  \* Caps  \* MERGEFORMAT </w:instrText>
      </w:r>
      <w:r w:rsidR="009F5557">
        <w:fldChar w:fldCharType="end"/>
      </w:r>
      <w:r w:rsidR="00C51BE7">
        <w:fldChar w:fldCharType="begin"/>
      </w:r>
      <w:r w:rsidR="00C51BE7">
        <w:instrText xml:space="preserve"> INFO  Comments  \* MERGEFORMAT </w:instrText>
      </w:r>
      <w:r w:rsidR="00C51BE7">
        <w:fldChar w:fldCharType="end"/>
      </w:r>
      <w:r w:rsidR="00C51BE7">
        <w:fldChar w:fldCharType="begin"/>
      </w:r>
      <w:r w:rsidR="00C51BE7">
        <w:instrText xml:space="preserve"> SUBJECT   \* MERGEFORMAT </w:instrText>
      </w:r>
      <w:r w:rsidR="00C51BE7">
        <w:fldChar w:fldCharType="end"/>
      </w:r>
    </w:p>
    <w:sectPr w:rsidR="00C51BE7" w:rsidRPr="00316683" w:rsidSect="001C2D17">
      <w:footerReference w:type="default" r:id="rId27"/>
      <w:type w:val="continuous"/>
      <w:pgSz w:w="11906" w:h="16838"/>
      <w:pgMar w:top="1440" w:right="1440" w:bottom="1440" w:left="1440" w:header="708" w:footer="708"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92" w:rsidRDefault="001D7592" w:rsidP="005E2614">
      <w:r>
        <w:separator/>
      </w:r>
    </w:p>
  </w:endnote>
  <w:endnote w:type="continuationSeparator" w:id="0">
    <w:p w:rsidR="001D7592" w:rsidRDefault="001D7592" w:rsidP="005E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ItalicMT">
    <w:altName w:val="Cambria"/>
    <w:panose1 w:val="00000000000000000000"/>
    <w:charset w:val="4D"/>
    <w:family w:val="auto"/>
    <w:notTrueType/>
    <w:pitch w:val="default"/>
    <w:sig w:usb0="00000003" w:usb1="00000000" w:usb2="00000000" w:usb3="00000000" w:csb0="00000001" w:csb1="00000000"/>
  </w:font>
  <w:font w:name="Arial MT">
    <w:charset w:val="00"/>
    <w:family w:val="auto"/>
    <w:pitch w:val="variable"/>
    <w:sig w:usb0="00000003" w:usb1="00000000" w:usb2="00000000" w:usb3="00000000" w:csb0="00000001" w:csb1="00000000"/>
  </w:font>
  <w:font w:name="HelveticaNeueLT-Light">
    <w:altName w:val="HelveticaNeue LT 45 Light"/>
    <w:panose1 w:val="00000000000000000000"/>
    <w:charset w:val="4D"/>
    <w:family w:val="swiss"/>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9" w:rsidRDefault="00D32E79" w:rsidP="001C2D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9" w:rsidRPr="00DA5EF5" w:rsidRDefault="00D32E79" w:rsidP="00DA5EF5">
    <w:pPr>
      <w:pStyle w:val="Footer"/>
      <w:jc w:val="right"/>
      <w:rPr>
        <w:b/>
      </w:rPr>
    </w:pPr>
    <w:r w:rsidRPr="00DA5EF5">
      <w:rPr>
        <w:b/>
      </w:rPr>
      <w:t>AURA TECHNICAL SERIES: NO.</w:t>
    </w:r>
    <w:r>
      <w:rPr>
        <w:b/>
      </w:rPr>
      <w:t xml:space="preserve"> </w:t>
    </w:r>
    <w:r w:rsidRPr="00DA5EF5">
      <w:rPr>
        <w:b/>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66627"/>
      <w:docPartObj>
        <w:docPartGallery w:val="Page Numbers (Bottom of Page)"/>
        <w:docPartUnique/>
      </w:docPartObj>
    </w:sdtPr>
    <w:sdtEndPr>
      <w:rPr>
        <w:noProof/>
      </w:rPr>
    </w:sdtEndPr>
    <w:sdtContent>
      <w:p w:rsidR="00D32E79" w:rsidRPr="00852FFB" w:rsidRDefault="00D32E79" w:rsidP="006E19B5">
        <w:pPr>
          <w:pStyle w:val="Footer"/>
          <w:jc w:val="right"/>
        </w:pPr>
        <w:r>
          <w:fldChar w:fldCharType="begin"/>
        </w:r>
        <w:r>
          <w:instrText xml:space="preserve"> PAGE   \* MERGEFORMAT </w:instrText>
        </w:r>
        <w:r>
          <w:fldChar w:fldCharType="separate"/>
        </w:r>
        <w:r w:rsidR="0075258C">
          <w:rPr>
            <w:noProof/>
          </w:rPr>
          <w:t>13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037339698"/>
      <w:docPartObj>
        <w:docPartGallery w:val="Page Numbers (Bottom of Page)"/>
        <w:docPartUnique/>
      </w:docPartObj>
    </w:sdtPr>
    <w:sdtEndPr>
      <w:rPr>
        <w:noProof/>
      </w:rPr>
    </w:sdtEndPr>
    <w:sdtContent>
      <w:p w:rsidR="00D32E79" w:rsidRPr="001C2D17" w:rsidRDefault="00D32E79">
        <w:pPr>
          <w:pStyle w:val="Footer"/>
          <w:jc w:val="right"/>
          <w:rPr>
            <w:sz w:val="20"/>
          </w:rPr>
        </w:pPr>
        <w:r w:rsidRPr="001C2D17">
          <w:rPr>
            <w:sz w:val="20"/>
          </w:rPr>
          <w:fldChar w:fldCharType="begin"/>
        </w:r>
        <w:r w:rsidRPr="001C2D17">
          <w:rPr>
            <w:sz w:val="20"/>
          </w:rPr>
          <w:instrText xml:space="preserve"> PAGE   \* MERGEFORMAT </w:instrText>
        </w:r>
        <w:r w:rsidRPr="001C2D17">
          <w:rPr>
            <w:sz w:val="20"/>
          </w:rPr>
          <w:fldChar w:fldCharType="separate"/>
        </w:r>
        <w:r w:rsidR="0075258C">
          <w:rPr>
            <w:noProof/>
            <w:sz w:val="20"/>
          </w:rPr>
          <w:t>1</w:t>
        </w:r>
        <w:r w:rsidRPr="001C2D17">
          <w:rPr>
            <w:noProof/>
            <w:sz w:val="20"/>
          </w:rPr>
          <w:fldChar w:fldCharType="end"/>
        </w:r>
      </w:p>
    </w:sdtContent>
  </w:sdt>
  <w:p w:rsidR="00D32E79" w:rsidRPr="006E19B5" w:rsidRDefault="00D32E79" w:rsidP="006E19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724631"/>
      <w:docPartObj>
        <w:docPartGallery w:val="Page Numbers (Bottom of Page)"/>
        <w:docPartUnique/>
      </w:docPartObj>
    </w:sdtPr>
    <w:sdtEndPr>
      <w:rPr>
        <w:noProof/>
        <w:sz w:val="20"/>
      </w:rPr>
    </w:sdtEndPr>
    <w:sdtContent>
      <w:p w:rsidR="00D32E79" w:rsidRPr="001C2D17" w:rsidRDefault="00D32E79">
        <w:pPr>
          <w:pStyle w:val="Footer"/>
          <w:jc w:val="right"/>
          <w:rPr>
            <w:sz w:val="20"/>
          </w:rPr>
        </w:pPr>
        <w:r w:rsidRPr="001C2D17">
          <w:rPr>
            <w:sz w:val="20"/>
          </w:rPr>
          <w:fldChar w:fldCharType="begin"/>
        </w:r>
        <w:r w:rsidRPr="001C2D17">
          <w:rPr>
            <w:sz w:val="20"/>
          </w:rPr>
          <w:instrText xml:space="preserve"> PAGE   \* MERGEFORMAT </w:instrText>
        </w:r>
        <w:r w:rsidRPr="001C2D17">
          <w:rPr>
            <w:sz w:val="20"/>
          </w:rPr>
          <w:fldChar w:fldCharType="separate"/>
        </w:r>
        <w:r w:rsidR="0075258C">
          <w:rPr>
            <w:noProof/>
            <w:sz w:val="20"/>
          </w:rPr>
          <w:t>22</w:t>
        </w:r>
        <w:r w:rsidRPr="001C2D17">
          <w:rPr>
            <w:noProof/>
            <w:sz w:val="20"/>
          </w:rPr>
          <w:fldChar w:fldCharType="end"/>
        </w:r>
      </w:p>
    </w:sdtContent>
  </w:sdt>
  <w:p w:rsidR="00D32E79" w:rsidRPr="00852FFB" w:rsidRDefault="00D32E79" w:rsidP="001C2D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92" w:rsidRDefault="001D7592" w:rsidP="005E2614">
      <w:r>
        <w:separator/>
      </w:r>
    </w:p>
  </w:footnote>
  <w:footnote w:type="continuationSeparator" w:id="0">
    <w:p w:rsidR="001D7592" w:rsidRDefault="001D7592" w:rsidP="005E2614">
      <w:r>
        <w:continuationSeparator/>
      </w:r>
    </w:p>
  </w:footnote>
  <w:footnote w:id="1">
    <w:p w:rsidR="00D32E79" w:rsidRPr="008537BE" w:rsidRDefault="00D32E79" w:rsidP="00D1516B">
      <w:pPr>
        <w:pStyle w:val="FootnoteText"/>
        <w:rPr>
          <w:sz w:val="18"/>
          <w:szCs w:val="18"/>
        </w:rPr>
      </w:pPr>
      <w:r>
        <w:rPr>
          <w:rStyle w:val="FootnoteReference"/>
        </w:rPr>
        <w:footnoteRef/>
      </w:r>
      <w:r>
        <w:t xml:space="preserve"> </w:t>
      </w:r>
      <w:r w:rsidRPr="008537BE">
        <w:rPr>
          <w:sz w:val="18"/>
          <w:szCs w:val="18"/>
        </w:rPr>
        <w:t xml:space="preserve">The term </w:t>
      </w:r>
      <w:r>
        <w:rPr>
          <w:sz w:val="18"/>
          <w:szCs w:val="18"/>
        </w:rPr>
        <w:t>‘</w:t>
      </w:r>
      <w:r w:rsidRPr="008537BE">
        <w:rPr>
          <w:sz w:val="18"/>
          <w:szCs w:val="18"/>
        </w:rPr>
        <w:t>antimicrobial</w:t>
      </w:r>
      <w:r>
        <w:rPr>
          <w:sz w:val="18"/>
          <w:szCs w:val="18"/>
        </w:rPr>
        <w:t>’</w:t>
      </w:r>
      <w:r w:rsidRPr="008537BE">
        <w:rPr>
          <w:sz w:val="18"/>
          <w:szCs w:val="18"/>
        </w:rPr>
        <w:t xml:space="preserve"> is an umbrella term encompassing antibacteri</w:t>
      </w:r>
      <w:r>
        <w:rPr>
          <w:sz w:val="18"/>
          <w:szCs w:val="18"/>
        </w:rPr>
        <w:t xml:space="preserve">al, antifungal, antiviral, </w:t>
      </w:r>
      <w:proofErr w:type="spellStart"/>
      <w:proofErr w:type="gramStart"/>
      <w:r>
        <w:rPr>
          <w:sz w:val="18"/>
          <w:szCs w:val="18"/>
        </w:rPr>
        <w:t>antim</w:t>
      </w:r>
      <w:r w:rsidRPr="008537BE">
        <w:rPr>
          <w:sz w:val="18"/>
          <w:szCs w:val="18"/>
        </w:rPr>
        <w:t>ycobacterial</w:t>
      </w:r>
      <w:proofErr w:type="spellEnd"/>
      <w:proofErr w:type="gramEnd"/>
      <w:r w:rsidRPr="008537BE">
        <w:rPr>
          <w:sz w:val="18"/>
          <w:szCs w:val="18"/>
        </w:rPr>
        <w:t xml:space="preserve"> and </w:t>
      </w:r>
      <w:proofErr w:type="spellStart"/>
      <w:r w:rsidRPr="008537BE">
        <w:rPr>
          <w:sz w:val="18"/>
          <w:szCs w:val="18"/>
        </w:rPr>
        <w:t>antiparasitic</w:t>
      </w:r>
      <w:proofErr w:type="spellEnd"/>
      <w:r w:rsidRPr="008537BE">
        <w:rPr>
          <w:sz w:val="18"/>
          <w:szCs w:val="18"/>
        </w:rPr>
        <w:t xml:space="preserve"> medicines. This report focuses mainly on </w:t>
      </w:r>
      <w:proofErr w:type="spellStart"/>
      <w:r w:rsidRPr="008537BE">
        <w:rPr>
          <w:sz w:val="18"/>
          <w:szCs w:val="18"/>
        </w:rPr>
        <w:t>antibacterials</w:t>
      </w:r>
      <w:proofErr w:type="spellEnd"/>
      <w:r w:rsidRPr="008537BE">
        <w:rPr>
          <w:sz w:val="18"/>
          <w:szCs w:val="18"/>
        </w:rPr>
        <w:t>.</w:t>
      </w:r>
    </w:p>
    <w:p w:rsidR="00D32E79" w:rsidRDefault="00D32E79" w:rsidP="00D1516B">
      <w:pPr>
        <w:pStyle w:val="FootnoteText"/>
      </w:pPr>
    </w:p>
  </w:footnote>
  <w:footnote w:id="2">
    <w:p w:rsidR="00D32E79" w:rsidRPr="007318C4" w:rsidRDefault="00D32E79" w:rsidP="00C5112F">
      <w:pPr>
        <w:pStyle w:val="FootnoteText"/>
        <w:rPr>
          <w:sz w:val="18"/>
          <w:szCs w:val="18"/>
        </w:rPr>
      </w:pPr>
      <w:r>
        <w:rPr>
          <w:rStyle w:val="FootnoteReference"/>
        </w:rPr>
        <w:footnoteRef/>
      </w:r>
      <w:r>
        <w:t xml:space="preserve"> </w:t>
      </w:r>
      <w:r w:rsidRPr="007318C4">
        <w:rPr>
          <w:sz w:val="18"/>
          <w:szCs w:val="18"/>
        </w:rPr>
        <w:t>The Australian Bureau of Statistics (ABS) refer</w:t>
      </w:r>
      <w:r>
        <w:rPr>
          <w:sz w:val="18"/>
          <w:szCs w:val="18"/>
        </w:rPr>
        <w:t>s</w:t>
      </w:r>
      <w:r w:rsidRPr="007318C4">
        <w:rPr>
          <w:sz w:val="18"/>
          <w:szCs w:val="18"/>
        </w:rPr>
        <w:t xml:space="preserve"> to local areas as </w:t>
      </w:r>
      <w:r>
        <w:rPr>
          <w:sz w:val="18"/>
          <w:szCs w:val="18"/>
        </w:rPr>
        <w:t>‘</w:t>
      </w:r>
      <w:r w:rsidRPr="007318C4">
        <w:rPr>
          <w:sz w:val="18"/>
          <w:szCs w:val="18"/>
        </w:rPr>
        <w:t>Statistical Areas Level 3 (SA3)</w:t>
      </w:r>
      <w:r>
        <w:rPr>
          <w:sz w:val="18"/>
          <w:szCs w:val="18"/>
        </w:rPr>
        <w:t>’</w:t>
      </w:r>
      <w:r w:rsidRPr="007318C4">
        <w:rPr>
          <w:sz w:val="18"/>
          <w:szCs w:val="18"/>
        </w:rPr>
        <w:t xml:space="preserve">. SA3s are geographic areas defined in the </w:t>
      </w:r>
      <w:r w:rsidRPr="00D475E4">
        <w:rPr>
          <w:i/>
          <w:sz w:val="18"/>
          <w:szCs w:val="18"/>
        </w:rPr>
        <w:t>ABS Australian Statistical Geography Standard</w:t>
      </w:r>
      <w:r w:rsidRPr="007318C4">
        <w:rPr>
          <w:sz w:val="18"/>
          <w:szCs w:val="18"/>
        </w:rPr>
        <w:t xml:space="preserve"> (ASGS). The aim of SA3s is to create a standard framework for the analysis of ABS data at the regional level through clustering groups that have similar regional characteristics. There are 333 spatial SA3s covering the whole of Australia without gaps or overlaps. SA3s usually have a population of between 30</w:t>
      </w:r>
      <w:r>
        <w:rPr>
          <w:sz w:val="18"/>
          <w:szCs w:val="18"/>
        </w:rPr>
        <w:t> </w:t>
      </w:r>
      <w:r w:rsidRPr="007318C4">
        <w:rPr>
          <w:sz w:val="18"/>
          <w:szCs w:val="18"/>
        </w:rPr>
        <w:t>000 and 130</w:t>
      </w:r>
      <w:r>
        <w:rPr>
          <w:sz w:val="18"/>
          <w:szCs w:val="18"/>
        </w:rPr>
        <w:t> </w:t>
      </w:r>
      <w:r w:rsidRPr="007318C4">
        <w:rPr>
          <w:sz w:val="18"/>
          <w:szCs w:val="18"/>
        </w:rPr>
        <w:t>000 people. At 30 June 2011, about 50 had fewer than 30</w:t>
      </w:r>
      <w:r>
        <w:rPr>
          <w:sz w:val="18"/>
          <w:szCs w:val="18"/>
        </w:rPr>
        <w:t xml:space="preserve"> </w:t>
      </w:r>
      <w:r w:rsidRPr="007318C4">
        <w:rPr>
          <w:sz w:val="18"/>
          <w:szCs w:val="18"/>
        </w:rPr>
        <w:t>000 people and 35 had more than 130</w:t>
      </w:r>
      <w:r>
        <w:rPr>
          <w:sz w:val="18"/>
          <w:szCs w:val="18"/>
        </w:rPr>
        <w:t xml:space="preserve"> </w:t>
      </w:r>
      <w:r w:rsidRPr="007318C4">
        <w:rPr>
          <w:sz w:val="18"/>
          <w:szCs w:val="18"/>
        </w:rPr>
        <w:t>000 people. In the major cities, SA3s represent areas serviced by major transport and commercial hubs. They often closely align with large urban local gover</w:t>
      </w:r>
      <w:r>
        <w:rPr>
          <w:sz w:val="18"/>
          <w:szCs w:val="18"/>
        </w:rPr>
        <w:t xml:space="preserve">nment areas (for example Parramatta and </w:t>
      </w:r>
      <w:r w:rsidRPr="007318C4">
        <w:rPr>
          <w:sz w:val="18"/>
          <w:szCs w:val="18"/>
        </w:rPr>
        <w:t>Geelong). In regional areas, they represent areas serviced by regional cities with populations of more than 20</w:t>
      </w:r>
      <w:r>
        <w:rPr>
          <w:sz w:val="18"/>
          <w:szCs w:val="18"/>
        </w:rPr>
        <w:t xml:space="preserve"> </w:t>
      </w:r>
      <w:r w:rsidRPr="007318C4">
        <w:rPr>
          <w:sz w:val="18"/>
          <w:szCs w:val="18"/>
        </w:rPr>
        <w:t xml:space="preserve">000 people. In outer regional and remote areas, they represent areas that are widely recognised as having a distinct identity and similar social and economic </w:t>
      </w:r>
      <w:r>
        <w:rPr>
          <w:sz w:val="18"/>
          <w:szCs w:val="18"/>
        </w:rPr>
        <w:t>characteristics (for example</w:t>
      </w:r>
      <w:r w:rsidRPr="007318C4">
        <w:rPr>
          <w:sz w:val="18"/>
          <w:szCs w:val="18"/>
        </w:rPr>
        <w:t xml:space="preserve"> th</w:t>
      </w:r>
      <w:r>
        <w:rPr>
          <w:sz w:val="18"/>
          <w:szCs w:val="18"/>
        </w:rPr>
        <w:t xml:space="preserve">e Macedon Ranges in Victoria and </w:t>
      </w:r>
      <w:r w:rsidRPr="007318C4">
        <w:rPr>
          <w:sz w:val="18"/>
          <w:szCs w:val="18"/>
        </w:rPr>
        <w:t>the Southern Highlands in NSW). There are a few ‘zero SA3s’, which have a very small or</w:t>
      </w:r>
      <w:r>
        <w:rPr>
          <w:sz w:val="18"/>
          <w:szCs w:val="18"/>
        </w:rPr>
        <w:t xml:space="preserve"> zero population and these are mainly very</w:t>
      </w:r>
      <w:r w:rsidRPr="007318C4">
        <w:rPr>
          <w:sz w:val="18"/>
          <w:szCs w:val="18"/>
        </w:rPr>
        <w:t xml:space="preserve"> large national parks close to the outskirts of major cities.</w:t>
      </w:r>
    </w:p>
  </w:footnote>
  <w:footnote w:id="3">
    <w:p w:rsidR="00D32E79" w:rsidRPr="00196476" w:rsidRDefault="00D32E79" w:rsidP="00C5112F">
      <w:pPr>
        <w:pStyle w:val="FootnoteText"/>
        <w:rPr>
          <w:sz w:val="18"/>
          <w:szCs w:val="18"/>
        </w:rPr>
      </w:pPr>
      <w:r>
        <w:rPr>
          <w:rStyle w:val="FootnoteReference"/>
        </w:rPr>
        <w:footnoteRef/>
      </w:r>
      <w:r>
        <w:t xml:space="preserve"> </w:t>
      </w:r>
      <w:r w:rsidRPr="00196476">
        <w:rPr>
          <w:sz w:val="18"/>
          <w:szCs w:val="18"/>
        </w:rPr>
        <w:t>Values for an acceptable range of prescribing vary between conditions: for some condition</w:t>
      </w:r>
      <w:r>
        <w:rPr>
          <w:sz w:val="18"/>
          <w:szCs w:val="18"/>
        </w:rPr>
        <w:t>s</w:t>
      </w:r>
      <w:r w:rsidRPr="00196476">
        <w:rPr>
          <w:sz w:val="18"/>
          <w:szCs w:val="18"/>
        </w:rPr>
        <w:t xml:space="preserve"> low values of 0–20% represent</w:t>
      </w:r>
      <w:r>
        <w:rPr>
          <w:sz w:val="18"/>
          <w:szCs w:val="18"/>
        </w:rPr>
        <w:t xml:space="preserve"> better quality of care whereas for other conditions high valu</w:t>
      </w:r>
      <w:r w:rsidRPr="00196476">
        <w:rPr>
          <w:sz w:val="18"/>
          <w:szCs w:val="18"/>
        </w:rPr>
        <w:t>es of 90–100% represent better quality of care.</w:t>
      </w:r>
      <w:r>
        <w:rPr>
          <w:sz w:val="18"/>
          <w:szCs w:val="18"/>
        </w:rPr>
        <w:fldChar w:fldCharType="begin"/>
      </w:r>
      <w:r>
        <w:rPr>
          <w:sz w:val="18"/>
          <w:szCs w:val="18"/>
        </w:rPr>
        <w:instrText xml:space="preserve"> ADDIN EN.CITE &lt;EndNote&gt;&lt;Cite&gt;&lt;Author&gt;Adriaenssens&lt;/Author&gt;&lt;Year&gt;2011&lt;/Year&gt;&lt;RecNum&gt;23&lt;/RecNum&gt;&lt;DisplayText&gt;5.&amp;#x9;Adriaenssens N, Coenen S, Tonkin-Crine S, et al. European Surveillance of Antimicrobial Consumption (ESAC). Disease-specific quality indicators for outpatient antibiotic prescribing. &lt;style face="italic"&gt;BMJ Qual Saf&lt;/style&gt;. 2011; 20: 764-72.&lt;/DisplayText&gt;&lt;record&gt;&lt;rec-number&gt;23&lt;/rec-number&gt;&lt;foreign-keys&gt;&lt;key app="EN" db-id="rfdrt5f982tppcedt23vfxzvp52ea529f2pd"&gt;23&lt;/key&gt;&lt;/foreign-keys&gt;&lt;ref-type name="Journal Article"&gt;17&lt;/ref-type&gt;&lt;contributors&gt;&lt;authors&gt;&lt;author&gt;Adriaenssens, N.&lt;/author&gt;&lt;author&gt;Coenen, S.&lt;/author&gt;&lt;author&gt;Tonkin-Crine, S.&lt;/author&gt;&lt;author&gt;Verheij, T.&lt;/author&gt;&lt;author&gt;Little, P.&lt;/author&gt;&lt;author&gt;Goossens, H.&lt;/author&gt;&lt;author&gt;on behalf ofthe ESAC Project Group,.&lt;/author&gt;&lt;/authors&gt;&lt;/contributors&gt;&lt;titles&gt;&lt;title&gt;European Surveillance of Antimicrobial Consumption (ESAC). Disease-specific quality indicators for outpatient antibiotic prescribing&lt;/title&gt;&lt;secondary-title&gt;BMJ Qual Saf&lt;/secondary-title&gt;&lt;/titles&gt;&lt;periodical&gt;&lt;full-title&gt;BMJ Qual Saf&lt;/full-title&gt;&lt;/periodical&gt;&lt;pages&gt;764-772&lt;/pages&gt;&lt;volume&gt;20&lt;/volume&gt;&lt;dates&gt;&lt;year&gt;2011&lt;/year&gt;&lt;/dates&gt;&lt;urls&gt;&lt;/urls&gt;&lt;/record&gt;&lt;/Cite&gt;&lt;/EndNote&gt;</w:instrText>
      </w:r>
      <w:r>
        <w:rPr>
          <w:sz w:val="18"/>
          <w:szCs w:val="18"/>
        </w:rPr>
        <w:fldChar w:fldCharType="separate"/>
      </w:r>
      <w:r>
        <w:rPr>
          <w:noProof/>
          <w:sz w:val="18"/>
          <w:szCs w:val="18"/>
          <w:vertAlign w:val="superscript"/>
        </w:rPr>
        <w:t>5</w:t>
      </w:r>
      <w:r>
        <w:rPr>
          <w:sz w:val="18"/>
          <w:szCs w:val="18"/>
        </w:rPr>
        <w:fldChar w:fldCharType="end"/>
      </w:r>
    </w:p>
  </w:footnote>
  <w:footnote w:id="4">
    <w:p w:rsidR="00D32E79" w:rsidRDefault="00D32E79" w:rsidP="00C5112F">
      <w:pPr>
        <w:pStyle w:val="FootnoteText"/>
      </w:pPr>
      <w:r>
        <w:rPr>
          <w:rStyle w:val="FootnoteReference"/>
        </w:rPr>
        <w:footnoteRef/>
      </w:r>
      <w:r>
        <w:t xml:space="preserve"> </w:t>
      </w:r>
      <w:r w:rsidRPr="00AE55A8">
        <w:rPr>
          <w:sz w:val="18"/>
          <w:szCs w:val="18"/>
        </w:rPr>
        <w:t xml:space="preserve">PBS and RPBS data on </w:t>
      </w:r>
      <w:proofErr w:type="spellStart"/>
      <w:r w:rsidRPr="00AE55A8">
        <w:rPr>
          <w:sz w:val="18"/>
          <w:szCs w:val="18"/>
        </w:rPr>
        <w:t>anti</w:t>
      </w:r>
      <w:r>
        <w:rPr>
          <w:sz w:val="18"/>
          <w:szCs w:val="18"/>
        </w:rPr>
        <w:t>bacterials</w:t>
      </w:r>
      <w:proofErr w:type="spellEnd"/>
      <w:r>
        <w:rPr>
          <w:sz w:val="18"/>
          <w:szCs w:val="18"/>
        </w:rPr>
        <w:t xml:space="preserve"> </w:t>
      </w:r>
      <w:r w:rsidRPr="00AE55A8">
        <w:rPr>
          <w:sz w:val="18"/>
          <w:szCs w:val="18"/>
        </w:rPr>
        <w:t>most often used to treat acute</w:t>
      </w:r>
      <w:r>
        <w:rPr>
          <w:sz w:val="18"/>
          <w:szCs w:val="18"/>
        </w:rPr>
        <w:t xml:space="preserve"> upper respiratory tract infection</w:t>
      </w:r>
      <w:r w:rsidRPr="00AE55A8">
        <w:rPr>
          <w:sz w:val="18"/>
          <w:szCs w:val="18"/>
        </w:rPr>
        <w:t xml:space="preserve">: </w:t>
      </w:r>
      <w:proofErr w:type="spellStart"/>
      <w:r w:rsidRPr="00AE55A8">
        <w:rPr>
          <w:sz w:val="18"/>
          <w:szCs w:val="18"/>
        </w:rPr>
        <w:t>phenox</w:t>
      </w:r>
      <w:r>
        <w:rPr>
          <w:sz w:val="18"/>
          <w:szCs w:val="18"/>
        </w:rPr>
        <w:t>ymethylpenicillin</w:t>
      </w:r>
      <w:proofErr w:type="spellEnd"/>
      <w:r>
        <w:rPr>
          <w:sz w:val="18"/>
          <w:szCs w:val="18"/>
        </w:rPr>
        <w:t xml:space="preserve">, amoxicillin, </w:t>
      </w:r>
      <w:r w:rsidRPr="00AE55A8">
        <w:rPr>
          <w:sz w:val="18"/>
          <w:szCs w:val="18"/>
        </w:rPr>
        <w:t>amoxicillin–</w:t>
      </w:r>
      <w:proofErr w:type="spellStart"/>
      <w:r w:rsidRPr="00AE55A8">
        <w:rPr>
          <w:sz w:val="18"/>
          <w:szCs w:val="18"/>
        </w:rPr>
        <w:t>clavulanate</w:t>
      </w:r>
      <w:proofErr w:type="spellEnd"/>
      <w:r w:rsidRPr="00AE55A8">
        <w:rPr>
          <w:sz w:val="18"/>
          <w:szCs w:val="18"/>
        </w:rPr>
        <w:t xml:space="preserve">, clarithromycin, erythromycin, </w:t>
      </w:r>
      <w:proofErr w:type="spellStart"/>
      <w:r w:rsidRPr="00AE55A8">
        <w:rPr>
          <w:sz w:val="18"/>
          <w:szCs w:val="18"/>
        </w:rPr>
        <w:t>roxithromycin</w:t>
      </w:r>
      <w:proofErr w:type="spellEnd"/>
      <w:r w:rsidRPr="00AE55A8">
        <w:rPr>
          <w:sz w:val="18"/>
          <w:szCs w:val="18"/>
        </w:rPr>
        <w:t xml:space="preserve">, </w:t>
      </w:r>
      <w:proofErr w:type="spellStart"/>
      <w:r w:rsidRPr="00AE55A8">
        <w:rPr>
          <w:sz w:val="18"/>
          <w:szCs w:val="18"/>
        </w:rPr>
        <w:t>cefaclor</w:t>
      </w:r>
      <w:proofErr w:type="spellEnd"/>
      <w:r w:rsidRPr="00AE55A8">
        <w:rPr>
          <w:sz w:val="18"/>
          <w:szCs w:val="18"/>
        </w:rPr>
        <w:t>, cefuroxime and doxycycline</w:t>
      </w:r>
    </w:p>
  </w:footnote>
  <w:footnote w:id="5">
    <w:p w:rsidR="00D32E79" w:rsidRDefault="00D32E79" w:rsidP="00C5112F">
      <w:pPr>
        <w:pStyle w:val="FootnoteText"/>
      </w:pPr>
      <w:r>
        <w:rPr>
          <w:rStyle w:val="FootnoteReference"/>
        </w:rPr>
        <w:footnoteRef/>
      </w:r>
      <w:r>
        <w:t xml:space="preserve"> B</w:t>
      </w:r>
      <w:r w:rsidRPr="00502D1E">
        <w:rPr>
          <w:sz w:val="18"/>
          <w:szCs w:val="18"/>
        </w:rPr>
        <w:t>ecause of changes to how th</w:t>
      </w:r>
      <w:r>
        <w:rPr>
          <w:sz w:val="18"/>
          <w:szCs w:val="18"/>
        </w:rPr>
        <w:t>is</w:t>
      </w:r>
      <w:r w:rsidRPr="00502D1E">
        <w:rPr>
          <w:sz w:val="18"/>
          <w:szCs w:val="18"/>
        </w:rPr>
        <w:t xml:space="preserve"> data </w:t>
      </w:r>
      <w:r>
        <w:rPr>
          <w:sz w:val="18"/>
          <w:szCs w:val="18"/>
        </w:rPr>
        <w:t>is</w:t>
      </w:r>
      <w:r w:rsidRPr="00502D1E">
        <w:rPr>
          <w:sz w:val="18"/>
          <w:szCs w:val="18"/>
        </w:rPr>
        <w:t xml:space="preserve"> collected, </w:t>
      </w:r>
      <w:r>
        <w:rPr>
          <w:sz w:val="18"/>
          <w:szCs w:val="18"/>
        </w:rPr>
        <w:t xml:space="preserve">it is impossible to </w:t>
      </w:r>
      <w:r w:rsidRPr="00502D1E">
        <w:rPr>
          <w:sz w:val="18"/>
          <w:szCs w:val="18"/>
        </w:rPr>
        <w:t>draw comparisons w</w:t>
      </w:r>
      <w:r>
        <w:rPr>
          <w:sz w:val="18"/>
          <w:szCs w:val="18"/>
        </w:rPr>
        <w:t xml:space="preserve">ith </w:t>
      </w:r>
      <w:r w:rsidRPr="00502D1E">
        <w:rPr>
          <w:sz w:val="18"/>
          <w:szCs w:val="18"/>
        </w:rPr>
        <w:t>previous years</w:t>
      </w:r>
      <w:r w:rsidRPr="00502D1E">
        <w:t>.</w:t>
      </w:r>
    </w:p>
  </w:footnote>
  <w:footnote w:id="6">
    <w:p w:rsidR="00D32E79" w:rsidRDefault="00D32E79" w:rsidP="00C5112F">
      <w:pPr>
        <w:pStyle w:val="FootnoteText"/>
      </w:pPr>
      <w:r>
        <w:rPr>
          <w:rStyle w:val="FootnoteReference"/>
        </w:rPr>
        <w:footnoteRef/>
      </w:r>
      <w:r>
        <w:t xml:space="preserve"> </w:t>
      </w:r>
      <w:r w:rsidRPr="00D475E4">
        <w:rPr>
          <w:sz w:val="18"/>
          <w:szCs w:val="18"/>
        </w:rPr>
        <w:t>These are a</w:t>
      </w:r>
      <w:r>
        <w:t xml:space="preserve"> </w:t>
      </w:r>
      <w:r w:rsidRPr="007620E4">
        <w:rPr>
          <w:sz w:val="18"/>
          <w:szCs w:val="18"/>
        </w:rPr>
        <w:t>set of clinical and other criteria used</w:t>
      </w:r>
      <w:r>
        <w:rPr>
          <w:sz w:val="18"/>
          <w:szCs w:val="18"/>
        </w:rPr>
        <w:t xml:space="preserve"> for surveillance of infection rates (not appropriateness of antimicrobial prescribing)</w:t>
      </w:r>
      <w:r w:rsidRPr="007620E4">
        <w:rPr>
          <w:sz w:val="18"/>
          <w:szCs w:val="18"/>
        </w:rPr>
        <w:t xml:space="preserve"> in long-term care fa</w:t>
      </w:r>
      <w:r>
        <w:rPr>
          <w:sz w:val="18"/>
          <w:szCs w:val="18"/>
        </w:rPr>
        <w:t>cilities that enable inter-facility comparison.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9" w:rsidRDefault="00D32E79" w:rsidP="00A62E15">
    <w:pPr>
      <w:pStyle w:val="Header"/>
      <w:ind w:left="284"/>
    </w:pPr>
    <w:r>
      <w:rPr>
        <w:noProof/>
      </w:rPr>
      <w:drawing>
        <wp:inline distT="0" distB="0" distL="0" distR="0" wp14:anchorId="58AB25C5" wp14:editId="38D4DD5E">
          <wp:extent cx="4845984" cy="684000"/>
          <wp:effectExtent l="0" t="0" r="0" b="1905"/>
          <wp:docPr id="5" name="Picture 5" descr="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5984" cy="684000"/>
                  </a:xfrm>
                  <a:prstGeom prst="rect">
                    <a:avLst/>
                  </a:prstGeom>
                </pic:spPr>
              </pic:pic>
            </a:graphicData>
          </a:graphic>
        </wp:inline>
      </w:drawing>
    </w:r>
  </w:p>
  <w:p w:rsidR="00D32E79" w:rsidRDefault="00D32E79" w:rsidP="00A62E15">
    <w:pPr>
      <w:pStyle w:val="Header"/>
      <w:ind w:left="284"/>
    </w:pPr>
    <w:r>
      <w:rPr>
        <w:noProof/>
      </w:rPr>
      <w:drawing>
        <wp:inline distT="0" distB="0" distL="0" distR="0" wp14:anchorId="6405AA96" wp14:editId="486E1D86">
          <wp:extent cx="1781298" cy="554361"/>
          <wp:effectExtent l="0" t="0" r="9525" b="0"/>
          <wp:docPr id="11" name="Picture 11" descr="A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 AURA Logo (D15-947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714" cy="555113"/>
                  </a:xfrm>
                  <a:prstGeom prst="rect">
                    <a:avLst/>
                  </a:prstGeom>
                </pic:spPr>
              </pic:pic>
            </a:graphicData>
          </a:graphic>
        </wp:inline>
      </w:drawing>
    </w:r>
  </w:p>
  <w:p w:rsidR="00D32E79" w:rsidRDefault="00D32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79" w:rsidRPr="00B95A67" w:rsidRDefault="00D32E79" w:rsidP="00B95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66C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22EAAC6"/>
    <w:lvl w:ilvl="0">
      <w:start w:val="1"/>
      <w:numFmt w:val="decimal"/>
      <w:lvlText w:val="%1."/>
      <w:lvlJc w:val="left"/>
      <w:pPr>
        <w:tabs>
          <w:tab w:val="num" w:pos="1492"/>
        </w:tabs>
        <w:ind w:left="1492" w:hanging="360"/>
      </w:pPr>
    </w:lvl>
  </w:abstractNum>
  <w:abstractNum w:abstractNumId="2">
    <w:nsid w:val="FFFFFF7D"/>
    <w:multiLevelType w:val="singleLevel"/>
    <w:tmpl w:val="596AC4F0"/>
    <w:lvl w:ilvl="0">
      <w:start w:val="1"/>
      <w:numFmt w:val="decimal"/>
      <w:lvlText w:val="%1."/>
      <w:lvlJc w:val="left"/>
      <w:pPr>
        <w:tabs>
          <w:tab w:val="num" w:pos="1209"/>
        </w:tabs>
        <w:ind w:left="1209" w:hanging="360"/>
      </w:pPr>
    </w:lvl>
  </w:abstractNum>
  <w:abstractNum w:abstractNumId="3">
    <w:nsid w:val="FFFFFF7E"/>
    <w:multiLevelType w:val="singleLevel"/>
    <w:tmpl w:val="1926100E"/>
    <w:lvl w:ilvl="0">
      <w:start w:val="1"/>
      <w:numFmt w:val="decimal"/>
      <w:lvlText w:val="%1."/>
      <w:lvlJc w:val="left"/>
      <w:pPr>
        <w:tabs>
          <w:tab w:val="num" w:pos="926"/>
        </w:tabs>
        <w:ind w:left="926" w:hanging="360"/>
      </w:pPr>
    </w:lvl>
  </w:abstractNum>
  <w:abstractNum w:abstractNumId="4">
    <w:nsid w:val="FFFFFF7F"/>
    <w:multiLevelType w:val="singleLevel"/>
    <w:tmpl w:val="752CBA22"/>
    <w:lvl w:ilvl="0">
      <w:start w:val="1"/>
      <w:numFmt w:val="decimal"/>
      <w:lvlText w:val="%1."/>
      <w:lvlJc w:val="left"/>
      <w:pPr>
        <w:tabs>
          <w:tab w:val="num" w:pos="643"/>
        </w:tabs>
        <w:ind w:left="643" w:hanging="360"/>
      </w:pPr>
    </w:lvl>
  </w:abstractNum>
  <w:abstractNum w:abstractNumId="5">
    <w:nsid w:val="FFFFFF80"/>
    <w:multiLevelType w:val="singleLevel"/>
    <w:tmpl w:val="D780D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FA45C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EC8D2F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3DE26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F96ED34"/>
    <w:lvl w:ilvl="0">
      <w:start w:val="1"/>
      <w:numFmt w:val="decimal"/>
      <w:lvlText w:val="%1."/>
      <w:lvlJc w:val="left"/>
      <w:pPr>
        <w:tabs>
          <w:tab w:val="num" w:pos="360"/>
        </w:tabs>
        <w:ind w:left="360" w:hanging="360"/>
      </w:pPr>
    </w:lvl>
  </w:abstractNum>
  <w:abstractNum w:abstractNumId="10">
    <w:nsid w:val="FFFFFF89"/>
    <w:multiLevelType w:val="singleLevel"/>
    <w:tmpl w:val="5D32C172"/>
    <w:lvl w:ilvl="0">
      <w:start w:val="1"/>
      <w:numFmt w:val="bullet"/>
      <w:lvlText w:val=""/>
      <w:lvlJc w:val="left"/>
      <w:pPr>
        <w:tabs>
          <w:tab w:val="num" w:pos="360"/>
        </w:tabs>
        <w:ind w:left="360" w:hanging="360"/>
      </w:pPr>
      <w:rPr>
        <w:rFonts w:ascii="Symbol" w:hAnsi="Symbol" w:hint="default"/>
      </w:rPr>
    </w:lvl>
  </w:abstractNum>
  <w:abstractNum w:abstractNumId="11">
    <w:nsid w:val="101E7EE7"/>
    <w:multiLevelType w:val="hybridMultilevel"/>
    <w:tmpl w:val="651E9F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D303C0"/>
    <w:multiLevelType w:val="hybridMultilevel"/>
    <w:tmpl w:val="0684469C"/>
    <w:lvl w:ilvl="0" w:tplc="5928C416">
      <w:start w:val="1"/>
      <w:numFmt w:val="bullet"/>
      <w:lvlText w:val=""/>
      <w:lvlJc w:val="left"/>
      <w:pPr>
        <w:ind w:left="1440" w:hanging="360"/>
      </w:pPr>
      <w:rPr>
        <w:rFonts w:ascii="Symbol" w:hAnsi="Symbol" w:hint="default"/>
        <w:color w:val="008EA5"/>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E3DA7"/>
    <w:multiLevelType w:val="hybridMultilevel"/>
    <w:tmpl w:val="FFC25C9C"/>
    <w:lvl w:ilvl="0" w:tplc="0409000F">
      <w:start w:val="1"/>
      <w:numFmt w:val="decimal"/>
      <w:lvlText w:val="%1."/>
      <w:lvlJc w:val="left"/>
      <w:pPr>
        <w:ind w:left="720" w:hanging="360"/>
      </w:pPr>
      <w:rPr>
        <w:rFonts w:hint="default"/>
        <w:color w:val="008EA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E26566"/>
    <w:multiLevelType w:val="hybridMultilevel"/>
    <w:tmpl w:val="9398A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42982"/>
    <w:multiLevelType w:val="hybridMultilevel"/>
    <w:tmpl w:val="7E481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462E2C"/>
    <w:multiLevelType w:val="hybridMultilevel"/>
    <w:tmpl w:val="1BCE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942B48"/>
    <w:multiLevelType w:val="hybridMultilevel"/>
    <w:tmpl w:val="38A8CCF8"/>
    <w:lvl w:ilvl="0" w:tplc="F392BE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C354B4"/>
    <w:multiLevelType w:val="multilevel"/>
    <w:tmpl w:val="4E2EC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B9A08DA"/>
    <w:multiLevelType w:val="hybridMultilevel"/>
    <w:tmpl w:val="7DFA4B22"/>
    <w:lvl w:ilvl="0" w:tplc="2B7C90D2">
      <w:start w:val="1"/>
      <w:numFmt w:val="bullet"/>
      <w:pStyle w:val="MediumGrid1-Accent21"/>
      <w:lvlText w:val=""/>
      <w:lvlJc w:val="left"/>
      <w:pPr>
        <w:ind w:left="720" w:hanging="360"/>
      </w:pPr>
      <w:rPr>
        <w:rFonts w:ascii="Symbol" w:hAnsi="Symbol" w:hint="default"/>
        <w:color w:val="008EA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DC82702"/>
    <w:multiLevelType w:val="hybridMultilevel"/>
    <w:tmpl w:val="6DB67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2AC54D9"/>
    <w:multiLevelType w:val="hybridMultilevel"/>
    <w:tmpl w:val="A4E6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CC2312"/>
    <w:multiLevelType w:val="hybridMultilevel"/>
    <w:tmpl w:val="74C62B48"/>
    <w:lvl w:ilvl="0" w:tplc="DA78DF36">
      <w:start w:val="1"/>
      <w:numFmt w:val="decimal"/>
      <w:lvlText w:val="%1."/>
      <w:lvlJc w:val="left"/>
      <w:pPr>
        <w:tabs>
          <w:tab w:val="num" w:pos="360"/>
        </w:tabs>
        <w:ind w:left="360" w:hanging="360"/>
      </w:pPr>
      <w:rPr>
        <w:rFonts w:ascii="Arial" w:hAnsi="Arial" w:cs="Arial" w:hint="default"/>
        <w:b w:val="0"/>
        <w:i w:val="0"/>
        <w:sz w:val="22"/>
        <w:szCs w:val="22"/>
      </w:rPr>
    </w:lvl>
    <w:lvl w:ilvl="1" w:tplc="0C090017">
      <w:start w:val="1"/>
      <w:numFmt w:val="lowerLetter"/>
      <w:lvlText w:val="%2)"/>
      <w:lvlJc w:val="left"/>
      <w:pPr>
        <w:tabs>
          <w:tab w:val="num" w:pos="1440"/>
        </w:tabs>
        <w:ind w:left="1440" w:hanging="360"/>
      </w:pPr>
      <w:rPr>
        <w:rFonts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B4D616F"/>
    <w:multiLevelType w:val="hybridMultilevel"/>
    <w:tmpl w:val="3B30E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CAD2EDF"/>
    <w:multiLevelType w:val="hybridMultilevel"/>
    <w:tmpl w:val="D51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42310A"/>
    <w:multiLevelType w:val="hybridMultilevel"/>
    <w:tmpl w:val="211EDF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1832AB8"/>
    <w:multiLevelType w:val="hybridMultilevel"/>
    <w:tmpl w:val="108A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A8B29A4"/>
    <w:multiLevelType w:val="hybridMultilevel"/>
    <w:tmpl w:val="6BC8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D5011E"/>
    <w:multiLevelType w:val="hybridMultilevel"/>
    <w:tmpl w:val="5C14CB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20D3337"/>
    <w:multiLevelType w:val="hybridMultilevel"/>
    <w:tmpl w:val="D55A62E4"/>
    <w:lvl w:ilvl="0" w:tplc="0A863BAC">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3B82213"/>
    <w:multiLevelType w:val="hybridMultilevel"/>
    <w:tmpl w:val="C994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3C7BD7"/>
    <w:multiLevelType w:val="hybridMultilevel"/>
    <w:tmpl w:val="5B50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D443D8"/>
    <w:multiLevelType w:val="hybridMultilevel"/>
    <w:tmpl w:val="A4749CBA"/>
    <w:lvl w:ilvl="0" w:tplc="2B7C90D2">
      <w:start w:val="1"/>
      <w:numFmt w:val="bullet"/>
      <w:lvlText w:val=""/>
      <w:lvlJc w:val="left"/>
      <w:pPr>
        <w:ind w:left="720" w:hanging="360"/>
      </w:pPr>
      <w:rPr>
        <w:rFonts w:ascii="Symbol" w:hAnsi="Symbol" w:hint="default"/>
        <w:color w:val="008E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664F81"/>
    <w:multiLevelType w:val="hybridMultilevel"/>
    <w:tmpl w:val="EA56833E"/>
    <w:lvl w:ilvl="0" w:tplc="937EBF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BF0C7D"/>
    <w:multiLevelType w:val="hybridMultilevel"/>
    <w:tmpl w:val="B386B528"/>
    <w:lvl w:ilvl="0" w:tplc="F392BE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E65377"/>
    <w:multiLevelType w:val="hybridMultilevel"/>
    <w:tmpl w:val="7D82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484520"/>
    <w:multiLevelType w:val="hybridMultilevel"/>
    <w:tmpl w:val="A7A4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856926"/>
    <w:multiLevelType w:val="hybridMultilevel"/>
    <w:tmpl w:val="BEC40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E95714"/>
    <w:multiLevelType w:val="hybridMultilevel"/>
    <w:tmpl w:val="A372E8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36"/>
  </w:num>
  <w:num w:numId="16">
    <w:abstractNumId w:val="32"/>
  </w:num>
  <w:num w:numId="17">
    <w:abstractNumId w:val="12"/>
  </w:num>
  <w:num w:numId="18">
    <w:abstractNumId w:val="22"/>
  </w:num>
  <w:num w:numId="19">
    <w:abstractNumId w:val="34"/>
  </w:num>
  <w:num w:numId="20">
    <w:abstractNumId w:val="18"/>
  </w:num>
  <w:num w:numId="21">
    <w:abstractNumId w:val="33"/>
  </w:num>
  <w:num w:numId="22">
    <w:abstractNumId w:val="19"/>
  </w:num>
  <w:num w:numId="23">
    <w:abstractNumId w:val="13"/>
  </w:num>
  <w:num w:numId="24">
    <w:abstractNumId w:val="29"/>
  </w:num>
  <w:num w:numId="25">
    <w:abstractNumId w:val="15"/>
  </w:num>
  <w:num w:numId="26">
    <w:abstractNumId w:val="38"/>
  </w:num>
  <w:num w:numId="27">
    <w:abstractNumId w:val="35"/>
  </w:num>
  <w:num w:numId="28">
    <w:abstractNumId w:val="17"/>
  </w:num>
  <w:num w:numId="29">
    <w:abstractNumId w:val="27"/>
  </w:num>
  <w:num w:numId="30">
    <w:abstractNumId w:val="14"/>
  </w:num>
  <w:num w:numId="31">
    <w:abstractNumId w:val="26"/>
  </w:num>
  <w:num w:numId="32">
    <w:abstractNumId w:val="30"/>
  </w:num>
  <w:num w:numId="33">
    <w:abstractNumId w:val="11"/>
  </w:num>
  <w:num w:numId="34">
    <w:abstractNumId w:val="39"/>
  </w:num>
  <w:num w:numId="35">
    <w:abstractNumId w:val="31"/>
  </w:num>
  <w:num w:numId="36">
    <w:abstractNumId w:val="37"/>
  </w:num>
  <w:num w:numId="37">
    <w:abstractNumId w:val="16"/>
  </w:num>
  <w:num w:numId="38">
    <w:abstractNumId w:val="21"/>
  </w:num>
  <w:num w:numId="39">
    <w:abstractNumId w:val="2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2F"/>
    <w:rsid w:val="00003743"/>
    <w:rsid w:val="00067456"/>
    <w:rsid w:val="000C1DD4"/>
    <w:rsid w:val="001B3443"/>
    <w:rsid w:val="001C2D17"/>
    <w:rsid w:val="001C6B47"/>
    <w:rsid w:val="001D7592"/>
    <w:rsid w:val="001E1042"/>
    <w:rsid w:val="001F5CEE"/>
    <w:rsid w:val="002706BB"/>
    <w:rsid w:val="00281FD4"/>
    <w:rsid w:val="002F3AE3"/>
    <w:rsid w:val="0030786C"/>
    <w:rsid w:val="00312A62"/>
    <w:rsid w:val="00316683"/>
    <w:rsid w:val="003774FC"/>
    <w:rsid w:val="003A4A3A"/>
    <w:rsid w:val="003D17F9"/>
    <w:rsid w:val="003D437B"/>
    <w:rsid w:val="004867E2"/>
    <w:rsid w:val="00497665"/>
    <w:rsid w:val="00497A2A"/>
    <w:rsid w:val="004E58C1"/>
    <w:rsid w:val="00514311"/>
    <w:rsid w:val="0052107C"/>
    <w:rsid w:val="00595543"/>
    <w:rsid w:val="005E2614"/>
    <w:rsid w:val="00664701"/>
    <w:rsid w:val="006A07F3"/>
    <w:rsid w:val="006E19B5"/>
    <w:rsid w:val="007028EC"/>
    <w:rsid w:val="00712375"/>
    <w:rsid w:val="007413D9"/>
    <w:rsid w:val="0075258C"/>
    <w:rsid w:val="0076005C"/>
    <w:rsid w:val="00766B42"/>
    <w:rsid w:val="00784541"/>
    <w:rsid w:val="007968CC"/>
    <w:rsid w:val="00796FB7"/>
    <w:rsid w:val="008264EB"/>
    <w:rsid w:val="00827902"/>
    <w:rsid w:val="00830756"/>
    <w:rsid w:val="00852FFB"/>
    <w:rsid w:val="0088281D"/>
    <w:rsid w:val="009170FC"/>
    <w:rsid w:val="00964277"/>
    <w:rsid w:val="009F5557"/>
    <w:rsid w:val="00A02577"/>
    <w:rsid w:val="00A4512D"/>
    <w:rsid w:val="00A62E15"/>
    <w:rsid w:val="00A705AF"/>
    <w:rsid w:val="00A75B58"/>
    <w:rsid w:val="00AA7B58"/>
    <w:rsid w:val="00AD2347"/>
    <w:rsid w:val="00AD52A0"/>
    <w:rsid w:val="00B05CB1"/>
    <w:rsid w:val="00B33453"/>
    <w:rsid w:val="00B41409"/>
    <w:rsid w:val="00B42851"/>
    <w:rsid w:val="00B47076"/>
    <w:rsid w:val="00B517A8"/>
    <w:rsid w:val="00B56B37"/>
    <w:rsid w:val="00B662FC"/>
    <w:rsid w:val="00B7794A"/>
    <w:rsid w:val="00B9170C"/>
    <w:rsid w:val="00B95A67"/>
    <w:rsid w:val="00C06314"/>
    <w:rsid w:val="00C22551"/>
    <w:rsid w:val="00C5112F"/>
    <w:rsid w:val="00C51BE7"/>
    <w:rsid w:val="00CA6544"/>
    <w:rsid w:val="00CB40C9"/>
    <w:rsid w:val="00CB5B1A"/>
    <w:rsid w:val="00D1516B"/>
    <w:rsid w:val="00D32E79"/>
    <w:rsid w:val="00D42B9A"/>
    <w:rsid w:val="00D7465B"/>
    <w:rsid w:val="00DA5EF5"/>
    <w:rsid w:val="00DC4F8F"/>
    <w:rsid w:val="00DD302B"/>
    <w:rsid w:val="00E472C9"/>
    <w:rsid w:val="00E57029"/>
    <w:rsid w:val="00E60EE1"/>
    <w:rsid w:val="00E66C30"/>
    <w:rsid w:val="00E86B67"/>
    <w:rsid w:val="00EE397E"/>
    <w:rsid w:val="00F1779F"/>
    <w:rsid w:val="00F238F2"/>
    <w:rsid w:val="00F549D7"/>
    <w:rsid w:val="00F73D95"/>
    <w:rsid w:val="00F95769"/>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683"/>
    <w:rPr>
      <w:rFonts w:ascii="Arial" w:hAnsi="Arial"/>
      <w:sz w:val="22"/>
    </w:rPr>
  </w:style>
  <w:style w:type="paragraph" w:styleId="Heading1">
    <w:name w:val="heading 1"/>
    <w:basedOn w:val="Normal"/>
    <w:next w:val="Normal"/>
    <w:link w:val="Heading1Char"/>
    <w:qFormat/>
    <w:rsid w:val="0075258C"/>
    <w:pPr>
      <w:keepNext/>
      <w:spacing w:before="240" w:after="60"/>
      <w:outlineLvl w:val="0"/>
    </w:pPr>
    <w:rPr>
      <w:rFonts w:cs="Arial"/>
      <w:b/>
      <w:bCs/>
      <w:color w:val="E36C0A" w:themeColor="accent6" w:themeShade="BF"/>
      <w:kern w:val="28"/>
      <w:sz w:val="40"/>
      <w:szCs w:val="32"/>
    </w:rPr>
  </w:style>
  <w:style w:type="paragraph" w:styleId="Heading2">
    <w:name w:val="heading 2"/>
    <w:basedOn w:val="Normal"/>
    <w:next w:val="Normal"/>
    <w:link w:val="Heading2Char"/>
    <w:qFormat/>
    <w:rsid w:val="001C6B47"/>
    <w:pPr>
      <w:keepNext/>
      <w:spacing w:before="240" w:after="60"/>
      <w:outlineLvl w:val="1"/>
    </w:pPr>
    <w:rPr>
      <w:rFonts w:cs="Arial"/>
      <w:b/>
      <w:bCs/>
      <w:iCs/>
      <w:color w:val="E36C0A" w:themeColor="accent6" w:themeShade="BF"/>
      <w:sz w:val="32"/>
      <w:szCs w:val="28"/>
    </w:rPr>
  </w:style>
  <w:style w:type="paragraph" w:styleId="Heading3">
    <w:name w:val="heading 3"/>
    <w:basedOn w:val="Normal"/>
    <w:next w:val="Normal"/>
    <w:link w:val="Heading3Char"/>
    <w:qFormat/>
    <w:rsid w:val="001C6B47"/>
    <w:pPr>
      <w:keepNext/>
      <w:spacing w:before="240" w:after="60"/>
      <w:outlineLvl w:val="2"/>
    </w:pPr>
    <w:rPr>
      <w:rFonts w:cs="Arial"/>
      <w:b/>
      <w:bCs/>
      <w:color w:val="E36C0A" w:themeColor="accent6" w:themeShade="BF"/>
      <w:sz w:val="28"/>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aliases w:val="Box title/table name"/>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258C"/>
    <w:rPr>
      <w:rFonts w:ascii="Arial" w:hAnsi="Arial" w:cs="Arial"/>
      <w:b/>
      <w:bCs/>
      <w:color w:val="E36C0A" w:themeColor="accent6" w:themeShade="BF"/>
      <w:kern w:val="28"/>
      <w:sz w:val="40"/>
      <w:szCs w:val="32"/>
    </w:rPr>
  </w:style>
  <w:style w:type="character" w:customStyle="1" w:styleId="Heading2Char">
    <w:name w:val="Heading 2 Char"/>
    <w:link w:val="Heading2"/>
    <w:rsid w:val="001C6B47"/>
    <w:rPr>
      <w:rFonts w:ascii="Arial" w:hAnsi="Arial" w:cs="Arial"/>
      <w:b/>
      <w:bCs/>
      <w:iCs/>
      <w:color w:val="E36C0A" w:themeColor="accent6" w:themeShade="BF"/>
      <w:sz w:val="32"/>
      <w:szCs w:val="28"/>
    </w:rPr>
  </w:style>
  <w:style w:type="character" w:customStyle="1" w:styleId="Heading3Char">
    <w:name w:val="Heading 3 Char"/>
    <w:link w:val="Heading3"/>
    <w:rsid w:val="001C6B47"/>
    <w:rPr>
      <w:rFonts w:ascii="Arial" w:hAnsi="Arial" w:cs="Arial"/>
      <w:b/>
      <w:bCs/>
      <w:color w:val="E36C0A" w:themeColor="accent6" w:themeShade="BF"/>
      <w:sz w:val="28"/>
      <w:szCs w:val="26"/>
    </w:rPr>
  </w:style>
  <w:style w:type="character" w:customStyle="1" w:styleId="Heading4Char">
    <w:name w:val="Heading 4 Char"/>
    <w:link w:val="Heading4"/>
    <w:rsid w:val="00C5112F"/>
    <w:rPr>
      <w:rFonts w:ascii="Arial" w:hAnsi="Arial"/>
      <w:bCs/>
      <w:sz w:val="28"/>
      <w:szCs w:val="28"/>
    </w:rPr>
  </w:style>
  <w:style w:type="character" w:customStyle="1" w:styleId="Heading5Char">
    <w:name w:val="Heading 5 Char"/>
    <w:aliases w:val="Box title/table name Char"/>
    <w:link w:val="Heading5"/>
    <w:rsid w:val="00C5112F"/>
    <w:rPr>
      <w:rFonts w:ascii="Arial" w:hAnsi="Arial"/>
      <w:b/>
      <w:bCs/>
      <w:iCs/>
      <w:sz w:val="22"/>
      <w:szCs w:val="26"/>
    </w:rPr>
  </w:style>
  <w:style w:type="character" w:customStyle="1" w:styleId="Heading6Char">
    <w:name w:val="Heading 6 Char"/>
    <w:link w:val="Heading6"/>
    <w:rsid w:val="00C5112F"/>
    <w:rPr>
      <w:rFonts w:ascii="Arial" w:hAnsi="Arial"/>
      <w:b/>
      <w:bCs/>
      <w:i/>
      <w:sz w:val="22"/>
      <w:szCs w:val="22"/>
    </w:rPr>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rsid w:val="00A75B58"/>
    <w:rPr>
      <w:rFonts w:ascii="Franklin Gothic Medium" w:eastAsiaTheme="majorEastAsia" w:hAnsi="Franklin Gothic Medium" w:cstheme="majorBidi"/>
      <w:iCs/>
      <w:color w:val="00A9E5"/>
      <w:spacing w:val="15"/>
      <w:sz w:val="52"/>
      <w:szCs w:val="24"/>
      <w:lang w:eastAsia="en-US"/>
    </w:rPr>
  </w:style>
  <w:style w:type="paragraph" w:styleId="Title">
    <w:name w:val="Title"/>
    <w:aliases w:val="Master Title"/>
    <w:basedOn w:val="Normal"/>
    <w:next w:val="Normal"/>
    <w:link w:val="TitleChar"/>
    <w:qFormat/>
    <w:rsid w:val="001C6B47"/>
    <w:pPr>
      <w:spacing w:after="300"/>
      <w:ind w:left="-567"/>
      <w:contextualSpacing/>
    </w:pPr>
    <w:rPr>
      <w:rFonts w:ascii="Franklin Gothic Heavy" w:eastAsiaTheme="majorEastAsia" w:hAnsi="Franklin Gothic Heavy" w:cstheme="majorBidi"/>
      <w:b/>
      <w:color w:val="E36C0A" w:themeColor="accent6" w:themeShade="BF"/>
      <w:kern w:val="28"/>
      <w:sz w:val="72"/>
      <w:szCs w:val="52"/>
    </w:rPr>
  </w:style>
  <w:style w:type="character" w:customStyle="1" w:styleId="TitleChar">
    <w:name w:val="Title Char"/>
    <w:aliases w:val="Master Title Char"/>
    <w:basedOn w:val="DefaultParagraphFont"/>
    <w:link w:val="Title"/>
    <w:rsid w:val="001C6B47"/>
    <w:rPr>
      <w:rFonts w:ascii="Franklin Gothic Heavy" w:eastAsiaTheme="majorEastAsia" w:hAnsi="Franklin Gothic Heavy" w:cstheme="majorBidi"/>
      <w:b/>
      <w:color w:val="E36C0A" w:themeColor="accent6" w:themeShade="BF"/>
      <w:kern w:val="28"/>
      <w:sz w:val="72"/>
      <w:szCs w:val="52"/>
    </w:rPr>
  </w:style>
  <w:style w:type="paragraph" w:styleId="NoSpacing">
    <w:name w:val="No Spacing"/>
    <w:link w:val="NoSpacingChar"/>
    <w:uiPriority w:val="1"/>
    <w:qFormat/>
    <w:rsid w:val="00A75B58"/>
    <w:pPr>
      <w:spacing w:before="2040"/>
      <w:ind w:left="397"/>
    </w:pPr>
    <w:rPr>
      <w:rFonts w:asciiTheme="majorHAnsi" w:eastAsiaTheme="majorEastAsia" w:hAnsiTheme="majorHAnsi" w:cstheme="majorBidi"/>
      <w:color w:val="4F81BD" w:themeColor="accent1"/>
      <w:sz w:val="80"/>
      <w:szCs w:val="80"/>
      <w:lang w:eastAsia="en-US"/>
    </w:rPr>
  </w:style>
  <w:style w:type="character" w:customStyle="1" w:styleId="NoSpacingChar">
    <w:name w:val="No Spacing Char"/>
    <w:basedOn w:val="DefaultParagraphFont"/>
    <w:link w:val="NoSpacing"/>
    <w:uiPriority w:val="1"/>
    <w:rsid w:val="00A75B58"/>
    <w:rPr>
      <w:rFonts w:asciiTheme="majorHAnsi" w:eastAsiaTheme="majorEastAsia" w:hAnsiTheme="majorHAnsi" w:cstheme="majorBidi"/>
      <w:color w:val="4F81BD" w:themeColor="accent1"/>
      <w:sz w:val="80"/>
      <w:szCs w:val="80"/>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C51BE7"/>
    <w:pPr>
      <w:ind w:left="-567"/>
    </w:pPr>
    <w:rPr>
      <w:rFonts w:ascii="Century Gothic" w:hAnsi="Century Gothic"/>
      <w:iCs/>
      <w:color w:val="000000" w:themeColor="text1"/>
    </w:rPr>
  </w:style>
  <w:style w:type="character" w:customStyle="1" w:styleId="QuoteChar">
    <w:name w:val="Quote Char"/>
    <w:basedOn w:val="DefaultParagraphFont"/>
    <w:link w:val="Quote"/>
    <w:uiPriority w:val="29"/>
    <w:rsid w:val="00C51BE7"/>
    <w:rPr>
      <w:rFonts w:ascii="Century Gothic" w:hAnsi="Century Gothic"/>
      <w:iCs/>
      <w:color w:val="000000" w:themeColor="text1"/>
      <w:sz w:val="24"/>
      <w:szCs w:val="24"/>
      <w:lang w:eastAsia="en-US"/>
    </w:rPr>
  </w:style>
  <w:style w:type="paragraph" w:styleId="IntenseQuote">
    <w:name w:val="Intense Quote"/>
    <w:aliases w:val="Date style"/>
    <w:basedOn w:val="Normal"/>
    <w:next w:val="Normal"/>
    <w:link w:val="IntenseQuoteChar"/>
    <w:uiPriority w:val="30"/>
    <w:qFormat/>
    <w:rsid w:val="00C51BE7"/>
    <w:pPr>
      <w:spacing w:before="200" w:after="280"/>
      <w:ind w:left="-567" w:right="936"/>
    </w:pPr>
    <w:rPr>
      <w:rFonts w:ascii="Century Gothic" w:hAnsi="Century Gothic"/>
      <w:bCs/>
      <w:iCs/>
      <w:color w:val="0A4A63"/>
      <w:sz w:val="52"/>
    </w:rPr>
  </w:style>
  <w:style w:type="character" w:customStyle="1" w:styleId="IntenseQuoteChar">
    <w:name w:val="Intense Quote Char"/>
    <w:aliases w:val="Date style Char"/>
    <w:basedOn w:val="DefaultParagraphFont"/>
    <w:link w:val="IntenseQuote"/>
    <w:uiPriority w:val="30"/>
    <w:rsid w:val="00C51BE7"/>
    <w:rPr>
      <w:rFonts w:ascii="Century Gothic" w:hAnsi="Century Gothic"/>
      <w:bCs/>
      <w:iCs/>
      <w:color w:val="0A4A63"/>
      <w:sz w:val="52"/>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5E2614"/>
    <w:pPr>
      <w:tabs>
        <w:tab w:val="center" w:pos="4513"/>
        <w:tab w:val="right" w:pos="9026"/>
      </w:tabs>
    </w:pPr>
  </w:style>
  <w:style w:type="character" w:customStyle="1" w:styleId="HeaderChar">
    <w:name w:val="Header Char"/>
    <w:basedOn w:val="DefaultParagraphFont"/>
    <w:link w:val="Header"/>
    <w:uiPriority w:val="99"/>
    <w:rsid w:val="005E2614"/>
    <w:rPr>
      <w:sz w:val="24"/>
      <w:szCs w:val="24"/>
      <w:lang w:eastAsia="en-US"/>
    </w:rPr>
  </w:style>
  <w:style w:type="paragraph" w:styleId="Footer">
    <w:name w:val="footer"/>
    <w:basedOn w:val="Normal"/>
    <w:link w:val="FooterChar"/>
    <w:uiPriority w:val="99"/>
    <w:rsid w:val="005E2614"/>
    <w:pPr>
      <w:tabs>
        <w:tab w:val="center" w:pos="4513"/>
        <w:tab w:val="right" w:pos="9026"/>
      </w:tabs>
    </w:pPr>
  </w:style>
  <w:style w:type="character" w:customStyle="1" w:styleId="FooterChar">
    <w:name w:val="Footer Char"/>
    <w:basedOn w:val="DefaultParagraphFont"/>
    <w:link w:val="Footer"/>
    <w:uiPriority w:val="99"/>
    <w:rsid w:val="005E2614"/>
    <w:rPr>
      <w:sz w:val="24"/>
      <w:szCs w:val="24"/>
      <w:lang w:eastAsia="en-US"/>
    </w:rPr>
  </w:style>
  <w:style w:type="paragraph" w:styleId="BalloonText">
    <w:name w:val="Balloon Text"/>
    <w:basedOn w:val="Normal"/>
    <w:link w:val="BalloonTextChar"/>
    <w:rsid w:val="005E2614"/>
    <w:rPr>
      <w:rFonts w:ascii="Tahoma" w:hAnsi="Tahoma" w:cs="Tahoma"/>
      <w:sz w:val="16"/>
      <w:szCs w:val="16"/>
    </w:rPr>
  </w:style>
  <w:style w:type="character" w:customStyle="1" w:styleId="BalloonTextChar">
    <w:name w:val="Balloon Text Char"/>
    <w:basedOn w:val="DefaultParagraphFont"/>
    <w:link w:val="BalloonText"/>
    <w:rsid w:val="005E2614"/>
    <w:rPr>
      <w:rFonts w:ascii="Tahoma" w:hAnsi="Tahoma" w:cs="Tahoma"/>
      <w:sz w:val="16"/>
      <w:szCs w:val="16"/>
      <w:lang w:eastAsia="en-US"/>
    </w:rPr>
  </w:style>
  <w:style w:type="character" w:styleId="PlaceholderText">
    <w:name w:val="Placeholder Text"/>
    <w:basedOn w:val="DefaultParagraphFont"/>
    <w:uiPriority w:val="99"/>
    <w:semiHidden/>
    <w:rsid w:val="00C51BE7"/>
    <w:rPr>
      <w:color w:val="808080"/>
    </w:rPr>
  </w:style>
  <w:style w:type="character" w:styleId="Hyperlink">
    <w:name w:val="Hyperlink"/>
    <w:basedOn w:val="DefaultParagraphFont"/>
    <w:uiPriority w:val="99"/>
    <w:rsid w:val="00B47076"/>
    <w:rPr>
      <w:color w:val="0000FF" w:themeColor="hyperlink"/>
      <w:u w:val="single"/>
    </w:rPr>
  </w:style>
  <w:style w:type="paragraph" w:customStyle="1" w:styleId="Title1">
    <w:name w:val="Title1"/>
    <w:basedOn w:val="NoSpacing"/>
    <w:link w:val="TITLEChar0"/>
    <w:qFormat/>
    <w:rsid w:val="00A75B58"/>
    <w:rPr>
      <w:rFonts w:ascii="Franklin Gothic Heavy" w:hAnsi="Franklin Gothic Heavy"/>
      <w:color w:val="0A4A63"/>
      <w:sz w:val="72"/>
    </w:rPr>
  </w:style>
  <w:style w:type="character" w:customStyle="1" w:styleId="TITLEChar0">
    <w:name w:val="TITLE Char"/>
    <w:basedOn w:val="NoSpacingChar"/>
    <w:link w:val="Title1"/>
    <w:rsid w:val="00A75B58"/>
    <w:rPr>
      <w:rFonts w:ascii="Franklin Gothic Heavy" w:eastAsiaTheme="majorEastAsia" w:hAnsi="Franklin Gothic Heavy" w:cstheme="majorBidi"/>
      <w:color w:val="0A4A63"/>
      <w:sz w:val="72"/>
      <w:szCs w:val="80"/>
      <w:lang w:eastAsia="en-US"/>
    </w:rPr>
  </w:style>
  <w:style w:type="paragraph" w:customStyle="1" w:styleId="Subtitle1">
    <w:name w:val="Subtitle1"/>
    <w:basedOn w:val="Normal"/>
    <w:link w:val="SUBTITLEChar0"/>
    <w:qFormat/>
    <w:rsid w:val="00A75B58"/>
    <w:pPr>
      <w:ind w:left="397"/>
    </w:pPr>
    <w:rPr>
      <w:rFonts w:ascii="Franklin Gothic Medium" w:hAnsi="Franklin Gothic Medium"/>
      <w:b/>
      <w:color w:val="00A9E5"/>
      <w:sz w:val="56"/>
    </w:rPr>
  </w:style>
  <w:style w:type="character" w:customStyle="1" w:styleId="SUBTITLEChar0">
    <w:name w:val="SUBTITLE Char"/>
    <w:basedOn w:val="DefaultParagraphFont"/>
    <w:link w:val="Subtitle1"/>
    <w:rsid w:val="00A75B58"/>
    <w:rPr>
      <w:rFonts w:ascii="Franklin Gothic Medium" w:hAnsi="Franklin Gothic Medium"/>
      <w:b/>
      <w:color w:val="00A9E5"/>
      <w:sz w:val="56"/>
      <w:szCs w:val="24"/>
      <w:lang w:eastAsia="en-US"/>
    </w:rPr>
  </w:style>
  <w:style w:type="character" w:styleId="CommentReference">
    <w:name w:val="annotation reference"/>
    <w:basedOn w:val="DefaultParagraphFont"/>
    <w:rsid w:val="00F95769"/>
    <w:rPr>
      <w:sz w:val="16"/>
      <w:szCs w:val="16"/>
    </w:rPr>
  </w:style>
  <w:style w:type="paragraph" w:styleId="CommentText">
    <w:name w:val="annotation text"/>
    <w:basedOn w:val="Normal"/>
    <w:link w:val="CommentTextChar"/>
    <w:rsid w:val="00F95769"/>
    <w:rPr>
      <w:sz w:val="20"/>
    </w:rPr>
  </w:style>
  <w:style w:type="character" w:customStyle="1" w:styleId="CommentTextChar">
    <w:name w:val="Comment Text Char"/>
    <w:basedOn w:val="DefaultParagraphFont"/>
    <w:link w:val="CommentText"/>
    <w:rsid w:val="00F95769"/>
    <w:rPr>
      <w:rFonts w:ascii="Arial" w:hAnsi="Arial"/>
    </w:rPr>
  </w:style>
  <w:style w:type="paragraph" w:styleId="CommentSubject">
    <w:name w:val="annotation subject"/>
    <w:basedOn w:val="CommentText"/>
    <w:next w:val="CommentText"/>
    <w:link w:val="CommentSubjectChar"/>
    <w:rsid w:val="00F95769"/>
    <w:rPr>
      <w:b/>
      <w:bCs/>
    </w:rPr>
  </w:style>
  <w:style w:type="character" w:customStyle="1" w:styleId="CommentSubjectChar">
    <w:name w:val="Comment Subject Char"/>
    <w:basedOn w:val="CommentTextChar"/>
    <w:link w:val="CommentSubject"/>
    <w:rsid w:val="00F95769"/>
    <w:rPr>
      <w:rFonts w:ascii="Arial" w:hAnsi="Arial"/>
      <w:b/>
      <w:bCs/>
    </w:rPr>
  </w:style>
  <w:style w:type="character" w:styleId="FollowedHyperlink">
    <w:name w:val="FollowedHyperlink"/>
    <w:basedOn w:val="DefaultParagraphFont"/>
    <w:rsid w:val="00F95769"/>
    <w:rPr>
      <w:color w:val="800080" w:themeColor="followedHyperlink"/>
      <w:u w:val="single"/>
    </w:rPr>
  </w:style>
  <w:style w:type="paragraph" w:customStyle="1" w:styleId="NPWDate">
    <w:name w:val="NPW Date"/>
    <w:basedOn w:val="Normal"/>
    <w:rsid w:val="00C5112F"/>
    <w:pPr>
      <w:spacing w:after="120" w:line="300" w:lineRule="exact"/>
    </w:pPr>
    <w:rPr>
      <w:rFonts w:eastAsia="Cambria" w:cs="Arial"/>
      <w:caps/>
      <w:spacing w:val="30"/>
      <w:sz w:val="16"/>
      <w:szCs w:val="24"/>
      <w:lang w:val="en-US" w:eastAsia="en-US"/>
    </w:rPr>
  </w:style>
  <w:style w:type="paragraph" w:customStyle="1" w:styleId="02Body">
    <w:name w:val="02_Body"/>
    <w:basedOn w:val="Normal"/>
    <w:uiPriority w:val="99"/>
    <w:rsid w:val="00C5112F"/>
    <w:pPr>
      <w:widowControl w:val="0"/>
      <w:suppressAutoHyphens/>
      <w:autoSpaceDE w:val="0"/>
      <w:autoSpaceDN w:val="0"/>
      <w:adjustRightInd w:val="0"/>
      <w:spacing w:after="170" w:line="270" w:lineRule="atLeast"/>
      <w:textAlignment w:val="center"/>
    </w:pPr>
    <w:rPr>
      <w:rFonts w:ascii="ArialMT" w:eastAsia="Cambria" w:hAnsi="ArialMT" w:cs="ArialMT"/>
      <w:color w:val="000000"/>
      <w:lang w:val="en-GB" w:eastAsia="en-US"/>
    </w:rPr>
  </w:style>
  <w:style w:type="paragraph" w:customStyle="1" w:styleId="02Bulletsindented">
    <w:name w:val="02_Bullets indented"/>
    <w:basedOn w:val="Normal"/>
    <w:uiPriority w:val="99"/>
    <w:rsid w:val="00C5112F"/>
    <w:pPr>
      <w:widowControl w:val="0"/>
      <w:tabs>
        <w:tab w:val="left" w:pos="340"/>
      </w:tabs>
      <w:suppressAutoHyphens/>
      <w:autoSpaceDE w:val="0"/>
      <w:autoSpaceDN w:val="0"/>
      <w:adjustRightInd w:val="0"/>
      <w:spacing w:after="113" w:line="270" w:lineRule="atLeast"/>
      <w:ind w:left="567" w:hanging="170"/>
      <w:textAlignment w:val="center"/>
    </w:pPr>
    <w:rPr>
      <w:rFonts w:ascii="ArialMT" w:eastAsia="Cambria" w:hAnsi="ArialMT" w:cs="ArialMT"/>
      <w:color w:val="000000"/>
      <w:lang w:val="en-GB" w:eastAsia="en-US"/>
    </w:rPr>
  </w:style>
  <w:style w:type="character" w:customStyle="1" w:styleId="Italics">
    <w:name w:val="Italics"/>
    <w:uiPriority w:val="99"/>
    <w:rsid w:val="00C5112F"/>
    <w:rPr>
      <w:rFonts w:ascii="Arial-ItalicMT" w:hAnsi="Arial-ItalicMT" w:cs="Arial-ItalicMT"/>
      <w:i/>
      <w:iCs/>
    </w:rPr>
  </w:style>
  <w:style w:type="paragraph" w:customStyle="1" w:styleId="MediumGrid1-Accent21">
    <w:name w:val="Medium Grid 1 - Accent 21"/>
    <w:basedOn w:val="Normal"/>
    <w:rsid w:val="00C5112F"/>
    <w:pPr>
      <w:numPr>
        <w:numId w:val="22"/>
      </w:numPr>
      <w:spacing w:after="120" w:line="300" w:lineRule="exact"/>
      <w:ind w:left="714" w:hanging="357"/>
      <w:contextualSpacing/>
    </w:pPr>
    <w:rPr>
      <w:rFonts w:eastAsia="Cambria" w:cs="Arial"/>
      <w:szCs w:val="24"/>
      <w:lang w:val="en-US" w:eastAsia="en-US"/>
    </w:rPr>
  </w:style>
  <w:style w:type="paragraph" w:customStyle="1" w:styleId="Bibliography1">
    <w:name w:val="Bibliography1"/>
    <w:basedOn w:val="Normal"/>
    <w:next w:val="Normal"/>
    <w:rsid w:val="00C5112F"/>
    <w:pPr>
      <w:spacing w:after="120" w:line="300" w:lineRule="exact"/>
    </w:pPr>
    <w:rPr>
      <w:rFonts w:eastAsia="Cambria" w:cs="Arial"/>
      <w:szCs w:val="24"/>
      <w:lang w:val="en-US" w:eastAsia="en-US"/>
    </w:rPr>
  </w:style>
  <w:style w:type="character" w:styleId="PageNumber">
    <w:name w:val="page number"/>
    <w:rsid w:val="00C5112F"/>
  </w:style>
  <w:style w:type="paragraph" w:customStyle="1" w:styleId="1Heading1">
    <w:name w:val="1. Heading 1"/>
    <w:basedOn w:val="Normal"/>
    <w:rsid w:val="00C5112F"/>
    <w:pPr>
      <w:widowControl w:val="0"/>
      <w:autoSpaceDE w:val="0"/>
      <w:autoSpaceDN w:val="0"/>
      <w:adjustRightInd w:val="0"/>
    </w:pPr>
    <w:rPr>
      <w:rFonts w:ascii="Arial MT" w:eastAsia="Cambria" w:hAnsi="Arial MT" w:cs="HelveticaNeueLT-Light"/>
      <w:color w:val="000000"/>
      <w:lang w:val="en-US" w:eastAsia="en-US"/>
    </w:rPr>
  </w:style>
  <w:style w:type="paragraph" w:styleId="DocumentMap">
    <w:name w:val="Document Map"/>
    <w:basedOn w:val="Normal"/>
    <w:link w:val="DocumentMapChar"/>
    <w:rsid w:val="00C5112F"/>
    <w:pPr>
      <w:spacing w:after="120" w:line="300" w:lineRule="exact"/>
    </w:pPr>
    <w:rPr>
      <w:rFonts w:ascii="Lucida Grande" w:eastAsia="Cambria" w:hAnsi="Lucida Grande" w:cs="Lucida Grande"/>
      <w:sz w:val="24"/>
      <w:szCs w:val="24"/>
      <w:lang w:val="en-US" w:eastAsia="en-US"/>
    </w:rPr>
  </w:style>
  <w:style w:type="character" w:customStyle="1" w:styleId="DocumentMapChar">
    <w:name w:val="Document Map Char"/>
    <w:basedOn w:val="DefaultParagraphFont"/>
    <w:link w:val="DocumentMap"/>
    <w:rsid w:val="00C5112F"/>
    <w:rPr>
      <w:rFonts w:ascii="Lucida Grande" w:eastAsia="Cambria" w:hAnsi="Lucida Grande" w:cs="Lucida Grande"/>
      <w:sz w:val="24"/>
      <w:szCs w:val="24"/>
      <w:lang w:val="en-US" w:eastAsia="en-US"/>
    </w:rPr>
  </w:style>
  <w:style w:type="paragraph" w:styleId="NormalWeb">
    <w:name w:val="Normal (Web)"/>
    <w:basedOn w:val="Normal"/>
    <w:uiPriority w:val="99"/>
    <w:unhideWhenUsed/>
    <w:rsid w:val="00C5112F"/>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C5112F"/>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12F"/>
    <w:pPr>
      <w:autoSpaceDE w:val="0"/>
      <w:autoSpaceDN w:val="0"/>
      <w:adjustRightInd w:val="0"/>
    </w:pPr>
    <w:rPr>
      <w:rFonts w:ascii="Century Schoolbook" w:eastAsia="Calibri" w:hAnsi="Century Schoolbook" w:cs="Century Schoolbook"/>
      <w:color w:val="000000"/>
      <w:sz w:val="24"/>
      <w:szCs w:val="24"/>
      <w:lang w:eastAsia="en-US"/>
    </w:rPr>
  </w:style>
  <w:style w:type="paragraph" w:customStyle="1" w:styleId="Pa13">
    <w:name w:val="Pa13"/>
    <w:basedOn w:val="Default"/>
    <w:next w:val="Default"/>
    <w:uiPriority w:val="99"/>
    <w:rsid w:val="00C5112F"/>
    <w:pPr>
      <w:spacing w:line="201" w:lineRule="atLeast"/>
    </w:pPr>
    <w:rPr>
      <w:rFonts w:ascii="Gotham Medium" w:eastAsia="Times New Roman" w:hAnsi="Gotham Medium" w:cs="Times New Roman"/>
      <w:color w:val="auto"/>
      <w:lang w:eastAsia="en-AU"/>
    </w:rPr>
  </w:style>
  <w:style w:type="paragraph" w:customStyle="1" w:styleId="Pa16">
    <w:name w:val="Pa16"/>
    <w:basedOn w:val="Default"/>
    <w:next w:val="Default"/>
    <w:uiPriority w:val="99"/>
    <w:rsid w:val="00C5112F"/>
    <w:pPr>
      <w:spacing w:line="201" w:lineRule="atLeast"/>
    </w:pPr>
    <w:rPr>
      <w:rFonts w:ascii="Gotham Medium" w:eastAsia="Times New Roman" w:hAnsi="Gotham Medium" w:cs="Times New Roman"/>
      <w:color w:val="auto"/>
      <w:lang w:eastAsia="en-AU"/>
    </w:rPr>
  </w:style>
  <w:style w:type="paragraph" w:customStyle="1" w:styleId="Pa21">
    <w:name w:val="Pa21"/>
    <w:basedOn w:val="Default"/>
    <w:next w:val="Default"/>
    <w:uiPriority w:val="99"/>
    <w:rsid w:val="00C5112F"/>
    <w:pPr>
      <w:spacing w:line="201" w:lineRule="atLeast"/>
    </w:pPr>
    <w:rPr>
      <w:rFonts w:ascii="Gotham Medium" w:eastAsia="Times New Roman" w:hAnsi="Gotham Medium" w:cs="Times New Roman"/>
      <w:color w:val="auto"/>
      <w:lang w:eastAsia="en-AU"/>
    </w:rPr>
  </w:style>
  <w:style w:type="paragraph" w:customStyle="1" w:styleId="TableHeading">
    <w:name w:val="TableHeading"/>
    <w:basedOn w:val="TableText"/>
    <w:qFormat/>
    <w:rsid w:val="00C5112F"/>
    <w:rPr>
      <w:b/>
      <w:bCs/>
    </w:rPr>
  </w:style>
  <w:style w:type="paragraph" w:customStyle="1" w:styleId="TableText">
    <w:name w:val="TableText"/>
    <w:basedOn w:val="Normal"/>
    <w:link w:val="TableTextChar"/>
    <w:qFormat/>
    <w:rsid w:val="00C5112F"/>
    <w:pPr>
      <w:keepNext/>
      <w:spacing w:before="60" w:after="60"/>
    </w:pPr>
    <w:rPr>
      <w:rFonts w:ascii="Arial Narrow" w:hAnsi="Arial Narrow"/>
      <w:color w:val="000000"/>
      <w:szCs w:val="21"/>
    </w:rPr>
  </w:style>
  <w:style w:type="character" w:customStyle="1" w:styleId="TableTextChar">
    <w:name w:val="TableText Char"/>
    <w:link w:val="TableText"/>
    <w:rsid w:val="00C5112F"/>
    <w:rPr>
      <w:rFonts w:ascii="Arial Narrow" w:hAnsi="Arial Narrow"/>
      <w:color w:val="000000"/>
      <w:sz w:val="22"/>
      <w:szCs w:val="21"/>
    </w:rPr>
  </w:style>
  <w:style w:type="paragraph" w:customStyle="1" w:styleId="TFNoteSourceSpace">
    <w:name w:val="TFNoteSource+Space"/>
    <w:basedOn w:val="Normal"/>
    <w:next w:val="Normal"/>
    <w:rsid w:val="00C5112F"/>
    <w:pPr>
      <w:keepLines/>
      <w:spacing w:after="360"/>
      <w:ind w:left="624" w:hanging="624"/>
    </w:pPr>
    <w:rPr>
      <w:color w:val="000000"/>
      <w:sz w:val="18"/>
      <w:szCs w:val="18"/>
    </w:rPr>
  </w:style>
  <w:style w:type="character" w:customStyle="1" w:styleId="Boldoblique">
    <w:name w:val="Bold oblique"/>
    <w:uiPriority w:val="99"/>
    <w:rsid w:val="00C5112F"/>
    <w:rPr>
      <w:b/>
      <w:bCs/>
      <w:i/>
      <w:iCs/>
    </w:rPr>
  </w:style>
  <w:style w:type="paragraph" w:customStyle="1" w:styleId="TFNoteSource">
    <w:name w:val="TFNoteSource"/>
    <w:basedOn w:val="TFNoteSourceSpace"/>
    <w:qFormat/>
    <w:rsid w:val="00C5112F"/>
    <w:pPr>
      <w:spacing w:after="0"/>
    </w:pPr>
  </w:style>
  <w:style w:type="paragraph" w:customStyle="1" w:styleId="TFListNotes">
    <w:name w:val="TFListNotes"/>
    <w:basedOn w:val="Normal"/>
    <w:rsid w:val="00C5112F"/>
    <w:pPr>
      <w:keepNext/>
      <w:keepLines/>
      <w:ind w:left="170" w:hanging="170"/>
    </w:pPr>
    <w:rPr>
      <w:color w:val="000000"/>
      <w:sz w:val="18"/>
      <w:szCs w:val="18"/>
    </w:rPr>
  </w:style>
  <w:style w:type="character" w:customStyle="1" w:styleId="Superscript">
    <w:name w:val="Superscript"/>
    <w:uiPriority w:val="1"/>
    <w:rsid w:val="00C5112F"/>
    <w:rPr>
      <w:noProof/>
      <w:vertAlign w:val="superscript"/>
    </w:rPr>
  </w:style>
  <w:style w:type="paragraph" w:styleId="FootnoteText">
    <w:name w:val="footnote text"/>
    <w:basedOn w:val="Normal"/>
    <w:link w:val="FootnoteTextChar"/>
    <w:rsid w:val="00C5112F"/>
    <w:rPr>
      <w:lang w:eastAsia="en-US"/>
    </w:rPr>
  </w:style>
  <w:style w:type="character" w:customStyle="1" w:styleId="FootnoteTextChar">
    <w:name w:val="Footnote Text Char"/>
    <w:basedOn w:val="DefaultParagraphFont"/>
    <w:link w:val="FootnoteText"/>
    <w:rsid w:val="00C5112F"/>
    <w:rPr>
      <w:rFonts w:ascii="Arial" w:hAnsi="Arial"/>
      <w:sz w:val="22"/>
      <w:lang w:eastAsia="en-US"/>
    </w:rPr>
  </w:style>
  <w:style w:type="character" w:styleId="FootnoteReference">
    <w:name w:val="footnote reference"/>
    <w:rsid w:val="00C5112F"/>
    <w:rPr>
      <w:vertAlign w:val="superscript"/>
    </w:rPr>
  </w:style>
  <w:style w:type="paragraph" w:styleId="Revision">
    <w:name w:val="Revision"/>
    <w:hidden/>
    <w:rsid w:val="00C5112F"/>
    <w:rPr>
      <w:rFonts w:ascii="Arial" w:eastAsia="Cambria" w:hAnsi="Arial" w:cs="Arial"/>
      <w:szCs w:val="24"/>
      <w:lang w:val="en-US" w:eastAsia="en-US"/>
    </w:rPr>
  </w:style>
  <w:style w:type="paragraph" w:customStyle="1" w:styleId="TableName">
    <w:name w:val="TableName"/>
    <w:basedOn w:val="TableText"/>
    <w:qFormat/>
    <w:rsid w:val="00C5112F"/>
    <w:pPr>
      <w:tabs>
        <w:tab w:val="left" w:pos="1080"/>
      </w:tabs>
      <w:spacing w:before="120" w:after="120"/>
      <w:ind w:left="1080" w:hanging="1080"/>
    </w:pPr>
    <w:rPr>
      <w:rFonts w:ascii="Times New Roman Bold" w:eastAsia="Calibri" w:hAnsi="Times New Roman Bold"/>
      <w:b/>
      <w:bCs/>
      <w:color w:val="auto"/>
      <w:lang w:val="en-US" w:eastAsia="en-US"/>
    </w:rPr>
  </w:style>
  <w:style w:type="paragraph" w:customStyle="1" w:styleId="TFAbbrevs">
    <w:name w:val="TFAbbrevs"/>
    <w:basedOn w:val="TFListNotes"/>
    <w:rsid w:val="00C5112F"/>
    <w:pPr>
      <w:ind w:left="0" w:firstLine="0"/>
    </w:pPr>
    <w:rPr>
      <w:rFonts w:ascii="Times New Roman" w:hAnsi="Times New Roman"/>
    </w:rPr>
  </w:style>
  <w:style w:type="paragraph" w:styleId="Caption">
    <w:name w:val="caption"/>
    <w:basedOn w:val="Normal"/>
    <w:next w:val="Normal"/>
    <w:unhideWhenUsed/>
    <w:qFormat/>
    <w:rsid w:val="00C5112F"/>
    <w:pPr>
      <w:spacing w:after="200"/>
    </w:pPr>
    <w:rPr>
      <w:rFonts w:eastAsia="Cambria" w:cs="Arial"/>
      <w:b/>
      <w:bCs/>
      <w:color w:val="4F81BD" w:themeColor="accent1"/>
      <w:sz w:val="18"/>
      <w:szCs w:val="18"/>
      <w:lang w:val="en-US" w:eastAsia="en-US"/>
    </w:rPr>
  </w:style>
  <w:style w:type="paragraph" w:customStyle="1" w:styleId="Tablecaption">
    <w:name w:val="Table caption"/>
    <w:basedOn w:val="Normal"/>
    <w:link w:val="TablecaptionChar"/>
    <w:qFormat/>
    <w:rsid w:val="00C5112F"/>
    <w:pPr>
      <w:spacing w:before="60" w:after="60"/>
    </w:pPr>
    <w:rPr>
      <w:rFonts w:asciiTheme="minorHAnsi" w:eastAsiaTheme="minorEastAsia" w:hAnsiTheme="minorHAnsi" w:cstheme="minorBidi"/>
      <w:sz w:val="20"/>
      <w:lang w:eastAsia="en-US"/>
    </w:rPr>
  </w:style>
  <w:style w:type="character" w:customStyle="1" w:styleId="TablecaptionChar">
    <w:name w:val="Table caption Char"/>
    <w:basedOn w:val="DefaultParagraphFont"/>
    <w:link w:val="Tablecaption"/>
    <w:rsid w:val="00C5112F"/>
    <w:rPr>
      <w:rFonts w:asciiTheme="minorHAnsi" w:eastAsiaTheme="minorEastAsia"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683"/>
    <w:rPr>
      <w:rFonts w:ascii="Arial" w:hAnsi="Arial"/>
      <w:sz w:val="22"/>
    </w:rPr>
  </w:style>
  <w:style w:type="paragraph" w:styleId="Heading1">
    <w:name w:val="heading 1"/>
    <w:basedOn w:val="Normal"/>
    <w:next w:val="Normal"/>
    <w:link w:val="Heading1Char"/>
    <w:qFormat/>
    <w:rsid w:val="0075258C"/>
    <w:pPr>
      <w:keepNext/>
      <w:spacing w:before="240" w:after="60"/>
      <w:outlineLvl w:val="0"/>
    </w:pPr>
    <w:rPr>
      <w:rFonts w:cs="Arial"/>
      <w:b/>
      <w:bCs/>
      <w:color w:val="E36C0A" w:themeColor="accent6" w:themeShade="BF"/>
      <w:kern w:val="28"/>
      <w:sz w:val="40"/>
      <w:szCs w:val="32"/>
    </w:rPr>
  </w:style>
  <w:style w:type="paragraph" w:styleId="Heading2">
    <w:name w:val="heading 2"/>
    <w:basedOn w:val="Normal"/>
    <w:next w:val="Normal"/>
    <w:link w:val="Heading2Char"/>
    <w:qFormat/>
    <w:rsid w:val="001C6B47"/>
    <w:pPr>
      <w:keepNext/>
      <w:spacing w:before="240" w:after="60"/>
      <w:outlineLvl w:val="1"/>
    </w:pPr>
    <w:rPr>
      <w:rFonts w:cs="Arial"/>
      <w:b/>
      <w:bCs/>
      <w:iCs/>
      <w:color w:val="E36C0A" w:themeColor="accent6" w:themeShade="BF"/>
      <w:sz w:val="32"/>
      <w:szCs w:val="28"/>
    </w:rPr>
  </w:style>
  <w:style w:type="paragraph" w:styleId="Heading3">
    <w:name w:val="heading 3"/>
    <w:basedOn w:val="Normal"/>
    <w:next w:val="Normal"/>
    <w:link w:val="Heading3Char"/>
    <w:qFormat/>
    <w:rsid w:val="001C6B47"/>
    <w:pPr>
      <w:keepNext/>
      <w:spacing w:before="240" w:after="60"/>
      <w:outlineLvl w:val="2"/>
    </w:pPr>
    <w:rPr>
      <w:rFonts w:cs="Arial"/>
      <w:b/>
      <w:bCs/>
      <w:color w:val="E36C0A" w:themeColor="accent6" w:themeShade="BF"/>
      <w:sz w:val="28"/>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aliases w:val="Box title/table name"/>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258C"/>
    <w:rPr>
      <w:rFonts w:ascii="Arial" w:hAnsi="Arial" w:cs="Arial"/>
      <w:b/>
      <w:bCs/>
      <w:color w:val="E36C0A" w:themeColor="accent6" w:themeShade="BF"/>
      <w:kern w:val="28"/>
      <w:sz w:val="40"/>
      <w:szCs w:val="32"/>
    </w:rPr>
  </w:style>
  <w:style w:type="character" w:customStyle="1" w:styleId="Heading2Char">
    <w:name w:val="Heading 2 Char"/>
    <w:link w:val="Heading2"/>
    <w:rsid w:val="001C6B47"/>
    <w:rPr>
      <w:rFonts w:ascii="Arial" w:hAnsi="Arial" w:cs="Arial"/>
      <w:b/>
      <w:bCs/>
      <w:iCs/>
      <w:color w:val="E36C0A" w:themeColor="accent6" w:themeShade="BF"/>
      <w:sz w:val="32"/>
      <w:szCs w:val="28"/>
    </w:rPr>
  </w:style>
  <w:style w:type="character" w:customStyle="1" w:styleId="Heading3Char">
    <w:name w:val="Heading 3 Char"/>
    <w:link w:val="Heading3"/>
    <w:rsid w:val="001C6B47"/>
    <w:rPr>
      <w:rFonts w:ascii="Arial" w:hAnsi="Arial" w:cs="Arial"/>
      <w:b/>
      <w:bCs/>
      <w:color w:val="E36C0A" w:themeColor="accent6" w:themeShade="BF"/>
      <w:sz w:val="28"/>
      <w:szCs w:val="26"/>
    </w:rPr>
  </w:style>
  <w:style w:type="character" w:customStyle="1" w:styleId="Heading4Char">
    <w:name w:val="Heading 4 Char"/>
    <w:link w:val="Heading4"/>
    <w:rsid w:val="00C5112F"/>
    <w:rPr>
      <w:rFonts w:ascii="Arial" w:hAnsi="Arial"/>
      <w:bCs/>
      <w:sz w:val="28"/>
      <w:szCs w:val="28"/>
    </w:rPr>
  </w:style>
  <w:style w:type="character" w:customStyle="1" w:styleId="Heading5Char">
    <w:name w:val="Heading 5 Char"/>
    <w:aliases w:val="Box title/table name Char"/>
    <w:link w:val="Heading5"/>
    <w:rsid w:val="00C5112F"/>
    <w:rPr>
      <w:rFonts w:ascii="Arial" w:hAnsi="Arial"/>
      <w:b/>
      <w:bCs/>
      <w:iCs/>
      <w:sz w:val="22"/>
      <w:szCs w:val="26"/>
    </w:rPr>
  </w:style>
  <w:style w:type="character" w:customStyle="1" w:styleId="Heading6Char">
    <w:name w:val="Heading 6 Char"/>
    <w:link w:val="Heading6"/>
    <w:rsid w:val="00C5112F"/>
    <w:rPr>
      <w:rFonts w:ascii="Arial" w:hAnsi="Arial"/>
      <w:b/>
      <w:bCs/>
      <w:i/>
      <w:sz w:val="22"/>
      <w:szCs w:val="22"/>
    </w:rPr>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rsid w:val="00A75B58"/>
    <w:rPr>
      <w:rFonts w:ascii="Franklin Gothic Medium" w:eastAsiaTheme="majorEastAsia" w:hAnsi="Franklin Gothic Medium" w:cstheme="majorBidi"/>
      <w:iCs/>
      <w:color w:val="00A9E5"/>
      <w:spacing w:val="15"/>
      <w:sz w:val="52"/>
      <w:szCs w:val="24"/>
      <w:lang w:eastAsia="en-US"/>
    </w:rPr>
  </w:style>
  <w:style w:type="paragraph" w:styleId="Title">
    <w:name w:val="Title"/>
    <w:aliases w:val="Master Title"/>
    <w:basedOn w:val="Normal"/>
    <w:next w:val="Normal"/>
    <w:link w:val="TitleChar"/>
    <w:qFormat/>
    <w:rsid w:val="001C6B47"/>
    <w:pPr>
      <w:spacing w:after="300"/>
      <w:ind w:left="-567"/>
      <w:contextualSpacing/>
    </w:pPr>
    <w:rPr>
      <w:rFonts w:ascii="Franklin Gothic Heavy" w:eastAsiaTheme="majorEastAsia" w:hAnsi="Franklin Gothic Heavy" w:cstheme="majorBidi"/>
      <w:b/>
      <w:color w:val="E36C0A" w:themeColor="accent6" w:themeShade="BF"/>
      <w:kern w:val="28"/>
      <w:sz w:val="72"/>
      <w:szCs w:val="52"/>
    </w:rPr>
  </w:style>
  <w:style w:type="character" w:customStyle="1" w:styleId="TitleChar">
    <w:name w:val="Title Char"/>
    <w:aliases w:val="Master Title Char"/>
    <w:basedOn w:val="DefaultParagraphFont"/>
    <w:link w:val="Title"/>
    <w:rsid w:val="001C6B47"/>
    <w:rPr>
      <w:rFonts w:ascii="Franklin Gothic Heavy" w:eastAsiaTheme="majorEastAsia" w:hAnsi="Franklin Gothic Heavy" w:cstheme="majorBidi"/>
      <w:b/>
      <w:color w:val="E36C0A" w:themeColor="accent6" w:themeShade="BF"/>
      <w:kern w:val="28"/>
      <w:sz w:val="72"/>
      <w:szCs w:val="52"/>
    </w:rPr>
  </w:style>
  <w:style w:type="paragraph" w:styleId="NoSpacing">
    <w:name w:val="No Spacing"/>
    <w:link w:val="NoSpacingChar"/>
    <w:uiPriority w:val="1"/>
    <w:qFormat/>
    <w:rsid w:val="00A75B58"/>
    <w:pPr>
      <w:spacing w:before="2040"/>
      <w:ind w:left="397"/>
    </w:pPr>
    <w:rPr>
      <w:rFonts w:asciiTheme="majorHAnsi" w:eastAsiaTheme="majorEastAsia" w:hAnsiTheme="majorHAnsi" w:cstheme="majorBidi"/>
      <w:color w:val="4F81BD" w:themeColor="accent1"/>
      <w:sz w:val="80"/>
      <w:szCs w:val="80"/>
      <w:lang w:eastAsia="en-US"/>
    </w:rPr>
  </w:style>
  <w:style w:type="character" w:customStyle="1" w:styleId="NoSpacingChar">
    <w:name w:val="No Spacing Char"/>
    <w:basedOn w:val="DefaultParagraphFont"/>
    <w:link w:val="NoSpacing"/>
    <w:uiPriority w:val="1"/>
    <w:rsid w:val="00A75B58"/>
    <w:rPr>
      <w:rFonts w:asciiTheme="majorHAnsi" w:eastAsiaTheme="majorEastAsia" w:hAnsiTheme="majorHAnsi" w:cstheme="majorBidi"/>
      <w:color w:val="4F81BD" w:themeColor="accent1"/>
      <w:sz w:val="80"/>
      <w:szCs w:val="80"/>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C51BE7"/>
    <w:pPr>
      <w:ind w:left="-567"/>
    </w:pPr>
    <w:rPr>
      <w:rFonts w:ascii="Century Gothic" w:hAnsi="Century Gothic"/>
      <w:iCs/>
      <w:color w:val="000000" w:themeColor="text1"/>
    </w:rPr>
  </w:style>
  <w:style w:type="character" w:customStyle="1" w:styleId="QuoteChar">
    <w:name w:val="Quote Char"/>
    <w:basedOn w:val="DefaultParagraphFont"/>
    <w:link w:val="Quote"/>
    <w:uiPriority w:val="29"/>
    <w:rsid w:val="00C51BE7"/>
    <w:rPr>
      <w:rFonts w:ascii="Century Gothic" w:hAnsi="Century Gothic"/>
      <w:iCs/>
      <w:color w:val="000000" w:themeColor="text1"/>
      <w:sz w:val="24"/>
      <w:szCs w:val="24"/>
      <w:lang w:eastAsia="en-US"/>
    </w:rPr>
  </w:style>
  <w:style w:type="paragraph" w:styleId="IntenseQuote">
    <w:name w:val="Intense Quote"/>
    <w:aliases w:val="Date style"/>
    <w:basedOn w:val="Normal"/>
    <w:next w:val="Normal"/>
    <w:link w:val="IntenseQuoteChar"/>
    <w:uiPriority w:val="30"/>
    <w:qFormat/>
    <w:rsid w:val="00C51BE7"/>
    <w:pPr>
      <w:spacing w:before="200" w:after="280"/>
      <w:ind w:left="-567" w:right="936"/>
    </w:pPr>
    <w:rPr>
      <w:rFonts w:ascii="Century Gothic" w:hAnsi="Century Gothic"/>
      <w:bCs/>
      <w:iCs/>
      <w:color w:val="0A4A63"/>
      <w:sz w:val="52"/>
    </w:rPr>
  </w:style>
  <w:style w:type="character" w:customStyle="1" w:styleId="IntenseQuoteChar">
    <w:name w:val="Intense Quote Char"/>
    <w:aliases w:val="Date style Char"/>
    <w:basedOn w:val="DefaultParagraphFont"/>
    <w:link w:val="IntenseQuote"/>
    <w:uiPriority w:val="30"/>
    <w:rsid w:val="00C51BE7"/>
    <w:rPr>
      <w:rFonts w:ascii="Century Gothic" w:hAnsi="Century Gothic"/>
      <w:bCs/>
      <w:iCs/>
      <w:color w:val="0A4A63"/>
      <w:sz w:val="52"/>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5E2614"/>
    <w:pPr>
      <w:tabs>
        <w:tab w:val="center" w:pos="4513"/>
        <w:tab w:val="right" w:pos="9026"/>
      </w:tabs>
    </w:pPr>
  </w:style>
  <w:style w:type="character" w:customStyle="1" w:styleId="HeaderChar">
    <w:name w:val="Header Char"/>
    <w:basedOn w:val="DefaultParagraphFont"/>
    <w:link w:val="Header"/>
    <w:uiPriority w:val="99"/>
    <w:rsid w:val="005E2614"/>
    <w:rPr>
      <w:sz w:val="24"/>
      <w:szCs w:val="24"/>
      <w:lang w:eastAsia="en-US"/>
    </w:rPr>
  </w:style>
  <w:style w:type="paragraph" w:styleId="Footer">
    <w:name w:val="footer"/>
    <w:basedOn w:val="Normal"/>
    <w:link w:val="FooterChar"/>
    <w:uiPriority w:val="99"/>
    <w:rsid w:val="005E2614"/>
    <w:pPr>
      <w:tabs>
        <w:tab w:val="center" w:pos="4513"/>
        <w:tab w:val="right" w:pos="9026"/>
      </w:tabs>
    </w:pPr>
  </w:style>
  <w:style w:type="character" w:customStyle="1" w:styleId="FooterChar">
    <w:name w:val="Footer Char"/>
    <w:basedOn w:val="DefaultParagraphFont"/>
    <w:link w:val="Footer"/>
    <w:uiPriority w:val="99"/>
    <w:rsid w:val="005E2614"/>
    <w:rPr>
      <w:sz w:val="24"/>
      <w:szCs w:val="24"/>
      <w:lang w:eastAsia="en-US"/>
    </w:rPr>
  </w:style>
  <w:style w:type="paragraph" w:styleId="BalloonText">
    <w:name w:val="Balloon Text"/>
    <w:basedOn w:val="Normal"/>
    <w:link w:val="BalloonTextChar"/>
    <w:rsid w:val="005E2614"/>
    <w:rPr>
      <w:rFonts w:ascii="Tahoma" w:hAnsi="Tahoma" w:cs="Tahoma"/>
      <w:sz w:val="16"/>
      <w:szCs w:val="16"/>
    </w:rPr>
  </w:style>
  <w:style w:type="character" w:customStyle="1" w:styleId="BalloonTextChar">
    <w:name w:val="Balloon Text Char"/>
    <w:basedOn w:val="DefaultParagraphFont"/>
    <w:link w:val="BalloonText"/>
    <w:rsid w:val="005E2614"/>
    <w:rPr>
      <w:rFonts w:ascii="Tahoma" w:hAnsi="Tahoma" w:cs="Tahoma"/>
      <w:sz w:val="16"/>
      <w:szCs w:val="16"/>
      <w:lang w:eastAsia="en-US"/>
    </w:rPr>
  </w:style>
  <w:style w:type="character" w:styleId="PlaceholderText">
    <w:name w:val="Placeholder Text"/>
    <w:basedOn w:val="DefaultParagraphFont"/>
    <w:uiPriority w:val="99"/>
    <w:semiHidden/>
    <w:rsid w:val="00C51BE7"/>
    <w:rPr>
      <w:color w:val="808080"/>
    </w:rPr>
  </w:style>
  <w:style w:type="character" w:styleId="Hyperlink">
    <w:name w:val="Hyperlink"/>
    <w:basedOn w:val="DefaultParagraphFont"/>
    <w:uiPriority w:val="99"/>
    <w:rsid w:val="00B47076"/>
    <w:rPr>
      <w:color w:val="0000FF" w:themeColor="hyperlink"/>
      <w:u w:val="single"/>
    </w:rPr>
  </w:style>
  <w:style w:type="paragraph" w:customStyle="1" w:styleId="Title1">
    <w:name w:val="Title1"/>
    <w:basedOn w:val="NoSpacing"/>
    <w:link w:val="TITLEChar0"/>
    <w:qFormat/>
    <w:rsid w:val="00A75B58"/>
    <w:rPr>
      <w:rFonts w:ascii="Franklin Gothic Heavy" w:hAnsi="Franklin Gothic Heavy"/>
      <w:color w:val="0A4A63"/>
      <w:sz w:val="72"/>
    </w:rPr>
  </w:style>
  <w:style w:type="character" w:customStyle="1" w:styleId="TITLEChar0">
    <w:name w:val="TITLE Char"/>
    <w:basedOn w:val="NoSpacingChar"/>
    <w:link w:val="Title1"/>
    <w:rsid w:val="00A75B58"/>
    <w:rPr>
      <w:rFonts w:ascii="Franklin Gothic Heavy" w:eastAsiaTheme="majorEastAsia" w:hAnsi="Franklin Gothic Heavy" w:cstheme="majorBidi"/>
      <w:color w:val="0A4A63"/>
      <w:sz w:val="72"/>
      <w:szCs w:val="80"/>
      <w:lang w:eastAsia="en-US"/>
    </w:rPr>
  </w:style>
  <w:style w:type="paragraph" w:customStyle="1" w:styleId="Subtitle1">
    <w:name w:val="Subtitle1"/>
    <w:basedOn w:val="Normal"/>
    <w:link w:val="SUBTITLEChar0"/>
    <w:qFormat/>
    <w:rsid w:val="00A75B58"/>
    <w:pPr>
      <w:ind w:left="397"/>
    </w:pPr>
    <w:rPr>
      <w:rFonts w:ascii="Franklin Gothic Medium" w:hAnsi="Franklin Gothic Medium"/>
      <w:b/>
      <w:color w:val="00A9E5"/>
      <w:sz w:val="56"/>
    </w:rPr>
  </w:style>
  <w:style w:type="character" w:customStyle="1" w:styleId="SUBTITLEChar0">
    <w:name w:val="SUBTITLE Char"/>
    <w:basedOn w:val="DefaultParagraphFont"/>
    <w:link w:val="Subtitle1"/>
    <w:rsid w:val="00A75B58"/>
    <w:rPr>
      <w:rFonts w:ascii="Franklin Gothic Medium" w:hAnsi="Franklin Gothic Medium"/>
      <w:b/>
      <w:color w:val="00A9E5"/>
      <w:sz w:val="56"/>
      <w:szCs w:val="24"/>
      <w:lang w:eastAsia="en-US"/>
    </w:rPr>
  </w:style>
  <w:style w:type="character" w:styleId="CommentReference">
    <w:name w:val="annotation reference"/>
    <w:basedOn w:val="DefaultParagraphFont"/>
    <w:rsid w:val="00F95769"/>
    <w:rPr>
      <w:sz w:val="16"/>
      <w:szCs w:val="16"/>
    </w:rPr>
  </w:style>
  <w:style w:type="paragraph" w:styleId="CommentText">
    <w:name w:val="annotation text"/>
    <w:basedOn w:val="Normal"/>
    <w:link w:val="CommentTextChar"/>
    <w:rsid w:val="00F95769"/>
    <w:rPr>
      <w:sz w:val="20"/>
    </w:rPr>
  </w:style>
  <w:style w:type="character" w:customStyle="1" w:styleId="CommentTextChar">
    <w:name w:val="Comment Text Char"/>
    <w:basedOn w:val="DefaultParagraphFont"/>
    <w:link w:val="CommentText"/>
    <w:rsid w:val="00F95769"/>
    <w:rPr>
      <w:rFonts w:ascii="Arial" w:hAnsi="Arial"/>
    </w:rPr>
  </w:style>
  <w:style w:type="paragraph" w:styleId="CommentSubject">
    <w:name w:val="annotation subject"/>
    <w:basedOn w:val="CommentText"/>
    <w:next w:val="CommentText"/>
    <w:link w:val="CommentSubjectChar"/>
    <w:rsid w:val="00F95769"/>
    <w:rPr>
      <w:b/>
      <w:bCs/>
    </w:rPr>
  </w:style>
  <w:style w:type="character" w:customStyle="1" w:styleId="CommentSubjectChar">
    <w:name w:val="Comment Subject Char"/>
    <w:basedOn w:val="CommentTextChar"/>
    <w:link w:val="CommentSubject"/>
    <w:rsid w:val="00F95769"/>
    <w:rPr>
      <w:rFonts w:ascii="Arial" w:hAnsi="Arial"/>
      <w:b/>
      <w:bCs/>
    </w:rPr>
  </w:style>
  <w:style w:type="character" w:styleId="FollowedHyperlink">
    <w:name w:val="FollowedHyperlink"/>
    <w:basedOn w:val="DefaultParagraphFont"/>
    <w:rsid w:val="00F95769"/>
    <w:rPr>
      <w:color w:val="800080" w:themeColor="followedHyperlink"/>
      <w:u w:val="single"/>
    </w:rPr>
  </w:style>
  <w:style w:type="paragraph" w:customStyle="1" w:styleId="NPWDate">
    <w:name w:val="NPW Date"/>
    <w:basedOn w:val="Normal"/>
    <w:rsid w:val="00C5112F"/>
    <w:pPr>
      <w:spacing w:after="120" w:line="300" w:lineRule="exact"/>
    </w:pPr>
    <w:rPr>
      <w:rFonts w:eastAsia="Cambria" w:cs="Arial"/>
      <w:caps/>
      <w:spacing w:val="30"/>
      <w:sz w:val="16"/>
      <w:szCs w:val="24"/>
      <w:lang w:val="en-US" w:eastAsia="en-US"/>
    </w:rPr>
  </w:style>
  <w:style w:type="paragraph" w:customStyle="1" w:styleId="02Body">
    <w:name w:val="02_Body"/>
    <w:basedOn w:val="Normal"/>
    <w:uiPriority w:val="99"/>
    <w:rsid w:val="00C5112F"/>
    <w:pPr>
      <w:widowControl w:val="0"/>
      <w:suppressAutoHyphens/>
      <w:autoSpaceDE w:val="0"/>
      <w:autoSpaceDN w:val="0"/>
      <w:adjustRightInd w:val="0"/>
      <w:spacing w:after="170" w:line="270" w:lineRule="atLeast"/>
      <w:textAlignment w:val="center"/>
    </w:pPr>
    <w:rPr>
      <w:rFonts w:ascii="ArialMT" w:eastAsia="Cambria" w:hAnsi="ArialMT" w:cs="ArialMT"/>
      <w:color w:val="000000"/>
      <w:lang w:val="en-GB" w:eastAsia="en-US"/>
    </w:rPr>
  </w:style>
  <w:style w:type="paragraph" w:customStyle="1" w:styleId="02Bulletsindented">
    <w:name w:val="02_Bullets indented"/>
    <w:basedOn w:val="Normal"/>
    <w:uiPriority w:val="99"/>
    <w:rsid w:val="00C5112F"/>
    <w:pPr>
      <w:widowControl w:val="0"/>
      <w:tabs>
        <w:tab w:val="left" w:pos="340"/>
      </w:tabs>
      <w:suppressAutoHyphens/>
      <w:autoSpaceDE w:val="0"/>
      <w:autoSpaceDN w:val="0"/>
      <w:adjustRightInd w:val="0"/>
      <w:spacing w:after="113" w:line="270" w:lineRule="atLeast"/>
      <w:ind w:left="567" w:hanging="170"/>
      <w:textAlignment w:val="center"/>
    </w:pPr>
    <w:rPr>
      <w:rFonts w:ascii="ArialMT" w:eastAsia="Cambria" w:hAnsi="ArialMT" w:cs="ArialMT"/>
      <w:color w:val="000000"/>
      <w:lang w:val="en-GB" w:eastAsia="en-US"/>
    </w:rPr>
  </w:style>
  <w:style w:type="character" w:customStyle="1" w:styleId="Italics">
    <w:name w:val="Italics"/>
    <w:uiPriority w:val="99"/>
    <w:rsid w:val="00C5112F"/>
    <w:rPr>
      <w:rFonts w:ascii="Arial-ItalicMT" w:hAnsi="Arial-ItalicMT" w:cs="Arial-ItalicMT"/>
      <w:i/>
      <w:iCs/>
    </w:rPr>
  </w:style>
  <w:style w:type="paragraph" w:customStyle="1" w:styleId="MediumGrid1-Accent21">
    <w:name w:val="Medium Grid 1 - Accent 21"/>
    <w:basedOn w:val="Normal"/>
    <w:rsid w:val="00C5112F"/>
    <w:pPr>
      <w:numPr>
        <w:numId w:val="22"/>
      </w:numPr>
      <w:spacing w:after="120" w:line="300" w:lineRule="exact"/>
      <w:ind w:left="714" w:hanging="357"/>
      <w:contextualSpacing/>
    </w:pPr>
    <w:rPr>
      <w:rFonts w:eastAsia="Cambria" w:cs="Arial"/>
      <w:szCs w:val="24"/>
      <w:lang w:val="en-US" w:eastAsia="en-US"/>
    </w:rPr>
  </w:style>
  <w:style w:type="paragraph" w:customStyle="1" w:styleId="Bibliography1">
    <w:name w:val="Bibliography1"/>
    <w:basedOn w:val="Normal"/>
    <w:next w:val="Normal"/>
    <w:rsid w:val="00C5112F"/>
    <w:pPr>
      <w:spacing w:after="120" w:line="300" w:lineRule="exact"/>
    </w:pPr>
    <w:rPr>
      <w:rFonts w:eastAsia="Cambria" w:cs="Arial"/>
      <w:szCs w:val="24"/>
      <w:lang w:val="en-US" w:eastAsia="en-US"/>
    </w:rPr>
  </w:style>
  <w:style w:type="character" w:styleId="PageNumber">
    <w:name w:val="page number"/>
    <w:rsid w:val="00C5112F"/>
  </w:style>
  <w:style w:type="paragraph" w:customStyle="1" w:styleId="1Heading1">
    <w:name w:val="1. Heading 1"/>
    <w:basedOn w:val="Normal"/>
    <w:rsid w:val="00C5112F"/>
    <w:pPr>
      <w:widowControl w:val="0"/>
      <w:autoSpaceDE w:val="0"/>
      <w:autoSpaceDN w:val="0"/>
      <w:adjustRightInd w:val="0"/>
    </w:pPr>
    <w:rPr>
      <w:rFonts w:ascii="Arial MT" w:eastAsia="Cambria" w:hAnsi="Arial MT" w:cs="HelveticaNeueLT-Light"/>
      <w:color w:val="000000"/>
      <w:lang w:val="en-US" w:eastAsia="en-US"/>
    </w:rPr>
  </w:style>
  <w:style w:type="paragraph" w:styleId="DocumentMap">
    <w:name w:val="Document Map"/>
    <w:basedOn w:val="Normal"/>
    <w:link w:val="DocumentMapChar"/>
    <w:rsid w:val="00C5112F"/>
    <w:pPr>
      <w:spacing w:after="120" w:line="300" w:lineRule="exact"/>
    </w:pPr>
    <w:rPr>
      <w:rFonts w:ascii="Lucida Grande" w:eastAsia="Cambria" w:hAnsi="Lucida Grande" w:cs="Lucida Grande"/>
      <w:sz w:val="24"/>
      <w:szCs w:val="24"/>
      <w:lang w:val="en-US" w:eastAsia="en-US"/>
    </w:rPr>
  </w:style>
  <w:style w:type="character" w:customStyle="1" w:styleId="DocumentMapChar">
    <w:name w:val="Document Map Char"/>
    <w:basedOn w:val="DefaultParagraphFont"/>
    <w:link w:val="DocumentMap"/>
    <w:rsid w:val="00C5112F"/>
    <w:rPr>
      <w:rFonts w:ascii="Lucida Grande" w:eastAsia="Cambria" w:hAnsi="Lucida Grande" w:cs="Lucida Grande"/>
      <w:sz w:val="24"/>
      <w:szCs w:val="24"/>
      <w:lang w:val="en-US" w:eastAsia="en-US"/>
    </w:rPr>
  </w:style>
  <w:style w:type="paragraph" w:styleId="NormalWeb">
    <w:name w:val="Normal (Web)"/>
    <w:basedOn w:val="Normal"/>
    <w:uiPriority w:val="99"/>
    <w:unhideWhenUsed/>
    <w:rsid w:val="00C5112F"/>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C5112F"/>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12F"/>
    <w:pPr>
      <w:autoSpaceDE w:val="0"/>
      <w:autoSpaceDN w:val="0"/>
      <w:adjustRightInd w:val="0"/>
    </w:pPr>
    <w:rPr>
      <w:rFonts w:ascii="Century Schoolbook" w:eastAsia="Calibri" w:hAnsi="Century Schoolbook" w:cs="Century Schoolbook"/>
      <w:color w:val="000000"/>
      <w:sz w:val="24"/>
      <w:szCs w:val="24"/>
      <w:lang w:eastAsia="en-US"/>
    </w:rPr>
  </w:style>
  <w:style w:type="paragraph" w:customStyle="1" w:styleId="Pa13">
    <w:name w:val="Pa13"/>
    <w:basedOn w:val="Default"/>
    <w:next w:val="Default"/>
    <w:uiPriority w:val="99"/>
    <w:rsid w:val="00C5112F"/>
    <w:pPr>
      <w:spacing w:line="201" w:lineRule="atLeast"/>
    </w:pPr>
    <w:rPr>
      <w:rFonts w:ascii="Gotham Medium" w:eastAsia="Times New Roman" w:hAnsi="Gotham Medium" w:cs="Times New Roman"/>
      <w:color w:val="auto"/>
      <w:lang w:eastAsia="en-AU"/>
    </w:rPr>
  </w:style>
  <w:style w:type="paragraph" w:customStyle="1" w:styleId="Pa16">
    <w:name w:val="Pa16"/>
    <w:basedOn w:val="Default"/>
    <w:next w:val="Default"/>
    <w:uiPriority w:val="99"/>
    <w:rsid w:val="00C5112F"/>
    <w:pPr>
      <w:spacing w:line="201" w:lineRule="atLeast"/>
    </w:pPr>
    <w:rPr>
      <w:rFonts w:ascii="Gotham Medium" w:eastAsia="Times New Roman" w:hAnsi="Gotham Medium" w:cs="Times New Roman"/>
      <w:color w:val="auto"/>
      <w:lang w:eastAsia="en-AU"/>
    </w:rPr>
  </w:style>
  <w:style w:type="paragraph" w:customStyle="1" w:styleId="Pa21">
    <w:name w:val="Pa21"/>
    <w:basedOn w:val="Default"/>
    <w:next w:val="Default"/>
    <w:uiPriority w:val="99"/>
    <w:rsid w:val="00C5112F"/>
    <w:pPr>
      <w:spacing w:line="201" w:lineRule="atLeast"/>
    </w:pPr>
    <w:rPr>
      <w:rFonts w:ascii="Gotham Medium" w:eastAsia="Times New Roman" w:hAnsi="Gotham Medium" w:cs="Times New Roman"/>
      <w:color w:val="auto"/>
      <w:lang w:eastAsia="en-AU"/>
    </w:rPr>
  </w:style>
  <w:style w:type="paragraph" w:customStyle="1" w:styleId="TableHeading">
    <w:name w:val="TableHeading"/>
    <w:basedOn w:val="TableText"/>
    <w:qFormat/>
    <w:rsid w:val="00C5112F"/>
    <w:rPr>
      <w:b/>
      <w:bCs/>
    </w:rPr>
  </w:style>
  <w:style w:type="paragraph" w:customStyle="1" w:styleId="TableText">
    <w:name w:val="TableText"/>
    <w:basedOn w:val="Normal"/>
    <w:link w:val="TableTextChar"/>
    <w:qFormat/>
    <w:rsid w:val="00C5112F"/>
    <w:pPr>
      <w:keepNext/>
      <w:spacing w:before="60" w:after="60"/>
    </w:pPr>
    <w:rPr>
      <w:rFonts w:ascii="Arial Narrow" w:hAnsi="Arial Narrow"/>
      <w:color w:val="000000"/>
      <w:szCs w:val="21"/>
    </w:rPr>
  </w:style>
  <w:style w:type="character" w:customStyle="1" w:styleId="TableTextChar">
    <w:name w:val="TableText Char"/>
    <w:link w:val="TableText"/>
    <w:rsid w:val="00C5112F"/>
    <w:rPr>
      <w:rFonts w:ascii="Arial Narrow" w:hAnsi="Arial Narrow"/>
      <w:color w:val="000000"/>
      <w:sz w:val="22"/>
      <w:szCs w:val="21"/>
    </w:rPr>
  </w:style>
  <w:style w:type="paragraph" w:customStyle="1" w:styleId="TFNoteSourceSpace">
    <w:name w:val="TFNoteSource+Space"/>
    <w:basedOn w:val="Normal"/>
    <w:next w:val="Normal"/>
    <w:rsid w:val="00C5112F"/>
    <w:pPr>
      <w:keepLines/>
      <w:spacing w:after="360"/>
      <w:ind w:left="624" w:hanging="624"/>
    </w:pPr>
    <w:rPr>
      <w:color w:val="000000"/>
      <w:sz w:val="18"/>
      <w:szCs w:val="18"/>
    </w:rPr>
  </w:style>
  <w:style w:type="character" w:customStyle="1" w:styleId="Boldoblique">
    <w:name w:val="Bold oblique"/>
    <w:uiPriority w:val="99"/>
    <w:rsid w:val="00C5112F"/>
    <w:rPr>
      <w:b/>
      <w:bCs/>
      <w:i/>
      <w:iCs/>
    </w:rPr>
  </w:style>
  <w:style w:type="paragraph" w:customStyle="1" w:styleId="TFNoteSource">
    <w:name w:val="TFNoteSource"/>
    <w:basedOn w:val="TFNoteSourceSpace"/>
    <w:qFormat/>
    <w:rsid w:val="00C5112F"/>
    <w:pPr>
      <w:spacing w:after="0"/>
    </w:pPr>
  </w:style>
  <w:style w:type="paragraph" w:customStyle="1" w:styleId="TFListNotes">
    <w:name w:val="TFListNotes"/>
    <w:basedOn w:val="Normal"/>
    <w:rsid w:val="00C5112F"/>
    <w:pPr>
      <w:keepNext/>
      <w:keepLines/>
      <w:ind w:left="170" w:hanging="170"/>
    </w:pPr>
    <w:rPr>
      <w:color w:val="000000"/>
      <w:sz w:val="18"/>
      <w:szCs w:val="18"/>
    </w:rPr>
  </w:style>
  <w:style w:type="character" w:customStyle="1" w:styleId="Superscript">
    <w:name w:val="Superscript"/>
    <w:uiPriority w:val="1"/>
    <w:rsid w:val="00C5112F"/>
    <w:rPr>
      <w:noProof/>
      <w:vertAlign w:val="superscript"/>
    </w:rPr>
  </w:style>
  <w:style w:type="paragraph" w:styleId="FootnoteText">
    <w:name w:val="footnote text"/>
    <w:basedOn w:val="Normal"/>
    <w:link w:val="FootnoteTextChar"/>
    <w:rsid w:val="00C5112F"/>
    <w:rPr>
      <w:lang w:eastAsia="en-US"/>
    </w:rPr>
  </w:style>
  <w:style w:type="character" w:customStyle="1" w:styleId="FootnoteTextChar">
    <w:name w:val="Footnote Text Char"/>
    <w:basedOn w:val="DefaultParagraphFont"/>
    <w:link w:val="FootnoteText"/>
    <w:rsid w:val="00C5112F"/>
    <w:rPr>
      <w:rFonts w:ascii="Arial" w:hAnsi="Arial"/>
      <w:sz w:val="22"/>
      <w:lang w:eastAsia="en-US"/>
    </w:rPr>
  </w:style>
  <w:style w:type="character" w:styleId="FootnoteReference">
    <w:name w:val="footnote reference"/>
    <w:rsid w:val="00C5112F"/>
    <w:rPr>
      <w:vertAlign w:val="superscript"/>
    </w:rPr>
  </w:style>
  <w:style w:type="paragraph" w:styleId="Revision">
    <w:name w:val="Revision"/>
    <w:hidden/>
    <w:rsid w:val="00C5112F"/>
    <w:rPr>
      <w:rFonts w:ascii="Arial" w:eastAsia="Cambria" w:hAnsi="Arial" w:cs="Arial"/>
      <w:szCs w:val="24"/>
      <w:lang w:val="en-US" w:eastAsia="en-US"/>
    </w:rPr>
  </w:style>
  <w:style w:type="paragraph" w:customStyle="1" w:styleId="TableName">
    <w:name w:val="TableName"/>
    <w:basedOn w:val="TableText"/>
    <w:qFormat/>
    <w:rsid w:val="00C5112F"/>
    <w:pPr>
      <w:tabs>
        <w:tab w:val="left" w:pos="1080"/>
      </w:tabs>
      <w:spacing w:before="120" w:after="120"/>
      <w:ind w:left="1080" w:hanging="1080"/>
    </w:pPr>
    <w:rPr>
      <w:rFonts w:ascii="Times New Roman Bold" w:eastAsia="Calibri" w:hAnsi="Times New Roman Bold"/>
      <w:b/>
      <w:bCs/>
      <w:color w:val="auto"/>
      <w:lang w:val="en-US" w:eastAsia="en-US"/>
    </w:rPr>
  </w:style>
  <w:style w:type="paragraph" w:customStyle="1" w:styleId="TFAbbrevs">
    <w:name w:val="TFAbbrevs"/>
    <w:basedOn w:val="TFListNotes"/>
    <w:rsid w:val="00C5112F"/>
    <w:pPr>
      <w:ind w:left="0" w:firstLine="0"/>
    </w:pPr>
    <w:rPr>
      <w:rFonts w:ascii="Times New Roman" w:hAnsi="Times New Roman"/>
    </w:rPr>
  </w:style>
  <w:style w:type="paragraph" w:styleId="Caption">
    <w:name w:val="caption"/>
    <w:basedOn w:val="Normal"/>
    <w:next w:val="Normal"/>
    <w:unhideWhenUsed/>
    <w:qFormat/>
    <w:rsid w:val="00C5112F"/>
    <w:pPr>
      <w:spacing w:after="200"/>
    </w:pPr>
    <w:rPr>
      <w:rFonts w:eastAsia="Cambria" w:cs="Arial"/>
      <w:b/>
      <w:bCs/>
      <w:color w:val="4F81BD" w:themeColor="accent1"/>
      <w:sz w:val="18"/>
      <w:szCs w:val="18"/>
      <w:lang w:val="en-US" w:eastAsia="en-US"/>
    </w:rPr>
  </w:style>
  <w:style w:type="paragraph" w:customStyle="1" w:styleId="Tablecaption">
    <w:name w:val="Table caption"/>
    <w:basedOn w:val="Normal"/>
    <w:link w:val="TablecaptionChar"/>
    <w:qFormat/>
    <w:rsid w:val="00C5112F"/>
    <w:pPr>
      <w:spacing w:before="60" w:after="60"/>
    </w:pPr>
    <w:rPr>
      <w:rFonts w:asciiTheme="minorHAnsi" w:eastAsiaTheme="minorEastAsia" w:hAnsiTheme="minorHAnsi" w:cstheme="minorBidi"/>
      <w:sz w:val="20"/>
      <w:lang w:eastAsia="en-US"/>
    </w:rPr>
  </w:style>
  <w:style w:type="character" w:customStyle="1" w:styleId="TablecaptionChar">
    <w:name w:val="Table caption Char"/>
    <w:basedOn w:val="DefaultParagraphFont"/>
    <w:link w:val="Tablecaption"/>
    <w:rsid w:val="00C5112F"/>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hyperlink" Target="mailto:communications@safetyandquality.gov.a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afetyandquality.gov.au" TargetMode="External"/><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15\HERDED\Desktop\Covering%20Sheet%20for%20Publications%20Template%202.0%20(D16-3122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herded\AppData\Local\Microsoft\Windows\Temporary%20Internet%20Files\Content.Outlook\AORCG3YZ\Figure%206%20Total%20hospital%20usage%20rate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D:\Users\herded\AppData\Local\Microsoft\Windows\Temporary%20Internet%20Files\Content.Outlook\AORCG3YZ\Figure%206%20Total%20hospital%20usage%20rates.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D:\Users\herded\AppData\Local\Microsoft\Windows\Temporary%20Internet%20Files\Content.Outlook\AORCG3YZ\Figure%206%20Total%20hospital%20usage%20rates.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1" u="none" strike="noStrike" baseline="0">
                <a:effectLst/>
                <a:latin typeface="Arial" panose="020B0604020202020204" pitchFamily="34" charset="0"/>
                <a:cs typeface="Arial" panose="020B0604020202020204" pitchFamily="34" charset="0"/>
              </a:rPr>
              <a:t>Total hospital usage rates by DDD/1000 OBD for first generation cephalosporins</a:t>
            </a:r>
            <a:endParaRPr lang="en-AU" sz="1000" b="0" i="1">
              <a:latin typeface="Arial" panose="020B0604020202020204" pitchFamily="34" charset="0"/>
              <a:cs typeface="Arial" panose="020B0604020202020204" pitchFamily="34" charset="0"/>
            </a:endParaRPr>
          </a:p>
        </c:rich>
      </c:tx>
      <c:overlay val="0"/>
    </c:title>
    <c:autoTitleDeleted val="0"/>
    <c:plotArea>
      <c:layout/>
      <c:lineChart>
        <c:grouping val="standard"/>
        <c:varyColors val="0"/>
        <c:ser>
          <c:idx val="0"/>
          <c:order val="0"/>
          <c:marker>
            <c:symbol val="none"/>
          </c:marker>
          <c:cat>
            <c:strRef>
              <c:f>Sheet1!$J$2:$N$2</c:f>
              <c:strCache>
                <c:ptCount val="5"/>
                <c:pt idx="0">
                  <c:v>2010 (n=53)</c:v>
                </c:pt>
                <c:pt idx="1">
                  <c:v>2011 (n=61)</c:v>
                </c:pt>
                <c:pt idx="2">
                  <c:v>2012 (n=79)</c:v>
                </c:pt>
                <c:pt idx="3">
                  <c:v>2013 (n=114)</c:v>
                </c:pt>
                <c:pt idx="4">
                  <c:v>2014 (n=129)</c:v>
                </c:pt>
              </c:strCache>
            </c:strRef>
          </c:cat>
          <c:val>
            <c:numRef>
              <c:f>Sheet1!$J$3:$N$3</c:f>
              <c:numCache>
                <c:formatCode>General</c:formatCode>
                <c:ptCount val="5"/>
                <c:pt idx="0">
                  <c:v>139.04</c:v>
                </c:pt>
                <c:pt idx="1">
                  <c:v>142.47999999999999</c:v>
                </c:pt>
                <c:pt idx="2">
                  <c:v>132.38999999999999</c:v>
                </c:pt>
                <c:pt idx="3">
                  <c:v>133.66</c:v>
                </c:pt>
                <c:pt idx="4">
                  <c:v>130.9</c:v>
                </c:pt>
              </c:numCache>
            </c:numRef>
          </c:val>
          <c:smooth val="0"/>
        </c:ser>
        <c:ser>
          <c:idx val="1"/>
          <c:order val="1"/>
          <c:marker>
            <c:symbol val="none"/>
          </c:marker>
          <c:cat>
            <c:strRef>
              <c:f>Sheet1!$J$2:$N$2</c:f>
              <c:strCache>
                <c:ptCount val="5"/>
                <c:pt idx="0">
                  <c:v>2010 (n=53)</c:v>
                </c:pt>
                <c:pt idx="1">
                  <c:v>2011 (n=61)</c:v>
                </c:pt>
                <c:pt idx="2">
                  <c:v>2012 (n=79)</c:v>
                </c:pt>
                <c:pt idx="3">
                  <c:v>2013 (n=114)</c:v>
                </c:pt>
                <c:pt idx="4">
                  <c:v>2014 (n=129)</c:v>
                </c:pt>
              </c:strCache>
            </c:strRef>
          </c:cat>
          <c:val>
            <c:numRef>
              <c:f>Sheet1!$J$4:$N$4</c:f>
              <c:numCache>
                <c:formatCode>General</c:formatCode>
                <c:ptCount val="5"/>
              </c:numCache>
            </c:numRef>
          </c:val>
          <c:smooth val="0"/>
        </c:ser>
        <c:dLbls>
          <c:showLegendKey val="0"/>
          <c:showVal val="0"/>
          <c:showCatName val="0"/>
          <c:showSerName val="0"/>
          <c:showPercent val="0"/>
          <c:showBubbleSize val="0"/>
        </c:dLbls>
        <c:hiLowLines/>
        <c:marker val="1"/>
        <c:smooth val="0"/>
        <c:axId val="203797248"/>
        <c:axId val="204267520"/>
      </c:lineChart>
      <c:catAx>
        <c:axId val="203797248"/>
        <c:scaling>
          <c:orientation val="minMax"/>
        </c:scaling>
        <c:delete val="0"/>
        <c:axPos val="b"/>
        <c:title>
          <c:tx>
            <c:rich>
              <a:bodyPr/>
              <a:lstStyle/>
              <a:p>
                <a:pPr>
                  <a:defRPr b="0" i="1"/>
                </a:pPr>
                <a:r>
                  <a:rPr lang="en-AU" b="0" i="1"/>
                  <a:t>Year</a:t>
                </a:r>
                <a:r>
                  <a:rPr lang="en-AU" b="0" i="1" baseline="0"/>
                  <a:t> (number of contributors)</a:t>
                </a:r>
                <a:endParaRPr lang="en-AU" b="0" i="1"/>
              </a:p>
            </c:rich>
          </c:tx>
          <c:overlay val="0"/>
        </c:title>
        <c:majorTickMark val="none"/>
        <c:minorTickMark val="none"/>
        <c:tickLblPos val="nextTo"/>
        <c:crossAx val="204267520"/>
        <c:crosses val="autoZero"/>
        <c:auto val="1"/>
        <c:lblAlgn val="ctr"/>
        <c:lblOffset val="100"/>
        <c:noMultiLvlLbl val="0"/>
      </c:catAx>
      <c:valAx>
        <c:axId val="204267520"/>
        <c:scaling>
          <c:orientation val="minMax"/>
        </c:scaling>
        <c:delete val="0"/>
        <c:axPos val="l"/>
        <c:majorGridlines/>
        <c:numFmt formatCode="General" sourceLinked="1"/>
        <c:majorTickMark val="out"/>
        <c:minorTickMark val="none"/>
        <c:tickLblPos val="nextTo"/>
        <c:crossAx val="20379724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1">
                <a:latin typeface="Arial" panose="020B0604020202020204" pitchFamily="34" charset="0"/>
                <a:cs typeface="Arial" panose="020B0604020202020204" pitchFamily="34" charset="0"/>
              </a:rPr>
              <a:t>Population supplied cephalexin under the PBS</a:t>
            </a:r>
          </a:p>
        </c:rich>
      </c:tx>
      <c:overlay val="0"/>
    </c:title>
    <c:autoTitleDeleted val="0"/>
    <c:plotArea>
      <c:layout/>
      <c:lineChart>
        <c:grouping val="standard"/>
        <c:varyColors val="0"/>
        <c:ser>
          <c:idx val="1"/>
          <c:order val="0"/>
          <c:tx>
            <c:strRef>
              <c:f>Rolling!$O$1</c:f>
              <c:strCache>
                <c:ptCount val="1"/>
                <c:pt idx="0">
                  <c:v>J01DB01 - CEPHALEXIN</c:v>
                </c:pt>
              </c:strCache>
            </c:strRef>
          </c:tx>
          <c:spPr>
            <a:ln>
              <a:solidFill>
                <a:schemeClr val="tx2">
                  <a:lumMod val="60000"/>
                  <a:lumOff val="40000"/>
                </a:schemeClr>
              </a:solidFill>
            </a:ln>
          </c:spPr>
          <c:marker>
            <c:symbol val="none"/>
          </c:marker>
          <c:cat>
            <c:strRef>
              <c:f>Rolling!$M$2:$M$84</c:f>
              <c:strCache>
                <c:ptCount val="83"/>
                <c:pt idx="0">
                  <c:v>1994 Q1</c:v>
                </c:pt>
                <c:pt idx="1">
                  <c:v>1994 Q2</c:v>
                </c:pt>
                <c:pt idx="2">
                  <c:v>1994 Q3</c:v>
                </c:pt>
                <c:pt idx="3">
                  <c:v>1994 Q4</c:v>
                </c:pt>
                <c:pt idx="4">
                  <c:v>1995 Q1</c:v>
                </c:pt>
                <c:pt idx="5">
                  <c:v>1995 Q2</c:v>
                </c:pt>
                <c:pt idx="6">
                  <c:v>1995 Q3</c:v>
                </c:pt>
                <c:pt idx="7">
                  <c:v>1995 Q4</c:v>
                </c:pt>
                <c:pt idx="8">
                  <c:v>1996 Q1</c:v>
                </c:pt>
                <c:pt idx="9">
                  <c:v>1996 Q2</c:v>
                </c:pt>
                <c:pt idx="10">
                  <c:v>1996 Q3</c:v>
                </c:pt>
                <c:pt idx="11">
                  <c:v>1996 Q4</c:v>
                </c:pt>
                <c:pt idx="12">
                  <c:v>1997 Q1</c:v>
                </c:pt>
                <c:pt idx="13">
                  <c:v>1997 Q2</c:v>
                </c:pt>
                <c:pt idx="14">
                  <c:v>1997 Q3</c:v>
                </c:pt>
                <c:pt idx="15">
                  <c:v>1997 Q4</c:v>
                </c:pt>
                <c:pt idx="16">
                  <c:v>1998 Q1</c:v>
                </c:pt>
                <c:pt idx="17">
                  <c:v>1998 Q2</c:v>
                </c:pt>
                <c:pt idx="18">
                  <c:v>1998 Q3</c:v>
                </c:pt>
                <c:pt idx="19">
                  <c:v>1998 Q4</c:v>
                </c:pt>
                <c:pt idx="20">
                  <c:v>1999 Q1</c:v>
                </c:pt>
                <c:pt idx="21">
                  <c:v>1999 Q2</c:v>
                </c:pt>
                <c:pt idx="22">
                  <c:v>1999 Q3</c:v>
                </c:pt>
                <c:pt idx="23">
                  <c:v>1999 Q4</c:v>
                </c:pt>
                <c:pt idx="24">
                  <c:v>2000 Q1</c:v>
                </c:pt>
                <c:pt idx="25">
                  <c:v>2000 Q2</c:v>
                </c:pt>
                <c:pt idx="26">
                  <c:v>2000 Q3</c:v>
                </c:pt>
                <c:pt idx="27">
                  <c:v>2000 Q4</c:v>
                </c:pt>
                <c:pt idx="28">
                  <c:v>2001 Q1</c:v>
                </c:pt>
                <c:pt idx="29">
                  <c:v>2001 Q2</c:v>
                </c:pt>
                <c:pt idx="30">
                  <c:v>2001 Q3</c:v>
                </c:pt>
                <c:pt idx="31">
                  <c:v>2001 Q4</c:v>
                </c:pt>
                <c:pt idx="32">
                  <c:v>2002 Q1</c:v>
                </c:pt>
                <c:pt idx="33">
                  <c:v>2002 Q2</c:v>
                </c:pt>
                <c:pt idx="34">
                  <c:v>2002 Q3</c:v>
                </c:pt>
                <c:pt idx="35">
                  <c:v>2002 Q4</c:v>
                </c:pt>
                <c:pt idx="36">
                  <c:v>2003 Q1</c:v>
                </c:pt>
                <c:pt idx="37">
                  <c:v>2003 Q2</c:v>
                </c:pt>
                <c:pt idx="38">
                  <c:v>2003 Q3</c:v>
                </c:pt>
                <c:pt idx="39">
                  <c:v>2003 Q4</c:v>
                </c:pt>
                <c:pt idx="40">
                  <c:v>2004 Q1</c:v>
                </c:pt>
                <c:pt idx="41">
                  <c:v>2004 Q2</c:v>
                </c:pt>
                <c:pt idx="42">
                  <c:v>2004 Q3</c:v>
                </c:pt>
                <c:pt idx="43">
                  <c:v>2004 Q4</c:v>
                </c:pt>
                <c:pt idx="44">
                  <c:v>2005 Q1</c:v>
                </c:pt>
                <c:pt idx="45">
                  <c:v>2005 Q2</c:v>
                </c:pt>
                <c:pt idx="46">
                  <c:v>2005 Q3</c:v>
                </c:pt>
                <c:pt idx="47">
                  <c:v>2005 Q4</c:v>
                </c:pt>
                <c:pt idx="48">
                  <c:v>2006 Q1</c:v>
                </c:pt>
                <c:pt idx="49">
                  <c:v>2006 Q2</c:v>
                </c:pt>
                <c:pt idx="50">
                  <c:v>2006 Q3</c:v>
                </c:pt>
                <c:pt idx="51">
                  <c:v>2006 Q4</c:v>
                </c:pt>
                <c:pt idx="52">
                  <c:v>2007 Q1</c:v>
                </c:pt>
                <c:pt idx="53">
                  <c:v>2007 Q2</c:v>
                </c:pt>
                <c:pt idx="54">
                  <c:v>2007 Q3</c:v>
                </c:pt>
                <c:pt idx="55">
                  <c:v>2007 Q4</c:v>
                </c:pt>
                <c:pt idx="56">
                  <c:v>2008 Q1</c:v>
                </c:pt>
                <c:pt idx="57">
                  <c:v>2008 Q2</c:v>
                </c:pt>
                <c:pt idx="58">
                  <c:v>2008 Q3</c:v>
                </c:pt>
                <c:pt idx="59">
                  <c:v>2008 Q4</c:v>
                </c:pt>
                <c:pt idx="60">
                  <c:v>2009 Q1</c:v>
                </c:pt>
                <c:pt idx="61">
                  <c:v>2009 Q2</c:v>
                </c:pt>
                <c:pt idx="62">
                  <c:v>2009 Q3</c:v>
                </c:pt>
                <c:pt idx="63">
                  <c:v>2009 Q4</c:v>
                </c:pt>
                <c:pt idx="64">
                  <c:v>2010 Q1</c:v>
                </c:pt>
                <c:pt idx="65">
                  <c:v>2010 Q2</c:v>
                </c:pt>
                <c:pt idx="66">
                  <c:v>2010 Q3</c:v>
                </c:pt>
                <c:pt idx="67">
                  <c:v>2010 Q4</c:v>
                </c:pt>
                <c:pt idx="68">
                  <c:v>2011 Q1</c:v>
                </c:pt>
                <c:pt idx="69">
                  <c:v>2011 Q2</c:v>
                </c:pt>
                <c:pt idx="70">
                  <c:v>2011 Q3</c:v>
                </c:pt>
                <c:pt idx="71">
                  <c:v>2011 Q4</c:v>
                </c:pt>
                <c:pt idx="72">
                  <c:v>2012 Q1</c:v>
                </c:pt>
                <c:pt idx="73">
                  <c:v>2012 Q2</c:v>
                </c:pt>
                <c:pt idx="74">
                  <c:v>2012 Q3</c:v>
                </c:pt>
                <c:pt idx="75">
                  <c:v>2012 Q4</c:v>
                </c:pt>
                <c:pt idx="76">
                  <c:v>2013 Q1</c:v>
                </c:pt>
                <c:pt idx="77">
                  <c:v>2013 Q2</c:v>
                </c:pt>
                <c:pt idx="78">
                  <c:v>2013 Q3</c:v>
                </c:pt>
                <c:pt idx="79">
                  <c:v>2013 Q4</c:v>
                </c:pt>
                <c:pt idx="80">
                  <c:v>2014 Q1</c:v>
                </c:pt>
                <c:pt idx="81">
                  <c:v>2014 Q2</c:v>
                </c:pt>
                <c:pt idx="82">
                  <c:v>2014 Q3</c:v>
                </c:pt>
              </c:strCache>
            </c:strRef>
          </c:cat>
          <c:val>
            <c:numRef>
              <c:f>Rolling!$O$2:$O$84</c:f>
              <c:numCache>
                <c:formatCode>General</c:formatCode>
                <c:ptCount val="83"/>
                <c:pt idx="0">
                  <c:v>478060</c:v>
                </c:pt>
                <c:pt idx="1">
                  <c:v>508463</c:v>
                </c:pt>
                <c:pt idx="2">
                  <c:v>537915</c:v>
                </c:pt>
                <c:pt idx="3">
                  <c:v>564940</c:v>
                </c:pt>
                <c:pt idx="4">
                  <c:v>595937</c:v>
                </c:pt>
                <c:pt idx="5">
                  <c:v>623132</c:v>
                </c:pt>
                <c:pt idx="6">
                  <c:v>649964</c:v>
                </c:pt>
                <c:pt idx="7">
                  <c:v>666185</c:v>
                </c:pt>
                <c:pt idx="8">
                  <c:v>683395</c:v>
                </c:pt>
                <c:pt idx="9">
                  <c:v>689833</c:v>
                </c:pt>
                <c:pt idx="10">
                  <c:v>693792</c:v>
                </c:pt>
                <c:pt idx="11">
                  <c:v>706739</c:v>
                </c:pt>
                <c:pt idx="12">
                  <c:v>718008</c:v>
                </c:pt>
                <c:pt idx="13">
                  <c:v>735885</c:v>
                </c:pt>
                <c:pt idx="14">
                  <c:v>738645</c:v>
                </c:pt>
                <c:pt idx="15">
                  <c:v>739712</c:v>
                </c:pt>
                <c:pt idx="16">
                  <c:v>736747</c:v>
                </c:pt>
                <c:pt idx="17">
                  <c:v>736772</c:v>
                </c:pt>
                <c:pt idx="18">
                  <c:v>737222</c:v>
                </c:pt>
                <c:pt idx="19">
                  <c:v>726556</c:v>
                </c:pt>
                <c:pt idx="20">
                  <c:v>716008</c:v>
                </c:pt>
                <c:pt idx="21">
                  <c:v>700849</c:v>
                </c:pt>
                <c:pt idx="22">
                  <c:v>699602</c:v>
                </c:pt>
                <c:pt idx="23">
                  <c:v>703893</c:v>
                </c:pt>
                <c:pt idx="24">
                  <c:v>727341</c:v>
                </c:pt>
                <c:pt idx="25">
                  <c:v>758456</c:v>
                </c:pt>
                <c:pt idx="26">
                  <c:v>768141</c:v>
                </c:pt>
                <c:pt idx="27">
                  <c:v>771544</c:v>
                </c:pt>
                <c:pt idx="28">
                  <c:v>765799</c:v>
                </c:pt>
                <c:pt idx="29">
                  <c:v>752062</c:v>
                </c:pt>
                <c:pt idx="30">
                  <c:v>752149</c:v>
                </c:pt>
                <c:pt idx="31">
                  <c:v>752166</c:v>
                </c:pt>
                <c:pt idx="32">
                  <c:v>755676</c:v>
                </c:pt>
                <c:pt idx="33">
                  <c:v>755713</c:v>
                </c:pt>
                <c:pt idx="34">
                  <c:v>750857</c:v>
                </c:pt>
                <c:pt idx="35">
                  <c:v>756214</c:v>
                </c:pt>
                <c:pt idx="36">
                  <c:v>760788</c:v>
                </c:pt>
                <c:pt idx="37">
                  <c:v>780468</c:v>
                </c:pt>
                <c:pt idx="38">
                  <c:v>809585</c:v>
                </c:pt>
                <c:pt idx="39">
                  <c:v>835967</c:v>
                </c:pt>
                <c:pt idx="40">
                  <c:v>874737</c:v>
                </c:pt>
                <c:pt idx="41">
                  <c:v>891289</c:v>
                </c:pt>
                <c:pt idx="42">
                  <c:v>909001</c:v>
                </c:pt>
                <c:pt idx="43">
                  <c:v>925621</c:v>
                </c:pt>
                <c:pt idx="44">
                  <c:v>932731</c:v>
                </c:pt>
                <c:pt idx="45">
                  <c:v>950283</c:v>
                </c:pt>
                <c:pt idx="46">
                  <c:v>955614</c:v>
                </c:pt>
                <c:pt idx="47">
                  <c:v>965860</c:v>
                </c:pt>
                <c:pt idx="48">
                  <c:v>971604</c:v>
                </c:pt>
                <c:pt idx="49">
                  <c:v>984404</c:v>
                </c:pt>
                <c:pt idx="50">
                  <c:v>1000000</c:v>
                </c:pt>
                <c:pt idx="51">
                  <c:v>1031895</c:v>
                </c:pt>
                <c:pt idx="52">
                  <c:v>1066818</c:v>
                </c:pt>
                <c:pt idx="53">
                  <c:v>1089478</c:v>
                </c:pt>
                <c:pt idx="54">
                  <c:v>1115506</c:v>
                </c:pt>
                <c:pt idx="55">
                  <c:v>1130109</c:v>
                </c:pt>
                <c:pt idx="56">
                  <c:v>1143156</c:v>
                </c:pt>
                <c:pt idx="57">
                  <c:v>1148939</c:v>
                </c:pt>
                <c:pt idx="58">
                  <c:v>1158479</c:v>
                </c:pt>
                <c:pt idx="59">
                  <c:v>1149923</c:v>
                </c:pt>
                <c:pt idx="60">
                  <c:v>1151119</c:v>
                </c:pt>
                <c:pt idx="61">
                  <c:v>1163640</c:v>
                </c:pt>
                <c:pt idx="62">
                  <c:v>1169869</c:v>
                </c:pt>
                <c:pt idx="63">
                  <c:v>1192503</c:v>
                </c:pt>
                <c:pt idx="64">
                  <c:v>1215044</c:v>
                </c:pt>
                <c:pt idx="65">
                  <c:v>1239721</c:v>
                </c:pt>
                <c:pt idx="66">
                  <c:v>1265349</c:v>
                </c:pt>
                <c:pt idx="67">
                  <c:v>1279172</c:v>
                </c:pt>
                <c:pt idx="68">
                  <c:v>1281874</c:v>
                </c:pt>
                <c:pt idx="69">
                  <c:v>1293439</c:v>
                </c:pt>
                <c:pt idx="70">
                  <c:v>1299644</c:v>
                </c:pt>
                <c:pt idx="71">
                  <c:v>1325291</c:v>
                </c:pt>
                <c:pt idx="72">
                  <c:v>1336037</c:v>
                </c:pt>
                <c:pt idx="73">
                  <c:v>1337354</c:v>
                </c:pt>
                <c:pt idx="74">
                  <c:v>1347755</c:v>
                </c:pt>
                <c:pt idx="75">
                  <c:v>1346028</c:v>
                </c:pt>
                <c:pt idx="76">
                  <c:v>1355926</c:v>
                </c:pt>
                <c:pt idx="77">
                  <c:v>1360642</c:v>
                </c:pt>
                <c:pt idx="78">
                  <c:v>1366988</c:v>
                </c:pt>
                <c:pt idx="79">
                  <c:v>1376046</c:v>
                </c:pt>
                <c:pt idx="80">
                  <c:v>1387401</c:v>
                </c:pt>
                <c:pt idx="81">
                  <c:v>1399701</c:v>
                </c:pt>
                <c:pt idx="82">
                  <c:v>1394088</c:v>
                </c:pt>
              </c:numCache>
            </c:numRef>
          </c:val>
          <c:smooth val="0"/>
        </c:ser>
        <c:dLbls>
          <c:showLegendKey val="0"/>
          <c:showVal val="0"/>
          <c:showCatName val="0"/>
          <c:showSerName val="0"/>
          <c:showPercent val="0"/>
          <c:showBubbleSize val="0"/>
        </c:dLbls>
        <c:hiLowLines/>
        <c:marker val="1"/>
        <c:smooth val="0"/>
        <c:axId val="202708480"/>
        <c:axId val="202710400"/>
      </c:lineChart>
      <c:catAx>
        <c:axId val="202708480"/>
        <c:scaling>
          <c:orientation val="minMax"/>
        </c:scaling>
        <c:delete val="0"/>
        <c:axPos val="b"/>
        <c:title>
          <c:overlay val="0"/>
        </c:title>
        <c:majorTickMark val="none"/>
        <c:minorTickMark val="none"/>
        <c:tickLblPos val="nextTo"/>
        <c:txPr>
          <a:bodyPr/>
          <a:lstStyle/>
          <a:p>
            <a:pPr>
              <a:defRPr sz="900"/>
            </a:pPr>
            <a:endParaRPr lang="en-US"/>
          </a:p>
        </c:txPr>
        <c:crossAx val="202710400"/>
        <c:crosses val="autoZero"/>
        <c:auto val="1"/>
        <c:lblAlgn val="ctr"/>
        <c:lblOffset val="100"/>
        <c:noMultiLvlLbl val="0"/>
      </c:catAx>
      <c:valAx>
        <c:axId val="202710400"/>
        <c:scaling>
          <c:orientation val="minMax"/>
          <c:max val="1800000"/>
        </c:scaling>
        <c:delete val="0"/>
        <c:axPos val="l"/>
        <c:majorGridlines/>
        <c:numFmt formatCode="General" sourceLinked="1"/>
        <c:majorTickMark val="out"/>
        <c:minorTickMark val="none"/>
        <c:tickLblPos val="nextTo"/>
        <c:txPr>
          <a:bodyPr/>
          <a:lstStyle/>
          <a:p>
            <a:pPr>
              <a:defRPr sz="900"/>
            </a:pPr>
            <a:endParaRPr lang="en-US"/>
          </a:p>
        </c:txPr>
        <c:crossAx val="20270848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1">
                <a:latin typeface="Arial" panose="020B0604020202020204" pitchFamily="34" charset="0"/>
                <a:cs typeface="Arial" panose="020B0604020202020204" pitchFamily="34" charset="0"/>
              </a:rPr>
              <a:t>Percentage</a:t>
            </a:r>
            <a:r>
              <a:rPr lang="en-US" sz="1000" b="0" i="1" baseline="0">
                <a:latin typeface="Arial" panose="020B0604020202020204" pitchFamily="34" charset="0"/>
                <a:cs typeface="Arial" panose="020B0604020202020204" pitchFamily="34" charset="0"/>
              </a:rPr>
              <a:t> of p</a:t>
            </a:r>
            <a:r>
              <a:rPr lang="en-US" sz="1000" b="0" i="1">
                <a:latin typeface="Arial" panose="020B0604020202020204" pitchFamily="34" charset="0"/>
                <a:cs typeface="Arial" panose="020B0604020202020204" pitchFamily="34" charset="0"/>
              </a:rPr>
              <a:t>opulation</a:t>
            </a:r>
            <a:r>
              <a:rPr lang="en-US" sz="1000" b="0" i="1" baseline="0">
                <a:latin typeface="Arial" panose="020B0604020202020204" pitchFamily="34" charset="0"/>
                <a:cs typeface="Arial" panose="020B0604020202020204" pitchFamily="34" charset="0"/>
              </a:rPr>
              <a:t> supplied </a:t>
            </a:r>
            <a:r>
              <a:rPr lang="en-US" sz="1000" b="0" i="1" u="none" strike="noStrike" kern="1200" baseline="0">
                <a:solidFill>
                  <a:sysClr val="windowText" lastClr="000000"/>
                </a:solidFill>
                <a:latin typeface="Arial" panose="020B0604020202020204" pitchFamily="34" charset="0"/>
                <a:ea typeface="+mn-ea"/>
                <a:cs typeface="Arial" panose="020B0604020202020204" pitchFamily="34" charset="0"/>
              </a:rPr>
              <a:t>cephalexin, by age group</a:t>
            </a:r>
            <a:endParaRPr lang="en-US" sz="1000" b="0" i="1">
              <a:latin typeface="Arial" panose="020B0604020202020204" pitchFamily="34" charset="0"/>
              <a:cs typeface="Arial" panose="020B0604020202020204" pitchFamily="34" charset="0"/>
            </a:endParaRPr>
          </a:p>
        </c:rich>
      </c:tx>
      <c:layout>
        <c:manualLayout>
          <c:xMode val="edge"/>
          <c:yMode val="edge"/>
          <c:x val="0.15860158370034255"/>
          <c:y val="0"/>
        </c:manualLayout>
      </c:layout>
      <c:overlay val="0"/>
    </c:title>
    <c:autoTitleDeleted val="0"/>
    <c:plotArea>
      <c:layout/>
      <c:lineChart>
        <c:grouping val="standard"/>
        <c:varyColors val="0"/>
        <c:ser>
          <c:idx val="0"/>
          <c:order val="0"/>
          <c:tx>
            <c:strRef>
              <c:f>Cepha!$V$2</c:f>
              <c:strCache>
                <c:ptCount val="1"/>
                <c:pt idx="0">
                  <c:v>0 to 9</c:v>
                </c:pt>
              </c:strCache>
            </c:strRef>
          </c:tx>
          <c:spPr>
            <a:ln>
              <a:solidFill>
                <a:srgbClr val="FF0000"/>
              </a:solidFill>
            </a:ln>
          </c:spPr>
          <c:marker>
            <c:symbol val="none"/>
          </c:marker>
          <c:cat>
            <c:strRef>
              <c:f>Cepha!$U$3:$U$12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Cepha!$V$3:$V$12</c:f>
              <c:numCache>
                <c:formatCode>General</c:formatCode>
                <c:ptCount val="10"/>
                <c:pt idx="0">
                  <c:v>3.72</c:v>
                </c:pt>
                <c:pt idx="1">
                  <c:v>3.7</c:v>
                </c:pt>
                <c:pt idx="2">
                  <c:v>3.86</c:v>
                </c:pt>
                <c:pt idx="3">
                  <c:v>3.86</c:v>
                </c:pt>
                <c:pt idx="4">
                  <c:v>3.82</c:v>
                </c:pt>
                <c:pt idx="5">
                  <c:v>3.76</c:v>
                </c:pt>
                <c:pt idx="6">
                  <c:v>3.88</c:v>
                </c:pt>
                <c:pt idx="7">
                  <c:v>3.92</c:v>
                </c:pt>
                <c:pt idx="8">
                  <c:v>3.92</c:v>
                </c:pt>
                <c:pt idx="9">
                  <c:v>3.84</c:v>
                </c:pt>
              </c:numCache>
            </c:numRef>
          </c:val>
          <c:smooth val="0"/>
        </c:ser>
        <c:ser>
          <c:idx val="1"/>
          <c:order val="1"/>
          <c:tx>
            <c:strRef>
              <c:f>Cepha!$W$2</c:f>
              <c:strCache>
                <c:ptCount val="1"/>
                <c:pt idx="0">
                  <c:v>10 to 19</c:v>
                </c:pt>
              </c:strCache>
            </c:strRef>
          </c:tx>
          <c:marker>
            <c:symbol val="none"/>
          </c:marker>
          <c:cat>
            <c:strRef>
              <c:f>Cepha!$U$3:$U$12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Cepha!$W$3:$W$12</c:f>
              <c:numCache>
                <c:formatCode>General</c:formatCode>
                <c:ptCount val="10"/>
                <c:pt idx="0">
                  <c:v>3.12</c:v>
                </c:pt>
                <c:pt idx="1">
                  <c:v>3.1</c:v>
                </c:pt>
                <c:pt idx="2">
                  <c:v>3.12</c:v>
                </c:pt>
                <c:pt idx="3">
                  <c:v>3.02</c:v>
                </c:pt>
                <c:pt idx="4">
                  <c:v>3.06</c:v>
                </c:pt>
                <c:pt idx="5">
                  <c:v>3.04</c:v>
                </c:pt>
                <c:pt idx="6">
                  <c:v>3.08</c:v>
                </c:pt>
                <c:pt idx="7">
                  <c:v>3.02</c:v>
                </c:pt>
                <c:pt idx="8">
                  <c:v>3.12</c:v>
                </c:pt>
                <c:pt idx="9">
                  <c:v>3.08</c:v>
                </c:pt>
              </c:numCache>
            </c:numRef>
          </c:val>
          <c:smooth val="0"/>
        </c:ser>
        <c:ser>
          <c:idx val="2"/>
          <c:order val="2"/>
          <c:tx>
            <c:strRef>
              <c:f>Cepha!$X$2</c:f>
              <c:strCache>
                <c:ptCount val="1"/>
                <c:pt idx="0">
                  <c:v>20 to 44</c:v>
                </c:pt>
              </c:strCache>
            </c:strRef>
          </c:tx>
          <c:marker>
            <c:symbol val="none"/>
          </c:marker>
          <c:cat>
            <c:strRef>
              <c:f>Cepha!$U$3:$U$12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Cepha!$X$3:$X$12</c:f>
              <c:numCache>
                <c:formatCode>General</c:formatCode>
                <c:ptCount val="10"/>
                <c:pt idx="0">
                  <c:v>3.16</c:v>
                </c:pt>
                <c:pt idx="1">
                  <c:v>3.14</c:v>
                </c:pt>
                <c:pt idx="2">
                  <c:v>3.2</c:v>
                </c:pt>
                <c:pt idx="3">
                  <c:v>3.2</c:v>
                </c:pt>
                <c:pt idx="4">
                  <c:v>3.2</c:v>
                </c:pt>
                <c:pt idx="5">
                  <c:v>3.16</c:v>
                </c:pt>
                <c:pt idx="6">
                  <c:v>3.22</c:v>
                </c:pt>
                <c:pt idx="7">
                  <c:v>3.24</c:v>
                </c:pt>
                <c:pt idx="8">
                  <c:v>3.26</c:v>
                </c:pt>
                <c:pt idx="9">
                  <c:v>3.18</c:v>
                </c:pt>
              </c:numCache>
            </c:numRef>
          </c:val>
          <c:smooth val="0"/>
        </c:ser>
        <c:ser>
          <c:idx val="3"/>
          <c:order val="3"/>
          <c:tx>
            <c:strRef>
              <c:f>Cepha!$Y$2</c:f>
              <c:strCache>
                <c:ptCount val="1"/>
                <c:pt idx="0">
                  <c:v>45 to 64</c:v>
                </c:pt>
              </c:strCache>
            </c:strRef>
          </c:tx>
          <c:marker>
            <c:symbol val="none"/>
          </c:marker>
          <c:cat>
            <c:strRef>
              <c:f>Cepha!$U$3:$U$12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Cepha!$Y$3:$Y$12</c:f>
              <c:numCache>
                <c:formatCode>General</c:formatCode>
                <c:ptCount val="10"/>
                <c:pt idx="0">
                  <c:v>3.84</c:v>
                </c:pt>
                <c:pt idx="1">
                  <c:v>3.82</c:v>
                </c:pt>
                <c:pt idx="2">
                  <c:v>3.88</c:v>
                </c:pt>
                <c:pt idx="3">
                  <c:v>3.92</c:v>
                </c:pt>
                <c:pt idx="4">
                  <c:v>3.9</c:v>
                </c:pt>
                <c:pt idx="5">
                  <c:v>3.84</c:v>
                </c:pt>
                <c:pt idx="6">
                  <c:v>3.9</c:v>
                </c:pt>
                <c:pt idx="7">
                  <c:v>3.96</c:v>
                </c:pt>
                <c:pt idx="8">
                  <c:v>3.96</c:v>
                </c:pt>
                <c:pt idx="9">
                  <c:v>3.88</c:v>
                </c:pt>
              </c:numCache>
            </c:numRef>
          </c:val>
          <c:smooth val="0"/>
        </c:ser>
        <c:ser>
          <c:idx val="4"/>
          <c:order val="4"/>
          <c:tx>
            <c:strRef>
              <c:f>Cepha!$Z$2</c:f>
              <c:strCache>
                <c:ptCount val="1"/>
                <c:pt idx="0">
                  <c:v>65 to 74</c:v>
                </c:pt>
              </c:strCache>
            </c:strRef>
          </c:tx>
          <c:spPr>
            <a:ln cmpd="dbl">
              <a:solidFill>
                <a:schemeClr val="accent6">
                  <a:lumMod val="75000"/>
                </a:schemeClr>
              </a:solidFill>
            </a:ln>
          </c:spPr>
          <c:marker>
            <c:symbol val="none"/>
          </c:marker>
          <c:cat>
            <c:strRef>
              <c:f>Cepha!$U$3:$U$12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Cepha!$Z$3:$Z$12</c:f>
              <c:numCache>
                <c:formatCode>General</c:formatCode>
                <c:ptCount val="10"/>
                <c:pt idx="0">
                  <c:v>6.14</c:v>
                </c:pt>
                <c:pt idx="1">
                  <c:v>6.1199999999999974</c:v>
                </c:pt>
                <c:pt idx="2">
                  <c:v>6.1199999999999974</c:v>
                </c:pt>
                <c:pt idx="3">
                  <c:v>6.22</c:v>
                </c:pt>
                <c:pt idx="4">
                  <c:v>6.18</c:v>
                </c:pt>
                <c:pt idx="5">
                  <c:v>6.1599999999999966</c:v>
                </c:pt>
                <c:pt idx="6">
                  <c:v>6.2</c:v>
                </c:pt>
                <c:pt idx="7">
                  <c:v>6.28</c:v>
                </c:pt>
                <c:pt idx="8">
                  <c:v>6.24</c:v>
                </c:pt>
                <c:pt idx="9">
                  <c:v>6.1599999999999966</c:v>
                </c:pt>
              </c:numCache>
            </c:numRef>
          </c:val>
          <c:smooth val="0"/>
        </c:ser>
        <c:ser>
          <c:idx val="5"/>
          <c:order val="5"/>
          <c:tx>
            <c:strRef>
              <c:f>Cepha!$AA$2</c:f>
              <c:strCache>
                <c:ptCount val="1"/>
                <c:pt idx="0">
                  <c:v>75+</c:v>
                </c:pt>
              </c:strCache>
            </c:strRef>
          </c:tx>
          <c:spPr>
            <a:ln>
              <a:solidFill>
                <a:schemeClr val="tx1"/>
              </a:solidFill>
            </a:ln>
          </c:spPr>
          <c:marker>
            <c:symbol val="none"/>
          </c:marker>
          <c:cat>
            <c:strRef>
              <c:f>Cepha!$U$3:$U$12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Cepha!$AA$3:$AA$12</c:f>
              <c:numCache>
                <c:formatCode>General</c:formatCode>
                <c:ptCount val="10"/>
                <c:pt idx="0">
                  <c:v>10.199999999999999</c:v>
                </c:pt>
                <c:pt idx="1">
                  <c:v>10.18</c:v>
                </c:pt>
                <c:pt idx="2">
                  <c:v>10.199999999999999</c:v>
                </c:pt>
                <c:pt idx="3">
                  <c:v>10.34</c:v>
                </c:pt>
                <c:pt idx="4">
                  <c:v>10.28</c:v>
                </c:pt>
                <c:pt idx="5">
                  <c:v>10.24</c:v>
                </c:pt>
                <c:pt idx="6">
                  <c:v>10.28</c:v>
                </c:pt>
                <c:pt idx="7">
                  <c:v>10.42</c:v>
                </c:pt>
                <c:pt idx="8">
                  <c:v>10.36</c:v>
                </c:pt>
                <c:pt idx="9">
                  <c:v>10.18</c:v>
                </c:pt>
              </c:numCache>
            </c:numRef>
          </c:val>
          <c:smooth val="0"/>
        </c:ser>
        <c:dLbls>
          <c:showLegendKey val="0"/>
          <c:showVal val="0"/>
          <c:showCatName val="0"/>
          <c:showSerName val="0"/>
          <c:showPercent val="0"/>
          <c:showBubbleSize val="0"/>
        </c:dLbls>
        <c:marker val="1"/>
        <c:smooth val="0"/>
        <c:axId val="203353472"/>
        <c:axId val="203359360"/>
      </c:lineChart>
      <c:catAx>
        <c:axId val="203353472"/>
        <c:scaling>
          <c:orientation val="minMax"/>
        </c:scaling>
        <c:delete val="0"/>
        <c:axPos val="b"/>
        <c:numFmt formatCode="General" sourceLinked="1"/>
        <c:majorTickMark val="out"/>
        <c:minorTickMark val="none"/>
        <c:tickLblPos val="nextTo"/>
        <c:crossAx val="203359360"/>
        <c:crosses val="autoZero"/>
        <c:auto val="1"/>
        <c:lblAlgn val="ctr"/>
        <c:lblOffset val="100"/>
        <c:noMultiLvlLbl val="0"/>
      </c:catAx>
      <c:valAx>
        <c:axId val="203359360"/>
        <c:scaling>
          <c:orientation val="minMax"/>
        </c:scaling>
        <c:delete val="0"/>
        <c:axPos val="l"/>
        <c:majorGridlines/>
        <c:numFmt formatCode="General" sourceLinked="1"/>
        <c:majorTickMark val="out"/>
        <c:minorTickMark val="none"/>
        <c:tickLblPos val="nextTo"/>
        <c:crossAx val="203353472"/>
        <c:crosses val="autoZero"/>
        <c:crossBetween val="between"/>
      </c:valAx>
    </c:plotArea>
    <c:legend>
      <c:legendPos val="r"/>
      <c:layout>
        <c:manualLayout>
          <c:xMode val="edge"/>
          <c:yMode val="edge"/>
          <c:x val="0.806944663167104"/>
          <c:y val="0.31494325278305701"/>
          <c:w val="0.17499999999999999"/>
          <c:h val="0.49425395963435598"/>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1">
                <a:latin typeface="Arial" panose="020B0604020202020204" pitchFamily="34" charset="0"/>
                <a:cs typeface="Arial" panose="020B0604020202020204" pitchFamily="34" charset="0"/>
              </a:defRPr>
            </a:pPr>
            <a:r>
              <a:rPr lang="en-AU" sz="1000" b="0" i="1">
                <a:latin typeface="Arial" panose="020B0604020202020204" pitchFamily="34" charset="0"/>
                <a:cs typeface="Arial" panose="020B0604020202020204" pitchFamily="34" charset="0"/>
              </a:rPr>
              <a:t>Total hospital usage rates by DDD/1000</a:t>
            </a:r>
            <a:r>
              <a:rPr lang="en-AU" sz="1000" b="0" i="1" baseline="0">
                <a:latin typeface="Arial" panose="020B0604020202020204" pitchFamily="34" charset="0"/>
                <a:cs typeface="Arial" panose="020B0604020202020204" pitchFamily="34" charset="0"/>
              </a:rPr>
              <a:t> OBD </a:t>
            </a:r>
            <a:r>
              <a:rPr lang="en-AU" sz="1000" b="0" i="1">
                <a:latin typeface="Arial" panose="020B0604020202020204" pitchFamily="34" charset="0"/>
                <a:cs typeface="Arial" panose="020B0604020202020204" pitchFamily="34" charset="0"/>
              </a:rPr>
              <a:t>for extended-spectrum</a:t>
            </a:r>
            <a:r>
              <a:rPr lang="en-AU" sz="1000" b="0" i="1" baseline="0">
                <a:latin typeface="Arial" panose="020B0604020202020204" pitchFamily="34" charset="0"/>
                <a:cs typeface="Arial" panose="020B0604020202020204" pitchFamily="34" charset="0"/>
              </a:rPr>
              <a:t> penicillins</a:t>
            </a:r>
            <a:endParaRPr lang="en-AU" sz="1000" b="0" i="1">
              <a:latin typeface="Arial" panose="020B0604020202020204" pitchFamily="34" charset="0"/>
              <a:cs typeface="Arial" panose="020B0604020202020204" pitchFamily="34" charset="0"/>
            </a:endParaRPr>
          </a:p>
        </c:rich>
      </c:tx>
      <c:overlay val="0"/>
    </c:title>
    <c:autoTitleDeleted val="0"/>
    <c:plotArea>
      <c:layout/>
      <c:lineChart>
        <c:grouping val="standard"/>
        <c:varyColors val="0"/>
        <c:ser>
          <c:idx val="0"/>
          <c:order val="0"/>
          <c:marker>
            <c:symbol val="none"/>
          </c:marker>
          <c:cat>
            <c:strRef>
              <c:f>Sheet1!$Q$3:$U$3</c:f>
              <c:strCache>
                <c:ptCount val="5"/>
                <c:pt idx="0">
                  <c:v>2010 (n=53)</c:v>
                </c:pt>
                <c:pt idx="1">
                  <c:v>2011 (n=61)</c:v>
                </c:pt>
                <c:pt idx="2">
                  <c:v>2012 (n=79)</c:v>
                </c:pt>
                <c:pt idx="3">
                  <c:v>2013 (n=114)</c:v>
                </c:pt>
                <c:pt idx="4">
                  <c:v>2014 (n=129)</c:v>
                </c:pt>
              </c:strCache>
            </c:strRef>
          </c:cat>
          <c:val>
            <c:numRef>
              <c:f>Sheet1!$Q$4:$U$4</c:f>
              <c:numCache>
                <c:formatCode>General</c:formatCode>
                <c:ptCount val="5"/>
                <c:pt idx="0">
                  <c:v>117.04</c:v>
                </c:pt>
                <c:pt idx="1">
                  <c:v>112.1</c:v>
                </c:pt>
                <c:pt idx="2">
                  <c:v>107.52</c:v>
                </c:pt>
                <c:pt idx="3">
                  <c:v>104.83</c:v>
                </c:pt>
                <c:pt idx="4">
                  <c:v>103.39</c:v>
                </c:pt>
              </c:numCache>
            </c:numRef>
          </c:val>
          <c:smooth val="0"/>
        </c:ser>
        <c:dLbls>
          <c:showLegendKey val="0"/>
          <c:showVal val="0"/>
          <c:showCatName val="0"/>
          <c:showSerName val="0"/>
          <c:showPercent val="0"/>
          <c:showBubbleSize val="0"/>
        </c:dLbls>
        <c:hiLowLines/>
        <c:marker val="1"/>
        <c:smooth val="0"/>
        <c:axId val="203376512"/>
        <c:axId val="203419648"/>
      </c:lineChart>
      <c:catAx>
        <c:axId val="203376512"/>
        <c:scaling>
          <c:orientation val="minMax"/>
        </c:scaling>
        <c:delete val="0"/>
        <c:axPos val="b"/>
        <c:title>
          <c:tx>
            <c:rich>
              <a:bodyPr/>
              <a:lstStyle/>
              <a:p>
                <a:pPr>
                  <a:defRPr b="0" i="1">
                    <a:latin typeface="Arial" panose="020B0604020202020204" pitchFamily="34" charset="0"/>
                    <a:cs typeface="Arial" panose="020B0604020202020204" pitchFamily="34" charset="0"/>
                  </a:defRPr>
                </a:pPr>
                <a:r>
                  <a:rPr lang="en-US" b="0" i="1">
                    <a:latin typeface="Arial" panose="020B0604020202020204" pitchFamily="34" charset="0"/>
                    <a:cs typeface="Arial" panose="020B0604020202020204" pitchFamily="34" charset="0"/>
                  </a:rPr>
                  <a:t>Year (number of contributors)</a:t>
                </a:r>
              </a:p>
            </c:rich>
          </c:tx>
          <c:overlay val="0"/>
        </c:title>
        <c:majorTickMark val="none"/>
        <c:minorTickMark val="none"/>
        <c:tickLblPos val="nextTo"/>
        <c:crossAx val="203419648"/>
        <c:crosses val="autoZero"/>
        <c:auto val="1"/>
        <c:lblAlgn val="ctr"/>
        <c:lblOffset val="100"/>
        <c:noMultiLvlLbl val="0"/>
      </c:catAx>
      <c:valAx>
        <c:axId val="203419648"/>
        <c:scaling>
          <c:orientation val="minMax"/>
        </c:scaling>
        <c:delete val="0"/>
        <c:axPos val="l"/>
        <c:majorGridlines/>
        <c:numFmt formatCode="General" sourceLinked="1"/>
        <c:majorTickMark val="out"/>
        <c:minorTickMark val="none"/>
        <c:tickLblPos val="nextTo"/>
        <c:crossAx val="20337651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8"/>
            </a:pPr>
            <a:r>
              <a:rPr lang="en-US" sz="1198" b="0" i="1"/>
              <a:t>Percentage</a:t>
            </a:r>
            <a:r>
              <a:rPr lang="en-US" sz="1198" b="0" i="1" baseline="0"/>
              <a:t> of p</a:t>
            </a:r>
            <a:r>
              <a:rPr lang="en-US" sz="1198" b="0" i="1"/>
              <a:t>opulation</a:t>
            </a:r>
            <a:r>
              <a:rPr lang="en-US" sz="1198" b="0" i="1" baseline="0"/>
              <a:t> supplied a</a:t>
            </a:r>
            <a:r>
              <a:rPr lang="en-US" sz="1198" b="0" i="1"/>
              <a:t>moxicillin by age group</a:t>
            </a:r>
          </a:p>
        </c:rich>
      </c:tx>
      <c:overlay val="0"/>
    </c:title>
    <c:autoTitleDeleted val="0"/>
    <c:plotArea>
      <c:layout/>
      <c:lineChart>
        <c:grouping val="standard"/>
        <c:varyColors val="0"/>
        <c:ser>
          <c:idx val="0"/>
          <c:order val="0"/>
          <c:tx>
            <c:strRef>
              <c:f>Amox!$V$2</c:f>
              <c:strCache>
                <c:ptCount val="1"/>
                <c:pt idx="0">
                  <c:v>0 to 9</c:v>
                </c:pt>
              </c:strCache>
            </c:strRef>
          </c:tx>
          <c:spPr>
            <a:ln>
              <a:solidFill>
                <a:srgbClr val="FF0000"/>
              </a:solidFill>
            </a:ln>
          </c:spPr>
          <c:marker>
            <c:symbol val="none"/>
          </c:marker>
          <c:cat>
            <c:strRef>
              <c:f>Amox!$U$3:$U$12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Amox!$V$3:$V$12</c:f>
              <c:numCache>
                <c:formatCode>General</c:formatCode>
                <c:ptCount val="10"/>
                <c:pt idx="0">
                  <c:v>10.199999999999999</c:v>
                </c:pt>
                <c:pt idx="1">
                  <c:v>9.18</c:v>
                </c:pt>
                <c:pt idx="2">
                  <c:v>10.94</c:v>
                </c:pt>
                <c:pt idx="3">
                  <c:v>11.62</c:v>
                </c:pt>
                <c:pt idx="4">
                  <c:v>10.38</c:v>
                </c:pt>
                <c:pt idx="5">
                  <c:v>9.44</c:v>
                </c:pt>
                <c:pt idx="6">
                  <c:v>11.22</c:v>
                </c:pt>
                <c:pt idx="7">
                  <c:v>11.72</c:v>
                </c:pt>
                <c:pt idx="8">
                  <c:v>10.36</c:v>
                </c:pt>
                <c:pt idx="9">
                  <c:v>9.32</c:v>
                </c:pt>
              </c:numCache>
            </c:numRef>
          </c:val>
          <c:smooth val="0"/>
        </c:ser>
        <c:ser>
          <c:idx val="1"/>
          <c:order val="1"/>
          <c:tx>
            <c:strRef>
              <c:f>Amox!$W$2</c:f>
              <c:strCache>
                <c:ptCount val="1"/>
                <c:pt idx="0">
                  <c:v>10 to 19</c:v>
                </c:pt>
              </c:strCache>
            </c:strRef>
          </c:tx>
          <c:marker>
            <c:symbol val="none"/>
          </c:marker>
          <c:cat>
            <c:strRef>
              <c:f>Amox!$U$3:$U$12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Amox!$W$3:$W$12</c:f>
              <c:numCache>
                <c:formatCode>General</c:formatCode>
                <c:ptCount val="10"/>
                <c:pt idx="0">
                  <c:v>4.1399999999999997</c:v>
                </c:pt>
                <c:pt idx="1">
                  <c:v>3.58</c:v>
                </c:pt>
                <c:pt idx="2">
                  <c:v>4.08</c:v>
                </c:pt>
                <c:pt idx="3">
                  <c:v>4.24</c:v>
                </c:pt>
                <c:pt idx="4">
                  <c:v>4.0199999999999996</c:v>
                </c:pt>
                <c:pt idx="5">
                  <c:v>3.62</c:v>
                </c:pt>
                <c:pt idx="6">
                  <c:v>4.26</c:v>
                </c:pt>
                <c:pt idx="7">
                  <c:v>4.42</c:v>
                </c:pt>
                <c:pt idx="8">
                  <c:v>4.2</c:v>
                </c:pt>
                <c:pt idx="9">
                  <c:v>3.68</c:v>
                </c:pt>
              </c:numCache>
            </c:numRef>
          </c:val>
          <c:smooth val="0"/>
        </c:ser>
        <c:ser>
          <c:idx val="2"/>
          <c:order val="2"/>
          <c:tx>
            <c:strRef>
              <c:f>Amox!$X$2</c:f>
              <c:strCache>
                <c:ptCount val="1"/>
                <c:pt idx="0">
                  <c:v>20 to 44</c:v>
                </c:pt>
              </c:strCache>
            </c:strRef>
          </c:tx>
          <c:marker>
            <c:symbol val="none"/>
          </c:marker>
          <c:cat>
            <c:strRef>
              <c:f>Amox!$U$3:$U$12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Amox!$X$3:$X$12</c:f>
              <c:numCache>
                <c:formatCode>General</c:formatCode>
                <c:ptCount val="10"/>
                <c:pt idx="0">
                  <c:v>3.82</c:v>
                </c:pt>
                <c:pt idx="1">
                  <c:v>3.42</c:v>
                </c:pt>
                <c:pt idx="2">
                  <c:v>3.84</c:v>
                </c:pt>
                <c:pt idx="3">
                  <c:v>4.04</c:v>
                </c:pt>
                <c:pt idx="4">
                  <c:v>3.76</c:v>
                </c:pt>
                <c:pt idx="5">
                  <c:v>3.48</c:v>
                </c:pt>
                <c:pt idx="6">
                  <c:v>4.04</c:v>
                </c:pt>
                <c:pt idx="7">
                  <c:v>4.2</c:v>
                </c:pt>
                <c:pt idx="8">
                  <c:v>3.9</c:v>
                </c:pt>
                <c:pt idx="9">
                  <c:v>3.46</c:v>
                </c:pt>
              </c:numCache>
            </c:numRef>
          </c:val>
          <c:smooth val="0"/>
        </c:ser>
        <c:ser>
          <c:idx val="3"/>
          <c:order val="3"/>
          <c:tx>
            <c:strRef>
              <c:f>Amox!$Y$2</c:f>
              <c:strCache>
                <c:ptCount val="1"/>
                <c:pt idx="0">
                  <c:v>45 to 64</c:v>
                </c:pt>
              </c:strCache>
            </c:strRef>
          </c:tx>
          <c:marker>
            <c:symbol val="none"/>
          </c:marker>
          <c:cat>
            <c:strRef>
              <c:f>Amox!$U$3:$U$12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Amox!$Y$3:$Y$12</c:f>
              <c:numCache>
                <c:formatCode>General</c:formatCode>
                <c:ptCount val="10"/>
                <c:pt idx="0">
                  <c:v>4.0599999999999996</c:v>
                </c:pt>
                <c:pt idx="1">
                  <c:v>3.66</c:v>
                </c:pt>
                <c:pt idx="2">
                  <c:v>4.0599999999999996</c:v>
                </c:pt>
                <c:pt idx="3">
                  <c:v>4.3</c:v>
                </c:pt>
                <c:pt idx="4">
                  <c:v>4</c:v>
                </c:pt>
                <c:pt idx="5">
                  <c:v>3.7</c:v>
                </c:pt>
                <c:pt idx="6">
                  <c:v>4.2</c:v>
                </c:pt>
                <c:pt idx="7">
                  <c:v>4.4000000000000004</c:v>
                </c:pt>
                <c:pt idx="8">
                  <c:v>4.08</c:v>
                </c:pt>
                <c:pt idx="9">
                  <c:v>3.68</c:v>
                </c:pt>
              </c:numCache>
            </c:numRef>
          </c:val>
          <c:smooth val="0"/>
        </c:ser>
        <c:ser>
          <c:idx val="4"/>
          <c:order val="4"/>
          <c:tx>
            <c:strRef>
              <c:f>Amox!$Z$2</c:f>
              <c:strCache>
                <c:ptCount val="1"/>
                <c:pt idx="0">
                  <c:v>65 to 74</c:v>
                </c:pt>
              </c:strCache>
            </c:strRef>
          </c:tx>
          <c:spPr>
            <a:ln cmpd="dbl">
              <a:solidFill>
                <a:schemeClr val="accent6">
                  <a:lumMod val="75000"/>
                </a:schemeClr>
              </a:solidFill>
            </a:ln>
          </c:spPr>
          <c:marker>
            <c:symbol val="none"/>
          </c:marker>
          <c:cat>
            <c:strRef>
              <c:f>Amox!$U$3:$U$12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Amox!$Z$3:$Z$12</c:f>
              <c:numCache>
                <c:formatCode>General</c:formatCode>
                <c:ptCount val="10"/>
                <c:pt idx="0">
                  <c:v>5</c:v>
                </c:pt>
                <c:pt idx="1">
                  <c:v>4.54</c:v>
                </c:pt>
                <c:pt idx="2">
                  <c:v>4.8599999999999977</c:v>
                </c:pt>
                <c:pt idx="3">
                  <c:v>5.2</c:v>
                </c:pt>
                <c:pt idx="4">
                  <c:v>4.8</c:v>
                </c:pt>
                <c:pt idx="5">
                  <c:v>4.5199999999999996</c:v>
                </c:pt>
                <c:pt idx="6">
                  <c:v>5</c:v>
                </c:pt>
                <c:pt idx="7">
                  <c:v>5.28</c:v>
                </c:pt>
                <c:pt idx="8">
                  <c:v>4.9000000000000004</c:v>
                </c:pt>
                <c:pt idx="9">
                  <c:v>4.5199999999999996</c:v>
                </c:pt>
              </c:numCache>
            </c:numRef>
          </c:val>
          <c:smooth val="0"/>
        </c:ser>
        <c:ser>
          <c:idx val="5"/>
          <c:order val="5"/>
          <c:tx>
            <c:strRef>
              <c:f>Amox!$AA$2</c:f>
              <c:strCache>
                <c:ptCount val="1"/>
                <c:pt idx="0">
                  <c:v>75+</c:v>
                </c:pt>
              </c:strCache>
            </c:strRef>
          </c:tx>
          <c:spPr>
            <a:ln>
              <a:solidFill>
                <a:schemeClr val="tx1"/>
              </a:solidFill>
            </a:ln>
          </c:spPr>
          <c:marker>
            <c:symbol val="none"/>
          </c:marker>
          <c:cat>
            <c:strRef>
              <c:f>Amox!$U$3:$U$12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Amox!$AA$3:$AA$12</c:f>
              <c:numCache>
                <c:formatCode>General</c:formatCode>
                <c:ptCount val="10"/>
                <c:pt idx="0">
                  <c:v>5.28</c:v>
                </c:pt>
                <c:pt idx="1">
                  <c:v>4.76</c:v>
                </c:pt>
                <c:pt idx="2">
                  <c:v>5.08</c:v>
                </c:pt>
                <c:pt idx="3">
                  <c:v>5.44</c:v>
                </c:pt>
                <c:pt idx="4">
                  <c:v>5.04</c:v>
                </c:pt>
                <c:pt idx="5">
                  <c:v>4.78</c:v>
                </c:pt>
                <c:pt idx="6">
                  <c:v>5.3</c:v>
                </c:pt>
                <c:pt idx="7">
                  <c:v>5.6</c:v>
                </c:pt>
                <c:pt idx="8">
                  <c:v>5.2</c:v>
                </c:pt>
                <c:pt idx="9">
                  <c:v>4.78</c:v>
                </c:pt>
              </c:numCache>
            </c:numRef>
          </c:val>
          <c:smooth val="0"/>
        </c:ser>
        <c:dLbls>
          <c:showLegendKey val="0"/>
          <c:showVal val="0"/>
          <c:showCatName val="0"/>
          <c:showSerName val="0"/>
          <c:showPercent val="0"/>
          <c:showBubbleSize val="0"/>
        </c:dLbls>
        <c:hiLowLines>
          <c:spPr>
            <a:ln>
              <a:noFill/>
            </a:ln>
          </c:spPr>
        </c:hiLowLines>
        <c:marker val="1"/>
        <c:smooth val="0"/>
        <c:axId val="203316608"/>
        <c:axId val="203326976"/>
      </c:lineChart>
      <c:catAx>
        <c:axId val="203316608"/>
        <c:scaling>
          <c:orientation val="minMax"/>
        </c:scaling>
        <c:delete val="0"/>
        <c:axPos val="b"/>
        <c:title>
          <c:tx>
            <c:rich>
              <a:bodyPr/>
              <a:lstStyle/>
              <a:p>
                <a:pPr>
                  <a:defRPr/>
                </a:pPr>
                <a:r>
                  <a:rPr lang="en-AU" i="1"/>
                  <a:t>Year/Quarter</a:t>
                </a:r>
              </a:p>
            </c:rich>
          </c:tx>
          <c:overlay val="0"/>
        </c:title>
        <c:numFmt formatCode="General" sourceLinked="1"/>
        <c:majorTickMark val="none"/>
        <c:minorTickMark val="none"/>
        <c:tickLblPos val="nextTo"/>
        <c:crossAx val="203326976"/>
        <c:crosses val="autoZero"/>
        <c:auto val="0"/>
        <c:lblAlgn val="ctr"/>
        <c:lblOffset val="100"/>
        <c:noMultiLvlLbl val="0"/>
      </c:catAx>
      <c:valAx>
        <c:axId val="203326976"/>
        <c:scaling>
          <c:orientation val="minMax"/>
        </c:scaling>
        <c:delete val="0"/>
        <c:axPos val="l"/>
        <c:majorGridlines/>
        <c:numFmt formatCode="General" sourceLinked="1"/>
        <c:majorTickMark val="out"/>
        <c:minorTickMark val="none"/>
        <c:tickLblPos val="nextTo"/>
        <c:crossAx val="20331660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1" u="none" strike="noStrike" baseline="0">
                <a:effectLst/>
                <a:latin typeface="Arial" panose="020B0604020202020204" pitchFamily="34" charset="0"/>
                <a:cs typeface="Arial" panose="020B0604020202020204" pitchFamily="34" charset="0"/>
              </a:rPr>
              <a:t>Total hospital usage rates by DDD/1000 OBD for β-lactamase inhibitor combinations</a:t>
            </a:r>
            <a:endParaRPr lang="en-AU" sz="1000" b="0" i="1">
              <a:latin typeface="Arial" panose="020B0604020202020204" pitchFamily="34" charset="0"/>
              <a:cs typeface="Arial" panose="020B0604020202020204" pitchFamily="34" charset="0"/>
            </a:endParaRPr>
          </a:p>
        </c:rich>
      </c:tx>
      <c:layout>
        <c:manualLayout>
          <c:xMode val="edge"/>
          <c:yMode val="edge"/>
          <c:x val="0.10948894939534427"/>
          <c:y val="0"/>
        </c:manualLayout>
      </c:layout>
      <c:overlay val="0"/>
    </c:title>
    <c:autoTitleDeleted val="0"/>
    <c:plotArea>
      <c:layout/>
      <c:lineChart>
        <c:grouping val="standard"/>
        <c:varyColors val="0"/>
        <c:ser>
          <c:idx val="0"/>
          <c:order val="0"/>
          <c:marker>
            <c:symbol val="none"/>
          </c:marker>
          <c:cat>
            <c:strRef>
              <c:f>Sheet1!$B$1:$F$1</c:f>
              <c:strCache>
                <c:ptCount val="5"/>
                <c:pt idx="0">
                  <c:v>2010 (n=53)</c:v>
                </c:pt>
                <c:pt idx="1">
                  <c:v>2011 (n=61)</c:v>
                </c:pt>
                <c:pt idx="2">
                  <c:v>2012 (n=79)</c:v>
                </c:pt>
                <c:pt idx="3">
                  <c:v>2013 (n=114)</c:v>
                </c:pt>
                <c:pt idx="4">
                  <c:v>2014 (n=129)</c:v>
                </c:pt>
              </c:strCache>
            </c:strRef>
          </c:cat>
          <c:val>
            <c:numRef>
              <c:f>Sheet1!$B$2:$F$2</c:f>
              <c:numCache>
                <c:formatCode>General</c:formatCode>
                <c:ptCount val="5"/>
                <c:pt idx="0">
                  <c:v>185.15</c:v>
                </c:pt>
                <c:pt idx="1">
                  <c:v>186.99</c:v>
                </c:pt>
                <c:pt idx="2">
                  <c:v>187.57</c:v>
                </c:pt>
                <c:pt idx="3">
                  <c:v>186.82</c:v>
                </c:pt>
                <c:pt idx="4">
                  <c:v>180.7</c:v>
                </c:pt>
              </c:numCache>
            </c:numRef>
          </c:val>
          <c:smooth val="0"/>
        </c:ser>
        <c:dLbls>
          <c:showLegendKey val="0"/>
          <c:showVal val="0"/>
          <c:showCatName val="0"/>
          <c:showSerName val="0"/>
          <c:showPercent val="0"/>
          <c:showBubbleSize val="0"/>
        </c:dLbls>
        <c:hiLowLines/>
        <c:marker val="1"/>
        <c:smooth val="0"/>
        <c:axId val="203630848"/>
        <c:axId val="203633024"/>
      </c:lineChart>
      <c:catAx>
        <c:axId val="203630848"/>
        <c:scaling>
          <c:orientation val="minMax"/>
        </c:scaling>
        <c:delete val="0"/>
        <c:axPos val="b"/>
        <c:title>
          <c:tx>
            <c:rich>
              <a:bodyPr/>
              <a:lstStyle/>
              <a:p>
                <a:pPr>
                  <a:defRPr b="0" i="1">
                    <a:latin typeface="Arial" panose="020B0604020202020204" pitchFamily="34" charset="0"/>
                    <a:cs typeface="Arial" panose="020B0604020202020204" pitchFamily="34" charset="0"/>
                  </a:defRPr>
                </a:pPr>
                <a:r>
                  <a:rPr lang="en-US" b="0" i="1">
                    <a:latin typeface="Arial" panose="020B0604020202020204" pitchFamily="34" charset="0"/>
                    <a:cs typeface="Arial" panose="020B0604020202020204" pitchFamily="34" charset="0"/>
                  </a:rPr>
                  <a:t>Year (number of contributors)</a:t>
                </a:r>
              </a:p>
            </c:rich>
          </c:tx>
          <c:overlay val="0"/>
        </c:title>
        <c:majorTickMark val="none"/>
        <c:minorTickMark val="none"/>
        <c:tickLblPos val="nextTo"/>
        <c:crossAx val="203633024"/>
        <c:crosses val="autoZero"/>
        <c:auto val="1"/>
        <c:lblAlgn val="ctr"/>
        <c:lblOffset val="100"/>
        <c:noMultiLvlLbl val="0"/>
      </c:catAx>
      <c:valAx>
        <c:axId val="203633024"/>
        <c:scaling>
          <c:orientation val="minMax"/>
        </c:scaling>
        <c:delete val="0"/>
        <c:axPos val="l"/>
        <c:majorGridlines/>
        <c:numFmt formatCode="General" sourceLinked="1"/>
        <c:majorTickMark val="out"/>
        <c:minorTickMark val="none"/>
        <c:tickLblPos val="nextTo"/>
        <c:crossAx val="20363084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1">
                <a:latin typeface="Arial" panose="020B0604020202020204" pitchFamily="34" charset="0"/>
                <a:cs typeface="Arial" panose="020B0604020202020204" pitchFamily="34" charset="0"/>
              </a:rPr>
              <a:t>Percentage of population</a:t>
            </a:r>
            <a:r>
              <a:rPr lang="en-US" sz="1000" b="0" i="1" baseline="0">
                <a:latin typeface="Arial" panose="020B0604020202020204" pitchFamily="34" charset="0"/>
                <a:cs typeface="Arial" panose="020B0604020202020204" pitchFamily="34" charset="0"/>
              </a:rPr>
              <a:t> supplied a</a:t>
            </a:r>
            <a:r>
              <a:rPr lang="en-US" sz="1000" b="0" i="1">
                <a:latin typeface="Arial" panose="020B0604020202020204" pitchFamily="34" charset="0"/>
                <a:cs typeface="Arial" panose="020B0604020202020204" pitchFamily="34" charset="0"/>
              </a:rPr>
              <a:t>moxicillin with clavulanate,</a:t>
            </a:r>
            <a:r>
              <a:rPr lang="en-US" sz="1000" b="0" i="1" baseline="0">
                <a:latin typeface="Arial" panose="020B0604020202020204" pitchFamily="34" charset="0"/>
                <a:cs typeface="Arial" panose="020B0604020202020204" pitchFamily="34" charset="0"/>
              </a:rPr>
              <a:t> </a:t>
            </a:r>
            <a:r>
              <a:rPr lang="en-US" sz="1000" b="0" i="1">
                <a:latin typeface="Arial" panose="020B0604020202020204" pitchFamily="34" charset="0"/>
                <a:cs typeface="Arial" panose="020B0604020202020204" pitchFamily="34" charset="0"/>
              </a:rPr>
              <a:t>by age group</a:t>
            </a:r>
          </a:p>
        </c:rich>
      </c:tx>
      <c:overlay val="0"/>
      <c:spPr>
        <a:ln>
          <a:noFill/>
        </a:ln>
      </c:spPr>
    </c:title>
    <c:autoTitleDeleted val="0"/>
    <c:plotArea>
      <c:layout/>
      <c:lineChart>
        <c:grouping val="standard"/>
        <c:varyColors val="0"/>
        <c:ser>
          <c:idx val="0"/>
          <c:order val="0"/>
          <c:tx>
            <c:strRef>
              <c:f>Amox_Clav!$V$2</c:f>
              <c:strCache>
                <c:ptCount val="1"/>
                <c:pt idx="0">
                  <c:v>0 to 9</c:v>
                </c:pt>
              </c:strCache>
            </c:strRef>
          </c:tx>
          <c:spPr>
            <a:ln>
              <a:solidFill>
                <a:srgbClr val="FF0000"/>
              </a:solidFill>
            </a:ln>
          </c:spPr>
          <c:marker>
            <c:symbol val="none"/>
          </c:marker>
          <c:cat>
            <c:strRef>
              <c:f>Amox_Clav!$U$3:$U$12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Amox_Clav!$V$3:$V$12</c:f>
              <c:numCache>
                <c:formatCode>General</c:formatCode>
                <c:ptCount val="10"/>
                <c:pt idx="0">
                  <c:v>2.72</c:v>
                </c:pt>
                <c:pt idx="1">
                  <c:v>2.4</c:v>
                </c:pt>
                <c:pt idx="2">
                  <c:v>2.82</c:v>
                </c:pt>
                <c:pt idx="3">
                  <c:v>3.04</c:v>
                </c:pt>
                <c:pt idx="4">
                  <c:v>2.8</c:v>
                </c:pt>
                <c:pt idx="5">
                  <c:v>2.5</c:v>
                </c:pt>
                <c:pt idx="6">
                  <c:v>2.96</c:v>
                </c:pt>
                <c:pt idx="7">
                  <c:v>3.14</c:v>
                </c:pt>
                <c:pt idx="8">
                  <c:v>2.88</c:v>
                </c:pt>
                <c:pt idx="9">
                  <c:v>2.56</c:v>
                </c:pt>
              </c:numCache>
            </c:numRef>
          </c:val>
          <c:smooth val="0"/>
        </c:ser>
        <c:ser>
          <c:idx val="1"/>
          <c:order val="1"/>
          <c:tx>
            <c:strRef>
              <c:f>Amox_Clav!$W$2</c:f>
              <c:strCache>
                <c:ptCount val="1"/>
                <c:pt idx="0">
                  <c:v>10 to 19</c:v>
                </c:pt>
              </c:strCache>
            </c:strRef>
          </c:tx>
          <c:marker>
            <c:symbol val="none"/>
          </c:marker>
          <c:cat>
            <c:strRef>
              <c:f>Amox_Clav!$U$3:$U$12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Amox_Clav!$W$3:$W$12</c:f>
              <c:numCache>
                <c:formatCode>General</c:formatCode>
                <c:ptCount val="10"/>
                <c:pt idx="0">
                  <c:v>1.96</c:v>
                </c:pt>
                <c:pt idx="1">
                  <c:v>1.76</c:v>
                </c:pt>
                <c:pt idx="2">
                  <c:v>1.92</c:v>
                </c:pt>
                <c:pt idx="3">
                  <c:v>1.96</c:v>
                </c:pt>
                <c:pt idx="4">
                  <c:v>1.92</c:v>
                </c:pt>
                <c:pt idx="5">
                  <c:v>1.8</c:v>
                </c:pt>
                <c:pt idx="6">
                  <c:v>2.04</c:v>
                </c:pt>
                <c:pt idx="7">
                  <c:v>2.1</c:v>
                </c:pt>
                <c:pt idx="8">
                  <c:v>2.08</c:v>
                </c:pt>
                <c:pt idx="9">
                  <c:v>1.88</c:v>
                </c:pt>
              </c:numCache>
            </c:numRef>
          </c:val>
          <c:smooth val="0"/>
        </c:ser>
        <c:ser>
          <c:idx val="2"/>
          <c:order val="2"/>
          <c:tx>
            <c:strRef>
              <c:f>Amox_Clav!$X$2</c:f>
              <c:strCache>
                <c:ptCount val="1"/>
                <c:pt idx="0">
                  <c:v>20 to 44</c:v>
                </c:pt>
              </c:strCache>
            </c:strRef>
          </c:tx>
          <c:marker>
            <c:symbol val="none"/>
          </c:marker>
          <c:cat>
            <c:strRef>
              <c:f>Amox_Clav!$U$3:$U$12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Amox_Clav!$X$3:$X$12</c:f>
              <c:numCache>
                <c:formatCode>General</c:formatCode>
                <c:ptCount val="10"/>
                <c:pt idx="0">
                  <c:v>2.86</c:v>
                </c:pt>
                <c:pt idx="1">
                  <c:v>2.58</c:v>
                </c:pt>
                <c:pt idx="2">
                  <c:v>2.9</c:v>
                </c:pt>
                <c:pt idx="3">
                  <c:v>3.04</c:v>
                </c:pt>
                <c:pt idx="4">
                  <c:v>2.9</c:v>
                </c:pt>
                <c:pt idx="5">
                  <c:v>2.74</c:v>
                </c:pt>
                <c:pt idx="6">
                  <c:v>3.16</c:v>
                </c:pt>
                <c:pt idx="7">
                  <c:v>3.32</c:v>
                </c:pt>
                <c:pt idx="8">
                  <c:v>3.16</c:v>
                </c:pt>
                <c:pt idx="9">
                  <c:v>2.86</c:v>
                </c:pt>
              </c:numCache>
            </c:numRef>
          </c:val>
          <c:smooth val="0"/>
        </c:ser>
        <c:ser>
          <c:idx val="3"/>
          <c:order val="3"/>
          <c:tx>
            <c:strRef>
              <c:f>Amox_Clav!$Y$2</c:f>
              <c:strCache>
                <c:ptCount val="1"/>
                <c:pt idx="0">
                  <c:v>45 to 64</c:v>
                </c:pt>
              </c:strCache>
            </c:strRef>
          </c:tx>
          <c:marker>
            <c:symbol val="none"/>
          </c:marker>
          <c:cat>
            <c:strRef>
              <c:f>Amox_Clav!$U$3:$U$12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Amox_Clav!$Y$3:$Y$12</c:f>
              <c:numCache>
                <c:formatCode>General</c:formatCode>
                <c:ptCount val="10"/>
                <c:pt idx="0">
                  <c:v>3.68</c:v>
                </c:pt>
                <c:pt idx="1">
                  <c:v>3.36</c:v>
                </c:pt>
                <c:pt idx="2">
                  <c:v>3.74</c:v>
                </c:pt>
                <c:pt idx="3">
                  <c:v>3.98</c:v>
                </c:pt>
                <c:pt idx="4">
                  <c:v>3.76</c:v>
                </c:pt>
                <c:pt idx="5">
                  <c:v>3.54</c:v>
                </c:pt>
                <c:pt idx="6">
                  <c:v>4.04</c:v>
                </c:pt>
                <c:pt idx="7">
                  <c:v>4.26</c:v>
                </c:pt>
                <c:pt idx="8">
                  <c:v>4.0599999999999996</c:v>
                </c:pt>
                <c:pt idx="9">
                  <c:v>3.7</c:v>
                </c:pt>
              </c:numCache>
            </c:numRef>
          </c:val>
          <c:smooth val="0"/>
        </c:ser>
        <c:ser>
          <c:idx val="4"/>
          <c:order val="4"/>
          <c:tx>
            <c:strRef>
              <c:f>Amox_Clav!$Z$2</c:f>
              <c:strCache>
                <c:ptCount val="1"/>
                <c:pt idx="0">
                  <c:v>65 to 74</c:v>
                </c:pt>
              </c:strCache>
            </c:strRef>
          </c:tx>
          <c:spPr>
            <a:ln cmpd="dbl">
              <a:solidFill>
                <a:schemeClr val="accent6">
                  <a:lumMod val="75000"/>
                </a:schemeClr>
              </a:solidFill>
            </a:ln>
          </c:spPr>
          <c:marker>
            <c:symbol val="none"/>
          </c:marker>
          <c:cat>
            <c:strRef>
              <c:f>Amox_Clav!$U$3:$U$12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Amox_Clav!$Z$3:$Z$12</c:f>
              <c:numCache>
                <c:formatCode>General</c:formatCode>
                <c:ptCount val="10"/>
                <c:pt idx="0">
                  <c:v>4.58</c:v>
                </c:pt>
                <c:pt idx="1">
                  <c:v>4.26</c:v>
                </c:pt>
                <c:pt idx="2">
                  <c:v>4.58</c:v>
                </c:pt>
                <c:pt idx="3">
                  <c:v>4.9000000000000004</c:v>
                </c:pt>
                <c:pt idx="4">
                  <c:v>4.6399999999999997</c:v>
                </c:pt>
                <c:pt idx="5">
                  <c:v>4.4800000000000004</c:v>
                </c:pt>
                <c:pt idx="6">
                  <c:v>4.9400000000000004</c:v>
                </c:pt>
                <c:pt idx="7">
                  <c:v>5.26</c:v>
                </c:pt>
                <c:pt idx="8">
                  <c:v>5</c:v>
                </c:pt>
                <c:pt idx="9">
                  <c:v>4.68</c:v>
                </c:pt>
              </c:numCache>
            </c:numRef>
          </c:val>
          <c:smooth val="0"/>
        </c:ser>
        <c:ser>
          <c:idx val="5"/>
          <c:order val="5"/>
          <c:tx>
            <c:strRef>
              <c:f>Amox_Clav!$AA$2</c:f>
              <c:strCache>
                <c:ptCount val="1"/>
                <c:pt idx="0">
                  <c:v>75+</c:v>
                </c:pt>
              </c:strCache>
            </c:strRef>
          </c:tx>
          <c:spPr>
            <a:ln>
              <a:solidFill>
                <a:schemeClr val="tx1"/>
              </a:solidFill>
            </a:ln>
          </c:spPr>
          <c:marker>
            <c:symbol val="none"/>
          </c:marker>
          <c:cat>
            <c:strRef>
              <c:f>Amox_Clav!$U$3:$U$12</c:f>
              <c:strCache>
                <c:ptCount val="10"/>
                <c:pt idx="0">
                  <c:v>2012-Q3</c:v>
                </c:pt>
                <c:pt idx="1">
                  <c:v>2012-Q4</c:v>
                </c:pt>
                <c:pt idx="2">
                  <c:v>2013-Q1</c:v>
                </c:pt>
                <c:pt idx="3">
                  <c:v>2013-Q2</c:v>
                </c:pt>
                <c:pt idx="4">
                  <c:v>2013-Q3</c:v>
                </c:pt>
                <c:pt idx="5">
                  <c:v>2013-Q4</c:v>
                </c:pt>
                <c:pt idx="6">
                  <c:v>2014-Q1</c:v>
                </c:pt>
                <c:pt idx="7">
                  <c:v>2014-Q2</c:v>
                </c:pt>
                <c:pt idx="8">
                  <c:v>2014-Q3</c:v>
                </c:pt>
                <c:pt idx="9">
                  <c:v>2014-Q4</c:v>
                </c:pt>
              </c:strCache>
            </c:strRef>
          </c:cat>
          <c:val>
            <c:numRef>
              <c:f>Amox_Clav!$AA$3:$AA$12</c:f>
              <c:numCache>
                <c:formatCode>General</c:formatCode>
                <c:ptCount val="10"/>
                <c:pt idx="0">
                  <c:v>4.92</c:v>
                </c:pt>
                <c:pt idx="1">
                  <c:v>4.5599999999999996</c:v>
                </c:pt>
                <c:pt idx="2">
                  <c:v>4.9000000000000004</c:v>
                </c:pt>
                <c:pt idx="3">
                  <c:v>5.22</c:v>
                </c:pt>
                <c:pt idx="4">
                  <c:v>4.9800000000000004</c:v>
                </c:pt>
                <c:pt idx="5">
                  <c:v>4.8</c:v>
                </c:pt>
                <c:pt idx="6">
                  <c:v>5.26</c:v>
                </c:pt>
                <c:pt idx="7">
                  <c:v>5.58</c:v>
                </c:pt>
                <c:pt idx="8">
                  <c:v>5.34</c:v>
                </c:pt>
                <c:pt idx="9">
                  <c:v>5.0199999999999996</c:v>
                </c:pt>
              </c:numCache>
            </c:numRef>
          </c:val>
          <c:smooth val="0"/>
        </c:ser>
        <c:dLbls>
          <c:showLegendKey val="0"/>
          <c:showVal val="0"/>
          <c:showCatName val="0"/>
          <c:showSerName val="0"/>
          <c:showPercent val="0"/>
          <c:showBubbleSize val="0"/>
        </c:dLbls>
        <c:hiLowLines>
          <c:spPr>
            <a:ln>
              <a:noFill/>
            </a:ln>
          </c:spPr>
        </c:hiLowLines>
        <c:marker val="1"/>
        <c:smooth val="0"/>
        <c:axId val="203571200"/>
        <c:axId val="203573120"/>
      </c:lineChart>
      <c:catAx>
        <c:axId val="203571200"/>
        <c:scaling>
          <c:orientation val="minMax"/>
        </c:scaling>
        <c:delete val="0"/>
        <c:axPos val="b"/>
        <c:title>
          <c:tx>
            <c:rich>
              <a:bodyPr/>
              <a:lstStyle/>
              <a:p>
                <a:pPr>
                  <a:defRPr/>
                </a:pPr>
                <a:r>
                  <a:rPr lang="en-AU" b="0" i="1"/>
                  <a:t>Year/Quarter</a:t>
                </a:r>
              </a:p>
            </c:rich>
          </c:tx>
          <c:overlay val="0"/>
        </c:title>
        <c:numFmt formatCode="General" sourceLinked="1"/>
        <c:majorTickMark val="none"/>
        <c:minorTickMark val="none"/>
        <c:tickLblPos val="nextTo"/>
        <c:crossAx val="203573120"/>
        <c:crosses val="autoZero"/>
        <c:auto val="1"/>
        <c:lblAlgn val="ctr"/>
        <c:lblOffset val="100"/>
        <c:noMultiLvlLbl val="0"/>
      </c:catAx>
      <c:valAx>
        <c:axId val="203573120"/>
        <c:scaling>
          <c:orientation val="minMax"/>
        </c:scaling>
        <c:delete val="0"/>
        <c:axPos val="l"/>
        <c:majorGridlines/>
        <c:numFmt formatCode="General" sourceLinked="1"/>
        <c:majorTickMark val="out"/>
        <c:minorTickMark val="none"/>
        <c:tickLblPos val="nextTo"/>
        <c:crossAx val="20357120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32BE-F1D9-4011-82C6-665BC324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Covering Sheet for Publications Template 2.0 (D16-31229).DOTX</Template>
  <TotalTime>262</TotalTime>
  <Pages>24</Pages>
  <Words>20097</Words>
  <Characters>114556</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Dimity Herden</dc:creator>
  <cp:lastModifiedBy>Dimity Herden</cp:lastModifiedBy>
  <cp:revision>11</cp:revision>
  <cp:lastPrinted>2016-11-24T06:10:00Z</cp:lastPrinted>
  <dcterms:created xsi:type="dcterms:W3CDTF">2016-11-23T03:49:00Z</dcterms:created>
  <dcterms:modified xsi:type="dcterms:W3CDTF">2016-11-24T06:14:00Z</dcterms:modified>
</cp:coreProperties>
</file>